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26469F" w:rsidR="00107DD5" w:rsidRPr="00756931" w:rsidRDefault="00221D8F" w:rsidP="00CA4815">
      <w:r w:rsidRPr="00756931">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sidRPr="00756931">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3C0E9D85" w14:textId="77777777" w:rsidR="00D73B2D" w:rsidRPr="00756931" w:rsidRDefault="00D73B2D" w:rsidP="00EB4C2F">
      <w:pPr>
        <w:pStyle w:val="Subtitle"/>
        <w:rPr>
          <w:rFonts w:ascii="Calibri" w:eastAsiaTheme="minorHAnsi" w:hAnsi="Calibri"/>
          <w:b/>
          <w:color w:val="FFFFFF" w:themeColor="background1"/>
          <w:spacing w:val="0"/>
          <w:sz w:val="84"/>
          <w:szCs w:val="32"/>
        </w:rPr>
      </w:pPr>
      <w:r w:rsidRPr="00756931">
        <w:rPr>
          <w:rFonts w:ascii="Calibri" w:eastAsiaTheme="minorHAnsi" w:hAnsi="Calibri"/>
          <w:b/>
          <w:color w:val="FFFFFF" w:themeColor="background1"/>
          <w:spacing w:val="0"/>
          <w:sz w:val="84"/>
          <w:szCs w:val="32"/>
        </w:rPr>
        <w:t>Guidelines for Approved Authorities</w:t>
      </w:r>
    </w:p>
    <w:p w14:paraId="0600EC06" w14:textId="14A2E692" w:rsidR="00107D87" w:rsidRPr="00756931" w:rsidRDefault="00D73B2D">
      <w:pPr>
        <w:sectPr w:rsidR="00107D87" w:rsidRPr="00756931" w:rsidSect="0073550E">
          <w:footerReference w:type="default" r:id="rId14"/>
          <w:pgSz w:w="11906" w:h="16838"/>
          <w:pgMar w:top="1814" w:right="1440" w:bottom="1440" w:left="1440" w:header="709" w:footer="709" w:gutter="0"/>
          <w:pgNumType w:start="1"/>
          <w:cols w:space="708"/>
          <w:docGrid w:linePitch="360"/>
        </w:sectPr>
      </w:pPr>
      <w:r w:rsidRPr="00756931">
        <w:rPr>
          <w:rFonts w:eastAsiaTheme="minorEastAsia"/>
          <w:color w:val="47BFAF" w:themeColor="accent4"/>
          <w:spacing w:val="15"/>
          <w:sz w:val="40"/>
        </w:rPr>
        <w:t xml:space="preserve">Capacity to </w:t>
      </w:r>
      <w:r w:rsidR="00985FBF" w:rsidRPr="00756931">
        <w:rPr>
          <w:rFonts w:eastAsiaTheme="minorEastAsia"/>
          <w:color w:val="47BFAF" w:themeColor="accent4"/>
          <w:spacing w:val="15"/>
          <w:sz w:val="40"/>
        </w:rPr>
        <w:t>C</w:t>
      </w:r>
      <w:r w:rsidRPr="00756931">
        <w:rPr>
          <w:rFonts w:eastAsiaTheme="minorEastAsia"/>
          <w:color w:val="47BFAF" w:themeColor="accent4"/>
          <w:spacing w:val="15"/>
          <w:sz w:val="40"/>
        </w:rPr>
        <w:t>ontribute (CTC) score review proce</w:t>
      </w:r>
      <w:r w:rsidR="00806575" w:rsidRPr="00756931">
        <w:rPr>
          <w:rFonts w:eastAsiaTheme="minorEastAsia"/>
          <w:color w:val="47BFAF" w:themeColor="accent4"/>
          <w:spacing w:val="15"/>
          <w:sz w:val="40"/>
        </w:rPr>
        <w:t>ss</w:t>
      </w:r>
    </w:p>
    <w:p w14:paraId="4CCE29C4" w14:textId="35452D8F" w:rsidR="00AF1F18" w:rsidRPr="00D172D3" w:rsidRDefault="00AF1F18" w:rsidP="00D172D3">
      <w:pPr>
        <w:rPr>
          <w:rFonts w:asciiTheme="majorHAnsi" w:hAnsiTheme="majorHAnsi"/>
          <w:b/>
          <w:color w:val="55437E" w:themeColor="accent2"/>
          <w:sz w:val="44"/>
        </w:rPr>
      </w:pPr>
      <w:r w:rsidRPr="00D172D3">
        <w:rPr>
          <w:rFonts w:asciiTheme="majorHAnsi" w:hAnsiTheme="majorHAnsi"/>
          <w:b/>
          <w:color w:val="55437E" w:themeColor="accent2"/>
          <w:sz w:val="44"/>
        </w:rPr>
        <w:lastRenderedPageBreak/>
        <w:t>Contents</w:t>
      </w:r>
    </w:p>
    <w:p w14:paraId="61F12015" w14:textId="0069273A" w:rsidR="00B326F5" w:rsidRDefault="00AF1F18">
      <w:pPr>
        <w:pStyle w:val="TOC1"/>
        <w:rPr>
          <w:rFonts w:eastAsiaTheme="minorEastAsia"/>
          <w:noProof/>
          <w:kern w:val="2"/>
          <w:sz w:val="24"/>
          <w:szCs w:val="24"/>
          <w:lang w:eastAsia="en-AU"/>
          <w14:ligatures w14:val="standardContextual"/>
        </w:rPr>
      </w:pPr>
      <w:r w:rsidRPr="000559B4">
        <w:fldChar w:fldCharType="begin"/>
      </w:r>
      <w:r w:rsidRPr="000559B4">
        <w:instrText xml:space="preserve"> TOC \h \z \u \t "Heading 2,1,Heading 3,2,Heading 4,3" </w:instrText>
      </w:r>
      <w:r w:rsidRPr="000559B4">
        <w:rPr>
          <w:kern w:val="2"/>
          <w14:ligatures w14:val="standardContextual"/>
        </w:rPr>
        <w:fldChar w:fldCharType="separate"/>
      </w:r>
      <w:hyperlink w:anchor="_Toc211945322" w:history="1">
        <w:r w:rsidR="00B326F5" w:rsidRPr="00C22F91">
          <w:rPr>
            <w:rStyle w:val="Hyperlink"/>
            <w:noProof/>
          </w:rPr>
          <w:t>Purpose</w:t>
        </w:r>
        <w:r w:rsidR="00B326F5">
          <w:rPr>
            <w:noProof/>
            <w:webHidden/>
          </w:rPr>
          <w:tab/>
        </w:r>
        <w:r w:rsidR="00B326F5">
          <w:rPr>
            <w:noProof/>
            <w:webHidden/>
          </w:rPr>
          <w:fldChar w:fldCharType="begin"/>
        </w:r>
        <w:r w:rsidR="00B326F5">
          <w:rPr>
            <w:noProof/>
            <w:webHidden/>
          </w:rPr>
          <w:instrText xml:space="preserve"> PAGEREF _Toc211945322 \h </w:instrText>
        </w:r>
        <w:r w:rsidR="00B326F5">
          <w:rPr>
            <w:noProof/>
            <w:webHidden/>
          </w:rPr>
        </w:r>
        <w:r w:rsidR="00B326F5">
          <w:rPr>
            <w:noProof/>
            <w:webHidden/>
          </w:rPr>
          <w:fldChar w:fldCharType="separate"/>
        </w:r>
        <w:r w:rsidR="00E87658">
          <w:rPr>
            <w:noProof/>
            <w:webHidden/>
          </w:rPr>
          <w:t>2</w:t>
        </w:r>
        <w:r w:rsidR="00B326F5">
          <w:rPr>
            <w:noProof/>
            <w:webHidden/>
          </w:rPr>
          <w:fldChar w:fldCharType="end"/>
        </w:r>
      </w:hyperlink>
    </w:p>
    <w:p w14:paraId="7A68A7EE" w14:textId="74CC9AD7" w:rsidR="00B326F5" w:rsidRDefault="00B326F5">
      <w:pPr>
        <w:pStyle w:val="TOC1"/>
        <w:rPr>
          <w:rFonts w:eastAsiaTheme="minorEastAsia"/>
          <w:noProof/>
          <w:kern w:val="2"/>
          <w:sz w:val="24"/>
          <w:szCs w:val="24"/>
          <w:lang w:eastAsia="en-AU"/>
          <w14:ligatures w14:val="standardContextual"/>
        </w:rPr>
      </w:pPr>
      <w:hyperlink w:anchor="_Toc211945323" w:history="1">
        <w:r w:rsidRPr="00C22F91">
          <w:rPr>
            <w:rStyle w:val="Hyperlink"/>
            <w:noProof/>
          </w:rPr>
          <w:t>Background</w:t>
        </w:r>
        <w:r>
          <w:rPr>
            <w:noProof/>
            <w:webHidden/>
          </w:rPr>
          <w:tab/>
        </w:r>
        <w:r>
          <w:rPr>
            <w:noProof/>
            <w:webHidden/>
          </w:rPr>
          <w:fldChar w:fldCharType="begin"/>
        </w:r>
        <w:r>
          <w:rPr>
            <w:noProof/>
            <w:webHidden/>
          </w:rPr>
          <w:instrText xml:space="preserve"> PAGEREF _Toc211945323 \h </w:instrText>
        </w:r>
        <w:r>
          <w:rPr>
            <w:noProof/>
            <w:webHidden/>
          </w:rPr>
        </w:r>
        <w:r>
          <w:rPr>
            <w:noProof/>
            <w:webHidden/>
          </w:rPr>
          <w:fldChar w:fldCharType="separate"/>
        </w:r>
        <w:r w:rsidR="00E87658">
          <w:rPr>
            <w:noProof/>
            <w:webHidden/>
          </w:rPr>
          <w:t>2</w:t>
        </w:r>
        <w:r>
          <w:rPr>
            <w:noProof/>
            <w:webHidden/>
          </w:rPr>
          <w:fldChar w:fldCharType="end"/>
        </w:r>
      </w:hyperlink>
    </w:p>
    <w:p w14:paraId="1BFF61A8" w14:textId="57A5FC08"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24" w:history="1">
        <w:r w:rsidRPr="00C22F91">
          <w:rPr>
            <w:rStyle w:val="Hyperlink"/>
            <w:noProof/>
          </w:rPr>
          <w:t>What is a CTC score?</w:t>
        </w:r>
        <w:r>
          <w:rPr>
            <w:noProof/>
            <w:webHidden/>
          </w:rPr>
          <w:tab/>
        </w:r>
        <w:r>
          <w:rPr>
            <w:noProof/>
            <w:webHidden/>
          </w:rPr>
          <w:fldChar w:fldCharType="begin"/>
        </w:r>
        <w:r>
          <w:rPr>
            <w:noProof/>
            <w:webHidden/>
          </w:rPr>
          <w:instrText xml:space="preserve"> PAGEREF _Toc211945324 \h </w:instrText>
        </w:r>
        <w:r>
          <w:rPr>
            <w:noProof/>
            <w:webHidden/>
          </w:rPr>
        </w:r>
        <w:r>
          <w:rPr>
            <w:noProof/>
            <w:webHidden/>
          </w:rPr>
          <w:fldChar w:fldCharType="separate"/>
        </w:r>
        <w:r w:rsidR="00E87658">
          <w:rPr>
            <w:noProof/>
            <w:webHidden/>
          </w:rPr>
          <w:t>2</w:t>
        </w:r>
        <w:r>
          <w:rPr>
            <w:noProof/>
            <w:webHidden/>
          </w:rPr>
          <w:fldChar w:fldCharType="end"/>
        </w:r>
      </w:hyperlink>
    </w:p>
    <w:p w14:paraId="2F5217D0" w14:textId="69E59575"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25" w:history="1">
        <w:r w:rsidRPr="00C22F91">
          <w:rPr>
            <w:rStyle w:val="Hyperlink"/>
            <w:noProof/>
          </w:rPr>
          <w:t>How are CTC scores calculated?</w:t>
        </w:r>
        <w:r>
          <w:rPr>
            <w:noProof/>
            <w:webHidden/>
          </w:rPr>
          <w:tab/>
        </w:r>
        <w:r>
          <w:rPr>
            <w:noProof/>
            <w:webHidden/>
          </w:rPr>
          <w:fldChar w:fldCharType="begin"/>
        </w:r>
        <w:r>
          <w:rPr>
            <w:noProof/>
            <w:webHidden/>
          </w:rPr>
          <w:instrText xml:space="preserve"> PAGEREF _Toc211945325 \h </w:instrText>
        </w:r>
        <w:r>
          <w:rPr>
            <w:noProof/>
            <w:webHidden/>
          </w:rPr>
        </w:r>
        <w:r>
          <w:rPr>
            <w:noProof/>
            <w:webHidden/>
          </w:rPr>
          <w:fldChar w:fldCharType="separate"/>
        </w:r>
        <w:r w:rsidR="00E87658">
          <w:rPr>
            <w:noProof/>
            <w:webHidden/>
          </w:rPr>
          <w:t>3</w:t>
        </w:r>
        <w:r>
          <w:rPr>
            <w:noProof/>
            <w:webHidden/>
          </w:rPr>
          <w:fldChar w:fldCharType="end"/>
        </w:r>
      </w:hyperlink>
    </w:p>
    <w:p w14:paraId="7B685FB9" w14:textId="47AD703C"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6" w:history="1">
        <w:r w:rsidRPr="00C22F91">
          <w:rPr>
            <w:rStyle w:val="Hyperlink"/>
            <w:noProof/>
          </w:rPr>
          <w:t>CTC scores other than for 2026</w:t>
        </w:r>
        <w:r>
          <w:rPr>
            <w:noProof/>
            <w:webHidden/>
          </w:rPr>
          <w:tab/>
        </w:r>
        <w:r>
          <w:rPr>
            <w:noProof/>
            <w:webHidden/>
          </w:rPr>
          <w:fldChar w:fldCharType="begin"/>
        </w:r>
        <w:r>
          <w:rPr>
            <w:noProof/>
            <w:webHidden/>
          </w:rPr>
          <w:instrText xml:space="preserve"> PAGEREF _Toc211945326 \h </w:instrText>
        </w:r>
        <w:r>
          <w:rPr>
            <w:noProof/>
            <w:webHidden/>
          </w:rPr>
        </w:r>
        <w:r>
          <w:rPr>
            <w:noProof/>
            <w:webHidden/>
          </w:rPr>
          <w:fldChar w:fldCharType="separate"/>
        </w:r>
        <w:r w:rsidR="00E87658">
          <w:rPr>
            <w:noProof/>
            <w:webHidden/>
          </w:rPr>
          <w:t>3</w:t>
        </w:r>
        <w:r>
          <w:rPr>
            <w:noProof/>
            <w:webHidden/>
          </w:rPr>
          <w:fldChar w:fldCharType="end"/>
        </w:r>
      </w:hyperlink>
    </w:p>
    <w:p w14:paraId="6E2D4240" w14:textId="12E3E980"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7" w:history="1">
        <w:r w:rsidRPr="00C22F91">
          <w:rPr>
            <w:rStyle w:val="Hyperlink"/>
            <w:noProof/>
          </w:rPr>
          <w:t>CTC scores for 2026 – rollover of 2025 CTC scores</w:t>
        </w:r>
        <w:r>
          <w:rPr>
            <w:noProof/>
            <w:webHidden/>
          </w:rPr>
          <w:tab/>
        </w:r>
        <w:r>
          <w:rPr>
            <w:noProof/>
            <w:webHidden/>
          </w:rPr>
          <w:fldChar w:fldCharType="begin"/>
        </w:r>
        <w:r>
          <w:rPr>
            <w:noProof/>
            <w:webHidden/>
          </w:rPr>
          <w:instrText xml:space="preserve"> PAGEREF _Toc211945327 \h </w:instrText>
        </w:r>
        <w:r>
          <w:rPr>
            <w:noProof/>
            <w:webHidden/>
          </w:rPr>
        </w:r>
        <w:r>
          <w:rPr>
            <w:noProof/>
            <w:webHidden/>
          </w:rPr>
          <w:fldChar w:fldCharType="separate"/>
        </w:r>
        <w:r w:rsidR="00E87658">
          <w:rPr>
            <w:noProof/>
            <w:webHidden/>
          </w:rPr>
          <w:t>4</w:t>
        </w:r>
        <w:r>
          <w:rPr>
            <w:noProof/>
            <w:webHidden/>
          </w:rPr>
          <w:fldChar w:fldCharType="end"/>
        </w:r>
      </w:hyperlink>
    </w:p>
    <w:p w14:paraId="59538FCD" w14:textId="23F82A65" w:rsidR="00B326F5" w:rsidRDefault="00B326F5">
      <w:pPr>
        <w:pStyle w:val="TOC3"/>
        <w:tabs>
          <w:tab w:val="right" w:leader="dot" w:pos="9016"/>
        </w:tabs>
        <w:rPr>
          <w:rFonts w:eastAsiaTheme="minorEastAsia"/>
          <w:noProof/>
          <w:kern w:val="2"/>
          <w:sz w:val="24"/>
          <w:szCs w:val="24"/>
          <w:lang w:eastAsia="en-AU"/>
          <w14:ligatures w14:val="standardContextual"/>
        </w:rPr>
      </w:pPr>
      <w:hyperlink w:anchor="_Toc211945328" w:history="1">
        <w:r w:rsidRPr="00C22F91">
          <w:rPr>
            <w:rStyle w:val="Hyperlink"/>
            <w:noProof/>
          </w:rPr>
          <w:t>Other methodologies</w:t>
        </w:r>
        <w:r>
          <w:rPr>
            <w:noProof/>
            <w:webHidden/>
          </w:rPr>
          <w:tab/>
        </w:r>
        <w:r>
          <w:rPr>
            <w:noProof/>
            <w:webHidden/>
          </w:rPr>
          <w:fldChar w:fldCharType="begin"/>
        </w:r>
        <w:r>
          <w:rPr>
            <w:noProof/>
            <w:webHidden/>
          </w:rPr>
          <w:instrText xml:space="preserve"> PAGEREF _Toc211945328 \h </w:instrText>
        </w:r>
        <w:r>
          <w:rPr>
            <w:noProof/>
            <w:webHidden/>
          </w:rPr>
        </w:r>
        <w:r>
          <w:rPr>
            <w:noProof/>
            <w:webHidden/>
          </w:rPr>
          <w:fldChar w:fldCharType="separate"/>
        </w:r>
        <w:r w:rsidR="00E87658">
          <w:rPr>
            <w:noProof/>
            <w:webHidden/>
          </w:rPr>
          <w:t>5</w:t>
        </w:r>
        <w:r>
          <w:rPr>
            <w:noProof/>
            <w:webHidden/>
          </w:rPr>
          <w:fldChar w:fldCharType="end"/>
        </w:r>
      </w:hyperlink>
    </w:p>
    <w:p w14:paraId="75C0A3BB" w14:textId="62DD03A0" w:rsidR="00B326F5" w:rsidRDefault="00B326F5">
      <w:pPr>
        <w:pStyle w:val="TOC1"/>
        <w:rPr>
          <w:rFonts w:eastAsiaTheme="minorEastAsia"/>
          <w:noProof/>
          <w:kern w:val="2"/>
          <w:sz w:val="24"/>
          <w:szCs w:val="24"/>
          <w:lang w:eastAsia="en-AU"/>
          <w14:ligatures w14:val="standardContextual"/>
        </w:rPr>
      </w:pPr>
      <w:hyperlink w:anchor="_Toc211945329" w:history="1">
        <w:r w:rsidRPr="00C22F91">
          <w:rPr>
            <w:rStyle w:val="Hyperlink"/>
            <w:noProof/>
          </w:rPr>
          <w:t>Applying for a CTC score review</w:t>
        </w:r>
        <w:r>
          <w:rPr>
            <w:noProof/>
            <w:webHidden/>
          </w:rPr>
          <w:tab/>
        </w:r>
        <w:r>
          <w:rPr>
            <w:noProof/>
            <w:webHidden/>
          </w:rPr>
          <w:fldChar w:fldCharType="begin"/>
        </w:r>
        <w:r>
          <w:rPr>
            <w:noProof/>
            <w:webHidden/>
          </w:rPr>
          <w:instrText xml:space="preserve"> PAGEREF _Toc211945329 \h </w:instrText>
        </w:r>
        <w:r>
          <w:rPr>
            <w:noProof/>
            <w:webHidden/>
          </w:rPr>
        </w:r>
        <w:r>
          <w:rPr>
            <w:noProof/>
            <w:webHidden/>
          </w:rPr>
          <w:fldChar w:fldCharType="separate"/>
        </w:r>
        <w:r w:rsidR="00E87658">
          <w:rPr>
            <w:noProof/>
            <w:webHidden/>
          </w:rPr>
          <w:t>5</w:t>
        </w:r>
        <w:r>
          <w:rPr>
            <w:noProof/>
            <w:webHidden/>
          </w:rPr>
          <w:fldChar w:fldCharType="end"/>
        </w:r>
      </w:hyperlink>
    </w:p>
    <w:p w14:paraId="7A562B3A" w14:textId="7888B88C"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0" w:history="1">
        <w:r w:rsidRPr="00C22F91">
          <w:rPr>
            <w:rStyle w:val="Hyperlink"/>
            <w:noProof/>
          </w:rPr>
          <w:t>Important considerations</w:t>
        </w:r>
        <w:r>
          <w:rPr>
            <w:noProof/>
            <w:webHidden/>
          </w:rPr>
          <w:tab/>
        </w:r>
        <w:r>
          <w:rPr>
            <w:noProof/>
            <w:webHidden/>
          </w:rPr>
          <w:fldChar w:fldCharType="begin"/>
        </w:r>
        <w:r>
          <w:rPr>
            <w:noProof/>
            <w:webHidden/>
          </w:rPr>
          <w:instrText xml:space="preserve"> PAGEREF _Toc211945330 \h </w:instrText>
        </w:r>
        <w:r>
          <w:rPr>
            <w:noProof/>
            <w:webHidden/>
          </w:rPr>
        </w:r>
        <w:r>
          <w:rPr>
            <w:noProof/>
            <w:webHidden/>
          </w:rPr>
          <w:fldChar w:fldCharType="separate"/>
        </w:r>
        <w:r w:rsidR="00E87658">
          <w:rPr>
            <w:noProof/>
            <w:webHidden/>
          </w:rPr>
          <w:t>5</w:t>
        </w:r>
        <w:r>
          <w:rPr>
            <w:noProof/>
            <w:webHidden/>
          </w:rPr>
          <w:fldChar w:fldCharType="end"/>
        </w:r>
      </w:hyperlink>
    </w:p>
    <w:p w14:paraId="56C5384B" w14:textId="5A89B933"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1" w:history="1">
        <w:r w:rsidRPr="00C22F91">
          <w:rPr>
            <w:rStyle w:val="Hyperlink"/>
            <w:noProof/>
          </w:rPr>
          <w:t>What reasons are there for a CTC score review?</w:t>
        </w:r>
        <w:r>
          <w:rPr>
            <w:noProof/>
            <w:webHidden/>
          </w:rPr>
          <w:tab/>
        </w:r>
        <w:r>
          <w:rPr>
            <w:noProof/>
            <w:webHidden/>
          </w:rPr>
          <w:fldChar w:fldCharType="begin"/>
        </w:r>
        <w:r>
          <w:rPr>
            <w:noProof/>
            <w:webHidden/>
          </w:rPr>
          <w:instrText xml:space="preserve"> PAGEREF _Toc211945331 \h </w:instrText>
        </w:r>
        <w:r>
          <w:rPr>
            <w:noProof/>
            <w:webHidden/>
          </w:rPr>
        </w:r>
        <w:r>
          <w:rPr>
            <w:noProof/>
            <w:webHidden/>
          </w:rPr>
          <w:fldChar w:fldCharType="separate"/>
        </w:r>
        <w:r w:rsidR="00E87658">
          <w:rPr>
            <w:noProof/>
            <w:webHidden/>
          </w:rPr>
          <w:t>6</w:t>
        </w:r>
        <w:r>
          <w:rPr>
            <w:noProof/>
            <w:webHidden/>
          </w:rPr>
          <w:fldChar w:fldCharType="end"/>
        </w:r>
      </w:hyperlink>
    </w:p>
    <w:p w14:paraId="670D888F" w14:textId="48AFBB09"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2" w:history="1">
        <w:r w:rsidRPr="00C22F91">
          <w:rPr>
            <w:rStyle w:val="Hyperlink"/>
            <w:noProof/>
          </w:rPr>
          <w:t>When will a CTC score review proceed?</w:t>
        </w:r>
        <w:r>
          <w:rPr>
            <w:noProof/>
            <w:webHidden/>
          </w:rPr>
          <w:tab/>
        </w:r>
        <w:r>
          <w:rPr>
            <w:noProof/>
            <w:webHidden/>
          </w:rPr>
          <w:fldChar w:fldCharType="begin"/>
        </w:r>
        <w:r>
          <w:rPr>
            <w:noProof/>
            <w:webHidden/>
          </w:rPr>
          <w:instrText xml:space="preserve"> PAGEREF _Toc211945332 \h </w:instrText>
        </w:r>
        <w:r>
          <w:rPr>
            <w:noProof/>
            <w:webHidden/>
          </w:rPr>
        </w:r>
        <w:r>
          <w:rPr>
            <w:noProof/>
            <w:webHidden/>
          </w:rPr>
          <w:fldChar w:fldCharType="separate"/>
        </w:r>
        <w:r w:rsidR="00E87658">
          <w:rPr>
            <w:noProof/>
            <w:webHidden/>
          </w:rPr>
          <w:t>6</w:t>
        </w:r>
        <w:r>
          <w:rPr>
            <w:noProof/>
            <w:webHidden/>
          </w:rPr>
          <w:fldChar w:fldCharType="end"/>
        </w:r>
      </w:hyperlink>
    </w:p>
    <w:p w14:paraId="0D3CC4B2" w14:textId="5C44FB54"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3" w:history="1">
        <w:r w:rsidRPr="00C22F91">
          <w:rPr>
            <w:rStyle w:val="Hyperlink"/>
            <w:noProof/>
          </w:rPr>
          <w:t>When will a CTC score review not proceed?</w:t>
        </w:r>
        <w:r>
          <w:rPr>
            <w:noProof/>
            <w:webHidden/>
          </w:rPr>
          <w:tab/>
        </w:r>
        <w:r>
          <w:rPr>
            <w:noProof/>
            <w:webHidden/>
          </w:rPr>
          <w:fldChar w:fldCharType="begin"/>
        </w:r>
        <w:r>
          <w:rPr>
            <w:noProof/>
            <w:webHidden/>
          </w:rPr>
          <w:instrText xml:space="preserve"> PAGEREF _Toc211945333 \h </w:instrText>
        </w:r>
        <w:r>
          <w:rPr>
            <w:noProof/>
            <w:webHidden/>
          </w:rPr>
        </w:r>
        <w:r>
          <w:rPr>
            <w:noProof/>
            <w:webHidden/>
          </w:rPr>
          <w:fldChar w:fldCharType="separate"/>
        </w:r>
        <w:r w:rsidR="00E87658">
          <w:rPr>
            <w:noProof/>
            <w:webHidden/>
          </w:rPr>
          <w:t>6</w:t>
        </w:r>
        <w:r>
          <w:rPr>
            <w:noProof/>
            <w:webHidden/>
          </w:rPr>
          <w:fldChar w:fldCharType="end"/>
        </w:r>
      </w:hyperlink>
    </w:p>
    <w:p w14:paraId="6F52A5F8" w14:textId="613357EA"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4" w:history="1">
        <w:r w:rsidRPr="00C22F91">
          <w:rPr>
            <w:rStyle w:val="Hyperlink"/>
            <w:noProof/>
          </w:rPr>
          <w:t>When can I apply for a CTC score review?</w:t>
        </w:r>
        <w:r>
          <w:rPr>
            <w:noProof/>
            <w:webHidden/>
          </w:rPr>
          <w:tab/>
        </w:r>
        <w:r>
          <w:rPr>
            <w:noProof/>
            <w:webHidden/>
          </w:rPr>
          <w:fldChar w:fldCharType="begin"/>
        </w:r>
        <w:r>
          <w:rPr>
            <w:noProof/>
            <w:webHidden/>
          </w:rPr>
          <w:instrText xml:space="preserve"> PAGEREF _Toc211945334 \h </w:instrText>
        </w:r>
        <w:r>
          <w:rPr>
            <w:noProof/>
            <w:webHidden/>
          </w:rPr>
        </w:r>
        <w:r>
          <w:rPr>
            <w:noProof/>
            <w:webHidden/>
          </w:rPr>
          <w:fldChar w:fldCharType="separate"/>
        </w:r>
        <w:r w:rsidR="00E87658">
          <w:rPr>
            <w:noProof/>
            <w:webHidden/>
          </w:rPr>
          <w:t>7</w:t>
        </w:r>
        <w:r>
          <w:rPr>
            <w:noProof/>
            <w:webHidden/>
          </w:rPr>
          <w:fldChar w:fldCharType="end"/>
        </w:r>
      </w:hyperlink>
    </w:p>
    <w:p w14:paraId="50B61BF8" w14:textId="3D178242"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5" w:history="1">
        <w:r w:rsidRPr="00C22F91">
          <w:rPr>
            <w:rStyle w:val="Hyperlink"/>
            <w:noProof/>
          </w:rPr>
          <w:t>How do I apply for a CTC score review?</w:t>
        </w:r>
        <w:r>
          <w:rPr>
            <w:noProof/>
            <w:webHidden/>
          </w:rPr>
          <w:tab/>
        </w:r>
        <w:r>
          <w:rPr>
            <w:noProof/>
            <w:webHidden/>
          </w:rPr>
          <w:fldChar w:fldCharType="begin"/>
        </w:r>
        <w:r>
          <w:rPr>
            <w:noProof/>
            <w:webHidden/>
          </w:rPr>
          <w:instrText xml:space="preserve"> PAGEREF _Toc211945335 \h </w:instrText>
        </w:r>
        <w:r>
          <w:rPr>
            <w:noProof/>
            <w:webHidden/>
          </w:rPr>
        </w:r>
        <w:r>
          <w:rPr>
            <w:noProof/>
            <w:webHidden/>
          </w:rPr>
          <w:fldChar w:fldCharType="separate"/>
        </w:r>
        <w:r w:rsidR="00E87658">
          <w:rPr>
            <w:noProof/>
            <w:webHidden/>
          </w:rPr>
          <w:t>7</w:t>
        </w:r>
        <w:r>
          <w:rPr>
            <w:noProof/>
            <w:webHidden/>
          </w:rPr>
          <w:fldChar w:fldCharType="end"/>
        </w:r>
      </w:hyperlink>
    </w:p>
    <w:p w14:paraId="755BE31D" w14:textId="23369B3D"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6" w:history="1">
        <w:r w:rsidRPr="00C22F91">
          <w:rPr>
            <w:rStyle w:val="Hyperlink"/>
            <w:noProof/>
          </w:rPr>
          <w:t>How long does a CTC score review take?</w:t>
        </w:r>
        <w:r>
          <w:rPr>
            <w:noProof/>
            <w:webHidden/>
          </w:rPr>
          <w:tab/>
        </w:r>
        <w:r>
          <w:rPr>
            <w:noProof/>
            <w:webHidden/>
          </w:rPr>
          <w:fldChar w:fldCharType="begin"/>
        </w:r>
        <w:r>
          <w:rPr>
            <w:noProof/>
            <w:webHidden/>
          </w:rPr>
          <w:instrText xml:space="preserve"> PAGEREF _Toc211945336 \h </w:instrText>
        </w:r>
        <w:r>
          <w:rPr>
            <w:noProof/>
            <w:webHidden/>
          </w:rPr>
        </w:r>
        <w:r>
          <w:rPr>
            <w:noProof/>
            <w:webHidden/>
          </w:rPr>
          <w:fldChar w:fldCharType="separate"/>
        </w:r>
        <w:r w:rsidR="00E87658">
          <w:rPr>
            <w:noProof/>
            <w:webHidden/>
          </w:rPr>
          <w:t>8</w:t>
        </w:r>
        <w:r>
          <w:rPr>
            <w:noProof/>
            <w:webHidden/>
          </w:rPr>
          <w:fldChar w:fldCharType="end"/>
        </w:r>
      </w:hyperlink>
    </w:p>
    <w:p w14:paraId="6124D08F" w14:textId="4C6C7FF4"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7" w:history="1">
        <w:r w:rsidRPr="00C22F91">
          <w:rPr>
            <w:rStyle w:val="Hyperlink"/>
            <w:noProof/>
          </w:rPr>
          <w:t>Can I withdraw my application for a CTC score review?</w:t>
        </w:r>
        <w:r>
          <w:rPr>
            <w:noProof/>
            <w:webHidden/>
          </w:rPr>
          <w:tab/>
        </w:r>
        <w:r>
          <w:rPr>
            <w:noProof/>
            <w:webHidden/>
          </w:rPr>
          <w:fldChar w:fldCharType="begin"/>
        </w:r>
        <w:r>
          <w:rPr>
            <w:noProof/>
            <w:webHidden/>
          </w:rPr>
          <w:instrText xml:space="preserve"> PAGEREF _Toc211945337 \h </w:instrText>
        </w:r>
        <w:r>
          <w:rPr>
            <w:noProof/>
            <w:webHidden/>
          </w:rPr>
        </w:r>
        <w:r>
          <w:rPr>
            <w:noProof/>
            <w:webHidden/>
          </w:rPr>
          <w:fldChar w:fldCharType="separate"/>
        </w:r>
        <w:r w:rsidR="00E87658">
          <w:rPr>
            <w:noProof/>
            <w:webHidden/>
          </w:rPr>
          <w:t>8</w:t>
        </w:r>
        <w:r>
          <w:rPr>
            <w:noProof/>
            <w:webHidden/>
          </w:rPr>
          <w:fldChar w:fldCharType="end"/>
        </w:r>
      </w:hyperlink>
    </w:p>
    <w:p w14:paraId="5C61F60F" w14:textId="2F2BB487" w:rsidR="00B326F5" w:rsidRDefault="00B326F5">
      <w:pPr>
        <w:pStyle w:val="TOC1"/>
        <w:rPr>
          <w:rFonts w:eastAsiaTheme="minorEastAsia"/>
          <w:noProof/>
          <w:kern w:val="2"/>
          <w:sz w:val="24"/>
          <w:szCs w:val="24"/>
          <w:lang w:eastAsia="en-AU"/>
          <w14:ligatures w14:val="standardContextual"/>
        </w:rPr>
      </w:pPr>
      <w:hyperlink w:anchor="_Toc211945338" w:history="1">
        <w:r w:rsidRPr="00C22F91">
          <w:rPr>
            <w:rStyle w:val="Hyperlink"/>
            <w:noProof/>
          </w:rPr>
          <w:t>Outcomes of a CTC score review</w:t>
        </w:r>
        <w:r>
          <w:rPr>
            <w:noProof/>
            <w:webHidden/>
          </w:rPr>
          <w:tab/>
        </w:r>
        <w:r>
          <w:rPr>
            <w:noProof/>
            <w:webHidden/>
          </w:rPr>
          <w:fldChar w:fldCharType="begin"/>
        </w:r>
        <w:r>
          <w:rPr>
            <w:noProof/>
            <w:webHidden/>
          </w:rPr>
          <w:instrText xml:space="preserve"> PAGEREF _Toc211945338 \h </w:instrText>
        </w:r>
        <w:r>
          <w:rPr>
            <w:noProof/>
            <w:webHidden/>
          </w:rPr>
        </w:r>
        <w:r>
          <w:rPr>
            <w:noProof/>
            <w:webHidden/>
          </w:rPr>
          <w:fldChar w:fldCharType="separate"/>
        </w:r>
        <w:r w:rsidR="00E87658">
          <w:rPr>
            <w:noProof/>
            <w:webHidden/>
          </w:rPr>
          <w:t>8</w:t>
        </w:r>
        <w:r>
          <w:rPr>
            <w:noProof/>
            <w:webHidden/>
          </w:rPr>
          <w:fldChar w:fldCharType="end"/>
        </w:r>
      </w:hyperlink>
    </w:p>
    <w:p w14:paraId="35297DCF" w14:textId="7409B9B1"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39" w:history="1">
        <w:r w:rsidRPr="00C22F91">
          <w:rPr>
            <w:rStyle w:val="Hyperlink"/>
            <w:noProof/>
          </w:rPr>
          <w:t>When will the deemed CTC score apply to funding?</w:t>
        </w:r>
        <w:r>
          <w:rPr>
            <w:noProof/>
            <w:webHidden/>
          </w:rPr>
          <w:tab/>
        </w:r>
        <w:r>
          <w:rPr>
            <w:noProof/>
            <w:webHidden/>
          </w:rPr>
          <w:fldChar w:fldCharType="begin"/>
        </w:r>
        <w:r>
          <w:rPr>
            <w:noProof/>
            <w:webHidden/>
          </w:rPr>
          <w:instrText xml:space="preserve"> PAGEREF _Toc211945339 \h </w:instrText>
        </w:r>
        <w:r>
          <w:rPr>
            <w:noProof/>
            <w:webHidden/>
          </w:rPr>
        </w:r>
        <w:r>
          <w:rPr>
            <w:noProof/>
            <w:webHidden/>
          </w:rPr>
          <w:fldChar w:fldCharType="separate"/>
        </w:r>
        <w:r w:rsidR="00E87658">
          <w:rPr>
            <w:noProof/>
            <w:webHidden/>
          </w:rPr>
          <w:t>8</w:t>
        </w:r>
        <w:r>
          <w:rPr>
            <w:noProof/>
            <w:webHidden/>
          </w:rPr>
          <w:fldChar w:fldCharType="end"/>
        </w:r>
      </w:hyperlink>
    </w:p>
    <w:p w14:paraId="13CC384E" w14:textId="237239D3"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0" w:history="1">
        <w:r w:rsidRPr="00C22F91">
          <w:rPr>
            <w:rStyle w:val="Hyperlink"/>
            <w:noProof/>
          </w:rPr>
          <w:t>How long will deemed scores apply for?</w:t>
        </w:r>
        <w:r>
          <w:rPr>
            <w:noProof/>
            <w:webHidden/>
          </w:rPr>
          <w:tab/>
        </w:r>
        <w:r>
          <w:rPr>
            <w:noProof/>
            <w:webHidden/>
          </w:rPr>
          <w:fldChar w:fldCharType="begin"/>
        </w:r>
        <w:r>
          <w:rPr>
            <w:noProof/>
            <w:webHidden/>
          </w:rPr>
          <w:instrText xml:space="preserve"> PAGEREF _Toc211945340 \h </w:instrText>
        </w:r>
        <w:r>
          <w:rPr>
            <w:noProof/>
            <w:webHidden/>
          </w:rPr>
        </w:r>
        <w:r>
          <w:rPr>
            <w:noProof/>
            <w:webHidden/>
          </w:rPr>
          <w:fldChar w:fldCharType="separate"/>
        </w:r>
        <w:r w:rsidR="00E87658">
          <w:rPr>
            <w:noProof/>
            <w:webHidden/>
          </w:rPr>
          <w:t>8</w:t>
        </w:r>
        <w:r>
          <w:rPr>
            <w:noProof/>
            <w:webHidden/>
          </w:rPr>
          <w:fldChar w:fldCharType="end"/>
        </w:r>
      </w:hyperlink>
    </w:p>
    <w:p w14:paraId="1C98D477" w14:textId="3F885E3C"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1" w:history="1">
        <w:r w:rsidRPr="00C22F91">
          <w:rPr>
            <w:rStyle w:val="Hyperlink"/>
            <w:noProof/>
          </w:rPr>
          <w:t>Will my school’s transition to 80% of the SRS be affected?</w:t>
        </w:r>
        <w:r>
          <w:rPr>
            <w:noProof/>
            <w:webHidden/>
          </w:rPr>
          <w:tab/>
        </w:r>
        <w:r>
          <w:rPr>
            <w:noProof/>
            <w:webHidden/>
          </w:rPr>
          <w:fldChar w:fldCharType="begin"/>
        </w:r>
        <w:r>
          <w:rPr>
            <w:noProof/>
            <w:webHidden/>
          </w:rPr>
          <w:instrText xml:space="preserve"> PAGEREF _Toc211945341 \h </w:instrText>
        </w:r>
        <w:r>
          <w:rPr>
            <w:noProof/>
            <w:webHidden/>
          </w:rPr>
        </w:r>
        <w:r>
          <w:rPr>
            <w:noProof/>
            <w:webHidden/>
          </w:rPr>
          <w:fldChar w:fldCharType="separate"/>
        </w:r>
        <w:r w:rsidR="00E87658">
          <w:rPr>
            <w:noProof/>
            <w:webHidden/>
          </w:rPr>
          <w:t>9</w:t>
        </w:r>
        <w:r>
          <w:rPr>
            <w:noProof/>
            <w:webHidden/>
          </w:rPr>
          <w:fldChar w:fldCharType="end"/>
        </w:r>
      </w:hyperlink>
    </w:p>
    <w:p w14:paraId="2E1BA1B0" w14:textId="6375D0DD"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42" w:history="1">
        <w:r w:rsidRPr="00C22F91">
          <w:rPr>
            <w:rStyle w:val="Hyperlink"/>
            <w:noProof/>
          </w:rPr>
          <w:t>Can I seek a review of a deemed CTC score?</w:t>
        </w:r>
        <w:r>
          <w:rPr>
            <w:noProof/>
            <w:webHidden/>
          </w:rPr>
          <w:tab/>
        </w:r>
        <w:r>
          <w:rPr>
            <w:noProof/>
            <w:webHidden/>
          </w:rPr>
          <w:fldChar w:fldCharType="begin"/>
        </w:r>
        <w:r>
          <w:rPr>
            <w:noProof/>
            <w:webHidden/>
          </w:rPr>
          <w:instrText xml:space="preserve"> PAGEREF _Toc211945342 \h </w:instrText>
        </w:r>
        <w:r>
          <w:rPr>
            <w:noProof/>
            <w:webHidden/>
          </w:rPr>
        </w:r>
        <w:r>
          <w:rPr>
            <w:noProof/>
            <w:webHidden/>
          </w:rPr>
          <w:fldChar w:fldCharType="separate"/>
        </w:r>
        <w:r w:rsidR="00E87658">
          <w:rPr>
            <w:noProof/>
            <w:webHidden/>
          </w:rPr>
          <w:t>9</w:t>
        </w:r>
        <w:r>
          <w:rPr>
            <w:noProof/>
            <w:webHidden/>
          </w:rPr>
          <w:fldChar w:fldCharType="end"/>
        </w:r>
      </w:hyperlink>
    </w:p>
    <w:p w14:paraId="7516A936" w14:textId="14A14BE1" w:rsidR="00B326F5" w:rsidRDefault="00B326F5">
      <w:pPr>
        <w:pStyle w:val="TOC1"/>
        <w:rPr>
          <w:rFonts w:eastAsiaTheme="minorEastAsia"/>
          <w:noProof/>
          <w:kern w:val="2"/>
          <w:sz w:val="24"/>
          <w:szCs w:val="24"/>
          <w:lang w:eastAsia="en-AU"/>
          <w14:ligatures w14:val="standardContextual"/>
        </w:rPr>
      </w:pPr>
      <w:hyperlink w:anchor="_Toc211945343" w:history="1">
        <w:r w:rsidRPr="00C22F91">
          <w:rPr>
            <w:rStyle w:val="Hyperlink"/>
            <w:noProof/>
          </w:rPr>
          <w:t>The CTC score review process</w:t>
        </w:r>
        <w:r>
          <w:rPr>
            <w:noProof/>
            <w:webHidden/>
          </w:rPr>
          <w:tab/>
        </w:r>
        <w:r>
          <w:rPr>
            <w:noProof/>
            <w:webHidden/>
          </w:rPr>
          <w:fldChar w:fldCharType="begin"/>
        </w:r>
        <w:r>
          <w:rPr>
            <w:noProof/>
            <w:webHidden/>
          </w:rPr>
          <w:instrText xml:space="preserve"> PAGEREF _Toc211945343 \h </w:instrText>
        </w:r>
        <w:r>
          <w:rPr>
            <w:noProof/>
            <w:webHidden/>
          </w:rPr>
        </w:r>
        <w:r>
          <w:rPr>
            <w:noProof/>
            <w:webHidden/>
          </w:rPr>
          <w:fldChar w:fldCharType="separate"/>
        </w:r>
        <w:r w:rsidR="00E87658">
          <w:rPr>
            <w:noProof/>
            <w:webHidden/>
          </w:rPr>
          <w:t>9</w:t>
        </w:r>
        <w:r>
          <w:rPr>
            <w:noProof/>
            <w:webHidden/>
          </w:rPr>
          <w:fldChar w:fldCharType="end"/>
        </w:r>
      </w:hyperlink>
    </w:p>
    <w:p w14:paraId="01667960" w14:textId="1C85FE42" w:rsidR="00B326F5" w:rsidRDefault="00B326F5">
      <w:pPr>
        <w:pStyle w:val="TOC1"/>
        <w:rPr>
          <w:rFonts w:eastAsiaTheme="minorEastAsia"/>
          <w:noProof/>
          <w:kern w:val="2"/>
          <w:sz w:val="24"/>
          <w:szCs w:val="24"/>
          <w:lang w:eastAsia="en-AU"/>
          <w14:ligatures w14:val="standardContextual"/>
        </w:rPr>
      </w:pPr>
      <w:hyperlink w:anchor="_Toc211945344" w:history="1">
        <w:r w:rsidRPr="00C22F91">
          <w:rPr>
            <w:rStyle w:val="Hyperlink"/>
            <w:noProof/>
          </w:rPr>
          <w:t>Annual review of deemed CTC scores</w:t>
        </w:r>
        <w:r>
          <w:rPr>
            <w:noProof/>
            <w:webHidden/>
          </w:rPr>
          <w:tab/>
        </w:r>
        <w:r>
          <w:rPr>
            <w:noProof/>
            <w:webHidden/>
          </w:rPr>
          <w:fldChar w:fldCharType="begin"/>
        </w:r>
        <w:r>
          <w:rPr>
            <w:noProof/>
            <w:webHidden/>
          </w:rPr>
          <w:instrText xml:space="preserve"> PAGEREF _Toc211945344 \h </w:instrText>
        </w:r>
        <w:r>
          <w:rPr>
            <w:noProof/>
            <w:webHidden/>
          </w:rPr>
        </w:r>
        <w:r>
          <w:rPr>
            <w:noProof/>
            <w:webHidden/>
          </w:rPr>
          <w:fldChar w:fldCharType="separate"/>
        </w:r>
        <w:r w:rsidR="00E87658">
          <w:rPr>
            <w:noProof/>
            <w:webHidden/>
          </w:rPr>
          <w:t>11</w:t>
        </w:r>
        <w:r>
          <w:rPr>
            <w:noProof/>
            <w:webHidden/>
          </w:rPr>
          <w:fldChar w:fldCharType="end"/>
        </w:r>
      </w:hyperlink>
    </w:p>
    <w:p w14:paraId="534B1BFC" w14:textId="1FBF8517" w:rsidR="00B326F5" w:rsidRDefault="00B326F5">
      <w:pPr>
        <w:pStyle w:val="TOC1"/>
        <w:rPr>
          <w:rFonts w:eastAsiaTheme="minorEastAsia"/>
          <w:noProof/>
          <w:kern w:val="2"/>
          <w:sz w:val="24"/>
          <w:szCs w:val="24"/>
          <w:lang w:eastAsia="en-AU"/>
          <w14:ligatures w14:val="standardContextual"/>
        </w:rPr>
      </w:pPr>
      <w:hyperlink w:anchor="_Toc211945345" w:history="1">
        <w:r w:rsidRPr="00C22F91">
          <w:rPr>
            <w:rStyle w:val="Hyperlink"/>
            <w:noProof/>
          </w:rPr>
          <w:t>Publication of CTC scores following review</w:t>
        </w:r>
        <w:r>
          <w:rPr>
            <w:noProof/>
            <w:webHidden/>
          </w:rPr>
          <w:tab/>
        </w:r>
        <w:r>
          <w:rPr>
            <w:noProof/>
            <w:webHidden/>
          </w:rPr>
          <w:fldChar w:fldCharType="begin"/>
        </w:r>
        <w:r>
          <w:rPr>
            <w:noProof/>
            <w:webHidden/>
          </w:rPr>
          <w:instrText xml:space="preserve"> PAGEREF _Toc211945345 \h </w:instrText>
        </w:r>
        <w:r>
          <w:rPr>
            <w:noProof/>
            <w:webHidden/>
          </w:rPr>
        </w:r>
        <w:r>
          <w:rPr>
            <w:noProof/>
            <w:webHidden/>
          </w:rPr>
          <w:fldChar w:fldCharType="separate"/>
        </w:r>
        <w:r w:rsidR="00E87658">
          <w:rPr>
            <w:noProof/>
            <w:webHidden/>
          </w:rPr>
          <w:t>11</w:t>
        </w:r>
        <w:r>
          <w:rPr>
            <w:noProof/>
            <w:webHidden/>
          </w:rPr>
          <w:fldChar w:fldCharType="end"/>
        </w:r>
      </w:hyperlink>
    </w:p>
    <w:p w14:paraId="037D70A9" w14:textId="680F21E3" w:rsidR="00B326F5" w:rsidRDefault="00B326F5">
      <w:pPr>
        <w:pStyle w:val="TOC1"/>
        <w:rPr>
          <w:rFonts w:eastAsiaTheme="minorEastAsia"/>
          <w:noProof/>
          <w:kern w:val="2"/>
          <w:sz w:val="24"/>
          <w:szCs w:val="24"/>
          <w:lang w:eastAsia="en-AU"/>
          <w14:ligatures w14:val="standardContextual"/>
        </w:rPr>
      </w:pPr>
      <w:hyperlink w:anchor="_Toc211945346" w:history="1">
        <w:r w:rsidRPr="00C22F91">
          <w:rPr>
            <w:rStyle w:val="Hyperlink"/>
            <w:noProof/>
          </w:rPr>
          <w:t>Information management and privacy</w:t>
        </w:r>
        <w:r>
          <w:rPr>
            <w:noProof/>
            <w:webHidden/>
          </w:rPr>
          <w:tab/>
        </w:r>
        <w:r>
          <w:rPr>
            <w:noProof/>
            <w:webHidden/>
          </w:rPr>
          <w:fldChar w:fldCharType="begin"/>
        </w:r>
        <w:r>
          <w:rPr>
            <w:noProof/>
            <w:webHidden/>
          </w:rPr>
          <w:instrText xml:space="preserve"> PAGEREF _Toc211945346 \h </w:instrText>
        </w:r>
        <w:r>
          <w:rPr>
            <w:noProof/>
            <w:webHidden/>
          </w:rPr>
        </w:r>
        <w:r>
          <w:rPr>
            <w:noProof/>
            <w:webHidden/>
          </w:rPr>
          <w:fldChar w:fldCharType="separate"/>
        </w:r>
        <w:r w:rsidR="00E87658">
          <w:rPr>
            <w:noProof/>
            <w:webHidden/>
          </w:rPr>
          <w:t>11</w:t>
        </w:r>
        <w:r>
          <w:rPr>
            <w:noProof/>
            <w:webHidden/>
          </w:rPr>
          <w:fldChar w:fldCharType="end"/>
        </w:r>
      </w:hyperlink>
    </w:p>
    <w:p w14:paraId="7E57C7BA" w14:textId="713C6F61" w:rsidR="00B326F5" w:rsidRDefault="00B326F5">
      <w:pPr>
        <w:pStyle w:val="TOC1"/>
        <w:rPr>
          <w:rFonts w:eastAsiaTheme="minorEastAsia"/>
          <w:noProof/>
          <w:kern w:val="2"/>
          <w:sz w:val="24"/>
          <w:szCs w:val="24"/>
          <w:lang w:eastAsia="en-AU"/>
          <w14:ligatures w14:val="standardContextual"/>
        </w:rPr>
      </w:pPr>
      <w:hyperlink w:anchor="_Toc211945347" w:history="1">
        <w:r w:rsidRPr="00C22F91">
          <w:rPr>
            <w:rStyle w:val="Hyperlink"/>
            <w:noProof/>
          </w:rPr>
          <w:t>Criminal code</w:t>
        </w:r>
        <w:r>
          <w:rPr>
            <w:noProof/>
            <w:webHidden/>
          </w:rPr>
          <w:tab/>
        </w:r>
        <w:r>
          <w:rPr>
            <w:noProof/>
            <w:webHidden/>
          </w:rPr>
          <w:fldChar w:fldCharType="begin"/>
        </w:r>
        <w:r>
          <w:rPr>
            <w:noProof/>
            <w:webHidden/>
          </w:rPr>
          <w:instrText xml:space="preserve"> PAGEREF _Toc211945347 \h </w:instrText>
        </w:r>
        <w:r>
          <w:rPr>
            <w:noProof/>
            <w:webHidden/>
          </w:rPr>
        </w:r>
        <w:r>
          <w:rPr>
            <w:noProof/>
            <w:webHidden/>
          </w:rPr>
          <w:fldChar w:fldCharType="separate"/>
        </w:r>
        <w:r w:rsidR="00E87658">
          <w:rPr>
            <w:noProof/>
            <w:webHidden/>
          </w:rPr>
          <w:t>12</w:t>
        </w:r>
        <w:r>
          <w:rPr>
            <w:noProof/>
            <w:webHidden/>
          </w:rPr>
          <w:fldChar w:fldCharType="end"/>
        </w:r>
      </w:hyperlink>
    </w:p>
    <w:p w14:paraId="08961D97" w14:textId="6230E8EA" w:rsidR="00B326F5" w:rsidRDefault="00B326F5">
      <w:pPr>
        <w:pStyle w:val="TOC1"/>
        <w:rPr>
          <w:rFonts w:eastAsiaTheme="minorEastAsia"/>
          <w:noProof/>
          <w:kern w:val="2"/>
          <w:sz w:val="24"/>
          <w:szCs w:val="24"/>
          <w:lang w:eastAsia="en-AU"/>
          <w14:ligatures w14:val="standardContextual"/>
        </w:rPr>
      </w:pPr>
      <w:hyperlink w:anchor="_Toc211945348" w:history="1">
        <w:r w:rsidRPr="00C22F91">
          <w:rPr>
            <w:rStyle w:val="Hyperlink"/>
            <w:noProof/>
          </w:rPr>
          <w:t>Further information</w:t>
        </w:r>
        <w:r>
          <w:rPr>
            <w:noProof/>
            <w:webHidden/>
          </w:rPr>
          <w:tab/>
        </w:r>
        <w:r>
          <w:rPr>
            <w:noProof/>
            <w:webHidden/>
          </w:rPr>
          <w:fldChar w:fldCharType="begin"/>
        </w:r>
        <w:r>
          <w:rPr>
            <w:noProof/>
            <w:webHidden/>
          </w:rPr>
          <w:instrText xml:space="preserve"> PAGEREF _Toc211945348 \h </w:instrText>
        </w:r>
        <w:r>
          <w:rPr>
            <w:noProof/>
            <w:webHidden/>
          </w:rPr>
        </w:r>
        <w:r>
          <w:rPr>
            <w:noProof/>
            <w:webHidden/>
          </w:rPr>
          <w:fldChar w:fldCharType="separate"/>
        </w:r>
        <w:r w:rsidR="00E87658">
          <w:rPr>
            <w:noProof/>
            <w:webHidden/>
          </w:rPr>
          <w:t>12</w:t>
        </w:r>
        <w:r>
          <w:rPr>
            <w:noProof/>
            <w:webHidden/>
          </w:rPr>
          <w:fldChar w:fldCharType="end"/>
        </w:r>
      </w:hyperlink>
    </w:p>
    <w:p w14:paraId="01F9D671" w14:textId="6971A1C7" w:rsidR="00B326F5" w:rsidRDefault="00B326F5">
      <w:pPr>
        <w:pStyle w:val="TOC1"/>
        <w:rPr>
          <w:rFonts w:eastAsiaTheme="minorEastAsia"/>
          <w:noProof/>
          <w:kern w:val="2"/>
          <w:sz w:val="24"/>
          <w:szCs w:val="24"/>
          <w:lang w:eastAsia="en-AU"/>
          <w14:ligatures w14:val="standardContextual"/>
        </w:rPr>
      </w:pPr>
      <w:hyperlink w:anchor="_Toc211945349" w:history="1">
        <w:r w:rsidRPr="00C22F91">
          <w:rPr>
            <w:rStyle w:val="Hyperlink"/>
            <w:noProof/>
          </w:rPr>
          <w:t>Appendix A: Reasons for a CTC score review</w:t>
        </w:r>
        <w:r>
          <w:rPr>
            <w:noProof/>
            <w:webHidden/>
          </w:rPr>
          <w:tab/>
        </w:r>
        <w:r>
          <w:rPr>
            <w:noProof/>
            <w:webHidden/>
          </w:rPr>
          <w:fldChar w:fldCharType="begin"/>
        </w:r>
        <w:r>
          <w:rPr>
            <w:noProof/>
            <w:webHidden/>
          </w:rPr>
          <w:instrText xml:space="preserve"> PAGEREF _Toc211945349 \h </w:instrText>
        </w:r>
        <w:r>
          <w:rPr>
            <w:noProof/>
            <w:webHidden/>
          </w:rPr>
        </w:r>
        <w:r>
          <w:rPr>
            <w:noProof/>
            <w:webHidden/>
          </w:rPr>
          <w:fldChar w:fldCharType="separate"/>
        </w:r>
        <w:r w:rsidR="00E87658">
          <w:rPr>
            <w:noProof/>
            <w:webHidden/>
          </w:rPr>
          <w:t>13</w:t>
        </w:r>
        <w:r>
          <w:rPr>
            <w:noProof/>
            <w:webHidden/>
          </w:rPr>
          <w:fldChar w:fldCharType="end"/>
        </w:r>
      </w:hyperlink>
    </w:p>
    <w:p w14:paraId="68A46372" w14:textId="214AB42F"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0" w:history="1">
        <w:r w:rsidRPr="00C22F91">
          <w:rPr>
            <w:rStyle w:val="Hyperlink"/>
            <w:noProof/>
          </w:rPr>
          <w:t>A recent, significant change in the school community’s economic circumstances</w:t>
        </w:r>
        <w:r>
          <w:rPr>
            <w:noProof/>
            <w:webHidden/>
          </w:rPr>
          <w:tab/>
        </w:r>
        <w:r>
          <w:rPr>
            <w:noProof/>
            <w:webHidden/>
          </w:rPr>
          <w:fldChar w:fldCharType="begin"/>
        </w:r>
        <w:r>
          <w:rPr>
            <w:noProof/>
            <w:webHidden/>
          </w:rPr>
          <w:instrText xml:space="preserve"> PAGEREF _Toc211945350 \h </w:instrText>
        </w:r>
        <w:r>
          <w:rPr>
            <w:noProof/>
            <w:webHidden/>
          </w:rPr>
        </w:r>
        <w:r>
          <w:rPr>
            <w:noProof/>
            <w:webHidden/>
          </w:rPr>
          <w:fldChar w:fldCharType="separate"/>
        </w:r>
        <w:r w:rsidR="00E87658">
          <w:rPr>
            <w:noProof/>
            <w:webHidden/>
          </w:rPr>
          <w:t>13</w:t>
        </w:r>
        <w:r>
          <w:rPr>
            <w:noProof/>
            <w:webHidden/>
          </w:rPr>
          <w:fldChar w:fldCharType="end"/>
        </w:r>
      </w:hyperlink>
    </w:p>
    <w:p w14:paraId="058807AD" w14:textId="76B12585"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1" w:history="1">
        <w:r w:rsidRPr="00C22F91">
          <w:rPr>
            <w:rStyle w:val="Hyperlink"/>
            <w:noProof/>
          </w:rPr>
          <w:t>A recent, significant change in the school community’s population</w:t>
        </w:r>
        <w:r>
          <w:rPr>
            <w:noProof/>
            <w:webHidden/>
          </w:rPr>
          <w:tab/>
        </w:r>
        <w:r>
          <w:rPr>
            <w:noProof/>
            <w:webHidden/>
          </w:rPr>
          <w:fldChar w:fldCharType="begin"/>
        </w:r>
        <w:r>
          <w:rPr>
            <w:noProof/>
            <w:webHidden/>
          </w:rPr>
          <w:instrText xml:space="preserve"> PAGEREF _Toc211945351 \h </w:instrText>
        </w:r>
        <w:r>
          <w:rPr>
            <w:noProof/>
            <w:webHidden/>
          </w:rPr>
        </w:r>
        <w:r>
          <w:rPr>
            <w:noProof/>
            <w:webHidden/>
          </w:rPr>
          <w:fldChar w:fldCharType="separate"/>
        </w:r>
        <w:r w:rsidR="00E87658">
          <w:rPr>
            <w:noProof/>
            <w:webHidden/>
          </w:rPr>
          <w:t>14</w:t>
        </w:r>
        <w:r>
          <w:rPr>
            <w:noProof/>
            <w:webHidden/>
          </w:rPr>
          <w:fldChar w:fldCharType="end"/>
        </w:r>
      </w:hyperlink>
    </w:p>
    <w:p w14:paraId="4E9B3A9C" w14:textId="6D0BEC0F"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2" w:history="1">
        <w:r w:rsidRPr="00C22F91">
          <w:rPr>
            <w:rStyle w:val="Hyperlink"/>
            <w:noProof/>
          </w:rPr>
          <w:t>Difference between the linked and unlinked populations</w:t>
        </w:r>
        <w:r>
          <w:rPr>
            <w:noProof/>
            <w:webHidden/>
          </w:rPr>
          <w:tab/>
        </w:r>
        <w:r>
          <w:rPr>
            <w:noProof/>
            <w:webHidden/>
          </w:rPr>
          <w:fldChar w:fldCharType="begin"/>
        </w:r>
        <w:r>
          <w:rPr>
            <w:noProof/>
            <w:webHidden/>
          </w:rPr>
          <w:instrText xml:space="preserve"> PAGEREF _Toc211945352 \h </w:instrText>
        </w:r>
        <w:r>
          <w:rPr>
            <w:noProof/>
            <w:webHidden/>
          </w:rPr>
        </w:r>
        <w:r>
          <w:rPr>
            <w:noProof/>
            <w:webHidden/>
          </w:rPr>
          <w:fldChar w:fldCharType="separate"/>
        </w:r>
        <w:r w:rsidR="00E87658">
          <w:rPr>
            <w:noProof/>
            <w:webHidden/>
          </w:rPr>
          <w:t>15</w:t>
        </w:r>
        <w:r>
          <w:rPr>
            <w:noProof/>
            <w:webHidden/>
          </w:rPr>
          <w:fldChar w:fldCharType="end"/>
        </w:r>
      </w:hyperlink>
    </w:p>
    <w:p w14:paraId="34244671" w14:textId="31463724"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3" w:history="1">
        <w:r w:rsidRPr="00C22F91">
          <w:rPr>
            <w:rStyle w:val="Hyperlink"/>
            <w:noProof/>
          </w:rPr>
          <w:t>The school’s RAB score does not accurately reflect the school community’s circumstances</w:t>
        </w:r>
        <w:r>
          <w:rPr>
            <w:noProof/>
            <w:webHidden/>
          </w:rPr>
          <w:tab/>
        </w:r>
        <w:r>
          <w:rPr>
            <w:noProof/>
            <w:webHidden/>
          </w:rPr>
          <w:fldChar w:fldCharType="begin"/>
        </w:r>
        <w:r>
          <w:rPr>
            <w:noProof/>
            <w:webHidden/>
          </w:rPr>
          <w:instrText xml:space="preserve"> PAGEREF _Toc211945353 \h </w:instrText>
        </w:r>
        <w:r>
          <w:rPr>
            <w:noProof/>
            <w:webHidden/>
          </w:rPr>
        </w:r>
        <w:r>
          <w:rPr>
            <w:noProof/>
            <w:webHidden/>
          </w:rPr>
          <w:fldChar w:fldCharType="separate"/>
        </w:r>
        <w:r w:rsidR="00E87658">
          <w:rPr>
            <w:noProof/>
            <w:webHidden/>
          </w:rPr>
          <w:t>16</w:t>
        </w:r>
        <w:r>
          <w:rPr>
            <w:noProof/>
            <w:webHidden/>
          </w:rPr>
          <w:fldChar w:fldCharType="end"/>
        </w:r>
      </w:hyperlink>
    </w:p>
    <w:p w14:paraId="6EAF39BC" w14:textId="320668FB" w:rsidR="00B326F5" w:rsidRDefault="00B326F5">
      <w:pPr>
        <w:pStyle w:val="TOC2"/>
        <w:tabs>
          <w:tab w:val="right" w:leader="dot" w:pos="9016"/>
        </w:tabs>
        <w:rPr>
          <w:rFonts w:eastAsiaTheme="minorEastAsia"/>
          <w:noProof/>
          <w:kern w:val="2"/>
          <w:sz w:val="24"/>
          <w:szCs w:val="24"/>
          <w:lang w:eastAsia="en-AU"/>
          <w14:ligatures w14:val="standardContextual"/>
        </w:rPr>
      </w:pPr>
      <w:hyperlink w:anchor="_Toc211945354" w:history="1">
        <w:r w:rsidRPr="00C22F91">
          <w:rPr>
            <w:rStyle w:val="Hyperlink"/>
            <w:noProof/>
          </w:rPr>
          <w:t>Large average family size</w:t>
        </w:r>
        <w:r>
          <w:rPr>
            <w:noProof/>
            <w:webHidden/>
          </w:rPr>
          <w:tab/>
        </w:r>
        <w:r>
          <w:rPr>
            <w:noProof/>
            <w:webHidden/>
          </w:rPr>
          <w:fldChar w:fldCharType="begin"/>
        </w:r>
        <w:r>
          <w:rPr>
            <w:noProof/>
            <w:webHidden/>
          </w:rPr>
          <w:instrText xml:space="preserve"> PAGEREF _Toc211945354 \h </w:instrText>
        </w:r>
        <w:r>
          <w:rPr>
            <w:noProof/>
            <w:webHidden/>
          </w:rPr>
        </w:r>
        <w:r>
          <w:rPr>
            <w:noProof/>
            <w:webHidden/>
          </w:rPr>
          <w:fldChar w:fldCharType="separate"/>
        </w:r>
        <w:r w:rsidR="00E87658">
          <w:rPr>
            <w:noProof/>
            <w:webHidden/>
          </w:rPr>
          <w:t>17</w:t>
        </w:r>
        <w:r>
          <w:rPr>
            <w:noProof/>
            <w:webHidden/>
          </w:rPr>
          <w:fldChar w:fldCharType="end"/>
        </w:r>
      </w:hyperlink>
    </w:p>
    <w:p w14:paraId="5346D596" w14:textId="11E2B19E" w:rsidR="00B326F5" w:rsidRDefault="00B326F5">
      <w:pPr>
        <w:pStyle w:val="TOC1"/>
        <w:rPr>
          <w:rFonts w:eastAsiaTheme="minorEastAsia"/>
          <w:noProof/>
          <w:kern w:val="2"/>
          <w:sz w:val="24"/>
          <w:szCs w:val="24"/>
          <w:lang w:eastAsia="en-AU"/>
          <w14:ligatures w14:val="standardContextual"/>
        </w:rPr>
      </w:pPr>
      <w:hyperlink w:anchor="_Toc211945355" w:history="1">
        <w:r w:rsidRPr="00C22F91">
          <w:rPr>
            <w:rStyle w:val="Hyperlink"/>
            <w:noProof/>
          </w:rPr>
          <w:t>Appendix B: Glossary</w:t>
        </w:r>
        <w:r>
          <w:rPr>
            <w:noProof/>
            <w:webHidden/>
          </w:rPr>
          <w:tab/>
        </w:r>
        <w:r>
          <w:rPr>
            <w:noProof/>
            <w:webHidden/>
          </w:rPr>
          <w:fldChar w:fldCharType="begin"/>
        </w:r>
        <w:r>
          <w:rPr>
            <w:noProof/>
            <w:webHidden/>
          </w:rPr>
          <w:instrText xml:space="preserve"> PAGEREF _Toc211945355 \h </w:instrText>
        </w:r>
        <w:r>
          <w:rPr>
            <w:noProof/>
            <w:webHidden/>
          </w:rPr>
        </w:r>
        <w:r>
          <w:rPr>
            <w:noProof/>
            <w:webHidden/>
          </w:rPr>
          <w:fldChar w:fldCharType="separate"/>
        </w:r>
        <w:r w:rsidR="00E87658">
          <w:rPr>
            <w:noProof/>
            <w:webHidden/>
          </w:rPr>
          <w:t>18</w:t>
        </w:r>
        <w:r>
          <w:rPr>
            <w:noProof/>
            <w:webHidden/>
          </w:rPr>
          <w:fldChar w:fldCharType="end"/>
        </w:r>
      </w:hyperlink>
    </w:p>
    <w:p w14:paraId="39A9868E" w14:textId="2EE644FE" w:rsidR="00955348" w:rsidRDefault="00AF1F18" w:rsidP="00955348">
      <w:pPr>
        <w:pStyle w:val="TOC1"/>
        <w:rPr>
          <w:kern w:val="2"/>
          <w14:ligatures w14:val="standardContextual"/>
        </w:rPr>
        <w:sectPr w:rsidR="00955348" w:rsidSect="00955348">
          <w:pgSz w:w="11906" w:h="16838"/>
          <w:pgMar w:top="1440" w:right="1440" w:bottom="993" w:left="1440" w:header="708" w:footer="708" w:gutter="0"/>
          <w:pgNumType w:start="1"/>
          <w:cols w:space="708"/>
          <w:docGrid w:linePitch="360"/>
        </w:sectPr>
      </w:pPr>
      <w:r w:rsidRPr="000559B4">
        <w:rPr>
          <w:kern w:val="2"/>
          <w14:ligatures w14:val="standardContextual"/>
        </w:rPr>
        <w:fldChar w:fldCharType="end"/>
      </w:r>
      <w:bookmarkStart w:id="0" w:name="_Toc129701963"/>
      <w:bookmarkStart w:id="1" w:name="_Toc126923148"/>
      <w:bookmarkStart w:id="2" w:name="_Toc126923159"/>
      <w:bookmarkStart w:id="3" w:name="_Toc126923318"/>
    </w:p>
    <w:p w14:paraId="5AEC0A8B" w14:textId="393176DB" w:rsidR="00BC78F1" w:rsidRPr="00955348" w:rsidRDefault="00BC78F1" w:rsidP="00955348">
      <w:pPr>
        <w:pStyle w:val="Heading2"/>
        <w:rPr>
          <w:rFonts w:asciiTheme="minorHAnsi" w:hAnsiTheme="minorHAnsi"/>
          <w:color w:val="auto"/>
          <w:kern w:val="2"/>
          <w:sz w:val="22"/>
          <w14:ligatures w14:val="standardContextual"/>
        </w:rPr>
      </w:pPr>
      <w:bookmarkStart w:id="4" w:name="_Toc211945322"/>
      <w:r w:rsidRPr="000559B4">
        <w:lastRenderedPageBreak/>
        <w:t>Purpose</w:t>
      </w:r>
      <w:bookmarkEnd w:id="0"/>
      <w:bookmarkEnd w:id="4"/>
    </w:p>
    <w:p w14:paraId="70CC8C3A" w14:textId="1A835ECC" w:rsidR="00155AF7" w:rsidRDefault="00155AF7" w:rsidP="003E3291">
      <w:pPr>
        <w:rPr>
          <w:kern w:val="2"/>
          <w14:ligatures w14:val="standardContextual"/>
        </w:rPr>
      </w:pPr>
      <w:r>
        <w:rPr>
          <w:kern w:val="2"/>
          <w14:ligatures w14:val="standardContextual"/>
        </w:rPr>
        <w:t xml:space="preserve">These Guidelines </w:t>
      </w:r>
      <w:r w:rsidR="00125D05">
        <w:rPr>
          <w:kern w:val="2"/>
          <w14:ligatures w14:val="standardContextual"/>
        </w:rPr>
        <w:t>describe</w:t>
      </w:r>
      <w:r>
        <w:rPr>
          <w:kern w:val="2"/>
          <w14:ligatures w14:val="standardContextual"/>
        </w:rPr>
        <w:t xml:space="preserve"> the department’s processes for </w:t>
      </w:r>
      <w:r w:rsidR="00125D05">
        <w:rPr>
          <w:kern w:val="2"/>
          <w14:ligatures w14:val="standardContextual"/>
        </w:rPr>
        <w:t>capacity to contribute (</w:t>
      </w:r>
      <w:r>
        <w:rPr>
          <w:kern w:val="2"/>
          <w14:ligatures w14:val="standardContextual"/>
        </w:rPr>
        <w:t>CTC</w:t>
      </w:r>
      <w:r w:rsidR="00125D05">
        <w:rPr>
          <w:kern w:val="2"/>
          <w14:ligatures w14:val="standardContextual"/>
        </w:rPr>
        <w:t>)</w:t>
      </w:r>
      <w:r>
        <w:rPr>
          <w:kern w:val="2"/>
          <w14:ligatures w14:val="standardContextual"/>
        </w:rPr>
        <w:t xml:space="preserve"> score reviews. The CTC score review process begins when an approved authority for a school makes an application under subsection 53(2) of the </w:t>
      </w:r>
      <w:r w:rsidRPr="00A15D4B">
        <w:rPr>
          <w:i/>
          <w:iCs/>
          <w:kern w:val="2"/>
          <w14:ligatures w14:val="standardContextual"/>
        </w:rPr>
        <w:t>Australian Education Act 2013</w:t>
      </w:r>
      <w:r>
        <w:rPr>
          <w:kern w:val="2"/>
          <w14:ligatures w14:val="standardContextual"/>
        </w:rPr>
        <w:t xml:space="preserve"> (the Act) for determination of a CTC</w:t>
      </w:r>
      <w:r w:rsidR="00125D05">
        <w:rPr>
          <w:kern w:val="2"/>
          <w14:ligatures w14:val="standardContextual"/>
        </w:rPr>
        <w:t> </w:t>
      </w:r>
      <w:r>
        <w:rPr>
          <w:kern w:val="2"/>
          <w14:ligatures w14:val="standardContextual"/>
        </w:rPr>
        <w:t xml:space="preserve">score for a school. </w:t>
      </w:r>
    </w:p>
    <w:p w14:paraId="5519B0ED" w14:textId="37450D80" w:rsidR="00BC78F1" w:rsidRPr="000559B4" w:rsidRDefault="00155AF7" w:rsidP="003E3291">
      <w:pPr>
        <w:rPr>
          <w:kern w:val="2"/>
          <w14:ligatures w14:val="standardContextual"/>
        </w:rPr>
      </w:pPr>
      <w:bookmarkStart w:id="5" w:name="_Hlk209080855"/>
      <w:r>
        <w:rPr>
          <w:kern w:val="2"/>
          <w14:ligatures w14:val="standardContextual"/>
        </w:rPr>
        <w:t>The</w:t>
      </w:r>
      <w:r w:rsidR="00125D05">
        <w:rPr>
          <w:kern w:val="2"/>
          <w14:ligatures w14:val="standardContextual"/>
        </w:rPr>
        <w:t xml:space="preserve"> processes in this document</w:t>
      </w:r>
      <w:r>
        <w:rPr>
          <w:kern w:val="2"/>
          <w14:ligatures w14:val="standardContextual"/>
        </w:rPr>
        <w:t xml:space="preserve"> </w:t>
      </w:r>
      <w:r w:rsidR="00EB592C">
        <w:rPr>
          <w:kern w:val="2"/>
          <w14:ligatures w14:val="standardContextual"/>
        </w:rPr>
        <w:t xml:space="preserve">ensure </w:t>
      </w:r>
      <w:r>
        <w:rPr>
          <w:kern w:val="2"/>
          <w14:ligatures w14:val="standardContextual"/>
        </w:rPr>
        <w:t xml:space="preserve">the department </w:t>
      </w:r>
      <w:bookmarkStart w:id="6" w:name="_Hlk209080305"/>
      <w:r w:rsidR="00EB592C">
        <w:rPr>
          <w:kern w:val="2"/>
          <w14:ligatures w14:val="standardContextual"/>
        </w:rPr>
        <w:t xml:space="preserve">appropriately considers </w:t>
      </w:r>
      <w:r w:rsidR="00C66A04">
        <w:rPr>
          <w:kern w:val="2"/>
          <w14:ligatures w14:val="standardContextual"/>
        </w:rPr>
        <w:t>the</w:t>
      </w:r>
      <w:r w:rsidR="00EB592C">
        <w:rPr>
          <w:kern w:val="2"/>
          <w14:ligatures w14:val="standardContextual"/>
        </w:rPr>
        <w:t xml:space="preserve"> merits of each application </w:t>
      </w:r>
      <w:bookmarkEnd w:id="6"/>
      <w:r>
        <w:rPr>
          <w:kern w:val="2"/>
          <w14:ligatures w14:val="standardContextual"/>
        </w:rPr>
        <w:t xml:space="preserve">for a CTC score review </w:t>
      </w:r>
      <w:r w:rsidR="00EB592C">
        <w:rPr>
          <w:kern w:val="2"/>
          <w14:ligatures w14:val="standardContextual"/>
        </w:rPr>
        <w:t xml:space="preserve">while also meeting its </w:t>
      </w:r>
      <w:r w:rsidR="00C66A04">
        <w:rPr>
          <w:kern w:val="2"/>
          <w14:ligatures w14:val="standardContextual"/>
        </w:rPr>
        <w:t xml:space="preserve">other </w:t>
      </w:r>
      <w:r w:rsidR="00EB592C">
        <w:rPr>
          <w:kern w:val="2"/>
          <w14:ligatures w14:val="standardContextual"/>
        </w:rPr>
        <w:t xml:space="preserve">obligations under the Act, the Australian Education Regulations 2023 (the Regulations) and </w:t>
      </w:r>
      <w:r w:rsidR="00EB592C" w:rsidRPr="000559B4">
        <w:rPr>
          <w:kern w:val="2"/>
          <w14:ligatures w14:val="standardContextual"/>
        </w:rPr>
        <w:t xml:space="preserve">the </w:t>
      </w:r>
      <w:r w:rsidR="00EB592C" w:rsidRPr="000559B4">
        <w:rPr>
          <w:i/>
          <w:kern w:val="2"/>
          <w14:ligatures w14:val="standardContextual"/>
        </w:rPr>
        <w:t>Public Governance, Performance and Accountability Act 2013</w:t>
      </w:r>
      <w:r w:rsidR="00EB592C" w:rsidRPr="000559B4">
        <w:rPr>
          <w:kern w:val="2"/>
          <w14:ligatures w14:val="standardContextual"/>
        </w:rPr>
        <w:t>.</w:t>
      </w:r>
      <w:bookmarkEnd w:id="5"/>
      <w:r w:rsidR="00EB592C" w:rsidRPr="000559B4">
        <w:rPr>
          <w:rStyle w:val="FootnoteReference"/>
          <w:kern w:val="2"/>
          <w14:ligatures w14:val="standardContextual"/>
        </w:rPr>
        <w:footnoteReference w:id="2"/>
      </w:r>
      <w:r w:rsidR="00EB592C">
        <w:rPr>
          <w:kern w:val="2"/>
          <w14:ligatures w14:val="standardContextual"/>
        </w:rPr>
        <w:t xml:space="preserve"> </w:t>
      </w:r>
    </w:p>
    <w:p w14:paraId="55A55069" w14:textId="7770DC00" w:rsidR="00BC78F1" w:rsidRPr="000559B4" w:rsidRDefault="00155AF7" w:rsidP="003E3291">
      <w:pPr>
        <w:rPr>
          <w:kern w:val="2"/>
          <w14:ligatures w14:val="standardContextual"/>
        </w:rPr>
      </w:pPr>
      <w:r>
        <w:rPr>
          <w:kern w:val="2"/>
          <w14:ligatures w14:val="standardContextual"/>
        </w:rPr>
        <w:t>The processes in this document</w:t>
      </w:r>
      <w:r w:rsidR="00BC78F1" w:rsidRPr="000559B4">
        <w:rPr>
          <w:kern w:val="2"/>
          <w14:ligatures w14:val="standardContextual"/>
        </w:rPr>
        <w:t xml:space="preserve"> are designed to minimise administrative burden on approved authorities and schools while fulfilling </w:t>
      </w:r>
      <w:r w:rsidR="004821D2">
        <w:rPr>
          <w:kern w:val="2"/>
          <w14:ligatures w14:val="standardContextual"/>
        </w:rPr>
        <w:t>the</w:t>
      </w:r>
      <w:r w:rsidR="00EB592C">
        <w:rPr>
          <w:kern w:val="2"/>
          <w14:ligatures w14:val="standardContextual"/>
        </w:rPr>
        <w:t xml:space="preserve">se </w:t>
      </w:r>
      <w:r w:rsidR="00BC78F1" w:rsidRPr="000559B4">
        <w:rPr>
          <w:kern w:val="2"/>
          <w14:ligatures w14:val="standardContextual"/>
        </w:rPr>
        <w:t>obligations</w:t>
      </w:r>
      <w:r w:rsidR="00EB592C">
        <w:rPr>
          <w:kern w:val="2"/>
          <w14:ligatures w14:val="standardContextual"/>
        </w:rPr>
        <w:t>.</w:t>
      </w:r>
    </w:p>
    <w:p w14:paraId="420A9D97" w14:textId="03C7E7E5" w:rsidR="00BC78F1" w:rsidRPr="000559B4" w:rsidRDefault="00BC78F1" w:rsidP="003E3291">
      <w:pPr>
        <w:rPr>
          <w:kern w:val="2"/>
          <w14:ligatures w14:val="standardContextual"/>
        </w:rPr>
      </w:pPr>
      <w:r w:rsidRPr="000559B4">
        <w:rPr>
          <w:kern w:val="2"/>
          <w14:ligatures w14:val="standardContextual"/>
        </w:rPr>
        <w:t xml:space="preserve">The </w:t>
      </w:r>
      <w:r w:rsidR="00581F69" w:rsidRPr="000559B4">
        <w:rPr>
          <w:kern w:val="2"/>
          <w14:ligatures w14:val="standardContextual"/>
        </w:rPr>
        <w:t>Australian Bureau of Statistics (</w:t>
      </w:r>
      <w:r w:rsidRPr="000559B4">
        <w:rPr>
          <w:kern w:val="2"/>
          <w14:ligatures w14:val="standardContextual"/>
        </w:rPr>
        <w:t>ABS</w:t>
      </w:r>
      <w:r w:rsidR="00581F69" w:rsidRPr="000559B4">
        <w:rPr>
          <w:kern w:val="2"/>
          <w14:ligatures w14:val="standardContextual"/>
        </w:rPr>
        <w:t>)</w:t>
      </w:r>
      <w:r w:rsidRPr="000559B4">
        <w:rPr>
          <w:kern w:val="2"/>
          <w14:ligatures w14:val="standardContextual"/>
        </w:rPr>
        <w:t xml:space="preserve">’s </w:t>
      </w:r>
      <w:bookmarkStart w:id="7" w:name="_Hlk85787083"/>
      <w:r w:rsidRPr="000559B4">
        <w:rPr>
          <w:i/>
          <w:kern w:val="2"/>
          <w14:ligatures w14:val="standardContextual"/>
        </w:rPr>
        <w:t>Technical Framework for the Capacity to Contribute Review Process</w:t>
      </w:r>
      <w:bookmarkEnd w:id="7"/>
      <w:r w:rsidR="00261253" w:rsidRPr="000559B4">
        <w:rPr>
          <w:i/>
          <w:kern w:val="2"/>
          <w14:ligatures w14:val="standardContextual"/>
        </w:rPr>
        <w:t>,</w:t>
      </w:r>
      <w:r w:rsidRPr="000559B4">
        <w:rPr>
          <w:i/>
          <w:kern w:val="2"/>
          <w14:ligatures w14:val="standardContextual"/>
        </w:rPr>
        <w:t xml:space="preserve"> Version 2</w:t>
      </w:r>
      <w:r w:rsidRPr="000559B4">
        <w:rPr>
          <w:kern w:val="2"/>
          <w14:ligatures w14:val="standardContextual"/>
        </w:rPr>
        <w:t xml:space="preserve"> (the Technical Framework) has informed the development of this document and provides valuable complementary information.</w:t>
      </w:r>
      <w:r w:rsidR="00160AA6" w:rsidRPr="000559B4">
        <w:rPr>
          <w:kern w:val="2"/>
          <w:vertAlign w:val="superscript"/>
          <w14:ligatures w14:val="standardContextual"/>
        </w:rPr>
        <w:footnoteReference w:id="3"/>
      </w:r>
      <w:r w:rsidR="00160AA6" w:rsidRPr="000559B4">
        <w:rPr>
          <w:kern w:val="2"/>
          <w14:ligatures w14:val="standardContextual"/>
        </w:rPr>
        <w:t xml:space="preserve"> </w:t>
      </w:r>
      <w:r w:rsidRPr="000559B4">
        <w:rPr>
          <w:kern w:val="2"/>
          <w14:ligatures w14:val="standardContextual"/>
        </w:rPr>
        <w:t>Note: Where information in the Technical Framework differs from information set out in these Guidelines, the information in these Guidelines will take precedence.</w:t>
      </w:r>
    </w:p>
    <w:p w14:paraId="2C4C94B4" w14:textId="156F80BD" w:rsidR="00BC78F1" w:rsidRPr="000559B4" w:rsidRDefault="00BC78F1" w:rsidP="003E3291">
      <w:pPr>
        <w:rPr>
          <w:kern w:val="2"/>
          <w14:ligatures w14:val="standardContextual"/>
        </w:rPr>
      </w:pPr>
      <w:r w:rsidRPr="000559B4">
        <w:rPr>
          <w:kern w:val="2"/>
          <w14:ligatures w14:val="standardContextual"/>
        </w:rPr>
        <w:t>Definitions of terms used in this document are provided</w:t>
      </w:r>
      <w:r w:rsidR="00C7212B" w:rsidRPr="000559B4">
        <w:rPr>
          <w:kern w:val="2"/>
          <w14:ligatures w14:val="standardContextual"/>
        </w:rPr>
        <w:t xml:space="preserve"> in the Glossary</w:t>
      </w:r>
      <w:r w:rsidRPr="000559B4">
        <w:rPr>
          <w:kern w:val="2"/>
          <w14:ligatures w14:val="standardContextual"/>
        </w:rPr>
        <w:t xml:space="preserve"> at </w:t>
      </w:r>
      <w:hyperlink w:anchor="_Appendix_B:_Definitions" w:history="1">
        <w:r w:rsidRPr="000559B4">
          <w:rPr>
            <w:rStyle w:val="Hyperlink"/>
            <w:kern w:val="2"/>
            <w14:ligatures w14:val="standardContextual"/>
          </w:rPr>
          <w:t>Appendix B</w:t>
        </w:r>
      </w:hyperlink>
      <w:r w:rsidRPr="000559B4">
        <w:rPr>
          <w:kern w:val="2"/>
          <w14:ligatures w14:val="standardContextual"/>
        </w:rPr>
        <w:t>.</w:t>
      </w:r>
    </w:p>
    <w:p w14:paraId="63427B36" w14:textId="55BFF166" w:rsidR="00BC78F1" w:rsidRPr="000559B4" w:rsidRDefault="00BC78F1" w:rsidP="003E3291">
      <w:pPr>
        <w:pStyle w:val="Heading2"/>
        <w:rPr>
          <w:rFonts w:asciiTheme="minorHAnsi" w:hAnsiTheme="minorHAnsi"/>
          <w:color w:val="auto"/>
          <w:sz w:val="22"/>
        </w:rPr>
      </w:pPr>
      <w:bookmarkStart w:id="8" w:name="_Toc129701964"/>
      <w:bookmarkStart w:id="9" w:name="_Toc211945323"/>
      <w:r w:rsidRPr="000559B4">
        <w:t>Background</w:t>
      </w:r>
      <w:bookmarkEnd w:id="8"/>
      <w:bookmarkEnd w:id="9"/>
    </w:p>
    <w:p w14:paraId="7C9B5689" w14:textId="5CB11ACA" w:rsidR="00BC78F1" w:rsidRPr="000559B4" w:rsidRDefault="00BC78F1" w:rsidP="003E3291">
      <w:pPr>
        <w:pStyle w:val="Heading3"/>
        <w:rPr>
          <w:color w:val="auto"/>
          <w:sz w:val="22"/>
        </w:rPr>
      </w:pPr>
      <w:bookmarkStart w:id="10" w:name="_Toc110520285"/>
      <w:bookmarkStart w:id="11" w:name="_Toc129701965"/>
      <w:bookmarkStart w:id="12" w:name="_Toc211945324"/>
      <w:r w:rsidRPr="000559B4">
        <w:t xml:space="preserve">What is a </w:t>
      </w:r>
      <w:r w:rsidR="00BA1F02" w:rsidRPr="000559B4">
        <w:t>CTC score</w:t>
      </w:r>
      <w:r w:rsidRPr="000559B4">
        <w:t>?</w:t>
      </w:r>
      <w:bookmarkEnd w:id="10"/>
      <w:bookmarkEnd w:id="11"/>
      <w:bookmarkEnd w:id="12"/>
    </w:p>
    <w:p w14:paraId="43E3A92B" w14:textId="2290D141" w:rsidR="00C31B5F" w:rsidRPr="000559B4" w:rsidRDefault="002673DC" w:rsidP="00C31B5F">
      <w:pPr>
        <w:rPr>
          <w:kern w:val="2"/>
          <w14:ligatures w14:val="standardContextual"/>
        </w:rPr>
      </w:pPr>
      <w:bookmarkStart w:id="13" w:name="_Hlk99629934"/>
      <w:r w:rsidRPr="000559B4">
        <w:rPr>
          <w:kern w:val="2"/>
          <w14:ligatures w14:val="standardContextual"/>
        </w:rPr>
        <w:t xml:space="preserve">CTC </w:t>
      </w:r>
      <w:r w:rsidR="00BC78F1" w:rsidRPr="000559B4">
        <w:rPr>
          <w:kern w:val="2"/>
          <w14:ligatures w14:val="standardContextual"/>
        </w:rPr>
        <w:t xml:space="preserve">is a measure of a </w:t>
      </w:r>
      <w:bookmarkStart w:id="14" w:name="_Hlk207098017"/>
      <w:r w:rsidR="00BC78F1" w:rsidRPr="000559B4">
        <w:rPr>
          <w:kern w:val="2"/>
          <w14:ligatures w14:val="standardContextual"/>
        </w:rPr>
        <w:t>non</w:t>
      </w:r>
      <w:r w:rsidR="00BC78F1" w:rsidRPr="000559B4">
        <w:rPr>
          <w:kern w:val="2"/>
          <w14:ligatures w14:val="standardContextual"/>
        </w:rPr>
        <w:noBreakHyphen/>
        <w:t>government school</w:t>
      </w:r>
      <w:r w:rsidRPr="000559B4">
        <w:rPr>
          <w:kern w:val="2"/>
          <w14:ligatures w14:val="standardContextual"/>
        </w:rPr>
        <w:t xml:space="preserve"> community’s capacity</w:t>
      </w:r>
      <w:r w:rsidR="00BC78F1" w:rsidRPr="000559B4">
        <w:rPr>
          <w:kern w:val="2"/>
          <w14:ligatures w14:val="standardContextual"/>
        </w:rPr>
        <w:t xml:space="preserve"> to contribute </w:t>
      </w:r>
      <w:r w:rsidRPr="000559B4">
        <w:rPr>
          <w:kern w:val="2"/>
          <w14:ligatures w14:val="standardContextual"/>
        </w:rPr>
        <w:t xml:space="preserve">to the ongoing costs of running </w:t>
      </w:r>
      <w:r w:rsidR="001F02B9">
        <w:rPr>
          <w:kern w:val="2"/>
          <w14:ligatures w14:val="standardContextual"/>
        </w:rPr>
        <w:t>its</w:t>
      </w:r>
      <w:r w:rsidRPr="000559B4">
        <w:rPr>
          <w:kern w:val="2"/>
          <w14:ligatures w14:val="standardContextual"/>
        </w:rPr>
        <w:t xml:space="preserve"> school</w:t>
      </w:r>
      <w:bookmarkEnd w:id="14"/>
      <w:r w:rsidR="00BC78F1" w:rsidRPr="000559B4">
        <w:rPr>
          <w:kern w:val="2"/>
          <w14:ligatures w14:val="standardContextual"/>
        </w:rPr>
        <w:t xml:space="preserve">. </w:t>
      </w:r>
      <w:bookmarkStart w:id="15" w:name="_Hlk207097980"/>
      <w:r w:rsidR="009E2142" w:rsidRPr="000559B4">
        <w:rPr>
          <w:kern w:val="2"/>
          <w14:ligatures w14:val="standardContextual"/>
        </w:rPr>
        <w:t>It</w:t>
      </w:r>
      <w:r w:rsidR="00BC78F1" w:rsidRPr="000559B4">
        <w:rPr>
          <w:kern w:val="2"/>
          <w14:ligatures w14:val="standardContextual"/>
        </w:rPr>
        <w:t xml:space="preserve"> is a relative measure, ranking schools from </w:t>
      </w:r>
      <w:r w:rsidR="00B40F01" w:rsidRPr="000559B4">
        <w:rPr>
          <w:kern w:val="2"/>
          <w14:ligatures w14:val="standardContextual"/>
        </w:rPr>
        <w:t xml:space="preserve">the </w:t>
      </w:r>
      <w:r w:rsidR="00BC78F1" w:rsidRPr="000559B4">
        <w:rPr>
          <w:kern w:val="2"/>
          <w14:ligatures w14:val="standardContextual"/>
        </w:rPr>
        <w:t>lowest capacity to highest</w:t>
      </w:r>
      <w:r w:rsidR="0080361C" w:rsidRPr="000559B4">
        <w:rPr>
          <w:kern w:val="2"/>
          <w14:ligatures w14:val="standardContextual"/>
        </w:rPr>
        <w:t xml:space="preserve"> capacity,</w:t>
      </w:r>
      <w:r w:rsidR="00BC78F1" w:rsidRPr="000559B4">
        <w:rPr>
          <w:kern w:val="2"/>
          <w14:ligatures w14:val="standardContextual"/>
        </w:rPr>
        <w:t xml:space="preserve"> so </w:t>
      </w:r>
      <w:r w:rsidR="00207DA6" w:rsidRPr="000559B4">
        <w:rPr>
          <w:kern w:val="2"/>
          <w14:ligatures w14:val="standardContextual"/>
        </w:rPr>
        <w:t>that</w:t>
      </w:r>
      <w:r w:rsidR="00BC78F1" w:rsidRPr="000559B4">
        <w:rPr>
          <w:kern w:val="2"/>
          <w14:ligatures w14:val="standardContextual"/>
        </w:rPr>
        <w:t xml:space="preserve"> </w:t>
      </w:r>
      <w:hyperlink r:id="rId15" w:history="1">
        <w:r w:rsidR="00C31B5F" w:rsidRPr="000559B4">
          <w:rPr>
            <w:rStyle w:val="Hyperlink"/>
            <w:kern w:val="2"/>
            <w14:ligatures w14:val="standardContextual"/>
          </w:rPr>
          <w:t>Schooling Resource Standard (SRS)</w:t>
        </w:r>
      </w:hyperlink>
      <w:r w:rsidR="00C31B5F" w:rsidRPr="000559B4">
        <w:t xml:space="preserve"> </w:t>
      </w:r>
      <w:r w:rsidR="00BC78F1" w:rsidRPr="000559B4">
        <w:rPr>
          <w:kern w:val="2"/>
          <w14:ligatures w14:val="standardContextual"/>
        </w:rPr>
        <w:t xml:space="preserve">base recurrent </w:t>
      </w:r>
      <w:r w:rsidR="00AD50E7" w:rsidRPr="000559B4">
        <w:rPr>
          <w:kern w:val="2"/>
          <w14:ligatures w14:val="standardContextual"/>
        </w:rPr>
        <w:t xml:space="preserve">amounts </w:t>
      </w:r>
      <w:r w:rsidR="00BC78F1" w:rsidRPr="000559B4">
        <w:rPr>
          <w:kern w:val="2"/>
          <w14:ligatures w14:val="standardContextual"/>
        </w:rPr>
        <w:t xml:space="preserve">can be </w:t>
      </w:r>
      <w:r w:rsidR="00D1198D" w:rsidRPr="00D1198D">
        <w:rPr>
          <w:kern w:val="2"/>
          <w14:ligatures w14:val="standardContextual"/>
        </w:rPr>
        <w:t>distributed according to need</w:t>
      </w:r>
      <w:r w:rsidR="00BC78F1" w:rsidRPr="000559B4">
        <w:rPr>
          <w:kern w:val="2"/>
          <w14:ligatures w14:val="standardContextual"/>
        </w:rPr>
        <w:t>.</w:t>
      </w:r>
      <w:r w:rsidR="00C31B5F" w:rsidRPr="000559B4">
        <w:rPr>
          <w:kern w:val="2"/>
          <w14:ligatures w14:val="standardContextual"/>
        </w:rPr>
        <w:t xml:space="preserve"> </w:t>
      </w:r>
      <w:bookmarkEnd w:id="15"/>
      <w:r w:rsidR="00C31B5F" w:rsidRPr="000559B4">
        <w:rPr>
          <w:kern w:val="2"/>
          <w14:ligatures w14:val="standardContextual"/>
        </w:rPr>
        <w:t xml:space="preserve">CTC does not apply to government schools, and non-government special schools, special assistance schools, Majority Aboriginal and Torres Strait Islander schools, and sole-provider schools. </w:t>
      </w:r>
    </w:p>
    <w:p w14:paraId="076E71A4" w14:textId="3D5305C3" w:rsidR="00442627" w:rsidRPr="000559B4" w:rsidRDefault="005604FB" w:rsidP="00442627">
      <w:pPr>
        <w:rPr>
          <w:kern w:val="2"/>
          <w14:ligatures w14:val="standardContextual"/>
        </w:rPr>
      </w:pPr>
      <w:r w:rsidRPr="000559B4">
        <w:rPr>
          <w:rFonts w:ascii="Calibri" w:hAnsi="Calibri"/>
        </w:rPr>
        <w:t xml:space="preserve">A school’s </w:t>
      </w:r>
      <w:r w:rsidR="00BA1F02" w:rsidRPr="000559B4">
        <w:rPr>
          <w:rFonts w:ascii="Calibri" w:hAnsi="Calibri"/>
        </w:rPr>
        <w:t>CTC score</w:t>
      </w:r>
      <w:r w:rsidRPr="000559B4">
        <w:rPr>
          <w:rFonts w:ascii="Calibri" w:hAnsi="Calibri"/>
        </w:rPr>
        <w:t xml:space="preserve"> </w:t>
      </w:r>
      <w:r w:rsidR="009270D6" w:rsidRPr="000559B4">
        <w:rPr>
          <w:rFonts w:ascii="Calibri" w:hAnsi="Calibri"/>
        </w:rPr>
        <w:t xml:space="preserve">defines </w:t>
      </w:r>
      <w:r w:rsidRPr="000559B4">
        <w:rPr>
          <w:rFonts w:ascii="Calibri" w:hAnsi="Calibri"/>
        </w:rPr>
        <w:t xml:space="preserve">the </w:t>
      </w:r>
      <w:r w:rsidR="000735D7" w:rsidRPr="000559B4">
        <w:rPr>
          <w:rFonts w:ascii="Calibri" w:hAnsi="Calibri"/>
        </w:rPr>
        <w:t>reduction</w:t>
      </w:r>
      <w:r w:rsidRPr="000559B4">
        <w:rPr>
          <w:rFonts w:ascii="Calibri" w:hAnsi="Calibri"/>
        </w:rPr>
        <w:t xml:space="preserve"> the Commonwealth applies to </w:t>
      </w:r>
      <w:r w:rsidR="00722214" w:rsidRPr="000559B4">
        <w:rPr>
          <w:rFonts w:ascii="Calibri" w:hAnsi="Calibri"/>
        </w:rPr>
        <w:t>the school’s</w:t>
      </w:r>
      <w:r w:rsidRPr="000559B4">
        <w:rPr>
          <w:rFonts w:ascii="Calibri" w:hAnsi="Calibri"/>
        </w:rPr>
        <w:t xml:space="preserve"> </w:t>
      </w:r>
      <w:r w:rsidR="00C31B5F" w:rsidRPr="000559B4">
        <w:rPr>
          <w:rFonts w:ascii="Calibri" w:hAnsi="Calibri"/>
        </w:rPr>
        <w:t xml:space="preserve">SRS </w:t>
      </w:r>
      <w:r w:rsidRPr="000559B4">
        <w:rPr>
          <w:rFonts w:ascii="Calibri" w:hAnsi="Calibri"/>
        </w:rPr>
        <w:t xml:space="preserve">base funding amount. </w:t>
      </w:r>
      <w:r w:rsidR="00442627" w:rsidRPr="000559B4">
        <w:rPr>
          <w:rFonts w:ascii="Calibri" w:hAnsi="Calibri"/>
        </w:rPr>
        <w:t xml:space="preserve">Reductions range from 10% for schools with the lowest capacity to contribute to </w:t>
      </w:r>
      <w:r w:rsidR="00442627" w:rsidRPr="000559B4">
        <w:rPr>
          <w:rFonts w:ascii="Calibri" w:hAnsi="Calibri"/>
        </w:rPr>
        <w:lastRenderedPageBreak/>
        <w:t xml:space="preserve">80% </w:t>
      </w:r>
      <w:r w:rsidR="00864DAC" w:rsidRPr="000559B4">
        <w:rPr>
          <w:rFonts w:ascii="Calibri" w:hAnsi="Calibri"/>
        </w:rPr>
        <w:t>for</w:t>
      </w:r>
      <w:r w:rsidR="00442627" w:rsidRPr="000559B4">
        <w:rPr>
          <w:rFonts w:ascii="Calibri" w:hAnsi="Calibri"/>
        </w:rPr>
        <w:t xml:space="preserve"> schools with the highest capacity to contribute. </w:t>
      </w:r>
      <w:r w:rsidR="00F27521" w:rsidRPr="000559B4">
        <w:rPr>
          <w:kern w:val="2"/>
          <w14:ligatures w14:val="standardContextual"/>
        </w:rPr>
        <w:t>CTC</w:t>
      </w:r>
      <w:r w:rsidR="000735D7" w:rsidRPr="000559B4">
        <w:rPr>
          <w:kern w:val="2"/>
          <w14:ligatures w14:val="standardContextual"/>
        </w:rPr>
        <w:t> </w:t>
      </w:r>
      <w:r w:rsidR="00F27521" w:rsidRPr="000559B4">
        <w:rPr>
          <w:kern w:val="2"/>
          <w14:ligatures w14:val="standardContextual"/>
        </w:rPr>
        <w:t xml:space="preserve">does not </w:t>
      </w:r>
      <w:r w:rsidR="00E14390" w:rsidRPr="000559B4">
        <w:rPr>
          <w:kern w:val="2"/>
          <w14:ligatures w14:val="standardContextual"/>
        </w:rPr>
        <w:t>affect</w:t>
      </w:r>
      <w:r w:rsidR="00F27521" w:rsidRPr="000559B4">
        <w:rPr>
          <w:kern w:val="2"/>
          <w14:ligatures w14:val="standardContextual"/>
        </w:rPr>
        <w:t xml:space="preserve"> loadings under the SRS</w:t>
      </w:r>
      <w:r w:rsidR="00640371" w:rsidRPr="000559B4">
        <w:rPr>
          <w:kern w:val="2"/>
          <w14:ligatures w14:val="standardContextual"/>
        </w:rPr>
        <w:t xml:space="preserve">, which </w:t>
      </w:r>
      <w:r w:rsidR="00207DA6" w:rsidRPr="000559B4">
        <w:rPr>
          <w:kern w:val="2"/>
          <w14:ligatures w14:val="standardContextual"/>
        </w:rPr>
        <w:t>provide</w:t>
      </w:r>
      <w:r w:rsidR="00640371" w:rsidRPr="000559B4">
        <w:rPr>
          <w:kern w:val="2"/>
          <w14:ligatures w14:val="standardContextual"/>
        </w:rPr>
        <w:t xml:space="preserve"> additional funding</w:t>
      </w:r>
      <w:r w:rsidR="00F27521" w:rsidRPr="000559B4">
        <w:rPr>
          <w:kern w:val="2"/>
          <w14:ligatures w14:val="standardContextual"/>
        </w:rPr>
        <w:t xml:space="preserve"> for student priority cohorts and disadvantaged schools.</w:t>
      </w:r>
    </w:p>
    <w:p w14:paraId="555F4300" w14:textId="38AEBF89" w:rsidR="00442627" w:rsidRDefault="00BA1F02" w:rsidP="00442627">
      <w:pPr>
        <w:rPr>
          <w:kern w:val="2"/>
          <w14:ligatures w14:val="standardContextual"/>
        </w:rPr>
      </w:pPr>
      <w:r w:rsidRPr="000559B4">
        <w:rPr>
          <w:kern w:val="2"/>
          <w14:ligatures w14:val="standardContextual"/>
        </w:rPr>
        <w:t>CTC score</w:t>
      </w:r>
      <w:r w:rsidR="00442627" w:rsidRPr="000559B4">
        <w:rPr>
          <w:kern w:val="2"/>
          <w14:ligatures w14:val="standardContextual"/>
        </w:rPr>
        <w:t xml:space="preserve">s are determined annually in accordance with section 52 of the </w:t>
      </w:r>
      <w:r w:rsidR="00155AF7" w:rsidRPr="00B75F12">
        <w:rPr>
          <w:iCs/>
          <w:kern w:val="2"/>
          <w14:ligatures w14:val="standardContextual"/>
        </w:rPr>
        <w:t>Act</w:t>
      </w:r>
      <w:r w:rsidR="00442627" w:rsidRPr="000559B4">
        <w:rPr>
          <w:i/>
          <w:kern w:val="2"/>
          <w14:ligatures w14:val="standardContextual"/>
        </w:rPr>
        <w:t> </w:t>
      </w:r>
      <w:r w:rsidR="00442627" w:rsidRPr="000559B4">
        <w:rPr>
          <w:kern w:val="2"/>
          <w14:ligatures w14:val="standardContextual"/>
        </w:rPr>
        <w:t>and Part 3, Division 3 of the Regulations.</w:t>
      </w:r>
      <w:r w:rsidR="00442627" w:rsidRPr="000559B4">
        <w:rPr>
          <w:rFonts w:ascii="Calibri" w:hAnsi="Calibri"/>
        </w:rPr>
        <w:t xml:space="preserve"> </w:t>
      </w:r>
      <w:r w:rsidR="00442627" w:rsidRPr="000559B4">
        <w:rPr>
          <w:kern w:val="2"/>
          <w14:ligatures w14:val="standardContextual"/>
        </w:rPr>
        <w:t>Determinations are usually made by the Minister for Education’s delegate, who is a senior officer at the Department of Education (the department).</w:t>
      </w:r>
    </w:p>
    <w:p w14:paraId="55A698A9" w14:textId="5B2E0756" w:rsidR="00BC78F1" w:rsidRPr="000559B4" w:rsidRDefault="00BC78F1" w:rsidP="003E3291">
      <w:pPr>
        <w:pStyle w:val="Heading3"/>
        <w:rPr>
          <w:color w:val="auto"/>
          <w:sz w:val="22"/>
        </w:rPr>
      </w:pPr>
      <w:bookmarkStart w:id="16" w:name="_Toc110520286"/>
      <w:bookmarkStart w:id="17" w:name="_Toc129701966"/>
      <w:bookmarkStart w:id="18" w:name="_Toc211945325"/>
      <w:bookmarkEnd w:id="13"/>
      <w:r w:rsidRPr="000559B4">
        <w:t xml:space="preserve">How are </w:t>
      </w:r>
      <w:r w:rsidR="00BA1F02" w:rsidRPr="000559B4">
        <w:t>CTC score</w:t>
      </w:r>
      <w:r w:rsidRPr="000559B4">
        <w:t>s calculated?</w:t>
      </w:r>
      <w:bookmarkEnd w:id="16"/>
      <w:bookmarkEnd w:id="17"/>
      <w:bookmarkEnd w:id="18"/>
    </w:p>
    <w:p w14:paraId="19EEBD08" w14:textId="2CE6ABC4" w:rsidR="00442627" w:rsidRPr="000559B4" w:rsidRDefault="00364133" w:rsidP="00442627">
      <w:pPr>
        <w:pStyle w:val="Heading4"/>
      </w:pPr>
      <w:bookmarkStart w:id="19" w:name="_Toc211945326"/>
      <w:r w:rsidRPr="000559B4">
        <w:t>CTC scores other than for 2026</w:t>
      </w:r>
      <w:bookmarkEnd w:id="19"/>
    </w:p>
    <w:p w14:paraId="3D14B6D4" w14:textId="4E1818C6" w:rsidR="00BC78F1" w:rsidRPr="000559B4" w:rsidRDefault="00364133" w:rsidP="003E3291">
      <w:pPr>
        <w:rPr>
          <w:kern w:val="2"/>
          <w14:ligatures w14:val="standardContextual"/>
        </w:rPr>
      </w:pPr>
      <w:r w:rsidRPr="000559B4">
        <w:rPr>
          <w:kern w:val="2"/>
          <w14:ligatures w14:val="standardContextual"/>
        </w:rPr>
        <w:t>The</w:t>
      </w:r>
      <w:r w:rsidR="000A1180">
        <w:rPr>
          <w:kern w:val="2"/>
          <w14:ligatures w14:val="standardContextual"/>
        </w:rPr>
        <w:t xml:space="preserve"> Regulations</w:t>
      </w:r>
      <w:r w:rsidR="00BC78F1" w:rsidRPr="000559B4">
        <w:rPr>
          <w:kern w:val="2"/>
          <w14:ligatures w14:val="standardContextual"/>
        </w:rPr>
        <w:t xml:space="preserve"> </w:t>
      </w:r>
      <w:r w:rsidR="005604FB" w:rsidRPr="000559B4">
        <w:rPr>
          <w:kern w:val="2"/>
          <w14:ligatures w14:val="standardContextual"/>
        </w:rPr>
        <w:t xml:space="preserve">require </w:t>
      </w:r>
      <w:r w:rsidR="00BA1F02" w:rsidRPr="000559B4">
        <w:rPr>
          <w:kern w:val="2"/>
          <w14:ligatures w14:val="standardContextual"/>
        </w:rPr>
        <w:t>CTC score</w:t>
      </w:r>
      <w:r w:rsidR="005604FB" w:rsidRPr="000559B4">
        <w:rPr>
          <w:kern w:val="2"/>
          <w14:ligatures w14:val="standardContextual"/>
        </w:rPr>
        <w:t>s</w:t>
      </w:r>
      <w:r w:rsidRPr="000559B4">
        <w:rPr>
          <w:kern w:val="2"/>
          <w14:ligatures w14:val="standardContextual"/>
        </w:rPr>
        <w:t>, except CTC scores for 2026,</w:t>
      </w:r>
      <w:r w:rsidR="005604FB" w:rsidRPr="000559B4">
        <w:rPr>
          <w:kern w:val="2"/>
          <w14:ligatures w14:val="standardContextual"/>
        </w:rPr>
        <w:t xml:space="preserve"> to be calculated using the direct measure of income (DMI) methodology</w:t>
      </w:r>
      <w:r w:rsidR="00FB7304" w:rsidRPr="000559B4">
        <w:rPr>
          <w:kern w:val="2"/>
          <w14:ligatures w14:val="standardContextual"/>
        </w:rPr>
        <w:t xml:space="preserve"> unless </w:t>
      </w:r>
      <w:r w:rsidR="00442627" w:rsidRPr="000559B4">
        <w:rPr>
          <w:kern w:val="2"/>
          <w14:ligatures w14:val="standardContextual"/>
        </w:rPr>
        <w:t xml:space="preserve">the school’s </w:t>
      </w:r>
      <w:r w:rsidR="00F24FC8" w:rsidRPr="000559B4">
        <w:rPr>
          <w:kern w:val="2"/>
          <w14:ligatures w14:val="standardContextual"/>
        </w:rPr>
        <w:t>average DMI score</w:t>
      </w:r>
      <w:r w:rsidR="00442627" w:rsidRPr="000559B4">
        <w:rPr>
          <w:kern w:val="2"/>
          <w14:ligatures w14:val="standardContextual"/>
        </w:rPr>
        <w:t xml:space="preserve"> is not available</w:t>
      </w:r>
      <w:r w:rsidR="00E6220A" w:rsidRPr="000559B4">
        <w:rPr>
          <w:rFonts w:ascii="Calibri" w:hAnsi="Calibri"/>
        </w:rPr>
        <w:t>.</w:t>
      </w:r>
      <w:r w:rsidR="00F32D69" w:rsidRPr="000559B4">
        <w:rPr>
          <w:rStyle w:val="FootnoteReference"/>
          <w:rFonts w:ascii="Calibri" w:hAnsi="Calibri"/>
        </w:rPr>
        <w:footnoteReference w:id="4"/>
      </w:r>
      <w:r w:rsidR="000735D7" w:rsidRPr="000559B4">
        <w:rPr>
          <w:kern w:val="2"/>
          <w14:ligatures w14:val="standardContextual"/>
        </w:rPr>
        <w:t xml:space="preserve"> If the </w:t>
      </w:r>
      <w:r w:rsidR="00F24FC8" w:rsidRPr="000559B4">
        <w:rPr>
          <w:kern w:val="2"/>
          <w14:ligatures w14:val="standardContextual"/>
        </w:rPr>
        <w:t>average DMI score</w:t>
      </w:r>
      <w:r w:rsidR="00442627" w:rsidRPr="000559B4">
        <w:rPr>
          <w:kern w:val="2"/>
          <w14:ligatures w14:val="standardContextual"/>
        </w:rPr>
        <w:t xml:space="preserve"> is not available, </w:t>
      </w:r>
      <w:r w:rsidR="006F0E45" w:rsidRPr="000559B4">
        <w:rPr>
          <w:rFonts w:ascii="Calibri" w:eastAsia="Calibri" w:hAnsi="Calibri" w:cs="Times New Roman"/>
        </w:rPr>
        <w:t xml:space="preserve">the Regulations require </w:t>
      </w:r>
      <w:r w:rsidR="001F02B9">
        <w:rPr>
          <w:rFonts w:ascii="Calibri" w:eastAsia="Calibri" w:hAnsi="Calibri" w:cs="Times New Roman"/>
        </w:rPr>
        <w:t>a</w:t>
      </w:r>
      <w:r w:rsidRPr="000559B4">
        <w:rPr>
          <w:rFonts w:ascii="Calibri" w:eastAsia="Calibri" w:hAnsi="Calibri" w:cs="Times New Roman"/>
        </w:rPr>
        <w:t xml:space="preserve"> CTC score, except CTC scores for 2026, to be </w:t>
      </w:r>
      <w:r w:rsidR="000735D7" w:rsidRPr="000559B4">
        <w:rPr>
          <w:kern w:val="2"/>
          <w14:ligatures w14:val="standardContextual"/>
        </w:rPr>
        <w:t>a Refined Area-Based (RAB) score.</w:t>
      </w:r>
      <w:r w:rsidR="00442627" w:rsidRPr="000559B4">
        <w:rPr>
          <w:kern w:val="2"/>
          <w:vertAlign w:val="superscript"/>
          <w14:ligatures w14:val="standardContextual"/>
        </w:rPr>
        <w:footnoteReference w:id="5"/>
      </w:r>
    </w:p>
    <w:p w14:paraId="6AB1BFFB" w14:textId="6AF53D03" w:rsidR="00442627" w:rsidRPr="000559B4" w:rsidRDefault="00442627" w:rsidP="003F37BD">
      <w:pPr>
        <w:pStyle w:val="Heading6"/>
      </w:pPr>
      <w:bookmarkStart w:id="20" w:name="_Toc172811548"/>
      <w:bookmarkStart w:id="21" w:name="_Toc129701967"/>
      <w:r w:rsidRPr="000559B4">
        <w:t>DMI-</w:t>
      </w:r>
      <w:r w:rsidR="001F02B9">
        <w:t>scores</w:t>
      </w:r>
    </w:p>
    <w:bookmarkEnd w:id="20"/>
    <w:bookmarkEnd w:id="21"/>
    <w:p w14:paraId="2178E49E" w14:textId="0341136C" w:rsidR="004D3DC8" w:rsidRPr="000559B4" w:rsidRDefault="00FB7304" w:rsidP="003E3291">
      <w:pPr>
        <w:rPr>
          <w:kern w:val="2"/>
          <w14:ligatures w14:val="standardContextual"/>
        </w:rPr>
      </w:pPr>
      <w:r w:rsidRPr="000559B4">
        <w:rPr>
          <w:kern w:val="2"/>
          <w14:ligatures w14:val="standardContextual"/>
        </w:rPr>
        <w:t xml:space="preserve">A </w:t>
      </w:r>
      <w:r w:rsidR="00BA1F02" w:rsidRPr="000559B4">
        <w:rPr>
          <w:kern w:val="2"/>
          <w14:ligatures w14:val="standardContextual"/>
        </w:rPr>
        <w:t>DMI score</w:t>
      </w:r>
      <w:r w:rsidR="00DF65DC" w:rsidRPr="000559B4">
        <w:rPr>
          <w:kern w:val="2"/>
          <w14:ligatures w14:val="standardContextual"/>
        </w:rPr>
        <w:t xml:space="preserve"> </w:t>
      </w:r>
      <w:r w:rsidRPr="000559B4">
        <w:rPr>
          <w:kern w:val="2"/>
          <w14:ligatures w14:val="standardContextual"/>
        </w:rPr>
        <w:t xml:space="preserve">for a school </w:t>
      </w:r>
      <w:r w:rsidR="00DF65DC" w:rsidRPr="000559B4">
        <w:rPr>
          <w:kern w:val="2"/>
          <w14:ligatures w14:val="standardContextual"/>
        </w:rPr>
        <w:t>is calculated</w:t>
      </w:r>
      <w:r w:rsidRPr="000559B4">
        <w:rPr>
          <w:kern w:val="2"/>
          <w14:ligatures w14:val="standardContextual"/>
        </w:rPr>
        <w:t xml:space="preserve"> </w:t>
      </w:r>
      <w:r w:rsidR="008815D9" w:rsidRPr="000559B4">
        <w:rPr>
          <w:kern w:val="2"/>
          <w14:ligatures w14:val="standardContextual"/>
        </w:rPr>
        <w:t>each year</w:t>
      </w:r>
      <w:r w:rsidRPr="000559B4">
        <w:rPr>
          <w:kern w:val="2"/>
          <w14:ligatures w14:val="standardContextual"/>
        </w:rPr>
        <w:t xml:space="preserve"> by the department.</w:t>
      </w:r>
      <w:r w:rsidR="00DF65DC" w:rsidRPr="000559B4">
        <w:rPr>
          <w:kern w:val="2"/>
          <w14:ligatures w14:val="standardContextual"/>
        </w:rPr>
        <w:t xml:space="preserve"> </w:t>
      </w:r>
      <w:r w:rsidR="00BA1F02" w:rsidRPr="000559B4">
        <w:rPr>
          <w:kern w:val="2"/>
          <w14:ligatures w14:val="standardContextual"/>
        </w:rPr>
        <w:t>DMI score</w:t>
      </w:r>
      <w:r w:rsidRPr="000559B4">
        <w:rPr>
          <w:kern w:val="2"/>
          <w14:ligatures w14:val="standardContextual"/>
        </w:rPr>
        <w:t>s are</w:t>
      </w:r>
      <w:r w:rsidR="00DF65DC" w:rsidRPr="000559B4">
        <w:rPr>
          <w:kern w:val="2"/>
          <w14:ligatures w14:val="standardContextual"/>
        </w:rPr>
        <w:t xml:space="preserve"> based on the median </w:t>
      </w:r>
      <w:r w:rsidR="004D3DC8" w:rsidRPr="000559B4">
        <w:rPr>
          <w:kern w:val="2"/>
          <w14:ligatures w14:val="standardContextual"/>
        </w:rPr>
        <w:t xml:space="preserve">(middle) </w:t>
      </w:r>
      <w:r w:rsidR="00DF65DC" w:rsidRPr="000559B4">
        <w:rPr>
          <w:kern w:val="2"/>
          <w14:ligatures w14:val="standardContextual"/>
        </w:rPr>
        <w:t>income of parents and guardians of the students attending the school</w:t>
      </w:r>
      <w:r w:rsidR="00DC7B0F" w:rsidRPr="000559B4">
        <w:rPr>
          <w:kern w:val="2"/>
          <w14:ligatures w14:val="standardContextual"/>
        </w:rPr>
        <w:t>.</w:t>
      </w:r>
      <w:r w:rsidR="004D3DC8" w:rsidRPr="000559B4">
        <w:rPr>
          <w:kern w:val="2"/>
          <w14:ligatures w14:val="standardContextual"/>
        </w:rPr>
        <w:t xml:space="preserve"> The </w:t>
      </w:r>
      <w:r w:rsidR="00BA1F02" w:rsidRPr="000559B4">
        <w:rPr>
          <w:kern w:val="2"/>
          <w14:ligatures w14:val="standardContextual"/>
        </w:rPr>
        <w:t>DMI methodology</w:t>
      </w:r>
      <w:r w:rsidR="004D3DC8" w:rsidRPr="000559B4">
        <w:rPr>
          <w:kern w:val="2"/>
          <w14:ligatures w14:val="standardContextual"/>
        </w:rPr>
        <w:t xml:space="preserve"> results in a measure of the relative (rather than absolute) capacity of a non-government school’s community to contribute to the operating costs of its school compared to other non-government schools.</w:t>
      </w:r>
      <w:r w:rsidR="001F02B9">
        <w:rPr>
          <w:kern w:val="2"/>
          <w14:ligatures w14:val="standardContextual"/>
        </w:rPr>
        <w:t xml:space="preserve"> DMI scores are used to calculate a school’s average DMI score which is then, except for CTC scores for 2026, determined as the school’s CTC score.</w:t>
      </w:r>
    </w:p>
    <w:p w14:paraId="7AE537DF" w14:textId="77777777" w:rsidR="004D3DC8" w:rsidRPr="000559B4" w:rsidRDefault="004D3DC8" w:rsidP="004D3DC8">
      <w:pPr>
        <w:pStyle w:val="Heading6"/>
        <w:rPr>
          <w:i/>
          <w:iCs/>
        </w:rPr>
      </w:pPr>
      <w:r w:rsidRPr="000559B4">
        <w:rPr>
          <w:i/>
          <w:iCs/>
        </w:rPr>
        <w:t>DMI score</w:t>
      </w:r>
      <w:r w:rsidR="0000430C" w:rsidRPr="000559B4">
        <w:rPr>
          <w:i/>
          <w:iCs/>
        </w:rPr>
        <w:t xml:space="preserve"> </w:t>
      </w:r>
      <w:r w:rsidRPr="000559B4">
        <w:rPr>
          <w:i/>
          <w:iCs/>
        </w:rPr>
        <w:t>calculation</w:t>
      </w:r>
    </w:p>
    <w:p w14:paraId="569DF18A" w14:textId="7A58F4FE" w:rsidR="004D3DC8" w:rsidRPr="000559B4" w:rsidRDefault="00CE26A7" w:rsidP="004D3DC8">
      <w:pPr>
        <w:rPr>
          <w:rFonts w:cstheme="minorHAnsi"/>
          <w:kern w:val="2"/>
          <w14:ligatures w14:val="standardContextual"/>
        </w:rPr>
      </w:pPr>
      <w:r w:rsidRPr="000559B4">
        <w:rPr>
          <w:kern w:val="2"/>
          <w14:ligatures w14:val="standardContextual"/>
        </w:rPr>
        <w:t xml:space="preserve">The department collects </w:t>
      </w:r>
      <w:r w:rsidR="00DF4C08" w:rsidRPr="000559B4">
        <w:rPr>
          <w:kern w:val="2"/>
          <w14:ligatures w14:val="standardContextual"/>
        </w:rPr>
        <w:t>the</w:t>
      </w:r>
      <w:r w:rsidR="00DC7B0F" w:rsidRPr="000559B4">
        <w:rPr>
          <w:kern w:val="2"/>
          <w14:ligatures w14:val="standardContextual"/>
        </w:rPr>
        <w:t xml:space="preserve"> </w:t>
      </w:r>
      <w:r w:rsidRPr="000559B4">
        <w:rPr>
          <w:kern w:val="2"/>
          <w14:ligatures w14:val="standardContextual"/>
        </w:rPr>
        <w:t xml:space="preserve">names and </w:t>
      </w:r>
      <w:r w:rsidR="006F0E45" w:rsidRPr="000559B4">
        <w:rPr>
          <w:rFonts w:ascii="Calibri" w:eastAsia="Calibri" w:hAnsi="Calibri" w:cs="Times New Roman"/>
        </w:rPr>
        <w:t>addresses</w:t>
      </w:r>
      <w:r w:rsidRPr="000559B4">
        <w:rPr>
          <w:kern w:val="2"/>
          <w14:ligatures w14:val="standardContextual"/>
        </w:rPr>
        <w:t xml:space="preserve"> of </w:t>
      </w:r>
      <w:r w:rsidR="006F0E45" w:rsidRPr="000559B4">
        <w:rPr>
          <w:rFonts w:ascii="Calibri" w:eastAsia="Calibri" w:hAnsi="Calibri" w:cs="Times New Roman"/>
        </w:rPr>
        <w:t>parents and guardians f</w:t>
      </w:r>
      <w:r w:rsidR="00E6220A" w:rsidRPr="000559B4">
        <w:rPr>
          <w:rFonts w:ascii="Calibri" w:eastAsia="Calibri" w:hAnsi="Calibri" w:cs="Times New Roman"/>
        </w:rPr>
        <w:t>rom</w:t>
      </w:r>
      <w:r w:rsidR="006F0E45" w:rsidRPr="000559B4">
        <w:rPr>
          <w:rFonts w:ascii="Calibri" w:eastAsia="Calibri" w:hAnsi="Calibri" w:cs="Times New Roman"/>
        </w:rPr>
        <w:t xml:space="preserve"> a school’s approved authority</w:t>
      </w:r>
      <w:r w:rsidR="00DF4C08" w:rsidRPr="000559B4">
        <w:rPr>
          <w:kern w:val="2"/>
          <w14:ligatures w14:val="standardContextual"/>
        </w:rPr>
        <w:t xml:space="preserve"> </w:t>
      </w:r>
      <w:r w:rsidR="00DC7B0F" w:rsidRPr="000559B4">
        <w:rPr>
          <w:kern w:val="2"/>
          <w14:ligatures w14:val="standardContextual"/>
        </w:rPr>
        <w:t xml:space="preserve">each year </w:t>
      </w:r>
      <w:r w:rsidRPr="000559B4">
        <w:rPr>
          <w:kern w:val="2"/>
          <w14:ligatures w14:val="standardContextual"/>
        </w:rPr>
        <w:t xml:space="preserve">through </w:t>
      </w:r>
      <w:r w:rsidR="00FB7304" w:rsidRPr="000559B4">
        <w:rPr>
          <w:kern w:val="2"/>
          <w14:ligatures w14:val="standardContextual"/>
        </w:rPr>
        <w:t>the</w:t>
      </w:r>
      <w:r w:rsidR="002D658F" w:rsidRPr="000559B4">
        <w:rPr>
          <w:kern w:val="2"/>
          <w14:ligatures w14:val="standardContextual"/>
        </w:rPr>
        <w:t xml:space="preserve"> </w:t>
      </w:r>
      <w:r w:rsidRPr="000559B4">
        <w:rPr>
          <w:kern w:val="2"/>
          <w14:ligatures w14:val="standardContextual"/>
        </w:rPr>
        <w:t xml:space="preserve">annual </w:t>
      </w:r>
      <w:r w:rsidR="002D658F" w:rsidRPr="000559B4">
        <w:rPr>
          <w:kern w:val="2"/>
          <w14:ligatures w14:val="standardContextual"/>
        </w:rPr>
        <w:t>Student Residential</w:t>
      </w:r>
      <w:r w:rsidR="00FB7304" w:rsidRPr="000559B4">
        <w:rPr>
          <w:kern w:val="2"/>
          <w14:ligatures w14:val="standardContextual"/>
        </w:rPr>
        <w:t xml:space="preserve"> Address </w:t>
      </w:r>
      <w:r w:rsidR="002D658F" w:rsidRPr="000559B4">
        <w:rPr>
          <w:kern w:val="2"/>
          <w14:ligatures w14:val="standardContextual"/>
        </w:rPr>
        <w:t xml:space="preserve">and Other Information </w:t>
      </w:r>
      <w:r w:rsidR="00FB7304" w:rsidRPr="000559B4">
        <w:rPr>
          <w:kern w:val="2"/>
          <w14:ligatures w14:val="standardContextual"/>
        </w:rPr>
        <w:t>Collection</w:t>
      </w:r>
      <w:r w:rsidR="002D658F" w:rsidRPr="000559B4">
        <w:rPr>
          <w:kern w:val="2"/>
          <w14:ligatures w14:val="standardContextual"/>
        </w:rPr>
        <w:t xml:space="preserve"> (the Address Collection)</w:t>
      </w:r>
      <w:r w:rsidR="000735D7" w:rsidRPr="000559B4">
        <w:rPr>
          <w:kern w:val="2"/>
          <w14:ligatures w14:val="standardContextual"/>
        </w:rPr>
        <w:t>.</w:t>
      </w:r>
      <w:r w:rsidR="004D3DC8" w:rsidRPr="000559B4">
        <w:rPr>
          <w:kern w:val="2"/>
          <w14:ligatures w14:val="standardContextual"/>
        </w:rPr>
        <w:t xml:space="preserve"> </w:t>
      </w:r>
      <w:r w:rsidR="000735D7" w:rsidRPr="000559B4">
        <w:rPr>
          <w:kern w:val="2"/>
          <w14:ligatures w14:val="standardContextual"/>
        </w:rPr>
        <w:t xml:space="preserve">The </w:t>
      </w:r>
      <w:r w:rsidR="00BA1F02" w:rsidRPr="000559B4">
        <w:rPr>
          <w:kern w:val="2"/>
          <w14:ligatures w14:val="standardContextual"/>
        </w:rPr>
        <w:t>DMI score</w:t>
      </w:r>
      <w:r w:rsidR="000735D7" w:rsidRPr="000559B4">
        <w:rPr>
          <w:kern w:val="2"/>
          <w14:ligatures w14:val="standardContextual"/>
        </w:rPr>
        <w:t xml:space="preserve"> calculation uses </w:t>
      </w:r>
      <w:r w:rsidR="006F0E45" w:rsidRPr="000559B4">
        <w:rPr>
          <w:rFonts w:ascii="Calibri" w:eastAsia="Calibri" w:hAnsi="Calibri" w:cs="Times New Roman"/>
        </w:rPr>
        <w:t>the Address Collection data to link parent and guardian names and address</w:t>
      </w:r>
      <w:r w:rsidR="002C7B1F" w:rsidRPr="000559B4">
        <w:rPr>
          <w:rFonts w:ascii="Calibri" w:eastAsia="Calibri" w:hAnsi="Calibri" w:cs="Times New Roman"/>
        </w:rPr>
        <w:t>es</w:t>
      </w:r>
      <w:r w:rsidR="006F0E45" w:rsidRPr="000559B4">
        <w:rPr>
          <w:rFonts w:ascii="Calibri" w:eastAsia="Calibri" w:hAnsi="Calibri" w:cs="Times New Roman"/>
        </w:rPr>
        <w:t xml:space="preserve"> to</w:t>
      </w:r>
      <w:r w:rsidR="00E6220A" w:rsidRPr="000559B4">
        <w:rPr>
          <w:rFonts w:ascii="Calibri" w:eastAsia="Calibri" w:hAnsi="Calibri" w:cs="Times New Roman"/>
        </w:rPr>
        <w:t xml:space="preserve"> de-identified</w:t>
      </w:r>
      <w:r w:rsidR="006F0E45" w:rsidRPr="000559B4">
        <w:rPr>
          <w:rFonts w:ascii="Calibri" w:eastAsia="Calibri" w:hAnsi="Calibri" w:cs="Times New Roman"/>
        </w:rPr>
        <w:t xml:space="preserve"> </w:t>
      </w:r>
      <w:r w:rsidR="000735D7" w:rsidRPr="000559B4">
        <w:rPr>
          <w:kern w:val="2"/>
          <w14:ligatures w14:val="standardContextual"/>
        </w:rPr>
        <w:t>i</w:t>
      </w:r>
      <w:r w:rsidR="00DF65DC" w:rsidRPr="000559B4">
        <w:rPr>
          <w:kern w:val="2"/>
          <w14:ligatures w14:val="standardContextual"/>
        </w:rPr>
        <w:t xml:space="preserve">ncome tax data </w:t>
      </w:r>
      <w:r w:rsidR="006F0E45" w:rsidRPr="000559B4">
        <w:rPr>
          <w:rFonts w:ascii="Calibri" w:eastAsia="Calibri" w:hAnsi="Calibri" w:cs="Times New Roman"/>
        </w:rPr>
        <w:t>and other data</w:t>
      </w:r>
      <w:r w:rsidR="00DF65DC" w:rsidRPr="000559B4">
        <w:rPr>
          <w:kern w:val="2"/>
          <w14:ligatures w14:val="standardContextual"/>
        </w:rPr>
        <w:t xml:space="preserve"> in the Centrelink Administrative Dataset </w:t>
      </w:r>
      <w:r w:rsidR="001006BA" w:rsidRPr="000559B4">
        <w:rPr>
          <w:kern w:val="2"/>
          <w14:ligatures w14:val="standardContextual"/>
        </w:rPr>
        <w:t xml:space="preserve">through </w:t>
      </w:r>
      <w:r w:rsidR="00DF65DC" w:rsidRPr="000559B4">
        <w:rPr>
          <w:kern w:val="2"/>
          <w14:ligatures w14:val="standardContextual"/>
        </w:rPr>
        <w:t xml:space="preserve">the </w:t>
      </w:r>
      <w:r w:rsidR="009913A9" w:rsidRPr="000559B4">
        <w:rPr>
          <w:kern w:val="2"/>
          <w14:ligatures w14:val="standardContextual"/>
        </w:rPr>
        <w:t xml:space="preserve">Person Level Integrated Data Asset (PLIDA) </w:t>
      </w:r>
      <w:r w:rsidR="00DF65DC" w:rsidRPr="000559B4">
        <w:rPr>
          <w:kern w:val="2"/>
          <w14:ligatures w14:val="standardContextual"/>
        </w:rPr>
        <w:t>dataset</w:t>
      </w:r>
      <w:r w:rsidR="006F0E45" w:rsidRPr="000559B4">
        <w:rPr>
          <w:rFonts w:ascii="Calibri" w:eastAsia="Calibri" w:hAnsi="Calibri" w:cs="Times New Roman"/>
        </w:rPr>
        <w:t>.</w:t>
      </w:r>
      <w:r w:rsidR="00E6220A" w:rsidRPr="000559B4">
        <w:rPr>
          <w:rFonts w:ascii="Calibri" w:eastAsia="Calibri" w:hAnsi="Calibri" w:cs="Times New Roman"/>
        </w:rPr>
        <w:t xml:space="preserve"> </w:t>
      </w:r>
      <w:r w:rsidR="004D3DC8" w:rsidRPr="000559B4">
        <w:rPr>
          <w:rFonts w:ascii="Calibri" w:eastAsia="Calibri" w:hAnsi="Calibri" w:cs="Times New Roman"/>
        </w:rPr>
        <w:t xml:space="preserve">The PLIDA dataset is </w:t>
      </w:r>
      <w:r w:rsidR="00F428ED" w:rsidRPr="00F428ED">
        <w:rPr>
          <w:rFonts w:ascii="Calibri" w:eastAsia="Calibri" w:hAnsi="Calibri" w:cs="Times New Roman"/>
        </w:rPr>
        <w:t>a secure data asset combining information on health, education, government payments, income and taxation, employment, and population demographics (including the Census</w:t>
      </w:r>
      <w:r w:rsidR="00B94CB6">
        <w:rPr>
          <w:rFonts w:ascii="Calibri" w:eastAsia="Calibri" w:hAnsi="Calibri" w:cs="Times New Roman"/>
        </w:rPr>
        <w:t xml:space="preserve"> </w:t>
      </w:r>
      <w:r w:rsidR="00B94CB6" w:rsidRPr="00B94CB6">
        <w:rPr>
          <w:rFonts w:ascii="Calibri" w:eastAsia="Calibri" w:hAnsi="Calibri" w:cs="Times New Roman"/>
        </w:rPr>
        <w:t>of Population and Housing</w:t>
      </w:r>
      <w:r w:rsidR="00F428ED" w:rsidRPr="00F428ED">
        <w:rPr>
          <w:rFonts w:ascii="Calibri" w:eastAsia="Calibri" w:hAnsi="Calibri" w:cs="Times New Roman"/>
        </w:rPr>
        <w:t>) over time. I</w:t>
      </w:r>
      <w:r w:rsidR="00F428ED">
        <w:rPr>
          <w:rFonts w:ascii="Calibri" w:eastAsia="Calibri" w:hAnsi="Calibri" w:cs="Times New Roman"/>
        </w:rPr>
        <w:t xml:space="preserve">t </w:t>
      </w:r>
      <w:r w:rsidR="004D3DC8" w:rsidRPr="000559B4">
        <w:rPr>
          <w:rFonts w:ascii="Calibri" w:eastAsia="Calibri" w:hAnsi="Calibri" w:cs="Times New Roman"/>
        </w:rPr>
        <w:t>can only be accessed by authorised officers in the ABS Secure Research Environment (</w:t>
      </w:r>
      <w:proofErr w:type="spellStart"/>
      <w:r w:rsidR="004D3DC8" w:rsidRPr="000559B4">
        <w:rPr>
          <w:rFonts w:ascii="Calibri" w:eastAsia="Calibri" w:hAnsi="Calibri" w:cs="Times New Roman"/>
        </w:rPr>
        <w:t>DataLab</w:t>
      </w:r>
      <w:proofErr w:type="spellEnd"/>
      <w:r w:rsidR="004D3DC8" w:rsidRPr="000559B4">
        <w:rPr>
          <w:rFonts w:ascii="Calibri" w:eastAsia="Calibri" w:hAnsi="Calibri" w:cs="Times New Roman"/>
        </w:rPr>
        <w:t>).</w:t>
      </w:r>
    </w:p>
    <w:p w14:paraId="7940BBE8" w14:textId="434F805A" w:rsidR="00205448" w:rsidRPr="000559B4" w:rsidRDefault="006F0E45" w:rsidP="003E3291">
      <w:pPr>
        <w:rPr>
          <w:kern w:val="2"/>
          <w14:ligatures w14:val="standardContextual"/>
        </w:rPr>
      </w:pPr>
      <w:r w:rsidRPr="000559B4">
        <w:rPr>
          <w:rFonts w:ascii="Calibri" w:eastAsia="Calibri" w:hAnsi="Calibri" w:cs="Times New Roman"/>
        </w:rPr>
        <w:t>The PLIDA dataset includes</w:t>
      </w:r>
      <w:r w:rsidRPr="000559B4">
        <w:rPr>
          <w:rFonts w:ascii="Calibri" w:hAnsi="Calibri"/>
        </w:rPr>
        <w:t xml:space="preserve"> Australian Government payment and earning amounts and concession card information</w:t>
      </w:r>
      <w:r w:rsidR="00F428ED">
        <w:rPr>
          <w:rFonts w:ascii="Calibri" w:hAnsi="Calibri"/>
        </w:rPr>
        <w:t xml:space="preserve"> </w:t>
      </w:r>
      <w:r w:rsidR="00F428ED" w:rsidRPr="00F428ED">
        <w:rPr>
          <w:rFonts w:ascii="Calibri" w:hAnsi="Calibri"/>
        </w:rPr>
        <w:t>in the Centrelink Administrative Dataset (Data Over Multiple Individual Occurrences)</w:t>
      </w:r>
      <w:r w:rsidRPr="000559B4">
        <w:rPr>
          <w:rFonts w:ascii="Calibri" w:eastAsia="Calibri" w:hAnsi="Calibri" w:cs="Times New Roman"/>
        </w:rPr>
        <w:t>.</w:t>
      </w:r>
      <w:r w:rsidR="008815D9" w:rsidRPr="000559B4">
        <w:rPr>
          <w:kern w:val="2"/>
          <w14:ligatures w14:val="standardContextual"/>
        </w:rPr>
        <w:t xml:space="preserve"> T</w:t>
      </w:r>
      <w:r w:rsidR="00DF65DC" w:rsidRPr="000559B4">
        <w:rPr>
          <w:kern w:val="2"/>
          <w14:ligatures w14:val="standardContextual"/>
        </w:rPr>
        <w:t xml:space="preserve">his </w:t>
      </w:r>
      <w:r w:rsidR="008815D9" w:rsidRPr="000559B4">
        <w:rPr>
          <w:kern w:val="2"/>
          <w14:ligatures w14:val="standardContextual"/>
        </w:rPr>
        <w:t>means</w:t>
      </w:r>
      <w:r w:rsidR="00DF65DC" w:rsidRPr="000559B4">
        <w:rPr>
          <w:kern w:val="2"/>
          <w14:ligatures w14:val="standardContextual"/>
        </w:rPr>
        <w:t xml:space="preserve"> low-income parents on concession cards</w:t>
      </w:r>
      <w:r w:rsidR="008815D9" w:rsidRPr="000559B4">
        <w:rPr>
          <w:kern w:val="2"/>
          <w14:ligatures w14:val="standardContextual"/>
        </w:rPr>
        <w:t xml:space="preserve"> are likely</w:t>
      </w:r>
      <w:r w:rsidR="00DF65DC" w:rsidRPr="000559B4">
        <w:rPr>
          <w:kern w:val="2"/>
          <w14:ligatures w14:val="standardContextual"/>
        </w:rPr>
        <w:t xml:space="preserve"> to be included in the</w:t>
      </w:r>
      <w:r w:rsidR="008815D9" w:rsidRPr="000559B4">
        <w:rPr>
          <w:kern w:val="2"/>
          <w14:ligatures w14:val="standardContextual"/>
        </w:rPr>
        <w:t>ir school’s</w:t>
      </w:r>
      <w:r w:rsidR="00DF65DC" w:rsidRPr="000559B4">
        <w:rPr>
          <w:kern w:val="2"/>
          <w14:ligatures w14:val="standardContextual"/>
        </w:rPr>
        <w:t xml:space="preserve"> DMI</w:t>
      </w:r>
      <w:r w:rsidR="00C40BBC" w:rsidRPr="000559B4">
        <w:rPr>
          <w:kern w:val="2"/>
          <w14:ligatures w14:val="standardContextual"/>
        </w:rPr>
        <w:t> </w:t>
      </w:r>
      <w:r w:rsidR="008815D9" w:rsidRPr="000559B4">
        <w:rPr>
          <w:kern w:val="2"/>
          <w14:ligatures w14:val="standardContextual"/>
        </w:rPr>
        <w:t>score calculation</w:t>
      </w:r>
      <w:r w:rsidR="00DF65DC" w:rsidRPr="000559B4">
        <w:rPr>
          <w:kern w:val="2"/>
          <w14:ligatures w14:val="standardContextual"/>
        </w:rPr>
        <w:t>. Where the exact income of these parents is not known, the</w:t>
      </w:r>
      <w:r w:rsidR="008815D9" w:rsidRPr="000559B4">
        <w:rPr>
          <w:kern w:val="2"/>
          <w14:ligatures w14:val="standardContextual"/>
        </w:rPr>
        <w:t>y</w:t>
      </w:r>
      <w:r w:rsidR="00DF65DC" w:rsidRPr="000559B4">
        <w:rPr>
          <w:kern w:val="2"/>
          <w14:ligatures w14:val="standardContextual"/>
        </w:rPr>
        <w:t xml:space="preserve"> </w:t>
      </w:r>
      <w:r w:rsidR="008815D9" w:rsidRPr="000559B4">
        <w:rPr>
          <w:kern w:val="2"/>
          <w14:ligatures w14:val="standardContextual"/>
        </w:rPr>
        <w:t xml:space="preserve">are </w:t>
      </w:r>
      <w:r w:rsidR="00DF65DC" w:rsidRPr="000559B4">
        <w:rPr>
          <w:kern w:val="2"/>
          <w14:ligatures w14:val="standardContextual"/>
        </w:rPr>
        <w:t xml:space="preserve">assigned a zero income and included in the income distribution for the school, improving coverage of the DMI. </w:t>
      </w:r>
    </w:p>
    <w:p w14:paraId="01E63425" w14:textId="1BD1A0FF" w:rsidR="004D3DC8" w:rsidRPr="000559B4" w:rsidRDefault="004D3DC8" w:rsidP="004D3DC8">
      <w:pPr>
        <w:rPr>
          <w:kern w:val="2"/>
          <w14:ligatures w14:val="standardContextual"/>
        </w:rPr>
      </w:pPr>
      <w:r w:rsidRPr="000559B4">
        <w:rPr>
          <w:kern w:val="2"/>
          <w14:ligatures w14:val="standardContextual"/>
        </w:rPr>
        <w:t xml:space="preserve">Once the median family income for each school community is calculated, the distribution of median </w:t>
      </w:r>
      <w:r w:rsidR="00012553" w:rsidRPr="000559B4">
        <w:rPr>
          <w:kern w:val="2"/>
          <w14:ligatures w14:val="standardContextual"/>
        </w:rPr>
        <w:t xml:space="preserve">family </w:t>
      </w:r>
      <w:r w:rsidRPr="000559B4">
        <w:rPr>
          <w:kern w:val="2"/>
          <w14:ligatures w14:val="standardContextual"/>
        </w:rPr>
        <w:t xml:space="preserve">incomes for all school communities is standardised to create a DMI score. Standardisation </w:t>
      </w:r>
      <w:r w:rsidRPr="000559B4">
        <w:rPr>
          <w:kern w:val="2"/>
          <w14:ligatures w14:val="standardContextual"/>
        </w:rPr>
        <w:lastRenderedPageBreak/>
        <w:t xml:space="preserve">transforms each school’s median </w:t>
      </w:r>
      <w:r w:rsidR="00012553" w:rsidRPr="000559B4">
        <w:rPr>
          <w:kern w:val="2"/>
          <w14:ligatures w14:val="standardContextual"/>
        </w:rPr>
        <w:t xml:space="preserve">family </w:t>
      </w:r>
      <w:r w:rsidRPr="000559B4">
        <w:rPr>
          <w:kern w:val="2"/>
          <w14:ligatures w14:val="standardContextual"/>
        </w:rPr>
        <w:t xml:space="preserve">income into a score with an average of 103 and a standard deviation of 13, weighted by </w:t>
      </w:r>
      <w:r w:rsidR="00F428ED">
        <w:rPr>
          <w:kern w:val="2"/>
          <w14:ligatures w14:val="standardContextual"/>
        </w:rPr>
        <w:t xml:space="preserve">number of </w:t>
      </w:r>
      <w:r w:rsidRPr="000559B4">
        <w:rPr>
          <w:kern w:val="2"/>
          <w14:ligatures w14:val="standardContextual"/>
        </w:rPr>
        <w:t>enrolments.</w:t>
      </w:r>
    </w:p>
    <w:p w14:paraId="60289600" w14:textId="6B8F08BC" w:rsidR="001006BA" w:rsidRPr="000559B4" w:rsidRDefault="001006BA" w:rsidP="001006BA">
      <w:pPr>
        <w:rPr>
          <w:rFonts w:ascii="Calibri" w:eastAsia="Calibri" w:hAnsi="Calibri" w:cs="Times New Roman"/>
        </w:rPr>
      </w:pPr>
      <w:r w:rsidRPr="000559B4">
        <w:rPr>
          <w:rFonts w:ascii="Calibri" w:eastAsia="Calibri" w:hAnsi="Calibri" w:cs="Times New Roman"/>
        </w:rPr>
        <w:t xml:space="preserve">More information about the </w:t>
      </w:r>
      <w:r w:rsidR="00BA1F02" w:rsidRPr="000559B4">
        <w:rPr>
          <w:rFonts w:ascii="Calibri" w:eastAsia="Calibri" w:hAnsi="Calibri" w:cs="Times New Roman"/>
        </w:rPr>
        <w:t>DMI methodology</w:t>
      </w:r>
      <w:r w:rsidRPr="000559B4">
        <w:rPr>
          <w:rFonts w:ascii="Calibri" w:eastAsia="Calibri" w:hAnsi="Calibri" w:cs="Times New Roman"/>
        </w:rPr>
        <w:t xml:space="preserve"> can be found at: </w:t>
      </w:r>
      <w:hyperlink r:id="rId16" w:history="1">
        <w:r w:rsidRPr="000559B4">
          <w:rPr>
            <w:rFonts w:ascii="Calibri" w:eastAsia="Calibri" w:hAnsi="Calibri" w:cs="Times New Roman"/>
            <w:color w:val="7F4594"/>
            <w:u w:val="single"/>
          </w:rPr>
          <w:t>www.education.gov.au/recurrent-funding-schools/resources/direct-measure-income-dmi-methodology</w:t>
        </w:r>
      </w:hyperlink>
      <w:r w:rsidRPr="000559B4">
        <w:rPr>
          <w:rFonts w:ascii="Calibri" w:eastAsia="Calibri" w:hAnsi="Calibri" w:cs="Times New Roman"/>
        </w:rPr>
        <w:t>.</w:t>
      </w:r>
    </w:p>
    <w:p w14:paraId="2DF01AC0" w14:textId="3C07BDA1" w:rsidR="006804DA" w:rsidRPr="000559B4" w:rsidRDefault="006804DA" w:rsidP="006804DA">
      <w:pPr>
        <w:rPr>
          <w:kern w:val="2"/>
          <w14:ligatures w14:val="standardContextual"/>
        </w:rPr>
      </w:pPr>
      <w:bookmarkStart w:id="22" w:name="_Hlk207097707"/>
      <w:r w:rsidRPr="000559B4">
        <w:rPr>
          <w:kern w:val="2"/>
          <w14:ligatures w14:val="standardContextual"/>
        </w:rPr>
        <w:t xml:space="preserve">The </w:t>
      </w:r>
      <w:r w:rsidR="00BA1F02" w:rsidRPr="000559B4">
        <w:rPr>
          <w:kern w:val="2"/>
          <w14:ligatures w14:val="standardContextual"/>
        </w:rPr>
        <w:t>DMI methodology</w:t>
      </w:r>
      <w:r w:rsidRPr="000559B4">
        <w:rPr>
          <w:kern w:val="2"/>
          <w14:ligatures w14:val="standardContextual"/>
        </w:rPr>
        <w:t xml:space="preserve">’s Data Quality Framework sets out an extensive process to </w:t>
      </w:r>
      <w:r w:rsidR="006D0252" w:rsidRPr="000559B4">
        <w:rPr>
          <w:kern w:val="2"/>
          <w14:ligatures w14:val="standardContextual"/>
        </w:rPr>
        <w:t>calculate</w:t>
      </w:r>
      <w:r w:rsidRPr="000559B4">
        <w:rPr>
          <w:kern w:val="2"/>
          <w14:ligatures w14:val="standardContextual"/>
        </w:rPr>
        <w:t xml:space="preserve"> and validate DMI scores.</w:t>
      </w:r>
      <w:r w:rsidRPr="000559B4">
        <w:rPr>
          <w:kern w:val="2"/>
          <w:vertAlign w:val="superscript"/>
          <w14:ligatures w14:val="standardContextual"/>
        </w:rPr>
        <w:footnoteReference w:id="6"/>
      </w:r>
      <w:r w:rsidRPr="000559B4">
        <w:rPr>
          <w:kern w:val="2"/>
          <w14:ligatures w14:val="standardContextual"/>
        </w:rPr>
        <w:t xml:space="preserve"> </w:t>
      </w:r>
    </w:p>
    <w:bookmarkEnd w:id="22"/>
    <w:p w14:paraId="20AF0757" w14:textId="3726A1CC" w:rsidR="00743E1D" w:rsidRPr="000559B4" w:rsidRDefault="006804DA" w:rsidP="006804DA">
      <w:pPr>
        <w:rPr>
          <w:kern w:val="2"/>
          <w14:ligatures w14:val="standardContextual"/>
        </w:rPr>
      </w:pPr>
      <w:r w:rsidRPr="000559B4">
        <w:rPr>
          <w:kern w:val="2"/>
          <w14:ligatures w14:val="standardContextual"/>
        </w:rPr>
        <w:t>Quality Gate 3 of the Data Quality Framework tests whether a DMI score is a fit-for-purpose estimate of a school’s median family income</w:t>
      </w:r>
      <w:r w:rsidR="00051A9C" w:rsidRPr="000559B4">
        <w:rPr>
          <w:kern w:val="2"/>
          <w14:ligatures w14:val="standardContextual"/>
        </w:rPr>
        <w:t xml:space="preserve"> for the purposes of the CTC policy</w:t>
      </w:r>
      <w:r w:rsidRPr="000559B4">
        <w:rPr>
          <w:kern w:val="2"/>
          <w14:ligatures w14:val="standardContextual"/>
        </w:rPr>
        <w:t>.</w:t>
      </w:r>
      <w:r w:rsidRPr="000559B4">
        <w:rPr>
          <w:kern w:val="2"/>
          <w:vertAlign w:val="superscript"/>
          <w14:ligatures w14:val="standardContextual"/>
        </w:rPr>
        <w:footnoteReference w:id="7"/>
      </w:r>
      <w:r w:rsidRPr="000559B4">
        <w:rPr>
          <w:kern w:val="2"/>
          <w14:ligatures w14:val="standardContextual"/>
        </w:rPr>
        <w:t xml:space="preserve"> It includes testing the effects of the unlinked population on the</w:t>
      </w:r>
      <w:r w:rsidR="00F428ED">
        <w:rPr>
          <w:kern w:val="2"/>
          <w14:ligatures w14:val="standardContextual"/>
        </w:rPr>
        <w:t xml:space="preserve"> estimate of a</w:t>
      </w:r>
      <w:r w:rsidRPr="000559B4">
        <w:rPr>
          <w:kern w:val="2"/>
          <w14:ligatures w14:val="standardContextual"/>
        </w:rPr>
        <w:t xml:space="preserve"> </w:t>
      </w:r>
      <w:r w:rsidR="002B47FF" w:rsidRPr="000559B4">
        <w:rPr>
          <w:kern w:val="2"/>
          <w14:ligatures w14:val="standardContextual"/>
        </w:rPr>
        <w:t xml:space="preserve">school’s </w:t>
      </w:r>
      <w:r w:rsidRPr="000559B4">
        <w:rPr>
          <w:kern w:val="2"/>
          <w14:ligatures w14:val="standardContextual"/>
        </w:rPr>
        <w:t xml:space="preserve">median </w:t>
      </w:r>
      <w:r w:rsidR="00012553" w:rsidRPr="000559B4">
        <w:rPr>
          <w:kern w:val="2"/>
          <w14:ligatures w14:val="standardContextual"/>
        </w:rPr>
        <w:t xml:space="preserve">family </w:t>
      </w:r>
      <w:r w:rsidRPr="000559B4">
        <w:rPr>
          <w:kern w:val="2"/>
          <w14:ligatures w14:val="standardContextual"/>
        </w:rPr>
        <w:t>income</w:t>
      </w:r>
      <w:r w:rsidR="002B47FF" w:rsidRPr="000559B4">
        <w:rPr>
          <w:kern w:val="2"/>
          <w14:ligatures w14:val="standardContextual"/>
        </w:rPr>
        <w:t>. It also tests</w:t>
      </w:r>
      <w:r w:rsidRPr="000559B4">
        <w:rPr>
          <w:kern w:val="2"/>
          <w14:ligatures w14:val="standardContextual"/>
        </w:rPr>
        <w:t xml:space="preserve"> the score’s accuracy and volatility.</w:t>
      </w:r>
      <w:r w:rsidR="0026791E" w:rsidRPr="000559B4">
        <w:rPr>
          <w:rStyle w:val="FootnoteReference"/>
          <w:kern w:val="2"/>
          <w14:ligatures w14:val="standardContextual"/>
        </w:rPr>
        <w:footnoteReference w:id="8"/>
      </w:r>
    </w:p>
    <w:p w14:paraId="74D003DD" w14:textId="4F00AE13" w:rsidR="008815D9" w:rsidRPr="000559B4" w:rsidRDefault="008815D9" w:rsidP="003F37BD">
      <w:pPr>
        <w:pStyle w:val="Heading6"/>
      </w:pPr>
      <w:bookmarkStart w:id="25" w:name="_Toc172811549"/>
      <w:bookmarkStart w:id="26" w:name="_Toc129701968"/>
      <w:r w:rsidRPr="000559B4">
        <w:t>RAB</w:t>
      </w:r>
      <w:r w:rsidR="006804DA" w:rsidRPr="000559B4">
        <w:t xml:space="preserve">-based </w:t>
      </w:r>
      <w:r w:rsidR="00BA1F02" w:rsidRPr="000559B4">
        <w:t>CTC score</w:t>
      </w:r>
      <w:bookmarkEnd w:id="25"/>
      <w:bookmarkEnd w:id="26"/>
      <w:r w:rsidR="006804DA" w:rsidRPr="000559B4">
        <w:t>s</w:t>
      </w:r>
    </w:p>
    <w:p w14:paraId="032CDB55" w14:textId="0D7B4D82" w:rsidR="00E26598" w:rsidRPr="000559B4" w:rsidRDefault="000559B4" w:rsidP="00E26598">
      <w:pPr>
        <w:rPr>
          <w:kern w:val="2"/>
          <w14:ligatures w14:val="standardContextual"/>
        </w:rPr>
      </w:pPr>
      <w:r w:rsidRPr="000559B4">
        <w:rPr>
          <w:kern w:val="2"/>
          <w14:ligatures w14:val="standardContextual"/>
        </w:rPr>
        <w:t>Except for the CTC score for 2026, the Regulations require the school’s CTC score to be a RAB-based score i</w:t>
      </w:r>
      <w:r w:rsidR="00E26598" w:rsidRPr="000559B4">
        <w:rPr>
          <w:kern w:val="2"/>
          <w14:ligatures w14:val="standardContextual"/>
        </w:rPr>
        <w:t xml:space="preserve">f the </w:t>
      </w:r>
      <w:r w:rsidR="00AC2154" w:rsidRPr="000559B4">
        <w:rPr>
          <w:kern w:val="2"/>
          <w14:ligatures w14:val="standardContextual"/>
        </w:rPr>
        <w:t xml:space="preserve">average </w:t>
      </w:r>
      <w:r w:rsidR="00E26598" w:rsidRPr="000559B4">
        <w:rPr>
          <w:kern w:val="2"/>
          <w14:ligatures w14:val="standardContextual"/>
        </w:rPr>
        <w:t xml:space="preserve">DMI </w:t>
      </w:r>
      <w:r w:rsidR="00AC2154" w:rsidRPr="000559B4">
        <w:rPr>
          <w:kern w:val="2"/>
          <w14:ligatures w14:val="standardContextual"/>
        </w:rPr>
        <w:t>score is not available</w:t>
      </w:r>
      <w:r w:rsidR="00E26598" w:rsidRPr="000559B4">
        <w:rPr>
          <w:kern w:val="2"/>
          <w14:ligatures w14:val="standardContextual"/>
        </w:rPr>
        <w:t>.</w:t>
      </w:r>
      <w:r w:rsidR="00E26598" w:rsidRPr="000559B4">
        <w:rPr>
          <w:kern w:val="2"/>
          <w:vertAlign w:val="superscript"/>
          <w14:ligatures w14:val="standardContextual"/>
        </w:rPr>
        <w:footnoteReference w:id="9"/>
      </w:r>
      <w:r w:rsidR="00E26598" w:rsidRPr="000559B4">
        <w:rPr>
          <w:kern w:val="2"/>
          <w14:ligatures w14:val="standardContextual"/>
        </w:rPr>
        <w:t xml:space="preserve"> </w:t>
      </w:r>
    </w:p>
    <w:p w14:paraId="7A1EBE3F" w14:textId="51EE6AEE" w:rsidR="00FD296D" w:rsidRPr="000559B4" w:rsidRDefault="009E46AE" w:rsidP="003E3291">
      <w:pPr>
        <w:rPr>
          <w:rFonts w:ascii="Calibri" w:eastAsia="Calibri" w:hAnsi="Calibri" w:cs="Times New Roman"/>
        </w:rPr>
      </w:pPr>
      <w:r w:rsidRPr="000559B4">
        <w:rPr>
          <w:kern w:val="2"/>
          <w14:ligatures w14:val="standardContextual"/>
        </w:rPr>
        <w:t xml:space="preserve">A school’s RAB score is based on family and household income information of the </w:t>
      </w:r>
      <w:r w:rsidR="007C54AC" w:rsidRPr="000559B4">
        <w:rPr>
          <w:kern w:val="2"/>
          <w14:ligatures w14:val="standardContextual"/>
        </w:rPr>
        <w:t>S</w:t>
      </w:r>
      <w:r w:rsidR="002D658F" w:rsidRPr="000559B4">
        <w:rPr>
          <w:kern w:val="2"/>
          <w14:ligatures w14:val="standardContextual"/>
        </w:rPr>
        <w:t>tatistical Area</w:t>
      </w:r>
      <w:r w:rsidR="00D81461" w:rsidRPr="000559B4">
        <w:rPr>
          <w:kern w:val="2"/>
          <w14:ligatures w14:val="standardContextual"/>
        </w:rPr>
        <w:t xml:space="preserve"> Level </w:t>
      </w:r>
      <w:r w:rsidR="002D658F" w:rsidRPr="000559B4">
        <w:rPr>
          <w:kern w:val="2"/>
          <w14:ligatures w14:val="standardContextual"/>
        </w:rPr>
        <w:t>1</w:t>
      </w:r>
      <w:r w:rsidR="00D81461" w:rsidRPr="000559B4">
        <w:rPr>
          <w:kern w:val="2"/>
          <w14:ligatures w14:val="standardContextual"/>
        </w:rPr>
        <w:t>s</w:t>
      </w:r>
      <w:r w:rsidR="002D658F" w:rsidRPr="000559B4">
        <w:rPr>
          <w:kern w:val="2"/>
          <w14:ligatures w14:val="standardContextual"/>
        </w:rPr>
        <w:t xml:space="preserve"> (SA1s)</w:t>
      </w:r>
      <w:r w:rsidRPr="000559B4">
        <w:rPr>
          <w:kern w:val="2"/>
          <w14:ligatures w14:val="standardContextual"/>
        </w:rPr>
        <w:t xml:space="preserve"> where </w:t>
      </w:r>
      <w:r w:rsidR="002D658F" w:rsidRPr="000559B4">
        <w:rPr>
          <w:kern w:val="2"/>
          <w14:ligatures w14:val="standardContextual"/>
        </w:rPr>
        <w:t xml:space="preserve">the </w:t>
      </w:r>
      <w:r w:rsidRPr="000559B4">
        <w:rPr>
          <w:kern w:val="2"/>
          <w14:ligatures w14:val="standardContextual"/>
        </w:rPr>
        <w:t xml:space="preserve">students at a school </w:t>
      </w:r>
      <w:r w:rsidR="00F428ED">
        <w:rPr>
          <w:kern w:val="2"/>
          <w14:ligatures w14:val="standardContextual"/>
        </w:rPr>
        <w:t>reside</w:t>
      </w:r>
      <w:r w:rsidRPr="000559B4">
        <w:rPr>
          <w:kern w:val="2"/>
          <w14:ligatures w14:val="standardContextual"/>
        </w:rPr>
        <w:t xml:space="preserve">. The data used is from the </w:t>
      </w:r>
      <w:r w:rsidR="00D25F7A" w:rsidRPr="000559B4">
        <w:rPr>
          <w:kern w:val="2"/>
          <w14:ligatures w14:val="standardContextual"/>
        </w:rPr>
        <w:t>2021</w:t>
      </w:r>
      <w:r w:rsidRPr="000559B4">
        <w:rPr>
          <w:kern w:val="2"/>
          <w14:ligatures w14:val="standardContextual"/>
        </w:rPr>
        <w:t xml:space="preserve"> ABS Census </w:t>
      </w:r>
      <w:bookmarkStart w:id="27" w:name="_Hlk207785755"/>
      <w:r w:rsidRPr="000559B4">
        <w:rPr>
          <w:kern w:val="2"/>
          <w14:ligatures w14:val="standardContextual"/>
        </w:rPr>
        <w:t>of Population and Housing</w:t>
      </w:r>
      <w:bookmarkEnd w:id="27"/>
      <w:r w:rsidRPr="000559B4">
        <w:rPr>
          <w:kern w:val="2"/>
          <w14:ligatures w14:val="standardContextual"/>
        </w:rPr>
        <w:t xml:space="preserve"> </w:t>
      </w:r>
      <w:r w:rsidR="00325C2B" w:rsidRPr="000559B4">
        <w:rPr>
          <w:kern w:val="2"/>
          <w14:ligatures w14:val="standardContextual"/>
        </w:rPr>
        <w:t xml:space="preserve">for </w:t>
      </w:r>
      <w:r w:rsidR="00F428ED">
        <w:rPr>
          <w:kern w:val="2"/>
          <w14:ligatures w14:val="standardContextual"/>
        </w:rPr>
        <w:t>students</w:t>
      </w:r>
      <w:r w:rsidR="00325C2B" w:rsidRPr="000559B4">
        <w:rPr>
          <w:kern w:val="2"/>
          <w14:ligatures w14:val="standardContextual"/>
        </w:rPr>
        <w:t xml:space="preserve"> included in the school’s </w:t>
      </w:r>
      <w:r w:rsidR="00F92A2E">
        <w:rPr>
          <w:kern w:val="2"/>
          <w14:ligatures w14:val="standardContextual"/>
        </w:rPr>
        <w:t xml:space="preserve">annual </w:t>
      </w:r>
      <w:r w:rsidR="00325C2B" w:rsidRPr="000559B4">
        <w:rPr>
          <w:kern w:val="2"/>
          <w14:ligatures w14:val="standardContextual"/>
        </w:rPr>
        <w:t xml:space="preserve">statement of addresses </w:t>
      </w:r>
      <w:r w:rsidR="00FF38F1" w:rsidRPr="000559B4">
        <w:rPr>
          <w:kern w:val="2"/>
          <w14:ligatures w14:val="standardContextual"/>
        </w:rPr>
        <w:t xml:space="preserve">provided through the </w:t>
      </w:r>
      <w:r w:rsidR="00325C2B" w:rsidRPr="000559B4">
        <w:rPr>
          <w:kern w:val="2"/>
          <w14:ligatures w14:val="standardContextual"/>
        </w:rPr>
        <w:t>Address Collection.</w:t>
      </w:r>
    </w:p>
    <w:p w14:paraId="60AA9196" w14:textId="265170B5" w:rsidR="00325C2B" w:rsidRPr="000559B4" w:rsidRDefault="00364133" w:rsidP="00325C2B">
      <w:pPr>
        <w:pStyle w:val="Heading4"/>
      </w:pPr>
      <w:bookmarkStart w:id="28" w:name="_Toc211945327"/>
      <w:r w:rsidRPr="000559B4">
        <w:t>CTC scores for 2026</w:t>
      </w:r>
      <w:r w:rsidR="00325C2B" w:rsidRPr="000559B4">
        <w:t xml:space="preserve"> – </w:t>
      </w:r>
      <w:r w:rsidR="00E95F67" w:rsidRPr="000559B4">
        <w:t xml:space="preserve">rollover </w:t>
      </w:r>
      <w:r w:rsidR="005A51B9" w:rsidRPr="000559B4">
        <w:t xml:space="preserve">of </w:t>
      </w:r>
      <w:r w:rsidR="00325C2B" w:rsidRPr="000559B4">
        <w:t>202</w:t>
      </w:r>
      <w:r w:rsidR="005A51B9" w:rsidRPr="000559B4">
        <w:t>5</w:t>
      </w:r>
      <w:r w:rsidR="00325C2B" w:rsidRPr="000559B4">
        <w:t xml:space="preserve"> </w:t>
      </w:r>
      <w:r w:rsidR="00BA1F02" w:rsidRPr="000559B4">
        <w:t>CTC score</w:t>
      </w:r>
      <w:r w:rsidR="005A51B9" w:rsidRPr="000559B4">
        <w:t>s</w:t>
      </w:r>
      <w:bookmarkEnd w:id="28"/>
      <w:r w:rsidR="005A51B9" w:rsidRPr="000559B4">
        <w:t xml:space="preserve"> </w:t>
      </w:r>
    </w:p>
    <w:p w14:paraId="63D746B7" w14:textId="4E592514" w:rsidR="00E95F67" w:rsidRPr="000559B4" w:rsidRDefault="00364133" w:rsidP="00E95F67">
      <w:pPr>
        <w:rPr>
          <w:kern w:val="2"/>
          <w14:ligatures w14:val="standardContextual"/>
        </w:rPr>
      </w:pPr>
      <w:r w:rsidRPr="000559B4">
        <w:rPr>
          <w:kern w:val="2"/>
          <w14:ligatures w14:val="standardContextual"/>
        </w:rPr>
        <w:t>The</w:t>
      </w:r>
      <w:r w:rsidR="00325C2B" w:rsidRPr="000559B4">
        <w:rPr>
          <w:kern w:val="2"/>
          <w14:ligatures w14:val="standardContextual"/>
        </w:rPr>
        <w:t xml:space="preserve"> Regulations</w:t>
      </w:r>
      <w:r w:rsidR="00E33C55" w:rsidRPr="000559B4">
        <w:rPr>
          <w:kern w:val="2"/>
          <w14:ligatures w14:val="standardContextual"/>
        </w:rPr>
        <w:t xml:space="preserve"> </w:t>
      </w:r>
      <w:r w:rsidR="00325C2B" w:rsidRPr="000559B4">
        <w:rPr>
          <w:kern w:val="2"/>
          <w14:ligatures w14:val="standardContextual"/>
        </w:rPr>
        <w:t>require a school’s 2026 CTC score to be the same value as its 2025 CTC score.</w:t>
      </w:r>
      <w:r w:rsidR="00494B1B">
        <w:rPr>
          <w:rStyle w:val="FootnoteReference"/>
          <w:kern w:val="2"/>
          <w14:ligatures w14:val="standardContextual"/>
        </w:rPr>
        <w:footnoteReference w:id="10"/>
      </w:r>
      <w:r w:rsidR="00325C2B" w:rsidRPr="000559B4">
        <w:rPr>
          <w:kern w:val="2"/>
          <w:vertAlign w:val="superscript"/>
          <w14:ligatures w14:val="standardContextual"/>
        </w:rPr>
        <w:t xml:space="preserve"> </w:t>
      </w:r>
    </w:p>
    <w:p w14:paraId="4430376F" w14:textId="3F47E990" w:rsidR="00E95F67" w:rsidRPr="000559B4" w:rsidRDefault="00325C2B" w:rsidP="00E95F67">
      <w:pPr>
        <w:rPr>
          <w:kern w:val="2"/>
          <w14:ligatures w14:val="standardContextual"/>
        </w:rPr>
      </w:pPr>
      <w:r w:rsidRPr="00C60248">
        <w:rPr>
          <w:kern w:val="2"/>
          <w14:ligatures w14:val="standardContextual"/>
        </w:rPr>
        <w:t>This policy adjustment</w:t>
      </w:r>
      <w:r w:rsidR="00784F2B" w:rsidRPr="00C60248">
        <w:rPr>
          <w:kern w:val="2"/>
          <w14:ligatures w14:val="standardContextual"/>
        </w:rPr>
        <w:t xml:space="preserve"> is a 2025 election commitment which</w:t>
      </w:r>
      <w:r w:rsidRPr="00C60248">
        <w:rPr>
          <w:kern w:val="2"/>
          <w14:ligatures w14:val="standardContextual"/>
        </w:rPr>
        <w:t xml:space="preserve"> responds to stakeholder requests for more timely release of CTC scores. It means 2026 CTC scores </w:t>
      </w:r>
      <w:r w:rsidR="00E95F67" w:rsidRPr="00C60248">
        <w:rPr>
          <w:kern w:val="2"/>
          <w14:ligatures w14:val="standardContextual"/>
        </w:rPr>
        <w:t>are</w:t>
      </w:r>
      <w:r w:rsidRPr="00C60248">
        <w:rPr>
          <w:kern w:val="2"/>
          <w14:ligatures w14:val="standardContextual"/>
        </w:rPr>
        <w:t xml:space="preserve"> available to meet schools’ budgeting timeframes for the 2026 funding year</w:t>
      </w:r>
      <w:r w:rsidR="00543F2C" w:rsidRPr="00C60248">
        <w:rPr>
          <w:kern w:val="2"/>
          <w14:ligatures w14:val="standardContextual"/>
        </w:rPr>
        <w:t xml:space="preserve">. </w:t>
      </w:r>
      <w:r w:rsidR="001B01EB" w:rsidRPr="00C60248">
        <w:rPr>
          <w:kern w:val="2"/>
          <w14:ligatures w14:val="standardContextual"/>
        </w:rPr>
        <w:t>The department remains committed to finding efficiencies across the CTC score calculation cycle to support the earlier release of annual scores each year.</w:t>
      </w:r>
    </w:p>
    <w:p w14:paraId="279086D4" w14:textId="5DBE4C86" w:rsidR="00E95F67" w:rsidRPr="000559B4" w:rsidRDefault="00E95F67" w:rsidP="00E95F67">
      <w:pPr>
        <w:rPr>
          <w:kern w:val="2"/>
          <w14:ligatures w14:val="standardContextual"/>
        </w:rPr>
      </w:pPr>
      <w:r w:rsidRPr="000559B4">
        <w:rPr>
          <w:b/>
          <w:bCs/>
          <w:kern w:val="2"/>
          <w14:ligatures w14:val="standardContextual"/>
        </w:rPr>
        <w:t>Note:</w:t>
      </w:r>
      <w:r w:rsidRPr="000559B4">
        <w:rPr>
          <w:kern w:val="2"/>
          <w14:ligatures w14:val="standardContextual"/>
        </w:rPr>
        <w:t xml:space="preserve"> </w:t>
      </w:r>
      <w:r w:rsidR="00784F2B" w:rsidRPr="000559B4">
        <w:rPr>
          <w:kern w:val="2"/>
          <w14:ligatures w14:val="standardContextual"/>
        </w:rPr>
        <w:t>For n</w:t>
      </w:r>
      <w:r w:rsidRPr="000559B4">
        <w:rPr>
          <w:kern w:val="2"/>
          <w14:ligatures w14:val="standardContextual"/>
        </w:rPr>
        <w:t>ew schools which do not have a 2025 CTC score</w:t>
      </w:r>
      <w:r w:rsidR="00784F2B" w:rsidRPr="000559B4">
        <w:rPr>
          <w:kern w:val="2"/>
          <w14:ligatures w14:val="standardContextual"/>
        </w:rPr>
        <w:t>, the Minister’s delegate will determine a</w:t>
      </w:r>
      <w:r w:rsidRPr="000559B4">
        <w:rPr>
          <w:kern w:val="2"/>
          <w14:ligatures w14:val="standardContextual"/>
        </w:rPr>
        <w:t xml:space="preserve"> RAB-based </w:t>
      </w:r>
      <w:r w:rsidR="00784F2B" w:rsidRPr="000559B4">
        <w:rPr>
          <w:kern w:val="2"/>
          <w14:ligatures w14:val="standardContextual"/>
        </w:rPr>
        <w:t>2026 </w:t>
      </w:r>
      <w:r w:rsidRPr="000559B4">
        <w:rPr>
          <w:kern w:val="2"/>
          <w14:ligatures w14:val="standardContextual"/>
        </w:rPr>
        <w:t>CTC score</w:t>
      </w:r>
      <w:r w:rsidR="007B2A7B" w:rsidRPr="000559B4">
        <w:rPr>
          <w:kern w:val="2"/>
          <w14:ligatures w14:val="standardContextual"/>
        </w:rPr>
        <w:t xml:space="preserve"> in accordance with the Regulations</w:t>
      </w:r>
      <w:r w:rsidRPr="000559B4">
        <w:rPr>
          <w:kern w:val="2"/>
          <w14:ligatures w14:val="standardContextual"/>
        </w:rPr>
        <w:t>.</w:t>
      </w:r>
    </w:p>
    <w:p w14:paraId="39CB1D26" w14:textId="74315857" w:rsidR="008815D9" w:rsidRPr="000559B4" w:rsidRDefault="008815D9" w:rsidP="003E3291">
      <w:pPr>
        <w:pStyle w:val="Heading4"/>
      </w:pPr>
      <w:bookmarkStart w:id="29" w:name="_Toc172811550"/>
      <w:bookmarkStart w:id="30" w:name="_Toc129701969"/>
      <w:bookmarkStart w:id="31" w:name="_Toc211945328"/>
      <w:r w:rsidRPr="000559B4">
        <w:lastRenderedPageBreak/>
        <w:t>Other methodologies</w:t>
      </w:r>
      <w:bookmarkEnd w:id="29"/>
      <w:bookmarkEnd w:id="30"/>
      <w:bookmarkEnd w:id="31"/>
    </w:p>
    <w:p w14:paraId="69F78B4B" w14:textId="747F9A72" w:rsidR="00BC78F1" w:rsidRPr="000559B4" w:rsidRDefault="00BC78F1" w:rsidP="003E3291">
      <w:pPr>
        <w:rPr>
          <w:kern w:val="2"/>
          <w14:ligatures w14:val="standardContextual"/>
        </w:rPr>
      </w:pPr>
      <w:r w:rsidRPr="000559B4">
        <w:rPr>
          <w:kern w:val="2"/>
          <w14:ligatures w14:val="standardContextual"/>
        </w:rPr>
        <w:t xml:space="preserve">If the Minister (or delegate) </w:t>
      </w:r>
      <w:r w:rsidR="00325C2B" w:rsidRPr="000559B4">
        <w:rPr>
          <w:kern w:val="2"/>
          <w14:ligatures w14:val="standardContextual"/>
        </w:rPr>
        <w:t xml:space="preserve">is not satisfied </w:t>
      </w:r>
      <w:r w:rsidRPr="000559B4">
        <w:rPr>
          <w:kern w:val="2"/>
          <w14:ligatures w14:val="standardContextual"/>
        </w:rPr>
        <w:t xml:space="preserve">using a method </w:t>
      </w:r>
      <w:r w:rsidR="006F0E45" w:rsidRPr="000559B4">
        <w:rPr>
          <w:rFonts w:ascii="Calibri" w:eastAsia="Calibri" w:hAnsi="Calibri" w:cs="Times New Roman"/>
        </w:rPr>
        <w:t>included in</w:t>
      </w:r>
      <w:r w:rsidR="005604FB" w:rsidRPr="000559B4">
        <w:rPr>
          <w:kern w:val="2"/>
          <w14:ligatures w14:val="standardContextual"/>
        </w:rPr>
        <w:t xml:space="preserve"> </w:t>
      </w:r>
      <w:r w:rsidRPr="000559B4">
        <w:rPr>
          <w:kern w:val="2"/>
          <w14:ligatures w14:val="standardContextual"/>
        </w:rPr>
        <w:t>the Regulation</w:t>
      </w:r>
      <w:r w:rsidR="00E729F5" w:rsidRPr="000559B4">
        <w:rPr>
          <w:kern w:val="2"/>
          <w14:ligatures w14:val="standardContextual"/>
        </w:rPr>
        <w:t>s</w:t>
      </w:r>
      <w:r w:rsidRPr="000559B4">
        <w:rPr>
          <w:kern w:val="2"/>
          <w14:ligatures w14:val="standardContextual"/>
        </w:rPr>
        <w:t xml:space="preserve"> would result in an accurate </w:t>
      </w:r>
      <w:r w:rsidR="00BA1F02" w:rsidRPr="000559B4">
        <w:rPr>
          <w:kern w:val="2"/>
          <w14:ligatures w14:val="standardContextual"/>
        </w:rPr>
        <w:t>CTC score</w:t>
      </w:r>
      <w:r w:rsidRPr="000559B4">
        <w:rPr>
          <w:kern w:val="2"/>
          <w14:ligatures w14:val="standardContextual"/>
        </w:rPr>
        <w:t xml:space="preserve">, </w:t>
      </w:r>
      <w:r w:rsidR="006F0E45" w:rsidRPr="000559B4">
        <w:rPr>
          <w:rFonts w:ascii="Calibri" w:eastAsia="Calibri" w:hAnsi="Calibri" w:cs="Times New Roman"/>
        </w:rPr>
        <w:t>an alternative</w:t>
      </w:r>
      <w:r w:rsidRPr="000559B4">
        <w:rPr>
          <w:kern w:val="2"/>
          <w14:ligatures w14:val="standardContextual"/>
        </w:rPr>
        <w:t xml:space="preserve"> method can be used.</w:t>
      </w:r>
      <w:r w:rsidRPr="000559B4">
        <w:rPr>
          <w:rStyle w:val="FootnoteReference"/>
          <w:kern w:val="2"/>
          <w14:ligatures w14:val="standardContextual"/>
        </w:rPr>
        <w:footnoteReference w:id="11"/>
      </w:r>
      <w:r w:rsidRPr="000559B4">
        <w:rPr>
          <w:kern w:val="2"/>
          <w14:ligatures w14:val="standardContextual"/>
        </w:rPr>
        <w:t xml:space="preserve"> A CTC score calculated using </w:t>
      </w:r>
      <w:r w:rsidR="0005336F" w:rsidRPr="000559B4">
        <w:rPr>
          <w:kern w:val="2"/>
          <w14:ligatures w14:val="standardContextual"/>
        </w:rPr>
        <w:t xml:space="preserve">an alternative </w:t>
      </w:r>
      <w:r w:rsidRPr="000559B4">
        <w:rPr>
          <w:kern w:val="2"/>
          <w14:ligatures w14:val="standardContextual"/>
        </w:rPr>
        <w:t>method is known as a ‘deemed’ score.</w:t>
      </w:r>
      <w:bookmarkStart w:id="33" w:name="_Toc110520287"/>
      <w:r w:rsidR="00B86AEB" w:rsidRPr="000559B4">
        <w:rPr>
          <w:kern w:val="2"/>
          <w14:ligatures w14:val="standardContextual"/>
        </w:rPr>
        <w:t xml:space="preserve"> </w:t>
      </w:r>
    </w:p>
    <w:p w14:paraId="195C487E" w14:textId="09F0BDE5" w:rsidR="00BC78F1" w:rsidRPr="000559B4" w:rsidRDefault="00BC78F1" w:rsidP="00B14ADF">
      <w:pPr>
        <w:pStyle w:val="Heading2"/>
      </w:pPr>
      <w:bookmarkStart w:id="34" w:name="_Toc129701970"/>
      <w:bookmarkStart w:id="35" w:name="_Toc211945329"/>
      <w:r w:rsidRPr="000559B4">
        <w:t xml:space="preserve">Applying for a </w:t>
      </w:r>
      <w:r w:rsidR="00BA1F02" w:rsidRPr="000559B4">
        <w:t>CTC score</w:t>
      </w:r>
      <w:r w:rsidRPr="000559B4">
        <w:t xml:space="preserve"> review</w:t>
      </w:r>
      <w:bookmarkEnd w:id="33"/>
      <w:bookmarkEnd w:id="34"/>
      <w:bookmarkEnd w:id="35"/>
    </w:p>
    <w:p w14:paraId="0455C98B" w14:textId="7E3F84DD" w:rsidR="00BC78F1" w:rsidRPr="000559B4" w:rsidRDefault="00325C2B" w:rsidP="00B14ADF">
      <w:pPr>
        <w:pStyle w:val="Heading3"/>
        <w:rPr>
          <w:color w:val="auto"/>
          <w:sz w:val="22"/>
        </w:rPr>
      </w:pPr>
      <w:bookmarkStart w:id="36" w:name="_RAB_score"/>
      <w:bookmarkStart w:id="37" w:name="_Toc110520288"/>
      <w:bookmarkStart w:id="38" w:name="_Toc129701971"/>
      <w:bookmarkStart w:id="39" w:name="_Toc211945330"/>
      <w:bookmarkEnd w:id="36"/>
      <w:r w:rsidRPr="000559B4">
        <w:t>Important considerations</w:t>
      </w:r>
      <w:bookmarkEnd w:id="37"/>
      <w:bookmarkEnd w:id="38"/>
      <w:bookmarkEnd w:id="39"/>
    </w:p>
    <w:p w14:paraId="7AD89288" w14:textId="77777777" w:rsidR="000B4581" w:rsidRDefault="00BC78F1" w:rsidP="00D629A3">
      <w:pPr>
        <w:pStyle w:val="ListBullet"/>
        <w:spacing w:after="120"/>
        <w:contextualSpacing w:val="0"/>
      </w:pPr>
      <w:r w:rsidRPr="000559B4">
        <w:t xml:space="preserve">The </w:t>
      </w:r>
      <w:r w:rsidR="00BA1F02" w:rsidRPr="000559B4">
        <w:t>CTC score</w:t>
      </w:r>
      <w:r w:rsidRPr="000559B4">
        <w:t xml:space="preserve"> review process operates to assist a small number of schools in highly exceptional circumstances.</w:t>
      </w:r>
    </w:p>
    <w:p w14:paraId="2B68E973" w14:textId="79309D5E" w:rsidR="007B324A" w:rsidRPr="000559B4" w:rsidRDefault="00D4311B" w:rsidP="00D629A3">
      <w:pPr>
        <w:pStyle w:val="ListBullet"/>
        <w:spacing w:after="120"/>
        <w:contextualSpacing w:val="0"/>
      </w:pPr>
      <w:r>
        <w:t xml:space="preserve">Before </w:t>
      </w:r>
      <w:r w:rsidR="009F709B">
        <w:t>applying for a CTC score review</w:t>
      </w:r>
      <w:r>
        <w:t xml:space="preserve">, </w:t>
      </w:r>
      <w:r w:rsidR="009A69D8">
        <w:t xml:space="preserve">approved </w:t>
      </w:r>
      <w:r w:rsidR="00D629A3">
        <w:t>authorities</w:t>
      </w:r>
      <w:r w:rsidR="009A69D8">
        <w:t xml:space="preserve"> should check with their </w:t>
      </w:r>
      <w:r w:rsidR="001536DC">
        <w:t>N</w:t>
      </w:r>
      <w:r w:rsidR="009A69D8">
        <w:t>on-</w:t>
      </w:r>
      <w:r w:rsidR="001536DC">
        <w:t>G</w:t>
      </w:r>
      <w:r w:rsidR="009A69D8">
        <w:t xml:space="preserve">overnment </w:t>
      </w:r>
      <w:r w:rsidR="001536DC">
        <w:t>R</w:t>
      </w:r>
      <w:r w:rsidR="00D629A3">
        <w:t>epresentative</w:t>
      </w:r>
      <w:r w:rsidR="009A69D8">
        <w:t xml:space="preserve"> </w:t>
      </w:r>
      <w:r w:rsidR="001536DC">
        <w:t>B</w:t>
      </w:r>
      <w:r w:rsidR="009A69D8">
        <w:t xml:space="preserve">ody </w:t>
      </w:r>
      <w:r w:rsidR="00F6061C">
        <w:t xml:space="preserve">(NGRB) </w:t>
      </w:r>
      <w:r w:rsidR="009A69D8">
        <w:t xml:space="preserve">to </w:t>
      </w:r>
      <w:r w:rsidR="00D629A3">
        <w:t xml:space="preserve">see </w:t>
      </w:r>
      <w:r w:rsidR="009A69D8">
        <w:t xml:space="preserve">if </w:t>
      </w:r>
      <w:r w:rsidR="00703681">
        <w:t>the school is eligible for</w:t>
      </w:r>
      <w:r w:rsidR="009A69D8">
        <w:t xml:space="preserve"> support </w:t>
      </w:r>
      <w:r w:rsidR="009F709B">
        <w:t>under the Choice and Affordability Fund</w:t>
      </w:r>
      <w:r w:rsidR="00FD2801">
        <w:t>.</w:t>
      </w:r>
      <w:r w:rsidR="009F709B">
        <w:rPr>
          <w:rStyle w:val="FootnoteReference"/>
        </w:rPr>
        <w:footnoteReference w:id="12"/>
      </w:r>
    </w:p>
    <w:p w14:paraId="22922237" w14:textId="18554C54" w:rsidR="00BC78F1" w:rsidRPr="000559B4" w:rsidRDefault="00BC78F1" w:rsidP="000F1BA3">
      <w:pPr>
        <w:pStyle w:val="ListBullet"/>
        <w:spacing w:after="120"/>
        <w:contextualSpacing w:val="0"/>
      </w:pPr>
      <w:r w:rsidRPr="000559B4">
        <w:t xml:space="preserve">A </w:t>
      </w:r>
      <w:r w:rsidR="00BA1F02" w:rsidRPr="000559B4">
        <w:t>CTC score</w:t>
      </w:r>
      <w:r w:rsidRPr="000559B4">
        <w:t xml:space="preserve"> is a relative measure – it provides a</w:t>
      </w:r>
      <w:r w:rsidR="007B5814" w:rsidRPr="000559B4">
        <w:t xml:space="preserve"> measure</w:t>
      </w:r>
      <w:r w:rsidRPr="000559B4">
        <w:t xml:space="preserve"> of the relative anticipated financial capacity of the persons responsible for students at a non-government school to contribute to the operating costs of that school</w:t>
      </w:r>
      <w:r w:rsidR="0017609D" w:rsidRPr="000559B4">
        <w:t xml:space="preserve"> relative to the capacity at other non-government schools</w:t>
      </w:r>
      <w:r w:rsidRPr="000559B4">
        <w:t>.</w:t>
      </w:r>
    </w:p>
    <w:p w14:paraId="74DADBA0" w14:textId="3D555463" w:rsidR="00364133" w:rsidRPr="000559B4" w:rsidRDefault="00364133" w:rsidP="000F1BA3">
      <w:pPr>
        <w:pStyle w:val="ListBullet"/>
        <w:spacing w:after="120"/>
        <w:contextualSpacing w:val="0"/>
      </w:pPr>
      <w:r w:rsidRPr="000559B4">
        <w:t xml:space="preserve">The </w:t>
      </w:r>
      <w:r w:rsidR="0032046F" w:rsidRPr="000559B4">
        <w:t>ABS’s</w:t>
      </w:r>
      <w:r w:rsidRPr="000559B4">
        <w:t xml:space="preserve"> </w:t>
      </w:r>
      <w:r w:rsidR="0032046F" w:rsidRPr="000559B4">
        <w:t xml:space="preserve">Capacity to Contribute </w:t>
      </w:r>
      <w:r w:rsidRPr="000559B4">
        <w:t>Data Quality Framework sets out an extensive process to ensure the accuracy of DMI</w:t>
      </w:r>
      <w:r w:rsidR="0032046F" w:rsidRPr="000559B4">
        <w:t>-based CTC</w:t>
      </w:r>
      <w:r w:rsidRPr="000559B4">
        <w:t> scores.</w:t>
      </w:r>
      <w:r w:rsidRPr="000559B4">
        <w:rPr>
          <w:rStyle w:val="FootnoteReference"/>
        </w:rPr>
        <w:footnoteReference w:id="13"/>
      </w:r>
    </w:p>
    <w:p w14:paraId="2E82F5DB" w14:textId="5E01CD20" w:rsidR="00B93284" w:rsidRPr="00B93284" w:rsidRDefault="008B1B6C" w:rsidP="00B93284">
      <w:pPr>
        <w:pStyle w:val="ListBullet"/>
        <w:spacing w:after="120"/>
        <w:contextualSpacing w:val="0"/>
      </w:pPr>
      <w:r w:rsidRPr="000559B4">
        <w:t>The CTC score review process is not designed to provide additional funding to support a school’s financial viability.</w:t>
      </w:r>
      <w:r w:rsidR="00B93284">
        <w:t xml:space="preserve"> </w:t>
      </w:r>
      <w:r w:rsidR="00B93284" w:rsidRPr="00B93284">
        <w:t xml:space="preserve">Approved authorities with concerns about their school’s financial viability should seek support from their NGRB. </w:t>
      </w:r>
    </w:p>
    <w:p w14:paraId="4C3A11CF" w14:textId="5CDAD8C1" w:rsidR="006D02B5" w:rsidRDefault="00215FCE" w:rsidP="000B31FE">
      <w:pPr>
        <w:pStyle w:val="ListBullet"/>
        <w:spacing w:after="120"/>
        <w:contextualSpacing w:val="0"/>
      </w:pPr>
      <w:r>
        <w:t>A review will not proceed where</w:t>
      </w:r>
      <w:r w:rsidR="00BE554C">
        <w:t xml:space="preserve"> </w:t>
      </w:r>
      <w:r w:rsidR="00CF5315">
        <w:t xml:space="preserve">the reason for the review is </w:t>
      </w:r>
      <w:r w:rsidRPr="000559B4">
        <w:t>to question the agreed CTC score methodology</w:t>
      </w:r>
      <w:r w:rsidR="00CF5315">
        <w:t>. For example,</w:t>
      </w:r>
      <w:r w:rsidRPr="000559B4" w:rsidDel="00543F2C">
        <w:t xml:space="preserve"> </w:t>
      </w:r>
      <w:r w:rsidR="00CF5315">
        <w:t>a</w:t>
      </w:r>
      <w:r w:rsidR="00D254BA" w:rsidRPr="000559B4">
        <w:t xml:space="preserve"> review will not proceed for a 2026</w:t>
      </w:r>
      <w:r w:rsidR="00B86AEB" w:rsidRPr="000559B4">
        <w:t> </w:t>
      </w:r>
      <w:r w:rsidR="00D254BA" w:rsidRPr="000559B4">
        <w:t>CTC</w:t>
      </w:r>
      <w:r w:rsidR="00B86AEB" w:rsidRPr="000559B4">
        <w:t> </w:t>
      </w:r>
      <w:r w:rsidR="00D254BA" w:rsidRPr="000559B4">
        <w:t>score if the reason for review is that the score’s value would have been different if it had been calculated using the average of the school’s 2023, 2024 and 2025 DMI scores or the school’s 2026 RAB score.</w:t>
      </w:r>
    </w:p>
    <w:p w14:paraId="049D0491" w14:textId="77777777" w:rsidR="00DD7C7C" w:rsidRDefault="00DD7C7C" w:rsidP="000B31FE">
      <w:pPr>
        <w:pStyle w:val="ListBullet"/>
        <w:spacing w:after="120"/>
        <w:contextualSpacing w:val="0"/>
      </w:pPr>
      <w:r>
        <w:t>If a school’s 2025 CTC score changes in value following a CTC score review, the school’s 2026 CTC score will also change to be equal to the new 2025 score.</w:t>
      </w:r>
    </w:p>
    <w:p w14:paraId="342C17B4" w14:textId="77777777" w:rsidR="00444E96" w:rsidRPr="00176E0E" w:rsidRDefault="00444E96" w:rsidP="00034161">
      <w:pPr>
        <w:pStyle w:val="ListBullet"/>
        <w:numPr>
          <w:ilvl w:val="0"/>
          <w:numId w:val="0"/>
        </w:numPr>
        <w:ind w:left="360"/>
        <w:rPr>
          <w:bCs/>
        </w:rPr>
      </w:pPr>
    </w:p>
    <w:p w14:paraId="50A5920B" w14:textId="1B7681EA" w:rsidR="00BC78F1" w:rsidRPr="000559B4" w:rsidRDefault="00BC78F1" w:rsidP="00B14ADF">
      <w:pPr>
        <w:pStyle w:val="Heading3"/>
        <w:rPr>
          <w:color w:val="auto"/>
          <w:sz w:val="22"/>
        </w:rPr>
      </w:pPr>
      <w:bookmarkStart w:id="41" w:name="_Toc42680498"/>
      <w:bookmarkStart w:id="42" w:name="_Toc110520290"/>
      <w:bookmarkStart w:id="43" w:name="_Toc129701973"/>
      <w:bookmarkStart w:id="44" w:name="_Toc211945331"/>
      <w:r w:rsidRPr="000559B4">
        <w:lastRenderedPageBreak/>
        <w:t xml:space="preserve">What reasons </w:t>
      </w:r>
      <w:bookmarkEnd w:id="41"/>
      <w:r w:rsidR="009F288E" w:rsidRPr="000559B4">
        <w:t>are there for a CTC score review</w:t>
      </w:r>
      <w:r w:rsidRPr="000559B4">
        <w:t>?</w:t>
      </w:r>
      <w:bookmarkEnd w:id="42"/>
      <w:bookmarkEnd w:id="43"/>
      <w:bookmarkEnd w:id="44"/>
    </w:p>
    <w:p w14:paraId="6FD6E8F1" w14:textId="5B16BA9F" w:rsidR="00CF6468" w:rsidRPr="000559B4" w:rsidRDefault="00BC78F1" w:rsidP="00CF6468">
      <w:pPr>
        <w:pStyle w:val="ListBullet"/>
        <w:numPr>
          <w:ilvl w:val="0"/>
          <w:numId w:val="0"/>
        </w:numPr>
      </w:pPr>
      <w:bookmarkStart w:id="45" w:name="_Hlk103239827"/>
      <w:r w:rsidRPr="000559B4">
        <w:rPr>
          <w:kern w:val="2"/>
          <w14:ligatures w14:val="standardContextual"/>
        </w:rPr>
        <w:t xml:space="preserve">The reasons for a CTC score review would generally fall under </w:t>
      </w:r>
      <w:r w:rsidR="008973DA" w:rsidRPr="000559B4">
        <w:rPr>
          <w:kern w:val="2"/>
          <w14:ligatures w14:val="standardContextual"/>
        </w:rPr>
        <w:t>5</w:t>
      </w:r>
      <w:r w:rsidRPr="000559B4">
        <w:rPr>
          <w:kern w:val="2"/>
          <w14:ligatures w14:val="standardContextual"/>
        </w:rPr>
        <w:t xml:space="preserve"> broad categories</w:t>
      </w:r>
      <w:r w:rsidR="008973DA" w:rsidRPr="000559B4">
        <w:rPr>
          <w:kern w:val="2"/>
          <w14:ligatures w14:val="standardContextual"/>
        </w:rPr>
        <w:t xml:space="preserve">. The following lists those categories and the types of </w:t>
      </w:r>
      <w:r w:rsidR="00BA1F02" w:rsidRPr="000559B4">
        <w:rPr>
          <w:kern w:val="2"/>
          <w14:ligatures w14:val="standardContextual"/>
        </w:rPr>
        <w:t>CTC score</w:t>
      </w:r>
      <w:r w:rsidR="008973DA" w:rsidRPr="000559B4">
        <w:rPr>
          <w:kern w:val="2"/>
          <w14:ligatures w14:val="standardContextual"/>
        </w:rPr>
        <w:t>s they apply to</w:t>
      </w:r>
      <w:r w:rsidR="00CF6468" w:rsidRPr="000559B4">
        <w:rPr>
          <w:kern w:val="2"/>
          <w14:ligatures w14:val="standardContextual"/>
        </w:rPr>
        <w:t>. For more detail</w:t>
      </w:r>
      <w:r w:rsidR="00CF6468" w:rsidRPr="000559B4">
        <w:t xml:space="preserve">, see </w:t>
      </w:r>
      <w:hyperlink w:anchor="_Appendix_A:_Reasons" w:history="1">
        <w:r w:rsidR="00CF6468" w:rsidRPr="000559B4">
          <w:rPr>
            <w:rStyle w:val="Hyperlink"/>
            <w:rFonts w:cs="Arial"/>
            <w:bCs/>
          </w:rPr>
          <w:t xml:space="preserve">Appendix A: Reasons for a </w:t>
        </w:r>
        <w:r w:rsidR="00BA1F02" w:rsidRPr="000559B4">
          <w:rPr>
            <w:rStyle w:val="Hyperlink"/>
            <w:rFonts w:cs="Arial"/>
            <w:bCs/>
          </w:rPr>
          <w:t>CTC score</w:t>
        </w:r>
        <w:r w:rsidR="00CF6468" w:rsidRPr="000559B4">
          <w:rPr>
            <w:rStyle w:val="Hyperlink"/>
            <w:rFonts w:cs="Arial"/>
            <w:bCs/>
          </w:rPr>
          <w:t xml:space="preserve"> review</w:t>
        </w:r>
      </w:hyperlink>
      <w:r w:rsidR="00CF6468" w:rsidRPr="000559B4">
        <w:rPr>
          <w:iCs/>
        </w:rPr>
        <w:t>.</w:t>
      </w:r>
    </w:p>
    <w:p w14:paraId="12DA0FD4" w14:textId="120248E5" w:rsidR="009E7239" w:rsidRPr="000559B4" w:rsidRDefault="005B5FD7" w:rsidP="003E3291">
      <w:pPr>
        <w:pStyle w:val="ListBullet"/>
        <w:spacing w:after="120"/>
        <w:contextualSpacing w:val="0"/>
      </w:pPr>
      <w:r w:rsidRPr="000559B4">
        <w:t>a</w:t>
      </w:r>
      <w:r w:rsidR="009E7239" w:rsidRPr="000559B4">
        <w:t xml:space="preserve"> recent change in the school community’s economic circumstances (</w:t>
      </w:r>
      <w:r w:rsidR="0000430C" w:rsidRPr="000559B4">
        <w:t xml:space="preserve">all </w:t>
      </w:r>
      <w:r w:rsidR="00BA1F02" w:rsidRPr="000559B4">
        <w:t>CTC score</w:t>
      </w:r>
      <w:r w:rsidR="0000430C" w:rsidRPr="000559B4">
        <w:t>s</w:t>
      </w:r>
      <w:r w:rsidR="006F0E45" w:rsidRPr="000559B4">
        <w:rPr>
          <w:rFonts w:ascii="Calibri" w:eastAsia="Calibri" w:hAnsi="Calibri" w:cs="Times New Roman"/>
        </w:rPr>
        <w:t>)</w:t>
      </w:r>
    </w:p>
    <w:p w14:paraId="18E51A0D" w14:textId="7CB33894" w:rsidR="00BC78F1" w:rsidRPr="000559B4" w:rsidRDefault="005B5FD7" w:rsidP="003E3291">
      <w:pPr>
        <w:pStyle w:val="ListBullet"/>
        <w:spacing w:after="120"/>
        <w:contextualSpacing w:val="0"/>
      </w:pPr>
      <w:r w:rsidRPr="000559B4">
        <w:t>a</w:t>
      </w:r>
      <w:r w:rsidR="00BC78F1" w:rsidRPr="000559B4">
        <w:t xml:space="preserve"> recent change in the school community’s population </w:t>
      </w:r>
      <w:r w:rsidR="00EF064B" w:rsidRPr="000559B4">
        <w:t>(</w:t>
      </w:r>
      <w:r w:rsidR="0000430C" w:rsidRPr="000559B4">
        <w:t xml:space="preserve">all </w:t>
      </w:r>
      <w:r w:rsidR="00BA1F02" w:rsidRPr="000559B4">
        <w:t>CTC score</w:t>
      </w:r>
      <w:r w:rsidR="0000430C" w:rsidRPr="000559B4">
        <w:t>s</w:t>
      </w:r>
      <w:r w:rsidR="006F0E45" w:rsidRPr="000559B4">
        <w:rPr>
          <w:rFonts w:ascii="Calibri" w:eastAsia="Calibri" w:hAnsi="Calibri" w:cs="Times New Roman"/>
        </w:rPr>
        <w:t>)</w:t>
      </w:r>
    </w:p>
    <w:p w14:paraId="297CA495" w14:textId="21EC630E" w:rsidR="0000430C" w:rsidRPr="000559B4" w:rsidRDefault="0000430C" w:rsidP="0000430C">
      <w:pPr>
        <w:pStyle w:val="ListBullet"/>
        <w:spacing w:after="120"/>
        <w:contextualSpacing w:val="0"/>
      </w:pPr>
      <w:r w:rsidRPr="000559B4">
        <w:t xml:space="preserve">a </w:t>
      </w:r>
      <w:r w:rsidR="002B47FF" w:rsidRPr="000559B4">
        <w:t xml:space="preserve">significant </w:t>
      </w:r>
      <w:r w:rsidR="005B5FD7" w:rsidRPr="000559B4">
        <w:t>d</w:t>
      </w:r>
      <w:r w:rsidR="003D776C" w:rsidRPr="000559B4">
        <w:t>ifference</w:t>
      </w:r>
      <w:r w:rsidRPr="000559B4">
        <w:t xml:space="preserve"> in the </w:t>
      </w:r>
      <w:r w:rsidR="00012553" w:rsidRPr="000559B4">
        <w:t xml:space="preserve">family </w:t>
      </w:r>
      <w:r w:rsidR="002B47FF" w:rsidRPr="000559B4">
        <w:t>income profiles of the</w:t>
      </w:r>
      <w:r w:rsidR="003D776C" w:rsidRPr="000559B4">
        <w:t xml:space="preserve"> linked and unlinked populations </w:t>
      </w:r>
      <w:r w:rsidR="007C7EE2" w:rsidRPr="000559B4">
        <w:t>(DMI-based scores)</w:t>
      </w:r>
    </w:p>
    <w:p w14:paraId="0701BBBF" w14:textId="23652FE1" w:rsidR="003D776C" w:rsidRPr="000559B4" w:rsidRDefault="005B5FD7" w:rsidP="0000430C">
      <w:pPr>
        <w:pStyle w:val="ListBullet"/>
        <w:spacing w:after="120"/>
        <w:contextualSpacing w:val="0"/>
      </w:pPr>
      <w:r w:rsidRPr="000559B4">
        <w:t>t</w:t>
      </w:r>
      <w:r w:rsidR="003D776C" w:rsidRPr="000559B4">
        <w:t>he school’s RAB score does not accurately reflect the school community’s circumstances</w:t>
      </w:r>
      <w:r w:rsidR="006F0E45" w:rsidRPr="000559B4">
        <w:rPr>
          <w:rFonts w:ascii="Calibri" w:eastAsia="Calibri" w:hAnsi="Calibri" w:cs="Times New Roman"/>
        </w:rPr>
        <w:t>,</w:t>
      </w:r>
      <w:r w:rsidRPr="000559B4">
        <w:t xml:space="preserve"> or</w:t>
      </w:r>
    </w:p>
    <w:p w14:paraId="0529F85E" w14:textId="298639F0" w:rsidR="003D776C" w:rsidRPr="000559B4" w:rsidRDefault="005B5FD7" w:rsidP="003E3291">
      <w:pPr>
        <w:pStyle w:val="ListBullet"/>
      </w:pPr>
      <w:r w:rsidRPr="000559B4">
        <w:t>l</w:t>
      </w:r>
      <w:r w:rsidR="003D776C" w:rsidRPr="000559B4">
        <w:t>arge average family size (</w:t>
      </w:r>
      <w:r w:rsidR="00365E67" w:rsidRPr="000559B4">
        <w:t>all CTC scores</w:t>
      </w:r>
      <w:r w:rsidR="003D776C" w:rsidRPr="000559B4">
        <w:t>).</w:t>
      </w:r>
    </w:p>
    <w:p w14:paraId="0908E360" w14:textId="77777777" w:rsidR="003D776C" w:rsidRPr="000559B4" w:rsidRDefault="003D776C" w:rsidP="003E3291">
      <w:pPr>
        <w:pStyle w:val="ListBullet"/>
        <w:numPr>
          <w:ilvl w:val="0"/>
          <w:numId w:val="0"/>
        </w:numPr>
        <w:ind w:left="284"/>
      </w:pPr>
      <w:bookmarkStart w:id="46" w:name="_Hlk88659458"/>
      <w:bookmarkStart w:id="47" w:name="_Hlk110513469"/>
      <w:bookmarkEnd w:id="45"/>
    </w:p>
    <w:p w14:paraId="2F0BF776" w14:textId="456FB396" w:rsidR="00BC78F1" w:rsidRPr="000559B4" w:rsidRDefault="00BC78F1" w:rsidP="00784F2B">
      <w:pPr>
        <w:pStyle w:val="Heading3"/>
        <w:rPr>
          <w:color w:val="auto"/>
          <w:sz w:val="22"/>
        </w:rPr>
      </w:pPr>
      <w:bookmarkStart w:id="48" w:name="_Toc110520291"/>
      <w:bookmarkStart w:id="49" w:name="_Toc129701974"/>
      <w:bookmarkStart w:id="50" w:name="_Toc211945332"/>
      <w:bookmarkEnd w:id="46"/>
      <w:bookmarkEnd w:id="47"/>
      <w:r w:rsidRPr="000559B4">
        <w:t xml:space="preserve">When will a </w:t>
      </w:r>
      <w:r w:rsidR="00BA1F02" w:rsidRPr="000559B4">
        <w:t>CTC score</w:t>
      </w:r>
      <w:r w:rsidRPr="000559B4">
        <w:t xml:space="preserve"> review proceed?</w:t>
      </w:r>
      <w:bookmarkEnd w:id="48"/>
      <w:bookmarkEnd w:id="49"/>
      <w:bookmarkEnd w:id="50"/>
    </w:p>
    <w:p w14:paraId="79213DDC" w14:textId="6BBBCD16" w:rsidR="00BC78F1" w:rsidRPr="000559B4" w:rsidRDefault="00BC78F1" w:rsidP="000F1BA3">
      <w:pPr>
        <w:keepNext/>
        <w:keepLines/>
        <w:rPr>
          <w:kern w:val="2"/>
          <w14:ligatures w14:val="standardContextual"/>
        </w:rPr>
      </w:pPr>
      <w:bookmarkStart w:id="51" w:name="_Hlk99449393"/>
      <w:bookmarkStart w:id="52" w:name="_Hlk88053316"/>
      <w:r w:rsidRPr="000559B4">
        <w:rPr>
          <w:kern w:val="2"/>
          <w14:ligatures w14:val="standardContextual"/>
        </w:rPr>
        <w:t xml:space="preserve">A </w:t>
      </w:r>
      <w:r w:rsidR="00BA1F02" w:rsidRPr="000559B4">
        <w:rPr>
          <w:kern w:val="2"/>
          <w14:ligatures w14:val="standardContextual"/>
        </w:rPr>
        <w:t>CTC score</w:t>
      </w:r>
      <w:r w:rsidRPr="000559B4">
        <w:rPr>
          <w:kern w:val="2"/>
          <w14:ligatures w14:val="standardContextual"/>
        </w:rPr>
        <w:t xml:space="preserve"> review will proceed when</w:t>
      </w:r>
      <w:r w:rsidR="00125D05">
        <w:rPr>
          <w:kern w:val="2"/>
          <w14:ligatures w14:val="standardContextual"/>
        </w:rPr>
        <w:t>, following the department’s consideration of the merits of the application,</w:t>
      </w:r>
      <w:r w:rsidRPr="000559B4">
        <w:rPr>
          <w:kern w:val="2"/>
          <w14:ligatures w14:val="standardContextual"/>
        </w:rPr>
        <w:t xml:space="preserve"> there is a reasonable case and supporting evidence for the review.</w:t>
      </w:r>
      <w:r w:rsidR="00125D05">
        <w:rPr>
          <w:rStyle w:val="FootnoteReference"/>
          <w:kern w:val="2"/>
          <w14:ligatures w14:val="standardContextual"/>
        </w:rPr>
        <w:footnoteReference w:id="14"/>
      </w:r>
      <w:r w:rsidRPr="000559B4">
        <w:rPr>
          <w:kern w:val="2"/>
          <w14:ligatures w14:val="standardContextual"/>
        </w:rPr>
        <w:t xml:space="preserve"> </w:t>
      </w:r>
    </w:p>
    <w:p w14:paraId="25CFB00C" w14:textId="06273C24" w:rsidR="006D02B5" w:rsidRPr="000559B4" w:rsidRDefault="006D02B5" w:rsidP="006D02B5">
      <w:pPr>
        <w:rPr>
          <w:kern w:val="2"/>
          <w14:ligatures w14:val="standardContextual"/>
        </w:rPr>
      </w:pPr>
      <w:r w:rsidRPr="000559B4">
        <w:rPr>
          <w:kern w:val="2"/>
          <w14:ligatures w14:val="standardContextual"/>
        </w:rPr>
        <w:t xml:space="preserve">For situations where a CTC score </w:t>
      </w:r>
      <w:r w:rsidR="00646438">
        <w:rPr>
          <w:kern w:val="2"/>
          <w14:ligatures w14:val="standardContextual"/>
        </w:rPr>
        <w:t>is unlikely</w:t>
      </w:r>
      <w:r w:rsidRPr="000559B4">
        <w:rPr>
          <w:kern w:val="2"/>
          <w14:ligatures w14:val="standardContextual"/>
        </w:rPr>
        <w:t xml:space="preserve"> proceed, see the next section.</w:t>
      </w:r>
    </w:p>
    <w:p w14:paraId="0B4F1284" w14:textId="24919731" w:rsidR="00BC78F1" w:rsidRPr="000559B4" w:rsidRDefault="00BC78F1" w:rsidP="00F24FC8">
      <w:pPr>
        <w:pStyle w:val="Heading3"/>
        <w:rPr>
          <w:color w:val="auto"/>
          <w:sz w:val="22"/>
        </w:rPr>
      </w:pPr>
      <w:bookmarkStart w:id="53" w:name="_Toc110520292"/>
      <w:bookmarkStart w:id="54" w:name="_Toc129701975"/>
      <w:bookmarkStart w:id="55" w:name="_Toc211945333"/>
      <w:bookmarkEnd w:id="51"/>
      <w:r w:rsidRPr="000559B4">
        <w:t xml:space="preserve">When will a </w:t>
      </w:r>
      <w:r w:rsidR="00BA1F02" w:rsidRPr="000559B4">
        <w:t>CTC score</w:t>
      </w:r>
      <w:r w:rsidRPr="000559B4">
        <w:t xml:space="preserve"> review not proceed?</w:t>
      </w:r>
      <w:bookmarkEnd w:id="53"/>
      <w:bookmarkEnd w:id="54"/>
      <w:bookmarkEnd w:id="55"/>
    </w:p>
    <w:p w14:paraId="73861383" w14:textId="2EBE2003" w:rsidR="00BC78F1" w:rsidRPr="000559B4" w:rsidRDefault="000B4581" w:rsidP="002B7ECC">
      <w:pPr>
        <w:keepNext/>
        <w:keepLines/>
        <w:spacing w:after="120"/>
        <w:rPr>
          <w:kern w:val="2"/>
          <w14:ligatures w14:val="standardContextual"/>
        </w:rPr>
      </w:pPr>
      <w:r>
        <w:rPr>
          <w:kern w:val="2"/>
          <w14:ligatures w14:val="standardContextual"/>
        </w:rPr>
        <w:t>The department considers the merits of each approved authority’s application.</w:t>
      </w:r>
      <w:r>
        <w:rPr>
          <w:rStyle w:val="FootnoteReference"/>
          <w:kern w:val="2"/>
          <w14:ligatures w14:val="standardContextual"/>
        </w:rPr>
        <w:footnoteReference w:id="15"/>
      </w:r>
      <w:r>
        <w:rPr>
          <w:kern w:val="2"/>
          <w14:ligatures w14:val="standardContextual"/>
        </w:rPr>
        <w:t xml:space="preserve"> A</w:t>
      </w:r>
      <w:r w:rsidR="006D02B5" w:rsidRPr="000559B4">
        <w:rPr>
          <w:kern w:val="2"/>
          <w14:ligatures w14:val="standardContextual"/>
        </w:rPr>
        <w:t xml:space="preserve"> review </w:t>
      </w:r>
      <w:r w:rsidR="008555B3">
        <w:rPr>
          <w:kern w:val="2"/>
          <w14:ligatures w14:val="standardContextual"/>
        </w:rPr>
        <w:t>generally will not</w:t>
      </w:r>
      <w:r w:rsidR="006D02B5" w:rsidRPr="000559B4">
        <w:rPr>
          <w:kern w:val="2"/>
          <w14:ligatures w14:val="standardContextual"/>
        </w:rPr>
        <w:t xml:space="preserve"> proceed i</w:t>
      </w:r>
      <w:r w:rsidR="00BC78F1" w:rsidRPr="000559B4">
        <w:rPr>
          <w:kern w:val="2"/>
          <w14:ligatures w14:val="standardContextual"/>
        </w:rPr>
        <w:t xml:space="preserve">n the absence of compelling evidence </w:t>
      </w:r>
      <w:r w:rsidR="006D02B5" w:rsidRPr="000559B4">
        <w:rPr>
          <w:kern w:val="2"/>
          <w14:ligatures w14:val="standardContextual"/>
        </w:rPr>
        <w:t>or when the reason for a review is:</w:t>
      </w:r>
    </w:p>
    <w:p w14:paraId="09BC5B4D" w14:textId="2D8FE8AB" w:rsidR="006D02B5" w:rsidRPr="000559B4" w:rsidRDefault="00BC78F1" w:rsidP="002B7ECC">
      <w:pPr>
        <w:pStyle w:val="ListBullet"/>
        <w:keepNext/>
        <w:keepLines/>
        <w:spacing w:after="120"/>
        <w:contextualSpacing w:val="0"/>
      </w:pPr>
      <w:bookmarkStart w:id="56" w:name="_Hlk110513526"/>
      <w:r w:rsidRPr="000559B4">
        <w:t xml:space="preserve">to question the agreed </w:t>
      </w:r>
      <w:r w:rsidR="00BA1F02" w:rsidRPr="000559B4">
        <w:t>CTC score</w:t>
      </w:r>
      <w:r w:rsidRPr="000559B4">
        <w:t xml:space="preserve"> methodology, for example</w:t>
      </w:r>
      <w:r w:rsidR="006D02B5" w:rsidRPr="000559B4">
        <w:t>:</w:t>
      </w:r>
    </w:p>
    <w:p w14:paraId="44593162" w14:textId="7BB5296C" w:rsidR="006D02B5" w:rsidRPr="000559B4" w:rsidRDefault="00BC78F1" w:rsidP="00CF6468">
      <w:pPr>
        <w:pStyle w:val="ListBullet2"/>
        <w:spacing w:after="120"/>
        <w:ind w:left="924" w:hanging="357"/>
        <w:contextualSpacing w:val="0"/>
      </w:pPr>
      <w:r w:rsidRPr="000559B4">
        <w:t>the</w:t>
      </w:r>
      <w:r w:rsidR="006D02B5" w:rsidRPr="000559B4">
        <w:t xml:space="preserve"> use of the </w:t>
      </w:r>
      <w:r w:rsidR="00F24FC8" w:rsidRPr="000559B4">
        <w:t>average DMI score</w:t>
      </w:r>
      <w:r w:rsidRPr="000559B4">
        <w:t xml:space="preserve"> for the calculation of DMI</w:t>
      </w:r>
      <w:r w:rsidR="00DC7B0F" w:rsidRPr="000559B4">
        <w:t>-based</w:t>
      </w:r>
      <w:r w:rsidRPr="000559B4">
        <w:t xml:space="preserve"> scores</w:t>
      </w:r>
      <w:r w:rsidR="008227E9">
        <w:t xml:space="preserve"> </w:t>
      </w:r>
    </w:p>
    <w:p w14:paraId="79A78651" w14:textId="589B8AE4" w:rsidR="00BC78F1" w:rsidRPr="000559B4" w:rsidRDefault="006D02B5" w:rsidP="00CF6468">
      <w:pPr>
        <w:pStyle w:val="ListBullet2"/>
        <w:spacing w:after="120"/>
        <w:ind w:left="924" w:hanging="357"/>
        <w:contextualSpacing w:val="0"/>
      </w:pPr>
      <w:r w:rsidRPr="000559B4">
        <w:t xml:space="preserve">the use of RAB scores </w:t>
      </w:r>
      <w:r w:rsidR="00095C7D" w:rsidRPr="000559B4">
        <w:t xml:space="preserve">when </w:t>
      </w:r>
      <w:r w:rsidR="00F24FC8" w:rsidRPr="000559B4">
        <w:t>average DMI score</w:t>
      </w:r>
      <w:r w:rsidR="00095C7D" w:rsidRPr="000559B4">
        <w:t>s are not available</w:t>
      </w:r>
      <w:r w:rsidR="008227E9">
        <w:t xml:space="preserve"> (does not apply for CTC</w:t>
      </w:r>
      <w:r w:rsidR="00947113">
        <w:t> </w:t>
      </w:r>
      <w:r w:rsidR="008227E9">
        <w:t>scores for 2026)</w:t>
      </w:r>
    </w:p>
    <w:p w14:paraId="6EAB3E46" w14:textId="41885DA6" w:rsidR="00095C7D" w:rsidRPr="000559B4" w:rsidRDefault="00947113" w:rsidP="00CF6468">
      <w:pPr>
        <w:pStyle w:val="ListBullet2"/>
        <w:spacing w:after="120"/>
        <w:ind w:left="924" w:hanging="357"/>
        <w:contextualSpacing w:val="0"/>
      </w:pPr>
      <w:r>
        <w:t xml:space="preserve">the use of CTC scores for 2026, </w:t>
      </w:r>
      <w:r w:rsidR="001406E5">
        <w:t xml:space="preserve">as </w:t>
      </w:r>
      <w:r w:rsidR="001A18F4" w:rsidRPr="000559B4">
        <w:t>worked out under subsection 21(4)</w:t>
      </w:r>
      <w:r>
        <w:t>(a)</w:t>
      </w:r>
      <w:r w:rsidR="001A18F4" w:rsidRPr="000559B4">
        <w:t xml:space="preserve"> of the Regulations</w:t>
      </w:r>
      <w:r w:rsidR="002A05B2" w:rsidRPr="000559B4">
        <w:t>.</w:t>
      </w:r>
      <w:r w:rsidR="00095C7D" w:rsidRPr="000559B4">
        <w:rPr>
          <w:vertAlign w:val="superscript"/>
        </w:rPr>
        <w:footnoteReference w:id="16"/>
      </w:r>
      <w:r w:rsidR="002A05B2" w:rsidRPr="000559B4">
        <w:rPr>
          <w:kern w:val="2"/>
          <w14:ligatures w14:val="standardContextual"/>
        </w:rPr>
        <w:t xml:space="preserve"> </w:t>
      </w:r>
      <w:bookmarkStart w:id="58" w:name="_Hlk206497834"/>
      <w:r w:rsidR="001A18F4" w:rsidRPr="000559B4">
        <w:t>That is, a</w:t>
      </w:r>
      <w:r w:rsidR="002A05B2" w:rsidRPr="000559B4">
        <w:t xml:space="preserve"> review will not proceed for a 2026 CTC score if the reason for review is that the score’s value would have been different if it had been calculated using the average of the school’s 2023, 2024 and 2025 DMI scores or the school’s 2026 RAB score.</w:t>
      </w:r>
    </w:p>
    <w:bookmarkEnd w:id="58"/>
    <w:p w14:paraId="2AD8C9D6" w14:textId="281A9CE0" w:rsidR="00BC78F1" w:rsidRPr="000559B4" w:rsidRDefault="00095C7D" w:rsidP="003E3291">
      <w:pPr>
        <w:pStyle w:val="ListBullet"/>
        <w:spacing w:after="120"/>
        <w:contextualSpacing w:val="0"/>
      </w:pPr>
      <w:r w:rsidRPr="000559B4">
        <w:lastRenderedPageBreak/>
        <w:t xml:space="preserve">because </w:t>
      </w:r>
      <w:r w:rsidR="00BC78F1" w:rsidRPr="000559B4">
        <w:t xml:space="preserve">a school anticipates a future reduction in the capacity of the school community to contribute – </w:t>
      </w:r>
      <w:r w:rsidR="001C01F2" w:rsidRPr="000559B4">
        <w:t xml:space="preserve">as </w:t>
      </w:r>
      <w:r w:rsidR="00BC78F1" w:rsidRPr="000559B4">
        <w:t xml:space="preserve">the </w:t>
      </w:r>
      <w:r w:rsidR="00BA1F02" w:rsidRPr="000559B4">
        <w:t>DMI methodology</w:t>
      </w:r>
      <w:r w:rsidR="00BC78F1" w:rsidRPr="000559B4">
        <w:t xml:space="preserve"> will account for this over time</w:t>
      </w:r>
    </w:p>
    <w:p w14:paraId="59C3ECAF" w14:textId="2000F679" w:rsidR="00BC78F1" w:rsidRPr="000559B4" w:rsidRDefault="00095C7D" w:rsidP="003E3291">
      <w:pPr>
        <w:pStyle w:val="ListBullet"/>
        <w:spacing w:after="120"/>
        <w:contextualSpacing w:val="0"/>
      </w:pPr>
      <w:r w:rsidRPr="000559B4">
        <w:t xml:space="preserve">because </w:t>
      </w:r>
      <w:r w:rsidR="00BC78F1" w:rsidRPr="000559B4">
        <w:t xml:space="preserve">another school in the same area has a lower </w:t>
      </w:r>
      <w:r w:rsidR="00BA1F02" w:rsidRPr="000559B4">
        <w:t>CTC score</w:t>
      </w:r>
      <w:r w:rsidR="00BC78F1" w:rsidRPr="000559B4">
        <w:t xml:space="preserve"> </w:t>
      </w:r>
      <w:bookmarkStart w:id="59" w:name="_Hlk88731399"/>
      <w:r w:rsidR="00BC78F1" w:rsidRPr="000559B4">
        <w:t xml:space="preserve">– </w:t>
      </w:r>
      <w:bookmarkEnd w:id="59"/>
      <w:r w:rsidR="001C01F2" w:rsidRPr="000559B4">
        <w:t xml:space="preserve">as </w:t>
      </w:r>
      <w:r w:rsidR="00BC78F1" w:rsidRPr="000559B4">
        <w:t>the CTC methodology will not deliver the same results for schools in the same area unless the median family incomes of the schools are the same</w:t>
      </w:r>
    </w:p>
    <w:p w14:paraId="4C5BDC86" w14:textId="6BA99FD6" w:rsidR="00BC78F1" w:rsidRPr="000559B4" w:rsidRDefault="00BC78F1" w:rsidP="003E3291">
      <w:pPr>
        <w:pStyle w:val="ListBullet"/>
        <w:spacing w:after="120"/>
        <w:contextualSpacing w:val="0"/>
      </w:pPr>
      <w:r w:rsidRPr="000559B4">
        <w:t xml:space="preserve">for a school with a DMI-based score, </w:t>
      </w:r>
      <w:r w:rsidR="00095C7D" w:rsidRPr="000559B4">
        <w:t>because</w:t>
      </w:r>
      <w:r w:rsidR="00013766" w:rsidRPr="000559B4">
        <w:t xml:space="preserve"> a </w:t>
      </w:r>
      <w:r w:rsidRPr="000559B4">
        <w:t>high number of families are in receipt of health care or other concession cards, receive social security benefits, or are unemployed</w:t>
      </w:r>
      <w:r w:rsidR="00013766" w:rsidRPr="000559B4">
        <w:t xml:space="preserve"> and </w:t>
      </w:r>
      <w:r w:rsidR="00B82529" w:rsidRPr="000559B4">
        <w:t xml:space="preserve">therefore </w:t>
      </w:r>
      <w:r w:rsidR="00013766" w:rsidRPr="000559B4">
        <w:t xml:space="preserve">these families are not captured in the </w:t>
      </w:r>
      <w:r w:rsidR="00BA1F02" w:rsidRPr="000559B4">
        <w:t>DMI score</w:t>
      </w:r>
      <w:r w:rsidR="00013766" w:rsidRPr="000559B4">
        <w:t xml:space="preserve"> calculation</w:t>
      </w:r>
      <w:r w:rsidRPr="000559B4">
        <w:t xml:space="preserve"> – </w:t>
      </w:r>
      <w:r w:rsidR="001C01F2" w:rsidRPr="000559B4">
        <w:t xml:space="preserve">as </w:t>
      </w:r>
      <w:r w:rsidRPr="000559B4">
        <w:t>the</w:t>
      </w:r>
      <w:r w:rsidR="00B82529" w:rsidRPr="000559B4">
        <w:t>se families are likely</w:t>
      </w:r>
      <w:r w:rsidR="00DF4C08" w:rsidRPr="000559B4">
        <w:t xml:space="preserve"> to be</w:t>
      </w:r>
      <w:r w:rsidR="00B82529" w:rsidRPr="000559B4">
        <w:t xml:space="preserve"> linked in </w:t>
      </w:r>
      <w:r w:rsidR="00CE26A7" w:rsidRPr="000559B4">
        <w:t xml:space="preserve">PLIDA </w:t>
      </w:r>
      <w:r w:rsidR="00013766" w:rsidRPr="000559B4">
        <w:t xml:space="preserve">data </w:t>
      </w:r>
      <w:r w:rsidR="00B82529" w:rsidRPr="000559B4">
        <w:t xml:space="preserve">which </w:t>
      </w:r>
      <w:r w:rsidRPr="000559B4">
        <w:t>includes this information</w:t>
      </w:r>
    </w:p>
    <w:p w14:paraId="7B27F08B" w14:textId="6565BF10" w:rsidR="00BC78F1" w:rsidRPr="000559B4" w:rsidRDefault="00BC78F1" w:rsidP="003E3291">
      <w:pPr>
        <w:pStyle w:val="ListBullet"/>
        <w:spacing w:after="120"/>
        <w:contextualSpacing w:val="0"/>
      </w:pPr>
      <w:r w:rsidRPr="000559B4">
        <w:t xml:space="preserve">the student population or a school is highly disadvantaged, noting the </w:t>
      </w:r>
      <w:r w:rsidR="00DC7B0F" w:rsidRPr="000559B4">
        <w:t>SRS</w:t>
      </w:r>
      <w:r w:rsidRPr="000559B4">
        <w:t xml:space="preserve"> already provides additional </w:t>
      </w:r>
      <w:r w:rsidR="00DC7B0F" w:rsidRPr="000559B4">
        <w:t xml:space="preserve">funding through the SRS </w:t>
      </w:r>
      <w:r w:rsidRPr="000559B4">
        <w:t xml:space="preserve">loadings for student and school disadvantage – </w:t>
      </w:r>
      <w:r w:rsidR="001C01F2" w:rsidRPr="000559B4">
        <w:t xml:space="preserve">as </w:t>
      </w:r>
      <w:r w:rsidRPr="000559B4">
        <w:t xml:space="preserve">the </w:t>
      </w:r>
      <w:r w:rsidR="00BA1F02" w:rsidRPr="000559B4">
        <w:t>DMI methodology</w:t>
      </w:r>
      <w:r w:rsidRPr="000559B4">
        <w:t xml:space="preserve"> </w:t>
      </w:r>
      <w:r w:rsidR="001C01F2" w:rsidRPr="000559B4">
        <w:t xml:space="preserve">already </w:t>
      </w:r>
      <w:r w:rsidRPr="000559B4">
        <w:t>accounts for lower income families</w:t>
      </w:r>
    </w:p>
    <w:p w14:paraId="46440BF7" w14:textId="0B5FBF6D" w:rsidR="00BC78F1" w:rsidRPr="000559B4" w:rsidRDefault="00BC78F1" w:rsidP="003E3291">
      <w:pPr>
        <w:pStyle w:val="ListBullet"/>
        <w:spacing w:after="120"/>
        <w:contextualSpacing w:val="0"/>
      </w:pPr>
      <w:r w:rsidRPr="000559B4">
        <w:t xml:space="preserve">for a school with a DMI-based score, families of students at the school only reside in the area to access the school and have lower incomes </w:t>
      </w:r>
      <w:r w:rsidR="001C01F2" w:rsidRPr="000559B4">
        <w:t>–</w:t>
      </w:r>
      <w:r w:rsidRPr="000559B4">
        <w:t xml:space="preserve"> </w:t>
      </w:r>
      <w:r w:rsidR="001C01F2" w:rsidRPr="000559B4">
        <w:t xml:space="preserve">as </w:t>
      </w:r>
      <w:r w:rsidRPr="000559B4">
        <w:t xml:space="preserve">the </w:t>
      </w:r>
      <w:r w:rsidR="00BA1F02" w:rsidRPr="000559B4">
        <w:t>DMI methodology</w:t>
      </w:r>
      <w:r w:rsidRPr="000559B4">
        <w:t xml:space="preserve"> accounts for this</w:t>
      </w:r>
    </w:p>
    <w:bookmarkEnd w:id="52"/>
    <w:p w14:paraId="3B8BEC28" w14:textId="733F80AD" w:rsidR="00BC78F1" w:rsidRPr="000559B4" w:rsidRDefault="00BC78F1" w:rsidP="003E3291">
      <w:pPr>
        <w:pStyle w:val="ListBullet"/>
        <w:spacing w:after="120"/>
        <w:contextualSpacing w:val="0"/>
      </w:pPr>
      <w:r w:rsidRPr="000559B4">
        <w:t>because a school has high levels of debt</w:t>
      </w:r>
    </w:p>
    <w:p w14:paraId="01EF83D1" w14:textId="66386302" w:rsidR="00BC78F1" w:rsidRPr="000559B4" w:rsidRDefault="00BC78F1" w:rsidP="003E3291">
      <w:pPr>
        <w:pStyle w:val="ListBullet"/>
        <w:spacing w:after="120"/>
        <w:contextualSpacing w:val="0"/>
      </w:pPr>
      <w:r w:rsidRPr="000559B4">
        <w:t>the financial viability of the school</w:t>
      </w:r>
    </w:p>
    <w:p w14:paraId="5CA08EC3" w14:textId="1C3B2ECD" w:rsidR="00BC78F1" w:rsidRPr="000559B4" w:rsidRDefault="00BC78F1" w:rsidP="003E3291">
      <w:pPr>
        <w:pStyle w:val="ListBullet"/>
        <w:spacing w:after="120"/>
        <w:contextualSpacing w:val="0"/>
      </w:pPr>
      <w:r w:rsidRPr="000559B4">
        <w:t>a school is experiencing financial hardship</w:t>
      </w:r>
    </w:p>
    <w:p w14:paraId="1691C4A2" w14:textId="257F379B" w:rsidR="00BC78F1" w:rsidRPr="000559B4" w:rsidRDefault="00BC78F1" w:rsidP="003E3291">
      <w:pPr>
        <w:pStyle w:val="ListBullet"/>
        <w:spacing w:after="120"/>
        <w:contextualSpacing w:val="0"/>
      </w:pPr>
      <w:r w:rsidRPr="000559B4">
        <w:t>a school’s state or territory government recurrent funding has been reduced by that government</w:t>
      </w:r>
      <w:r w:rsidR="00DF4C08" w:rsidRPr="000559B4">
        <w:t>,</w:t>
      </w:r>
      <w:r w:rsidRPr="000559B4">
        <w:t xml:space="preserve"> or</w:t>
      </w:r>
    </w:p>
    <w:p w14:paraId="713133A5" w14:textId="1C84F394" w:rsidR="00BC78F1" w:rsidRPr="000559B4" w:rsidRDefault="00BC78F1" w:rsidP="003E3291">
      <w:pPr>
        <w:pStyle w:val="ListBullet"/>
      </w:pPr>
      <w:r w:rsidRPr="000559B4">
        <w:t xml:space="preserve">based on the school’s fee structure or policies, including the provision of high levels of fee relief to families. </w:t>
      </w:r>
    </w:p>
    <w:p w14:paraId="0ED558EA" w14:textId="61C05897" w:rsidR="006D02B5" w:rsidRPr="000559B4" w:rsidRDefault="006D02B5" w:rsidP="006D02B5">
      <w:pPr>
        <w:pStyle w:val="Heading3"/>
      </w:pPr>
      <w:bookmarkStart w:id="60" w:name="_Toc110520293"/>
      <w:bookmarkStart w:id="61" w:name="_Toc129701976"/>
      <w:bookmarkStart w:id="62" w:name="_Toc211945334"/>
      <w:bookmarkEnd w:id="56"/>
      <w:r w:rsidRPr="000559B4">
        <w:t xml:space="preserve">When can I apply for a </w:t>
      </w:r>
      <w:r w:rsidR="00BA1F02" w:rsidRPr="000559B4">
        <w:t>CTC score</w:t>
      </w:r>
      <w:r w:rsidRPr="000559B4">
        <w:t xml:space="preserve"> review?</w:t>
      </w:r>
      <w:bookmarkEnd w:id="62"/>
    </w:p>
    <w:p w14:paraId="18F0DEEE" w14:textId="661A2601" w:rsidR="006D02B5" w:rsidRPr="000559B4" w:rsidRDefault="000B31FE" w:rsidP="001814C7">
      <w:pPr>
        <w:spacing w:after="120"/>
        <w:rPr>
          <w:rFonts w:ascii="Calibri" w:hAnsi="Calibri"/>
          <w:kern w:val="2"/>
          <w14:ligatures w14:val="standardContextual"/>
        </w:rPr>
      </w:pPr>
      <w:r>
        <w:rPr>
          <w:kern w:val="2"/>
          <w14:ligatures w14:val="standardContextual"/>
        </w:rPr>
        <w:t>An</w:t>
      </w:r>
      <w:r w:rsidR="006D02B5" w:rsidRPr="000559B4">
        <w:rPr>
          <w:kern w:val="2"/>
          <w14:ligatures w14:val="standardContextual"/>
        </w:rPr>
        <w:t xml:space="preserve"> approved authority for a school can </w:t>
      </w:r>
      <w:proofErr w:type="gramStart"/>
      <w:r w:rsidR="006D02B5" w:rsidRPr="000559B4">
        <w:rPr>
          <w:kern w:val="2"/>
          <w14:ligatures w14:val="standardContextual"/>
        </w:rPr>
        <w:t>apply</w:t>
      </w:r>
      <w:proofErr w:type="gramEnd"/>
      <w:r w:rsidR="006D02B5" w:rsidRPr="000559B4">
        <w:rPr>
          <w:kern w:val="2"/>
          <w14:ligatures w14:val="standardContextual"/>
        </w:rPr>
        <w:t xml:space="preserve"> for a review of </w:t>
      </w:r>
      <w:r>
        <w:rPr>
          <w:kern w:val="2"/>
          <w14:ligatures w14:val="standardContextual"/>
        </w:rPr>
        <w:t>a CTC</w:t>
      </w:r>
      <w:r w:rsidRPr="000559B4">
        <w:rPr>
          <w:kern w:val="2"/>
          <w14:ligatures w14:val="standardContextual"/>
        </w:rPr>
        <w:t> </w:t>
      </w:r>
      <w:r w:rsidR="00BA1F02" w:rsidRPr="000559B4">
        <w:rPr>
          <w:kern w:val="2"/>
          <w14:ligatures w14:val="standardContextual"/>
        </w:rPr>
        <w:t>score</w:t>
      </w:r>
      <w:r w:rsidR="006D02B5" w:rsidRPr="000559B4">
        <w:rPr>
          <w:kern w:val="2"/>
          <w14:ligatures w14:val="standardContextual"/>
        </w:rPr>
        <w:t xml:space="preserve"> at any time.</w:t>
      </w:r>
      <w:r w:rsidR="006D02B5" w:rsidRPr="000559B4">
        <w:rPr>
          <w:rStyle w:val="FootnoteReference"/>
          <w:kern w:val="2"/>
          <w14:ligatures w14:val="standardContextual"/>
        </w:rPr>
        <w:footnoteReference w:id="17"/>
      </w:r>
    </w:p>
    <w:p w14:paraId="1B2E9EAF" w14:textId="67C11A99" w:rsidR="006D02B5" w:rsidRPr="000559B4" w:rsidRDefault="006D02B5" w:rsidP="006D02B5">
      <w:pPr>
        <w:pStyle w:val="Heading3"/>
        <w:rPr>
          <w:color w:val="auto"/>
          <w:sz w:val="22"/>
        </w:rPr>
      </w:pPr>
      <w:bookmarkStart w:id="64" w:name="_Toc211945335"/>
      <w:r w:rsidRPr="000559B4">
        <w:t xml:space="preserve">How do I apply for a </w:t>
      </w:r>
      <w:r w:rsidR="00BA1F02" w:rsidRPr="000559B4">
        <w:t>CTC score</w:t>
      </w:r>
      <w:r w:rsidRPr="000559B4">
        <w:t xml:space="preserve"> review?</w:t>
      </w:r>
      <w:bookmarkEnd w:id="64"/>
    </w:p>
    <w:p w14:paraId="668A6987" w14:textId="5A7EB59D" w:rsidR="006D02B5" w:rsidRPr="000559B4" w:rsidRDefault="006D02B5" w:rsidP="001814C7">
      <w:pPr>
        <w:spacing w:after="120"/>
        <w:rPr>
          <w:kern w:val="2"/>
          <w14:ligatures w14:val="standardContextual"/>
        </w:rPr>
      </w:pPr>
      <w:r w:rsidRPr="000559B4">
        <w:rPr>
          <w:kern w:val="2"/>
          <w14:ligatures w14:val="standardContextual"/>
        </w:rPr>
        <w:t xml:space="preserve">Only the approved authority for a school can apply for a </w:t>
      </w:r>
      <w:r w:rsidR="00BA1F02" w:rsidRPr="000559B4">
        <w:rPr>
          <w:kern w:val="2"/>
          <w14:ligatures w14:val="standardContextual"/>
        </w:rPr>
        <w:t>CTC score</w:t>
      </w:r>
      <w:r w:rsidRPr="000559B4">
        <w:rPr>
          <w:kern w:val="2"/>
          <w14:ligatures w14:val="standardContextual"/>
        </w:rPr>
        <w:t xml:space="preserve"> review.</w:t>
      </w:r>
    </w:p>
    <w:p w14:paraId="0CE6EAF5" w14:textId="03045191" w:rsidR="005A734F" w:rsidRPr="000559B4" w:rsidRDefault="006D02B5" w:rsidP="005A734F">
      <w:pPr>
        <w:spacing w:after="120"/>
        <w:rPr>
          <w:rFonts w:ascii="Calibri" w:eastAsia="Calibri" w:hAnsi="Calibri" w:cs="Times New Roman"/>
        </w:rPr>
      </w:pPr>
      <w:r w:rsidRPr="000559B4">
        <w:rPr>
          <w:kern w:val="2"/>
          <w14:ligatures w14:val="standardContextual"/>
        </w:rPr>
        <w:t xml:space="preserve">Applications must be made using the </w:t>
      </w:r>
      <w:hyperlink r:id="rId17" w:history="1">
        <w:r w:rsidR="00BA1F02" w:rsidRPr="000559B4">
          <w:rPr>
            <w:rStyle w:val="Hyperlink"/>
            <w:kern w:val="2"/>
            <w14:ligatures w14:val="standardContextual"/>
          </w:rPr>
          <w:t>CTC score</w:t>
        </w:r>
        <w:r w:rsidRPr="000559B4">
          <w:rPr>
            <w:rStyle w:val="Hyperlink"/>
            <w:kern w:val="2"/>
            <w14:ligatures w14:val="standardContextual"/>
          </w:rPr>
          <w:t xml:space="preserve"> review application</w:t>
        </w:r>
      </w:hyperlink>
      <w:r w:rsidRPr="000559B4">
        <w:rPr>
          <w:kern w:val="2"/>
          <w14:ligatures w14:val="standardContextual"/>
        </w:rPr>
        <w:t xml:space="preserve"> form</w:t>
      </w:r>
      <w:r w:rsidR="00A90AE2" w:rsidRPr="000559B4">
        <w:rPr>
          <w:kern w:val="2"/>
          <w14:ligatures w14:val="standardContextual"/>
        </w:rPr>
        <w:t>.</w:t>
      </w:r>
      <w:r w:rsidRPr="000559B4">
        <w:rPr>
          <w:rStyle w:val="FootnoteReference"/>
          <w:kern w:val="2"/>
          <w14:ligatures w14:val="standardContextual"/>
        </w:rPr>
        <w:footnoteReference w:id="18"/>
      </w:r>
      <w:r w:rsidRPr="000559B4">
        <w:rPr>
          <w:kern w:val="2"/>
          <w14:ligatures w14:val="standardContextual"/>
        </w:rPr>
        <w:t xml:space="preserve"> </w:t>
      </w:r>
      <w:r w:rsidR="00A90AE2" w:rsidRPr="000559B4">
        <w:rPr>
          <w:kern w:val="2"/>
          <w14:ligatures w14:val="standardContextual"/>
        </w:rPr>
        <w:t>Applications must be</w:t>
      </w:r>
      <w:r w:rsidRPr="000559B4">
        <w:rPr>
          <w:kern w:val="2"/>
          <w14:ligatures w14:val="standardContextual"/>
        </w:rPr>
        <w:t xml:space="preserve"> submitted to the department, with all required supporting documentation, </w:t>
      </w:r>
      <w:r w:rsidR="00A90AE2" w:rsidRPr="000559B4">
        <w:rPr>
          <w:kern w:val="2"/>
          <w14:ligatures w14:val="standardContextual"/>
        </w:rPr>
        <w:t>via</w:t>
      </w:r>
      <w:r w:rsidRPr="000559B4">
        <w:rPr>
          <w:kern w:val="2"/>
          <w14:ligatures w14:val="standardContextual"/>
        </w:rPr>
        <w:t xml:space="preserve">: </w:t>
      </w:r>
      <w:hyperlink r:id="rId18" w:history="1">
        <w:r w:rsidRPr="000559B4">
          <w:rPr>
            <w:rStyle w:val="Hyperlink"/>
            <w:kern w:val="2"/>
            <w14:ligatures w14:val="standardContextual"/>
          </w:rPr>
          <w:t>CTCReviews@education.gov.au</w:t>
        </w:r>
      </w:hyperlink>
      <w:r w:rsidRPr="000559B4">
        <w:rPr>
          <w:kern w:val="2"/>
          <w14:ligatures w14:val="standardContextual"/>
        </w:rPr>
        <w:t xml:space="preserve"> or via post to: </w:t>
      </w:r>
      <w:r w:rsidR="00BA1F02" w:rsidRPr="000559B4">
        <w:rPr>
          <w:kern w:val="2"/>
          <w14:ligatures w14:val="standardContextual"/>
        </w:rPr>
        <w:t>CTC score</w:t>
      </w:r>
      <w:r w:rsidRPr="000559B4">
        <w:rPr>
          <w:kern w:val="2"/>
          <w14:ligatures w14:val="standardContextual"/>
        </w:rPr>
        <w:t xml:space="preserve"> Review Team, </w:t>
      </w:r>
      <w:r w:rsidR="00A90AE2" w:rsidRPr="000559B4">
        <w:rPr>
          <w:kern w:val="2"/>
          <w14:ligatures w14:val="standardContextual"/>
        </w:rPr>
        <w:t xml:space="preserve">School Funding Branch, </w:t>
      </w:r>
      <w:r w:rsidRPr="000559B4">
        <w:rPr>
          <w:kern w:val="2"/>
          <w14:ligatures w14:val="standardContextual"/>
        </w:rPr>
        <w:t>Department of Education, GPO Box 9880, Canberra ACT 2601.</w:t>
      </w:r>
    </w:p>
    <w:p w14:paraId="1F9BE1FC" w14:textId="4AC1EE7C" w:rsidR="005A734F" w:rsidRPr="000559B4" w:rsidRDefault="005A734F" w:rsidP="005A734F">
      <w:pPr>
        <w:spacing w:after="120"/>
        <w:rPr>
          <w:rFonts w:ascii="Calibri" w:eastAsia="Calibri" w:hAnsi="Calibri" w:cs="Times New Roman"/>
        </w:rPr>
      </w:pPr>
      <w:r w:rsidRPr="000559B4">
        <w:rPr>
          <w:rFonts w:ascii="Calibri" w:eastAsia="Calibri" w:hAnsi="Calibri" w:cs="Times New Roman"/>
          <w:b/>
          <w:bCs/>
        </w:rPr>
        <w:t>Note:</w:t>
      </w:r>
      <w:r w:rsidRPr="000559B4">
        <w:rPr>
          <w:rFonts w:ascii="Calibri" w:eastAsia="Calibri" w:hAnsi="Calibri" w:cs="Times New Roman"/>
        </w:rPr>
        <w:t xml:space="preserve"> A review application will not proceed where:</w:t>
      </w:r>
    </w:p>
    <w:p w14:paraId="3A393167" w14:textId="1CE3E60C" w:rsidR="005A734F" w:rsidRPr="000559B4" w:rsidRDefault="005A734F" w:rsidP="005A734F">
      <w:pPr>
        <w:pStyle w:val="ListBullet"/>
        <w:spacing w:after="120"/>
        <w:contextualSpacing w:val="0"/>
      </w:pPr>
      <w:r w:rsidRPr="000559B4">
        <w:t xml:space="preserve">the review reason is listed above at </w:t>
      </w:r>
      <w:hyperlink w:anchor="_When_will_a" w:history="1">
        <w:r w:rsidRPr="000559B4">
          <w:rPr>
            <w:color w:val="7F4594" w:themeColor="hyperlink"/>
            <w:u w:val="single"/>
          </w:rPr>
          <w:t xml:space="preserve">When will a </w:t>
        </w:r>
        <w:r w:rsidR="00BA1F02" w:rsidRPr="000559B4">
          <w:rPr>
            <w:color w:val="7F4594" w:themeColor="hyperlink"/>
            <w:u w:val="single"/>
          </w:rPr>
          <w:t>CTC score</w:t>
        </w:r>
        <w:r w:rsidRPr="000559B4">
          <w:rPr>
            <w:color w:val="7F4594" w:themeColor="hyperlink"/>
            <w:u w:val="single"/>
          </w:rPr>
          <w:t xml:space="preserve"> review not proceed?</w:t>
        </w:r>
      </w:hyperlink>
    </w:p>
    <w:p w14:paraId="3F290061" w14:textId="7ACB744C" w:rsidR="005A734F" w:rsidRPr="000559B4" w:rsidRDefault="005A734F" w:rsidP="005A734F">
      <w:pPr>
        <w:pStyle w:val="ListBullet"/>
        <w:spacing w:after="120"/>
        <w:contextualSpacing w:val="0"/>
      </w:pPr>
      <w:r w:rsidRPr="000559B4">
        <w:t>when the approved authority does not provide sufficient evidence to support its case.</w:t>
      </w:r>
    </w:p>
    <w:p w14:paraId="0F1DFB2B" w14:textId="04525145" w:rsidR="00BC78F1" w:rsidRPr="000559B4" w:rsidRDefault="00BC78F1" w:rsidP="00B14ADF">
      <w:pPr>
        <w:pStyle w:val="Heading3"/>
        <w:rPr>
          <w:color w:val="auto"/>
          <w:sz w:val="22"/>
        </w:rPr>
      </w:pPr>
      <w:bookmarkStart w:id="65" w:name="_Toc211945336"/>
      <w:r w:rsidRPr="000559B4">
        <w:lastRenderedPageBreak/>
        <w:t xml:space="preserve">How long does a </w:t>
      </w:r>
      <w:r w:rsidR="00BA1F02" w:rsidRPr="000559B4">
        <w:t>CTC score</w:t>
      </w:r>
      <w:r w:rsidRPr="000559B4">
        <w:t xml:space="preserve"> review take?</w:t>
      </w:r>
      <w:bookmarkEnd w:id="60"/>
      <w:bookmarkEnd w:id="61"/>
      <w:bookmarkEnd w:id="65"/>
    </w:p>
    <w:p w14:paraId="0C394B69" w14:textId="584DDB58" w:rsidR="00BC78F1" w:rsidRPr="000559B4" w:rsidRDefault="00BC78F1" w:rsidP="003E3291">
      <w:pPr>
        <w:ind w:right="-188"/>
        <w:rPr>
          <w:kern w:val="2"/>
          <w14:ligatures w14:val="standardContextual"/>
        </w:rPr>
      </w:pPr>
      <w:r w:rsidRPr="000559B4">
        <w:rPr>
          <w:kern w:val="2"/>
          <w14:ligatures w14:val="standardContextual"/>
        </w:rPr>
        <w:t xml:space="preserve">The department aims to complete all reviews as quickly as possible. Because </w:t>
      </w:r>
      <w:r w:rsidR="00F13148" w:rsidRPr="000559B4">
        <w:rPr>
          <w:kern w:val="2"/>
          <w14:ligatures w14:val="standardContextual"/>
        </w:rPr>
        <w:t xml:space="preserve">each </w:t>
      </w:r>
      <w:r w:rsidRPr="000559B4">
        <w:rPr>
          <w:kern w:val="2"/>
          <w14:ligatures w14:val="standardContextual"/>
        </w:rPr>
        <w:t xml:space="preserve">review is unique, the department cannot complete every review within the same timeframe. In most cases the department will need to work with the ABS and apply for data to be released from the secure ABS </w:t>
      </w:r>
      <w:proofErr w:type="spellStart"/>
      <w:r w:rsidRPr="000559B4">
        <w:rPr>
          <w:kern w:val="2"/>
          <w14:ligatures w14:val="standardContextual"/>
        </w:rPr>
        <w:t>DataLab</w:t>
      </w:r>
      <w:proofErr w:type="spellEnd"/>
      <w:r w:rsidRPr="000559B4">
        <w:rPr>
          <w:kern w:val="2"/>
          <w14:ligatures w14:val="standardContextual"/>
        </w:rPr>
        <w:t>. Timeframes for the ABS functions are outside the control of the department. The review team is committed to keeping approved authorities up to date on the progress of their review application.</w:t>
      </w:r>
    </w:p>
    <w:p w14:paraId="0D0EA3C2" w14:textId="79D4E55C" w:rsidR="00BC78F1" w:rsidRPr="000559B4" w:rsidRDefault="00BC78F1" w:rsidP="00B14ADF">
      <w:pPr>
        <w:pStyle w:val="Heading3"/>
        <w:rPr>
          <w:color w:val="auto"/>
          <w:sz w:val="22"/>
        </w:rPr>
      </w:pPr>
      <w:bookmarkStart w:id="66" w:name="_Toc110520294"/>
      <w:bookmarkStart w:id="67" w:name="_Toc129701977"/>
      <w:bookmarkStart w:id="68" w:name="_Toc211945337"/>
      <w:r w:rsidRPr="000559B4">
        <w:t xml:space="preserve">Can I withdraw my application for a </w:t>
      </w:r>
      <w:r w:rsidR="00BA1F02" w:rsidRPr="000559B4">
        <w:t>CTC score</w:t>
      </w:r>
      <w:r w:rsidRPr="000559B4">
        <w:t xml:space="preserve"> review?</w:t>
      </w:r>
      <w:bookmarkEnd w:id="66"/>
      <w:bookmarkEnd w:id="67"/>
      <w:bookmarkEnd w:id="68"/>
    </w:p>
    <w:p w14:paraId="05AD0E31" w14:textId="1D5084EA" w:rsidR="00BC78F1" w:rsidRPr="000559B4" w:rsidRDefault="00BC78F1" w:rsidP="003E3291">
      <w:pPr>
        <w:rPr>
          <w:kern w:val="2"/>
          <w14:ligatures w14:val="standardContextual"/>
        </w:rPr>
      </w:pPr>
      <w:r w:rsidRPr="000559B4">
        <w:rPr>
          <w:kern w:val="2"/>
          <w14:ligatures w14:val="standardContextual"/>
        </w:rPr>
        <w:t xml:space="preserve">Section 117 of the Act allows an approved authority to withdraw an application for a </w:t>
      </w:r>
      <w:r w:rsidR="00BA1F02" w:rsidRPr="000559B4">
        <w:rPr>
          <w:kern w:val="2"/>
          <w14:ligatures w14:val="standardContextual"/>
        </w:rPr>
        <w:t>CTC score</w:t>
      </w:r>
      <w:r w:rsidRPr="000559B4">
        <w:rPr>
          <w:kern w:val="2"/>
          <w14:ligatures w14:val="standardContextual"/>
        </w:rPr>
        <w:t xml:space="preserve"> review at any time before the Minister (or delegate) has </w:t>
      </w:r>
      <w:proofErr w:type="gramStart"/>
      <w:r w:rsidRPr="000559B4">
        <w:rPr>
          <w:kern w:val="2"/>
          <w14:ligatures w14:val="standardContextual"/>
        </w:rPr>
        <w:t>made a decision</w:t>
      </w:r>
      <w:proofErr w:type="gramEnd"/>
      <w:r w:rsidRPr="000559B4">
        <w:rPr>
          <w:kern w:val="2"/>
          <w14:ligatures w14:val="standardContextual"/>
        </w:rPr>
        <w:t xml:space="preserve"> on the application.</w:t>
      </w:r>
    </w:p>
    <w:p w14:paraId="5B061091" w14:textId="3DE4AD43" w:rsidR="00BC78F1" w:rsidRPr="000559B4" w:rsidRDefault="00BC78F1" w:rsidP="003E3291">
      <w:pPr>
        <w:rPr>
          <w:kern w:val="2"/>
          <w14:ligatures w14:val="standardContextual"/>
        </w:rPr>
      </w:pPr>
      <w:bookmarkStart w:id="69" w:name="_Hlk88051214"/>
      <w:r w:rsidRPr="000559B4">
        <w:rPr>
          <w:b/>
          <w:kern w:val="2"/>
          <w14:ligatures w14:val="standardContextual"/>
        </w:rPr>
        <w:t xml:space="preserve">IMPORTANT: </w:t>
      </w:r>
      <w:bookmarkStart w:id="70" w:name="_Hlk99449625"/>
      <w:r w:rsidRPr="000559B4">
        <w:rPr>
          <w:kern w:val="2"/>
          <w14:ligatures w14:val="standardContextual"/>
        </w:rPr>
        <w:t xml:space="preserve">After an application has been withdrawn, the Minister (or their delegate) may still determine a </w:t>
      </w:r>
      <w:r w:rsidR="00BA1F02" w:rsidRPr="000559B4">
        <w:rPr>
          <w:kern w:val="2"/>
          <w14:ligatures w14:val="standardContextual"/>
        </w:rPr>
        <w:t>CTC score</w:t>
      </w:r>
      <w:r w:rsidRPr="000559B4">
        <w:rPr>
          <w:kern w:val="2"/>
          <w14:ligatures w14:val="standardContextual"/>
        </w:rPr>
        <w:t xml:space="preserve"> for a school on their own initiative. In making that decision, the Minister (or delegate) can consider any relevant information that was included in a withdrawn application. </w:t>
      </w:r>
      <w:r w:rsidR="00294845" w:rsidRPr="000559B4">
        <w:rPr>
          <w:kern w:val="2"/>
          <w14:ligatures w14:val="standardContextual"/>
        </w:rPr>
        <w:t>T</w:t>
      </w:r>
      <w:r w:rsidRPr="000559B4">
        <w:rPr>
          <w:kern w:val="2"/>
          <w14:ligatures w14:val="standardContextual"/>
        </w:rPr>
        <w:t>he school’s approved authority will be notified of the proposed decision</w:t>
      </w:r>
      <w:r w:rsidR="00294845" w:rsidRPr="000559B4">
        <w:rPr>
          <w:kern w:val="2"/>
          <w14:ligatures w14:val="standardContextual"/>
        </w:rPr>
        <w:t xml:space="preserve"> and</w:t>
      </w:r>
      <w:r w:rsidRPr="000559B4">
        <w:rPr>
          <w:kern w:val="2"/>
          <w14:ligatures w14:val="standardContextual"/>
        </w:rPr>
        <w:t xml:space="preserve"> the reasons for the proposed decision</w:t>
      </w:r>
      <w:r w:rsidR="00294845" w:rsidRPr="000559B4">
        <w:rPr>
          <w:kern w:val="2"/>
          <w14:ligatures w14:val="standardContextual"/>
        </w:rPr>
        <w:t xml:space="preserve">. If the proposed decision is for a higher </w:t>
      </w:r>
      <w:r w:rsidR="00BA1F02" w:rsidRPr="000559B4">
        <w:rPr>
          <w:kern w:val="2"/>
          <w14:ligatures w14:val="standardContextual"/>
        </w:rPr>
        <w:t>CTC score</w:t>
      </w:r>
      <w:r w:rsidR="00294845" w:rsidRPr="000559B4">
        <w:rPr>
          <w:kern w:val="2"/>
          <w14:ligatures w14:val="standardContextual"/>
        </w:rPr>
        <w:t xml:space="preserve">, which would result in a reduction in funding, the approved authority </w:t>
      </w:r>
      <w:r w:rsidRPr="000559B4">
        <w:rPr>
          <w:kern w:val="2"/>
          <w14:ligatures w14:val="standardContextual"/>
        </w:rPr>
        <w:t xml:space="preserve">will be provided with the opportunity to </w:t>
      </w:r>
      <w:proofErr w:type="gramStart"/>
      <w:r w:rsidRPr="000559B4">
        <w:rPr>
          <w:kern w:val="2"/>
          <w14:ligatures w14:val="standardContextual"/>
        </w:rPr>
        <w:t>respond</w:t>
      </w:r>
      <w:proofErr w:type="gramEnd"/>
      <w:r w:rsidR="00294845" w:rsidRPr="000559B4">
        <w:rPr>
          <w:kern w:val="2"/>
          <w14:ligatures w14:val="standardContextual"/>
        </w:rPr>
        <w:t xml:space="preserve"> and</w:t>
      </w:r>
      <w:r w:rsidRPr="000559B4">
        <w:rPr>
          <w:kern w:val="2"/>
          <w14:ligatures w14:val="standardContextual"/>
        </w:rPr>
        <w:t xml:space="preserve"> </w:t>
      </w:r>
      <w:r w:rsidR="00294845" w:rsidRPr="000559B4">
        <w:rPr>
          <w:kern w:val="2"/>
          <w14:ligatures w14:val="standardContextual"/>
        </w:rPr>
        <w:t>a</w:t>
      </w:r>
      <w:r w:rsidRPr="000559B4">
        <w:rPr>
          <w:kern w:val="2"/>
          <w14:ligatures w14:val="standardContextual"/>
        </w:rPr>
        <w:t>ny response will then be considered before the decision is made.</w:t>
      </w:r>
      <w:bookmarkEnd w:id="70"/>
    </w:p>
    <w:p w14:paraId="025FA1B3" w14:textId="4C7F38AB" w:rsidR="00BC78F1" w:rsidRPr="000559B4" w:rsidRDefault="00BC78F1" w:rsidP="00B14ADF">
      <w:pPr>
        <w:pStyle w:val="Heading2"/>
        <w:rPr>
          <w:rFonts w:asciiTheme="minorHAnsi" w:hAnsiTheme="minorHAnsi"/>
          <w:color w:val="auto"/>
          <w:sz w:val="22"/>
        </w:rPr>
      </w:pPr>
      <w:bookmarkStart w:id="71" w:name="_Toc110520295"/>
      <w:bookmarkStart w:id="72" w:name="_Toc129701978"/>
      <w:bookmarkStart w:id="73" w:name="_Toc211945338"/>
      <w:bookmarkEnd w:id="69"/>
      <w:r w:rsidRPr="000559B4">
        <w:t xml:space="preserve">Outcomes of a </w:t>
      </w:r>
      <w:r w:rsidR="00BA1F02" w:rsidRPr="000559B4">
        <w:t>CTC score</w:t>
      </w:r>
      <w:r w:rsidRPr="000559B4">
        <w:t xml:space="preserve"> review</w:t>
      </w:r>
      <w:bookmarkEnd w:id="71"/>
      <w:bookmarkEnd w:id="72"/>
      <w:bookmarkEnd w:id="73"/>
    </w:p>
    <w:p w14:paraId="29CB144A" w14:textId="70517393" w:rsidR="00BC78F1" w:rsidRPr="000559B4" w:rsidRDefault="00BC78F1" w:rsidP="00B14ADF">
      <w:pPr>
        <w:pStyle w:val="Heading3"/>
        <w:rPr>
          <w:color w:val="auto"/>
          <w:sz w:val="22"/>
        </w:rPr>
      </w:pPr>
      <w:bookmarkStart w:id="74" w:name="_7.1_How_long"/>
      <w:bookmarkStart w:id="75" w:name="_Toc110520296"/>
      <w:bookmarkStart w:id="76" w:name="_Toc129701979"/>
      <w:bookmarkStart w:id="77" w:name="_Toc42680513"/>
      <w:bookmarkStart w:id="78" w:name="_Hlk85802821"/>
      <w:bookmarkStart w:id="79" w:name="_Toc32483099"/>
      <w:bookmarkStart w:id="80" w:name="_Toc211945339"/>
      <w:bookmarkEnd w:id="74"/>
      <w:r w:rsidRPr="000559B4">
        <w:t xml:space="preserve">When will the deemed </w:t>
      </w:r>
      <w:r w:rsidR="00BA1F02" w:rsidRPr="000559B4">
        <w:t>CTC score</w:t>
      </w:r>
      <w:r w:rsidRPr="000559B4">
        <w:t xml:space="preserve"> apply to funding?</w:t>
      </w:r>
      <w:bookmarkEnd w:id="75"/>
      <w:bookmarkEnd w:id="76"/>
      <w:bookmarkEnd w:id="80"/>
    </w:p>
    <w:p w14:paraId="6ED62091" w14:textId="461B8094" w:rsidR="00BC78F1" w:rsidRPr="000559B4" w:rsidRDefault="00BC78F1" w:rsidP="003E3291">
      <w:pPr>
        <w:rPr>
          <w:kern w:val="2"/>
          <w14:ligatures w14:val="standardContextual"/>
        </w:rPr>
      </w:pPr>
      <w:r w:rsidRPr="000559B4">
        <w:rPr>
          <w:kern w:val="2"/>
          <w14:ligatures w14:val="standardContextual"/>
        </w:rPr>
        <w:t xml:space="preserve">If the review results in a new, lower </w:t>
      </w:r>
      <w:r w:rsidR="00BA1F02" w:rsidRPr="000559B4">
        <w:rPr>
          <w:kern w:val="2"/>
          <w14:ligatures w14:val="standardContextual"/>
        </w:rPr>
        <w:t>CTC score</w:t>
      </w:r>
      <w:r w:rsidRPr="000559B4">
        <w:rPr>
          <w:kern w:val="2"/>
          <w14:ligatures w14:val="standardContextual"/>
        </w:rPr>
        <w:t xml:space="preserve"> for the school (resulting in a smaller reduction to the SRS base amount than the score under review) the new score will be used to calculate the school’s recurrent funding entitlement from the year to which the review application relates. If this year is in the past, or the October payment for the year has been finalised, a top up payment will be made to the school in the next available payment run.</w:t>
      </w:r>
    </w:p>
    <w:p w14:paraId="27AC48AC" w14:textId="08D7CB92" w:rsidR="00BC78F1" w:rsidRPr="000559B4" w:rsidRDefault="00BC78F1" w:rsidP="003E3291">
      <w:pPr>
        <w:rPr>
          <w:kern w:val="2"/>
          <w14:ligatures w14:val="standardContextual"/>
        </w:rPr>
      </w:pPr>
      <w:r w:rsidRPr="000559B4">
        <w:rPr>
          <w:kern w:val="2"/>
          <w14:ligatures w14:val="standardContextual"/>
        </w:rPr>
        <w:t xml:space="preserve">A new, higher </w:t>
      </w:r>
      <w:r w:rsidR="00BA1F02" w:rsidRPr="000559B4">
        <w:rPr>
          <w:kern w:val="2"/>
          <w14:ligatures w14:val="standardContextual"/>
        </w:rPr>
        <w:t>CTC score</w:t>
      </w:r>
      <w:r w:rsidRPr="000559B4">
        <w:rPr>
          <w:kern w:val="2"/>
          <w14:ligatures w14:val="standardContextual"/>
        </w:rPr>
        <w:t xml:space="preserve"> (resulting in a larger reduction to the SRS base amount) will not be applied retrospectively. This means, a higher </w:t>
      </w:r>
      <w:r w:rsidR="00BA1F02" w:rsidRPr="000559B4">
        <w:rPr>
          <w:kern w:val="2"/>
          <w14:ligatures w14:val="standardContextual"/>
        </w:rPr>
        <w:t>CTC score</w:t>
      </w:r>
      <w:r w:rsidRPr="000559B4">
        <w:rPr>
          <w:kern w:val="2"/>
          <w14:ligatures w14:val="standardContextual"/>
        </w:rPr>
        <w:t xml:space="preserve"> will not be determined for a year if the October payment for that year has been finalised. Instead, the new, higher </w:t>
      </w:r>
      <w:r w:rsidR="00BA1F02" w:rsidRPr="000559B4">
        <w:rPr>
          <w:kern w:val="2"/>
          <w14:ligatures w14:val="standardContextual"/>
        </w:rPr>
        <w:t>CTC score</w:t>
      </w:r>
      <w:r w:rsidRPr="000559B4">
        <w:rPr>
          <w:kern w:val="2"/>
          <w14:ligatures w14:val="standardContextual"/>
        </w:rPr>
        <w:t xml:space="preserve"> will be used to calculate the school’s recurrent funding entitlements from the following year.</w:t>
      </w:r>
    </w:p>
    <w:p w14:paraId="176CBAD7" w14:textId="77777777" w:rsidR="00BC78F1" w:rsidRPr="000559B4" w:rsidRDefault="00BC78F1" w:rsidP="00B14ADF">
      <w:pPr>
        <w:pStyle w:val="Heading3"/>
        <w:rPr>
          <w:color w:val="auto"/>
          <w:sz w:val="22"/>
        </w:rPr>
      </w:pPr>
      <w:bookmarkStart w:id="81" w:name="_Toc110520297"/>
      <w:bookmarkStart w:id="82" w:name="_Toc129701980"/>
      <w:bookmarkStart w:id="83" w:name="_Toc211945340"/>
      <w:r w:rsidRPr="000559B4">
        <w:t>How long will deemed scores apply for?</w:t>
      </w:r>
      <w:bookmarkEnd w:id="77"/>
      <w:bookmarkEnd w:id="81"/>
      <w:bookmarkEnd w:id="82"/>
      <w:bookmarkEnd w:id="83"/>
    </w:p>
    <w:p w14:paraId="5D570ED5" w14:textId="2B88C1A7" w:rsidR="00205448" w:rsidRPr="000559B4" w:rsidRDefault="00205448" w:rsidP="00205448">
      <w:pPr>
        <w:rPr>
          <w:kern w:val="2"/>
          <w14:ligatures w14:val="standardContextual"/>
        </w:rPr>
      </w:pPr>
      <w:r w:rsidRPr="000559B4">
        <w:rPr>
          <w:kern w:val="2"/>
          <w14:ligatures w14:val="standardContextual"/>
        </w:rPr>
        <w:t xml:space="preserve">The number of funding years a deemed </w:t>
      </w:r>
      <w:r w:rsidR="00BA1F02" w:rsidRPr="000559B4">
        <w:rPr>
          <w:kern w:val="2"/>
          <w14:ligatures w14:val="standardContextual"/>
        </w:rPr>
        <w:t>CTC score</w:t>
      </w:r>
      <w:r w:rsidRPr="000559B4">
        <w:rPr>
          <w:kern w:val="2"/>
          <w14:ligatures w14:val="standardContextual"/>
        </w:rPr>
        <w:t xml:space="preserve"> will be applied to a school’s funding will be considered on a case-by-case basis by the delegate determining the score.</w:t>
      </w:r>
    </w:p>
    <w:p w14:paraId="6FE0E841" w14:textId="4178C655" w:rsidR="00205448" w:rsidRPr="000559B4" w:rsidRDefault="00205448" w:rsidP="00205448">
      <w:pPr>
        <w:rPr>
          <w:kern w:val="2"/>
          <w14:ligatures w14:val="standardContextual"/>
        </w:rPr>
      </w:pPr>
      <w:r w:rsidRPr="000559B4">
        <w:rPr>
          <w:kern w:val="2"/>
          <w14:ligatures w14:val="standardContextual"/>
        </w:rPr>
        <w:t xml:space="preserve">When deciding the number of years to determine a deemed </w:t>
      </w:r>
      <w:r w:rsidR="00BA1F02" w:rsidRPr="000559B4">
        <w:rPr>
          <w:kern w:val="2"/>
          <w14:ligatures w14:val="standardContextual"/>
        </w:rPr>
        <w:t>CTC score</w:t>
      </w:r>
      <w:r w:rsidRPr="000559B4">
        <w:rPr>
          <w:kern w:val="2"/>
          <w14:ligatures w14:val="standardContextual"/>
        </w:rPr>
        <w:t xml:space="preserve"> for, the delegate will consider the reasons for determining a deemed score and whether these reasons are likely to continue to apply to the school. The delegate will prioritise transition to a </w:t>
      </w:r>
      <w:r w:rsidR="00BA1F02" w:rsidRPr="000559B4">
        <w:rPr>
          <w:kern w:val="2"/>
          <w14:ligatures w14:val="standardContextual"/>
        </w:rPr>
        <w:t>CTC score</w:t>
      </w:r>
      <w:r w:rsidRPr="000559B4">
        <w:rPr>
          <w:kern w:val="2"/>
          <w14:ligatures w14:val="standardContextual"/>
        </w:rPr>
        <w:t xml:space="preserve"> calculated in accordance with the Regulations where this will result in an accurate score for the school.</w:t>
      </w:r>
    </w:p>
    <w:p w14:paraId="223AEE84" w14:textId="4D2FC1CD" w:rsidR="00205448" w:rsidRPr="000559B4" w:rsidRDefault="00D9657F" w:rsidP="00205448">
      <w:pPr>
        <w:rPr>
          <w:kern w:val="2"/>
          <w14:ligatures w14:val="standardContextual"/>
        </w:rPr>
      </w:pPr>
      <w:r w:rsidRPr="000559B4">
        <w:rPr>
          <w:kern w:val="2"/>
          <w14:ligatures w14:val="standardContextual"/>
        </w:rPr>
        <w:lastRenderedPageBreak/>
        <w:t>Except in 2025</w:t>
      </w:r>
      <w:r w:rsidR="006865FE">
        <w:rPr>
          <w:kern w:val="2"/>
          <w14:ligatures w14:val="standardContextual"/>
        </w:rPr>
        <w:t xml:space="preserve"> (because of the rollover of 2025 CTC scores for 2026)</w:t>
      </w:r>
      <w:r w:rsidRPr="000559B4">
        <w:rPr>
          <w:kern w:val="2"/>
          <w14:ligatures w14:val="standardContextual"/>
        </w:rPr>
        <w:t>, the department will review d</w:t>
      </w:r>
      <w:r w:rsidR="00205448" w:rsidRPr="000559B4">
        <w:rPr>
          <w:kern w:val="2"/>
          <w14:ligatures w14:val="standardContextual"/>
        </w:rPr>
        <w:t>eemed scores</w:t>
      </w:r>
      <w:r w:rsidRPr="000559B4">
        <w:rPr>
          <w:kern w:val="2"/>
          <w14:ligatures w14:val="standardContextual"/>
        </w:rPr>
        <w:t xml:space="preserve"> annually</w:t>
      </w:r>
      <w:r w:rsidR="00205448" w:rsidRPr="000559B4">
        <w:rPr>
          <w:kern w:val="2"/>
          <w14:ligatures w14:val="standardContextual"/>
        </w:rPr>
        <w:t>, including those determined for more than one funding year</w:t>
      </w:r>
      <w:r w:rsidRPr="000559B4">
        <w:rPr>
          <w:kern w:val="2"/>
          <w14:ligatures w14:val="standardContextual"/>
        </w:rPr>
        <w:t xml:space="preserve">. </w:t>
      </w:r>
      <w:r w:rsidR="00205448" w:rsidRPr="000559B4">
        <w:rPr>
          <w:kern w:val="2"/>
          <w14:ligatures w14:val="standardContextual"/>
        </w:rPr>
        <w:t>For more on annual reviews of deemed scores see</w:t>
      </w:r>
      <w:r w:rsidR="009F61F1" w:rsidRPr="000559B4">
        <w:rPr>
          <w:kern w:val="2"/>
          <w14:ligatures w14:val="standardContextual"/>
        </w:rPr>
        <w:t xml:space="preserve"> the</w:t>
      </w:r>
      <w:r w:rsidR="00205448" w:rsidRPr="000559B4">
        <w:rPr>
          <w:kern w:val="2"/>
          <w14:ligatures w14:val="standardContextual"/>
        </w:rPr>
        <w:t xml:space="preserve"> </w:t>
      </w:r>
      <w:hyperlink w:anchor="_Annual_review_of" w:history="1">
        <w:r w:rsidR="00205448" w:rsidRPr="000559B4">
          <w:rPr>
            <w:kern w:val="2"/>
            <w:u w:val="single"/>
            <w14:ligatures w14:val="standardContextual"/>
          </w:rPr>
          <w:t xml:space="preserve">Annual review of deemed </w:t>
        </w:r>
        <w:r w:rsidR="00BA1F02" w:rsidRPr="000559B4">
          <w:rPr>
            <w:kern w:val="2"/>
            <w:u w:val="single"/>
            <w14:ligatures w14:val="standardContextual"/>
          </w:rPr>
          <w:t>CTC score</w:t>
        </w:r>
        <w:r w:rsidR="00205448" w:rsidRPr="000559B4">
          <w:rPr>
            <w:kern w:val="2"/>
            <w:u w:val="single"/>
            <w14:ligatures w14:val="standardContextual"/>
          </w:rPr>
          <w:t>s</w:t>
        </w:r>
        <w:r w:rsidR="00205448" w:rsidRPr="000559B4">
          <w:rPr>
            <w:kern w:val="2"/>
            <w14:ligatures w14:val="standardContextual"/>
          </w:rPr>
          <w:t xml:space="preserve"> section</w:t>
        </w:r>
      </w:hyperlink>
      <w:r w:rsidR="00205448" w:rsidRPr="000559B4">
        <w:rPr>
          <w:kern w:val="2"/>
          <w14:ligatures w14:val="standardContextual"/>
        </w:rPr>
        <w:t xml:space="preserve"> below.</w:t>
      </w:r>
    </w:p>
    <w:p w14:paraId="26F651F6" w14:textId="19C19049" w:rsidR="00871E5A" w:rsidRPr="000559B4" w:rsidRDefault="00871E5A" w:rsidP="00B14ADF">
      <w:pPr>
        <w:pStyle w:val="Heading3"/>
        <w:rPr>
          <w:color w:val="auto"/>
          <w:sz w:val="22"/>
        </w:rPr>
      </w:pPr>
      <w:bookmarkStart w:id="84" w:name="_Toc110520298"/>
      <w:bookmarkStart w:id="85" w:name="_Toc129701981"/>
      <w:bookmarkStart w:id="86" w:name="_Hlk128401449"/>
      <w:bookmarkStart w:id="87" w:name="_Toc211945341"/>
      <w:bookmarkEnd w:id="78"/>
      <w:bookmarkEnd w:id="79"/>
      <w:r w:rsidRPr="000559B4">
        <w:t>Will my school’s transition to 80% of the SRS be affected?</w:t>
      </w:r>
      <w:bookmarkEnd w:id="84"/>
      <w:bookmarkEnd w:id="85"/>
      <w:bookmarkEnd w:id="87"/>
    </w:p>
    <w:p w14:paraId="52B3003D" w14:textId="0B9A38DC" w:rsidR="00871E5A" w:rsidRPr="000559B4" w:rsidRDefault="00871E5A" w:rsidP="003E3291">
      <w:pPr>
        <w:rPr>
          <w:kern w:val="2"/>
          <w14:ligatures w14:val="standardContextual"/>
        </w:rPr>
      </w:pPr>
      <w:r w:rsidRPr="000559B4">
        <w:rPr>
          <w:kern w:val="2"/>
          <w14:ligatures w14:val="standardContextual"/>
        </w:rPr>
        <w:t xml:space="preserve">Where a new </w:t>
      </w:r>
      <w:r w:rsidR="00BA1F02" w:rsidRPr="000559B4">
        <w:rPr>
          <w:kern w:val="2"/>
          <w14:ligatures w14:val="standardContextual"/>
        </w:rPr>
        <w:t>CTC score</w:t>
      </w:r>
      <w:r w:rsidRPr="000559B4">
        <w:rPr>
          <w:kern w:val="2"/>
          <w14:ligatures w14:val="standardContextual"/>
        </w:rPr>
        <w:t xml:space="preserve"> is deemed for a school for </w:t>
      </w:r>
      <w:r w:rsidR="00A63409">
        <w:rPr>
          <w:kern w:val="2"/>
          <w14:ligatures w14:val="standardContextual"/>
        </w:rPr>
        <w:t xml:space="preserve">2020, 2021 or </w:t>
      </w:r>
      <w:r w:rsidRPr="000559B4">
        <w:rPr>
          <w:kern w:val="2"/>
          <w14:ligatures w14:val="standardContextual"/>
        </w:rPr>
        <w:t>2022, the department will make any relevant adjustments to the school’s transition pathway to 80% of its SRS. Where adjustments are made to a school’s transition pathway, the department will provide written advice to the school’s approved authority, detailing anticipated future year funding entitlements.</w:t>
      </w:r>
    </w:p>
    <w:p w14:paraId="381D1501" w14:textId="4E0476FF" w:rsidR="00871E5A" w:rsidRPr="000559B4" w:rsidRDefault="00871E5A" w:rsidP="003E3291">
      <w:pPr>
        <w:rPr>
          <w:kern w:val="2"/>
          <w14:ligatures w14:val="standardContextual"/>
        </w:rPr>
      </w:pPr>
      <w:r w:rsidRPr="000559B4">
        <w:rPr>
          <w:kern w:val="2"/>
          <w14:ligatures w14:val="standardContextual"/>
        </w:rPr>
        <w:t xml:space="preserve">From 2023, transition pathways will </w:t>
      </w:r>
      <w:r w:rsidRPr="000559B4">
        <w:rPr>
          <w:b/>
          <w:kern w:val="2"/>
          <w14:ligatures w14:val="standardContextual"/>
        </w:rPr>
        <w:t>not</w:t>
      </w:r>
      <w:r w:rsidRPr="000559B4">
        <w:rPr>
          <w:kern w:val="2"/>
          <w14:ligatures w14:val="standardContextual"/>
        </w:rPr>
        <w:t xml:space="preserve"> be adjusted where a new </w:t>
      </w:r>
      <w:r w:rsidR="00BA1F02" w:rsidRPr="000559B4">
        <w:rPr>
          <w:kern w:val="2"/>
          <w14:ligatures w14:val="standardContextual"/>
        </w:rPr>
        <w:t>CTC score</w:t>
      </w:r>
      <w:r w:rsidRPr="000559B4">
        <w:rPr>
          <w:kern w:val="2"/>
          <w14:ligatures w14:val="standardContextual"/>
        </w:rPr>
        <w:t xml:space="preserve"> is determined for a school.</w:t>
      </w:r>
    </w:p>
    <w:p w14:paraId="2BCF4B62" w14:textId="7375892E" w:rsidR="00871E5A" w:rsidRPr="000559B4" w:rsidRDefault="00871E5A" w:rsidP="00B14ADF">
      <w:pPr>
        <w:pStyle w:val="Heading3"/>
        <w:rPr>
          <w:color w:val="auto"/>
          <w:sz w:val="22"/>
        </w:rPr>
      </w:pPr>
      <w:bookmarkStart w:id="88" w:name="_Can_I_seek"/>
      <w:bookmarkStart w:id="89" w:name="_Toc110520299"/>
      <w:bookmarkStart w:id="90" w:name="_Toc129701982"/>
      <w:bookmarkStart w:id="91" w:name="_Hlk88121651"/>
      <w:bookmarkStart w:id="92" w:name="_Toc211945342"/>
      <w:bookmarkEnd w:id="86"/>
      <w:bookmarkEnd w:id="88"/>
      <w:r w:rsidRPr="000559B4">
        <w:t xml:space="preserve">Can I seek a review of a deemed </w:t>
      </w:r>
      <w:r w:rsidR="00BA1F02" w:rsidRPr="000559B4">
        <w:t>CTC score</w:t>
      </w:r>
      <w:r w:rsidRPr="000559B4">
        <w:t>?</w:t>
      </w:r>
      <w:bookmarkEnd w:id="89"/>
      <w:bookmarkEnd w:id="90"/>
      <w:bookmarkEnd w:id="92"/>
    </w:p>
    <w:bookmarkEnd w:id="91"/>
    <w:p w14:paraId="4A8BA79F" w14:textId="2DF66CCD" w:rsidR="00871E5A" w:rsidRPr="000559B4" w:rsidRDefault="00871E5A" w:rsidP="003E3291">
      <w:pPr>
        <w:rPr>
          <w:kern w:val="2"/>
          <w14:ligatures w14:val="standardContextual"/>
        </w:rPr>
      </w:pPr>
      <w:r w:rsidRPr="000559B4">
        <w:rPr>
          <w:kern w:val="2"/>
          <w14:ligatures w14:val="standardContextual"/>
        </w:rPr>
        <w:t xml:space="preserve">Yes. An approved authority can seek a </w:t>
      </w:r>
      <w:r w:rsidR="00BA1F02" w:rsidRPr="000559B4">
        <w:rPr>
          <w:kern w:val="2"/>
          <w14:ligatures w14:val="standardContextual"/>
        </w:rPr>
        <w:t>CTC score</w:t>
      </w:r>
      <w:r w:rsidRPr="000559B4">
        <w:rPr>
          <w:kern w:val="2"/>
          <w14:ligatures w14:val="standardContextual"/>
        </w:rPr>
        <w:t xml:space="preserve"> review at any time regardless of when or on what basis the </w:t>
      </w:r>
      <w:r w:rsidR="00BA1F02" w:rsidRPr="000559B4">
        <w:rPr>
          <w:kern w:val="2"/>
          <w14:ligatures w14:val="standardContextual"/>
        </w:rPr>
        <w:t>CTC score</w:t>
      </w:r>
      <w:r w:rsidRPr="000559B4">
        <w:rPr>
          <w:kern w:val="2"/>
          <w14:ligatures w14:val="standardContextual"/>
        </w:rPr>
        <w:t xml:space="preserve"> was determined.</w:t>
      </w:r>
    </w:p>
    <w:p w14:paraId="25662E7D" w14:textId="7DCC6DDD" w:rsidR="00871E5A" w:rsidRPr="000559B4" w:rsidRDefault="00871E5A" w:rsidP="003E3291">
      <w:pPr>
        <w:rPr>
          <w:kern w:val="2"/>
          <w14:ligatures w14:val="standardContextual"/>
        </w:rPr>
      </w:pPr>
      <w:r w:rsidRPr="000559B4">
        <w:rPr>
          <w:kern w:val="2"/>
          <w14:ligatures w14:val="standardContextual"/>
        </w:rPr>
        <w:t xml:space="preserve">An approved authority can also seek an </w:t>
      </w:r>
      <w:r w:rsidRPr="000559B4">
        <w:rPr>
          <w:b/>
          <w:kern w:val="2"/>
          <w14:ligatures w14:val="standardContextual"/>
        </w:rPr>
        <w:t>internal review</w:t>
      </w:r>
      <w:r w:rsidRPr="000559B4">
        <w:rPr>
          <w:kern w:val="2"/>
          <w14:ligatures w14:val="standardContextual"/>
        </w:rPr>
        <w:t xml:space="preserve"> of the decision to determine a </w:t>
      </w:r>
      <w:r w:rsidR="00BA1F02" w:rsidRPr="000559B4">
        <w:rPr>
          <w:kern w:val="2"/>
          <w14:ligatures w14:val="standardContextual"/>
        </w:rPr>
        <w:t>CTC score</w:t>
      </w:r>
      <w:r w:rsidRPr="000559B4">
        <w:rPr>
          <w:kern w:val="2"/>
          <w14:ligatures w14:val="standardContextual"/>
        </w:rPr>
        <w:t xml:space="preserve"> </w:t>
      </w:r>
      <w:bookmarkStart w:id="93" w:name="_Hlk99449795"/>
      <w:r w:rsidRPr="000559B4">
        <w:rPr>
          <w:kern w:val="2"/>
          <w14:ligatures w14:val="standardContextual"/>
        </w:rPr>
        <w:t>within a specified time of the decision being made (usually 30 days)</w:t>
      </w:r>
      <w:bookmarkEnd w:id="93"/>
      <w:r w:rsidRPr="000559B4">
        <w:rPr>
          <w:kern w:val="2"/>
          <w14:ligatures w14:val="standardContextual"/>
        </w:rPr>
        <w:t xml:space="preserve">. </w:t>
      </w:r>
      <w:r w:rsidR="006F0E45" w:rsidRPr="000559B4">
        <w:rPr>
          <w:rFonts w:ascii="Calibri" w:eastAsia="Calibri" w:hAnsi="Calibri" w:cs="Times New Roman"/>
        </w:rPr>
        <w:t xml:space="preserve">An internal review is not the same as a </w:t>
      </w:r>
      <w:r w:rsidR="00BA1F02" w:rsidRPr="000559B4">
        <w:rPr>
          <w:rFonts w:ascii="Calibri" w:eastAsia="Calibri" w:hAnsi="Calibri" w:cs="Times New Roman"/>
        </w:rPr>
        <w:t>CTC score</w:t>
      </w:r>
      <w:r w:rsidR="006F0E45" w:rsidRPr="000559B4">
        <w:rPr>
          <w:rFonts w:ascii="Calibri" w:eastAsia="Calibri" w:hAnsi="Calibri" w:cs="Times New Roman"/>
        </w:rPr>
        <w:t xml:space="preserve"> review. Internal reviews are allowed for certain administrative decisions made under the Act.</w:t>
      </w:r>
      <w:r w:rsidR="006F0E45" w:rsidRPr="000559B4">
        <w:rPr>
          <w:rFonts w:ascii="Calibri" w:eastAsia="Calibri" w:hAnsi="Calibri" w:cs="Times New Roman"/>
          <w:vertAlign w:val="superscript"/>
        </w:rPr>
        <w:footnoteReference w:id="19"/>
      </w:r>
      <w:r w:rsidR="006F0E45" w:rsidRPr="000559B4">
        <w:rPr>
          <w:rFonts w:ascii="Calibri" w:eastAsia="Calibri" w:hAnsi="Calibri" w:cs="Times New Roman"/>
        </w:rPr>
        <w:t xml:space="preserve"> They</w:t>
      </w:r>
      <w:r w:rsidRPr="000559B4">
        <w:rPr>
          <w:kern w:val="2"/>
          <w14:ligatures w14:val="standardContextual"/>
        </w:rPr>
        <w:t xml:space="preserve"> are conducted by a departmental officer who was not involved in the making of the decision, and who occupies a position that is at least the same level as the individual who made the decision</w:t>
      </w:r>
      <w:r w:rsidR="007E11EB" w:rsidRPr="000559B4">
        <w:rPr>
          <w:kern w:val="2"/>
          <w14:ligatures w14:val="standardContextual"/>
        </w:rPr>
        <w:t xml:space="preserve">. </w:t>
      </w:r>
      <w:r w:rsidRPr="000559B4">
        <w:rPr>
          <w:kern w:val="2"/>
          <w14:ligatures w14:val="standardContextual"/>
        </w:rPr>
        <w:t xml:space="preserve">If an approved authority is not satisfied with the outcome of an internal review, </w:t>
      </w:r>
      <w:r w:rsidR="000834FB" w:rsidRPr="000559B4">
        <w:rPr>
          <w:kern w:val="2"/>
          <w14:ligatures w14:val="standardContextual"/>
        </w:rPr>
        <w:t xml:space="preserve">they </w:t>
      </w:r>
      <w:r w:rsidRPr="000559B4">
        <w:rPr>
          <w:kern w:val="2"/>
          <w14:ligatures w14:val="standardContextual"/>
        </w:rPr>
        <w:t xml:space="preserve">can apply to the </w:t>
      </w:r>
      <w:hyperlink r:id="rId19" w:history="1">
        <w:r w:rsidRPr="000559B4">
          <w:rPr>
            <w:kern w:val="2"/>
            <w14:ligatures w14:val="standardContextual"/>
          </w:rPr>
          <w:t>Administrative Appeals Tribunal</w:t>
        </w:r>
      </w:hyperlink>
      <w:r w:rsidRPr="000559B4">
        <w:rPr>
          <w:kern w:val="2"/>
          <w14:ligatures w14:val="standardContextual"/>
        </w:rPr>
        <w:t xml:space="preserve"> (AAT) to seek an </w:t>
      </w:r>
      <w:r w:rsidRPr="000559B4">
        <w:rPr>
          <w:b/>
          <w:kern w:val="2"/>
          <w14:ligatures w14:val="standardContextual"/>
        </w:rPr>
        <w:t>external review</w:t>
      </w:r>
      <w:r w:rsidRPr="000559B4">
        <w:rPr>
          <w:kern w:val="2"/>
          <w14:ligatures w14:val="standardContextual"/>
        </w:rPr>
        <w:t xml:space="preserve"> of that decision.</w:t>
      </w:r>
    </w:p>
    <w:p w14:paraId="380C794D" w14:textId="2019E945" w:rsidR="00871E5A" w:rsidRPr="000559B4" w:rsidRDefault="00871E5A" w:rsidP="00B14ADF">
      <w:pPr>
        <w:pStyle w:val="Heading2"/>
        <w:rPr>
          <w:rFonts w:asciiTheme="minorHAnsi" w:hAnsiTheme="minorHAnsi"/>
          <w:color w:val="auto"/>
          <w:sz w:val="22"/>
        </w:rPr>
      </w:pPr>
      <w:bookmarkStart w:id="95" w:name="_Toc110520300"/>
      <w:bookmarkStart w:id="96" w:name="_Toc129701983"/>
      <w:bookmarkStart w:id="97" w:name="_Toc211945343"/>
      <w:r w:rsidRPr="000559B4">
        <w:t xml:space="preserve">The </w:t>
      </w:r>
      <w:r w:rsidR="00BA1F02" w:rsidRPr="000559B4">
        <w:t>CTC score</w:t>
      </w:r>
      <w:r w:rsidRPr="000559B4">
        <w:t xml:space="preserve"> review process</w:t>
      </w:r>
      <w:bookmarkEnd w:id="95"/>
      <w:bookmarkEnd w:id="96"/>
      <w:bookmarkEnd w:id="97"/>
    </w:p>
    <w:p w14:paraId="51964627" w14:textId="0354529D" w:rsidR="00871E5A" w:rsidRPr="000559B4" w:rsidRDefault="00AA611B" w:rsidP="00871E5A">
      <w:pPr>
        <w:keepNext/>
        <w:spacing w:before="120" w:after="120"/>
        <w:rPr>
          <w:b/>
          <w:kern w:val="2"/>
          <w14:ligatures w14:val="standardContextual"/>
        </w:rPr>
      </w:pPr>
      <w:bookmarkStart w:id="98" w:name="_Toc26790547"/>
      <w:bookmarkStart w:id="99" w:name="_Toc483469912"/>
      <w:r>
        <w:rPr>
          <w:b/>
          <w:kern w:val="2"/>
          <w14:ligatures w14:val="standardContextual"/>
        </w:rPr>
        <w:t>Step</w:t>
      </w:r>
      <w:r w:rsidR="00871E5A" w:rsidRPr="000559B4">
        <w:rPr>
          <w:b/>
          <w:kern w:val="2"/>
          <w14:ligatures w14:val="standardContextual"/>
        </w:rPr>
        <w:t xml:space="preserve"> 1: Initial review of application</w:t>
      </w:r>
    </w:p>
    <w:p w14:paraId="0D0E3571" w14:textId="0B8FAB34" w:rsidR="00871E5A" w:rsidRPr="000559B4" w:rsidRDefault="00871E5A" w:rsidP="003E3291">
      <w:pPr>
        <w:rPr>
          <w:kern w:val="2"/>
          <w14:ligatures w14:val="standardContextual"/>
        </w:rPr>
      </w:pPr>
      <w:r w:rsidRPr="000559B4">
        <w:rPr>
          <w:kern w:val="2"/>
          <w14:ligatures w14:val="standardContextual"/>
        </w:rPr>
        <w:t xml:space="preserve">The department considers whether the approved authority has a reasonable case for a </w:t>
      </w:r>
      <w:r w:rsidR="00BA1F02" w:rsidRPr="000559B4">
        <w:rPr>
          <w:kern w:val="2"/>
          <w14:ligatures w14:val="standardContextual"/>
        </w:rPr>
        <w:t>CTC score</w:t>
      </w:r>
      <w:r w:rsidRPr="000559B4">
        <w:rPr>
          <w:kern w:val="2"/>
          <w14:ligatures w14:val="standardContextual"/>
        </w:rPr>
        <w:t xml:space="preserve"> review and whether enough evidence has been provided to support the application. The approved authority will be contacted if more information is required.</w:t>
      </w:r>
    </w:p>
    <w:p w14:paraId="7524D969" w14:textId="77777777" w:rsidR="00871E5A" w:rsidRPr="000559B4" w:rsidRDefault="00871E5A" w:rsidP="00871E5A">
      <w:pPr>
        <w:keepNext/>
        <w:spacing w:after="120"/>
        <w:rPr>
          <w:b/>
          <w:kern w:val="2"/>
          <w14:ligatures w14:val="standardContextual"/>
        </w:rPr>
      </w:pPr>
      <w:r w:rsidRPr="000559B4">
        <w:rPr>
          <w:b/>
          <w:kern w:val="2"/>
          <w14:ligatures w14:val="standardContextual"/>
        </w:rPr>
        <w:t>Step 2: Detailed assessment</w:t>
      </w:r>
    </w:p>
    <w:p w14:paraId="21B5752D" w14:textId="700D8F32" w:rsidR="00871E5A" w:rsidRPr="000559B4" w:rsidRDefault="00871E5A" w:rsidP="003E3291">
      <w:pPr>
        <w:rPr>
          <w:kern w:val="2"/>
          <w14:ligatures w14:val="standardContextual"/>
        </w:rPr>
      </w:pPr>
      <w:r w:rsidRPr="000559B4">
        <w:rPr>
          <w:kern w:val="2"/>
          <w14:ligatures w14:val="standardContextual"/>
        </w:rPr>
        <w:t xml:space="preserve">Once there is enough supporting evidence for the application, the department will </w:t>
      </w:r>
      <w:r w:rsidR="00DC7B0F" w:rsidRPr="000559B4">
        <w:rPr>
          <w:kern w:val="2"/>
          <w14:ligatures w14:val="standardContextual"/>
        </w:rPr>
        <w:t xml:space="preserve">undertake a detailed assessment. </w:t>
      </w:r>
      <w:proofErr w:type="gramStart"/>
      <w:r w:rsidR="00DC7B0F" w:rsidRPr="000559B4">
        <w:rPr>
          <w:kern w:val="2"/>
          <w14:ligatures w14:val="standardContextual"/>
        </w:rPr>
        <w:t>Usually</w:t>
      </w:r>
      <w:proofErr w:type="gramEnd"/>
      <w:r w:rsidR="00DC7B0F" w:rsidRPr="000559B4">
        <w:rPr>
          <w:kern w:val="2"/>
          <w14:ligatures w14:val="standardContextual"/>
        </w:rPr>
        <w:t xml:space="preserve"> this assessment will follow</w:t>
      </w:r>
      <w:r w:rsidRPr="000559B4">
        <w:rPr>
          <w:kern w:val="2"/>
          <w14:ligatures w14:val="standardContextual"/>
        </w:rPr>
        <w:t xml:space="preserve"> one of the review processes described in the ABS’s Technical Framework. The Technical Framework describes a suggested review process for several of the </w:t>
      </w:r>
      <w:r w:rsidR="00D3621D" w:rsidRPr="000559B4">
        <w:rPr>
          <w:kern w:val="2"/>
          <w14:ligatures w14:val="standardContextual"/>
        </w:rPr>
        <w:t xml:space="preserve">reasons for a </w:t>
      </w:r>
      <w:r w:rsidR="00BA1F02" w:rsidRPr="000559B4">
        <w:rPr>
          <w:kern w:val="2"/>
          <w14:ligatures w14:val="standardContextual"/>
        </w:rPr>
        <w:t>CTC score</w:t>
      </w:r>
      <w:r w:rsidR="00D3621D" w:rsidRPr="000559B4">
        <w:rPr>
          <w:kern w:val="2"/>
          <w14:ligatures w14:val="standardContextual"/>
        </w:rPr>
        <w:t xml:space="preserve"> review.</w:t>
      </w:r>
    </w:p>
    <w:p w14:paraId="495D05B5" w14:textId="3E59DD9D" w:rsidR="00871E5A" w:rsidRPr="000559B4" w:rsidRDefault="00871E5A" w:rsidP="003E3291">
      <w:pPr>
        <w:rPr>
          <w:kern w:val="2"/>
          <w14:ligatures w14:val="standardContextual"/>
        </w:rPr>
      </w:pPr>
      <w:r w:rsidRPr="000559B4">
        <w:rPr>
          <w:kern w:val="2"/>
          <w14:ligatures w14:val="standardContextual"/>
        </w:rPr>
        <w:t xml:space="preserve">The detailed assessment will consider whether the existing </w:t>
      </w:r>
      <w:r w:rsidR="00BA1F02" w:rsidRPr="000559B4">
        <w:rPr>
          <w:kern w:val="2"/>
          <w14:ligatures w14:val="standardContextual"/>
        </w:rPr>
        <w:t>CTC score</w:t>
      </w:r>
      <w:r w:rsidRPr="000559B4">
        <w:rPr>
          <w:kern w:val="2"/>
          <w14:ligatures w14:val="standardContextual"/>
        </w:rPr>
        <w:t xml:space="preserve"> is accurate or whether a new </w:t>
      </w:r>
      <w:r w:rsidR="00BA1F02" w:rsidRPr="000559B4">
        <w:rPr>
          <w:kern w:val="2"/>
          <w14:ligatures w14:val="standardContextual"/>
        </w:rPr>
        <w:t>CTC score</w:t>
      </w:r>
      <w:r w:rsidRPr="000559B4">
        <w:rPr>
          <w:kern w:val="2"/>
          <w14:ligatures w14:val="standardContextual"/>
        </w:rPr>
        <w:t xml:space="preserve"> should be deemed.</w:t>
      </w:r>
    </w:p>
    <w:p w14:paraId="10B0B9BD" w14:textId="77777777" w:rsidR="00871E5A" w:rsidRPr="000559B4" w:rsidRDefault="00871E5A" w:rsidP="00871E5A">
      <w:pPr>
        <w:keepNext/>
        <w:spacing w:after="120"/>
        <w:rPr>
          <w:b/>
          <w:kern w:val="2"/>
          <w14:ligatures w14:val="standardContextual"/>
        </w:rPr>
      </w:pPr>
      <w:bookmarkStart w:id="100" w:name="_Step_3:_Detailed"/>
      <w:bookmarkStart w:id="101" w:name="_Step_4:_Parental"/>
      <w:bookmarkStart w:id="102" w:name="_Toc26790548"/>
      <w:bookmarkStart w:id="103" w:name="_Toc42680506"/>
      <w:bookmarkEnd w:id="98"/>
      <w:bookmarkEnd w:id="100"/>
      <w:bookmarkEnd w:id="101"/>
      <w:r w:rsidRPr="000559B4">
        <w:rPr>
          <w:b/>
          <w:kern w:val="2"/>
          <w14:ligatures w14:val="standardContextual"/>
        </w:rPr>
        <w:lastRenderedPageBreak/>
        <w:t>If required, a parental survey</w:t>
      </w:r>
      <w:bookmarkEnd w:id="102"/>
      <w:r w:rsidRPr="000559B4">
        <w:rPr>
          <w:b/>
          <w:kern w:val="2"/>
          <w14:ligatures w14:val="standardContextual"/>
        </w:rPr>
        <w:t xml:space="preserve"> </w:t>
      </w:r>
      <w:bookmarkEnd w:id="103"/>
      <w:r w:rsidRPr="000559B4">
        <w:rPr>
          <w:b/>
          <w:kern w:val="2"/>
          <w14:ligatures w14:val="standardContextual"/>
        </w:rPr>
        <w:t>could be suggested</w:t>
      </w:r>
    </w:p>
    <w:p w14:paraId="66D237FD" w14:textId="5A1FF4FF" w:rsidR="00871E5A" w:rsidRPr="000559B4" w:rsidRDefault="00871E5A" w:rsidP="003E3291">
      <w:pPr>
        <w:rPr>
          <w:kern w:val="2"/>
          <w14:ligatures w14:val="standardContextual"/>
        </w:rPr>
      </w:pPr>
      <w:bookmarkStart w:id="104" w:name="_Toc499133853"/>
      <w:bookmarkStart w:id="105" w:name="_Toc499133894"/>
      <w:bookmarkStart w:id="106" w:name="_Toc499802383"/>
      <w:bookmarkStart w:id="107" w:name="_Toc499133854"/>
      <w:bookmarkStart w:id="108" w:name="_Toc499133895"/>
      <w:bookmarkStart w:id="109" w:name="_Toc499802384"/>
      <w:bookmarkStart w:id="110" w:name="_Hlk88052487"/>
      <w:bookmarkStart w:id="111" w:name="_Toc483469913"/>
      <w:bookmarkEnd w:id="99"/>
      <w:bookmarkEnd w:id="104"/>
      <w:bookmarkEnd w:id="105"/>
      <w:bookmarkEnd w:id="106"/>
      <w:bookmarkEnd w:id="107"/>
      <w:bookmarkEnd w:id="108"/>
      <w:bookmarkEnd w:id="109"/>
      <w:r w:rsidRPr="000559B4">
        <w:rPr>
          <w:kern w:val="2"/>
          <w14:ligatures w14:val="standardContextual"/>
        </w:rPr>
        <w:t>The department could propose a parental survey be carried out. A parental survey would ask questions about each parent’s personal income for a specified year.</w:t>
      </w:r>
      <w:r w:rsidR="00FD33FC" w:rsidRPr="00FD33FC">
        <w:rPr>
          <w:rStyle w:val="FootnoteReference"/>
          <w:kern w:val="2"/>
          <w14:ligatures w14:val="standardContextual"/>
        </w:rPr>
        <w:t xml:space="preserve"> </w:t>
      </w:r>
      <w:r w:rsidRPr="000559B4">
        <w:rPr>
          <w:kern w:val="2"/>
          <w14:ligatures w14:val="standardContextual"/>
        </w:rPr>
        <w:t xml:space="preserve">This information would be used by the department to calculate an </w:t>
      </w:r>
      <w:hyperlink r:id="rId20" w:history="1">
        <w:r w:rsidRPr="000559B4">
          <w:rPr>
            <w:rStyle w:val="Hyperlink"/>
            <w:kern w:val="2"/>
            <w14:ligatures w14:val="standardContextual"/>
          </w:rPr>
          <w:t>Adjusted Taxable Income</w:t>
        </w:r>
      </w:hyperlink>
      <w:r w:rsidRPr="000559B4">
        <w:rPr>
          <w:kern w:val="2"/>
          <w:sz w:val="20"/>
          <w:lang w:val="en-US"/>
          <w14:ligatures w14:val="standardContextual"/>
        </w:rPr>
        <w:t xml:space="preserve"> </w:t>
      </w:r>
      <w:r w:rsidRPr="000559B4">
        <w:rPr>
          <w:kern w:val="2"/>
          <w14:ligatures w14:val="standardContextual"/>
        </w:rPr>
        <w:t>for each parent and, from that information, the median family income for the school. The median</w:t>
      </w:r>
      <w:r w:rsidR="00012553" w:rsidRPr="000559B4">
        <w:rPr>
          <w:kern w:val="2"/>
          <w14:ligatures w14:val="standardContextual"/>
        </w:rPr>
        <w:t xml:space="preserve"> family</w:t>
      </w:r>
      <w:r w:rsidRPr="000559B4">
        <w:rPr>
          <w:kern w:val="2"/>
          <w14:ligatures w14:val="standardContextual"/>
        </w:rPr>
        <w:t xml:space="preserve"> income would then be used to derive the school’s </w:t>
      </w:r>
      <w:r w:rsidR="00BA1F02" w:rsidRPr="000559B4">
        <w:rPr>
          <w:kern w:val="2"/>
          <w14:ligatures w14:val="standardContextual"/>
        </w:rPr>
        <w:t>CTC score</w:t>
      </w:r>
      <w:r w:rsidRPr="000559B4">
        <w:rPr>
          <w:kern w:val="2"/>
          <w14:ligatures w14:val="standardContextual"/>
        </w:rPr>
        <w:t>.</w:t>
      </w:r>
    </w:p>
    <w:p w14:paraId="3053D5CF" w14:textId="71BD5CF9" w:rsidR="00C10B0F" w:rsidRPr="000559B4" w:rsidRDefault="00871E5A" w:rsidP="003E3291">
      <w:pPr>
        <w:rPr>
          <w:kern w:val="2"/>
          <w14:ligatures w14:val="standardContextual"/>
        </w:rPr>
      </w:pPr>
      <w:r w:rsidRPr="000559B4">
        <w:rPr>
          <w:kern w:val="2"/>
          <w14:ligatures w14:val="standardContextual"/>
        </w:rPr>
        <w:t xml:space="preserve">The department would exhaust all other avenues before suggesting a parental survey. Parental surveys are resource-intensive for schools to undertake given the high response rate (100% of all parents) required. </w:t>
      </w:r>
      <w:bookmarkStart w:id="112" w:name="_Hlk110514303"/>
      <w:r w:rsidRPr="000559B4">
        <w:rPr>
          <w:kern w:val="2"/>
          <w14:ligatures w14:val="standardContextual"/>
        </w:rPr>
        <w:t xml:space="preserve">Also, the accuracy of information collected through a parental survey cannot be guaranteed in the same way the accuracy of administrative data contained in the </w:t>
      </w:r>
      <w:r w:rsidR="002533F2" w:rsidRPr="000559B4">
        <w:rPr>
          <w:kern w:val="2"/>
          <w14:ligatures w14:val="standardContextual"/>
        </w:rPr>
        <w:t xml:space="preserve">PLIDA </w:t>
      </w:r>
      <w:r w:rsidRPr="000559B4">
        <w:rPr>
          <w:kern w:val="2"/>
          <w14:ligatures w14:val="standardContextual"/>
        </w:rPr>
        <w:t>can.</w:t>
      </w:r>
      <w:bookmarkEnd w:id="112"/>
    </w:p>
    <w:p w14:paraId="7D1D72F1" w14:textId="483838DE" w:rsidR="00871E5A" w:rsidRPr="000559B4" w:rsidRDefault="00871E5A" w:rsidP="00DF4F25">
      <w:pPr>
        <w:keepNext/>
        <w:rPr>
          <w:b/>
          <w:kern w:val="2"/>
          <w14:ligatures w14:val="standardContextual"/>
        </w:rPr>
      </w:pPr>
      <w:r w:rsidRPr="000559B4">
        <w:rPr>
          <w:b/>
          <w:kern w:val="2"/>
          <w14:ligatures w14:val="standardContextual"/>
        </w:rPr>
        <w:t>Step 3: Approved authority provided with draft report</w:t>
      </w:r>
      <w:r w:rsidR="00BA1F02" w:rsidRPr="000559B4">
        <w:rPr>
          <w:b/>
          <w:kern w:val="2"/>
          <w14:ligatures w14:val="standardContextual"/>
        </w:rPr>
        <w:t xml:space="preserve"> </w:t>
      </w:r>
    </w:p>
    <w:p w14:paraId="6DCF92C4" w14:textId="104525E8" w:rsidR="00871E5A" w:rsidRPr="000559B4" w:rsidRDefault="00871E5A" w:rsidP="003E3291">
      <w:pPr>
        <w:rPr>
          <w:kern w:val="2"/>
          <w14:ligatures w14:val="standardContextual"/>
        </w:rPr>
      </w:pPr>
      <w:bookmarkStart w:id="113" w:name="_Toc26790549"/>
      <w:bookmarkStart w:id="114" w:name="_Toc42680507"/>
      <w:bookmarkEnd w:id="110"/>
      <w:r w:rsidRPr="000559B4">
        <w:rPr>
          <w:kern w:val="2"/>
          <w14:ligatures w14:val="standardContextual"/>
        </w:rPr>
        <w:t>The approved authority is given an opportunity to respond to the department’s draft assessment report before it is provided to the assessor. At this time the approved authority can provide further evidence or data to support their application.</w:t>
      </w:r>
    </w:p>
    <w:p w14:paraId="4F3E55EC" w14:textId="09FCF746" w:rsidR="00871E5A" w:rsidRPr="000559B4" w:rsidRDefault="00871E5A" w:rsidP="00871E5A">
      <w:pPr>
        <w:keepNext/>
        <w:spacing w:after="120"/>
        <w:rPr>
          <w:b/>
          <w:kern w:val="2"/>
          <w14:ligatures w14:val="standardContextual"/>
        </w:rPr>
      </w:pPr>
      <w:r w:rsidRPr="000559B4">
        <w:rPr>
          <w:b/>
          <w:kern w:val="2"/>
          <w14:ligatures w14:val="standardContextual"/>
        </w:rPr>
        <w:t xml:space="preserve">Step </w:t>
      </w:r>
      <w:r w:rsidR="00AA611B">
        <w:rPr>
          <w:b/>
          <w:kern w:val="2"/>
          <w14:ligatures w14:val="standardContextual"/>
        </w:rPr>
        <w:t>4</w:t>
      </w:r>
      <w:r w:rsidRPr="000559B4">
        <w:rPr>
          <w:b/>
          <w:kern w:val="2"/>
          <w14:ligatures w14:val="standardContextual"/>
        </w:rPr>
        <w:t xml:space="preserve">: </w:t>
      </w:r>
      <w:bookmarkEnd w:id="113"/>
      <w:r w:rsidR="00DF4C08" w:rsidRPr="000559B4">
        <w:rPr>
          <w:b/>
          <w:bCs/>
          <w:kern w:val="2"/>
          <w14:ligatures w14:val="standardContextual"/>
        </w:rPr>
        <w:t>Independent</w:t>
      </w:r>
      <w:r w:rsidR="00DF4C08" w:rsidRPr="000559B4">
        <w:rPr>
          <w:b/>
          <w:kern w:val="2"/>
          <w14:ligatures w14:val="standardContextual"/>
        </w:rPr>
        <w:t xml:space="preserve"> </w:t>
      </w:r>
      <w:r w:rsidRPr="000559B4">
        <w:rPr>
          <w:b/>
          <w:kern w:val="2"/>
          <w14:ligatures w14:val="standardContextual"/>
        </w:rPr>
        <w:t xml:space="preserve">oversight </w:t>
      </w:r>
      <w:bookmarkEnd w:id="114"/>
    </w:p>
    <w:p w14:paraId="7572983A" w14:textId="2CBE1B80" w:rsidR="00205448" w:rsidRPr="000559B4" w:rsidRDefault="00205448" w:rsidP="00205448">
      <w:pPr>
        <w:rPr>
          <w:kern w:val="2"/>
          <w14:ligatures w14:val="standardContextual"/>
        </w:rPr>
      </w:pPr>
      <w:r w:rsidRPr="000559B4">
        <w:rPr>
          <w:kern w:val="2"/>
          <w14:ligatures w14:val="standardContextual"/>
        </w:rPr>
        <w:t xml:space="preserve">An independent, internal assessment of the draft assessment report and review documentation is carried out by an independent officer in a separate area of the department who was not involved in the original CTC review process. The internal assessor’s role is to ensure the </w:t>
      </w:r>
      <w:r w:rsidR="00BA1F02" w:rsidRPr="000559B4">
        <w:rPr>
          <w:kern w:val="2"/>
          <w14:ligatures w14:val="standardContextual"/>
        </w:rPr>
        <w:t>CTC score</w:t>
      </w:r>
      <w:r w:rsidRPr="000559B4">
        <w:rPr>
          <w:kern w:val="2"/>
          <w14:ligatures w14:val="standardContextual"/>
        </w:rPr>
        <w:t xml:space="preserve"> Reviews Team’s assessment is reasonable, appropriate, and thorough </w:t>
      </w:r>
      <w:proofErr w:type="gramStart"/>
      <w:r w:rsidRPr="000559B4">
        <w:rPr>
          <w:kern w:val="2"/>
          <w14:ligatures w14:val="standardContextual"/>
        </w:rPr>
        <w:t>in light of</w:t>
      </w:r>
      <w:proofErr w:type="gramEnd"/>
      <w:r w:rsidRPr="000559B4">
        <w:rPr>
          <w:kern w:val="2"/>
          <w14:ligatures w14:val="standardContextual"/>
        </w:rPr>
        <w:t xml:space="preserve"> all evidence provided and gathered, and that it has followed correct procedures.</w:t>
      </w:r>
    </w:p>
    <w:p w14:paraId="4EBE6BD4" w14:textId="26084961" w:rsidR="00871E5A" w:rsidRPr="000559B4" w:rsidRDefault="00871E5A" w:rsidP="00871E5A">
      <w:pPr>
        <w:keepNext/>
        <w:spacing w:after="120"/>
        <w:rPr>
          <w:b/>
          <w:kern w:val="2"/>
          <w14:ligatures w14:val="standardContextual"/>
        </w:rPr>
      </w:pPr>
      <w:bookmarkStart w:id="115" w:name="_Toc26790550"/>
      <w:bookmarkStart w:id="116" w:name="_Toc42680508"/>
      <w:r w:rsidRPr="000559B4">
        <w:rPr>
          <w:b/>
          <w:kern w:val="2"/>
          <w14:ligatures w14:val="standardContextual"/>
        </w:rPr>
        <w:t xml:space="preserve">Step </w:t>
      </w:r>
      <w:r w:rsidR="00AA611B">
        <w:rPr>
          <w:b/>
          <w:kern w:val="2"/>
          <w14:ligatures w14:val="standardContextual"/>
        </w:rPr>
        <w:t>5</w:t>
      </w:r>
      <w:r w:rsidRPr="000559B4">
        <w:rPr>
          <w:b/>
          <w:kern w:val="2"/>
          <w14:ligatures w14:val="standardContextual"/>
        </w:rPr>
        <w:t xml:space="preserve">: </w:t>
      </w:r>
      <w:bookmarkEnd w:id="115"/>
      <w:r w:rsidRPr="000559B4">
        <w:rPr>
          <w:b/>
          <w:kern w:val="2"/>
          <w14:ligatures w14:val="standardContextual"/>
        </w:rPr>
        <w:t xml:space="preserve">Recommendation and </w:t>
      </w:r>
      <w:bookmarkEnd w:id="116"/>
      <w:r w:rsidRPr="000559B4">
        <w:rPr>
          <w:b/>
          <w:kern w:val="2"/>
          <w14:ligatures w14:val="standardContextual"/>
        </w:rPr>
        <w:t>decision</w:t>
      </w:r>
    </w:p>
    <w:p w14:paraId="7A3B7FCD" w14:textId="47CBE1CA" w:rsidR="00871E5A" w:rsidRPr="000559B4" w:rsidRDefault="00871E5A" w:rsidP="00270F7C">
      <w:pPr>
        <w:spacing w:after="120"/>
        <w:rPr>
          <w:kern w:val="2"/>
          <w14:ligatures w14:val="standardContextual"/>
        </w:rPr>
      </w:pPr>
      <w:r w:rsidRPr="000559B4">
        <w:rPr>
          <w:kern w:val="2"/>
          <w14:ligatures w14:val="standardContextual"/>
        </w:rPr>
        <w:t>The department makes recommendations to the Delegate who is a senior departmental official. If a new score is recommended, the years to which that score will apply to the school’s funding calculation are also provided to the Delegate for decision.</w:t>
      </w:r>
    </w:p>
    <w:p w14:paraId="57A2C8DE" w14:textId="574CF435" w:rsidR="00871E5A" w:rsidRPr="000559B4" w:rsidRDefault="00C55A32" w:rsidP="003E3291">
      <w:pPr>
        <w:pStyle w:val="ListBullet"/>
        <w:spacing w:after="120"/>
        <w:contextualSpacing w:val="0"/>
      </w:pPr>
      <w:r w:rsidRPr="000559B4">
        <w:t xml:space="preserve">If the Delegate is </w:t>
      </w:r>
      <w:r w:rsidR="00871E5A" w:rsidRPr="000559B4">
        <w:t xml:space="preserve">satisfied the </w:t>
      </w:r>
      <w:r w:rsidR="00BA1F02" w:rsidRPr="000559B4">
        <w:t>CTC score</w:t>
      </w:r>
      <w:r w:rsidR="00871E5A" w:rsidRPr="000559B4">
        <w:t xml:space="preserve"> under review is accurate, they will decide to redetermine that score.</w:t>
      </w:r>
    </w:p>
    <w:p w14:paraId="1B00CDFC" w14:textId="73A1D82C" w:rsidR="00871E5A" w:rsidRPr="000559B4" w:rsidRDefault="00871E5A" w:rsidP="003E3291">
      <w:pPr>
        <w:pStyle w:val="ListBullet"/>
        <w:rPr>
          <w:b/>
          <w:bCs/>
        </w:rPr>
      </w:pPr>
      <w:r w:rsidRPr="000559B4">
        <w:t xml:space="preserve">If the Delegate is satisfied the </w:t>
      </w:r>
      <w:r w:rsidR="00BA1F02" w:rsidRPr="000559B4">
        <w:t>CTC score</w:t>
      </w:r>
      <w:r w:rsidRPr="000559B4">
        <w:t xml:space="preserve"> determined for the school is not accurate, they will determine a new </w:t>
      </w:r>
      <w:r w:rsidR="00BA1F02" w:rsidRPr="000559B4">
        <w:t>CTC score</w:t>
      </w:r>
      <w:r w:rsidRPr="000559B4">
        <w:t>.</w:t>
      </w:r>
      <w:bookmarkStart w:id="117" w:name="_Toc499802388"/>
      <w:bookmarkStart w:id="118" w:name="_Toc499133859"/>
      <w:bookmarkStart w:id="119" w:name="_Toc499133899"/>
      <w:bookmarkStart w:id="120" w:name="_Toc499802389"/>
      <w:bookmarkStart w:id="121" w:name="_Toc483469921"/>
      <w:bookmarkStart w:id="122" w:name="_Toc26790551"/>
      <w:bookmarkStart w:id="123" w:name="_Toc42680509"/>
      <w:bookmarkEnd w:id="111"/>
      <w:bookmarkEnd w:id="117"/>
      <w:bookmarkEnd w:id="118"/>
      <w:bookmarkEnd w:id="119"/>
      <w:bookmarkEnd w:id="120"/>
    </w:p>
    <w:p w14:paraId="08EAEE27" w14:textId="1D87B125" w:rsidR="00871E5A" w:rsidRPr="000559B4" w:rsidRDefault="00871E5A" w:rsidP="00871E5A">
      <w:pPr>
        <w:keepNext/>
        <w:spacing w:after="120" w:line="240" w:lineRule="auto"/>
        <w:rPr>
          <w:b/>
          <w:kern w:val="2"/>
          <w14:ligatures w14:val="standardContextual"/>
        </w:rPr>
      </w:pPr>
      <w:r w:rsidRPr="000559B4">
        <w:rPr>
          <w:b/>
          <w:kern w:val="2"/>
          <w14:ligatures w14:val="standardContextual"/>
        </w:rPr>
        <w:t xml:space="preserve">Step </w:t>
      </w:r>
      <w:r w:rsidR="00AA611B">
        <w:rPr>
          <w:b/>
          <w:kern w:val="2"/>
          <w14:ligatures w14:val="standardContextual"/>
        </w:rPr>
        <w:t>6</w:t>
      </w:r>
      <w:r w:rsidRPr="000559B4">
        <w:rPr>
          <w:b/>
          <w:kern w:val="2"/>
          <w14:ligatures w14:val="standardContextual"/>
        </w:rPr>
        <w:t>: Notify approved authority of the decision</w:t>
      </w:r>
      <w:bookmarkEnd w:id="121"/>
      <w:bookmarkEnd w:id="122"/>
      <w:bookmarkEnd w:id="123"/>
    </w:p>
    <w:p w14:paraId="37BF0B16" w14:textId="2898EA6B" w:rsidR="00871E5A" w:rsidRPr="000559B4" w:rsidRDefault="00871E5A" w:rsidP="003E3291">
      <w:pPr>
        <w:rPr>
          <w:kern w:val="2"/>
          <w14:ligatures w14:val="standardContextual"/>
        </w:rPr>
      </w:pPr>
      <w:r w:rsidRPr="000559B4">
        <w:rPr>
          <w:kern w:val="2"/>
          <w14:ligatures w14:val="standardContextual"/>
        </w:rPr>
        <w:t>The department formally notifies the approved authority of the Delegate’s decision</w:t>
      </w:r>
      <w:r w:rsidR="00F24FC8" w:rsidRPr="000559B4">
        <w:rPr>
          <w:kern w:val="2"/>
          <w14:ligatures w14:val="standardContextual"/>
        </w:rPr>
        <w:t>.</w:t>
      </w:r>
      <w:r w:rsidRPr="000559B4">
        <w:rPr>
          <w:rStyle w:val="FootnoteReference"/>
          <w:kern w:val="2"/>
          <w14:ligatures w14:val="standardContextual"/>
        </w:rPr>
        <w:footnoteReference w:id="20"/>
      </w:r>
      <w:r w:rsidR="00F24FC8" w:rsidRPr="000559B4">
        <w:rPr>
          <w:kern w:val="2"/>
          <w14:ligatures w14:val="standardContextual"/>
        </w:rPr>
        <w:t xml:space="preserve"> </w:t>
      </w:r>
      <w:r w:rsidRPr="000559B4">
        <w:rPr>
          <w:kern w:val="2"/>
          <w14:ligatures w14:val="standardContextual"/>
        </w:rPr>
        <w:t xml:space="preserve">The notice includes the determined </w:t>
      </w:r>
      <w:r w:rsidR="00BA1F02" w:rsidRPr="000559B4">
        <w:rPr>
          <w:kern w:val="2"/>
          <w14:ligatures w14:val="standardContextual"/>
        </w:rPr>
        <w:t>CTC score</w:t>
      </w:r>
      <w:r w:rsidRPr="000559B4">
        <w:rPr>
          <w:kern w:val="2"/>
          <w14:ligatures w14:val="standardContextual"/>
        </w:rPr>
        <w:t xml:space="preserve">, the years the new score will apply and the reasons for the decision. The notice also sets out the approved authority’s right to internal review of the decision. For more information about internal reviews see </w:t>
      </w:r>
      <w:hyperlink w:anchor="_Can_I_seek" w:history="1">
        <w:r w:rsidRPr="000559B4">
          <w:rPr>
            <w:rStyle w:val="Hyperlink"/>
            <w:kern w:val="2"/>
            <w14:ligatures w14:val="standardContextual"/>
          </w:rPr>
          <w:t xml:space="preserve">Can I seek a review of a deemed </w:t>
        </w:r>
        <w:r w:rsidR="00BA1F02" w:rsidRPr="000559B4">
          <w:rPr>
            <w:rStyle w:val="Hyperlink"/>
            <w:kern w:val="2"/>
            <w14:ligatures w14:val="standardContextual"/>
          </w:rPr>
          <w:t>CTC score</w:t>
        </w:r>
        <w:r w:rsidRPr="000559B4">
          <w:rPr>
            <w:rStyle w:val="Hyperlink"/>
            <w:kern w:val="2"/>
            <w14:ligatures w14:val="standardContextual"/>
          </w:rPr>
          <w:t>?</w:t>
        </w:r>
      </w:hyperlink>
      <w:r w:rsidRPr="000559B4">
        <w:rPr>
          <w:kern w:val="2"/>
          <w14:ligatures w14:val="standardContextual"/>
        </w:rPr>
        <w:t>.</w:t>
      </w:r>
    </w:p>
    <w:p w14:paraId="0D121367" w14:textId="2DA0CD28" w:rsidR="00CE1616" w:rsidRPr="000559B4" w:rsidRDefault="00CE1616" w:rsidP="00B14ADF">
      <w:pPr>
        <w:pStyle w:val="Heading2"/>
        <w:rPr>
          <w:rFonts w:asciiTheme="minorHAnsi" w:eastAsiaTheme="minorHAnsi" w:hAnsiTheme="minorHAnsi" w:cstheme="minorBidi"/>
          <w:color w:val="auto"/>
          <w:sz w:val="22"/>
          <w:szCs w:val="22"/>
        </w:rPr>
      </w:pPr>
      <w:bookmarkStart w:id="124" w:name="_Annual_review_of"/>
      <w:bookmarkStart w:id="125" w:name="_Toc211945344"/>
      <w:bookmarkEnd w:id="124"/>
      <w:r w:rsidRPr="000559B4">
        <w:lastRenderedPageBreak/>
        <w:t xml:space="preserve">Annual review of deemed </w:t>
      </w:r>
      <w:r w:rsidR="00BA1F02" w:rsidRPr="000559B4">
        <w:t>CTC score</w:t>
      </w:r>
      <w:r w:rsidRPr="000559B4">
        <w:t>s</w:t>
      </w:r>
      <w:bookmarkEnd w:id="125"/>
    </w:p>
    <w:p w14:paraId="4143D7FB" w14:textId="18999094" w:rsidR="00602A6B" w:rsidRPr="000559B4" w:rsidRDefault="00660828" w:rsidP="003E3291">
      <w:pPr>
        <w:rPr>
          <w:kern w:val="2"/>
          <w14:ligatures w14:val="standardContextual"/>
        </w:rPr>
      </w:pPr>
      <w:r w:rsidRPr="000559B4">
        <w:rPr>
          <w:kern w:val="2"/>
          <w14:ligatures w14:val="standardContextual"/>
        </w:rPr>
        <w:t xml:space="preserve">The </w:t>
      </w:r>
      <w:r w:rsidR="00BA1F02" w:rsidRPr="000559B4">
        <w:rPr>
          <w:kern w:val="2"/>
          <w14:ligatures w14:val="standardContextual"/>
        </w:rPr>
        <w:t>CTC score</w:t>
      </w:r>
      <w:r w:rsidRPr="000559B4">
        <w:rPr>
          <w:kern w:val="2"/>
          <w14:ligatures w14:val="standardContextual"/>
        </w:rPr>
        <w:t xml:space="preserve"> reviews team </w:t>
      </w:r>
      <w:r w:rsidR="00D3621D" w:rsidRPr="000559B4">
        <w:rPr>
          <w:kern w:val="2"/>
          <w14:ligatures w14:val="standardContextual"/>
        </w:rPr>
        <w:t xml:space="preserve">carries out a review of deemed </w:t>
      </w:r>
      <w:r w:rsidR="00BA1F02" w:rsidRPr="000559B4">
        <w:rPr>
          <w:kern w:val="2"/>
          <w14:ligatures w14:val="standardContextual"/>
        </w:rPr>
        <w:t>CTC score</w:t>
      </w:r>
      <w:r w:rsidR="00D3621D" w:rsidRPr="000559B4">
        <w:rPr>
          <w:kern w:val="2"/>
          <w14:ligatures w14:val="standardContextual"/>
        </w:rPr>
        <w:t xml:space="preserve">s each year to assess whether a </w:t>
      </w:r>
      <w:r w:rsidR="00BA1F02" w:rsidRPr="000559B4">
        <w:rPr>
          <w:kern w:val="2"/>
          <w14:ligatures w14:val="standardContextual"/>
        </w:rPr>
        <w:t>CTC score</w:t>
      </w:r>
      <w:r w:rsidR="00D3621D" w:rsidRPr="000559B4">
        <w:rPr>
          <w:kern w:val="2"/>
          <w14:ligatures w14:val="standardContextual"/>
        </w:rPr>
        <w:t xml:space="preserve"> calculated in accordance with the Regulations</w:t>
      </w:r>
      <w:r w:rsidR="00E33C55" w:rsidRPr="000559B4">
        <w:rPr>
          <w:kern w:val="2"/>
          <w14:ligatures w14:val="standardContextual"/>
        </w:rPr>
        <w:t xml:space="preserve"> </w:t>
      </w:r>
      <w:r w:rsidR="00D3621D" w:rsidRPr="000559B4">
        <w:rPr>
          <w:kern w:val="2"/>
          <w14:ligatures w14:val="standardContextual"/>
        </w:rPr>
        <w:t>would be accurate for the following year.</w:t>
      </w:r>
    </w:p>
    <w:p w14:paraId="3C9B6B40" w14:textId="564C2FD1" w:rsidR="00D3621D" w:rsidRPr="000559B4" w:rsidRDefault="00DA288C" w:rsidP="003E3291">
      <w:pPr>
        <w:rPr>
          <w:kern w:val="2"/>
          <w14:ligatures w14:val="standardContextual"/>
        </w:rPr>
      </w:pPr>
      <w:r w:rsidRPr="000559B4">
        <w:rPr>
          <w:kern w:val="2"/>
          <w14:ligatures w14:val="standardContextual"/>
        </w:rPr>
        <w:t>If</w:t>
      </w:r>
      <w:r w:rsidR="006F0E45" w:rsidRPr="000559B4">
        <w:rPr>
          <w:rFonts w:ascii="Calibri" w:eastAsia="Calibri" w:hAnsi="Calibri" w:cs="Times New Roman"/>
        </w:rPr>
        <w:t>, following the annual review, the delegate is satisfied</w:t>
      </w:r>
      <w:r w:rsidRPr="000559B4">
        <w:rPr>
          <w:kern w:val="2"/>
          <w14:ligatures w14:val="standardContextual"/>
        </w:rPr>
        <w:t xml:space="preserve"> a </w:t>
      </w:r>
      <w:r w:rsidR="00BA1F02" w:rsidRPr="000559B4">
        <w:rPr>
          <w:kern w:val="2"/>
          <w14:ligatures w14:val="standardContextual"/>
        </w:rPr>
        <w:t>CTC score</w:t>
      </w:r>
      <w:r w:rsidRPr="000559B4">
        <w:rPr>
          <w:kern w:val="2"/>
          <w14:ligatures w14:val="standardContextual"/>
        </w:rPr>
        <w:t xml:space="preserve"> </w:t>
      </w:r>
      <w:r w:rsidR="006F0E45" w:rsidRPr="000559B4">
        <w:rPr>
          <w:rFonts w:ascii="Calibri" w:eastAsia="Calibri" w:hAnsi="Calibri" w:cs="Times New Roman"/>
        </w:rPr>
        <w:t>calculated in accordance with the Regulations would be</w:t>
      </w:r>
      <w:r w:rsidRPr="000559B4">
        <w:rPr>
          <w:kern w:val="2"/>
          <w14:ligatures w14:val="standardContextual"/>
        </w:rPr>
        <w:t xml:space="preserve"> accurate, the school’s </w:t>
      </w:r>
      <w:r w:rsidR="00BA1F02" w:rsidRPr="000559B4">
        <w:rPr>
          <w:kern w:val="2"/>
          <w14:ligatures w14:val="standardContextual"/>
        </w:rPr>
        <w:t>CTC score</w:t>
      </w:r>
      <w:r w:rsidRPr="000559B4">
        <w:rPr>
          <w:kern w:val="2"/>
          <w14:ligatures w14:val="standardContextual"/>
        </w:rPr>
        <w:t xml:space="preserve"> for the next funding year will be determined in accordance with the Regulations</w:t>
      </w:r>
      <w:r w:rsidR="00D3621D" w:rsidRPr="000559B4">
        <w:rPr>
          <w:kern w:val="2"/>
          <w14:ligatures w14:val="standardContextual"/>
        </w:rPr>
        <w:t>.</w:t>
      </w:r>
    </w:p>
    <w:p w14:paraId="20A334AE" w14:textId="1C0A20A2" w:rsidR="001B5E5D" w:rsidRPr="000559B4" w:rsidRDefault="006F0E45" w:rsidP="003E3291">
      <w:pPr>
        <w:rPr>
          <w:kern w:val="2"/>
          <w14:ligatures w14:val="standardContextual"/>
        </w:rPr>
      </w:pPr>
      <w:r w:rsidRPr="000559B4">
        <w:rPr>
          <w:rFonts w:ascii="Calibri" w:eastAsia="Calibri" w:hAnsi="Calibri" w:cs="Times New Roman"/>
        </w:rPr>
        <w:t xml:space="preserve">For small and very small schools, the move from a deemed </w:t>
      </w:r>
      <w:r w:rsidR="00BA1F02" w:rsidRPr="000559B4">
        <w:rPr>
          <w:rFonts w:ascii="Calibri" w:eastAsia="Calibri" w:hAnsi="Calibri" w:cs="Times New Roman"/>
        </w:rPr>
        <w:t>CTC score</w:t>
      </w:r>
      <w:r w:rsidRPr="000559B4">
        <w:rPr>
          <w:rFonts w:ascii="Calibri" w:eastAsia="Calibri" w:hAnsi="Calibri" w:cs="Times New Roman"/>
        </w:rPr>
        <w:t xml:space="preserve"> to a score calculated in accordance with the Regulations</w:t>
      </w:r>
      <w:r w:rsidR="00A93FD2" w:rsidRPr="000559B4">
        <w:rPr>
          <w:rFonts w:ascii="Calibri" w:eastAsia="Calibri" w:hAnsi="Calibri" w:cs="Times New Roman"/>
        </w:rPr>
        <w:t xml:space="preserve"> </w:t>
      </w:r>
      <w:r w:rsidRPr="000559B4">
        <w:rPr>
          <w:rFonts w:ascii="Calibri" w:eastAsia="Calibri" w:hAnsi="Calibri" w:cs="Times New Roman"/>
        </w:rPr>
        <w:t>will be subject to a 2</w:t>
      </w:r>
      <w:r w:rsidR="00A93FD2" w:rsidRPr="000559B4">
        <w:rPr>
          <w:rFonts w:ascii="Calibri" w:eastAsia="Calibri" w:hAnsi="Calibri" w:cs="Times New Roman"/>
        </w:rPr>
        <w:t>-</w:t>
      </w:r>
      <w:r w:rsidRPr="000559B4">
        <w:rPr>
          <w:rFonts w:ascii="Calibri" w:eastAsia="Calibri" w:hAnsi="Calibri" w:cs="Times New Roman"/>
        </w:rPr>
        <w:t>point cap to align the transition with the approach set out in the Regulations.</w:t>
      </w:r>
      <w:r w:rsidRPr="000559B4">
        <w:rPr>
          <w:rFonts w:ascii="Calibri" w:eastAsia="Calibri" w:hAnsi="Calibri" w:cs="Times New Roman"/>
          <w:vertAlign w:val="superscript"/>
        </w:rPr>
        <w:footnoteReference w:id="21"/>
      </w:r>
    </w:p>
    <w:p w14:paraId="122FC94A" w14:textId="5528784E" w:rsidR="006F0E45" w:rsidRPr="000559B4" w:rsidRDefault="006F0E45" w:rsidP="006F0E45">
      <w:pPr>
        <w:rPr>
          <w:rFonts w:ascii="Calibri" w:eastAsia="Calibri" w:hAnsi="Calibri" w:cs="Times New Roman"/>
        </w:rPr>
      </w:pPr>
      <w:r w:rsidRPr="000559B4">
        <w:rPr>
          <w:rFonts w:ascii="Calibri" w:eastAsia="Calibri" w:hAnsi="Calibri" w:cs="Times New Roman"/>
        </w:rPr>
        <w:t xml:space="preserve">If the delegate is not satisfied a </w:t>
      </w:r>
      <w:r w:rsidR="00BA1F02" w:rsidRPr="000559B4">
        <w:rPr>
          <w:rFonts w:ascii="Calibri" w:eastAsia="Calibri" w:hAnsi="Calibri" w:cs="Times New Roman"/>
        </w:rPr>
        <w:t>CTC score</w:t>
      </w:r>
      <w:r w:rsidRPr="000559B4">
        <w:rPr>
          <w:rFonts w:ascii="Calibri" w:eastAsia="Calibri" w:hAnsi="Calibri" w:cs="Times New Roman"/>
        </w:rPr>
        <w:t xml:space="preserve"> calculated in accordance with the Regulations</w:t>
      </w:r>
      <w:r w:rsidR="00E62A48" w:rsidRPr="000559B4">
        <w:rPr>
          <w:rFonts w:ascii="Calibri" w:eastAsia="Calibri" w:hAnsi="Calibri" w:cs="Times New Roman"/>
        </w:rPr>
        <w:t xml:space="preserve"> </w:t>
      </w:r>
      <w:r w:rsidR="00D9657F" w:rsidRPr="000559B4">
        <w:rPr>
          <w:rFonts w:ascii="Calibri" w:eastAsia="Calibri" w:hAnsi="Calibri" w:cs="Times New Roman"/>
        </w:rPr>
        <w:t>w</w:t>
      </w:r>
      <w:r w:rsidRPr="000559B4">
        <w:rPr>
          <w:rFonts w:ascii="Calibri" w:eastAsia="Calibri" w:hAnsi="Calibri" w:cs="Times New Roman"/>
        </w:rPr>
        <w:t xml:space="preserve">ould be accurate, the annual review will consider whether the methodology used to calculate the deemed score under review still provides an accurate </w:t>
      </w:r>
      <w:r w:rsidR="00BA1F02" w:rsidRPr="000559B4">
        <w:rPr>
          <w:rFonts w:ascii="Calibri" w:eastAsia="Calibri" w:hAnsi="Calibri" w:cs="Times New Roman"/>
        </w:rPr>
        <w:t>CTC score</w:t>
      </w:r>
      <w:r w:rsidRPr="000559B4">
        <w:rPr>
          <w:rFonts w:ascii="Calibri" w:eastAsia="Calibri" w:hAnsi="Calibri" w:cs="Times New Roman"/>
        </w:rPr>
        <w:t xml:space="preserve">. As part of this process, the </w:t>
      </w:r>
      <w:r w:rsidR="00BA1F02" w:rsidRPr="000559B4">
        <w:rPr>
          <w:rFonts w:ascii="Calibri" w:eastAsia="Calibri" w:hAnsi="Calibri" w:cs="Times New Roman"/>
        </w:rPr>
        <w:t>CTC score</w:t>
      </w:r>
      <w:r w:rsidRPr="000559B4">
        <w:rPr>
          <w:rFonts w:ascii="Calibri" w:eastAsia="Calibri" w:hAnsi="Calibri" w:cs="Times New Roman"/>
        </w:rPr>
        <w:t xml:space="preserve"> reviews team will consider whether updated or new data is available that could be applied to calculate a new deemed score that more accurately reflects the school’s circumstances.</w:t>
      </w:r>
    </w:p>
    <w:p w14:paraId="47A15B74" w14:textId="10632638" w:rsidR="00660828" w:rsidRPr="000559B4" w:rsidRDefault="00660828" w:rsidP="00660828">
      <w:pPr>
        <w:rPr>
          <w:rFonts w:ascii="Calibri" w:eastAsia="Calibri" w:hAnsi="Calibri" w:cs="Times New Roman"/>
        </w:rPr>
      </w:pPr>
      <w:r w:rsidRPr="000559B4">
        <w:rPr>
          <w:rFonts w:ascii="Calibri" w:eastAsia="Calibri" w:hAnsi="Calibri" w:cs="Times New Roman"/>
          <w:b/>
          <w:bCs/>
        </w:rPr>
        <w:t>Note:</w:t>
      </w:r>
      <w:r w:rsidRPr="000559B4">
        <w:rPr>
          <w:rFonts w:ascii="Calibri" w:eastAsia="Calibri" w:hAnsi="Calibri" w:cs="Times New Roman"/>
        </w:rPr>
        <w:t xml:space="preserve"> </w:t>
      </w:r>
      <w:r w:rsidR="00D9657F" w:rsidRPr="000559B4">
        <w:rPr>
          <w:rFonts w:ascii="Calibri" w:eastAsia="Calibri" w:hAnsi="Calibri" w:cs="Times New Roman"/>
        </w:rPr>
        <w:t>The department will not conduct a</w:t>
      </w:r>
      <w:r w:rsidRPr="000559B4">
        <w:rPr>
          <w:rFonts w:ascii="Calibri" w:eastAsia="Calibri" w:hAnsi="Calibri" w:cs="Times New Roman"/>
        </w:rPr>
        <w:t xml:space="preserve">nnual reviews of deemed </w:t>
      </w:r>
      <w:r w:rsidR="00BA1F02" w:rsidRPr="000559B4">
        <w:rPr>
          <w:rFonts w:ascii="Calibri" w:eastAsia="Calibri" w:hAnsi="Calibri" w:cs="Times New Roman"/>
        </w:rPr>
        <w:t>CTC score</w:t>
      </w:r>
      <w:r w:rsidRPr="000559B4">
        <w:rPr>
          <w:rFonts w:ascii="Calibri" w:eastAsia="Calibri" w:hAnsi="Calibri" w:cs="Times New Roman"/>
        </w:rPr>
        <w:t>s in 2025. This is because</w:t>
      </w:r>
      <w:r w:rsidR="005A5684" w:rsidRPr="000559B4">
        <w:rPr>
          <w:rFonts w:ascii="Calibri" w:eastAsia="Calibri" w:hAnsi="Calibri" w:cs="Times New Roman"/>
        </w:rPr>
        <w:t xml:space="preserve">, in accordance with the Regulations </w:t>
      </w:r>
      <w:r w:rsidRPr="000559B4">
        <w:rPr>
          <w:rFonts w:ascii="Calibri" w:eastAsia="Calibri" w:hAnsi="Calibri" w:cs="Times New Roman"/>
        </w:rPr>
        <w:t xml:space="preserve">a school’s 2026 </w:t>
      </w:r>
      <w:r w:rsidR="00BA1F02" w:rsidRPr="000559B4">
        <w:rPr>
          <w:rFonts w:ascii="Calibri" w:eastAsia="Calibri" w:hAnsi="Calibri" w:cs="Times New Roman"/>
        </w:rPr>
        <w:t>CTC score</w:t>
      </w:r>
      <w:r w:rsidRPr="000559B4">
        <w:rPr>
          <w:rFonts w:ascii="Calibri" w:eastAsia="Calibri" w:hAnsi="Calibri" w:cs="Times New Roman"/>
        </w:rPr>
        <w:t xml:space="preserve"> will be the value of its 2025 </w:t>
      </w:r>
      <w:r w:rsidR="00BA1F02" w:rsidRPr="000559B4">
        <w:rPr>
          <w:rFonts w:ascii="Calibri" w:eastAsia="Calibri" w:hAnsi="Calibri" w:cs="Times New Roman"/>
        </w:rPr>
        <w:t>CTC score</w:t>
      </w:r>
      <w:r w:rsidRPr="000559B4">
        <w:rPr>
          <w:rFonts w:ascii="Calibri" w:eastAsia="Calibri" w:hAnsi="Calibri" w:cs="Times New Roman"/>
        </w:rPr>
        <w:t>, including if that score is a deemed score.</w:t>
      </w:r>
    </w:p>
    <w:p w14:paraId="2C209AEB" w14:textId="57FDF261" w:rsidR="00871E5A" w:rsidRPr="000559B4" w:rsidRDefault="00871E5A" w:rsidP="00B14ADF">
      <w:pPr>
        <w:pStyle w:val="Heading2"/>
        <w:rPr>
          <w:rFonts w:asciiTheme="minorHAnsi" w:hAnsiTheme="minorHAnsi"/>
          <w:color w:val="auto"/>
          <w:sz w:val="22"/>
        </w:rPr>
      </w:pPr>
      <w:bookmarkStart w:id="126" w:name="_Toc42680517"/>
      <w:bookmarkStart w:id="127" w:name="_Toc110520301"/>
      <w:bookmarkStart w:id="128" w:name="_Toc129701984"/>
      <w:bookmarkStart w:id="129" w:name="_Toc211945345"/>
      <w:r w:rsidRPr="000559B4">
        <w:t>Publication</w:t>
      </w:r>
      <w:bookmarkEnd w:id="126"/>
      <w:r w:rsidRPr="000559B4">
        <w:t xml:space="preserve"> of </w:t>
      </w:r>
      <w:r w:rsidR="00BA1F02" w:rsidRPr="000559B4">
        <w:t>CTC score</w:t>
      </w:r>
      <w:r w:rsidRPr="000559B4">
        <w:t>s following review</w:t>
      </w:r>
      <w:bookmarkEnd w:id="127"/>
      <w:bookmarkEnd w:id="128"/>
      <w:bookmarkEnd w:id="129"/>
    </w:p>
    <w:p w14:paraId="79E3FCEA" w14:textId="4FC1A859" w:rsidR="00871E5A" w:rsidRPr="000559B4" w:rsidRDefault="00871E5A" w:rsidP="003E3291">
      <w:pPr>
        <w:rPr>
          <w:kern w:val="2"/>
          <w14:ligatures w14:val="standardContextual"/>
        </w:rPr>
      </w:pPr>
      <w:r w:rsidRPr="000559B4">
        <w:rPr>
          <w:kern w:val="2"/>
          <w14:ligatures w14:val="standardContextual"/>
        </w:rPr>
        <w:t xml:space="preserve">If a new </w:t>
      </w:r>
      <w:r w:rsidR="00BA1F02" w:rsidRPr="000559B4">
        <w:rPr>
          <w:kern w:val="2"/>
          <w14:ligatures w14:val="standardContextual"/>
        </w:rPr>
        <w:t>CTC score</w:t>
      </w:r>
      <w:r w:rsidRPr="000559B4">
        <w:rPr>
          <w:kern w:val="2"/>
          <w14:ligatures w14:val="standardContextual"/>
        </w:rPr>
        <w:t xml:space="preserve"> determined for a school has not been calculated in accordance with the Regulation</w:t>
      </w:r>
      <w:r w:rsidR="00A63D80" w:rsidRPr="000559B4">
        <w:rPr>
          <w:kern w:val="2"/>
          <w14:ligatures w14:val="standardContextual"/>
        </w:rPr>
        <w:t>s</w:t>
      </w:r>
      <w:r w:rsidRPr="000559B4">
        <w:rPr>
          <w:kern w:val="2"/>
          <w14:ligatures w14:val="standardContextual"/>
        </w:rPr>
        <w:t>, section 24AAA of the Regulation</w:t>
      </w:r>
      <w:r w:rsidR="00A63D80" w:rsidRPr="000559B4">
        <w:rPr>
          <w:kern w:val="2"/>
          <w14:ligatures w14:val="standardContextual"/>
        </w:rPr>
        <w:t>s</w:t>
      </w:r>
      <w:r w:rsidRPr="000559B4" w:rsidDel="00EB19EC">
        <w:rPr>
          <w:kern w:val="2"/>
          <w14:ligatures w14:val="standardContextual"/>
        </w:rPr>
        <w:t xml:space="preserve"> </w:t>
      </w:r>
      <w:r w:rsidRPr="000559B4">
        <w:rPr>
          <w:kern w:val="2"/>
          <w14:ligatures w14:val="standardContextual"/>
        </w:rPr>
        <w:t xml:space="preserve">requires the department to publish the </w:t>
      </w:r>
      <w:r w:rsidR="00BA1F02" w:rsidRPr="000559B4">
        <w:rPr>
          <w:kern w:val="2"/>
          <w14:ligatures w14:val="standardContextual"/>
        </w:rPr>
        <w:t>CTC score</w:t>
      </w:r>
      <w:r w:rsidRPr="000559B4">
        <w:rPr>
          <w:kern w:val="2"/>
          <w14:ligatures w14:val="standardContextual"/>
        </w:rPr>
        <w:t xml:space="preserve">, the years to which the score applies, and the reasons for determining the new score. For transparency, the department also publishes outcomes of </w:t>
      </w:r>
      <w:r w:rsidR="00BA1F02" w:rsidRPr="000559B4">
        <w:rPr>
          <w:kern w:val="2"/>
          <w14:ligatures w14:val="standardContextual"/>
        </w:rPr>
        <w:t>CTC score</w:t>
      </w:r>
      <w:r w:rsidRPr="000559B4">
        <w:rPr>
          <w:kern w:val="2"/>
          <w14:ligatures w14:val="standardContextual"/>
        </w:rPr>
        <w:t xml:space="preserve"> reviews where the newly determined </w:t>
      </w:r>
      <w:r w:rsidR="00BA1F02" w:rsidRPr="000559B4">
        <w:rPr>
          <w:kern w:val="2"/>
          <w14:ligatures w14:val="standardContextual"/>
        </w:rPr>
        <w:t>CTC score</w:t>
      </w:r>
      <w:r w:rsidRPr="000559B4">
        <w:rPr>
          <w:kern w:val="2"/>
          <w14:ligatures w14:val="standardContextual"/>
        </w:rPr>
        <w:t xml:space="preserve"> has been calculated in accordance with the Regulation</w:t>
      </w:r>
      <w:r w:rsidR="00E729F5" w:rsidRPr="000559B4">
        <w:rPr>
          <w:kern w:val="2"/>
          <w14:ligatures w14:val="standardContextual"/>
        </w:rPr>
        <w:t>s</w:t>
      </w:r>
      <w:r w:rsidRPr="000559B4">
        <w:rPr>
          <w:kern w:val="2"/>
          <w14:ligatures w14:val="standardContextual"/>
        </w:rPr>
        <w:t xml:space="preserve">. Outcomes of </w:t>
      </w:r>
      <w:r w:rsidR="00BA1F02" w:rsidRPr="000559B4">
        <w:rPr>
          <w:kern w:val="2"/>
          <w14:ligatures w14:val="standardContextual"/>
        </w:rPr>
        <w:t>CTC score</w:t>
      </w:r>
      <w:r w:rsidRPr="000559B4">
        <w:rPr>
          <w:kern w:val="2"/>
          <w14:ligatures w14:val="standardContextual"/>
        </w:rPr>
        <w:t xml:space="preserve"> reviews are published on the department’s </w:t>
      </w:r>
      <w:r w:rsidR="006F0E45" w:rsidRPr="000559B4">
        <w:rPr>
          <w:rFonts w:ascii="Calibri" w:eastAsia="Calibri" w:hAnsi="Calibri" w:cs="Times New Roman"/>
        </w:rPr>
        <w:t xml:space="preserve">website at: </w:t>
      </w:r>
      <w:hyperlink r:id="rId21" w:history="1">
        <w:r w:rsidR="006F0E45" w:rsidRPr="000559B4">
          <w:rPr>
            <w:rFonts w:ascii="Calibri" w:eastAsia="Calibri" w:hAnsi="Calibri" w:cs="Times New Roman"/>
            <w:color w:val="7F4594"/>
            <w:u w:val="single"/>
          </w:rPr>
          <w:t>www.education.gov.au/recurrent-funding-schools/resources/outcome-ctc-score-reviews</w:t>
        </w:r>
      </w:hyperlink>
      <w:r w:rsidRPr="000559B4">
        <w:rPr>
          <w:kern w:val="2"/>
          <w14:ligatures w14:val="standardContextual"/>
        </w:rPr>
        <w:t>.</w:t>
      </w:r>
    </w:p>
    <w:p w14:paraId="3A6AA228" w14:textId="77777777" w:rsidR="00871E5A" w:rsidRPr="000559B4" w:rsidRDefault="00871E5A" w:rsidP="00B14ADF">
      <w:pPr>
        <w:pStyle w:val="Heading2"/>
        <w:rPr>
          <w:rFonts w:asciiTheme="minorHAnsi" w:hAnsiTheme="minorHAnsi"/>
          <w:color w:val="auto"/>
          <w:sz w:val="22"/>
        </w:rPr>
      </w:pPr>
      <w:bookmarkStart w:id="130" w:name="_Toc42517867"/>
      <w:bookmarkStart w:id="131" w:name="_Toc42518155"/>
      <w:bookmarkStart w:id="132" w:name="_Toc42518798"/>
      <w:bookmarkStart w:id="133" w:name="_Toc42680519"/>
      <w:bookmarkStart w:id="134" w:name="_Toc110520302"/>
      <w:bookmarkStart w:id="135" w:name="_Toc129701985"/>
      <w:bookmarkStart w:id="136" w:name="_Toc211945346"/>
      <w:bookmarkEnd w:id="130"/>
      <w:bookmarkEnd w:id="131"/>
      <w:bookmarkEnd w:id="132"/>
      <w:r w:rsidRPr="000559B4">
        <w:t>Information management and privacy</w:t>
      </w:r>
      <w:bookmarkEnd w:id="133"/>
      <w:bookmarkEnd w:id="134"/>
      <w:bookmarkEnd w:id="135"/>
      <w:bookmarkEnd w:id="136"/>
    </w:p>
    <w:p w14:paraId="27DBA9D5" w14:textId="7549D22B" w:rsidR="00871E5A" w:rsidRPr="000559B4" w:rsidRDefault="00871E5A" w:rsidP="003E3291">
      <w:pPr>
        <w:rPr>
          <w:kern w:val="2"/>
          <w14:ligatures w14:val="standardContextual"/>
        </w:rPr>
      </w:pPr>
      <w:r w:rsidRPr="000559B4">
        <w:rPr>
          <w:kern w:val="2"/>
          <w14:ligatures w14:val="standardContextual"/>
        </w:rPr>
        <w:t xml:space="preserve">Information received by the department for a review of a school’s </w:t>
      </w:r>
      <w:r w:rsidR="00BA1F02" w:rsidRPr="000559B4">
        <w:rPr>
          <w:kern w:val="2"/>
          <w14:ligatures w14:val="standardContextual"/>
        </w:rPr>
        <w:t>CTC score</w:t>
      </w:r>
      <w:r w:rsidRPr="000559B4">
        <w:rPr>
          <w:kern w:val="2"/>
          <w14:ligatures w14:val="standardContextual"/>
        </w:rPr>
        <w:t xml:space="preserve"> is ‘school education information’ for the purposes of the Act and may be used and dealt with in accordance with section 125 of the Act and section 65 of the Regulation</w:t>
      </w:r>
      <w:r w:rsidR="00E729F5" w:rsidRPr="000559B4">
        <w:rPr>
          <w:kern w:val="2"/>
          <w14:ligatures w14:val="standardContextual"/>
        </w:rPr>
        <w:t>s</w:t>
      </w:r>
      <w:r w:rsidRPr="000559B4">
        <w:rPr>
          <w:kern w:val="2"/>
          <w14:ligatures w14:val="standardContextual"/>
        </w:rPr>
        <w:t>.</w:t>
      </w:r>
    </w:p>
    <w:p w14:paraId="310F06EE" w14:textId="77777777" w:rsidR="00871E5A" w:rsidRPr="000559B4" w:rsidRDefault="00871E5A" w:rsidP="003E3291">
      <w:pPr>
        <w:rPr>
          <w:kern w:val="2"/>
          <w14:ligatures w14:val="standardContextual"/>
        </w:rPr>
      </w:pPr>
      <w:r w:rsidRPr="000559B4">
        <w:rPr>
          <w:kern w:val="2"/>
          <w14:ligatures w14:val="standardContextual"/>
        </w:rPr>
        <w:lastRenderedPageBreak/>
        <w:t xml:space="preserve">The department ensures that it adheres to the Australian Privacy Principles, contained in the </w:t>
      </w:r>
      <w:r w:rsidRPr="000559B4">
        <w:rPr>
          <w:i/>
          <w:kern w:val="2"/>
          <w14:ligatures w14:val="standardContextual"/>
        </w:rPr>
        <w:t>Privacy Act 1988</w:t>
      </w:r>
      <w:r w:rsidRPr="000559B4">
        <w:rPr>
          <w:kern w:val="2"/>
          <w14:ligatures w14:val="standardContextual"/>
        </w:rPr>
        <w:t>, when dealing with any personal information provided with an application.</w:t>
      </w:r>
    </w:p>
    <w:p w14:paraId="288994EE" w14:textId="77777777" w:rsidR="00871E5A" w:rsidRPr="000559B4" w:rsidRDefault="00871E5A" w:rsidP="003E3291">
      <w:pPr>
        <w:rPr>
          <w:kern w:val="2"/>
          <w14:ligatures w14:val="standardContextual"/>
        </w:rPr>
      </w:pPr>
      <w:r w:rsidRPr="000559B4">
        <w:rPr>
          <w:kern w:val="2"/>
          <w14:ligatures w14:val="standardContextual"/>
        </w:rPr>
        <w:t xml:space="preserve">The department requests that applicants do </w:t>
      </w:r>
      <w:r w:rsidRPr="000559B4">
        <w:rPr>
          <w:b/>
          <w:kern w:val="2"/>
          <w14:ligatures w14:val="standardContextual"/>
        </w:rPr>
        <w:t>not</w:t>
      </w:r>
      <w:r w:rsidRPr="000559B4">
        <w:rPr>
          <w:kern w:val="2"/>
          <w14:ligatures w14:val="standardContextual"/>
        </w:rPr>
        <w:t xml:space="preserve"> provide personal information as part of their business case or supporting evidence, if possible. Personal information includes information or an opinion, whether true or not, and whether recorded in a material form or not, about an identified individual, or an individual who is reasonably identifiable. However, if a business case relies on the provision of personal information, the department requests that applicants obtain the consent of the individual/s to whom the information relates prior to providing it to the department.</w:t>
      </w:r>
    </w:p>
    <w:p w14:paraId="7F6DD074" w14:textId="4641C7DD" w:rsidR="00F47A99" w:rsidRPr="000559B4" w:rsidRDefault="00F47A99" w:rsidP="00F47A99">
      <w:pPr>
        <w:rPr>
          <w:kern w:val="2"/>
          <w14:ligatures w14:val="standardContextual"/>
        </w:rPr>
      </w:pPr>
      <w:r w:rsidRPr="000559B4">
        <w:rPr>
          <w:kern w:val="2"/>
          <w14:ligatures w14:val="standardContextual"/>
        </w:rPr>
        <w:t xml:space="preserve">Further information about the collection of personal information during the </w:t>
      </w:r>
      <w:r w:rsidR="00BA1F02" w:rsidRPr="000559B4">
        <w:rPr>
          <w:kern w:val="2"/>
          <w14:ligatures w14:val="standardContextual"/>
        </w:rPr>
        <w:t>CTC score</w:t>
      </w:r>
      <w:r w:rsidRPr="000559B4">
        <w:rPr>
          <w:kern w:val="2"/>
          <w14:ligatures w14:val="standardContextual"/>
        </w:rPr>
        <w:t xml:space="preserve"> review process is provided in the </w:t>
      </w:r>
      <w:r w:rsidR="00BA1F02" w:rsidRPr="000559B4">
        <w:rPr>
          <w:kern w:val="2"/>
          <w14:ligatures w14:val="standardContextual"/>
        </w:rPr>
        <w:t>CTC score</w:t>
      </w:r>
      <w:r w:rsidRPr="000559B4">
        <w:rPr>
          <w:kern w:val="2"/>
          <w14:ligatures w14:val="standardContextual"/>
        </w:rPr>
        <w:t xml:space="preserve"> review Privacy Statement which is available at: </w:t>
      </w:r>
      <w:hyperlink r:id="rId22" w:history="1">
        <w:r w:rsidRPr="000559B4">
          <w:rPr>
            <w:rStyle w:val="Hyperlink"/>
            <w:kern w:val="2"/>
            <w14:ligatures w14:val="standardContextual"/>
          </w:rPr>
          <w:t>www.education.gov.au/recurrent-funding-schools/resources/application-form-review-capacity-contribute-score</w:t>
        </w:r>
      </w:hyperlink>
      <w:r w:rsidRPr="000559B4">
        <w:rPr>
          <w:kern w:val="2"/>
          <w14:ligatures w14:val="standardContextual"/>
        </w:rPr>
        <w:t>.</w:t>
      </w:r>
    </w:p>
    <w:p w14:paraId="41233857" w14:textId="00F9AABB" w:rsidR="00871E5A" w:rsidRPr="000559B4" w:rsidRDefault="00871E5A" w:rsidP="003E3291">
      <w:pPr>
        <w:rPr>
          <w:kern w:val="2"/>
          <w14:ligatures w14:val="standardContextual"/>
        </w:rPr>
      </w:pPr>
      <w:r w:rsidRPr="000559B4">
        <w:rPr>
          <w:kern w:val="2"/>
          <w14:ligatures w14:val="standardContextual"/>
        </w:rPr>
        <w:t xml:space="preserve">Further information about the department’s privacy policy is available </w:t>
      </w:r>
      <w:r w:rsidR="001274AC" w:rsidRPr="000559B4">
        <w:rPr>
          <w:kern w:val="2"/>
          <w14:ligatures w14:val="standardContextual"/>
        </w:rPr>
        <w:t xml:space="preserve">at </w:t>
      </w:r>
      <w:hyperlink r:id="rId23" w:history="1">
        <w:r w:rsidR="007C54AC" w:rsidRPr="000559B4">
          <w:rPr>
            <w:rStyle w:val="Hyperlink"/>
            <w:kern w:val="2"/>
            <w14:ligatures w14:val="standardContextual"/>
          </w:rPr>
          <w:t>www.education.gov.au/using-site/privacy-statement-department-education</w:t>
        </w:r>
      </w:hyperlink>
      <w:r w:rsidRPr="000559B4">
        <w:rPr>
          <w:kern w:val="2"/>
          <w14:ligatures w14:val="standardContextual"/>
        </w:rPr>
        <w:t>.</w:t>
      </w:r>
    </w:p>
    <w:p w14:paraId="7F353F30" w14:textId="77777777" w:rsidR="00871E5A" w:rsidRPr="000559B4" w:rsidRDefault="00871E5A" w:rsidP="003E3291">
      <w:pPr>
        <w:rPr>
          <w:kern w:val="2"/>
          <w14:ligatures w14:val="standardContextual"/>
        </w:rPr>
      </w:pPr>
      <w:r w:rsidRPr="000559B4">
        <w:rPr>
          <w:kern w:val="2"/>
          <w14:ligatures w14:val="standardContextual"/>
        </w:rPr>
        <w:t xml:space="preserve">The department notes that any information provided in an application will be subject to the </w:t>
      </w:r>
      <w:r w:rsidRPr="000559B4">
        <w:rPr>
          <w:i/>
          <w:kern w:val="2"/>
          <w14:ligatures w14:val="standardContextual"/>
        </w:rPr>
        <w:t>Freedom of Information Act 1982</w:t>
      </w:r>
      <w:r w:rsidRPr="000559B4">
        <w:rPr>
          <w:kern w:val="2"/>
          <w14:ligatures w14:val="standardContextual"/>
        </w:rPr>
        <w:t>.</w:t>
      </w:r>
    </w:p>
    <w:p w14:paraId="13743904" w14:textId="77777777" w:rsidR="00871E5A" w:rsidRPr="000559B4" w:rsidRDefault="00871E5A" w:rsidP="00B14ADF">
      <w:pPr>
        <w:pStyle w:val="Heading2"/>
        <w:rPr>
          <w:rFonts w:asciiTheme="minorHAnsi" w:hAnsiTheme="minorHAnsi"/>
          <w:color w:val="auto"/>
          <w:sz w:val="22"/>
        </w:rPr>
      </w:pPr>
      <w:bookmarkStart w:id="137" w:name="_Toc42680520"/>
      <w:bookmarkStart w:id="138" w:name="_Toc110520303"/>
      <w:bookmarkStart w:id="139" w:name="_Toc129701986"/>
      <w:bookmarkStart w:id="140" w:name="_Toc211945347"/>
      <w:r w:rsidRPr="000559B4">
        <w:t>Criminal code</w:t>
      </w:r>
      <w:bookmarkEnd w:id="137"/>
      <w:bookmarkEnd w:id="138"/>
      <w:bookmarkEnd w:id="139"/>
      <w:bookmarkEnd w:id="140"/>
    </w:p>
    <w:p w14:paraId="6CBBFB1C" w14:textId="77777777" w:rsidR="00871E5A" w:rsidRPr="000559B4" w:rsidRDefault="00871E5A" w:rsidP="003E3291">
      <w:pPr>
        <w:rPr>
          <w:kern w:val="2"/>
          <w14:ligatures w14:val="standardContextual"/>
        </w:rPr>
      </w:pPr>
      <w:r w:rsidRPr="000559B4">
        <w:rPr>
          <w:kern w:val="2"/>
          <w14:ligatures w14:val="standardContextual"/>
        </w:rPr>
        <w:t xml:space="preserve">Approved authorities should note that giving false or misleading information as part of any application process is a serious offence and may lead to prosecution under the </w:t>
      </w:r>
      <w:r w:rsidRPr="000559B4">
        <w:rPr>
          <w:i/>
          <w:kern w:val="2"/>
          <w14:ligatures w14:val="standardContextual"/>
        </w:rPr>
        <w:t>Criminal Code 1995</w:t>
      </w:r>
      <w:r w:rsidRPr="000559B4">
        <w:rPr>
          <w:kern w:val="2"/>
          <w14:ligatures w14:val="standardContextual"/>
        </w:rPr>
        <w:t xml:space="preserve"> and compliance action under the Act.</w:t>
      </w:r>
    </w:p>
    <w:p w14:paraId="029D44E8" w14:textId="77777777" w:rsidR="00871E5A" w:rsidRPr="000559B4" w:rsidRDefault="00871E5A" w:rsidP="00B14ADF">
      <w:pPr>
        <w:pStyle w:val="Heading2"/>
        <w:rPr>
          <w:rFonts w:asciiTheme="minorHAnsi" w:hAnsiTheme="minorHAnsi"/>
          <w:color w:val="auto"/>
          <w:sz w:val="22"/>
        </w:rPr>
      </w:pPr>
      <w:bookmarkStart w:id="141" w:name="_Toc42680521"/>
      <w:bookmarkStart w:id="142" w:name="_Toc129701987"/>
      <w:bookmarkStart w:id="143" w:name="_Toc211945348"/>
      <w:r w:rsidRPr="000559B4">
        <w:t>Further information</w:t>
      </w:r>
      <w:bookmarkEnd w:id="141"/>
      <w:bookmarkEnd w:id="142"/>
      <w:bookmarkEnd w:id="143"/>
    </w:p>
    <w:p w14:paraId="666922C3" w14:textId="711FBA3A" w:rsidR="00871E5A" w:rsidRPr="00D172D3" w:rsidRDefault="00871E5A" w:rsidP="003E3291">
      <w:pPr>
        <w:rPr>
          <w:kern w:val="2"/>
          <w:lang w:val="en"/>
          <w14:ligatures w14:val="standardContextual"/>
        </w:rPr>
      </w:pPr>
      <w:r w:rsidRPr="000559B4">
        <w:rPr>
          <w:kern w:val="2"/>
          <w14:ligatures w14:val="standardContextual"/>
        </w:rPr>
        <w:t xml:space="preserve">If you have any questions or would like further information about the </w:t>
      </w:r>
      <w:r w:rsidR="00BA1F02" w:rsidRPr="000559B4">
        <w:rPr>
          <w:kern w:val="2"/>
          <w14:ligatures w14:val="standardContextual"/>
        </w:rPr>
        <w:t>CTC score</w:t>
      </w:r>
      <w:r w:rsidRPr="000559B4">
        <w:rPr>
          <w:kern w:val="2"/>
          <w14:ligatures w14:val="standardContextual"/>
        </w:rPr>
        <w:t xml:space="preserve"> review process or your application, please contact </w:t>
      </w:r>
      <w:hyperlink r:id="rId24" w:history="1">
        <w:r w:rsidRPr="000559B4">
          <w:rPr>
            <w:rStyle w:val="Hyperlink"/>
            <w:kern w:val="2"/>
            <w14:ligatures w14:val="standardContextual"/>
          </w:rPr>
          <w:t>CTCReviews@education.gov.au</w:t>
        </w:r>
      </w:hyperlink>
      <w:r w:rsidRPr="000559B4">
        <w:rPr>
          <w:kern w:val="2"/>
          <w:lang w:val="en"/>
          <w14:ligatures w14:val="standardContextual"/>
        </w:rPr>
        <w:t>.</w:t>
      </w:r>
    </w:p>
    <w:p w14:paraId="7C7F6295" w14:textId="77777777" w:rsidR="008C089E" w:rsidRDefault="008C089E" w:rsidP="00D172D3">
      <w:pPr>
        <w:rPr>
          <w:kern w:val="2"/>
          <w14:ligatures w14:val="standardContextual"/>
        </w:rPr>
        <w:sectPr w:rsidR="008C089E" w:rsidSect="00ED4153">
          <w:pgSz w:w="11906" w:h="16838"/>
          <w:pgMar w:top="1440" w:right="1440" w:bottom="993" w:left="1440" w:header="708" w:footer="708" w:gutter="0"/>
          <w:cols w:space="708"/>
          <w:docGrid w:linePitch="360"/>
        </w:sectPr>
      </w:pPr>
      <w:bookmarkStart w:id="144" w:name="_Toc110520304"/>
      <w:bookmarkStart w:id="145" w:name="_Hlk103240362"/>
    </w:p>
    <w:p w14:paraId="324C8E67" w14:textId="674F0033" w:rsidR="00871E5A" w:rsidRPr="00D172D3" w:rsidRDefault="00871E5A" w:rsidP="00B14ADF">
      <w:pPr>
        <w:pStyle w:val="Heading2"/>
        <w:rPr>
          <w:rFonts w:asciiTheme="minorHAnsi" w:hAnsiTheme="minorHAnsi"/>
          <w:color w:val="auto"/>
          <w:sz w:val="22"/>
        </w:rPr>
      </w:pPr>
      <w:bookmarkStart w:id="146" w:name="_Appendix_A:_Reasons"/>
      <w:bookmarkStart w:id="147" w:name="_Toc129701988"/>
      <w:bookmarkStart w:id="148" w:name="_Toc211945349"/>
      <w:bookmarkEnd w:id="146"/>
      <w:r w:rsidRPr="003E3291">
        <w:lastRenderedPageBreak/>
        <w:t xml:space="preserve">Appendix A: Reasons for a </w:t>
      </w:r>
      <w:r w:rsidR="00BA1F02">
        <w:t>CTC score</w:t>
      </w:r>
      <w:r w:rsidRPr="003E3291">
        <w:t xml:space="preserve"> review</w:t>
      </w:r>
      <w:bookmarkEnd w:id="144"/>
      <w:bookmarkEnd w:id="147"/>
      <w:bookmarkEnd w:id="148"/>
    </w:p>
    <w:p w14:paraId="63CD2BA3" w14:textId="2274D5C6" w:rsidR="00B365A0" w:rsidRDefault="009E7239" w:rsidP="00B14ADF">
      <w:pPr>
        <w:pStyle w:val="Heading3"/>
      </w:pPr>
      <w:bookmarkStart w:id="149" w:name="_Hlk129701425"/>
      <w:bookmarkStart w:id="150" w:name="_Toc211945350"/>
      <w:r w:rsidRPr="003E3291">
        <w:t>A recent</w:t>
      </w:r>
      <w:r w:rsidR="00660828">
        <w:t>, significant</w:t>
      </w:r>
      <w:r w:rsidRPr="003E3291">
        <w:t xml:space="preserve"> </w:t>
      </w:r>
      <w:bookmarkStart w:id="151" w:name="_Toc110520305"/>
      <w:bookmarkStart w:id="152" w:name="_Toc129701989"/>
      <w:r w:rsidR="003D776C" w:rsidRPr="003E3291">
        <w:t>c</w:t>
      </w:r>
      <w:r w:rsidR="00871E5A" w:rsidRPr="003E3291">
        <w:t>hange in the school community’s economic circumstances</w:t>
      </w:r>
      <w:bookmarkEnd w:id="151"/>
      <w:bookmarkEnd w:id="152"/>
      <w:bookmarkEnd w:id="150"/>
    </w:p>
    <w:p w14:paraId="7C2B4788" w14:textId="6E589606" w:rsidR="00660828" w:rsidRPr="00F81630" w:rsidRDefault="00660828" w:rsidP="00660828">
      <w:pPr>
        <w:spacing w:after="0"/>
        <w:rPr>
          <w:b/>
          <w:bCs/>
          <w:kern w:val="2"/>
          <w:sz w:val="28"/>
          <w:szCs w:val="28"/>
          <w14:ligatures w14:val="standardContextual"/>
        </w:rPr>
      </w:pPr>
      <w:bookmarkStart w:id="153" w:name="_Toc110520306"/>
      <w:bookmarkEnd w:id="145"/>
      <w:bookmarkEnd w:id="149"/>
      <w:r w:rsidRPr="00F81630">
        <w:rPr>
          <w:b/>
          <w:bCs/>
          <w:kern w:val="2"/>
          <w:sz w:val="28"/>
          <w:szCs w:val="28"/>
          <w14:ligatures w14:val="standardContextual"/>
        </w:rPr>
        <w:t xml:space="preserve">(all </w:t>
      </w:r>
      <w:r w:rsidR="00BA1F02">
        <w:rPr>
          <w:b/>
          <w:bCs/>
          <w:kern w:val="2"/>
          <w:sz w:val="28"/>
          <w:szCs w:val="28"/>
          <w14:ligatures w14:val="standardContextual"/>
        </w:rPr>
        <w:t>CTC score</w:t>
      </w:r>
      <w:r w:rsidRPr="00F81630">
        <w:rPr>
          <w:b/>
          <w:bCs/>
          <w:kern w:val="2"/>
          <w:sz w:val="28"/>
          <w:szCs w:val="28"/>
          <w14:ligatures w14:val="standardContextual"/>
        </w:rPr>
        <w:t>s)</w:t>
      </w:r>
    </w:p>
    <w:tbl>
      <w:tblPr>
        <w:tblStyle w:val="TableGrid"/>
        <w:tblW w:w="9356" w:type="dxa"/>
        <w:tblInd w:w="-5" w:type="dxa"/>
        <w:tblLook w:val="04A0" w:firstRow="1" w:lastRow="0" w:firstColumn="1" w:lastColumn="0" w:noHBand="0" w:noVBand="1"/>
      </w:tblPr>
      <w:tblGrid>
        <w:gridCol w:w="1301"/>
        <w:gridCol w:w="8055"/>
      </w:tblGrid>
      <w:tr w:rsidR="00660828" w:rsidRPr="00F81630" w14:paraId="53EBDE1F" w14:textId="77777777" w:rsidTr="008C089E">
        <w:trPr>
          <w:trHeight w:val="792"/>
        </w:trPr>
        <w:tc>
          <w:tcPr>
            <w:tcW w:w="1276" w:type="dxa"/>
            <w:shd w:val="clear" w:color="auto" w:fill="B7ACD3" w:themeFill="accent2" w:themeFillTint="66"/>
          </w:tcPr>
          <w:p w14:paraId="23642891" w14:textId="77777777" w:rsidR="00660828" w:rsidRPr="00F81630" w:rsidRDefault="00660828" w:rsidP="00DF02B7">
            <w:pPr>
              <w:rPr>
                <w:rStyle w:val="Strong"/>
              </w:rPr>
            </w:pPr>
            <w:r w:rsidRPr="00F81630">
              <w:rPr>
                <w:rStyle w:val="Strong"/>
              </w:rPr>
              <w:t>Background</w:t>
            </w:r>
          </w:p>
        </w:tc>
        <w:tc>
          <w:tcPr>
            <w:tcW w:w="8080" w:type="dxa"/>
            <w:shd w:val="clear" w:color="auto" w:fill="B7ACD3" w:themeFill="accent2" w:themeFillTint="66"/>
          </w:tcPr>
          <w:p w14:paraId="5474F567" w14:textId="6C3883F3" w:rsidR="00660828" w:rsidRDefault="00E26598" w:rsidP="00DF02B7">
            <w:pPr>
              <w:spacing w:after="120"/>
            </w:pPr>
            <w:r>
              <w:t xml:space="preserve">There is a lag in the data used to calculate </w:t>
            </w:r>
            <w:r w:rsidR="00BA1F02">
              <w:t>CTC score</w:t>
            </w:r>
            <w:r w:rsidR="00660828">
              <w:t>s. For example:</w:t>
            </w:r>
          </w:p>
          <w:p w14:paraId="25F74923" w14:textId="4CEF4D4B" w:rsidR="00660828" w:rsidRDefault="00660828" w:rsidP="00660828">
            <w:pPr>
              <w:pStyle w:val="ListParagraph"/>
              <w:numPr>
                <w:ilvl w:val="0"/>
                <w:numId w:val="48"/>
              </w:numPr>
              <w:spacing w:after="120"/>
              <w:ind w:left="402" w:hanging="357"/>
              <w:contextualSpacing w:val="0"/>
            </w:pPr>
            <w:r>
              <w:t xml:space="preserve">DMI-based 2025 </w:t>
            </w:r>
            <w:r w:rsidR="00BA1F02">
              <w:t>CTC score</w:t>
            </w:r>
            <w:r>
              <w:t>s are calculated using income data from 2021-22, 2020-21</w:t>
            </w:r>
            <w:r w:rsidR="00F428ED">
              <w:t>,</w:t>
            </w:r>
            <w:r>
              <w:t xml:space="preserve"> </w:t>
            </w:r>
            <w:r w:rsidR="0058212A">
              <w:t xml:space="preserve">and </w:t>
            </w:r>
            <w:r>
              <w:t>2019-20</w:t>
            </w:r>
            <w:r w:rsidR="00F428ED">
              <w:t>, as well as</w:t>
            </w:r>
            <w:r w:rsidRPr="00A71E21">
              <w:t xml:space="preserve"> 2024, 2023 and 2022 Address Collection data</w:t>
            </w:r>
            <w:r>
              <w:t>.</w:t>
            </w:r>
          </w:p>
          <w:p w14:paraId="1ABD7997" w14:textId="4B7118B0" w:rsidR="00660828" w:rsidRDefault="00660828" w:rsidP="00660828">
            <w:pPr>
              <w:pStyle w:val="ListParagraph"/>
              <w:numPr>
                <w:ilvl w:val="0"/>
                <w:numId w:val="48"/>
              </w:numPr>
              <w:spacing w:after="120"/>
              <w:ind w:left="402" w:hanging="357"/>
              <w:contextualSpacing w:val="0"/>
            </w:pPr>
            <w:r>
              <w:t xml:space="preserve">RAB-based </w:t>
            </w:r>
            <w:r w:rsidR="005A5684">
              <w:t xml:space="preserve">2025 </w:t>
            </w:r>
            <w:r w:rsidR="00BA1F02">
              <w:t>CTC score</w:t>
            </w:r>
            <w:r>
              <w:t>s are calculated using 2021 Census of Housing and Population income data and</w:t>
            </w:r>
            <w:r w:rsidRPr="00A71E21">
              <w:t xml:space="preserve"> the school’s </w:t>
            </w:r>
            <w:r w:rsidR="005A5684">
              <w:t xml:space="preserve">2024 </w:t>
            </w:r>
            <w:r w:rsidRPr="00A71E21">
              <w:t>Address Collection.</w:t>
            </w:r>
          </w:p>
          <w:p w14:paraId="71EE6055" w14:textId="130048B4" w:rsidR="00660828" w:rsidRPr="008227E9" w:rsidRDefault="00660828" w:rsidP="008227E9">
            <w:pPr>
              <w:pStyle w:val="ListParagraph"/>
              <w:numPr>
                <w:ilvl w:val="0"/>
                <w:numId w:val="48"/>
              </w:numPr>
              <w:spacing w:after="120"/>
              <w:ind w:left="402" w:hanging="357"/>
              <w:contextualSpacing w:val="0"/>
            </w:pPr>
            <w:r w:rsidRPr="008227E9">
              <w:t xml:space="preserve">2026 </w:t>
            </w:r>
            <w:r w:rsidR="00BA1F02" w:rsidRPr="008227E9">
              <w:t>CTC score</w:t>
            </w:r>
            <w:r w:rsidRPr="008227E9">
              <w:t>s</w:t>
            </w:r>
            <w:r w:rsidR="008227E9" w:rsidRPr="008227E9">
              <w:t xml:space="preserve"> worked out in accordance with subsection 21(4) of the Regulations </w:t>
            </w:r>
            <w:r w:rsidRPr="008227E9">
              <w:t>are</w:t>
            </w:r>
            <w:r w:rsidR="000319D6" w:rsidRPr="008227E9">
              <w:t xml:space="preserve"> effectively</w:t>
            </w:r>
            <w:r w:rsidRPr="008227E9">
              <w:t xml:space="preserve"> calculated using the data listed above for the type of </w:t>
            </w:r>
            <w:r w:rsidR="00BA1F02" w:rsidRPr="008227E9">
              <w:t>CTC score</w:t>
            </w:r>
            <w:r w:rsidRPr="008227E9">
              <w:t xml:space="preserve"> determined for the school in 2025.</w:t>
            </w:r>
          </w:p>
          <w:p w14:paraId="03213585" w14:textId="77777777" w:rsidR="005A5684" w:rsidRDefault="00660828" w:rsidP="00DF02B7">
            <w:pPr>
              <w:spacing w:after="120"/>
              <w:ind w:left="47"/>
            </w:pPr>
            <w:r>
              <w:t xml:space="preserve">A </w:t>
            </w:r>
            <w:r w:rsidRPr="00F81630">
              <w:t xml:space="preserve">school’s </w:t>
            </w:r>
            <w:r w:rsidR="00BA1F02">
              <w:t>CTC score</w:t>
            </w:r>
            <w:r w:rsidRPr="00F81630">
              <w:t xml:space="preserve"> </w:t>
            </w:r>
            <w:r w:rsidR="00802598">
              <w:t xml:space="preserve">for a funding year </w:t>
            </w:r>
            <w:r w:rsidRPr="00F81630">
              <w:t xml:space="preserve">might </w:t>
            </w:r>
            <w:r w:rsidR="00802598">
              <w:t>not be accurate if</w:t>
            </w:r>
            <w:r w:rsidR="005A5684">
              <w:t>:</w:t>
            </w:r>
          </w:p>
          <w:p w14:paraId="73606EEC" w14:textId="02976004" w:rsidR="005A5684" w:rsidRDefault="00660828" w:rsidP="005A5684">
            <w:pPr>
              <w:pStyle w:val="ListParagraph"/>
              <w:numPr>
                <w:ilvl w:val="0"/>
                <w:numId w:val="49"/>
              </w:numPr>
              <w:spacing w:after="120"/>
              <w:ind w:left="265" w:hanging="265"/>
              <w:contextualSpacing w:val="0"/>
            </w:pPr>
            <w:r w:rsidRPr="00F81630">
              <w:t xml:space="preserve">there have been exceptional and localised economic </w:t>
            </w:r>
            <w:r>
              <w:t xml:space="preserve">changes </w:t>
            </w:r>
            <w:r w:rsidR="005A5684">
              <w:t>that are not reflected in the data collections used for the score’s calculation</w:t>
            </w:r>
          </w:p>
          <w:p w14:paraId="60F28BD9" w14:textId="2F46FEF6" w:rsidR="00FD2AC0" w:rsidRPr="00F81630" w:rsidRDefault="005A5684" w:rsidP="00073056">
            <w:pPr>
              <w:pStyle w:val="ListParagraph"/>
              <w:numPr>
                <w:ilvl w:val="0"/>
                <w:numId w:val="49"/>
              </w:numPr>
              <w:spacing w:after="120"/>
              <w:ind w:left="266" w:hanging="266"/>
              <w:contextualSpacing w:val="0"/>
            </w:pPr>
            <w:r>
              <w:t>the economic changes</w:t>
            </w:r>
            <w:r w:rsidR="00802598">
              <w:t xml:space="preserve"> significantly affect</w:t>
            </w:r>
            <w:r w:rsidR="00660828">
              <w:t xml:space="preserve"> the school</w:t>
            </w:r>
            <w:r w:rsidR="00802598">
              <w:t xml:space="preserve"> population’s</w:t>
            </w:r>
            <w:r w:rsidR="00660828">
              <w:t xml:space="preserve"> </w:t>
            </w:r>
            <w:hyperlink w:anchor="_Median_family_income" w:history="1">
              <w:r w:rsidR="00660828" w:rsidRPr="00133683">
                <w:rPr>
                  <w:rStyle w:val="Hyperlink"/>
                </w:rPr>
                <w:t>median family income</w:t>
              </w:r>
            </w:hyperlink>
            <w:r w:rsidR="00802598">
              <w:t xml:space="preserve"> for </w:t>
            </w:r>
            <w:r>
              <w:t>the funding</w:t>
            </w:r>
            <w:r w:rsidR="00802598">
              <w:t xml:space="preserve"> year.</w:t>
            </w:r>
          </w:p>
        </w:tc>
      </w:tr>
      <w:tr w:rsidR="00660828" w:rsidRPr="00F81630" w14:paraId="1784D12E" w14:textId="77777777" w:rsidTr="008C089E">
        <w:trPr>
          <w:trHeight w:val="792"/>
        </w:trPr>
        <w:tc>
          <w:tcPr>
            <w:tcW w:w="1276" w:type="dxa"/>
            <w:shd w:val="clear" w:color="auto" w:fill="B5E5DF" w:themeFill="accent4" w:themeFillTint="66"/>
          </w:tcPr>
          <w:p w14:paraId="1AB52062" w14:textId="77777777" w:rsidR="00660828" w:rsidRPr="00F81630" w:rsidDel="001B4115" w:rsidRDefault="00660828" w:rsidP="00DF02B7">
            <w:pPr>
              <w:rPr>
                <w:rStyle w:val="Strong"/>
              </w:rPr>
            </w:pPr>
            <w:r w:rsidRPr="00F81630">
              <w:rPr>
                <w:rStyle w:val="Strong"/>
              </w:rPr>
              <w:t>Example</w:t>
            </w:r>
          </w:p>
        </w:tc>
        <w:tc>
          <w:tcPr>
            <w:tcW w:w="8080" w:type="dxa"/>
            <w:shd w:val="clear" w:color="auto" w:fill="B5E5DF" w:themeFill="accent4" w:themeFillTint="66"/>
          </w:tcPr>
          <w:p w14:paraId="31A81044" w14:textId="015B3AC9" w:rsidR="00660828" w:rsidRPr="00F81630" w:rsidRDefault="00660828" w:rsidP="00CB7304">
            <w:pPr>
              <w:spacing w:after="120"/>
            </w:pPr>
            <w:r>
              <w:t>Closure of a major industry in the area</w:t>
            </w:r>
            <w:r w:rsidR="00FD33FC">
              <w:t xml:space="preserve"> </w:t>
            </w:r>
            <w:r w:rsidRPr="00F81630">
              <w:t>which employed a significant number of parents with children at the school.</w:t>
            </w:r>
          </w:p>
        </w:tc>
      </w:tr>
      <w:tr w:rsidR="00660828" w:rsidRPr="00F81630" w14:paraId="19086915" w14:textId="77777777" w:rsidTr="008C089E">
        <w:trPr>
          <w:trHeight w:val="792"/>
        </w:trPr>
        <w:tc>
          <w:tcPr>
            <w:tcW w:w="1276" w:type="dxa"/>
            <w:shd w:val="clear" w:color="auto" w:fill="DAF2EF" w:themeFill="accent4" w:themeFillTint="33"/>
          </w:tcPr>
          <w:p w14:paraId="5D598855" w14:textId="77777777" w:rsidR="00660828" w:rsidRPr="00F81630" w:rsidRDefault="00660828" w:rsidP="00DF02B7">
            <w:pPr>
              <w:rPr>
                <w:rStyle w:val="Strong"/>
              </w:rPr>
            </w:pPr>
            <w:r w:rsidRPr="00F81630">
              <w:rPr>
                <w:rStyle w:val="Strong"/>
              </w:rPr>
              <w:t>Evidence</w:t>
            </w:r>
          </w:p>
        </w:tc>
        <w:tc>
          <w:tcPr>
            <w:tcW w:w="8080" w:type="dxa"/>
            <w:shd w:val="clear" w:color="auto" w:fill="DAF2EF" w:themeFill="accent4" w:themeFillTint="33"/>
          </w:tcPr>
          <w:p w14:paraId="4ED00EAD" w14:textId="26CFDDCC" w:rsidR="00660828" w:rsidRPr="00F81630" w:rsidRDefault="00660828" w:rsidP="00DF02B7">
            <w:pPr>
              <w:spacing w:after="120"/>
            </w:pPr>
            <w:r w:rsidRPr="00F81630">
              <w:t xml:space="preserve">A review application needs to show evidence that recent changes in the local economy have </w:t>
            </w:r>
            <w:r w:rsidR="00FD33FC">
              <w:t xml:space="preserve">significantly </w:t>
            </w:r>
            <w:r w:rsidRPr="00F81630">
              <w:t xml:space="preserve">affected the </w:t>
            </w:r>
            <w:r w:rsidR="005A734F">
              <w:t xml:space="preserve">school’s </w:t>
            </w:r>
            <w:hyperlink w:anchor="_Family_income_profile" w:history="1">
              <w:r w:rsidR="005A734F" w:rsidRPr="00083466">
                <w:rPr>
                  <w:rStyle w:val="Hyperlink"/>
                </w:rPr>
                <w:t>family income profile</w:t>
              </w:r>
            </w:hyperlink>
            <w:r w:rsidR="000319D6">
              <w:t xml:space="preserve"> for the funding year</w:t>
            </w:r>
            <w:r w:rsidRPr="00F81630">
              <w:t>, for example:</w:t>
            </w:r>
          </w:p>
          <w:p w14:paraId="1ECFEEF9" w14:textId="77777777" w:rsidR="00660828" w:rsidRPr="00F81630" w:rsidRDefault="00660828" w:rsidP="00660828">
            <w:pPr>
              <w:pStyle w:val="ListParagraph"/>
              <w:numPr>
                <w:ilvl w:val="0"/>
                <w:numId w:val="49"/>
              </w:numPr>
              <w:spacing w:after="120"/>
              <w:ind w:left="265" w:hanging="265"/>
              <w:contextualSpacing w:val="0"/>
            </w:pPr>
            <w:r w:rsidRPr="00F81630">
              <w:t>media articles documenting the recent closure of a major industry in the area</w:t>
            </w:r>
          </w:p>
          <w:p w14:paraId="2A0F7E0E" w14:textId="77777777" w:rsidR="00660828" w:rsidRPr="00F81630" w:rsidRDefault="00660828" w:rsidP="00660828">
            <w:pPr>
              <w:pStyle w:val="ListParagraph"/>
              <w:numPr>
                <w:ilvl w:val="0"/>
                <w:numId w:val="49"/>
              </w:numPr>
              <w:spacing w:after="120"/>
              <w:ind w:left="265" w:hanging="265"/>
              <w:contextualSpacing w:val="0"/>
            </w:pPr>
            <w:r w:rsidRPr="00F81630">
              <w:t>the proportion of school families directly employed or affected by the recent closure of the major local industry and the estimated impact on family incomes, and/or</w:t>
            </w:r>
          </w:p>
          <w:p w14:paraId="2F63B062" w14:textId="77777777" w:rsidR="00660828" w:rsidRPr="00F81630" w:rsidRDefault="00660828" w:rsidP="00660828">
            <w:pPr>
              <w:pStyle w:val="ListParagraph"/>
              <w:numPr>
                <w:ilvl w:val="0"/>
                <w:numId w:val="49"/>
              </w:numPr>
              <w:spacing w:after="120"/>
              <w:ind w:left="265" w:hanging="265"/>
              <w:contextualSpacing w:val="0"/>
            </w:pPr>
            <w:r w:rsidRPr="00F81630">
              <w:t>recent correspondence from the relevant employers or academic literature from labour market experts</w:t>
            </w:r>
            <w:r>
              <w:t>.</w:t>
            </w:r>
          </w:p>
          <w:p w14:paraId="1E727C84" w14:textId="77777777" w:rsidR="00660828" w:rsidRDefault="00660828" w:rsidP="00DF02B7">
            <w:pPr>
              <w:spacing w:after="0"/>
              <w:rPr>
                <w:b/>
                <w:bCs/>
              </w:rPr>
            </w:pPr>
            <w:r w:rsidRPr="00F81630">
              <w:rPr>
                <w:b/>
                <w:bCs/>
              </w:rPr>
              <w:t>Notes:</w:t>
            </w:r>
          </w:p>
          <w:p w14:paraId="69A91916" w14:textId="30ED488D" w:rsidR="005A5684" w:rsidRPr="005A5684" w:rsidRDefault="005A5684" w:rsidP="005A5684">
            <w:pPr>
              <w:spacing w:after="120"/>
            </w:pPr>
            <w:r w:rsidRPr="005A5684">
              <w:t>The evidence must clearly demonstrate the income changes are due to a localised event and that the event directly and significantly affects the incomes of parents and guardians in the school community</w:t>
            </w:r>
            <w:r>
              <w:t xml:space="preserve"> in the funding year</w:t>
            </w:r>
            <w:r w:rsidRPr="005A5684">
              <w:t>.</w:t>
            </w:r>
          </w:p>
          <w:p w14:paraId="09EE5164" w14:textId="15A89B75" w:rsidR="005A5684" w:rsidRDefault="005A5684" w:rsidP="005A5684">
            <w:pPr>
              <w:spacing w:after="120"/>
            </w:pPr>
            <w:r w:rsidRPr="005A5684">
              <w:t xml:space="preserve">Where a school community has experienced a recent economic </w:t>
            </w:r>
            <w:proofErr w:type="gramStart"/>
            <w:r w:rsidRPr="005A5684">
              <w:t>change</w:t>
            </w:r>
            <w:proofErr w:type="gramEnd"/>
            <w:r w:rsidRPr="005A5684">
              <w:t xml:space="preserve"> but the change is </w:t>
            </w:r>
            <w:proofErr w:type="gramStart"/>
            <w:r w:rsidRPr="005A5684">
              <w:t>similar to</w:t>
            </w:r>
            <w:proofErr w:type="gramEnd"/>
            <w:r w:rsidRPr="005A5684">
              <w:t xml:space="preserve"> that experienced by school communities generally, a review would be unlikely to result in a change of CTC score</w:t>
            </w:r>
            <w:r w:rsidR="006865FE" w:rsidRPr="006865FE">
              <w:t xml:space="preserve"> </w:t>
            </w:r>
            <w:r w:rsidR="006865FE">
              <w:t>because</w:t>
            </w:r>
            <w:r w:rsidR="006865FE" w:rsidRPr="006865FE">
              <w:t xml:space="preserve"> CTC </w:t>
            </w:r>
            <w:r w:rsidR="006865FE">
              <w:t>is a relative measure</w:t>
            </w:r>
            <w:r w:rsidRPr="005A5684">
              <w:t>.</w:t>
            </w:r>
          </w:p>
          <w:p w14:paraId="291F906C" w14:textId="6AA653EB" w:rsidR="00660828" w:rsidRPr="00F81630" w:rsidRDefault="00660828" w:rsidP="00DF02B7">
            <w:pPr>
              <w:spacing w:after="120"/>
            </w:pPr>
            <w:r>
              <w:t>Any government income or other support provided to parents affected by the event must be disclosed.</w:t>
            </w:r>
          </w:p>
          <w:p w14:paraId="48A5BB1F" w14:textId="4F2AFE42" w:rsidR="00660828" w:rsidRPr="00F81630" w:rsidRDefault="00660828" w:rsidP="00DF02B7">
            <w:pPr>
              <w:spacing w:after="120"/>
            </w:pPr>
            <w:r w:rsidRPr="00F81630">
              <w:t>Schools experiencing immediate financial viability issues because of natural disasters or other widespread events such as COVID-19 should, in the first instance, approach their non-government representative body about funding support available under the Choice and Affordability Fund.</w:t>
            </w:r>
          </w:p>
        </w:tc>
      </w:tr>
    </w:tbl>
    <w:p w14:paraId="61D90577" w14:textId="12861BDF" w:rsidR="00B365A0" w:rsidRDefault="00871E5A" w:rsidP="00C213BC">
      <w:pPr>
        <w:pStyle w:val="Heading3"/>
      </w:pPr>
      <w:bookmarkStart w:id="154" w:name="_Toc211945351"/>
      <w:r w:rsidRPr="00D172D3">
        <w:lastRenderedPageBreak/>
        <w:t>A recent</w:t>
      </w:r>
      <w:r w:rsidR="00660828">
        <w:t>, significant</w:t>
      </w:r>
      <w:r w:rsidRPr="00D172D3">
        <w:t xml:space="preserve"> change in the school community’s population</w:t>
      </w:r>
      <w:bookmarkEnd w:id="153"/>
      <w:bookmarkEnd w:id="154"/>
    </w:p>
    <w:p w14:paraId="66093361" w14:textId="45A6EAF2" w:rsidR="00660828" w:rsidRPr="00F81630" w:rsidRDefault="00660828" w:rsidP="00660828">
      <w:pPr>
        <w:spacing w:after="0"/>
        <w:rPr>
          <w:b/>
          <w:kern w:val="2"/>
          <w:sz w:val="28"/>
          <w14:ligatures w14:val="standardContextual"/>
        </w:rPr>
      </w:pPr>
      <w:r w:rsidRPr="00F81630">
        <w:rPr>
          <w:b/>
          <w:kern w:val="2"/>
          <w:sz w:val="28"/>
          <w14:ligatures w14:val="standardContextual"/>
        </w:rPr>
        <w:t xml:space="preserve">(All </w:t>
      </w:r>
      <w:r w:rsidR="00BA1F02">
        <w:rPr>
          <w:b/>
          <w:kern w:val="2"/>
          <w:sz w:val="28"/>
          <w14:ligatures w14:val="standardContextual"/>
        </w:rPr>
        <w:t>CTC score</w:t>
      </w:r>
      <w:r w:rsidRPr="00F81630">
        <w:rPr>
          <w:b/>
          <w:kern w:val="2"/>
          <w:sz w:val="28"/>
          <w14:ligatures w14:val="standardContextual"/>
        </w:rPr>
        <w:t>s)</w:t>
      </w:r>
    </w:p>
    <w:tbl>
      <w:tblPr>
        <w:tblStyle w:val="TableGrid"/>
        <w:tblW w:w="9356" w:type="dxa"/>
        <w:tblInd w:w="-5" w:type="dxa"/>
        <w:tblLook w:val="04A0" w:firstRow="1" w:lastRow="0" w:firstColumn="1" w:lastColumn="0" w:noHBand="0" w:noVBand="1"/>
      </w:tblPr>
      <w:tblGrid>
        <w:gridCol w:w="1301"/>
        <w:gridCol w:w="8055"/>
      </w:tblGrid>
      <w:tr w:rsidR="00660828" w:rsidRPr="00F81630" w14:paraId="67877694" w14:textId="77777777" w:rsidTr="00DF02B7">
        <w:trPr>
          <w:trHeight w:val="792"/>
        </w:trPr>
        <w:tc>
          <w:tcPr>
            <w:tcW w:w="1301" w:type="dxa"/>
            <w:shd w:val="clear" w:color="auto" w:fill="B7ACD3" w:themeFill="accent2" w:themeFillTint="66"/>
          </w:tcPr>
          <w:p w14:paraId="0A04F2FF" w14:textId="77777777" w:rsidR="00660828" w:rsidRPr="00F81630" w:rsidRDefault="00660828" w:rsidP="00DF02B7">
            <w:pPr>
              <w:rPr>
                <w:rStyle w:val="Strong"/>
              </w:rPr>
            </w:pPr>
            <w:r w:rsidRPr="00F81630">
              <w:rPr>
                <w:rStyle w:val="Strong"/>
              </w:rPr>
              <w:t>Background</w:t>
            </w:r>
          </w:p>
        </w:tc>
        <w:tc>
          <w:tcPr>
            <w:tcW w:w="8055" w:type="dxa"/>
            <w:shd w:val="clear" w:color="auto" w:fill="B7ACD3" w:themeFill="accent2" w:themeFillTint="66"/>
          </w:tcPr>
          <w:p w14:paraId="1BAB482D" w14:textId="71E8874B" w:rsidR="00E26598" w:rsidRPr="00A71E21" w:rsidRDefault="00E26598" w:rsidP="00E26598">
            <w:pPr>
              <w:spacing w:after="120"/>
            </w:pPr>
            <w:r>
              <w:t>There is a lag in the data used to calculate CTC scores</w:t>
            </w:r>
            <w:r w:rsidRPr="00A71E21">
              <w:t>. For example:</w:t>
            </w:r>
          </w:p>
          <w:p w14:paraId="14FCB207" w14:textId="56728AC4" w:rsidR="00E26598" w:rsidRPr="00A71E21" w:rsidRDefault="00E26598" w:rsidP="00E26598">
            <w:pPr>
              <w:numPr>
                <w:ilvl w:val="0"/>
                <w:numId w:val="51"/>
              </w:numPr>
              <w:spacing w:after="120"/>
              <w:ind w:left="428"/>
            </w:pPr>
            <w:r w:rsidRPr="00A71E21">
              <w:t xml:space="preserve">DMI-based 2025 </w:t>
            </w:r>
            <w:r>
              <w:t>CTC score</w:t>
            </w:r>
            <w:r w:rsidRPr="00A71E21">
              <w:t>s are calculated using income data from 2021-22, 2020-21</w:t>
            </w:r>
            <w:r w:rsidR="00F428ED">
              <w:t xml:space="preserve">, </w:t>
            </w:r>
            <w:r w:rsidR="0058212A">
              <w:t xml:space="preserve">and </w:t>
            </w:r>
            <w:r w:rsidRPr="00A71E21">
              <w:t>2019-20</w:t>
            </w:r>
            <w:r w:rsidR="00F428ED">
              <w:t xml:space="preserve"> </w:t>
            </w:r>
            <w:r>
              <w:t xml:space="preserve"> </w:t>
            </w:r>
            <w:r w:rsidR="00F428ED">
              <w:t xml:space="preserve">as well as </w:t>
            </w:r>
            <w:r>
              <w:t>2024, 2023 and 2022 Address Collection data</w:t>
            </w:r>
            <w:r w:rsidRPr="00A71E21">
              <w:t>.</w:t>
            </w:r>
          </w:p>
          <w:p w14:paraId="3D467B8D" w14:textId="77777777" w:rsidR="00E26598" w:rsidRDefault="00E26598" w:rsidP="00E26598">
            <w:pPr>
              <w:numPr>
                <w:ilvl w:val="0"/>
                <w:numId w:val="51"/>
              </w:numPr>
              <w:spacing w:after="120"/>
              <w:ind w:left="428"/>
            </w:pPr>
            <w:r w:rsidRPr="00A71E21">
              <w:t xml:space="preserve">RAB-based </w:t>
            </w:r>
            <w:r>
              <w:t>2025 CTC score</w:t>
            </w:r>
            <w:r w:rsidRPr="00A71E21">
              <w:t>s are calculated using 2021 Census of Housing and Population income data</w:t>
            </w:r>
            <w:r>
              <w:t xml:space="preserve"> and the school’s 2024 Address Collection</w:t>
            </w:r>
            <w:r w:rsidRPr="00A71E21">
              <w:t>.</w:t>
            </w:r>
          </w:p>
          <w:p w14:paraId="521ADB73" w14:textId="7C7FAAB4" w:rsidR="008227E9" w:rsidRDefault="008227E9" w:rsidP="008227E9">
            <w:pPr>
              <w:numPr>
                <w:ilvl w:val="0"/>
                <w:numId w:val="51"/>
              </w:numPr>
              <w:spacing w:after="120"/>
              <w:ind w:left="428"/>
            </w:pPr>
            <w:r w:rsidRPr="008227E9">
              <w:t>2026 CTC scores worked out in accordance with subsection 21(4) of the Regulations are effectively calculated using the data listed above for the type of CTC score determined for the school in 2025.</w:t>
            </w:r>
          </w:p>
          <w:p w14:paraId="2FFD99E4" w14:textId="7886453B" w:rsidR="00C04A38" w:rsidRDefault="00C04A38" w:rsidP="00C04A38">
            <w:pPr>
              <w:spacing w:after="120"/>
            </w:pPr>
            <w:r w:rsidRPr="00F81630">
              <w:t xml:space="preserve">A school’s </w:t>
            </w:r>
            <w:r>
              <w:t>CTC score</w:t>
            </w:r>
            <w:r w:rsidRPr="00F81630">
              <w:t xml:space="preserve"> for a funding year might</w:t>
            </w:r>
            <w:r>
              <w:t xml:space="preserve"> not </w:t>
            </w:r>
            <w:r w:rsidRPr="00F81630">
              <w:t xml:space="preserve">be accurate </w:t>
            </w:r>
            <w:r>
              <w:t xml:space="preserve">if there have been </w:t>
            </w:r>
            <w:r w:rsidRPr="00F81630">
              <w:t xml:space="preserve">significant changes in enrolments </w:t>
            </w:r>
            <w:r>
              <w:t xml:space="preserve">for that year </w:t>
            </w:r>
            <w:r w:rsidRPr="00F81630">
              <w:t xml:space="preserve">and the new cohort has </w:t>
            </w:r>
            <w:r>
              <w:t xml:space="preserve">a significantly different </w:t>
            </w:r>
            <w:hyperlink w:anchor="_Median_family_income" w:history="1">
              <w:r w:rsidRPr="0085048F">
                <w:rPr>
                  <w:rStyle w:val="Hyperlink"/>
                </w:rPr>
                <w:t>median family income</w:t>
              </w:r>
            </w:hyperlink>
            <w:r w:rsidRPr="00F81630">
              <w:t xml:space="preserve"> to </w:t>
            </w:r>
            <w:r>
              <w:t xml:space="preserve">the </w:t>
            </w:r>
            <w:r w:rsidRPr="00F81630">
              <w:t>cohort</w:t>
            </w:r>
            <w:r>
              <w:t>s reflected in the CTC score</w:t>
            </w:r>
            <w:r w:rsidRPr="00F81630">
              <w:t>.</w:t>
            </w:r>
          </w:p>
          <w:p w14:paraId="14F07364" w14:textId="12DAD5AA" w:rsidR="00802598" w:rsidRPr="00F81630" w:rsidRDefault="00802598" w:rsidP="00DF02B7">
            <w:pPr>
              <w:spacing w:after="120"/>
            </w:pPr>
            <w:r w:rsidRPr="00802598">
              <w:rPr>
                <w:b/>
                <w:bCs/>
              </w:rPr>
              <w:t>Note</w:t>
            </w:r>
            <w:r w:rsidRPr="00802598">
              <w:t>: Regular changes in a school’s cohort associated with students starting or finishing school or mid-year intakes are reflected over time and are not a valid reason for review.</w:t>
            </w:r>
          </w:p>
        </w:tc>
      </w:tr>
      <w:tr w:rsidR="00660828" w:rsidRPr="00F81630" w14:paraId="47B4F94B" w14:textId="77777777" w:rsidTr="00DF02B7">
        <w:trPr>
          <w:trHeight w:val="792"/>
        </w:trPr>
        <w:tc>
          <w:tcPr>
            <w:tcW w:w="1301" w:type="dxa"/>
            <w:shd w:val="clear" w:color="auto" w:fill="B5E5DF" w:themeFill="accent4" w:themeFillTint="66"/>
          </w:tcPr>
          <w:p w14:paraId="52DCEEE5" w14:textId="77777777" w:rsidR="00660828" w:rsidRPr="00F81630" w:rsidRDefault="00660828" w:rsidP="00DF02B7">
            <w:pPr>
              <w:rPr>
                <w:rStyle w:val="Strong"/>
              </w:rPr>
            </w:pPr>
            <w:r w:rsidRPr="00F81630">
              <w:rPr>
                <w:rStyle w:val="Strong"/>
              </w:rPr>
              <w:t>Examples</w:t>
            </w:r>
          </w:p>
        </w:tc>
        <w:tc>
          <w:tcPr>
            <w:tcW w:w="8055" w:type="dxa"/>
            <w:shd w:val="clear" w:color="auto" w:fill="B5E5DF" w:themeFill="accent4" w:themeFillTint="66"/>
          </w:tcPr>
          <w:p w14:paraId="00C5ACF3" w14:textId="37C6E273" w:rsidR="00660828" w:rsidRPr="00F81630" w:rsidRDefault="00660828" w:rsidP="00DF02B7">
            <w:pPr>
              <w:spacing w:after="120"/>
            </w:pPr>
            <w:r w:rsidRPr="00F81630">
              <w:rPr>
                <w:b/>
                <w:bCs/>
              </w:rPr>
              <w:t xml:space="preserve">For all </w:t>
            </w:r>
            <w:r w:rsidR="00BA1F02">
              <w:rPr>
                <w:b/>
                <w:bCs/>
              </w:rPr>
              <w:t>CTC score</w:t>
            </w:r>
            <w:r w:rsidRPr="00F81630">
              <w:rPr>
                <w:b/>
                <w:bCs/>
              </w:rPr>
              <w:t>s</w:t>
            </w:r>
            <w:r w:rsidRPr="00F81630">
              <w:t xml:space="preserve"> calculated in accordance with the Regulations</w:t>
            </w:r>
            <w:r w:rsidRPr="008227E9">
              <w:t>,</w:t>
            </w:r>
            <w:r w:rsidRPr="00F81630">
              <w:t xml:space="preserve"> the score might not be accurate if there has been a</w:t>
            </w:r>
            <w:r>
              <w:t xml:space="preserve"> significant</w:t>
            </w:r>
            <w:r w:rsidRPr="00F81630">
              <w:t xml:space="preserve"> change in enrolments since the Address Collection data used to calculate the score, for example:</w:t>
            </w:r>
          </w:p>
          <w:p w14:paraId="3A888D04" w14:textId="43C467FC" w:rsidR="00660828" w:rsidRPr="00F81630" w:rsidRDefault="00660828" w:rsidP="000F1BA3">
            <w:pPr>
              <w:numPr>
                <w:ilvl w:val="0"/>
                <w:numId w:val="51"/>
              </w:numPr>
              <w:spacing w:after="120"/>
              <w:ind w:left="428"/>
            </w:pPr>
            <w:r w:rsidRPr="00F81630">
              <w:t>following a merger with another school</w:t>
            </w:r>
          </w:p>
          <w:p w14:paraId="2396A8C6" w14:textId="77777777" w:rsidR="00660828" w:rsidRPr="00F81630" w:rsidRDefault="00660828" w:rsidP="000F1BA3">
            <w:pPr>
              <w:numPr>
                <w:ilvl w:val="0"/>
                <w:numId w:val="51"/>
              </w:numPr>
              <w:spacing w:after="120"/>
              <w:ind w:left="428"/>
            </w:pPr>
            <w:r w:rsidRPr="00F81630">
              <w:t>because of enrolment of students from a school that has closed</w:t>
            </w:r>
          </w:p>
          <w:p w14:paraId="65D57C75" w14:textId="77777777" w:rsidR="00660828" w:rsidRPr="00F81630" w:rsidRDefault="00660828" w:rsidP="000F1BA3">
            <w:pPr>
              <w:numPr>
                <w:ilvl w:val="0"/>
                <w:numId w:val="51"/>
              </w:numPr>
              <w:spacing w:after="120"/>
              <w:ind w:left="428"/>
            </w:pPr>
            <w:r w:rsidRPr="00F81630">
              <w:t>because a significant number of parents have chosen to relocate their child to another school.</w:t>
            </w:r>
          </w:p>
          <w:p w14:paraId="4A148E1D" w14:textId="6D0E397D" w:rsidR="00660828" w:rsidRPr="00F81630" w:rsidRDefault="00660828" w:rsidP="00DF02B7">
            <w:pPr>
              <w:spacing w:after="120"/>
            </w:pPr>
            <w:r w:rsidRPr="00F81630">
              <w:rPr>
                <w:b/>
                <w:bCs/>
              </w:rPr>
              <w:t>For DMI-based scores</w:t>
            </w:r>
            <w:r w:rsidR="00B822BB">
              <w:rPr>
                <w:b/>
                <w:bCs/>
              </w:rPr>
              <w:t>,</w:t>
            </w:r>
            <w:r w:rsidRPr="00F81630">
              <w:t xml:space="preserve"> </w:t>
            </w:r>
            <w:r>
              <w:t>a</w:t>
            </w:r>
            <w:r w:rsidRPr="00F81630">
              <w:t xml:space="preserve"> </w:t>
            </w:r>
            <w:r w:rsidR="00BA1F02">
              <w:t>CTC score</w:t>
            </w:r>
            <w:r w:rsidRPr="00F81630">
              <w:t xml:space="preserve"> </w:t>
            </w:r>
            <w:r>
              <w:t xml:space="preserve">for a year </w:t>
            </w:r>
            <w:r w:rsidRPr="00F81630">
              <w:t>might not be accurate if the</w:t>
            </w:r>
            <w:r>
              <w:t xml:space="preserve"> cohort enrolled at the</w:t>
            </w:r>
            <w:r w:rsidRPr="00F81630">
              <w:t xml:space="preserve"> </w:t>
            </w:r>
            <w:r>
              <w:t xml:space="preserve">school in that year </w:t>
            </w:r>
            <w:r w:rsidR="00B822BB">
              <w:t>has</w:t>
            </w:r>
            <w:r>
              <w:t xml:space="preserve"> a significantly</w:t>
            </w:r>
            <w:r w:rsidRPr="00F81630">
              <w:t xml:space="preserve"> different </w:t>
            </w:r>
            <w:hyperlink w:anchor="_Appendix_B:_Definitions" w:history="1">
              <w:r w:rsidRPr="00133683">
                <w:rPr>
                  <w:rStyle w:val="Hyperlink"/>
                </w:rPr>
                <w:t>median family income</w:t>
              </w:r>
            </w:hyperlink>
            <w:r w:rsidRPr="00F81630">
              <w:t xml:space="preserve"> to the cohorts used to calculate the score.</w:t>
            </w:r>
          </w:p>
          <w:p w14:paraId="459D899C" w14:textId="1E072225" w:rsidR="00660828" w:rsidRPr="00F81630" w:rsidRDefault="00660828" w:rsidP="00802598">
            <w:pPr>
              <w:spacing w:after="120"/>
              <w:rPr>
                <w:i/>
                <w:iCs/>
              </w:rPr>
            </w:pPr>
            <w:r w:rsidRPr="00F81630">
              <w:rPr>
                <w:b/>
                <w:bCs/>
              </w:rPr>
              <w:t>For RAB-based scores</w:t>
            </w:r>
            <w:r w:rsidR="00B822BB">
              <w:rPr>
                <w:b/>
                <w:bCs/>
              </w:rPr>
              <w:t>,</w:t>
            </w:r>
            <w:r w:rsidR="00083466">
              <w:rPr>
                <w:b/>
                <w:bCs/>
              </w:rPr>
              <w:t xml:space="preserve"> </w:t>
            </w:r>
            <w:r>
              <w:t>a</w:t>
            </w:r>
            <w:r w:rsidRPr="00F81630">
              <w:t xml:space="preserve"> </w:t>
            </w:r>
            <w:r w:rsidR="00BA1F02">
              <w:t>CTC score</w:t>
            </w:r>
            <w:r>
              <w:t xml:space="preserve"> for a year</w:t>
            </w:r>
            <w:r w:rsidRPr="00F81630">
              <w:t xml:space="preserve"> might not be accurate if</w:t>
            </w:r>
            <w:r>
              <w:t>, for that year, there has been a</w:t>
            </w:r>
            <w:r w:rsidRPr="00F81630">
              <w:t xml:space="preserve"> significant change in the SA1s where students live, or a change in the concentration of students living in the existing SA1s</w:t>
            </w:r>
            <w:r w:rsidR="00104E94">
              <w:t>,</w:t>
            </w:r>
            <w:r>
              <w:t xml:space="preserve"> since the </w:t>
            </w:r>
            <w:hyperlink w:anchor="_Address_Collection" w:history="1">
              <w:r w:rsidRPr="00260902">
                <w:rPr>
                  <w:rStyle w:val="Hyperlink"/>
                </w:rPr>
                <w:t>Address Collection</w:t>
              </w:r>
            </w:hyperlink>
            <w:r w:rsidR="001536DC">
              <w:t xml:space="preserve"> used to calculate the RAB score</w:t>
            </w:r>
            <w:r w:rsidRPr="00F81630">
              <w:t>.</w:t>
            </w:r>
          </w:p>
        </w:tc>
      </w:tr>
      <w:tr w:rsidR="00660828" w:rsidRPr="00F81630" w14:paraId="776F1F37" w14:textId="77777777" w:rsidTr="00DF02B7">
        <w:trPr>
          <w:trHeight w:val="792"/>
        </w:trPr>
        <w:tc>
          <w:tcPr>
            <w:tcW w:w="1301" w:type="dxa"/>
            <w:shd w:val="clear" w:color="auto" w:fill="DAF2EF" w:themeFill="accent4" w:themeFillTint="33"/>
          </w:tcPr>
          <w:p w14:paraId="04CC8100" w14:textId="77777777" w:rsidR="00660828" w:rsidRPr="00F81630" w:rsidRDefault="00660828" w:rsidP="00DF02B7">
            <w:pPr>
              <w:rPr>
                <w:rStyle w:val="Strong"/>
              </w:rPr>
            </w:pPr>
            <w:r w:rsidRPr="00F81630">
              <w:rPr>
                <w:rStyle w:val="Strong"/>
              </w:rPr>
              <w:t>Evidence</w:t>
            </w:r>
          </w:p>
        </w:tc>
        <w:tc>
          <w:tcPr>
            <w:tcW w:w="8055" w:type="dxa"/>
            <w:shd w:val="clear" w:color="auto" w:fill="DAF2EF" w:themeFill="accent4" w:themeFillTint="33"/>
          </w:tcPr>
          <w:p w14:paraId="347D8CCE" w14:textId="5BE939B9" w:rsidR="00660828" w:rsidRPr="00F81630" w:rsidRDefault="00660828" w:rsidP="00DF02B7">
            <w:pPr>
              <w:spacing w:after="120"/>
              <w:rPr>
                <w:kern w:val="2"/>
                <w14:ligatures w14:val="standardContextual"/>
              </w:rPr>
            </w:pPr>
            <w:r w:rsidRPr="00F81630">
              <w:t xml:space="preserve">For </w:t>
            </w:r>
            <w:r w:rsidRPr="00F81630">
              <w:rPr>
                <w:b/>
                <w:bCs/>
              </w:rPr>
              <w:t>DMI</w:t>
            </w:r>
            <w:r w:rsidRPr="00F81630">
              <w:rPr>
                <w:b/>
                <w:bCs/>
              </w:rPr>
              <w:noBreakHyphen/>
              <w:t>based scores,</w:t>
            </w:r>
            <w:r w:rsidRPr="00F81630">
              <w:t xml:space="preserve"> a review application will need to:</w:t>
            </w:r>
          </w:p>
          <w:p w14:paraId="4F8F9054" w14:textId="192DEE73" w:rsidR="00660828" w:rsidRPr="00F81630" w:rsidRDefault="00660828" w:rsidP="000F1BA3">
            <w:pPr>
              <w:numPr>
                <w:ilvl w:val="0"/>
                <w:numId w:val="51"/>
              </w:numPr>
              <w:spacing w:after="120"/>
              <w:ind w:left="428"/>
            </w:pPr>
            <w:r w:rsidRPr="00F81630">
              <w:t xml:space="preserve">include an updated </w:t>
            </w:r>
            <w:hyperlink w:anchor="_Statement_of_enrolments" w:history="1">
              <w:r w:rsidRPr="00260902">
                <w:rPr>
                  <w:rStyle w:val="Hyperlink"/>
                </w:rPr>
                <w:t>statements of enrolments</w:t>
              </w:r>
            </w:hyperlink>
            <w:r w:rsidR="001B066D">
              <w:t xml:space="preserve"> </w:t>
            </w:r>
            <w:r w:rsidRPr="00F81630">
              <w:t>and/or evidence of school or campus merger, and</w:t>
            </w:r>
          </w:p>
          <w:p w14:paraId="51A0CA05" w14:textId="28114104" w:rsidR="00660828" w:rsidRPr="00F81630" w:rsidRDefault="00660828" w:rsidP="000F1BA3">
            <w:pPr>
              <w:numPr>
                <w:ilvl w:val="0"/>
                <w:numId w:val="51"/>
              </w:numPr>
              <w:spacing w:after="120"/>
              <w:ind w:left="428"/>
            </w:pPr>
            <w:r w:rsidRPr="00F81630">
              <w:t xml:space="preserve">indicate why the current student population has a </w:t>
            </w:r>
            <w:r w:rsidR="00104E94">
              <w:t xml:space="preserve">significantly </w:t>
            </w:r>
            <w:r w:rsidRPr="00F81630">
              <w:t>different</w:t>
            </w:r>
            <w:r w:rsidR="005A734F">
              <w:t xml:space="preserve"> </w:t>
            </w:r>
            <w:hyperlink w:anchor="_Appendix_B:_Definitions" w:history="1">
              <w:r w:rsidRPr="00133683">
                <w:rPr>
                  <w:rStyle w:val="Hyperlink"/>
                </w:rPr>
                <w:t>family incom</w:t>
              </w:r>
              <w:r w:rsidR="005A734F">
                <w:rPr>
                  <w:rStyle w:val="Hyperlink"/>
                </w:rPr>
                <w:t>e profile</w:t>
              </w:r>
            </w:hyperlink>
            <w:r w:rsidRPr="00F81630">
              <w:t xml:space="preserve"> to the previous population, e.g., where it previously did not, the current student population now includes a large proportion of students from families with low-income concession cards.</w:t>
            </w:r>
          </w:p>
          <w:p w14:paraId="2073040D" w14:textId="695B4F36" w:rsidR="00660828" w:rsidRPr="00F81630" w:rsidRDefault="00660828" w:rsidP="00DF02B7">
            <w:pPr>
              <w:spacing w:after="120"/>
              <w:rPr>
                <w:kern w:val="2"/>
                <w14:ligatures w14:val="standardContextual"/>
              </w:rPr>
            </w:pPr>
            <w:r w:rsidRPr="00F81630">
              <w:t>For</w:t>
            </w:r>
            <w:r w:rsidRPr="00F81630">
              <w:rPr>
                <w:b/>
                <w:bCs/>
              </w:rPr>
              <w:t xml:space="preserve"> RAB-based scores</w:t>
            </w:r>
            <w:r w:rsidRPr="00F81630">
              <w:t>, a review application will need to provide data showing a change in the SA1s where students live</w:t>
            </w:r>
            <w:r w:rsidR="00104E94">
              <w:t>,</w:t>
            </w:r>
            <w:r w:rsidRPr="00F81630">
              <w:t xml:space="preserve"> or a change in the concentration of students living in the SA1s</w:t>
            </w:r>
            <w:r w:rsidR="00B822BB">
              <w:t xml:space="preserve"> reflected in the RAB-based score</w:t>
            </w:r>
            <w:r w:rsidRPr="00F81630">
              <w:t>.</w:t>
            </w:r>
          </w:p>
        </w:tc>
      </w:tr>
    </w:tbl>
    <w:p w14:paraId="7D0D7F88" w14:textId="77777777" w:rsidR="00660828" w:rsidRPr="00F81630" w:rsidRDefault="00660828" w:rsidP="00660828">
      <w:pPr>
        <w:pStyle w:val="Heading3"/>
        <w:sectPr w:rsidR="00660828" w:rsidRPr="00F81630" w:rsidSect="008C089E">
          <w:pgSz w:w="11906" w:h="16838"/>
          <w:pgMar w:top="851" w:right="1440" w:bottom="709" w:left="1440" w:header="708" w:footer="708" w:gutter="0"/>
          <w:cols w:space="708"/>
          <w:docGrid w:linePitch="360"/>
        </w:sectPr>
      </w:pPr>
    </w:p>
    <w:p w14:paraId="0CFF40D3" w14:textId="7ECE1044" w:rsidR="00B365A0" w:rsidRDefault="009E7239" w:rsidP="00B14ADF">
      <w:pPr>
        <w:pStyle w:val="Heading3"/>
      </w:pPr>
      <w:bookmarkStart w:id="155" w:name="_Toc129701990"/>
      <w:bookmarkStart w:id="156" w:name="_Hlk129701684"/>
      <w:bookmarkStart w:id="157" w:name="_Toc211945352"/>
      <w:r w:rsidRPr="003E3291">
        <w:lastRenderedPageBreak/>
        <w:t xml:space="preserve">Difference between </w:t>
      </w:r>
      <w:r w:rsidR="008D07E0" w:rsidRPr="003E3291">
        <w:t xml:space="preserve">the </w:t>
      </w:r>
      <w:r w:rsidRPr="003E3291">
        <w:t xml:space="preserve">linked </w:t>
      </w:r>
      <w:r w:rsidRPr="00C213BC">
        <w:t>and</w:t>
      </w:r>
      <w:r w:rsidRPr="003E3291">
        <w:t xml:space="preserve"> unlinked populations</w:t>
      </w:r>
      <w:bookmarkEnd w:id="155"/>
      <w:bookmarkEnd w:id="157"/>
    </w:p>
    <w:p w14:paraId="0A72AFFD" w14:textId="77777777" w:rsidR="00660828" w:rsidRPr="00660828" w:rsidRDefault="00660828" w:rsidP="00660828">
      <w:pPr>
        <w:spacing w:after="0"/>
        <w:rPr>
          <w:b/>
          <w:kern w:val="2"/>
          <w:sz w:val="28"/>
          <w14:ligatures w14:val="standardContextual"/>
        </w:rPr>
      </w:pPr>
      <w:bookmarkStart w:id="158" w:name="_Review_Reason_2:"/>
      <w:bookmarkStart w:id="159" w:name="_Toc110520308"/>
      <w:bookmarkStart w:id="160" w:name="_Toc129701991"/>
      <w:bookmarkStart w:id="161" w:name="_Hlk94702748"/>
      <w:bookmarkEnd w:id="156"/>
      <w:bookmarkEnd w:id="158"/>
      <w:r w:rsidRPr="00660828">
        <w:rPr>
          <w:b/>
          <w:kern w:val="2"/>
          <w:sz w:val="28"/>
          <w14:ligatures w14:val="standardContextual"/>
        </w:rPr>
        <w:t>(DMI-based scores only)</w:t>
      </w:r>
    </w:p>
    <w:tbl>
      <w:tblPr>
        <w:tblStyle w:val="TableGrid"/>
        <w:tblW w:w="9156" w:type="dxa"/>
        <w:tblInd w:w="-5" w:type="dxa"/>
        <w:tblLook w:val="04A0" w:firstRow="1" w:lastRow="0" w:firstColumn="1" w:lastColumn="0" w:noHBand="0" w:noVBand="1"/>
      </w:tblPr>
      <w:tblGrid>
        <w:gridCol w:w="1301"/>
        <w:gridCol w:w="7855"/>
      </w:tblGrid>
      <w:tr w:rsidR="00660828" w:rsidRPr="00660828" w14:paraId="383ACEAA" w14:textId="77777777" w:rsidTr="008C089E">
        <w:tc>
          <w:tcPr>
            <w:tcW w:w="1276" w:type="dxa"/>
            <w:shd w:val="clear" w:color="auto" w:fill="B7ACD3" w:themeFill="accent2" w:themeFillTint="66"/>
          </w:tcPr>
          <w:p w14:paraId="6CD632DB" w14:textId="77777777" w:rsidR="00660828" w:rsidRPr="00660828" w:rsidRDefault="00660828" w:rsidP="00660828">
            <w:pPr>
              <w:rPr>
                <w:b/>
                <w:bCs/>
              </w:rPr>
            </w:pPr>
            <w:r w:rsidRPr="00660828">
              <w:rPr>
                <w:b/>
                <w:bCs/>
              </w:rPr>
              <w:t>Background</w:t>
            </w:r>
          </w:p>
        </w:tc>
        <w:tc>
          <w:tcPr>
            <w:tcW w:w="7880" w:type="dxa"/>
            <w:shd w:val="clear" w:color="auto" w:fill="B7ACD3" w:themeFill="accent2" w:themeFillTint="66"/>
          </w:tcPr>
          <w:p w14:paraId="32F6BCDB" w14:textId="21EE5DE7" w:rsidR="00A114ED" w:rsidRDefault="00A114ED" w:rsidP="007C1D5E">
            <w:pPr>
              <w:spacing w:after="120"/>
            </w:pPr>
            <w:r>
              <w:t xml:space="preserve">A DMI score reflects the </w:t>
            </w:r>
            <w:hyperlink w:anchor="_Median_family_income" w:history="1">
              <w:r w:rsidRPr="00F40889">
                <w:rPr>
                  <w:rStyle w:val="Hyperlink"/>
                </w:rPr>
                <w:t>median</w:t>
              </w:r>
              <w:r w:rsidR="00F40889" w:rsidRPr="00F40889">
                <w:rPr>
                  <w:rStyle w:val="Hyperlink"/>
                </w:rPr>
                <w:t xml:space="preserve"> family</w:t>
              </w:r>
              <w:r w:rsidRPr="00F40889">
                <w:rPr>
                  <w:rStyle w:val="Hyperlink"/>
                </w:rPr>
                <w:t xml:space="preserve"> income</w:t>
              </w:r>
            </w:hyperlink>
            <w:r>
              <w:t xml:space="preserve"> of parents who linked in the ABS’s </w:t>
            </w:r>
            <w:proofErr w:type="spellStart"/>
            <w:r>
              <w:t>DataLab</w:t>
            </w:r>
            <w:proofErr w:type="spellEnd"/>
            <w:r>
              <w:t xml:space="preserve">. </w:t>
            </w:r>
            <w:r w:rsidR="00660828" w:rsidRPr="00660828">
              <w:t xml:space="preserve">The </w:t>
            </w:r>
            <w:hyperlink w:anchor="_Data_Quality_Framework" w:history="1">
              <w:r w:rsidR="007B472B" w:rsidRPr="006B2130">
                <w:rPr>
                  <w:rStyle w:val="Hyperlink"/>
                </w:rPr>
                <w:t>Data Quality Framework</w:t>
              </w:r>
            </w:hyperlink>
            <w:r w:rsidR="007B472B">
              <w:t xml:space="preserve"> </w:t>
            </w:r>
            <w:r>
              <w:t xml:space="preserve">considers the potential effects of the </w:t>
            </w:r>
            <w:r w:rsidR="00C61F4B">
              <w:t>unlinked (that is, missing)</w:t>
            </w:r>
            <w:r>
              <w:t xml:space="preserve"> incomes</w:t>
            </w:r>
            <w:r w:rsidR="00C61F4B">
              <w:t xml:space="preserve"> </w:t>
            </w:r>
            <w:r>
              <w:t>before a DMI score is validated.</w:t>
            </w:r>
          </w:p>
          <w:p w14:paraId="3C59CA00" w14:textId="5ACD0A49" w:rsidR="00A114ED" w:rsidRDefault="00A114ED" w:rsidP="002B7ECC">
            <w:pPr>
              <w:spacing w:after="120"/>
            </w:pPr>
            <w:r>
              <w:t>Where a school’s DMI score has missingness issues,</w:t>
            </w:r>
            <w:r w:rsidR="007C1D5E" w:rsidRPr="002B7ECC">
              <w:t xml:space="preserve"> the department</w:t>
            </w:r>
            <w:r>
              <w:t xml:space="preserve"> first assesses the income coverage rate and the uncertainty in the median income due to that missingness.</w:t>
            </w:r>
          </w:p>
          <w:p w14:paraId="0FB26ABA" w14:textId="2E22DBC0" w:rsidR="007C1D5E" w:rsidRPr="002B7ECC" w:rsidRDefault="001406E5" w:rsidP="00AC2154">
            <w:pPr>
              <w:spacing w:after="120"/>
            </w:pPr>
            <w:r>
              <w:t>The department</w:t>
            </w:r>
            <w:r w:rsidR="00A114ED">
              <w:t xml:space="preserve"> then</w:t>
            </w:r>
            <w:r w:rsidR="007C1D5E" w:rsidRPr="002B7ECC">
              <w:t xml:space="preserve"> tests whether the income data of the linked population is representative of the </w:t>
            </w:r>
            <w:r w:rsidR="00AC155A" w:rsidRPr="002B7ECC">
              <w:t>whole</w:t>
            </w:r>
            <w:r w:rsidR="007C1D5E" w:rsidRPr="002B7ECC">
              <w:t xml:space="preserve"> school population using </w:t>
            </w:r>
            <w:r w:rsidR="00A114ED">
              <w:t>the lower bound sensitivity test</w:t>
            </w:r>
            <w:r w:rsidR="00C61F4B">
              <w:t xml:space="preserve"> which tests the </w:t>
            </w:r>
            <w:r w:rsidR="007C1D5E" w:rsidRPr="002B7ECC">
              <w:t xml:space="preserve">DMI score against a hypothetical scenario where </w:t>
            </w:r>
            <w:r w:rsidR="00C61F4B">
              <w:t>missing</w:t>
            </w:r>
            <w:r w:rsidR="007C1D5E" w:rsidRPr="002B7ECC">
              <w:t xml:space="preserve"> parents are assumed to have systematically lower incomes. </w:t>
            </w:r>
          </w:p>
          <w:p w14:paraId="3C35E34D" w14:textId="1D954606" w:rsidR="00B822BB" w:rsidRDefault="00CF0484" w:rsidP="00B822BB">
            <w:pPr>
              <w:spacing w:after="120"/>
            </w:pPr>
            <w:r>
              <w:t>If</w:t>
            </w:r>
            <w:r w:rsidR="00273159">
              <w:t>, following th</w:t>
            </w:r>
            <w:r w:rsidR="00C61F4B">
              <w:t>ese tests</w:t>
            </w:r>
            <w:r w:rsidR="00273159">
              <w:t>,</w:t>
            </w:r>
            <w:r w:rsidR="007C1D5E" w:rsidRPr="002B7ECC">
              <w:t xml:space="preserve"> the department is not satisfied </w:t>
            </w:r>
            <w:r>
              <w:t xml:space="preserve">the </w:t>
            </w:r>
            <w:r w:rsidR="00B822BB">
              <w:t>DMI score</w:t>
            </w:r>
            <w:r>
              <w:t xml:space="preserve"> </w:t>
            </w:r>
            <w:r w:rsidR="007C1D5E" w:rsidRPr="002B7ECC">
              <w:t xml:space="preserve">is representative of the </w:t>
            </w:r>
            <w:r w:rsidR="00AC155A" w:rsidRPr="002B7ECC">
              <w:t>whole</w:t>
            </w:r>
            <w:r w:rsidR="007C1D5E" w:rsidRPr="002B7ECC">
              <w:t xml:space="preserve"> school population, </w:t>
            </w:r>
            <w:r w:rsidR="00AC155A" w:rsidRPr="002B7ECC">
              <w:t>it undertakes a</w:t>
            </w:r>
            <w:r w:rsidR="007C1D5E" w:rsidRPr="002B7ECC">
              <w:t xml:space="preserve"> </w:t>
            </w:r>
            <w:r w:rsidR="00B822BB">
              <w:t xml:space="preserve">manual </w:t>
            </w:r>
            <w:r w:rsidR="007C1D5E" w:rsidRPr="002B7ECC">
              <w:t xml:space="preserve">evaluation to decide if the DMI score </w:t>
            </w:r>
            <w:r w:rsidR="00B822BB">
              <w:t>should be validated</w:t>
            </w:r>
            <w:r w:rsidR="007C1D5E" w:rsidRPr="002B7ECC">
              <w:t>.</w:t>
            </w:r>
          </w:p>
          <w:p w14:paraId="778EB175" w14:textId="7D28F74F" w:rsidR="00273159" w:rsidRPr="00660828" w:rsidRDefault="00273159" w:rsidP="00273159">
            <w:pPr>
              <w:spacing w:after="120"/>
            </w:pPr>
            <w:r w:rsidRPr="00AC2154">
              <w:t>A</w:t>
            </w:r>
            <w:r w:rsidR="001406E5">
              <w:t>s part of a</w:t>
            </w:r>
            <w:r w:rsidRPr="00AC2154">
              <w:t xml:space="preserve"> </w:t>
            </w:r>
            <w:r w:rsidR="00C61F4B" w:rsidRPr="00AC2154">
              <w:t xml:space="preserve">CTC score </w:t>
            </w:r>
            <w:r w:rsidRPr="00AC2154">
              <w:t>review</w:t>
            </w:r>
            <w:r w:rsidR="001406E5">
              <w:t>, the department</w:t>
            </w:r>
            <w:r w:rsidRPr="00AC2154">
              <w:t xml:space="preserve"> would</w:t>
            </w:r>
            <w:r w:rsidR="001406E5">
              <w:t xml:space="preserve"> </w:t>
            </w:r>
            <w:r w:rsidR="001A6AAF">
              <w:t>initially</w:t>
            </w:r>
            <w:r w:rsidR="001406E5">
              <w:t xml:space="preserve"> </w:t>
            </w:r>
            <w:r w:rsidR="001A6AAF">
              <w:t>test</w:t>
            </w:r>
            <w:r w:rsidR="001406E5">
              <w:t xml:space="preserve"> the approved authority’s reasons for believing the </w:t>
            </w:r>
            <w:r w:rsidR="0003514A">
              <w:t xml:space="preserve">unlinked population’s incomes must be </w:t>
            </w:r>
            <w:r w:rsidR="0003514A" w:rsidRPr="002B7ECC">
              <w:t xml:space="preserve">significantly different </w:t>
            </w:r>
            <w:r w:rsidR="0003514A">
              <w:t>to the linked population’s incomes</w:t>
            </w:r>
            <w:r w:rsidR="001406E5">
              <w:t xml:space="preserve"> using various data available</w:t>
            </w:r>
            <w:r w:rsidR="00496E0D">
              <w:t xml:space="preserve">, </w:t>
            </w:r>
            <w:r w:rsidR="001406E5">
              <w:t xml:space="preserve">including data in </w:t>
            </w:r>
            <w:proofErr w:type="spellStart"/>
            <w:r w:rsidR="001406E5">
              <w:t>DataLab</w:t>
            </w:r>
            <w:proofErr w:type="spellEnd"/>
            <w:r w:rsidR="001406E5">
              <w:t xml:space="preserve">. </w:t>
            </w:r>
            <w:r w:rsidR="001A6AAF">
              <w:t>If the initial test</w:t>
            </w:r>
            <w:r w:rsidR="00F3182E">
              <w:t>s</w:t>
            </w:r>
            <w:r w:rsidR="001A6AAF">
              <w:t xml:space="preserve"> support the approved authority’s assumptions, the department will reconsider the Data Quality Framework</w:t>
            </w:r>
            <w:r w:rsidRPr="00AC2154">
              <w:t xml:space="preserve"> tests</w:t>
            </w:r>
            <w:r w:rsidR="00B86AEB" w:rsidRPr="00AC2154">
              <w:t>,</w:t>
            </w:r>
            <w:r w:rsidRPr="00AC2154">
              <w:t xml:space="preserve"> </w:t>
            </w:r>
            <w:r w:rsidR="00B86AEB" w:rsidRPr="00AC2154">
              <w:t>incorporating</w:t>
            </w:r>
            <w:r w:rsidR="00C61F4B" w:rsidRPr="00AC2154">
              <w:t xml:space="preserve"> </w:t>
            </w:r>
            <w:r w:rsidR="001A6AAF">
              <w:t xml:space="preserve">the </w:t>
            </w:r>
            <w:r w:rsidR="0003514A">
              <w:t xml:space="preserve">new </w:t>
            </w:r>
            <w:r w:rsidRPr="00AC2154">
              <w:t xml:space="preserve">evidence provided by the approved authority for </w:t>
            </w:r>
            <w:r w:rsidR="00B86AEB" w:rsidRPr="00AC2154">
              <w:t>the</w:t>
            </w:r>
            <w:r w:rsidRPr="00AC2154">
              <w:t xml:space="preserve"> school.</w:t>
            </w:r>
          </w:p>
        </w:tc>
      </w:tr>
      <w:tr w:rsidR="00660828" w:rsidRPr="00660828" w14:paraId="47DEFFBC" w14:textId="77777777" w:rsidTr="008C089E">
        <w:tc>
          <w:tcPr>
            <w:tcW w:w="1276" w:type="dxa"/>
            <w:shd w:val="clear" w:color="auto" w:fill="B5E5DF" w:themeFill="accent4" w:themeFillTint="66"/>
          </w:tcPr>
          <w:p w14:paraId="43171EA8" w14:textId="77777777" w:rsidR="00660828" w:rsidRPr="00660828" w:rsidRDefault="00660828" w:rsidP="00660828">
            <w:pPr>
              <w:rPr>
                <w:b/>
                <w:bCs/>
              </w:rPr>
            </w:pPr>
            <w:r w:rsidRPr="00660828">
              <w:rPr>
                <w:b/>
                <w:bCs/>
              </w:rPr>
              <w:t>Examples</w:t>
            </w:r>
          </w:p>
        </w:tc>
        <w:tc>
          <w:tcPr>
            <w:tcW w:w="7880" w:type="dxa"/>
            <w:shd w:val="clear" w:color="auto" w:fill="B5E5DF" w:themeFill="accent4" w:themeFillTint="66"/>
          </w:tcPr>
          <w:p w14:paraId="68FFF722" w14:textId="76C104E2" w:rsidR="00660828" w:rsidRPr="00660828" w:rsidRDefault="00660828" w:rsidP="00660828">
            <w:pPr>
              <w:spacing w:after="120"/>
            </w:pPr>
            <w:r w:rsidRPr="00660828">
              <w:t xml:space="preserve">The following must apply for a DMI-based </w:t>
            </w:r>
            <w:r w:rsidR="007C1D5E">
              <w:t>CTC </w:t>
            </w:r>
            <w:r w:rsidRPr="00660828">
              <w:t>score to progress to review:</w:t>
            </w:r>
          </w:p>
          <w:p w14:paraId="197024C5" w14:textId="71863A20" w:rsidR="00D5793E" w:rsidRDefault="00660828" w:rsidP="00D5793E">
            <w:pPr>
              <w:numPr>
                <w:ilvl w:val="0"/>
                <w:numId w:val="51"/>
              </w:numPr>
              <w:spacing w:after="120"/>
              <w:ind w:left="428"/>
            </w:pPr>
            <w:r w:rsidRPr="00660828">
              <w:t xml:space="preserve">There must be a material </w:t>
            </w:r>
            <w:hyperlink w:anchor="_Unlinked_population" w:history="1">
              <w:r w:rsidRPr="00260902">
                <w:rPr>
                  <w:rStyle w:val="Hyperlink"/>
                </w:rPr>
                <w:t>unlinked population</w:t>
              </w:r>
            </w:hyperlink>
            <w:r w:rsidRPr="00660828">
              <w:t xml:space="preserve">. The ABS advises an unlinked population </w:t>
            </w:r>
            <w:r w:rsidR="003D7096">
              <w:t>of</w:t>
            </w:r>
            <w:r w:rsidRPr="00660828">
              <w:t xml:space="preserve"> 5% of students can be enough to change a </w:t>
            </w:r>
            <w:r w:rsidR="00BA1F02">
              <w:t>DMI score</w:t>
            </w:r>
            <w:r w:rsidRPr="00660828">
              <w:t xml:space="preserve"> in a school with more than 1000 enrolments</w:t>
            </w:r>
            <w:r w:rsidR="003D7096">
              <w:t>.</w:t>
            </w:r>
            <w:r w:rsidR="00AC155A">
              <w:t xml:space="preserve"> </w:t>
            </w:r>
            <w:r w:rsidRPr="00660828">
              <w:t xml:space="preserve">For schools with up to 1000 students, an unlinked population </w:t>
            </w:r>
            <w:r w:rsidR="003D7096">
              <w:t>of</w:t>
            </w:r>
            <w:r w:rsidRPr="00660828">
              <w:t xml:space="preserve"> 10% of students can be enough to change the DMI score</w:t>
            </w:r>
            <w:r w:rsidR="00D5793E">
              <w:t>,</w:t>
            </w:r>
            <w:r w:rsidRPr="00660828">
              <w:rPr>
                <w:vertAlign w:val="superscript"/>
              </w:rPr>
              <w:footnoteReference w:id="22"/>
            </w:r>
            <w:r w:rsidR="00CF0484">
              <w:t xml:space="preserve"> </w:t>
            </w:r>
            <w:r w:rsidR="00D5793E">
              <w:t>and</w:t>
            </w:r>
          </w:p>
          <w:p w14:paraId="51B5D5FC" w14:textId="44C4D684" w:rsidR="00660828" w:rsidRPr="00660828" w:rsidRDefault="00D5793E" w:rsidP="00D5793E">
            <w:pPr>
              <w:numPr>
                <w:ilvl w:val="0"/>
                <w:numId w:val="51"/>
              </w:numPr>
              <w:spacing w:after="120"/>
              <w:ind w:left="428"/>
            </w:pPr>
            <w:r>
              <w:t>The</w:t>
            </w:r>
            <w:r w:rsidR="00C61F4B">
              <w:t xml:space="preserve"> unlinked population’s</w:t>
            </w:r>
            <w:r>
              <w:t xml:space="preserve"> incomes must be </w:t>
            </w:r>
            <w:r w:rsidR="007C1D5E" w:rsidRPr="002B7ECC">
              <w:t xml:space="preserve">significantly different </w:t>
            </w:r>
            <w:r>
              <w:t>to the linked population’s incomes</w:t>
            </w:r>
            <w:r w:rsidR="007C1D5E" w:rsidRPr="002B7ECC">
              <w:t>.</w:t>
            </w:r>
          </w:p>
        </w:tc>
      </w:tr>
      <w:tr w:rsidR="00660828" w:rsidRPr="00660828" w14:paraId="519C2B08" w14:textId="77777777" w:rsidTr="008C089E">
        <w:tc>
          <w:tcPr>
            <w:tcW w:w="1276" w:type="dxa"/>
            <w:shd w:val="clear" w:color="auto" w:fill="DAF2EF" w:themeFill="accent4" w:themeFillTint="33"/>
          </w:tcPr>
          <w:p w14:paraId="5105AB4F" w14:textId="77777777" w:rsidR="00660828" w:rsidRPr="00660828" w:rsidRDefault="00660828" w:rsidP="00660828">
            <w:pPr>
              <w:rPr>
                <w:b/>
                <w:bCs/>
              </w:rPr>
            </w:pPr>
            <w:r w:rsidRPr="00660828">
              <w:rPr>
                <w:b/>
                <w:bCs/>
              </w:rPr>
              <w:t>Evidence</w:t>
            </w:r>
          </w:p>
        </w:tc>
        <w:tc>
          <w:tcPr>
            <w:tcW w:w="7880" w:type="dxa"/>
            <w:shd w:val="clear" w:color="auto" w:fill="DAF2EF" w:themeFill="accent4" w:themeFillTint="33"/>
          </w:tcPr>
          <w:p w14:paraId="6189D1A2" w14:textId="422AB940" w:rsidR="00660828" w:rsidRPr="00660828" w:rsidRDefault="00660828" w:rsidP="00660828">
            <w:pPr>
              <w:spacing w:after="120"/>
            </w:pPr>
            <w:r w:rsidRPr="00660828">
              <w:t xml:space="preserve">A review application for eligible </w:t>
            </w:r>
            <w:r w:rsidR="00BA1F02">
              <w:t>CTC score</w:t>
            </w:r>
            <w:r w:rsidRPr="00660828">
              <w:t xml:space="preserve">s will need to </w:t>
            </w:r>
            <w:r w:rsidR="00CF0484">
              <w:t>include:</w:t>
            </w:r>
          </w:p>
          <w:p w14:paraId="7F3C2F2E" w14:textId="21BC8236" w:rsidR="00660828" w:rsidRPr="00660828" w:rsidRDefault="00660828" w:rsidP="000F1BA3">
            <w:pPr>
              <w:numPr>
                <w:ilvl w:val="0"/>
                <w:numId w:val="51"/>
              </w:numPr>
              <w:spacing w:after="120"/>
              <w:ind w:left="428"/>
            </w:pPr>
            <w:r w:rsidRPr="00660828">
              <w:t xml:space="preserve">evidence showing there is a material </w:t>
            </w:r>
            <w:r w:rsidR="007C1D5E">
              <w:t xml:space="preserve">unlinked population </w:t>
            </w:r>
            <w:r w:rsidR="00AC155A">
              <w:t xml:space="preserve">in the DMI scores </w:t>
            </w:r>
            <w:r w:rsidRPr="00660828">
              <w:t xml:space="preserve">contributing to the </w:t>
            </w:r>
            <w:r w:rsidR="00BA1F02">
              <w:t>CTC score</w:t>
            </w:r>
            <w:r w:rsidR="00273159">
              <w:t>,</w:t>
            </w:r>
            <w:r w:rsidR="003D7096">
              <w:rPr>
                <w:rStyle w:val="FootnoteReference"/>
              </w:rPr>
              <w:footnoteReference w:id="23"/>
            </w:r>
            <w:r w:rsidR="00273159">
              <w:t xml:space="preserve"> and</w:t>
            </w:r>
          </w:p>
          <w:p w14:paraId="1431B291" w14:textId="4E666CD4" w:rsidR="00660828" w:rsidRPr="00660828" w:rsidRDefault="00CF0484" w:rsidP="000F1BA3">
            <w:pPr>
              <w:numPr>
                <w:ilvl w:val="0"/>
                <w:numId w:val="51"/>
              </w:numPr>
              <w:spacing w:after="120"/>
              <w:ind w:left="428"/>
            </w:pPr>
            <w:r>
              <w:t xml:space="preserve">an </w:t>
            </w:r>
            <w:r w:rsidR="00660828" w:rsidRPr="00660828">
              <w:t xml:space="preserve">explanation of </w:t>
            </w:r>
            <w:r w:rsidR="00AC155A">
              <w:t xml:space="preserve">why the </w:t>
            </w:r>
            <w:r>
              <w:t xml:space="preserve">approved authority believes the </w:t>
            </w:r>
            <w:hyperlink w:anchor="_Family_income" w:history="1">
              <w:r w:rsidR="00D5793E" w:rsidRPr="00D5793E">
                <w:rPr>
                  <w:rStyle w:val="Hyperlink"/>
                </w:rPr>
                <w:t>family incomes</w:t>
              </w:r>
            </w:hyperlink>
            <w:r w:rsidR="00D5793E">
              <w:t xml:space="preserve"> </w:t>
            </w:r>
            <w:r w:rsidR="00AC155A">
              <w:t xml:space="preserve">of the </w:t>
            </w:r>
            <w:hyperlink w:anchor="_Unlinked_population" w:history="1">
              <w:r w:rsidR="00260902" w:rsidRPr="00260902">
                <w:rPr>
                  <w:rStyle w:val="Hyperlink"/>
                </w:rPr>
                <w:t>unlinked</w:t>
              </w:r>
              <w:r w:rsidR="00660828" w:rsidRPr="00260902">
                <w:rPr>
                  <w:rStyle w:val="Hyperlink"/>
                </w:rPr>
                <w:t xml:space="preserve"> population</w:t>
              </w:r>
            </w:hyperlink>
            <w:r w:rsidR="00660828" w:rsidRPr="00660828">
              <w:t xml:space="preserve"> </w:t>
            </w:r>
            <w:r w:rsidR="00C61F4B">
              <w:t xml:space="preserve">for each DMI score </w:t>
            </w:r>
            <w:r w:rsidR="00D5793E">
              <w:t>are</w:t>
            </w:r>
            <w:r w:rsidR="00660828" w:rsidRPr="00660828">
              <w:t xml:space="preserve"> significantly different to </w:t>
            </w:r>
            <w:r w:rsidR="00D5793E">
              <w:t xml:space="preserve">the </w:t>
            </w:r>
            <w:hyperlink w:anchor="_Family_income" w:history="1">
              <w:r w:rsidR="00D5793E" w:rsidRPr="00D5793E">
                <w:rPr>
                  <w:rStyle w:val="Hyperlink"/>
                </w:rPr>
                <w:t>family incomes</w:t>
              </w:r>
            </w:hyperlink>
            <w:r w:rsidR="00660828" w:rsidRPr="00660828">
              <w:t xml:space="preserve"> of the </w:t>
            </w:r>
            <w:hyperlink w:anchor="_Linked_population" w:history="1">
              <w:r w:rsidR="00660828" w:rsidRPr="00260902">
                <w:rPr>
                  <w:rStyle w:val="Hyperlink"/>
                </w:rPr>
                <w:t>linked population</w:t>
              </w:r>
            </w:hyperlink>
            <w:r>
              <w:t>.</w:t>
            </w:r>
          </w:p>
        </w:tc>
      </w:tr>
    </w:tbl>
    <w:p w14:paraId="7C2BC150" w14:textId="2B6DDCE6" w:rsidR="00871E5A" w:rsidRPr="00D172D3" w:rsidRDefault="00871E5A" w:rsidP="00B14ADF">
      <w:pPr>
        <w:pStyle w:val="Heading3"/>
        <w:rPr>
          <w:color w:val="auto"/>
          <w:sz w:val="22"/>
        </w:rPr>
      </w:pPr>
      <w:bookmarkStart w:id="162" w:name="_Toc211945353"/>
      <w:r w:rsidRPr="003E3291">
        <w:lastRenderedPageBreak/>
        <w:t xml:space="preserve">The </w:t>
      </w:r>
      <w:r w:rsidR="00526D20" w:rsidRPr="00C213BC">
        <w:t>school’s</w:t>
      </w:r>
      <w:r w:rsidR="00526D20" w:rsidRPr="003E3291">
        <w:t xml:space="preserve"> </w:t>
      </w:r>
      <w:r w:rsidR="003E4DA5" w:rsidRPr="003E3291">
        <w:t xml:space="preserve">RAB </w:t>
      </w:r>
      <w:r w:rsidRPr="003E3291">
        <w:t>score does not accurately reflect the school community’s circumstances</w:t>
      </w:r>
      <w:bookmarkEnd w:id="159"/>
      <w:bookmarkEnd w:id="160"/>
      <w:bookmarkEnd w:id="162"/>
    </w:p>
    <w:p w14:paraId="14A27E14" w14:textId="77777777" w:rsidR="00DF7579" w:rsidRPr="00DF7579" w:rsidRDefault="00DF7579" w:rsidP="00DF7579">
      <w:pPr>
        <w:spacing w:after="0"/>
        <w:rPr>
          <w:kern w:val="2"/>
          <w:sz w:val="28"/>
          <w14:ligatures w14:val="standardContextual"/>
        </w:rPr>
      </w:pPr>
      <w:bookmarkStart w:id="163" w:name="_Review_Reason_3:_1"/>
      <w:bookmarkStart w:id="164" w:name="_Review_Reason_4:"/>
      <w:bookmarkStart w:id="165" w:name="_Toc110520309"/>
      <w:bookmarkEnd w:id="161"/>
      <w:bookmarkEnd w:id="163"/>
      <w:bookmarkEnd w:id="164"/>
      <w:r w:rsidRPr="00DF7579">
        <w:rPr>
          <w:b/>
          <w:kern w:val="2"/>
          <w:sz w:val="28"/>
          <w14:ligatures w14:val="standardContextual"/>
        </w:rPr>
        <w:t>(RAB-based scores only)</w:t>
      </w:r>
    </w:p>
    <w:tbl>
      <w:tblPr>
        <w:tblStyle w:val="TableGrid"/>
        <w:tblW w:w="0" w:type="auto"/>
        <w:tblInd w:w="-5" w:type="dxa"/>
        <w:tblLook w:val="04A0" w:firstRow="1" w:lastRow="0" w:firstColumn="1" w:lastColumn="0" w:noHBand="0" w:noVBand="1"/>
      </w:tblPr>
      <w:tblGrid>
        <w:gridCol w:w="1301"/>
        <w:gridCol w:w="7720"/>
      </w:tblGrid>
      <w:tr w:rsidR="00DF7579" w:rsidRPr="00DF7579" w14:paraId="08999AD1" w14:textId="77777777" w:rsidTr="00DF02B7">
        <w:trPr>
          <w:trHeight w:val="792"/>
        </w:trPr>
        <w:tc>
          <w:tcPr>
            <w:tcW w:w="1301" w:type="dxa"/>
            <w:shd w:val="clear" w:color="auto" w:fill="B7ACD3" w:themeFill="accent2" w:themeFillTint="66"/>
          </w:tcPr>
          <w:p w14:paraId="38CB7419" w14:textId="77777777" w:rsidR="00DF7579" w:rsidRPr="00DF7579" w:rsidRDefault="00DF7579" w:rsidP="00DF7579">
            <w:pPr>
              <w:rPr>
                <w:b/>
                <w:bCs/>
              </w:rPr>
            </w:pPr>
            <w:r w:rsidRPr="00DF7579">
              <w:rPr>
                <w:b/>
                <w:bCs/>
              </w:rPr>
              <w:t>Background</w:t>
            </w:r>
          </w:p>
        </w:tc>
        <w:tc>
          <w:tcPr>
            <w:tcW w:w="7720" w:type="dxa"/>
            <w:shd w:val="clear" w:color="auto" w:fill="B7ACD3" w:themeFill="accent2" w:themeFillTint="66"/>
          </w:tcPr>
          <w:p w14:paraId="7031AAB6" w14:textId="1F2E8B59" w:rsidR="00DF7579" w:rsidRPr="00DF7579" w:rsidRDefault="00DF7579" w:rsidP="00DF7579">
            <w:r w:rsidRPr="00DF7579">
              <w:t xml:space="preserve">A school’s RAB score is based on family and household income data of the </w:t>
            </w:r>
            <w:hyperlink w:anchor="_SA1" w:history="1">
              <w:r w:rsidRPr="002B7ECC">
                <w:rPr>
                  <w:rStyle w:val="Hyperlink"/>
                </w:rPr>
                <w:t>SA1s</w:t>
              </w:r>
            </w:hyperlink>
            <w:r w:rsidRPr="00DF7579">
              <w:t xml:space="preserve"> where students live recorded in the 2021 Census of Housing and Population. They are calculated each year using the </w:t>
            </w:r>
            <w:hyperlink w:anchor="_Address_Collection" w:history="1">
              <w:r w:rsidRPr="00260902">
                <w:rPr>
                  <w:rStyle w:val="Hyperlink"/>
                </w:rPr>
                <w:t>Address Collection</w:t>
              </w:r>
            </w:hyperlink>
            <w:r w:rsidRPr="00DF7579">
              <w:t xml:space="preserve"> data for students enrolled at the school in the previous year.</w:t>
            </w:r>
            <w:r w:rsidR="00273159">
              <w:rPr>
                <w:rStyle w:val="FootnoteReference"/>
              </w:rPr>
              <w:footnoteReference w:id="24"/>
            </w:r>
            <w:r w:rsidRPr="00DF7579">
              <w:t xml:space="preserve"> For example, a school’s 2025 RAB</w:t>
            </w:r>
            <w:r w:rsidRPr="00DF7579">
              <w:noBreakHyphen/>
              <w:t xml:space="preserve">based </w:t>
            </w:r>
            <w:r w:rsidR="00B93711">
              <w:t>CTC </w:t>
            </w:r>
            <w:r w:rsidRPr="00DF7579">
              <w:t xml:space="preserve">score is calculated based on the students enrolled at the school from the 2024 </w:t>
            </w:r>
            <w:hyperlink w:anchor="_Address_Collection" w:history="1">
              <w:r w:rsidR="00260902" w:rsidRPr="00260902">
                <w:rPr>
                  <w:rStyle w:val="Hyperlink"/>
                </w:rPr>
                <w:t>Address Collection</w:t>
              </w:r>
            </w:hyperlink>
            <w:r w:rsidRPr="00DF7579">
              <w:t>.</w:t>
            </w:r>
          </w:p>
          <w:p w14:paraId="3C6EFAD5" w14:textId="6EB7C5A9" w:rsidR="00273159" w:rsidRPr="00DF7579" w:rsidRDefault="008D10D7" w:rsidP="00CB7304">
            <w:pPr>
              <w:spacing w:after="120"/>
            </w:pPr>
            <w:r>
              <w:t>Except for</w:t>
            </w:r>
            <w:r w:rsidR="00ED60AF">
              <w:t xml:space="preserve"> </w:t>
            </w:r>
            <w:r>
              <w:t>CTC scores</w:t>
            </w:r>
            <w:r w:rsidR="00ED60AF">
              <w:t xml:space="preserve"> for 2026</w:t>
            </w:r>
            <w:r>
              <w:t xml:space="preserve">, </w:t>
            </w:r>
            <w:r w:rsidR="00DF7579" w:rsidRPr="00DF7579">
              <w:t>RAB</w:t>
            </w:r>
            <w:r w:rsidR="00DF7579" w:rsidRPr="00DF7579">
              <w:noBreakHyphen/>
              <w:t>based scores are used for schools that do not have 3 consecutive annual DMI scores</w:t>
            </w:r>
            <w:r>
              <w:t>.</w:t>
            </w:r>
            <w:r>
              <w:rPr>
                <w:rStyle w:val="FootnoteReference"/>
              </w:rPr>
              <w:footnoteReference w:id="25"/>
            </w:r>
            <w:r>
              <w:t xml:space="preserve"> This includes</w:t>
            </w:r>
            <w:r w:rsidR="00DF7579" w:rsidRPr="00DF7579">
              <w:t xml:space="preserve"> new schools with fewer than </w:t>
            </w:r>
            <w:r w:rsidR="0003514A">
              <w:t>3 </w:t>
            </w:r>
            <w:r w:rsidR="00DF7579" w:rsidRPr="00DF7579">
              <w:t>years of operation</w:t>
            </w:r>
            <w:r w:rsidR="0003514A">
              <w:t xml:space="preserve">, </w:t>
            </w:r>
            <w:r>
              <w:t xml:space="preserve">and </w:t>
            </w:r>
            <w:r w:rsidR="00DF7579" w:rsidRPr="00DF7579">
              <w:t>established schools where</w:t>
            </w:r>
            <w:r w:rsidR="0003514A">
              <w:t xml:space="preserve"> </w:t>
            </w:r>
            <w:r w:rsidR="00DF7579" w:rsidRPr="00DF7579">
              <w:t xml:space="preserve"> </w:t>
            </w:r>
            <w:r w:rsidR="0003514A" w:rsidRPr="0003514A">
              <w:t>the number of persons responsible for students at the school for the year is too low</w:t>
            </w:r>
            <w:r w:rsidR="0003514A">
              <w:t xml:space="preserve"> </w:t>
            </w:r>
            <w:r w:rsidR="0003514A" w:rsidRPr="0003514A">
              <w:t xml:space="preserve">or </w:t>
            </w:r>
            <w:r w:rsidR="0003514A">
              <w:t xml:space="preserve">where </w:t>
            </w:r>
            <w:r w:rsidR="00DF7579" w:rsidRPr="00DF7579">
              <w:t>one or more of the 3</w:t>
            </w:r>
            <w:r w:rsidR="00104E94">
              <w:t> </w:t>
            </w:r>
            <w:r w:rsidR="00DF7579" w:rsidRPr="00DF7579">
              <w:t xml:space="preserve">previous years’ annual DMI-scores have been found to not be fit-for-purpose under the </w:t>
            </w:r>
            <w:r w:rsidR="00BA1F02">
              <w:t>DMI methodology</w:t>
            </w:r>
            <w:r w:rsidR="00DF7579" w:rsidRPr="00DF7579">
              <w:t xml:space="preserve">’s </w:t>
            </w:r>
            <w:hyperlink w:anchor="_Data_Quality_Framework" w:history="1">
              <w:r w:rsidR="00DF7579" w:rsidRPr="006B2130">
                <w:rPr>
                  <w:rStyle w:val="Hyperlink"/>
                </w:rPr>
                <w:t>Data Quality Framework</w:t>
              </w:r>
            </w:hyperlink>
            <w:r w:rsidR="00DF7579" w:rsidRPr="00DF7579">
              <w:t xml:space="preserve">. </w:t>
            </w:r>
          </w:p>
        </w:tc>
      </w:tr>
      <w:tr w:rsidR="00DF7579" w:rsidRPr="00DF7579" w14:paraId="31D69F5C" w14:textId="77777777" w:rsidTr="00DF02B7">
        <w:trPr>
          <w:trHeight w:val="792"/>
        </w:trPr>
        <w:tc>
          <w:tcPr>
            <w:tcW w:w="1301" w:type="dxa"/>
            <w:shd w:val="clear" w:color="auto" w:fill="B5E5DF" w:themeFill="accent4" w:themeFillTint="66"/>
          </w:tcPr>
          <w:p w14:paraId="07D50AD0" w14:textId="77777777" w:rsidR="00DF7579" w:rsidRPr="00DF7579" w:rsidRDefault="00DF7579" w:rsidP="00DF7579">
            <w:pPr>
              <w:rPr>
                <w:b/>
                <w:bCs/>
              </w:rPr>
            </w:pPr>
            <w:r w:rsidRPr="00DF7579">
              <w:rPr>
                <w:b/>
                <w:bCs/>
              </w:rPr>
              <w:t>Example</w:t>
            </w:r>
          </w:p>
        </w:tc>
        <w:tc>
          <w:tcPr>
            <w:tcW w:w="7720" w:type="dxa"/>
            <w:shd w:val="clear" w:color="auto" w:fill="B5E5DF" w:themeFill="accent4" w:themeFillTint="66"/>
          </w:tcPr>
          <w:p w14:paraId="130C7A99" w14:textId="2087300E" w:rsidR="00DF7579" w:rsidRPr="00DF7579" w:rsidRDefault="00DF7579" w:rsidP="00DF7579">
            <w:pPr>
              <w:spacing w:after="120"/>
            </w:pPr>
            <w:r w:rsidRPr="00DF7579">
              <w:t xml:space="preserve">This </w:t>
            </w:r>
            <w:r w:rsidR="008716E4">
              <w:t xml:space="preserve">reason for review </w:t>
            </w:r>
            <w:r w:rsidRPr="00DF7579">
              <w:t>could apply to a school if:</w:t>
            </w:r>
          </w:p>
          <w:p w14:paraId="60C7F96D" w14:textId="3CC0C30D" w:rsidR="00DF7579" w:rsidRPr="00DF7579" w:rsidRDefault="00DF7579" w:rsidP="000B588E">
            <w:pPr>
              <w:numPr>
                <w:ilvl w:val="0"/>
                <w:numId w:val="51"/>
              </w:numPr>
              <w:spacing w:after="120"/>
              <w:rPr>
                <w:kern w:val="2"/>
                <w14:ligatures w14:val="standardContextual"/>
              </w:rPr>
            </w:pPr>
            <w:bookmarkStart w:id="166" w:name="_Hlk207869064"/>
            <w:r w:rsidRPr="00DF7579">
              <w:t xml:space="preserve">a significant number of the incomes of the </w:t>
            </w:r>
            <w:r w:rsidR="0003514A">
              <w:t>families</w:t>
            </w:r>
            <w:r w:rsidR="0003514A" w:rsidRPr="00DF7579">
              <w:t xml:space="preserve"> </w:t>
            </w:r>
            <w:r w:rsidRPr="00DF7579">
              <w:t xml:space="preserve">in the school community are significantly lower than the incomes of the other </w:t>
            </w:r>
            <w:r w:rsidR="0003514A">
              <w:t>families</w:t>
            </w:r>
            <w:r w:rsidR="0003514A" w:rsidRPr="00DF7579">
              <w:t xml:space="preserve"> </w:t>
            </w:r>
            <w:r w:rsidRPr="00DF7579">
              <w:t xml:space="preserve">in their </w:t>
            </w:r>
            <w:hyperlink w:anchor="_SA1" w:history="1">
              <w:r w:rsidR="006B2130" w:rsidRPr="006B2130">
                <w:rPr>
                  <w:rStyle w:val="Hyperlink"/>
                </w:rPr>
                <w:t>SA1s</w:t>
              </w:r>
            </w:hyperlink>
            <w:r w:rsidRPr="00DF7579">
              <w:t xml:space="preserve"> (also known as ‘hidden disadvantage’), and/or</w:t>
            </w:r>
          </w:p>
          <w:p w14:paraId="72B8AD20" w14:textId="6BF24B2E" w:rsidR="00DF7579" w:rsidRPr="000B31FE" w:rsidRDefault="000B588E" w:rsidP="00CB7304">
            <w:pPr>
              <w:pStyle w:val="ListParagraph"/>
              <w:numPr>
                <w:ilvl w:val="0"/>
                <w:numId w:val="51"/>
              </w:numPr>
              <w:spacing w:after="120"/>
              <w:ind w:left="714" w:hanging="357"/>
              <w:contextualSpacing w:val="0"/>
              <w:rPr>
                <w:kern w:val="2"/>
                <w14:ligatures w14:val="standardContextual"/>
              </w:rPr>
            </w:pPr>
            <w:bookmarkStart w:id="167" w:name="_Hlk207868700"/>
            <w:bookmarkEnd w:id="166"/>
            <w:r>
              <w:rPr>
                <w:rFonts w:eastAsia="Times New Roman"/>
              </w:rPr>
              <w:t>the quality of a significant number of student addresses is poor and they cannot be geocoded with precision (and are therefore not included in the school’s RAB score). If a significant number of the missing student addresses are not in the same SA1s included in the RAB score calculation, or their inclusion would significantly change the concentrations of students in the SA1s used to calculate the score, the score might not be accurate.</w:t>
            </w:r>
            <w:bookmarkEnd w:id="167"/>
          </w:p>
        </w:tc>
      </w:tr>
      <w:tr w:rsidR="00DF7579" w:rsidRPr="00DF7579" w14:paraId="664ED7D6" w14:textId="77777777" w:rsidTr="00DF02B7">
        <w:trPr>
          <w:trHeight w:val="557"/>
        </w:trPr>
        <w:tc>
          <w:tcPr>
            <w:tcW w:w="1301" w:type="dxa"/>
            <w:shd w:val="clear" w:color="auto" w:fill="DAF2EF" w:themeFill="accent4" w:themeFillTint="33"/>
          </w:tcPr>
          <w:p w14:paraId="11AC5448" w14:textId="77777777" w:rsidR="00DF7579" w:rsidRPr="00DF7579" w:rsidRDefault="00DF7579" w:rsidP="00DF7579">
            <w:pPr>
              <w:rPr>
                <w:b/>
                <w:bCs/>
              </w:rPr>
            </w:pPr>
            <w:r w:rsidRPr="00DF7579">
              <w:rPr>
                <w:b/>
                <w:bCs/>
              </w:rPr>
              <w:t>Evidence</w:t>
            </w:r>
          </w:p>
        </w:tc>
        <w:tc>
          <w:tcPr>
            <w:tcW w:w="7720" w:type="dxa"/>
            <w:shd w:val="clear" w:color="auto" w:fill="DAF2EF" w:themeFill="accent4" w:themeFillTint="33"/>
          </w:tcPr>
          <w:p w14:paraId="7BBA4752" w14:textId="77777777" w:rsidR="008D10D7" w:rsidRDefault="00DF7579" w:rsidP="00DF7579">
            <w:pPr>
              <w:spacing w:after="120"/>
            </w:pPr>
            <w:r w:rsidRPr="00DF7579">
              <w:t>A review application will need to provide</w:t>
            </w:r>
            <w:r w:rsidR="008D10D7">
              <w:t>:</w:t>
            </w:r>
          </w:p>
          <w:p w14:paraId="1B2A090D" w14:textId="4EBB1FA8" w:rsidR="00DF7579" w:rsidRPr="00DF7579" w:rsidRDefault="00DF7579" w:rsidP="000F1BA3">
            <w:pPr>
              <w:numPr>
                <w:ilvl w:val="0"/>
                <w:numId w:val="51"/>
              </w:numPr>
              <w:spacing w:after="120"/>
              <w:ind w:left="428"/>
            </w:pPr>
            <w:r w:rsidRPr="00DF7579">
              <w:t>evidence that indicates the RAB</w:t>
            </w:r>
            <w:r w:rsidRPr="00DF7579">
              <w:noBreakHyphen/>
              <w:t>based score might not be representative of the school community, for example, a validated DMI score that is significantly different to the school’s RAB-based score.</w:t>
            </w:r>
          </w:p>
          <w:p w14:paraId="341D623F" w14:textId="60BEB8CA" w:rsidR="00DF7579" w:rsidRPr="00DF7579" w:rsidRDefault="008716E4" w:rsidP="00CB7304">
            <w:pPr>
              <w:numPr>
                <w:ilvl w:val="0"/>
                <w:numId w:val="51"/>
              </w:numPr>
              <w:spacing w:after="120"/>
              <w:ind w:left="425" w:hanging="357"/>
              <w:rPr>
                <w:kern w:val="2"/>
                <w14:ligatures w14:val="standardContextual"/>
              </w:rPr>
            </w:pPr>
            <w:r>
              <w:t>f</w:t>
            </w:r>
            <w:r w:rsidR="00DF7579" w:rsidRPr="00DF7579">
              <w:t xml:space="preserve">or new schools, or established schools with a recent, validated DMI score, evidence that </w:t>
            </w:r>
            <w:r w:rsidR="008D10D7">
              <w:t xml:space="preserve">the </w:t>
            </w:r>
            <w:r w:rsidR="00DF7579" w:rsidRPr="00DF7579">
              <w:t xml:space="preserve">DMI score is accurate for the year of the </w:t>
            </w:r>
            <w:r w:rsidR="00BA1F02">
              <w:t>CTC score</w:t>
            </w:r>
            <w:r w:rsidR="00DF7579" w:rsidRPr="00DF7579">
              <w:t xml:space="preserve"> to be reviewed. For example, evidence that the school’s </w:t>
            </w:r>
            <w:hyperlink w:anchor="_Median_family_income" w:history="1">
              <w:r w:rsidR="0085048F" w:rsidRPr="0085048F">
                <w:rPr>
                  <w:rStyle w:val="Hyperlink"/>
                </w:rPr>
                <w:t>median family income</w:t>
              </w:r>
            </w:hyperlink>
            <w:r w:rsidR="00DF7579" w:rsidRPr="00DF7579">
              <w:t xml:space="preserve"> </w:t>
            </w:r>
            <w:r w:rsidR="008D10D7">
              <w:t>is</w:t>
            </w:r>
            <w:r w:rsidR="00DF7579" w:rsidRPr="00DF7579">
              <w:t xml:space="preserve"> not likely to have significantly changed since the year the DMI score was validated.</w:t>
            </w:r>
          </w:p>
        </w:tc>
      </w:tr>
    </w:tbl>
    <w:p w14:paraId="79BB1B7C" w14:textId="77777777" w:rsidR="00DF7579" w:rsidRPr="00DF7579" w:rsidRDefault="00DF7579" w:rsidP="00DF7579">
      <w:pPr>
        <w:rPr>
          <w:rFonts w:asciiTheme="majorHAnsi" w:hAnsiTheme="majorHAnsi"/>
          <w:b/>
          <w:color w:val="008599" w:themeColor="accent1"/>
          <w:kern w:val="2"/>
          <w:sz w:val="32"/>
          <w14:ligatures w14:val="standardContextual"/>
        </w:rPr>
      </w:pPr>
      <w:r w:rsidRPr="00DF7579">
        <w:rPr>
          <w:kern w:val="2"/>
          <w14:ligatures w14:val="standardContextual"/>
        </w:rPr>
        <w:br w:type="page"/>
      </w:r>
    </w:p>
    <w:p w14:paraId="5C2CB3B9" w14:textId="4DBC656C" w:rsidR="00B365A0" w:rsidRDefault="009E7239" w:rsidP="00B14ADF">
      <w:pPr>
        <w:pStyle w:val="Heading3"/>
      </w:pPr>
      <w:bookmarkStart w:id="168" w:name="_Toc129701992"/>
      <w:bookmarkStart w:id="169" w:name="_Hlk129701794"/>
      <w:bookmarkStart w:id="170" w:name="_Toc211945354"/>
      <w:bookmarkEnd w:id="165"/>
      <w:r w:rsidRPr="003E3291">
        <w:lastRenderedPageBreak/>
        <w:t>Large average family size</w:t>
      </w:r>
      <w:bookmarkEnd w:id="170"/>
    </w:p>
    <w:p w14:paraId="19356D8A" w14:textId="7CF731A8" w:rsidR="00871E5A" w:rsidRPr="00D172D3" w:rsidRDefault="009E7239" w:rsidP="00D172D3">
      <w:pPr>
        <w:spacing w:after="0"/>
        <w:rPr>
          <w:b/>
          <w:kern w:val="2"/>
          <w:sz w:val="28"/>
          <w14:ligatures w14:val="standardContextual"/>
        </w:rPr>
      </w:pPr>
      <w:r w:rsidRPr="00D172D3">
        <w:rPr>
          <w:b/>
          <w:kern w:val="2"/>
          <w:sz w:val="28"/>
          <w14:ligatures w14:val="standardContextual"/>
        </w:rPr>
        <w:t>(</w:t>
      </w:r>
      <w:bookmarkEnd w:id="168"/>
      <w:r w:rsidR="003D7096">
        <w:rPr>
          <w:b/>
          <w:kern w:val="2"/>
          <w:sz w:val="28"/>
          <w14:ligatures w14:val="standardContextual"/>
        </w:rPr>
        <w:t>All CTC scores)</w:t>
      </w:r>
    </w:p>
    <w:tbl>
      <w:tblPr>
        <w:tblStyle w:val="TableGrid"/>
        <w:tblW w:w="0" w:type="auto"/>
        <w:tblInd w:w="-5" w:type="dxa"/>
        <w:tblLook w:val="04A0" w:firstRow="1" w:lastRow="0" w:firstColumn="1" w:lastColumn="0" w:noHBand="0" w:noVBand="1"/>
      </w:tblPr>
      <w:tblGrid>
        <w:gridCol w:w="1301"/>
        <w:gridCol w:w="7720"/>
      </w:tblGrid>
      <w:tr w:rsidR="00DF7579" w:rsidRPr="00F81630" w14:paraId="04FA445A" w14:textId="77777777" w:rsidTr="00DF7579">
        <w:tc>
          <w:tcPr>
            <w:tcW w:w="1301" w:type="dxa"/>
            <w:shd w:val="clear" w:color="auto" w:fill="B7ACD3" w:themeFill="accent2" w:themeFillTint="66"/>
          </w:tcPr>
          <w:p w14:paraId="65C08B6C" w14:textId="77777777" w:rsidR="00DF7579" w:rsidRPr="00F81630" w:rsidRDefault="00DF7579" w:rsidP="00DF02B7">
            <w:pPr>
              <w:rPr>
                <w:rStyle w:val="Strong"/>
              </w:rPr>
            </w:pPr>
            <w:bookmarkStart w:id="171" w:name="_Review_Reason_5:"/>
            <w:bookmarkEnd w:id="169"/>
            <w:bookmarkEnd w:id="171"/>
            <w:r w:rsidRPr="00F81630">
              <w:rPr>
                <w:rStyle w:val="Strong"/>
              </w:rPr>
              <w:t>Background</w:t>
            </w:r>
          </w:p>
        </w:tc>
        <w:tc>
          <w:tcPr>
            <w:tcW w:w="7720" w:type="dxa"/>
            <w:shd w:val="clear" w:color="auto" w:fill="B7ACD3" w:themeFill="accent2" w:themeFillTint="66"/>
          </w:tcPr>
          <w:p w14:paraId="26B19051" w14:textId="6EEF94D9" w:rsidR="00DF7579" w:rsidRPr="00F81630" w:rsidRDefault="00DF7579" w:rsidP="00CB7304">
            <w:pPr>
              <w:spacing w:after="120"/>
            </w:pPr>
            <w:r w:rsidRPr="00F81630">
              <w:t xml:space="preserve">Significantly large family size is recognised by the department as a circumstance that is demonstrably unique to a small number of schools and not currently accounted for in the </w:t>
            </w:r>
            <w:r w:rsidR="00BA1F02">
              <w:t>DMI methodology</w:t>
            </w:r>
            <w:r w:rsidRPr="00F81630">
              <w:t xml:space="preserve">. If available </w:t>
            </w:r>
            <w:hyperlink w:anchor="_Administrative_data" w:history="1">
              <w:r w:rsidRPr="00F81630">
                <w:rPr>
                  <w:rStyle w:val="Hyperlink"/>
                </w:rPr>
                <w:t>administrative data</w:t>
              </w:r>
            </w:hyperlink>
            <w:r w:rsidRPr="00F81630">
              <w:t xml:space="preserve"> for parents and guardians of students at a school with significantly large average family size is of a high enough quality, the department can equivalise incomes for the large families at the school and adjust the school’s </w:t>
            </w:r>
            <w:r w:rsidR="00BA1F02">
              <w:t>CTC score</w:t>
            </w:r>
            <w:r w:rsidRPr="00F81630">
              <w:t xml:space="preserve"> to account for larger than average family size.</w:t>
            </w:r>
          </w:p>
        </w:tc>
      </w:tr>
      <w:tr w:rsidR="00DF7579" w:rsidRPr="00F81630" w14:paraId="7B7FA24D" w14:textId="77777777" w:rsidTr="00DF7579">
        <w:tc>
          <w:tcPr>
            <w:tcW w:w="1301" w:type="dxa"/>
            <w:shd w:val="clear" w:color="auto" w:fill="B5E5DF" w:themeFill="accent4" w:themeFillTint="66"/>
          </w:tcPr>
          <w:p w14:paraId="101CEAC5" w14:textId="77777777" w:rsidR="00DF7579" w:rsidRPr="00F81630" w:rsidRDefault="00DF7579" w:rsidP="00DF02B7">
            <w:pPr>
              <w:rPr>
                <w:rStyle w:val="Strong"/>
              </w:rPr>
            </w:pPr>
            <w:r w:rsidRPr="00F81630">
              <w:rPr>
                <w:rStyle w:val="Strong"/>
              </w:rPr>
              <w:t>Example</w:t>
            </w:r>
          </w:p>
        </w:tc>
        <w:tc>
          <w:tcPr>
            <w:tcW w:w="7720" w:type="dxa"/>
            <w:shd w:val="clear" w:color="auto" w:fill="B5E5DF" w:themeFill="accent4" w:themeFillTint="66"/>
          </w:tcPr>
          <w:p w14:paraId="306FC0F5" w14:textId="63BE58AA" w:rsidR="006B2130" w:rsidRPr="006B2130" w:rsidRDefault="00DF7579" w:rsidP="00CB7304">
            <w:pPr>
              <w:spacing w:after="120"/>
            </w:pPr>
            <w:r w:rsidRPr="00F81630">
              <w:t>If the average number of dependents for all families with students enrolled at the school is significantly larger than the national average family size in non</w:t>
            </w:r>
            <w:r w:rsidRPr="00F81630">
              <w:noBreakHyphen/>
              <w:t xml:space="preserve">government schools, an approved authority can apply for a review of their school’s </w:t>
            </w:r>
            <w:r w:rsidR="00BA1F02">
              <w:t>CTC score</w:t>
            </w:r>
            <w:r w:rsidRPr="00F81630">
              <w:t xml:space="preserve">. Analysis of average family size in non-government schools is available in the </w:t>
            </w:r>
            <w:hyperlink w:anchor="_Technical_Framework_for" w:history="1">
              <w:r w:rsidR="006B2130" w:rsidRPr="006B2130">
                <w:rPr>
                  <w:rStyle w:val="Hyperlink"/>
                  <w:i/>
                  <w:iCs/>
                </w:rPr>
                <w:t>Technical Framework for the Capacity to Contribute Review Process, Version 2</w:t>
              </w:r>
            </w:hyperlink>
            <w:r w:rsidR="006B2130" w:rsidRPr="006B2130">
              <w:rPr>
                <w:iCs/>
              </w:rPr>
              <w:t xml:space="preserve"> can be accessed at: </w:t>
            </w:r>
            <w:hyperlink r:id="rId25" w:history="1">
              <w:r w:rsidR="006B2130" w:rsidRPr="006B2130">
                <w:rPr>
                  <w:rStyle w:val="Hyperlink"/>
                  <w:lang w:val="en-US"/>
                </w:rPr>
                <w:t>https://www.education.gov.au/recurrent-funding-schools/resources/technical-framework-capacity-contribute-review-process</w:t>
              </w:r>
            </w:hyperlink>
          </w:p>
          <w:p w14:paraId="520095CC" w14:textId="77777777" w:rsidR="00DF7579" w:rsidRPr="00F81630" w:rsidRDefault="00DF7579" w:rsidP="00CB7304">
            <w:pPr>
              <w:spacing w:after="120"/>
            </w:pPr>
            <w:r w:rsidRPr="00F81630">
              <w:t>For the purposes of CTC reviews, dependants are defined as children under 15 years old or members of the household under 24 years of age who are full-time students.</w:t>
            </w:r>
          </w:p>
        </w:tc>
      </w:tr>
      <w:tr w:rsidR="00DF7579" w:rsidRPr="00F81630" w14:paraId="2209FE02" w14:textId="77777777" w:rsidTr="00DF7579">
        <w:tc>
          <w:tcPr>
            <w:tcW w:w="1301" w:type="dxa"/>
            <w:shd w:val="clear" w:color="auto" w:fill="DAF2EF" w:themeFill="accent4" w:themeFillTint="33"/>
          </w:tcPr>
          <w:p w14:paraId="6A825317" w14:textId="77777777" w:rsidR="00DF7579" w:rsidRPr="00F81630" w:rsidRDefault="00DF7579" w:rsidP="00DF02B7">
            <w:pPr>
              <w:rPr>
                <w:rStyle w:val="Strong"/>
              </w:rPr>
            </w:pPr>
            <w:r w:rsidRPr="00F81630">
              <w:rPr>
                <w:rStyle w:val="Strong"/>
              </w:rPr>
              <w:t>Evidence</w:t>
            </w:r>
          </w:p>
        </w:tc>
        <w:tc>
          <w:tcPr>
            <w:tcW w:w="7720" w:type="dxa"/>
            <w:shd w:val="clear" w:color="auto" w:fill="DAF2EF" w:themeFill="accent4" w:themeFillTint="33"/>
          </w:tcPr>
          <w:p w14:paraId="24BA8195" w14:textId="2873B6C1" w:rsidR="00DF7579" w:rsidRPr="00F81630" w:rsidRDefault="00DF7579" w:rsidP="00CB7304">
            <w:pPr>
              <w:spacing w:after="120"/>
            </w:pPr>
            <w:r w:rsidRPr="00F81630">
              <w:t xml:space="preserve">A review application will need to show that the school has a significantly larger average family size than most non-government schools. Evidence could include information from the most recent </w:t>
            </w:r>
            <w:hyperlink w:anchor="_Address_Collection" w:history="1">
              <w:r w:rsidRPr="006B2130">
                <w:rPr>
                  <w:rStyle w:val="Hyperlink"/>
                </w:rPr>
                <w:t>Address Collection</w:t>
              </w:r>
            </w:hyperlink>
            <w:r w:rsidRPr="00F81630">
              <w:t>, or information collected by the school through a survey of parents and guardians, showing the average number of dependent children per family enrolled at the school.</w:t>
            </w:r>
          </w:p>
        </w:tc>
      </w:tr>
    </w:tbl>
    <w:p w14:paraId="74625423" w14:textId="77777777" w:rsidR="00DF7579" w:rsidRPr="00F81630" w:rsidRDefault="00DF7579" w:rsidP="00DF7579">
      <w:pPr>
        <w:rPr>
          <w:kern w:val="2"/>
          <w14:ligatures w14:val="standardContextual"/>
        </w:rPr>
      </w:pPr>
    </w:p>
    <w:p w14:paraId="7C3DF42A" w14:textId="77777777" w:rsidR="00871E5A" w:rsidRPr="00D172D3" w:rsidRDefault="00871E5A" w:rsidP="00D172D3">
      <w:pPr>
        <w:rPr>
          <w:rFonts w:asciiTheme="majorHAnsi" w:hAnsiTheme="majorHAnsi"/>
          <w:b/>
          <w:color w:val="55437E" w:themeColor="accent2"/>
          <w:kern w:val="2"/>
          <w:sz w:val="44"/>
          <w14:ligatures w14:val="standardContextual"/>
        </w:rPr>
      </w:pPr>
      <w:bookmarkStart w:id="172" w:name="_Toc110520310"/>
      <w:r w:rsidRPr="00D172D3">
        <w:rPr>
          <w:kern w:val="2"/>
          <w14:ligatures w14:val="standardContextual"/>
        </w:rPr>
        <w:br w:type="page"/>
      </w:r>
    </w:p>
    <w:p w14:paraId="62D7F777" w14:textId="3238EDF2" w:rsidR="00871E5A" w:rsidRPr="00D172D3" w:rsidRDefault="00871E5A" w:rsidP="00B14ADF">
      <w:pPr>
        <w:pStyle w:val="Heading2"/>
        <w:rPr>
          <w:rFonts w:asciiTheme="minorHAnsi" w:hAnsiTheme="minorHAnsi"/>
          <w:color w:val="auto"/>
          <w:sz w:val="22"/>
        </w:rPr>
      </w:pPr>
      <w:bookmarkStart w:id="173" w:name="_Appendix_B:_Definitions"/>
      <w:bookmarkStart w:id="174" w:name="_Toc129701993"/>
      <w:bookmarkStart w:id="175" w:name="_Toc211945355"/>
      <w:bookmarkEnd w:id="173"/>
      <w:r w:rsidRPr="003E3291">
        <w:lastRenderedPageBreak/>
        <w:t xml:space="preserve">Appendix B: </w:t>
      </w:r>
      <w:bookmarkEnd w:id="172"/>
      <w:bookmarkEnd w:id="174"/>
      <w:r w:rsidR="005D280F">
        <w:t>Glossary</w:t>
      </w:r>
      <w:bookmarkEnd w:id="175"/>
    </w:p>
    <w:p w14:paraId="7C0A3026" w14:textId="0801EA17" w:rsidR="00494B1B" w:rsidRPr="0087345D" w:rsidRDefault="00494B1B" w:rsidP="00494B1B">
      <w:pPr>
        <w:pStyle w:val="Heading6"/>
      </w:pPr>
      <w:r w:rsidRPr="0087345D">
        <w:t>2026 CTC score</w:t>
      </w:r>
    </w:p>
    <w:p w14:paraId="6F684557" w14:textId="3D33B824" w:rsidR="0087345D" w:rsidRPr="0087345D" w:rsidRDefault="0087345D" w:rsidP="0087345D">
      <w:pPr>
        <w:rPr>
          <w:bCs/>
          <w:kern w:val="2"/>
          <w14:ligatures w14:val="standardContextual"/>
        </w:rPr>
      </w:pPr>
      <w:r w:rsidRPr="0087345D">
        <w:rPr>
          <w:bCs/>
          <w:kern w:val="2"/>
          <w14:ligatures w14:val="standardContextual"/>
        </w:rPr>
        <w:t>A CTC score for the 2026 funding year determined in accordance with subsection 21(4) of the Australian Education Regulations 2023</w:t>
      </w:r>
      <w:r w:rsidRPr="000B31FE">
        <w:rPr>
          <w:b/>
          <w:kern w:val="2"/>
          <w14:ligatures w14:val="standardContextual"/>
        </w:rPr>
        <w:t>.</w:t>
      </w:r>
      <w:r>
        <w:rPr>
          <w:b/>
          <w:kern w:val="2"/>
          <w14:ligatures w14:val="standardContextual"/>
        </w:rPr>
        <w:t xml:space="preserve"> </w:t>
      </w:r>
      <w:r w:rsidRPr="00494B1B">
        <w:rPr>
          <w:bCs/>
          <w:kern w:val="2"/>
          <w14:ligatures w14:val="standardContextual"/>
        </w:rPr>
        <w:t xml:space="preserve">A </w:t>
      </w:r>
      <w:r>
        <w:rPr>
          <w:bCs/>
          <w:kern w:val="2"/>
          <w14:ligatures w14:val="standardContextual"/>
        </w:rPr>
        <w:t xml:space="preserve">school’s </w:t>
      </w:r>
      <w:r w:rsidRPr="00494B1B">
        <w:rPr>
          <w:bCs/>
          <w:kern w:val="2"/>
          <w14:ligatures w14:val="standardContextual"/>
        </w:rPr>
        <w:t>2026 CTC score</w:t>
      </w:r>
      <w:r>
        <w:rPr>
          <w:bCs/>
          <w:kern w:val="2"/>
          <w14:ligatures w14:val="standardContextual"/>
        </w:rPr>
        <w:t xml:space="preserve"> is </w:t>
      </w:r>
      <w:r w:rsidRPr="0087345D">
        <w:rPr>
          <w:bCs/>
          <w:kern w:val="2"/>
          <w14:ligatures w14:val="standardContextual"/>
        </w:rPr>
        <w:t>the same value as its 2025 CTC score</w:t>
      </w:r>
      <w:r>
        <w:rPr>
          <w:bCs/>
          <w:kern w:val="2"/>
          <w14:ligatures w14:val="standardContextual"/>
        </w:rPr>
        <w:t xml:space="preserve">. </w:t>
      </w:r>
      <w:r w:rsidRPr="0087345D">
        <w:rPr>
          <w:bCs/>
          <w:kern w:val="2"/>
          <w14:ligatures w14:val="standardContextual"/>
        </w:rPr>
        <w:t>For new schools which do not have a 2025 CTC score, the Minister’s delegate will determine a RAB-based 2026 CTC score in accordance with the Regulations.</w:t>
      </w:r>
    </w:p>
    <w:p w14:paraId="289067A3" w14:textId="5A63F2DC" w:rsidR="0085048F" w:rsidRPr="0085048F" w:rsidRDefault="004A7276" w:rsidP="003A0A12">
      <w:pPr>
        <w:pStyle w:val="Heading6"/>
        <w:rPr>
          <w:kern w:val="2"/>
          <w14:ligatures w14:val="standardContextual"/>
        </w:rPr>
      </w:pPr>
      <w:r w:rsidRPr="003A0A12">
        <w:t>T</w:t>
      </w:r>
      <w:r w:rsidR="00871E5A" w:rsidRPr="003A0A12">
        <w:t>he</w:t>
      </w:r>
      <w:r w:rsidR="00871E5A" w:rsidRPr="0085048F">
        <w:rPr>
          <w:kern w:val="2"/>
          <w14:ligatures w14:val="standardContextual"/>
        </w:rPr>
        <w:t xml:space="preserve"> Act</w:t>
      </w:r>
    </w:p>
    <w:p w14:paraId="5CB5BCB2" w14:textId="29C5A944" w:rsidR="00871E5A" w:rsidRDefault="00871E5A" w:rsidP="003E3291">
      <w:pPr>
        <w:rPr>
          <w:kern w:val="2"/>
          <w14:ligatures w14:val="standardContextual"/>
        </w:rPr>
      </w:pPr>
      <w:r w:rsidRPr="0085048F">
        <w:rPr>
          <w:kern w:val="2"/>
          <w14:ligatures w14:val="standardContextual"/>
        </w:rPr>
        <w:t xml:space="preserve">Refers to the </w:t>
      </w:r>
      <w:r w:rsidRPr="0085048F">
        <w:rPr>
          <w:i/>
          <w:kern w:val="2"/>
          <w14:ligatures w14:val="standardContextual"/>
        </w:rPr>
        <w:t>Australian Education Act 2013</w:t>
      </w:r>
      <w:r w:rsidR="001B1A6C" w:rsidRPr="0085048F">
        <w:rPr>
          <w:kern w:val="2"/>
          <w14:ligatures w14:val="standardContextual"/>
        </w:rPr>
        <w:t xml:space="preserve"> that sets out the Commonwealth’s school funding arrangements</w:t>
      </w:r>
      <w:r w:rsidRPr="0085048F">
        <w:rPr>
          <w:kern w:val="2"/>
          <w14:ligatures w14:val="standardContextual"/>
        </w:rPr>
        <w:t>.</w:t>
      </w:r>
    </w:p>
    <w:p w14:paraId="2FD7B08B" w14:textId="2573BF34" w:rsidR="00260902" w:rsidRPr="003A0A12" w:rsidRDefault="00260902" w:rsidP="003A0A12">
      <w:pPr>
        <w:pStyle w:val="Heading6"/>
      </w:pPr>
      <w:bookmarkStart w:id="176" w:name="_Address_Collection"/>
      <w:bookmarkEnd w:id="176"/>
      <w:r w:rsidRPr="003A0A12">
        <w:t>Address Collection</w:t>
      </w:r>
    </w:p>
    <w:p w14:paraId="11627D5D" w14:textId="368D3DF3" w:rsidR="00260902" w:rsidRPr="0085048F" w:rsidRDefault="00260902" w:rsidP="003E3291">
      <w:pPr>
        <w:rPr>
          <w:b/>
          <w:kern w:val="2"/>
          <w14:ligatures w14:val="standardContextual"/>
        </w:rPr>
      </w:pPr>
      <w:r>
        <w:rPr>
          <w:kern w:val="2"/>
          <w14:ligatures w14:val="standardContextual"/>
        </w:rPr>
        <w:t>The department’s annual collection of addresses and other data for parents and guardians of students. Approved authorit</w:t>
      </w:r>
      <w:r w:rsidR="0003514A">
        <w:rPr>
          <w:kern w:val="2"/>
          <w14:ligatures w14:val="standardContextual"/>
        </w:rPr>
        <w:t>ies</w:t>
      </w:r>
      <w:r>
        <w:rPr>
          <w:kern w:val="2"/>
          <w14:ligatures w14:val="standardContextual"/>
        </w:rPr>
        <w:t xml:space="preserve"> provide this data via SchoolsHUB.</w:t>
      </w:r>
    </w:p>
    <w:p w14:paraId="598C48F9" w14:textId="77777777" w:rsidR="0085048F" w:rsidRPr="003A0A12" w:rsidRDefault="00871E5A" w:rsidP="003A0A12">
      <w:pPr>
        <w:pStyle w:val="Heading6"/>
        <w:rPr>
          <w:b w:val="0"/>
          <w:kern w:val="2"/>
          <w14:ligatures w14:val="standardContextual"/>
        </w:rPr>
      </w:pPr>
      <w:bookmarkStart w:id="177" w:name="_Administrative_data"/>
      <w:bookmarkEnd w:id="177"/>
      <w:r w:rsidRPr="003A0A12">
        <w:t>Administrative</w:t>
      </w:r>
      <w:r w:rsidRPr="0085048F">
        <w:rPr>
          <w:kern w:val="2"/>
          <w14:ligatures w14:val="standardContextual"/>
        </w:rPr>
        <w:t xml:space="preserve"> data</w:t>
      </w:r>
    </w:p>
    <w:p w14:paraId="4314E5E9" w14:textId="1EFB61AF" w:rsidR="00871E5A" w:rsidRPr="0085048F" w:rsidRDefault="001B1A6C" w:rsidP="003E3291">
      <w:pPr>
        <w:rPr>
          <w:kern w:val="2"/>
          <w14:ligatures w14:val="standardContextual"/>
        </w:rPr>
      </w:pPr>
      <w:r w:rsidRPr="0085048F">
        <w:rPr>
          <w:kern w:val="2"/>
          <w14:ligatures w14:val="standardContextual"/>
        </w:rPr>
        <w:t xml:space="preserve">Information that is maintained by government departments and other organisations that has been made available through </w:t>
      </w:r>
      <w:r w:rsidR="002533F2" w:rsidRPr="0085048F">
        <w:rPr>
          <w:kern w:val="2"/>
          <w14:ligatures w14:val="standardContextual"/>
        </w:rPr>
        <w:t xml:space="preserve">PLIDA </w:t>
      </w:r>
      <w:r w:rsidRPr="0085048F">
        <w:rPr>
          <w:kern w:val="2"/>
          <w14:ligatures w14:val="standardContextual"/>
        </w:rPr>
        <w:t>for research and statistical purposes.</w:t>
      </w:r>
    </w:p>
    <w:p w14:paraId="4D5A047B" w14:textId="77777777" w:rsidR="0085048F" w:rsidRPr="0085048F" w:rsidRDefault="00871E5A" w:rsidP="003A0A12">
      <w:pPr>
        <w:pStyle w:val="Heading6"/>
        <w:rPr>
          <w:kern w:val="2"/>
          <w14:ligatures w14:val="standardContextual"/>
        </w:rPr>
      </w:pPr>
      <w:r w:rsidRPr="003A0A12">
        <w:t>Annual</w:t>
      </w:r>
      <w:r w:rsidRPr="0085048F">
        <w:rPr>
          <w:kern w:val="2"/>
          <w14:ligatures w14:val="standardContextual"/>
        </w:rPr>
        <w:t xml:space="preserve"> </w:t>
      </w:r>
      <w:r w:rsidR="00BA1F02" w:rsidRPr="0085048F">
        <w:rPr>
          <w:kern w:val="2"/>
          <w14:ligatures w14:val="standardContextual"/>
        </w:rPr>
        <w:t>DMI score</w:t>
      </w:r>
    </w:p>
    <w:p w14:paraId="13C4EF0B" w14:textId="71A60BCD" w:rsidR="00871E5A" w:rsidRPr="0085048F" w:rsidRDefault="0085048F" w:rsidP="003E3291">
      <w:pPr>
        <w:rPr>
          <w:b/>
          <w:kern w:val="2"/>
          <w14:ligatures w14:val="standardContextual"/>
        </w:rPr>
      </w:pPr>
      <w:r w:rsidRPr="0085048F">
        <w:rPr>
          <w:kern w:val="2"/>
          <w14:ligatures w14:val="standardContextual"/>
        </w:rPr>
        <w:t>A</w:t>
      </w:r>
      <w:r w:rsidR="000266B1" w:rsidRPr="0085048F">
        <w:rPr>
          <w:kern w:val="2"/>
          <w14:ligatures w14:val="standardContextual"/>
        </w:rPr>
        <w:t xml:space="preserve"> </w:t>
      </w:r>
      <w:r w:rsidR="00871E5A" w:rsidRPr="0085048F">
        <w:rPr>
          <w:kern w:val="2"/>
          <w14:ligatures w14:val="standardContextual"/>
        </w:rPr>
        <w:t xml:space="preserve">DMI score </w:t>
      </w:r>
      <w:r w:rsidR="003B5809" w:rsidRPr="0085048F">
        <w:rPr>
          <w:kern w:val="2"/>
          <w14:ligatures w14:val="standardContextual"/>
        </w:rPr>
        <w:t xml:space="preserve">is </w:t>
      </w:r>
      <w:r w:rsidR="00871E5A" w:rsidRPr="0085048F">
        <w:rPr>
          <w:kern w:val="2"/>
          <w14:ligatures w14:val="standardContextual"/>
        </w:rPr>
        <w:t>calculated</w:t>
      </w:r>
      <w:r w:rsidR="000266B1" w:rsidRPr="0085048F">
        <w:rPr>
          <w:kern w:val="2"/>
          <w14:ligatures w14:val="standardContextual"/>
        </w:rPr>
        <w:t xml:space="preserve"> for a school</w:t>
      </w:r>
      <w:r w:rsidR="00871E5A" w:rsidRPr="0085048F">
        <w:rPr>
          <w:kern w:val="2"/>
          <w14:ligatures w14:val="standardContextual"/>
        </w:rPr>
        <w:t xml:space="preserve"> each year. </w:t>
      </w:r>
      <w:bookmarkStart w:id="178" w:name="_Hlk129680107"/>
      <w:r w:rsidR="00FB7304" w:rsidRPr="0085048F">
        <w:rPr>
          <w:kern w:val="2"/>
          <w14:ligatures w14:val="standardContextual"/>
        </w:rPr>
        <w:t>Three</w:t>
      </w:r>
      <w:r w:rsidR="00821F7B" w:rsidRPr="0085048F">
        <w:rPr>
          <w:kern w:val="2"/>
          <w14:ligatures w14:val="standardContextual"/>
        </w:rPr>
        <w:t xml:space="preserve"> </w:t>
      </w:r>
      <w:r w:rsidR="00871E5A" w:rsidRPr="0085048F">
        <w:rPr>
          <w:kern w:val="2"/>
          <w14:ligatures w14:val="standardContextual"/>
        </w:rPr>
        <w:t>consecutive</w:t>
      </w:r>
      <w:r w:rsidR="00091BB7" w:rsidRPr="0085048F">
        <w:rPr>
          <w:kern w:val="2"/>
          <w14:ligatures w14:val="standardContextual"/>
        </w:rPr>
        <w:t xml:space="preserve"> </w:t>
      </w:r>
      <w:r w:rsidR="00871E5A" w:rsidRPr="0085048F">
        <w:rPr>
          <w:kern w:val="2"/>
          <w14:ligatures w14:val="standardContextual"/>
        </w:rPr>
        <w:t xml:space="preserve">annual DMI scores are averaged to create a school’s </w:t>
      </w:r>
      <w:r w:rsidR="00BA1F02" w:rsidRPr="0085048F">
        <w:rPr>
          <w:kern w:val="2"/>
          <w14:ligatures w14:val="standardContextual"/>
        </w:rPr>
        <w:t>CTC score</w:t>
      </w:r>
      <w:r w:rsidR="00871E5A" w:rsidRPr="0085048F">
        <w:rPr>
          <w:kern w:val="2"/>
          <w14:ligatures w14:val="standardContextual"/>
        </w:rPr>
        <w:t>.</w:t>
      </w:r>
    </w:p>
    <w:bookmarkEnd w:id="178"/>
    <w:p w14:paraId="0D76D274" w14:textId="0A1FA8EB" w:rsidR="0085048F" w:rsidRPr="0085048F" w:rsidRDefault="00871E5A" w:rsidP="003A0A12">
      <w:pPr>
        <w:pStyle w:val="Heading6"/>
        <w:rPr>
          <w:kern w:val="2"/>
          <w14:ligatures w14:val="standardContextual"/>
        </w:rPr>
      </w:pPr>
      <w:r w:rsidRPr="003A0A12">
        <w:t>Approved</w:t>
      </w:r>
      <w:r w:rsidRPr="0085048F">
        <w:rPr>
          <w:kern w:val="2"/>
          <w14:ligatures w14:val="standardContextual"/>
        </w:rPr>
        <w:t xml:space="preserve"> authority</w:t>
      </w:r>
    </w:p>
    <w:p w14:paraId="051332D8" w14:textId="7B9FF325" w:rsidR="00871E5A" w:rsidRPr="0085048F" w:rsidRDefault="00871E5A" w:rsidP="003E3291">
      <w:pPr>
        <w:rPr>
          <w:b/>
          <w:kern w:val="2"/>
          <w14:ligatures w14:val="standardContextual"/>
        </w:rPr>
      </w:pPr>
      <w:r w:rsidRPr="0085048F">
        <w:rPr>
          <w:kern w:val="2"/>
          <w14:ligatures w14:val="standardContextual"/>
        </w:rPr>
        <w:t xml:space="preserve">Each school has an approved authority, which is approved under the Act. </w:t>
      </w:r>
      <w:r w:rsidR="001B1A6C" w:rsidRPr="0085048F">
        <w:rPr>
          <w:kern w:val="2"/>
          <w14:ligatures w14:val="standardContextual"/>
        </w:rPr>
        <w:t>The approved authority for a non-government school is the legal body approved for that school.</w:t>
      </w:r>
    </w:p>
    <w:p w14:paraId="7BC484B6" w14:textId="423FBFFD" w:rsidR="0085048F" w:rsidRPr="0085048F" w:rsidRDefault="00871E5A" w:rsidP="003A0A12">
      <w:pPr>
        <w:pStyle w:val="Heading6"/>
        <w:rPr>
          <w:kern w:val="2"/>
          <w14:ligatures w14:val="standardContextual"/>
        </w:rPr>
      </w:pPr>
      <w:r w:rsidRPr="003A0A12">
        <w:t>ATI</w:t>
      </w:r>
    </w:p>
    <w:p w14:paraId="4C9244A3" w14:textId="22B515F8" w:rsidR="00871E5A" w:rsidRPr="0085048F" w:rsidRDefault="00871E5A" w:rsidP="003E3291">
      <w:r w:rsidRPr="0085048F">
        <w:rPr>
          <w:kern w:val="2"/>
          <w14:ligatures w14:val="standardContextual"/>
        </w:rPr>
        <w:t>Adjusted Taxable Income as defined by the Australian Taxation Office. The ATI formula for 202</w:t>
      </w:r>
      <w:r w:rsidR="00376B55" w:rsidRPr="0085048F">
        <w:rPr>
          <w:kern w:val="2"/>
          <w14:ligatures w14:val="standardContextual"/>
        </w:rPr>
        <w:t>2</w:t>
      </w:r>
      <w:r w:rsidRPr="0085048F">
        <w:rPr>
          <w:kern w:val="2"/>
          <w14:ligatures w14:val="standardContextual"/>
        </w:rPr>
        <w:t xml:space="preserve"> can be found at: </w:t>
      </w:r>
      <w:hyperlink r:id="rId26" w:history="1">
        <w:r w:rsidR="00376B55" w:rsidRPr="0085048F">
          <w:rPr>
            <w:rStyle w:val="Hyperlink"/>
            <w:kern w:val="2"/>
            <w14:ligatures w14:val="standardContextual"/>
          </w:rPr>
          <w:t>https://www.ato.gov.au/Individuals/Tax-return/2022/Tax-return/Adjusted-taxable-income-(ATI)-for-you-and-your-dependants-2022/</w:t>
        </w:r>
      </w:hyperlink>
      <w:r w:rsidR="00716A89" w:rsidRPr="0085048F">
        <w:t>.</w:t>
      </w:r>
    </w:p>
    <w:p w14:paraId="111DE29B" w14:textId="530004E8" w:rsidR="0085048F" w:rsidRPr="0085048F" w:rsidRDefault="00F24FC8" w:rsidP="003A0A12">
      <w:pPr>
        <w:pStyle w:val="Heading6"/>
      </w:pPr>
      <w:r>
        <w:t>Average DMI score</w:t>
      </w:r>
    </w:p>
    <w:p w14:paraId="4A93B781" w14:textId="197AAA26" w:rsidR="0026347F" w:rsidRDefault="009A70A3" w:rsidP="0026347F">
      <w:bookmarkStart w:id="179" w:name="_Hlk206683347"/>
      <w:r>
        <w:t>From 2021, the</w:t>
      </w:r>
      <w:r w:rsidR="0026347F" w:rsidRPr="0085048F">
        <w:t xml:space="preserve"> average of the DMI scores for the school for the 3 consecutive years before that year: see section 22 of the Australian Education Regulations at: </w:t>
      </w:r>
      <w:hyperlink r:id="rId27" w:history="1">
        <w:r w:rsidR="0026347F" w:rsidRPr="0085048F">
          <w:rPr>
            <w:rStyle w:val="Hyperlink"/>
          </w:rPr>
          <w:t>www.legislation.gov.au/F2023L01020/latest/text</w:t>
        </w:r>
      </w:hyperlink>
      <w:r w:rsidR="0026347F" w:rsidRPr="0085048F">
        <w:t>.</w:t>
      </w:r>
    </w:p>
    <w:bookmarkEnd w:id="179"/>
    <w:p w14:paraId="1DCF6B8F" w14:textId="479FCB93" w:rsidR="00346969" w:rsidRDefault="00346969" w:rsidP="000F1BA3">
      <w:pPr>
        <w:pStyle w:val="Heading6"/>
      </w:pPr>
      <w:r>
        <w:t>Australian Education Regulations 2023</w:t>
      </w:r>
    </w:p>
    <w:p w14:paraId="7A78AC93" w14:textId="2A7C65E7" w:rsidR="00346969" w:rsidRPr="00F0175A" w:rsidRDefault="00346969" w:rsidP="00A93FD2">
      <w:pPr>
        <w:rPr>
          <w:kern w:val="2"/>
          <w14:ligatures w14:val="standardContextual"/>
        </w:rPr>
      </w:pPr>
      <w:r>
        <w:t xml:space="preserve">The regulations relating to the </w:t>
      </w:r>
      <w:r w:rsidRPr="000F1BA3">
        <w:rPr>
          <w:i/>
          <w:iCs/>
        </w:rPr>
        <w:t>Australian Education Act 2013.</w:t>
      </w:r>
      <w:r w:rsidR="00F0175A">
        <w:rPr>
          <w:i/>
          <w:iCs/>
        </w:rPr>
        <w:t xml:space="preserve"> </w:t>
      </w:r>
      <w:r w:rsidR="00F0175A">
        <w:t xml:space="preserve">These can be found at: </w:t>
      </w:r>
      <w:hyperlink r:id="rId28" w:history="1">
        <w:r w:rsidR="00F0175A">
          <w:rPr>
            <w:rStyle w:val="Hyperlink"/>
          </w:rPr>
          <w:t>www.legislation.gov.au/F2023L01020/latest/text</w:t>
        </w:r>
      </w:hyperlink>
      <w:r w:rsidR="00F0175A">
        <w:t>.</w:t>
      </w:r>
    </w:p>
    <w:p w14:paraId="2937635E" w14:textId="18188265" w:rsidR="0085048F" w:rsidRPr="0085048F" w:rsidRDefault="00871E5A" w:rsidP="003A0A12">
      <w:pPr>
        <w:pStyle w:val="Heading6"/>
        <w:rPr>
          <w:kern w:val="2"/>
          <w14:ligatures w14:val="standardContextual"/>
        </w:rPr>
      </w:pPr>
      <w:r w:rsidRPr="003A0A12">
        <w:t>Capacity</w:t>
      </w:r>
      <w:r w:rsidRPr="0085048F">
        <w:rPr>
          <w:kern w:val="2"/>
          <w14:ligatures w14:val="standardContextual"/>
        </w:rPr>
        <w:t xml:space="preserve"> to Contribute (CTC) score</w:t>
      </w:r>
    </w:p>
    <w:p w14:paraId="565D4333" w14:textId="2E97AE66" w:rsidR="00871E5A" w:rsidRPr="0085048F" w:rsidRDefault="004A7276" w:rsidP="003E3291">
      <w:pPr>
        <w:rPr>
          <w:kern w:val="2"/>
          <w14:ligatures w14:val="standardContextual"/>
        </w:rPr>
      </w:pPr>
      <w:r w:rsidRPr="0085048F">
        <w:rPr>
          <w:kern w:val="2"/>
          <w14:ligatures w14:val="standardContextual"/>
        </w:rPr>
        <w:t xml:space="preserve">A </w:t>
      </w:r>
      <w:r w:rsidR="00BA1F02" w:rsidRPr="0085048F">
        <w:rPr>
          <w:kern w:val="2"/>
          <w14:ligatures w14:val="standardContextual"/>
        </w:rPr>
        <w:t>CTC score</w:t>
      </w:r>
      <w:r w:rsidRPr="0085048F">
        <w:rPr>
          <w:kern w:val="2"/>
          <w14:ligatures w14:val="standardContextual"/>
        </w:rPr>
        <w:t xml:space="preserve"> is calculated in accordance with the Australian Education Regulations 2023 </w:t>
      </w:r>
      <w:r w:rsidR="0026347F" w:rsidRPr="0085048F">
        <w:rPr>
          <w:kern w:val="2"/>
          <w14:ligatures w14:val="standardContextual"/>
        </w:rPr>
        <w:t xml:space="preserve">except where a deemed </w:t>
      </w:r>
      <w:r w:rsidR="00BA1F02" w:rsidRPr="0085048F">
        <w:rPr>
          <w:kern w:val="2"/>
          <w14:ligatures w14:val="standardContextual"/>
        </w:rPr>
        <w:t>CTC score</w:t>
      </w:r>
      <w:r w:rsidR="0026347F" w:rsidRPr="0085048F">
        <w:rPr>
          <w:kern w:val="2"/>
          <w14:ligatures w14:val="standardContextual"/>
        </w:rPr>
        <w:t xml:space="preserve"> has been determined following a </w:t>
      </w:r>
      <w:r w:rsidR="00BA1F02" w:rsidRPr="0085048F">
        <w:rPr>
          <w:kern w:val="2"/>
          <w14:ligatures w14:val="standardContextual"/>
        </w:rPr>
        <w:t>CTC score</w:t>
      </w:r>
      <w:r w:rsidR="0026347F" w:rsidRPr="0085048F">
        <w:rPr>
          <w:kern w:val="2"/>
          <w14:ligatures w14:val="standardContextual"/>
        </w:rPr>
        <w:t xml:space="preserve"> review</w:t>
      </w:r>
      <w:r w:rsidRPr="0085048F">
        <w:rPr>
          <w:kern w:val="2"/>
          <w14:ligatures w14:val="standardContextual"/>
        </w:rPr>
        <w:t>.</w:t>
      </w:r>
      <w:r w:rsidR="0026347F" w:rsidRPr="0085048F">
        <w:rPr>
          <w:kern w:val="2"/>
          <w14:ligatures w14:val="standardContextual"/>
        </w:rPr>
        <w:t xml:space="preserve"> A </w:t>
      </w:r>
      <w:r w:rsidR="00BA1F02" w:rsidRPr="0085048F">
        <w:rPr>
          <w:kern w:val="2"/>
          <w14:ligatures w14:val="standardContextual"/>
        </w:rPr>
        <w:t>CTC score</w:t>
      </w:r>
      <w:r w:rsidR="0026347F" w:rsidRPr="0085048F">
        <w:rPr>
          <w:kern w:val="2"/>
          <w14:ligatures w14:val="standardContextual"/>
        </w:rPr>
        <w:t xml:space="preserve"> is </w:t>
      </w:r>
      <w:r w:rsidR="00871E5A" w:rsidRPr="0085048F">
        <w:rPr>
          <w:kern w:val="2"/>
          <w14:ligatures w14:val="standardContextual"/>
        </w:rPr>
        <w:t xml:space="preserve">a </w:t>
      </w:r>
      <w:r w:rsidR="001B1A6C" w:rsidRPr="0085048F">
        <w:rPr>
          <w:kern w:val="2"/>
          <w14:ligatures w14:val="standardContextual"/>
        </w:rPr>
        <w:t>measure of a non-government school community’s capacity to contribute to the ongoing costs of running their school,</w:t>
      </w:r>
      <w:r w:rsidR="00871E5A" w:rsidRPr="0085048F">
        <w:rPr>
          <w:kern w:val="2"/>
          <w14:ligatures w14:val="standardContextual"/>
        </w:rPr>
        <w:t xml:space="preserve"> relative to </w:t>
      </w:r>
      <w:r w:rsidR="001B1A6C" w:rsidRPr="0085048F">
        <w:rPr>
          <w:kern w:val="2"/>
          <w14:ligatures w14:val="standardContextual"/>
        </w:rPr>
        <w:t xml:space="preserve">the </w:t>
      </w:r>
      <w:r w:rsidR="00871E5A" w:rsidRPr="0085048F">
        <w:rPr>
          <w:kern w:val="2"/>
          <w14:ligatures w14:val="standardContextual"/>
        </w:rPr>
        <w:t>capacity at other non</w:t>
      </w:r>
      <w:r w:rsidR="00871E5A" w:rsidRPr="0085048F">
        <w:rPr>
          <w:kern w:val="2"/>
          <w14:ligatures w14:val="standardContextual"/>
        </w:rPr>
        <w:noBreakHyphen/>
        <w:t xml:space="preserve">government schools. </w:t>
      </w:r>
      <w:r w:rsidR="00952F14" w:rsidRPr="0085048F">
        <w:rPr>
          <w:rFonts w:ascii="Calibri" w:hAnsi="Calibri"/>
        </w:rPr>
        <w:t xml:space="preserve">A school’s </w:t>
      </w:r>
      <w:r w:rsidR="00BA1F02" w:rsidRPr="0085048F">
        <w:rPr>
          <w:rFonts w:ascii="Calibri" w:hAnsi="Calibri"/>
        </w:rPr>
        <w:t>CTC score</w:t>
      </w:r>
      <w:r w:rsidR="00952F14" w:rsidRPr="0085048F">
        <w:rPr>
          <w:rFonts w:ascii="Calibri" w:hAnsi="Calibri"/>
        </w:rPr>
        <w:t xml:space="preserve"> determines the </w:t>
      </w:r>
      <w:r w:rsidR="000266B1" w:rsidRPr="0085048F">
        <w:rPr>
          <w:rFonts w:ascii="Calibri" w:hAnsi="Calibri"/>
        </w:rPr>
        <w:t>reduction</w:t>
      </w:r>
      <w:r w:rsidR="00952F14" w:rsidRPr="0085048F">
        <w:rPr>
          <w:rFonts w:ascii="Calibri" w:hAnsi="Calibri"/>
        </w:rPr>
        <w:t xml:space="preserve"> the Commonwealth applies to the</w:t>
      </w:r>
      <w:r w:rsidR="00871E5A" w:rsidRPr="0085048F">
        <w:rPr>
          <w:kern w:val="2"/>
          <w14:ligatures w14:val="standardContextual"/>
        </w:rPr>
        <w:t xml:space="preserve"> </w:t>
      </w:r>
      <w:hyperlink r:id="rId29">
        <w:r w:rsidR="00871E5A" w:rsidRPr="0085048F">
          <w:rPr>
            <w:rStyle w:val="Hyperlink"/>
            <w:kern w:val="2"/>
            <w14:ligatures w14:val="standardContextual"/>
          </w:rPr>
          <w:t>Schooling Resource Standard</w:t>
        </w:r>
      </w:hyperlink>
      <w:r w:rsidR="00871E5A" w:rsidRPr="0085048F">
        <w:rPr>
          <w:kern w:val="2"/>
          <w14:ligatures w14:val="standardContextual"/>
        </w:rPr>
        <w:t xml:space="preserve"> (also known as an SRS) </w:t>
      </w:r>
      <w:r w:rsidR="003E4DA5" w:rsidRPr="0085048F">
        <w:rPr>
          <w:kern w:val="2"/>
          <w14:ligatures w14:val="standardContextual"/>
        </w:rPr>
        <w:lastRenderedPageBreak/>
        <w:t xml:space="preserve">base </w:t>
      </w:r>
      <w:r w:rsidR="00952F14" w:rsidRPr="0085048F">
        <w:rPr>
          <w:rFonts w:ascii="Calibri" w:hAnsi="Calibri"/>
        </w:rPr>
        <w:t>funding amount</w:t>
      </w:r>
      <w:r w:rsidR="00871E5A" w:rsidRPr="0085048F">
        <w:rPr>
          <w:kern w:val="2"/>
          <w14:ligatures w14:val="standardContextual"/>
        </w:rPr>
        <w:t xml:space="preserve">. </w:t>
      </w:r>
      <w:r w:rsidR="00385F78">
        <w:rPr>
          <w:kern w:val="2"/>
          <w14:ligatures w14:val="standardContextual"/>
        </w:rPr>
        <w:t xml:space="preserve">SRS loadings are not affected by a CTC score. </w:t>
      </w:r>
      <w:r w:rsidR="00B86AEB">
        <w:rPr>
          <w:kern w:val="2"/>
          <w14:ligatures w14:val="standardContextual"/>
        </w:rPr>
        <w:t xml:space="preserve">The </w:t>
      </w:r>
      <w:r w:rsidR="003E4DA5" w:rsidRPr="0085048F">
        <w:rPr>
          <w:kern w:val="2"/>
          <w14:ligatures w14:val="standardContextual"/>
        </w:rPr>
        <w:t>CTC</w:t>
      </w:r>
      <w:r w:rsidR="00871E5A" w:rsidRPr="0085048F">
        <w:rPr>
          <w:kern w:val="2"/>
          <w14:ligatures w14:val="standardContextual"/>
        </w:rPr>
        <w:t xml:space="preserve"> percentages </w:t>
      </w:r>
      <w:r w:rsidR="00B86AEB">
        <w:rPr>
          <w:kern w:val="2"/>
          <w14:ligatures w14:val="standardContextual"/>
        </w:rPr>
        <w:t>applied to reduce</w:t>
      </w:r>
      <w:r w:rsidR="00385F78">
        <w:rPr>
          <w:kern w:val="2"/>
          <w14:ligatures w14:val="standardContextual"/>
        </w:rPr>
        <w:t xml:space="preserve"> the SRS</w:t>
      </w:r>
      <w:r w:rsidR="00B86AEB">
        <w:rPr>
          <w:kern w:val="2"/>
          <w14:ligatures w14:val="standardContextual"/>
        </w:rPr>
        <w:t xml:space="preserve"> base funding </w:t>
      </w:r>
      <w:r w:rsidR="00871E5A" w:rsidRPr="0085048F">
        <w:rPr>
          <w:kern w:val="2"/>
          <w14:ligatures w14:val="standardContextual"/>
        </w:rPr>
        <w:t xml:space="preserve">are </w:t>
      </w:r>
      <w:r w:rsidR="003E4DA5" w:rsidRPr="0085048F">
        <w:rPr>
          <w:kern w:val="2"/>
          <w14:ligatures w14:val="standardContextual"/>
        </w:rPr>
        <w:t xml:space="preserve">set out </w:t>
      </w:r>
      <w:r w:rsidR="00871E5A" w:rsidRPr="0085048F">
        <w:rPr>
          <w:kern w:val="2"/>
          <w14:ligatures w14:val="standardContextual"/>
        </w:rPr>
        <w:t>at subsection 54(3) of the Act.</w:t>
      </w:r>
    </w:p>
    <w:p w14:paraId="7B656818" w14:textId="3EA4AF3C" w:rsidR="0085048F" w:rsidRPr="00260902" w:rsidRDefault="001B066D" w:rsidP="002B7ECC">
      <w:pPr>
        <w:pStyle w:val="Heading6"/>
        <w:rPr>
          <w:kern w:val="2"/>
          <w14:ligatures w14:val="standardContextual"/>
        </w:rPr>
      </w:pPr>
      <w:r w:rsidRPr="002B7ECC">
        <w:t>Census</w:t>
      </w:r>
      <w:r w:rsidRPr="002B7ECC">
        <w:rPr>
          <w:b w:val="0"/>
          <w:bCs/>
          <w:kern w:val="2"/>
          <w14:ligatures w14:val="standardContextual"/>
        </w:rPr>
        <w:t xml:space="preserve"> </w:t>
      </w:r>
      <w:r w:rsidRPr="00260902">
        <w:rPr>
          <w:kern w:val="2"/>
          <w14:ligatures w14:val="standardContextual"/>
        </w:rPr>
        <w:t>of Housing and Population</w:t>
      </w:r>
    </w:p>
    <w:p w14:paraId="52DB1241" w14:textId="4068DD37" w:rsidR="001B066D" w:rsidRPr="0085048F" w:rsidRDefault="00260902" w:rsidP="003E3291">
      <w:pPr>
        <w:rPr>
          <w:kern w:val="2"/>
          <w14:ligatures w14:val="standardContextual"/>
        </w:rPr>
      </w:pPr>
      <w:r>
        <w:rPr>
          <w:kern w:val="2"/>
          <w14:ligatures w14:val="standardContextual"/>
        </w:rPr>
        <w:t>P</w:t>
      </w:r>
      <w:r w:rsidRPr="0085048F">
        <w:rPr>
          <w:kern w:val="2"/>
          <w14:ligatures w14:val="standardContextual"/>
        </w:rPr>
        <w:t>ublished every 5 years by the Australian Bureau of Statistics</w:t>
      </w:r>
      <w:r>
        <w:rPr>
          <w:kern w:val="2"/>
          <w14:ligatures w14:val="standardContextual"/>
        </w:rPr>
        <w:t>, the census counts</w:t>
      </w:r>
      <w:r w:rsidRPr="00260902">
        <w:rPr>
          <w:kern w:val="2"/>
          <w14:ligatures w14:val="standardContextual"/>
        </w:rPr>
        <w:t xml:space="preserve"> every person and household in Australia</w:t>
      </w:r>
      <w:r>
        <w:rPr>
          <w:kern w:val="2"/>
          <w14:ligatures w14:val="standardContextual"/>
        </w:rPr>
        <w:t xml:space="preserve"> to collection information about</w:t>
      </w:r>
      <w:r w:rsidRPr="00260902">
        <w:rPr>
          <w:kern w:val="2"/>
          <w14:ligatures w14:val="standardContextual"/>
        </w:rPr>
        <w:t xml:space="preserve"> the economic, social and cultural make-up of the country.</w:t>
      </w:r>
      <w:r w:rsidR="001B066D" w:rsidRPr="0085048F">
        <w:rPr>
          <w:kern w:val="2"/>
          <w14:ligatures w14:val="standardContextual"/>
        </w:rPr>
        <w:t xml:space="preserve"> More information is available at: </w:t>
      </w:r>
      <w:hyperlink r:id="rId30" w:history="1">
        <w:r w:rsidR="001B066D" w:rsidRPr="0085048F">
          <w:rPr>
            <w:rStyle w:val="Hyperlink"/>
            <w:kern w:val="2"/>
            <w14:ligatures w14:val="standardContextual"/>
          </w:rPr>
          <w:t>www.abs.gov.au/census/about-census</w:t>
        </w:r>
      </w:hyperlink>
      <w:r w:rsidR="001B066D" w:rsidRPr="0085048F">
        <w:rPr>
          <w:kern w:val="2"/>
          <w14:ligatures w14:val="standardContextual"/>
        </w:rPr>
        <w:t>.</w:t>
      </w:r>
    </w:p>
    <w:p w14:paraId="3CA4B4C9" w14:textId="0C0A4C62" w:rsidR="0085048F" w:rsidRPr="0085048F" w:rsidRDefault="00871E5A" w:rsidP="002B7ECC">
      <w:pPr>
        <w:pStyle w:val="Heading6"/>
        <w:rPr>
          <w:kern w:val="2"/>
          <w14:ligatures w14:val="standardContextual"/>
        </w:rPr>
      </w:pPr>
      <w:r w:rsidRPr="0085048F">
        <w:rPr>
          <w:kern w:val="2"/>
          <w14:ligatures w14:val="standardContextual"/>
        </w:rPr>
        <w:t>Choice and Affordability Fund</w:t>
      </w:r>
    </w:p>
    <w:p w14:paraId="52E7CED9" w14:textId="498155EF" w:rsidR="00871E5A" w:rsidRPr="0085048F" w:rsidRDefault="001B1A6C" w:rsidP="003E3291">
      <w:pPr>
        <w:rPr>
          <w:kern w:val="2"/>
          <w14:ligatures w14:val="standardContextual"/>
        </w:rPr>
      </w:pPr>
      <w:r w:rsidRPr="0085048F">
        <w:rPr>
          <w:kern w:val="2"/>
          <w14:ligatures w14:val="standardContextual"/>
        </w:rPr>
        <w:t xml:space="preserve">An Australian Government established program to assist the non-government school sector to support schools to deliver choice and affordability and achieve government priorities, including to assist non-government schools during transition to the </w:t>
      </w:r>
      <w:r w:rsidR="00B86AEB">
        <w:rPr>
          <w:kern w:val="2"/>
          <w14:ligatures w14:val="standardContextual"/>
        </w:rPr>
        <w:t>Direct Measure of Income</w:t>
      </w:r>
      <w:r w:rsidR="00B86AEB" w:rsidRPr="0085048F">
        <w:rPr>
          <w:kern w:val="2"/>
          <w14:ligatures w14:val="standardContextual"/>
        </w:rPr>
        <w:t xml:space="preserve"> </w:t>
      </w:r>
      <w:r w:rsidRPr="0085048F">
        <w:rPr>
          <w:kern w:val="2"/>
          <w14:ligatures w14:val="standardContextual"/>
        </w:rPr>
        <w:t>funding arrangements.</w:t>
      </w:r>
      <w:r w:rsidR="00871E5A" w:rsidRPr="0085048F">
        <w:rPr>
          <w:kern w:val="2"/>
          <w14:ligatures w14:val="standardContextual"/>
        </w:rPr>
        <w:t xml:space="preserve"> More information is available at: </w:t>
      </w:r>
      <w:hyperlink r:id="rId31" w:history="1">
        <w:r w:rsidR="00BA1EA7" w:rsidRPr="0085048F">
          <w:rPr>
            <w:rStyle w:val="Hyperlink"/>
            <w:kern w:val="2"/>
            <w14:ligatures w14:val="standardContextual"/>
          </w:rPr>
          <w:t>https://www.education.gov.au/other-commonwealth-funding-schools/what-choice-and-affordability-fund</w:t>
        </w:r>
      </w:hyperlink>
      <w:r w:rsidR="00871E5A" w:rsidRPr="0085048F">
        <w:rPr>
          <w:kern w:val="2"/>
          <w14:ligatures w14:val="standardContextual"/>
        </w:rPr>
        <w:t>.</w:t>
      </w:r>
    </w:p>
    <w:p w14:paraId="79EA9B85" w14:textId="77777777" w:rsidR="0085048F" w:rsidRPr="0085048F" w:rsidRDefault="00207DA6" w:rsidP="002B7ECC">
      <w:pPr>
        <w:pStyle w:val="Heading6"/>
        <w:rPr>
          <w:bCs/>
          <w:kern w:val="2"/>
          <w14:ligatures w14:val="standardContextual"/>
        </w:rPr>
      </w:pPr>
      <w:r w:rsidRPr="002B7ECC">
        <w:t>Commonwealth</w:t>
      </w:r>
      <w:r w:rsidRPr="0085048F">
        <w:rPr>
          <w:kern w:val="2"/>
          <w14:ligatures w14:val="standardContextual"/>
        </w:rPr>
        <w:t xml:space="preserve"> recurrent funding entitlement:</w:t>
      </w:r>
    </w:p>
    <w:p w14:paraId="7D1345F6" w14:textId="01CA8E38" w:rsidR="00207DA6" w:rsidRDefault="00207DA6" w:rsidP="003E3291">
      <w:pPr>
        <w:rPr>
          <w:bCs/>
          <w:kern w:val="2"/>
          <w14:ligatures w14:val="standardContextual"/>
        </w:rPr>
      </w:pPr>
      <w:r w:rsidRPr="0085048F">
        <w:rPr>
          <w:bCs/>
          <w:kern w:val="2"/>
          <w14:ligatures w14:val="standardContextual"/>
        </w:rPr>
        <w:t xml:space="preserve">A school’s Commonwealth recurrent funding entitlement for a year is its </w:t>
      </w:r>
      <w:hyperlink r:id="rId32">
        <w:r w:rsidRPr="0085048F">
          <w:rPr>
            <w:rStyle w:val="Hyperlink"/>
            <w:bCs/>
            <w:kern w:val="2"/>
            <w14:ligatures w14:val="standardContextual"/>
          </w:rPr>
          <w:t>Schooling Resource Standard</w:t>
        </w:r>
      </w:hyperlink>
      <w:r w:rsidRPr="0085048F">
        <w:rPr>
          <w:bCs/>
          <w:kern w:val="2"/>
          <w14:ligatures w14:val="standardContextual"/>
        </w:rPr>
        <w:t xml:space="preserve"> multiplied by its Commonwealth share for the year.</w:t>
      </w:r>
    </w:p>
    <w:p w14:paraId="19F9F58A" w14:textId="7358F2B7" w:rsidR="005D280F" w:rsidRPr="005D280F" w:rsidRDefault="005D280F" w:rsidP="000F1BA3">
      <w:pPr>
        <w:pStyle w:val="Heading6"/>
        <w:rPr>
          <w:kern w:val="2"/>
          <w14:ligatures w14:val="standardContextual"/>
        </w:rPr>
      </w:pPr>
      <w:r w:rsidRPr="005D280F">
        <w:rPr>
          <w:kern w:val="2"/>
          <w14:ligatures w14:val="standardContextual"/>
        </w:rPr>
        <w:t>CTC policy</w:t>
      </w:r>
    </w:p>
    <w:p w14:paraId="1F63B54C" w14:textId="76D81036" w:rsidR="005D280F" w:rsidRPr="0085048F" w:rsidRDefault="005D280F" w:rsidP="003E3291">
      <w:pPr>
        <w:rPr>
          <w:bCs/>
          <w:kern w:val="2"/>
          <w14:ligatures w14:val="standardContextual"/>
        </w:rPr>
      </w:pPr>
      <w:r>
        <w:rPr>
          <w:bCs/>
          <w:kern w:val="2"/>
          <w14:ligatures w14:val="standardContextual"/>
        </w:rPr>
        <w:t xml:space="preserve">The agreed capacity to contribute policy as reflected in the </w:t>
      </w:r>
      <w:r w:rsidRPr="000F1BA3">
        <w:rPr>
          <w:bCs/>
          <w:i/>
          <w:iCs/>
          <w:kern w:val="2"/>
          <w14:ligatures w14:val="standardContextual"/>
        </w:rPr>
        <w:t>Australian Education Act 2013</w:t>
      </w:r>
      <w:r>
        <w:rPr>
          <w:bCs/>
          <w:kern w:val="2"/>
          <w14:ligatures w14:val="standardContextual"/>
        </w:rPr>
        <w:t xml:space="preserve"> and the Australian Education Regulations 2023.</w:t>
      </w:r>
    </w:p>
    <w:p w14:paraId="63B698DD" w14:textId="52BE9D09" w:rsidR="0085048F" w:rsidRPr="0085048F" w:rsidRDefault="00BA1F02" w:rsidP="002B7ECC">
      <w:pPr>
        <w:pStyle w:val="Heading6"/>
        <w:rPr>
          <w:kern w:val="2"/>
          <w14:ligatures w14:val="standardContextual"/>
        </w:rPr>
      </w:pPr>
      <w:r w:rsidRPr="0085048F">
        <w:rPr>
          <w:kern w:val="2"/>
          <w14:ligatures w14:val="standardContextual"/>
        </w:rPr>
        <w:t>CTC </w:t>
      </w:r>
      <w:r w:rsidRPr="002B7ECC">
        <w:t>score</w:t>
      </w:r>
      <w:r w:rsidR="00871E5A" w:rsidRPr="0085048F">
        <w:rPr>
          <w:kern w:val="2"/>
          <w14:ligatures w14:val="standardContextual"/>
        </w:rPr>
        <w:t xml:space="preserve"> review</w:t>
      </w:r>
    </w:p>
    <w:p w14:paraId="23957D31" w14:textId="759B3FEE" w:rsidR="00871E5A" w:rsidRPr="0085048F" w:rsidRDefault="00871E5A" w:rsidP="00D43F79">
      <w:pPr>
        <w:rPr>
          <w:rFonts w:ascii="Calibri" w:hAnsi="Calibri"/>
        </w:rPr>
      </w:pPr>
      <w:r w:rsidRPr="0085048F">
        <w:rPr>
          <w:kern w:val="2"/>
          <w14:ligatures w14:val="standardContextual"/>
        </w:rPr>
        <w:t xml:space="preserve">Refers to investigation, triggered by an application made by an approved authority for a school, into whether a school’s </w:t>
      </w:r>
      <w:r w:rsidR="00BA1F02" w:rsidRPr="0085048F">
        <w:rPr>
          <w:kern w:val="2"/>
          <w14:ligatures w14:val="standardContextual"/>
        </w:rPr>
        <w:t>CTC score</w:t>
      </w:r>
      <w:r w:rsidR="001B066D" w:rsidRPr="0085048F">
        <w:rPr>
          <w:kern w:val="2"/>
          <w14:ligatures w14:val="standardContextual"/>
        </w:rPr>
        <w:t xml:space="preserve"> for a year</w:t>
      </w:r>
      <w:r w:rsidRPr="0085048F">
        <w:rPr>
          <w:kern w:val="2"/>
          <w14:ligatures w14:val="standardContextual"/>
        </w:rPr>
        <w:t xml:space="preserve"> is accurate.</w:t>
      </w:r>
    </w:p>
    <w:p w14:paraId="196C7D21" w14:textId="5FF08040" w:rsidR="0085048F" w:rsidRPr="0085048F" w:rsidRDefault="00D43F79" w:rsidP="002B7ECC">
      <w:pPr>
        <w:pStyle w:val="Heading6"/>
        <w:rPr>
          <w:rFonts w:ascii="Calibri" w:hAnsi="Calibri"/>
        </w:rPr>
      </w:pPr>
      <w:proofErr w:type="spellStart"/>
      <w:r w:rsidRPr="002B7ECC">
        <w:t>DataLab</w:t>
      </w:r>
      <w:proofErr w:type="spellEnd"/>
    </w:p>
    <w:p w14:paraId="483FF627" w14:textId="2874FB95" w:rsidR="00D43F79" w:rsidRDefault="00D43F79" w:rsidP="003E3291">
      <w:pPr>
        <w:rPr>
          <w:rFonts w:ascii="Calibri" w:hAnsi="Calibri"/>
        </w:rPr>
      </w:pPr>
      <w:r w:rsidRPr="0085048F">
        <w:rPr>
          <w:rFonts w:ascii="Calibri" w:hAnsi="Calibri"/>
        </w:rPr>
        <w:t xml:space="preserve">The Australian Bureau of Statistics’ secure </w:t>
      </w:r>
      <w:r w:rsidR="00B25207" w:rsidRPr="0085048F">
        <w:rPr>
          <w:rFonts w:ascii="Calibri" w:hAnsi="Calibri"/>
        </w:rPr>
        <w:t>research environment.</w:t>
      </w:r>
    </w:p>
    <w:p w14:paraId="0DA1BB82" w14:textId="24E4D187" w:rsidR="00260902" w:rsidRPr="002B7ECC" w:rsidRDefault="00260902" w:rsidP="002B7ECC">
      <w:pPr>
        <w:pStyle w:val="Heading6"/>
      </w:pPr>
      <w:bookmarkStart w:id="180" w:name="_Data_Quality_Framework"/>
      <w:bookmarkEnd w:id="180"/>
      <w:r w:rsidRPr="002B7ECC">
        <w:t>Data Quality Framework</w:t>
      </w:r>
    </w:p>
    <w:p w14:paraId="09A4DDBB" w14:textId="179F1B87" w:rsidR="006B2130" w:rsidRPr="006B2130" w:rsidRDefault="006B2130" w:rsidP="006B2130">
      <w:pPr>
        <w:rPr>
          <w:kern w:val="2"/>
          <w14:ligatures w14:val="standardContextual"/>
        </w:rPr>
      </w:pPr>
      <w:r>
        <w:rPr>
          <w:kern w:val="2"/>
          <w14:ligatures w14:val="standardContextual"/>
        </w:rPr>
        <w:t xml:space="preserve">The Australian Bureau of Statistics’ quality assurance framework for the calculation of Direct Measure of Income (DMI) scores. </w:t>
      </w:r>
      <w:r w:rsidRPr="006B2130">
        <w:rPr>
          <w:kern w:val="2"/>
          <w14:ligatures w14:val="standardContextual"/>
        </w:rPr>
        <w:t>See:</w:t>
      </w:r>
      <w:r w:rsidRPr="006B2130">
        <w:rPr>
          <w:kern w:val="2"/>
          <w:u w:val="single"/>
          <w:lang w:val="en-US"/>
          <w14:ligatures w14:val="standardContextual"/>
        </w:rPr>
        <w:t xml:space="preserve"> </w:t>
      </w:r>
      <w:hyperlink r:id="rId33" w:history="1">
        <w:r w:rsidRPr="006B2130">
          <w:rPr>
            <w:rStyle w:val="Hyperlink"/>
            <w:kern w:val="2"/>
            <w:lang w:val="en-US"/>
            <w14:ligatures w14:val="standardContextual"/>
          </w:rPr>
          <w:t>www.education.gov.au/recurrent-funding-schools/resources/abs-capacity-contribute-data-quality-framework</w:t>
        </w:r>
      </w:hyperlink>
      <w:r w:rsidRPr="006B2130">
        <w:rPr>
          <w:kern w:val="2"/>
          <w:lang w:val="en-US"/>
          <w14:ligatures w14:val="standardContextual"/>
        </w:rPr>
        <w:t>.</w:t>
      </w:r>
    </w:p>
    <w:p w14:paraId="71D2E35F" w14:textId="2AE43EEC" w:rsidR="0085048F" w:rsidRPr="0085048F" w:rsidRDefault="00871E5A" w:rsidP="002B7ECC">
      <w:pPr>
        <w:pStyle w:val="Heading6"/>
        <w:rPr>
          <w:kern w:val="2"/>
          <w14:ligatures w14:val="standardContextual"/>
        </w:rPr>
      </w:pPr>
      <w:r w:rsidRPr="002B7ECC">
        <w:t>Deemed</w:t>
      </w:r>
      <w:r w:rsidRPr="0085048F">
        <w:rPr>
          <w:kern w:val="2"/>
          <w14:ligatures w14:val="standardContextual"/>
        </w:rPr>
        <w:t xml:space="preserve"> </w:t>
      </w:r>
      <w:r w:rsidR="00BA1F02" w:rsidRPr="0085048F">
        <w:rPr>
          <w:kern w:val="2"/>
          <w14:ligatures w14:val="standardContextual"/>
        </w:rPr>
        <w:t>CTC score</w:t>
      </w:r>
    </w:p>
    <w:p w14:paraId="38F094CC" w14:textId="44F2E7A7" w:rsidR="00871E5A" w:rsidRPr="0085048F" w:rsidRDefault="00871E5A" w:rsidP="003E3291">
      <w:pPr>
        <w:rPr>
          <w:kern w:val="2"/>
          <w14:ligatures w14:val="standardContextual"/>
        </w:rPr>
      </w:pPr>
      <w:bookmarkStart w:id="181" w:name="_Hlk89075725"/>
      <w:r w:rsidRPr="0085048F">
        <w:rPr>
          <w:kern w:val="2"/>
          <w14:ligatures w14:val="standardContextual"/>
        </w:rPr>
        <w:t xml:space="preserve">A </w:t>
      </w:r>
      <w:r w:rsidR="00BA1F02" w:rsidRPr="0085048F">
        <w:rPr>
          <w:kern w:val="2"/>
          <w14:ligatures w14:val="standardContextual"/>
        </w:rPr>
        <w:t>CTC score</w:t>
      </w:r>
      <w:r w:rsidRPr="0085048F">
        <w:rPr>
          <w:kern w:val="2"/>
          <w14:ligatures w14:val="standardContextual"/>
        </w:rPr>
        <w:t xml:space="preserve"> that has been calculated using a method that is not set out in the </w:t>
      </w:r>
      <w:r w:rsidRPr="00AC2154">
        <w:rPr>
          <w:iCs/>
          <w:kern w:val="2"/>
          <w14:ligatures w14:val="standardContextual"/>
        </w:rPr>
        <w:t>Australian Education Regulation</w:t>
      </w:r>
      <w:r w:rsidR="00E729F5" w:rsidRPr="00AC2154">
        <w:rPr>
          <w:iCs/>
          <w:kern w:val="2"/>
          <w14:ligatures w14:val="standardContextual"/>
        </w:rPr>
        <w:t>s</w:t>
      </w:r>
      <w:r w:rsidRPr="00AC2154">
        <w:rPr>
          <w:iCs/>
          <w:kern w:val="2"/>
          <w14:ligatures w14:val="standardContextual"/>
        </w:rPr>
        <w:t> 20</w:t>
      </w:r>
      <w:r w:rsidR="00E729F5" w:rsidRPr="00AC2154">
        <w:rPr>
          <w:iCs/>
          <w:kern w:val="2"/>
          <w14:ligatures w14:val="standardContextual"/>
        </w:rPr>
        <w:t>2</w:t>
      </w:r>
      <w:r w:rsidRPr="00AC2154">
        <w:rPr>
          <w:iCs/>
          <w:kern w:val="2"/>
          <w14:ligatures w14:val="standardContextual"/>
        </w:rPr>
        <w:t>3</w:t>
      </w:r>
      <w:r w:rsidR="00A93FD2" w:rsidRPr="00703509">
        <w:rPr>
          <w:kern w:val="2"/>
          <w14:ligatures w14:val="standardContextual"/>
        </w:rPr>
        <w:t>.</w:t>
      </w:r>
      <w:r w:rsidRPr="00703509">
        <w:rPr>
          <w:kern w:val="2"/>
          <w14:ligatures w14:val="standardContextual"/>
        </w:rPr>
        <w:t xml:space="preserve"> The</w:t>
      </w:r>
      <w:r w:rsidRPr="0085048F">
        <w:rPr>
          <w:kern w:val="2"/>
          <w14:ligatures w14:val="standardContextual"/>
        </w:rPr>
        <w:t xml:space="preserve"> Minister (or delegate) can determine a deemed score only when they believe a </w:t>
      </w:r>
      <w:r w:rsidR="00BA1F02" w:rsidRPr="0085048F">
        <w:rPr>
          <w:kern w:val="2"/>
          <w14:ligatures w14:val="standardContextual"/>
        </w:rPr>
        <w:t>CTC score</w:t>
      </w:r>
      <w:r w:rsidRPr="0085048F">
        <w:rPr>
          <w:kern w:val="2"/>
          <w14:ligatures w14:val="standardContextual"/>
        </w:rPr>
        <w:t xml:space="preserve"> determined in accordance with the Regulation</w:t>
      </w:r>
      <w:r w:rsidR="00E729F5" w:rsidRPr="0085048F">
        <w:rPr>
          <w:kern w:val="2"/>
          <w14:ligatures w14:val="standardContextual"/>
        </w:rPr>
        <w:t>s</w:t>
      </w:r>
      <w:r w:rsidRPr="0085048F">
        <w:rPr>
          <w:kern w:val="2"/>
          <w14:ligatures w14:val="standardContextual"/>
        </w:rPr>
        <w:t xml:space="preserve"> (that is a DMI</w:t>
      </w:r>
      <w:r w:rsidR="00812AC3" w:rsidRPr="0085048F">
        <w:rPr>
          <w:kern w:val="2"/>
          <w14:ligatures w14:val="standardContextual"/>
        </w:rPr>
        <w:noBreakHyphen/>
      </w:r>
      <w:r w:rsidRPr="0085048F">
        <w:rPr>
          <w:kern w:val="2"/>
          <w14:ligatures w14:val="standardContextual"/>
        </w:rPr>
        <w:t xml:space="preserve">based </w:t>
      </w:r>
      <w:r w:rsidR="00BA1F02" w:rsidRPr="0085048F">
        <w:rPr>
          <w:kern w:val="2"/>
          <w14:ligatures w14:val="standardContextual"/>
        </w:rPr>
        <w:t>CTC score</w:t>
      </w:r>
      <w:r w:rsidRPr="0085048F">
        <w:rPr>
          <w:kern w:val="2"/>
          <w14:ligatures w14:val="standardContextual"/>
        </w:rPr>
        <w:t xml:space="preserve"> or a RAB-based </w:t>
      </w:r>
      <w:r w:rsidR="00BA1F02" w:rsidRPr="0085048F">
        <w:rPr>
          <w:kern w:val="2"/>
          <w14:ligatures w14:val="standardContextual"/>
        </w:rPr>
        <w:t>CTC score</w:t>
      </w:r>
      <w:r w:rsidRPr="0085048F">
        <w:rPr>
          <w:kern w:val="2"/>
          <w14:ligatures w14:val="standardContextual"/>
        </w:rPr>
        <w:t>) would result in an inaccurate score.</w:t>
      </w:r>
    </w:p>
    <w:bookmarkEnd w:id="181"/>
    <w:p w14:paraId="6AD42F3E" w14:textId="2B232B23" w:rsidR="0085048F" w:rsidRPr="0085048F" w:rsidRDefault="00871E5A" w:rsidP="002B7ECC">
      <w:pPr>
        <w:pStyle w:val="Heading6"/>
        <w:rPr>
          <w:kern w:val="2"/>
          <w14:ligatures w14:val="standardContextual"/>
        </w:rPr>
      </w:pPr>
      <w:r w:rsidRPr="002B7ECC">
        <w:t>Department</w:t>
      </w:r>
    </w:p>
    <w:p w14:paraId="00892157" w14:textId="7F3AA232" w:rsidR="00871E5A" w:rsidRDefault="00871E5A" w:rsidP="003E3291">
      <w:pPr>
        <w:rPr>
          <w:kern w:val="2"/>
          <w14:ligatures w14:val="standardContextual"/>
        </w:rPr>
      </w:pPr>
      <w:r w:rsidRPr="0085048F">
        <w:rPr>
          <w:kern w:val="2"/>
          <w14:ligatures w14:val="standardContextual"/>
        </w:rPr>
        <w:t>Refers to the Australian Government Department of Education.</w:t>
      </w:r>
    </w:p>
    <w:p w14:paraId="2BEB46A3" w14:textId="076D591F" w:rsidR="0085048F" w:rsidRPr="0085048F" w:rsidRDefault="00871E5A" w:rsidP="002B7ECC">
      <w:pPr>
        <w:pStyle w:val="Heading6"/>
        <w:rPr>
          <w:kern w:val="2"/>
          <w14:ligatures w14:val="standardContextual"/>
        </w:rPr>
      </w:pPr>
      <w:r w:rsidRPr="0085048F">
        <w:rPr>
          <w:kern w:val="2"/>
          <w14:ligatures w14:val="standardContextual"/>
        </w:rPr>
        <w:t>DMI</w:t>
      </w:r>
    </w:p>
    <w:p w14:paraId="4064A81F" w14:textId="7F7BFF67" w:rsidR="00FB7304" w:rsidRPr="0085048F" w:rsidRDefault="00871E5A" w:rsidP="003E3291">
      <w:pPr>
        <w:rPr>
          <w:b/>
          <w:kern w:val="2"/>
          <w14:ligatures w14:val="standardContextual"/>
        </w:rPr>
      </w:pPr>
      <w:r w:rsidRPr="0085048F">
        <w:rPr>
          <w:kern w:val="2"/>
          <w14:ligatures w14:val="standardContextual"/>
        </w:rPr>
        <w:t xml:space="preserve">Refers to the Direct Measure of Income methodology used for most </w:t>
      </w:r>
      <w:r w:rsidR="00BA1F02" w:rsidRPr="0085048F">
        <w:rPr>
          <w:kern w:val="2"/>
          <w14:ligatures w14:val="standardContextual"/>
        </w:rPr>
        <w:t>CTC score</w:t>
      </w:r>
      <w:r w:rsidRPr="0085048F">
        <w:rPr>
          <w:kern w:val="2"/>
          <w14:ligatures w14:val="standardContextual"/>
        </w:rPr>
        <w:t xml:space="preserve">s. A </w:t>
      </w:r>
      <w:r w:rsidR="00BA1F02" w:rsidRPr="0085048F">
        <w:rPr>
          <w:kern w:val="2"/>
          <w14:ligatures w14:val="standardContextual"/>
        </w:rPr>
        <w:t>DMI score</w:t>
      </w:r>
      <w:r w:rsidRPr="0085048F">
        <w:rPr>
          <w:kern w:val="2"/>
          <w14:ligatures w14:val="standardContextual"/>
        </w:rPr>
        <w:t xml:space="preserve"> is calculated </w:t>
      </w:r>
      <w:r w:rsidR="00FB7304" w:rsidRPr="0085048F">
        <w:rPr>
          <w:kern w:val="2"/>
          <w14:ligatures w14:val="standardContextual"/>
        </w:rPr>
        <w:t xml:space="preserve">annually </w:t>
      </w:r>
      <w:r w:rsidRPr="0085048F">
        <w:rPr>
          <w:kern w:val="2"/>
          <w14:ligatures w14:val="standardContextual"/>
        </w:rPr>
        <w:t xml:space="preserve">based on the median family income of parents or guardians </w:t>
      </w:r>
      <w:r w:rsidR="00FB7304" w:rsidRPr="0085048F">
        <w:rPr>
          <w:kern w:val="2"/>
          <w14:ligatures w14:val="standardContextual"/>
        </w:rPr>
        <w:t xml:space="preserve">of students enrolled </w:t>
      </w:r>
      <w:r w:rsidRPr="0085048F">
        <w:rPr>
          <w:kern w:val="2"/>
          <w14:ligatures w14:val="standardContextual"/>
        </w:rPr>
        <w:t xml:space="preserve">at </w:t>
      </w:r>
      <w:r w:rsidR="0026347F" w:rsidRPr="0085048F">
        <w:rPr>
          <w:kern w:val="2"/>
          <w14:ligatures w14:val="standardContextual"/>
        </w:rPr>
        <w:t>the</w:t>
      </w:r>
      <w:r w:rsidRPr="0085048F">
        <w:rPr>
          <w:kern w:val="2"/>
          <w14:ligatures w14:val="standardContextual"/>
        </w:rPr>
        <w:t xml:space="preserve"> school</w:t>
      </w:r>
      <w:r w:rsidR="00952F14" w:rsidRPr="0085048F">
        <w:rPr>
          <w:kern w:val="2"/>
          <w14:ligatures w14:val="standardContextual"/>
        </w:rPr>
        <w:t xml:space="preserve"> for that year</w:t>
      </w:r>
      <w:r w:rsidRPr="0085048F">
        <w:rPr>
          <w:kern w:val="2"/>
          <w14:ligatures w14:val="standardContextual"/>
        </w:rPr>
        <w:t>.</w:t>
      </w:r>
      <w:r w:rsidR="00FB7304" w:rsidRPr="0085048F">
        <w:rPr>
          <w:kern w:val="2"/>
          <w14:ligatures w14:val="standardContextual"/>
        </w:rPr>
        <w:t xml:space="preserve"> Three consecutive annual DMI scores are averaged to create a school’s </w:t>
      </w:r>
      <w:r w:rsidR="00F24FC8">
        <w:rPr>
          <w:kern w:val="2"/>
          <w14:ligatures w14:val="standardContextual"/>
        </w:rPr>
        <w:t>average DMI score</w:t>
      </w:r>
      <w:r w:rsidR="00FB7304" w:rsidRPr="0085048F">
        <w:rPr>
          <w:kern w:val="2"/>
          <w14:ligatures w14:val="standardContextual"/>
        </w:rPr>
        <w:t>.</w:t>
      </w:r>
    </w:p>
    <w:p w14:paraId="27878A63" w14:textId="77777777" w:rsidR="0085048F" w:rsidRPr="002B7ECC" w:rsidRDefault="00992BDD" w:rsidP="002B7ECC">
      <w:pPr>
        <w:pStyle w:val="Heading6"/>
        <w:rPr>
          <w:b w:val="0"/>
          <w:kern w:val="2"/>
          <w14:ligatures w14:val="standardContextual"/>
        </w:rPr>
      </w:pPr>
      <w:r w:rsidRPr="0085048F">
        <w:rPr>
          <w:kern w:val="2"/>
          <w14:ligatures w14:val="standardContextual"/>
        </w:rPr>
        <w:lastRenderedPageBreak/>
        <w:t xml:space="preserve">DMI-based </w:t>
      </w:r>
      <w:r w:rsidR="00BA1F02" w:rsidRPr="0085048F">
        <w:rPr>
          <w:kern w:val="2"/>
          <w14:ligatures w14:val="standardContextual"/>
        </w:rPr>
        <w:t>CTC score</w:t>
      </w:r>
      <w:r w:rsidRPr="0085048F">
        <w:rPr>
          <w:kern w:val="2"/>
          <w14:ligatures w14:val="standardContextual"/>
        </w:rPr>
        <w:t>:</w:t>
      </w:r>
    </w:p>
    <w:p w14:paraId="604778BB" w14:textId="33680A36" w:rsidR="00992BDD" w:rsidRPr="0085048F" w:rsidRDefault="00B86AEB" w:rsidP="003E3291">
      <w:pPr>
        <w:rPr>
          <w:bCs/>
          <w:kern w:val="2"/>
          <w14:ligatures w14:val="standardContextual"/>
        </w:rPr>
      </w:pPr>
      <w:r>
        <w:rPr>
          <w:bCs/>
          <w:kern w:val="2"/>
          <w14:ligatures w14:val="standardContextual"/>
        </w:rPr>
        <w:t>T</w:t>
      </w:r>
      <w:r w:rsidR="00992BDD" w:rsidRPr="0085048F">
        <w:rPr>
          <w:bCs/>
          <w:kern w:val="2"/>
          <w14:ligatures w14:val="standardContextual"/>
        </w:rPr>
        <w:t xml:space="preserve">he average of a school’s 3 previous consecutive annual DMI scores </w:t>
      </w:r>
      <w:r w:rsidR="0003514A">
        <w:rPr>
          <w:bCs/>
          <w:kern w:val="2"/>
          <w14:ligatures w14:val="standardContextual"/>
        </w:rPr>
        <w:t xml:space="preserve">is </w:t>
      </w:r>
      <w:r w:rsidR="00992BDD" w:rsidRPr="0085048F">
        <w:rPr>
          <w:bCs/>
          <w:kern w:val="2"/>
          <w14:ligatures w14:val="standardContextual"/>
        </w:rPr>
        <w:t xml:space="preserve">usually </w:t>
      </w:r>
      <w:r w:rsidR="0026347F" w:rsidRPr="0085048F">
        <w:rPr>
          <w:bCs/>
          <w:kern w:val="2"/>
          <w14:ligatures w14:val="standardContextual"/>
        </w:rPr>
        <w:t>determined as</w:t>
      </w:r>
      <w:r w:rsidR="00992BDD" w:rsidRPr="0085048F">
        <w:rPr>
          <w:bCs/>
          <w:kern w:val="2"/>
          <w14:ligatures w14:val="standardContextual"/>
        </w:rPr>
        <w:t xml:space="preserve"> a school’s </w:t>
      </w:r>
      <w:r w:rsidR="00BA1F02" w:rsidRPr="0085048F">
        <w:rPr>
          <w:bCs/>
          <w:kern w:val="2"/>
          <w14:ligatures w14:val="standardContextual"/>
        </w:rPr>
        <w:t>CTC score</w:t>
      </w:r>
      <w:r w:rsidR="00104E94">
        <w:rPr>
          <w:bCs/>
          <w:kern w:val="2"/>
          <w14:ligatures w14:val="standardContextual"/>
        </w:rPr>
        <w:t xml:space="preserve"> (for CTC scores other than for 2026)</w:t>
      </w:r>
      <w:r w:rsidR="00992BDD" w:rsidRPr="0085048F">
        <w:rPr>
          <w:bCs/>
          <w:kern w:val="2"/>
          <w14:ligatures w14:val="standardContextual"/>
        </w:rPr>
        <w:t>.</w:t>
      </w:r>
    </w:p>
    <w:p w14:paraId="740F9062" w14:textId="18EAF999" w:rsidR="0085048F" w:rsidRPr="0085048F" w:rsidRDefault="00871E5A" w:rsidP="002B7ECC">
      <w:pPr>
        <w:pStyle w:val="Heading6"/>
        <w:rPr>
          <w:kern w:val="2"/>
          <w14:ligatures w14:val="standardContextual"/>
        </w:rPr>
      </w:pPr>
      <w:r w:rsidRPr="002B7ECC">
        <w:t>External</w:t>
      </w:r>
      <w:r w:rsidRPr="0085048F">
        <w:rPr>
          <w:kern w:val="2"/>
          <w14:ligatures w14:val="standardContextual"/>
        </w:rPr>
        <w:t xml:space="preserve"> review</w:t>
      </w:r>
    </w:p>
    <w:p w14:paraId="0F9BF0FE" w14:textId="09761071" w:rsidR="00871E5A" w:rsidRDefault="00871E5A" w:rsidP="003E3291">
      <w:pPr>
        <w:rPr>
          <w:kern w:val="2"/>
          <w14:ligatures w14:val="standardContextual"/>
        </w:rPr>
      </w:pPr>
      <w:r w:rsidRPr="0085048F">
        <w:rPr>
          <w:kern w:val="2"/>
          <w14:ligatures w14:val="standardContextual"/>
        </w:rPr>
        <w:t>Refers to a review conducted by the Administrative Appeals Tribunal. An applicant can request an external review if they are not satisfied with the outcome of an internal review.</w:t>
      </w:r>
    </w:p>
    <w:p w14:paraId="2A16A64D" w14:textId="54F7BED9" w:rsidR="00D5793E" w:rsidRPr="00AC2154" w:rsidRDefault="00D5793E" w:rsidP="00AC2154">
      <w:pPr>
        <w:pStyle w:val="Heading6"/>
      </w:pPr>
      <w:bookmarkStart w:id="182" w:name="_Family_income"/>
      <w:bookmarkEnd w:id="182"/>
      <w:r w:rsidRPr="00AC2154">
        <w:t>Family income</w:t>
      </w:r>
    </w:p>
    <w:p w14:paraId="0365B45D" w14:textId="409CE722" w:rsidR="00D5793E" w:rsidRPr="0085048F" w:rsidRDefault="00D5793E" w:rsidP="003E3291">
      <w:pPr>
        <w:rPr>
          <w:kern w:val="2"/>
          <w14:ligatures w14:val="standardContextual"/>
        </w:rPr>
      </w:pPr>
      <w:r>
        <w:rPr>
          <w:kern w:val="2"/>
          <w14:ligatures w14:val="standardContextual"/>
        </w:rPr>
        <w:t xml:space="preserve">The sum of the incomes of Parent 1 and Parent 2. Parent 1 and Parent 2 are the parents or guardians reported by the approved authority for a school for each student in the </w:t>
      </w:r>
      <w:hyperlink w:anchor="_Address_Collection" w:history="1">
        <w:r w:rsidRPr="00D5793E">
          <w:rPr>
            <w:rStyle w:val="Hyperlink"/>
            <w:kern w:val="2"/>
            <w14:ligatures w14:val="standardContextual"/>
          </w:rPr>
          <w:t>Address Collection</w:t>
        </w:r>
      </w:hyperlink>
      <w:r>
        <w:rPr>
          <w:kern w:val="2"/>
          <w14:ligatures w14:val="standardContextual"/>
        </w:rPr>
        <w:t>.</w:t>
      </w:r>
    </w:p>
    <w:p w14:paraId="02C759BF" w14:textId="1BA54E79" w:rsidR="0085048F" w:rsidRPr="0085048F" w:rsidRDefault="005A734F" w:rsidP="002B7ECC">
      <w:pPr>
        <w:pStyle w:val="Heading6"/>
        <w:rPr>
          <w:kern w:val="2"/>
          <w14:ligatures w14:val="standardContextual"/>
        </w:rPr>
      </w:pPr>
      <w:bookmarkStart w:id="183" w:name="_Family_income_profile"/>
      <w:bookmarkEnd w:id="183"/>
      <w:r w:rsidRPr="002B7ECC">
        <w:t>Family</w:t>
      </w:r>
      <w:r w:rsidRPr="0085048F">
        <w:rPr>
          <w:bCs/>
          <w:kern w:val="2"/>
          <w14:ligatures w14:val="standardContextual"/>
        </w:rPr>
        <w:t xml:space="preserve"> income profile</w:t>
      </w:r>
    </w:p>
    <w:p w14:paraId="5F825636" w14:textId="59322F43" w:rsidR="005A734F" w:rsidRPr="0085048F" w:rsidRDefault="00B86AEB" w:rsidP="003E3291">
      <w:pPr>
        <w:rPr>
          <w:kern w:val="2"/>
          <w14:ligatures w14:val="standardContextual"/>
        </w:rPr>
      </w:pPr>
      <w:r>
        <w:rPr>
          <w:kern w:val="2"/>
          <w14:ligatures w14:val="standardContextual"/>
        </w:rPr>
        <w:t>T</w:t>
      </w:r>
      <w:r w:rsidR="005A734F" w:rsidRPr="0085048F">
        <w:rPr>
          <w:kern w:val="2"/>
          <w14:ligatures w14:val="standardContextual"/>
        </w:rPr>
        <w:t xml:space="preserve">he </w:t>
      </w:r>
      <w:r w:rsidR="00E26598">
        <w:rPr>
          <w:kern w:val="2"/>
          <w14:ligatures w14:val="standardContextual"/>
        </w:rPr>
        <w:t>income level and distribution</w:t>
      </w:r>
      <w:r w:rsidR="005A734F" w:rsidRPr="0085048F">
        <w:rPr>
          <w:kern w:val="2"/>
          <w14:ligatures w14:val="standardContextual"/>
        </w:rPr>
        <w:t xml:space="preserve"> of a school’s family incomes.</w:t>
      </w:r>
    </w:p>
    <w:p w14:paraId="01BCC746" w14:textId="2A5FAF41" w:rsidR="0085048F" w:rsidRPr="0085048F" w:rsidRDefault="009F6D39" w:rsidP="002B7ECC">
      <w:pPr>
        <w:pStyle w:val="Heading6"/>
        <w:rPr>
          <w:kern w:val="2"/>
          <w14:ligatures w14:val="standardContextual"/>
        </w:rPr>
      </w:pPr>
      <w:bookmarkStart w:id="184" w:name="_Funding_point"/>
      <w:bookmarkEnd w:id="184"/>
      <w:r w:rsidRPr="0085048F">
        <w:rPr>
          <w:bCs/>
          <w:kern w:val="2"/>
          <w14:ligatures w14:val="standardContextual"/>
        </w:rPr>
        <w:t>Funding point</w:t>
      </w:r>
    </w:p>
    <w:p w14:paraId="33E753B9" w14:textId="5967E4AE" w:rsidR="009F6D39" w:rsidRPr="0085048F" w:rsidRDefault="009F6D39" w:rsidP="003E3291">
      <w:pPr>
        <w:rPr>
          <w:b/>
          <w:kern w:val="2"/>
          <w14:ligatures w14:val="standardContextual"/>
        </w:rPr>
      </w:pPr>
      <w:r w:rsidRPr="0085048F">
        <w:rPr>
          <w:kern w:val="2"/>
          <w14:ligatures w14:val="standardContextual"/>
        </w:rPr>
        <w:t xml:space="preserve">A </w:t>
      </w:r>
      <w:r w:rsidR="004A7276" w:rsidRPr="0085048F">
        <w:rPr>
          <w:kern w:val="2"/>
          <w14:ligatures w14:val="standardContextual"/>
        </w:rPr>
        <w:t xml:space="preserve">funding point is a </w:t>
      </w:r>
      <w:r w:rsidRPr="0085048F">
        <w:rPr>
          <w:kern w:val="2"/>
          <w14:ligatures w14:val="standardContextual"/>
        </w:rPr>
        <w:t xml:space="preserve">change in score that would result in a change to the school’s </w:t>
      </w:r>
      <w:r w:rsidR="004A7276" w:rsidRPr="0085048F">
        <w:rPr>
          <w:kern w:val="2"/>
          <w14:ligatures w14:val="standardContextual"/>
        </w:rPr>
        <w:t>recurrent funding</w:t>
      </w:r>
      <w:r w:rsidRPr="0085048F">
        <w:rPr>
          <w:kern w:val="2"/>
          <w14:ligatures w14:val="standardContextual"/>
        </w:rPr>
        <w:t>.</w:t>
      </w:r>
    </w:p>
    <w:p w14:paraId="2A7434E2" w14:textId="116178D3" w:rsidR="0085048F" w:rsidRPr="0085048F" w:rsidRDefault="00871E5A" w:rsidP="002B7ECC">
      <w:pPr>
        <w:pStyle w:val="Heading6"/>
        <w:rPr>
          <w:kern w:val="2"/>
          <w14:ligatures w14:val="standardContextual"/>
        </w:rPr>
      </w:pPr>
      <w:r w:rsidRPr="002B7ECC">
        <w:t>Internal</w:t>
      </w:r>
      <w:r w:rsidRPr="0085048F">
        <w:rPr>
          <w:kern w:val="2"/>
          <w14:ligatures w14:val="standardContextual"/>
        </w:rPr>
        <w:t xml:space="preserve"> review</w:t>
      </w:r>
    </w:p>
    <w:p w14:paraId="6C78F74E" w14:textId="6364EBD9" w:rsidR="00871E5A" w:rsidRPr="0085048F" w:rsidRDefault="00871E5A" w:rsidP="003E3291">
      <w:pPr>
        <w:rPr>
          <w:kern w:val="2"/>
          <w14:ligatures w14:val="standardContextual"/>
        </w:rPr>
      </w:pPr>
      <w:r w:rsidRPr="0085048F">
        <w:rPr>
          <w:kern w:val="2"/>
          <w14:ligatures w14:val="standardContextual"/>
        </w:rPr>
        <w:t xml:space="preserve">Refers to a review of a </w:t>
      </w:r>
      <w:r w:rsidR="00BA1F02" w:rsidRPr="0085048F">
        <w:rPr>
          <w:kern w:val="2"/>
          <w14:ligatures w14:val="standardContextual"/>
        </w:rPr>
        <w:t>CTC score</w:t>
      </w:r>
      <w:r w:rsidRPr="0085048F">
        <w:rPr>
          <w:kern w:val="2"/>
          <w14:ligatures w14:val="standardContextual"/>
        </w:rPr>
        <w:t xml:space="preserve"> decision (determination) made under subsection 52(1) of the Act by the Minister’s delegate, conducted within the department. Section 118 of the Act lists reviewable decisions that can be made under the Act.</w:t>
      </w:r>
    </w:p>
    <w:p w14:paraId="5B20D7CB" w14:textId="31AD9F21" w:rsidR="0085048F" w:rsidRPr="0085048F" w:rsidRDefault="009F6D39" w:rsidP="002B7ECC">
      <w:pPr>
        <w:pStyle w:val="Heading6"/>
      </w:pPr>
      <w:bookmarkStart w:id="185" w:name="_Linked_population"/>
      <w:bookmarkEnd w:id="185"/>
      <w:r w:rsidRPr="0085048F">
        <w:rPr>
          <w:bCs/>
        </w:rPr>
        <w:t>Linked population</w:t>
      </w:r>
    </w:p>
    <w:p w14:paraId="1AD678DD" w14:textId="3EBAFDA7" w:rsidR="009F6D39" w:rsidRPr="0085048F" w:rsidRDefault="009F6D39" w:rsidP="009F6D39">
      <w:r w:rsidRPr="0085048F">
        <w:t xml:space="preserve">A linked population is made up of the parents and guardians whose records linked </w:t>
      </w:r>
      <w:r w:rsidR="004821D2">
        <w:t>to</w:t>
      </w:r>
      <w:r w:rsidR="004821D2" w:rsidRPr="0085048F">
        <w:t xml:space="preserve"> </w:t>
      </w:r>
      <w:r w:rsidRPr="0085048F">
        <w:t>PLIDA. The incomes of these parents are included in</w:t>
      </w:r>
      <w:r w:rsidR="004821D2">
        <w:t xml:space="preserve"> the calculation of</w:t>
      </w:r>
      <w:r w:rsidRPr="0085048F">
        <w:t xml:space="preserve"> a school’s DMI score.</w:t>
      </w:r>
    </w:p>
    <w:p w14:paraId="4CB261F7" w14:textId="65DBA1A9" w:rsidR="0085048F" w:rsidRPr="0085048F" w:rsidRDefault="0026347F" w:rsidP="002B7ECC">
      <w:pPr>
        <w:pStyle w:val="Heading6"/>
        <w:rPr>
          <w:kern w:val="2"/>
          <w14:ligatures w14:val="standardContextual"/>
        </w:rPr>
      </w:pPr>
      <w:bookmarkStart w:id="186" w:name="_Median_family_income"/>
      <w:bookmarkEnd w:id="186"/>
      <w:r w:rsidRPr="002B7ECC">
        <w:t>Median</w:t>
      </w:r>
      <w:r w:rsidRPr="0085048F">
        <w:rPr>
          <w:bCs/>
          <w:kern w:val="2"/>
          <w14:ligatures w14:val="standardContextual"/>
        </w:rPr>
        <w:t xml:space="preserve"> family income</w:t>
      </w:r>
    </w:p>
    <w:p w14:paraId="18245D10" w14:textId="7E488BCD" w:rsidR="0026347F" w:rsidRPr="0085048F" w:rsidRDefault="0026347F" w:rsidP="0026347F">
      <w:pPr>
        <w:rPr>
          <w:b/>
          <w:kern w:val="2"/>
          <w14:ligatures w14:val="standardContextual"/>
        </w:rPr>
      </w:pPr>
      <w:r w:rsidRPr="0085048F">
        <w:rPr>
          <w:kern w:val="2"/>
          <w14:ligatures w14:val="standardContextual"/>
        </w:rPr>
        <w:t xml:space="preserve">For a DMI score, the middle family income in the </w:t>
      </w:r>
      <w:r w:rsidR="00E26598">
        <w:rPr>
          <w:kern w:val="2"/>
          <w14:ligatures w14:val="standardContextual"/>
        </w:rPr>
        <w:t>range</w:t>
      </w:r>
      <w:r w:rsidRPr="0085048F">
        <w:rPr>
          <w:kern w:val="2"/>
          <w14:ligatures w14:val="standardContextual"/>
        </w:rPr>
        <w:t xml:space="preserve"> of family incomes of students attending the school.</w:t>
      </w:r>
    </w:p>
    <w:p w14:paraId="5BC2351D" w14:textId="31B8E2B0" w:rsidR="0085048F" w:rsidRPr="0085048F" w:rsidRDefault="00871E5A" w:rsidP="002B7ECC">
      <w:pPr>
        <w:pStyle w:val="Heading6"/>
        <w:rPr>
          <w:kern w:val="2"/>
          <w14:ligatures w14:val="standardContextual"/>
        </w:rPr>
      </w:pPr>
      <w:r w:rsidRPr="002B7ECC">
        <w:t>Minister</w:t>
      </w:r>
    </w:p>
    <w:p w14:paraId="5F115477" w14:textId="1CDD4146" w:rsidR="00871E5A" w:rsidRDefault="00871E5A" w:rsidP="003E3291">
      <w:pPr>
        <w:rPr>
          <w:kern w:val="2"/>
          <w14:ligatures w14:val="standardContextual"/>
        </w:rPr>
      </w:pPr>
      <w:r w:rsidRPr="0085048F">
        <w:rPr>
          <w:kern w:val="2"/>
          <w14:ligatures w14:val="standardContextual"/>
        </w:rPr>
        <w:t>Minister for Education.</w:t>
      </w:r>
    </w:p>
    <w:p w14:paraId="4527BF0E" w14:textId="77777777" w:rsidR="00980505" w:rsidRPr="001536DC" w:rsidRDefault="00980505" w:rsidP="001536DC">
      <w:pPr>
        <w:pStyle w:val="Heading6"/>
      </w:pPr>
      <w:r w:rsidRPr="001536DC">
        <w:t>Non-Government Representative Body</w:t>
      </w:r>
    </w:p>
    <w:p w14:paraId="0A2A9E6E" w14:textId="77E1F821" w:rsidR="00980505" w:rsidRPr="00980505" w:rsidRDefault="00980505" w:rsidP="00980505">
      <w:pPr>
        <w:rPr>
          <w:b/>
          <w:kern w:val="2"/>
          <w14:ligatures w14:val="standardContextual"/>
        </w:rPr>
      </w:pPr>
      <w:r>
        <w:rPr>
          <w:kern w:val="2"/>
          <w14:ligatures w14:val="standardContextual"/>
        </w:rPr>
        <w:t xml:space="preserve">A Non-Government Representative Body </w:t>
      </w:r>
      <w:r w:rsidR="005F61AA">
        <w:rPr>
          <w:kern w:val="2"/>
          <w14:ligatures w14:val="standardContextual"/>
        </w:rPr>
        <w:t xml:space="preserve">(NGRB) </w:t>
      </w:r>
      <w:r>
        <w:rPr>
          <w:kern w:val="2"/>
          <w14:ligatures w14:val="standardContextual"/>
        </w:rPr>
        <w:t xml:space="preserve">is approved </w:t>
      </w:r>
      <w:r w:rsidR="005F61AA">
        <w:rPr>
          <w:kern w:val="2"/>
          <w14:ligatures w14:val="standardContextual"/>
        </w:rPr>
        <w:t>under the Act for a non-government school. A list of schools each NGRB represents is available at:  [waiting on link to Department’s website from CAF]</w:t>
      </w:r>
    </w:p>
    <w:p w14:paraId="30E350B4" w14:textId="6F1DCAE8" w:rsidR="0085048F" w:rsidRPr="0085048F" w:rsidRDefault="00871E5A" w:rsidP="002B7ECC">
      <w:pPr>
        <w:pStyle w:val="Heading6"/>
        <w:rPr>
          <w:kern w:val="2"/>
          <w14:ligatures w14:val="standardContextual"/>
        </w:rPr>
      </w:pPr>
      <w:r w:rsidRPr="002B7ECC">
        <w:t>Parental</w:t>
      </w:r>
      <w:r w:rsidRPr="0085048F">
        <w:rPr>
          <w:kern w:val="2"/>
          <w14:ligatures w14:val="standardContextual"/>
        </w:rPr>
        <w:t xml:space="preserve"> survey</w:t>
      </w:r>
    </w:p>
    <w:p w14:paraId="36E24FFE" w14:textId="64FE1420" w:rsidR="00871E5A" w:rsidRPr="0085048F" w:rsidRDefault="00871E5A" w:rsidP="003E3291">
      <w:pPr>
        <w:rPr>
          <w:kern w:val="2"/>
          <w14:ligatures w14:val="standardContextual"/>
        </w:rPr>
      </w:pPr>
      <w:r w:rsidRPr="0085048F">
        <w:rPr>
          <w:kern w:val="2"/>
          <w14:ligatures w14:val="standardContextual"/>
        </w:rPr>
        <w:t>A survey of all eligible parents and guardians of students at a school to collect income data to</w:t>
      </w:r>
      <w:r w:rsidR="0085048F" w:rsidRPr="0085048F">
        <w:rPr>
          <w:kern w:val="2"/>
          <w14:ligatures w14:val="standardContextual"/>
        </w:rPr>
        <w:t xml:space="preserve"> calculate Adjusted Taxable Incomes to</w:t>
      </w:r>
      <w:r w:rsidRPr="0085048F">
        <w:rPr>
          <w:kern w:val="2"/>
          <w14:ligatures w14:val="standardContextual"/>
        </w:rPr>
        <w:t xml:space="preserve"> inform the calculation of a new </w:t>
      </w:r>
      <w:r w:rsidR="00BA1F02" w:rsidRPr="0085048F">
        <w:rPr>
          <w:kern w:val="2"/>
          <w14:ligatures w14:val="standardContextual"/>
        </w:rPr>
        <w:t>CTC score</w:t>
      </w:r>
      <w:r w:rsidRPr="0085048F">
        <w:rPr>
          <w:kern w:val="2"/>
          <w14:ligatures w14:val="standardContextual"/>
        </w:rPr>
        <w:t>.</w:t>
      </w:r>
    </w:p>
    <w:p w14:paraId="49FA210A" w14:textId="0256F48F" w:rsidR="0085048F" w:rsidRPr="002B7ECC" w:rsidRDefault="00091BB7" w:rsidP="002B7ECC">
      <w:pPr>
        <w:pStyle w:val="Heading6"/>
        <w:rPr>
          <w:b w:val="0"/>
          <w:bCs/>
          <w:kern w:val="2"/>
          <w14:ligatures w14:val="standardContextual"/>
        </w:rPr>
      </w:pPr>
      <w:r w:rsidRPr="002B7ECC">
        <w:t>PLIDA</w:t>
      </w:r>
    </w:p>
    <w:p w14:paraId="5C270AE7" w14:textId="19ECEE21" w:rsidR="00091BB7" w:rsidRPr="0085048F" w:rsidRDefault="00091BB7" w:rsidP="003E3291">
      <w:pPr>
        <w:rPr>
          <w:b/>
          <w:bCs/>
          <w:kern w:val="2"/>
          <w14:ligatures w14:val="standardContextual"/>
        </w:rPr>
      </w:pPr>
      <w:r w:rsidRPr="0085048F">
        <w:rPr>
          <w:kern w:val="2"/>
          <w14:ligatures w14:val="standardContextual"/>
        </w:rPr>
        <w:t xml:space="preserve">Person Level Integrated Data Asset (formerly </w:t>
      </w:r>
      <w:r w:rsidR="002533F2" w:rsidRPr="0085048F">
        <w:rPr>
          <w:kern w:val="2"/>
          <w14:ligatures w14:val="standardContextual"/>
        </w:rPr>
        <w:t>known as the</w:t>
      </w:r>
      <w:r w:rsidRPr="0085048F">
        <w:rPr>
          <w:kern w:val="2"/>
          <w14:ligatures w14:val="standardContextual"/>
        </w:rPr>
        <w:t xml:space="preserve"> Multi-Agency Data Integration Project (MADIP))</w:t>
      </w:r>
      <w:r w:rsidR="002533F2" w:rsidRPr="0085048F">
        <w:rPr>
          <w:kern w:val="2"/>
          <w14:ligatures w14:val="standardContextual"/>
        </w:rPr>
        <w:t xml:space="preserve"> is a secure data asset combining information on health, education, government payments, income and taxation, employment and population demographics (including the</w:t>
      </w:r>
      <w:r w:rsidR="001B066D" w:rsidRPr="0085048F">
        <w:rPr>
          <w:kern w:val="2"/>
          <w14:ligatures w14:val="standardContextual"/>
        </w:rPr>
        <w:t xml:space="preserve"> Australian Bureau of Statistics (ABS)</w:t>
      </w:r>
      <w:r w:rsidR="002533F2" w:rsidRPr="0085048F">
        <w:rPr>
          <w:kern w:val="2"/>
          <w14:ligatures w14:val="standardContextual"/>
        </w:rPr>
        <w:t xml:space="preserve"> Census of Population and Housing) over time. The </w:t>
      </w:r>
      <w:r w:rsidR="001B066D" w:rsidRPr="0085048F">
        <w:rPr>
          <w:kern w:val="2"/>
          <w14:ligatures w14:val="standardContextual"/>
        </w:rPr>
        <w:t>ABS</w:t>
      </w:r>
      <w:r w:rsidR="002533F2" w:rsidRPr="0085048F">
        <w:rPr>
          <w:kern w:val="2"/>
          <w14:ligatures w14:val="standardContextual"/>
        </w:rPr>
        <w:t xml:space="preserve"> is the accredited Integrating </w:t>
      </w:r>
      <w:r w:rsidR="002533F2" w:rsidRPr="0085048F">
        <w:rPr>
          <w:kern w:val="2"/>
          <w14:ligatures w14:val="standardContextual"/>
        </w:rPr>
        <w:lastRenderedPageBreak/>
        <w:t xml:space="preserve">Authority for PLIDA. More information is available at: </w:t>
      </w:r>
      <w:hyperlink r:id="rId34" w:history="1">
        <w:r w:rsidR="002533F2" w:rsidRPr="0085048F">
          <w:rPr>
            <w:rStyle w:val="Hyperlink"/>
            <w:kern w:val="2"/>
            <w14:ligatures w14:val="standardContextual"/>
          </w:rPr>
          <w:t>www.abs.gov.au/about/data-services/data-integration/integrated-data/person-level-integrated-data-asset-plida</w:t>
        </w:r>
      </w:hyperlink>
      <w:r w:rsidR="00D5325D" w:rsidRPr="0085048F">
        <w:t>.</w:t>
      </w:r>
    </w:p>
    <w:p w14:paraId="2FC2B663" w14:textId="1CBDD74B" w:rsidR="00104E94" w:rsidRDefault="00104E94" w:rsidP="002B7ECC">
      <w:pPr>
        <w:pStyle w:val="Heading6"/>
      </w:pPr>
      <w:r>
        <w:t>RAB-based score</w:t>
      </w:r>
    </w:p>
    <w:p w14:paraId="1933EE4A" w14:textId="44518E9E" w:rsidR="00104E94" w:rsidRPr="00104E94" w:rsidRDefault="00104E94" w:rsidP="00703509">
      <w:r>
        <w:t>A Refined Area Based score used as a school’s CTC score when an average DMI score is not available (except for</w:t>
      </w:r>
      <w:r w:rsidR="00494B1B">
        <w:t xml:space="preserve"> CTC scores for 2026).</w:t>
      </w:r>
    </w:p>
    <w:p w14:paraId="5E03A1DC" w14:textId="48035D04" w:rsidR="0085048F" w:rsidRPr="0085048F" w:rsidRDefault="00871E5A" w:rsidP="002B7ECC">
      <w:pPr>
        <w:pStyle w:val="Heading6"/>
        <w:rPr>
          <w:kern w:val="2"/>
          <w14:ligatures w14:val="standardContextual"/>
        </w:rPr>
      </w:pPr>
      <w:r w:rsidRPr="002B7ECC">
        <w:t>Refined</w:t>
      </w:r>
      <w:r w:rsidRPr="0085048F">
        <w:rPr>
          <w:kern w:val="2"/>
          <w14:ligatures w14:val="standardContextual"/>
        </w:rPr>
        <w:t xml:space="preserve"> Area Based (RAB) score</w:t>
      </w:r>
    </w:p>
    <w:p w14:paraId="27BC99CE" w14:textId="747A963D" w:rsidR="00871E5A" w:rsidRDefault="0085048F" w:rsidP="003E3291">
      <w:pPr>
        <w:rPr>
          <w:kern w:val="2"/>
          <w14:ligatures w14:val="standardContextual"/>
        </w:rPr>
      </w:pPr>
      <w:r w:rsidRPr="0085048F">
        <w:rPr>
          <w:kern w:val="2"/>
          <w14:ligatures w14:val="standardContextual"/>
        </w:rPr>
        <w:t>A</w:t>
      </w:r>
      <w:r w:rsidR="00871E5A" w:rsidRPr="0085048F">
        <w:rPr>
          <w:kern w:val="2"/>
          <w14:ligatures w14:val="standardContextual"/>
        </w:rPr>
        <w:t xml:space="preserve"> score worked out in accordance with subsection 23(2) of the Regulation</w:t>
      </w:r>
      <w:r w:rsidR="00E729F5" w:rsidRPr="0085048F">
        <w:rPr>
          <w:kern w:val="2"/>
          <w14:ligatures w14:val="standardContextual"/>
        </w:rPr>
        <w:t>s</w:t>
      </w:r>
      <w:r w:rsidR="00871E5A" w:rsidRPr="0085048F">
        <w:rPr>
          <w:kern w:val="2"/>
          <w14:ligatures w14:val="standardContextual"/>
        </w:rPr>
        <w:t xml:space="preserve"> using family and household incomes of the areas where students enrolled at a school </w:t>
      </w:r>
      <w:r w:rsidR="00F428ED">
        <w:rPr>
          <w:kern w:val="2"/>
          <w14:ligatures w14:val="standardContextual"/>
        </w:rPr>
        <w:t>reside</w:t>
      </w:r>
      <w:r w:rsidR="00871E5A" w:rsidRPr="0085048F">
        <w:rPr>
          <w:kern w:val="2"/>
          <w14:ligatures w14:val="standardContextual"/>
        </w:rPr>
        <w:t>.</w:t>
      </w:r>
    </w:p>
    <w:p w14:paraId="0FD2FF9D" w14:textId="3CBA2C54" w:rsidR="0085048F" w:rsidRPr="0085048F" w:rsidRDefault="00012553" w:rsidP="002B7ECC">
      <w:pPr>
        <w:pStyle w:val="Heading6"/>
        <w:rPr>
          <w:kern w:val="2"/>
          <w14:ligatures w14:val="standardContextual"/>
        </w:rPr>
      </w:pPr>
      <w:bookmarkStart w:id="187" w:name="_Statement_of_enrolments"/>
      <w:bookmarkEnd w:id="187"/>
      <w:r w:rsidRPr="002B7ECC">
        <w:t>Statement</w:t>
      </w:r>
      <w:r w:rsidRPr="0085048F">
        <w:rPr>
          <w:kern w:val="2"/>
          <w14:ligatures w14:val="standardContextual"/>
        </w:rPr>
        <w:t xml:space="preserve"> of enrolments</w:t>
      </w:r>
    </w:p>
    <w:p w14:paraId="2E547502" w14:textId="5EAAFDBD" w:rsidR="00012553" w:rsidRPr="0085048F" w:rsidRDefault="00B86AEB" w:rsidP="003E3291">
      <w:pPr>
        <w:rPr>
          <w:b/>
          <w:kern w:val="2"/>
          <w14:ligatures w14:val="standardContextual"/>
        </w:rPr>
      </w:pPr>
      <w:r>
        <w:rPr>
          <w:kern w:val="2"/>
          <w14:ligatures w14:val="standardContextual"/>
        </w:rPr>
        <w:t>U</w:t>
      </w:r>
      <w:r w:rsidR="00012553" w:rsidRPr="0085048F">
        <w:rPr>
          <w:kern w:val="2"/>
          <w14:ligatures w14:val="standardContextual"/>
        </w:rPr>
        <w:t>pdated enrolment information provided to the department by an approved authority for a school via SchoolsHUB.</w:t>
      </w:r>
    </w:p>
    <w:p w14:paraId="4750DB36" w14:textId="4E76CBA3" w:rsidR="0085048F" w:rsidRPr="0085048F" w:rsidRDefault="00871E5A" w:rsidP="002B7ECC">
      <w:pPr>
        <w:pStyle w:val="Heading6"/>
        <w:rPr>
          <w:kern w:val="2"/>
          <w14:ligatures w14:val="standardContextual"/>
        </w:rPr>
      </w:pPr>
      <w:r w:rsidRPr="0085048F">
        <w:rPr>
          <w:kern w:val="2"/>
          <w14:ligatures w14:val="standardContextual"/>
        </w:rPr>
        <w:t xml:space="preserve">The </w:t>
      </w:r>
      <w:r w:rsidRPr="002B7ECC">
        <w:t>Regulations</w:t>
      </w:r>
    </w:p>
    <w:p w14:paraId="09653939" w14:textId="5F128A54" w:rsidR="00871E5A" w:rsidRPr="0085048F" w:rsidRDefault="00871E5A" w:rsidP="003E3291">
      <w:pPr>
        <w:rPr>
          <w:kern w:val="2"/>
          <w14:ligatures w14:val="standardContextual"/>
        </w:rPr>
      </w:pPr>
      <w:r w:rsidRPr="0085048F">
        <w:rPr>
          <w:kern w:val="2"/>
          <w14:ligatures w14:val="standardContextual"/>
        </w:rPr>
        <w:t xml:space="preserve">Refers to the </w:t>
      </w:r>
      <w:r w:rsidRPr="0085048F">
        <w:rPr>
          <w:iCs/>
          <w:kern w:val="2"/>
          <w14:ligatures w14:val="standardContextual"/>
        </w:rPr>
        <w:t>Australian Education Regulation</w:t>
      </w:r>
      <w:r w:rsidR="00E729F5" w:rsidRPr="0085048F">
        <w:rPr>
          <w:iCs/>
          <w:kern w:val="2"/>
          <w14:ligatures w14:val="standardContextual"/>
        </w:rPr>
        <w:t>s</w:t>
      </w:r>
      <w:r w:rsidRPr="0085048F">
        <w:rPr>
          <w:iCs/>
          <w:kern w:val="2"/>
          <w14:ligatures w14:val="standardContextual"/>
        </w:rPr>
        <w:t xml:space="preserve"> 20</w:t>
      </w:r>
      <w:r w:rsidR="00E729F5" w:rsidRPr="0085048F">
        <w:rPr>
          <w:iCs/>
          <w:kern w:val="2"/>
          <w14:ligatures w14:val="standardContextual"/>
        </w:rPr>
        <w:t>2</w:t>
      </w:r>
      <w:r w:rsidRPr="0085048F">
        <w:rPr>
          <w:iCs/>
          <w:kern w:val="2"/>
          <w14:ligatures w14:val="standardContextual"/>
        </w:rPr>
        <w:t>3</w:t>
      </w:r>
      <w:r w:rsidRPr="000F1BA3">
        <w:rPr>
          <w:iCs/>
          <w:kern w:val="2"/>
          <w:highlight w:val="lightGray"/>
          <w14:ligatures w14:val="standardContextual"/>
        </w:rPr>
        <w:t>.</w:t>
      </w:r>
    </w:p>
    <w:p w14:paraId="5AFE9CD8" w14:textId="474A7619" w:rsidR="0085048F" w:rsidRPr="0085048F" w:rsidRDefault="00871E5A" w:rsidP="002B7ECC">
      <w:pPr>
        <w:pStyle w:val="Heading6"/>
        <w:rPr>
          <w:kern w:val="2"/>
          <w14:ligatures w14:val="standardContextual"/>
        </w:rPr>
      </w:pPr>
      <w:r w:rsidRPr="002B7ECC">
        <w:t>Reviewable</w:t>
      </w:r>
      <w:r w:rsidRPr="0085048F">
        <w:rPr>
          <w:kern w:val="2"/>
          <w14:ligatures w14:val="standardContextual"/>
        </w:rPr>
        <w:t xml:space="preserve"> decision</w:t>
      </w:r>
    </w:p>
    <w:p w14:paraId="0B50FAD4" w14:textId="0EA17E91" w:rsidR="00871E5A" w:rsidRPr="0085048F" w:rsidRDefault="00871E5A" w:rsidP="003E3291">
      <w:pPr>
        <w:rPr>
          <w:kern w:val="2"/>
          <w14:ligatures w14:val="standardContextual"/>
        </w:rPr>
      </w:pPr>
      <w:r w:rsidRPr="0085048F">
        <w:rPr>
          <w:kern w:val="2"/>
          <w14:ligatures w14:val="standardContextual"/>
        </w:rPr>
        <w:t xml:space="preserve">As defined under section 118 of the </w:t>
      </w:r>
      <w:r w:rsidRPr="0085048F">
        <w:rPr>
          <w:i/>
          <w:kern w:val="2"/>
          <w14:ligatures w14:val="standardContextual"/>
        </w:rPr>
        <w:t>Australian Education Act 2013.</w:t>
      </w:r>
    </w:p>
    <w:p w14:paraId="22A873F8" w14:textId="64814037" w:rsidR="0085048F" w:rsidRPr="0085048F" w:rsidRDefault="00871E5A" w:rsidP="002B7ECC">
      <w:pPr>
        <w:pStyle w:val="Heading6"/>
        <w:rPr>
          <w:kern w:val="2"/>
          <w14:ligatures w14:val="standardContextual"/>
        </w:rPr>
      </w:pPr>
      <w:r w:rsidRPr="002B7ECC">
        <w:t>Review</w:t>
      </w:r>
      <w:r w:rsidRPr="0085048F">
        <w:rPr>
          <w:kern w:val="2"/>
          <w14:ligatures w14:val="standardContextual"/>
        </w:rPr>
        <w:t xml:space="preserve"> scenario</w:t>
      </w:r>
    </w:p>
    <w:p w14:paraId="3CB3568E" w14:textId="4D895905" w:rsidR="00871E5A" w:rsidRPr="0085048F" w:rsidRDefault="00871E5A" w:rsidP="003E3291">
      <w:pPr>
        <w:rPr>
          <w:kern w:val="2"/>
          <w14:ligatures w14:val="standardContextual"/>
        </w:rPr>
      </w:pPr>
      <w:r w:rsidRPr="0085048F">
        <w:rPr>
          <w:kern w:val="2"/>
          <w14:ligatures w14:val="standardContextual"/>
        </w:rPr>
        <w:t xml:space="preserve">Review scenarios describe the reasons for a </w:t>
      </w:r>
      <w:r w:rsidR="00BA1F02" w:rsidRPr="0085048F">
        <w:rPr>
          <w:kern w:val="2"/>
          <w14:ligatures w14:val="standardContextual"/>
        </w:rPr>
        <w:t>CTC score</w:t>
      </w:r>
      <w:r w:rsidRPr="0085048F">
        <w:rPr>
          <w:kern w:val="2"/>
          <w14:ligatures w14:val="standardContextual"/>
        </w:rPr>
        <w:t xml:space="preserve"> review application and the type of evidence need</w:t>
      </w:r>
      <w:r w:rsidR="005E3383" w:rsidRPr="0085048F">
        <w:rPr>
          <w:kern w:val="2"/>
          <w14:ligatures w14:val="standardContextual"/>
        </w:rPr>
        <w:t>ed</w:t>
      </w:r>
      <w:r w:rsidRPr="0085048F">
        <w:rPr>
          <w:kern w:val="2"/>
          <w14:ligatures w14:val="standardContextual"/>
        </w:rPr>
        <w:t xml:space="preserve"> to support an application.</w:t>
      </w:r>
    </w:p>
    <w:p w14:paraId="1FE07678" w14:textId="1FAD9492" w:rsidR="0085048F" w:rsidRPr="0085048F" w:rsidRDefault="0026347F" w:rsidP="002B7ECC">
      <w:pPr>
        <w:pStyle w:val="Heading6"/>
        <w:rPr>
          <w:kern w:val="2"/>
          <w14:ligatures w14:val="standardContextual"/>
        </w:rPr>
      </w:pPr>
      <w:bookmarkStart w:id="188" w:name="_SA1"/>
      <w:bookmarkEnd w:id="188"/>
      <w:r w:rsidRPr="002B7ECC">
        <w:t>SA1</w:t>
      </w:r>
    </w:p>
    <w:p w14:paraId="02F66C22" w14:textId="40FBBC5B" w:rsidR="0026347F" w:rsidRPr="0085048F" w:rsidRDefault="0085048F" w:rsidP="003E3291">
      <w:pPr>
        <w:rPr>
          <w:kern w:val="2"/>
          <w14:ligatures w14:val="standardContextual"/>
        </w:rPr>
      </w:pPr>
      <w:r w:rsidRPr="0085048F">
        <w:rPr>
          <w:kern w:val="2"/>
          <w14:ligatures w14:val="standardContextual"/>
        </w:rPr>
        <w:t>S</w:t>
      </w:r>
      <w:r w:rsidR="0026347F" w:rsidRPr="0085048F">
        <w:rPr>
          <w:kern w:val="2"/>
          <w14:ligatures w14:val="standardContextual"/>
        </w:rPr>
        <w:t>ee Statistical Area Level 1.</w:t>
      </w:r>
    </w:p>
    <w:p w14:paraId="71A71E7F" w14:textId="2928E2E5" w:rsidR="0085048F" w:rsidRPr="0085048F" w:rsidRDefault="00812AC3" w:rsidP="002B7ECC">
      <w:pPr>
        <w:pStyle w:val="Heading6"/>
        <w:rPr>
          <w:kern w:val="2"/>
          <w14:ligatures w14:val="standardContextual"/>
        </w:rPr>
      </w:pPr>
      <w:r w:rsidRPr="002B7ECC">
        <w:t>School</w:t>
      </w:r>
      <w:r w:rsidRPr="0085048F">
        <w:rPr>
          <w:kern w:val="2"/>
          <w14:ligatures w14:val="standardContextual"/>
        </w:rPr>
        <w:t xml:space="preserve"> community</w:t>
      </w:r>
    </w:p>
    <w:p w14:paraId="7FBBEA3B" w14:textId="155305F3" w:rsidR="00812AC3" w:rsidRPr="0085048F" w:rsidRDefault="00B86AEB" w:rsidP="003E3291">
      <w:pPr>
        <w:rPr>
          <w:kern w:val="2"/>
          <w14:ligatures w14:val="standardContextual"/>
        </w:rPr>
      </w:pPr>
      <w:r>
        <w:rPr>
          <w:kern w:val="2"/>
          <w14:ligatures w14:val="standardContextual"/>
        </w:rPr>
        <w:t>T</w:t>
      </w:r>
      <w:r w:rsidR="00812AC3" w:rsidRPr="0085048F">
        <w:rPr>
          <w:kern w:val="2"/>
          <w14:ligatures w14:val="standardContextual"/>
        </w:rPr>
        <w:t>he parent</w:t>
      </w:r>
      <w:r w:rsidR="000266B1" w:rsidRPr="0085048F">
        <w:rPr>
          <w:kern w:val="2"/>
          <w14:ligatures w14:val="standardContextual"/>
        </w:rPr>
        <w:t>s</w:t>
      </w:r>
      <w:r w:rsidR="00812AC3" w:rsidRPr="0085048F">
        <w:rPr>
          <w:kern w:val="2"/>
          <w14:ligatures w14:val="standardContextual"/>
        </w:rPr>
        <w:t xml:space="preserve"> </w:t>
      </w:r>
      <w:r w:rsidR="000266B1" w:rsidRPr="0085048F">
        <w:rPr>
          <w:kern w:val="2"/>
          <w14:ligatures w14:val="standardContextual"/>
        </w:rPr>
        <w:t>and</w:t>
      </w:r>
      <w:r w:rsidR="00812AC3" w:rsidRPr="0085048F">
        <w:rPr>
          <w:kern w:val="2"/>
          <w14:ligatures w14:val="standardContextual"/>
        </w:rPr>
        <w:t xml:space="preserve"> guardian</w:t>
      </w:r>
      <w:r w:rsidR="000266B1" w:rsidRPr="0085048F">
        <w:rPr>
          <w:kern w:val="2"/>
          <w14:ligatures w14:val="standardContextual"/>
        </w:rPr>
        <w:t>s</w:t>
      </w:r>
      <w:r w:rsidR="00812AC3" w:rsidRPr="0085048F">
        <w:rPr>
          <w:kern w:val="2"/>
          <w14:ligatures w14:val="standardContextual"/>
        </w:rPr>
        <w:t xml:space="preserve"> responsible for the students attending a school.</w:t>
      </w:r>
    </w:p>
    <w:p w14:paraId="6D1D66AB" w14:textId="2D17F50C" w:rsidR="0085048F" w:rsidRPr="0085048F" w:rsidRDefault="00871E5A" w:rsidP="002B7ECC">
      <w:pPr>
        <w:pStyle w:val="Heading6"/>
        <w:rPr>
          <w:kern w:val="2"/>
          <w14:ligatures w14:val="standardContextual"/>
        </w:rPr>
      </w:pPr>
      <w:r w:rsidRPr="002B7ECC">
        <w:t>Schooling</w:t>
      </w:r>
      <w:r w:rsidRPr="0085048F">
        <w:rPr>
          <w:kern w:val="2"/>
          <w14:ligatures w14:val="standardContextual"/>
        </w:rPr>
        <w:t xml:space="preserve"> Resource Standard (SRS)</w:t>
      </w:r>
    </w:p>
    <w:p w14:paraId="470C60A0" w14:textId="7EFD3E39" w:rsidR="00871E5A" w:rsidRPr="0085048F" w:rsidRDefault="00B86AEB" w:rsidP="003E3291">
      <w:pPr>
        <w:rPr>
          <w:kern w:val="2"/>
          <w14:ligatures w14:val="standardContextual"/>
        </w:rPr>
      </w:pPr>
      <w:r>
        <w:rPr>
          <w:kern w:val="2"/>
          <w14:ligatures w14:val="standardContextual"/>
        </w:rPr>
        <w:t>T</w:t>
      </w:r>
      <w:r w:rsidR="00871E5A" w:rsidRPr="0085048F">
        <w:rPr>
          <w:kern w:val="2"/>
          <w14:ligatures w14:val="standardContextual"/>
        </w:rPr>
        <w:t>he sum of a school’s base amount</w:t>
      </w:r>
      <w:r w:rsidR="008973DA" w:rsidRPr="0085048F">
        <w:rPr>
          <w:kern w:val="2"/>
          <w14:ligatures w14:val="standardContextual"/>
        </w:rPr>
        <w:t xml:space="preserve"> (</w:t>
      </w:r>
      <w:r w:rsidR="00207DA6" w:rsidRPr="0085048F">
        <w:rPr>
          <w:kern w:val="2"/>
          <w14:ligatures w14:val="standardContextual"/>
        </w:rPr>
        <w:t xml:space="preserve">as described at subsection 33(1) of the </w:t>
      </w:r>
      <w:r w:rsidR="00207DA6" w:rsidRPr="0085048F">
        <w:rPr>
          <w:i/>
          <w:iCs/>
          <w:kern w:val="2"/>
          <w14:ligatures w14:val="standardContextual"/>
        </w:rPr>
        <w:t>A</w:t>
      </w:r>
      <w:r w:rsidR="00B365A0" w:rsidRPr="0085048F">
        <w:rPr>
          <w:i/>
          <w:iCs/>
          <w:kern w:val="2"/>
          <w14:ligatures w14:val="standardContextual"/>
        </w:rPr>
        <w:t>ustralian Education A</w:t>
      </w:r>
      <w:r w:rsidR="00207DA6" w:rsidRPr="0085048F">
        <w:rPr>
          <w:i/>
          <w:iCs/>
          <w:kern w:val="2"/>
          <w14:ligatures w14:val="standardContextual"/>
        </w:rPr>
        <w:t>ct</w:t>
      </w:r>
      <w:r w:rsidR="00B365A0" w:rsidRPr="0085048F">
        <w:rPr>
          <w:i/>
          <w:iCs/>
          <w:kern w:val="2"/>
          <w14:ligatures w14:val="standardContextual"/>
        </w:rPr>
        <w:t> 2013</w:t>
      </w:r>
      <w:r w:rsidR="00207DA6" w:rsidRPr="0085048F">
        <w:rPr>
          <w:kern w:val="2"/>
          <w14:ligatures w14:val="standardContextual"/>
        </w:rPr>
        <w:t xml:space="preserve"> which is </w:t>
      </w:r>
      <w:r w:rsidR="008973DA" w:rsidRPr="0085048F">
        <w:rPr>
          <w:kern w:val="2"/>
          <w14:ligatures w14:val="standardContextual"/>
        </w:rPr>
        <w:t xml:space="preserve">inclusive of </w:t>
      </w:r>
      <w:r w:rsidR="00207DA6" w:rsidRPr="0085048F">
        <w:rPr>
          <w:kern w:val="2"/>
          <w14:ligatures w14:val="standardContextual"/>
        </w:rPr>
        <w:t>any CTC reduction)</w:t>
      </w:r>
      <w:r w:rsidR="00871E5A" w:rsidRPr="0085048F">
        <w:rPr>
          <w:kern w:val="2"/>
          <w14:ligatures w14:val="standardContextual"/>
        </w:rPr>
        <w:t xml:space="preserve"> and total loadings for a year</w:t>
      </w:r>
      <w:r w:rsidR="00207DA6" w:rsidRPr="0085048F">
        <w:rPr>
          <w:kern w:val="2"/>
          <w14:ligatures w14:val="standardContextual"/>
        </w:rPr>
        <w:t>.</w:t>
      </w:r>
    </w:p>
    <w:p w14:paraId="0E0A12A6" w14:textId="5448FE67" w:rsidR="0085048F" w:rsidRPr="0085048F" w:rsidRDefault="00871E5A" w:rsidP="002B7ECC">
      <w:pPr>
        <w:pStyle w:val="Heading6"/>
        <w:rPr>
          <w:kern w:val="2"/>
          <w14:ligatures w14:val="standardContextual"/>
        </w:rPr>
      </w:pPr>
      <w:r w:rsidRPr="0085048F">
        <w:rPr>
          <w:kern w:val="2"/>
          <w14:ligatures w14:val="standardContextual"/>
        </w:rPr>
        <w:t xml:space="preserve">Small </w:t>
      </w:r>
      <w:r w:rsidRPr="002B7ECC">
        <w:t>and</w:t>
      </w:r>
      <w:r w:rsidRPr="0085048F">
        <w:rPr>
          <w:kern w:val="2"/>
          <w14:ligatures w14:val="standardContextual"/>
        </w:rPr>
        <w:t xml:space="preserve"> very small schools</w:t>
      </w:r>
    </w:p>
    <w:p w14:paraId="78B890B4" w14:textId="3995ADD2" w:rsidR="00871E5A" w:rsidRPr="0085048F" w:rsidRDefault="00B86AEB" w:rsidP="003E3291">
      <w:pPr>
        <w:rPr>
          <w:kern w:val="2"/>
          <w14:ligatures w14:val="standardContextual"/>
        </w:rPr>
      </w:pPr>
      <w:r>
        <w:rPr>
          <w:kern w:val="2"/>
          <w14:ligatures w14:val="standardContextual"/>
        </w:rPr>
        <w:t>A</w:t>
      </w:r>
      <w:r w:rsidR="00871E5A" w:rsidRPr="0085048F">
        <w:rPr>
          <w:kern w:val="2"/>
          <w14:ligatures w14:val="standardContextual"/>
        </w:rPr>
        <w:t>s defined in section 43 of the Act.</w:t>
      </w:r>
    </w:p>
    <w:p w14:paraId="0C70F168" w14:textId="3E3A3611" w:rsidR="0085048F" w:rsidRPr="0085048F" w:rsidRDefault="00871E5A" w:rsidP="002B7ECC">
      <w:pPr>
        <w:pStyle w:val="Heading6"/>
        <w:rPr>
          <w:kern w:val="2"/>
          <w14:ligatures w14:val="standardContextual"/>
        </w:rPr>
      </w:pPr>
      <w:bookmarkStart w:id="189" w:name="_Statistical_Area_Level"/>
      <w:bookmarkEnd w:id="189"/>
      <w:r w:rsidRPr="002B7ECC">
        <w:t>Statistical</w:t>
      </w:r>
      <w:r w:rsidRPr="0085048F">
        <w:rPr>
          <w:kern w:val="2"/>
          <w14:ligatures w14:val="standardContextual"/>
        </w:rPr>
        <w:t xml:space="preserve"> Area Level 1 (SA1)</w:t>
      </w:r>
    </w:p>
    <w:p w14:paraId="5B9443F9" w14:textId="5A390FC7" w:rsidR="00871E5A" w:rsidRDefault="00871E5A" w:rsidP="003E3291">
      <w:pPr>
        <w:rPr>
          <w:kern w:val="2"/>
          <w14:ligatures w14:val="standardContextual"/>
        </w:rPr>
      </w:pPr>
      <w:r w:rsidRPr="0085048F">
        <w:rPr>
          <w:kern w:val="2"/>
          <w14:ligatures w14:val="standardContextual"/>
        </w:rPr>
        <w:t xml:space="preserve">SA1s are geographic areas with most having a population of between 200 and 800 persons, with an average of 400 persons. SA1s identify areas with different geographic characteristics within suburb and locality boundaries. Data from the Census of Population and Housing by SA1s is used for RAB-based </w:t>
      </w:r>
      <w:r w:rsidR="00BA1F02" w:rsidRPr="0085048F">
        <w:rPr>
          <w:kern w:val="2"/>
          <w14:ligatures w14:val="standardContextual"/>
        </w:rPr>
        <w:t>CTC score</w:t>
      </w:r>
      <w:r w:rsidRPr="0085048F">
        <w:rPr>
          <w:kern w:val="2"/>
          <w14:ligatures w14:val="standardContextual"/>
        </w:rPr>
        <w:t>s.</w:t>
      </w:r>
    </w:p>
    <w:p w14:paraId="69AEE26F" w14:textId="5A049C92" w:rsidR="00303179" w:rsidRPr="000F1BA3" w:rsidRDefault="00303179" w:rsidP="000F1BA3">
      <w:pPr>
        <w:pStyle w:val="Heading6"/>
      </w:pPr>
      <w:r w:rsidRPr="000F1BA3">
        <w:t>Student Priority Cohorts</w:t>
      </w:r>
    </w:p>
    <w:p w14:paraId="53DF55CC" w14:textId="2CA246F9" w:rsidR="0085048F" w:rsidRPr="0085048F" w:rsidRDefault="00303179" w:rsidP="00303179">
      <w:pPr>
        <w:rPr>
          <w:kern w:val="2"/>
          <w14:ligatures w14:val="standardContextual"/>
        </w:rPr>
      </w:pPr>
      <w:r>
        <w:rPr>
          <w:kern w:val="2"/>
          <w14:ligatures w14:val="standardContextual"/>
        </w:rPr>
        <w:t xml:space="preserve">Students who require additional support in the classroom to participate fully in school education. The Schooling Resource Standard identifies 4 student priority cohorts: students with disability, First Nations Students, </w:t>
      </w:r>
      <w:r w:rsidRPr="00303179">
        <w:rPr>
          <w:iCs/>
          <w:kern w:val="2"/>
          <w14:ligatures w14:val="standardContextual"/>
        </w:rPr>
        <w:t>students from socio-educationally disadvantaged backgrounds</w:t>
      </w:r>
      <w:r>
        <w:rPr>
          <w:iCs/>
          <w:kern w:val="2"/>
          <w14:ligatures w14:val="standardContextual"/>
        </w:rPr>
        <w:t xml:space="preserve"> and</w:t>
      </w:r>
      <w:r w:rsidRPr="00303179">
        <w:rPr>
          <w:iCs/>
          <w:kern w:val="2"/>
          <w14:ligatures w14:val="standardContextual"/>
        </w:rPr>
        <w:t xml:space="preserve"> students from low English language proficiency backgrounds</w:t>
      </w:r>
      <w:r>
        <w:rPr>
          <w:iCs/>
          <w:kern w:val="2"/>
          <w14:ligatures w14:val="standardContextual"/>
        </w:rPr>
        <w:t>.</w:t>
      </w:r>
    </w:p>
    <w:p w14:paraId="1AF08DD8" w14:textId="32687394" w:rsidR="0085048F" w:rsidRPr="002B7ECC" w:rsidRDefault="00212ECF" w:rsidP="002B7ECC">
      <w:pPr>
        <w:pStyle w:val="Heading6"/>
        <w:rPr>
          <w:b w:val="0"/>
          <w:kern w:val="2"/>
          <w14:ligatures w14:val="standardContextual"/>
        </w:rPr>
      </w:pPr>
      <w:bookmarkStart w:id="190" w:name="_Technical_Framework_for"/>
      <w:bookmarkEnd w:id="1"/>
      <w:bookmarkEnd w:id="2"/>
      <w:bookmarkEnd w:id="3"/>
      <w:bookmarkEnd w:id="190"/>
      <w:r w:rsidRPr="002B7ECC">
        <w:lastRenderedPageBreak/>
        <w:t>Technical</w:t>
      </w:r>
      <w:r w:rsidRPr="0085048F">
        <w:rPr>
          <w:kern w:val="2"/>
          <w14:ligatures w14:val="standardContextual"/>
        </w:rPr>
        <w:t xml:space="preserve"> Framework for the Capacity to Contribute Review Process, Version 2</w:t>
      </w:r>
    </w:p>
    <w:p w14:paraId="590EE419" w14:textId="6C26CA68" w:rsidR="00207DA6" w:rsidRPr="0085048F" w:rsidRDefault="00212ECF" w:rsidP="00207DA6">
      <w:r w:rsidRPr="0085048F">
        <w:rPr>
          <w:kern w:val="2"/>
          <w14:ligatures w14:val="standardContextual"/>
        </w:rPr>
        <w:t>Produced by the</w:t>
      </w:r>
      <w:r w:rsidRPr="0085048F">
        <w:rPr>
          <w:b/>
          <w:kern w:val="2"/>
          <w14:ligatures w14:val="standardContextual"/>
        </w:rPr>
        <w:t xml:space="preserve"> </w:t>
      </w:r>
      <w:r w:rsidRPr="0085048F">
        <w:rPr>
          <w:kern w:val="2"/>
          <w14:ligatures w14:val="standardContextual"/>
        </w:rPr>
        <w:t>Australian Bureau of Statistics to provide statistical advice to</w:t>
      </w:r>
      <w:r w:rsidR="00812AC3" w:rsidRPr="0085048F">
        <w:rPr>
          <w:kern w:val="2"/>
          <w14:ligatures w14:val="standardContextual"/>
        </w:rPr>
        <w:t xml:space="preserve"> the Department to</w:t>
      </w:r>
      <w:r w:rsidRPr="0085048F">
        <w:rPr>
          <w:kern w:val="2"/>
          <w14:ligatures w14:val="standardContextual"/>
        </w:rPr>
        <w:t xml:space="preserve"> guide assessment of CTC review applications. It was updated in 2023 to include new data and methods to assist in assessment.</w:t>
      </w:r>
      <w:r w:rsidR="00207DA6" w:rsidRPr="0085048F">
        <w:rPr>
          <w:kern w:val="2"/>
          <w14:ligatures w14:val="standardContextual"/>
        </w:rPr>
        <w:t xml:space="preserve"> This can be accessed at: </w:t>
      </w:r>
      <w:hyperlink r:id="rId35" w:history="1">
        <w:r w:rsidR="00207DA6" w:rsidRPr="0085048F">
          <w:rPr>
            <w:rStyle w:val="Hyperlink"/>
            <w:kern w:val="2"/>
            <w:lang w:val="en-US"/>
            <w14:ligatures w14:val="standardContextual"/>
          </w:rPr>
          <w:t>https://www.education.gov.au/recurrent-funding-schools/resources/technical-framework-capacity-contribute-review-process</w:t>
        </w:r>
      </w:hyperlink>
      <w:r w:rsidR="00D5325D" w:rsidRPr="0085048F">
        <w:t>.</w:t>
      </w:r>
    </w:p>
    <w:p w14:paraId="65FBF347" w14:textId="3492713E" w:rsidR="0085048F" w:rsidRPr="0085048F" w:rsidRDefault="009F6D39" w:rsidP="002B7ECC">
      <w:pPr>
        <w:pStyle w:val="Heading6"/>
      </w:pPr>
      <w:bookmarkStart w:id="191" w:name="_Unlinked_population"/>
      <w:bookmarkEnd w:id="191"/>
      <w:r w:rsidRPr="0085048F">
        <w:t>Unlinked</w:t>
      </w:r>
      <w:r w:rsidRPr="0085048F">
        <w:rPr>
          <w:bCs/>
        </w:rPr>
        <w:t xml:space="preserve"> population</w:t>
      </w:r>
    </w:p>
    <w:p w14:paraId="47B0C6D8" w14:textId="566F6013" w:rsidR="00212ECF" w:rsidRPr="00212ECF" w:rsidRDefault="009F6D39" w:rsidP="00D5325D">
      <w:r w:rsidRPr="0085048F">
        <w:t xml:space="preserve">An unlinked population is made up of the parents and guardians whose records did not link </w:t>
      </w:r>
      <w:r w:rsidR="004821D2">
        <w:t>to</w:t>
      </w:r>
      <w:r w:rsidR="004821D2" w:rsidRPr="0085048F">
        <w:t xml:space="preserve"> </w:t>
      </w:r>
      <w:r w:rsidRPr="0085048F">
        <w:t xml:space="preserve">PLIDA. The incomes of these parents are not included in </w:t>
      </w:r>
      <w:r w:rsidR="00F428ED">
        <w:t>estimating the median income of the school community</w:t>
      </w:r>
      <w:r w:rsidRPr="0085048F">
        <w:t>.</w:t>
      </w:r>
    </w:p>
    <w:sectPr w:rsidR="00212ECF" w:rsidRPr="00212ECF" w:rsidSect="002B7ECC">
      <w:footerReference w:type="default" r:id="rId3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BC73" w14:textId="77777777" w:rsidR="003544F1" w:rsidRDefault="003544F1" w:rsidP="000A6228">
      <w:pPr>
        <w:spacing w:after="0" w:line="240" w:lineRule="auto"/>
      </w:pPr>
      <w:r>
        <w:separator/>
      </w:r>
    </w:p>
  </w:endnote>
  <w:endnote w:type="continuationSeparator" w:id="0">
    <w:p w14:paraId="2420D928" w14:textId="77777777" w:rsidR="003544F1" w:rsidRDefault="003544F1" w:rsidP="000A6228">
      <w:pPr>
        <w:spacing w:after="0" w:line="240" w:lineRule="auto"/>
      </w:pPr>
      <w:r>
        <w:continuationSeparator/>
      </w:r>
    </w:p>
  </w:endnote>
  <w:endnote w:type="continuationNotice" w:id="1">
    <w:p w14:paraId="3C2C2A6F" w14:textId="77777777" w:rsidR="003544F1" w:rsidRDefault="00354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503716"/>
      <w:docPartObj>
        <w:docPartGallery w:val="Page Numbers (Bottom of Page)"/>
        <w:docPartUnique/>
      </w:docPartObj>
    </w:sdtPr>
    <w:sdtEndPr>
      <w:rPr>
        <w:noProof/>
      </w:rPr>
    </w:sdtEndPr>
    <w:sdtContent>
      <w:p w14:paraId="7CF7B702" w14:textId="564DF560" w:rsidR="00955348" w:rsidRDefault="0095534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D5322BD" w14:textId="77777777" w:rsidR="00955348" w:rsidRDefault="00955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54A3A0B3" w:rsidR="00221D8F" w:rsidRDefault="00BC78F1" w:rsidP="00BC78F1">
    <w:pPr>
      <w:pStyle w:val="Footer"/>
    </w:pPr>
    <w:r>
      <w:t>Guidelines for Approved Authorities</w:t>
    </w:r>
    <w:r w:rsidR="00312423">
      <w:t xml:space="preserve"> - </w:t>
    </w:r>
    <w:r>
      <w:t xml:space="preserve">Capacity to </w:t>
    </w:r>
    <w:r w:rsidR="004B1D00">
      <w:t>C</w:t>
    </w:r>
    <w:r>
      <w:t xml:space="preserve">ontribute (CTC) score review process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B9A710B" wp14:editId="3EEF7455">
          <wp:simplePos x="0" y="0"/>
          <wp:positionH relativeFrom="page">
            <wp:align>right</wp:align>
          </wp:positionH>
          <wp:positionV relativeFrom="page">
            <wp:align>bottom</wp:align>
          </wp:positionV>
          <wp:extent cx="1220400" cy="651600"/>
          <wp:effectExtent l="0" t="0" r="0" b="0"/>
          <wp:wrapNone/>
          <wp:docPr id="1194210643" name="Picture 1194210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20EFE6F9" w14:textId="77777777" w:rsidR="00FB54F5" w:rsidRDefault="00FB5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C05D" w14:textId="77777777" w:rsidR="003544F1" w:rsidRDefault="003544F1" w:rsidP="000A6228">
      <w:pPr>
        <w:spacing w:after="0" w:line="240" w:lineRule="auto"/>
      </w:pPr>
      <w:r>
        <w:separator/>
      </w:r>
    </w:p>
  </w:footnote>
  <w:footnote w:type="continuationSeparator" w:id="0">
    <w:p w14:paraId="3E8B197A" w14:textId="77777777" w:rsidR="003544F1" w:rsidRDefault="003544F1" w:rsidP="000A6228">
      <w:pPr>
        <w:spacing w:after="0" w:line="240" w:lineRule="auto"/>
      </w:pPr>
      <w:r>
        <w:continuationSeparator/>
      </w:r>
    </w:p>
  </w:footnote>
  <w:footnote w:type="continuationNotice" w:id="1">
    <w:p w14:paraId="0A2AD9C6" w14:textId="77777777" w:rsidR="003544F1" w:rsidRDefault="003544F1">
      <w:pPr>
        <w:spacing w:after="0" w:line="240" w:lineRule="auto"/>
      </w:pPr>
    </w:p>
  </w:footnote>
  <w:footnote w:id="2">
    <w:p w14:paraId="547329E0" w14:textId="77777777" w:rsidR="00EB592C" w:rsidRPr="00DE03E8" w:rsidRDefault="00EB592C" w:rsidP="00EB592C">
      <w:pPr>
        <w:pStyle w:val="FootnoteText"/>
        <w:spacing w:before="0" w:after="60"/>
        <w:rPr>
          <w:lang w:val="en-AU"/>
        </w:rPr>
      </w:pPr>
      <w:r>
        <w:rPr>
          <w:rStyle w:val="FootnoteReference"/>
        </w:rPr>
        <w:footnoteRef/>
      </w:r>
      <w:r>
        <w:t xml:space="preserve"> </w:t>
      </w:r>
      <w:r>
        <w:rPr>
          <w:lang w:val="en-AU"/>
        </w:rPr>
        <w:t xml:space="preserve">The </w:t>
      </w:r>
      <w:r w:rsidRPr="00D172D3">
        <w:rPr>
          <w:i/>
          <w:lang w:val="en-AU"/>
        </w:rPr>
        <w:t>Public Governance, Performance and Accountability Act 2013</w:t>
      </w:r>
      <w:r>
        <w:rPr>
          <w:lang w:val="en-AU"/>
        </w:rPr>
        <w:t xml:space="preserve"> can be accessed at: </w:t>
      </w:r>
      <w:hyperlink r:id="rId1" w:history="1">
        <w:r w:rsidRPr="003E3291">
          <w:rPr>
            <w:rStyle w:val="Hyperlink"/>
          </w:rPr>
          <w:t>www.legislation.gov.au/Details/C2017C00269</w:t>
        </w:r>
      </w:hyperlink>
      <w:r>
        <w:rPr>
          <w:lang w:val="en-AU"/>
        </w:rPr>
        <w:t>. It</w:t>
      </w:r>
      <w:r w:rsidRPr="00A0496A">
        <w:rPr>
          <w:rFonts w:ascii="Segoe UI" w:eastAsiaTheme="minorHAnsi" w:hAnsi="Segoe UI" w:cs="Segoe UI"/>
          <w:color w:val="212529"/>
          <w:sz w:val="22"/>
          <w:szCs w:val="22"/>
          <w:shd w:val="clear" w:color="auto" w:fill="FFFFFF"/>
          <w:lang w:val="en-AU"/>
        </w:rPr>
        <w:t xml:space="preserve"> </w:t>
      </w:r>
      <w:r w:rsidRPr="00A0496A">
        <w:rPr>
          <w:lang w:val="en-AU"/>
        </w:rPr>
        <w:t>applies to all officials of Commonwealth entitie</w:t>
      </w:r>
      <w:r>
        <w:rPr>
          <w:lang w:val="en-AU"/>
        </w:rPr>
        <w:t xml:space="preserve">s and </w:t>
      </w:r>
      <w:r w:rsidRPr="00A0496A">
        <w:rPr>
          <w:lang w:val="en-AU"/>
        </w:rPr>
        <w:t>establishes rules for financial management</w:t>
      </w:r>
      <w:r>
        <w:rPr>
          <w:lang w:val="en-AU"/>
        </w:rPr>
        <w:t xml:space="preserve">, </w:t>
      </w:r>
      <w:r w:rsidRPr="00A0496A">
        <w:rPr>
          <w:lang w:val="en-AU"/>
        </w:rPr>
        <w:t>governance, performance and accountability for the Commonwealth public sector.</w:t>
      </w:r>
    </w:p>
  </w:footnote>
  <w:footnote w:id="3">
    <w:p w14:paraId="276D7A48" w14:textId="77777777" w:rsidR="00160AA6" w:rsidRPr="00A54653" w:rsidRDefault="00160AA6" w:rsidP="00160AA6">
      <w:pPr>
        <w:pStyle w:val="FootnoteText"/>
        <w:spacing w:before="0" w:after="60"/>
        <w:rPr>
          <w:lang w:val="en-AU"/>
        </w:rPr>
      </w:pPr>
      <w:r w:rsidRPr="00696157">
        <w:rPr>
          <w:rStyle w:val="FootnoteReference"/>
        </w:rPr>
        <w:footnoteRef/>
      </w:r>
      <w:r w:rsidRPr="00696157">
        <w:t xml:space="preserve"> </w:t>
      </w:r>
      <w:r w:rsidRPr="00696157">
        <w:rPr>
          <w:iCs/>
          <w:lang w:val="en-AU"/>
        </w:rPr>
        <w:t xml:space="preserve">The </w:t>
      </w:r>
      <w:r w:rsidRPr="00696157">
        <w:rPr>
          <w:i/>
          <w:iCs/>
          <w:lang w:val="en-AU"/>
        </w:rPr>
        <w:t>Technical Framework for the Capacity to Contribute Review Process, Version 2</w:t>
      </w:r>
      <w:r w:rsidRPr="00696157">
        <w:rPr>
          <w:iCs/>
          <w:lang w:val="en-AU"/>
        </w:rPr>
        <w:t xml:space="preserve"> can be accessed at: </w:t>
      </w:r>
      <w:hyperlink r:id="rId2" w:history="1">
        <w:r w:rsidRPr="003E3291">
          <w:rPr>
            <w:rStyle w:val="Hyperlink"/>
          </w:rPr>
          <w:t>https://www.education.gov.au/recurrent-funding-schools/resources/technical-framework-capacity-contribute-review-process</w:t>
        </w:r>
      </w:hyperlink>
    </w:p>
  </w:footnote>
  <w:footnote w:id="4">
    <w:p w14:paraId="7B4216B3" w14:textId="1AD99CC8" w:rsidR="00F32D69" w:rsidRPr="00F32D69" w:rsidRDefault="00F32D69" w:rsidP="000F1BA3">
      <w:pPr>
        <w:pStyle w:val="FootnoteText"/>
        <w:spacing w:before="0" w:after="60"/>
      </w:pPr>
      <w:r>
        <w:rPr>
          <w:rStyle w:val="FootnoteReference"/>
        </w:rPr>
        <w:footnoteRef/>
      </w:r>
      <w:r w:rsidRPr="000F1BA3">
        <w:rPr>
          <w:rStyle w:val="FootnoteReference"/>
        </w:rPr>
        <w:t xml:space="preserve"> </w:t>
      </w:r>
      <w:r w:rsidRPr="00F32D69">
        <w:t>From 2021, an average DMI score for a funding year is the average of the DMI scores for the school for the 3 consecutive years before that year: see section 22 of the Australian Education Regulations</w:t>
      </w:r>
      <w:r w:rsidR="00C30266">
        <w:t>. Current Regulations are</w:t>
      </w:r>
      <w:r w:rsidRPr="00F32D69">
        <w:t xml:space="preserve"> at: </w:t>
      </w:r>
      <w:hyperlink r:id="rId3" w:history="1">
        <w:r w:rsidRPr="00F32D69">
          <w:rPr>
            <w:rStyle w:val="Hyperlink"/>
          </w:rPr>
          <w:t>www.legislation.gov.au/F2023L01020/latest/tex</w:t>
        </w:r>
        <w:r w:rsidRPr="005E6DB5">
          <w:rPr>
            <w:rStyle w:val="Hyperlink"/>
          </w:rPr>
          <w:t>t</w:t>
        </w:r>
      </w:hyperlink>
      <w:r>
        <w:t>.</w:t>
      </w:r>
    </w:p>
  </w:footnote>
  <w:footnote w:id="5">
    <w:p w14:paraId="6101CEED" w14:textId="1C5448EE" w:rsidR="00442627" w:rsidRPr="00D603DB" w:rsidRDefault="00442627" w:rsidP="001814C7">
      <w:pPr>
        <w:pStyle w:val="FootnoteText"/>
        <w:spacing w:before="0" w:after="60"/>
        <w:rPr>
          <w:lang w:val="en-AU"/>
        </w:rPr>
      </w:pPr>
      <w:r>
        <w:rPr>
          <w:rStyle w:val="FootnoteReference"/>
        </w:rPr>
        <w:footnoteRef/>
      </w:r>
      <w:r>
        <w:t xml:space="preserve"> S</w:t>
      </w:r>
      <w:r w:rsidR="004D3DC8">
        <w:t>ee s</w:t>
      </w:r>
      <w:r>
        <w:t>ubsection 21</w:t>
      </w:r>
      <w:r w:rsidR="00364133">
        <w:t xml:space="preserve"> </w:t>
      </w:r>
      <w:r>
        <w:t xml:space="preserve">of the </w:t>
      </w:r>
      <w:r w:rsidR="004D3DC8">
        <w:t xml:space="preserve">Australian Education </w:t>
      </w:r>
      <w:r>
        <w:t>Regulations</w:t>
      </w:r>
      <w:r w:rsidR="004D3DC8">
        <w:t xml:space="preserve"> </w:t>
      </w:r>
      <w:r w:rsidR="004D3DC8" w:rsidRPr="00F92A2E">
        <w:t>2023</w:t>
      </w:r>
      <w:r w:rsidR="00E62A48" w:rsidRPr="00F92A2E">
        <w:t>.</w:t>
      </w:r>
      <w:r w:rsidR="00E62A48">
        <w:t xml:space="preserve"> Current Regulations are at:</w:t>
      </w:r>
      <w:r w:rsidR="004D3DC8" w:rsidRPr="004D3DC8">
        <w:rPr>
          <w:rFonts w:asciiTheme="minorHAnsi" w:eastAsiaTheme="minorHAnsi" w:hAnsiTheme="minorHAnsi" w:cstheme="minorBidi"/>
          <w:sz w:val="22"/>
          <w:szCs w:val="22"/>
          <w:lang w:val="en-AU"/>
        </w:rPr>
        <w:t xml:space="preserve"> </w:t>
      </w:r>
      <w:hyperlink r:id="rId4" w:history="1">
        <w:r w:rsidR="004D3DC8" w:rsidRPr="004D3DC8">
          <w:rPr>
            <w:rStyle w:val="Hyperlink"/>
            <w:lang w:val="en-AU"/>
          </w:rPr>
          <w:t>www.legislation.gov.au/F2023L01020/latest/text</w:t>
        </w:r>
      </w:hyperlink>
      <w:r w:rsidR="004D3DC8" w:rsidRPr="004D3DC8">
        <w:rPr>
          <w:lang w:val="en-AU"/>
        </w:rPr>
        <w:t>.</w:t>
      </w:r>
    </w:p>
  </w:footnote>
  <w:footnote w:id="6">
    <w:p w14:paraId="11D1F704" w14:textId="6B30F4E7" w:rsidR="006804DA" w:rsidRPr="00F81630" w:rsidRDefault="006804DA" w:rsidP="007E7E53">
      <w:pPr>
        <w:pStyle w:val="FootnoteText"/>
        <w:spacing w:before="0" w:after="60"/>
        <w:rPr>
          <w:lang w:val="en-AU"/>
        </w:rPr>
      </w:pPr>
      <w:r>
        <w:rPr>
          <w:rStyle w:val="FootnoteReference"/>
        </w:rPr>
        <w:footnoteRef/>
      </w:r>
      <w:r>
        <w:t xml:space="preserve"> </w:t>
      </w:r>
      <w:bookmarkStart w:id="23" w:name="_Hlk207372172"/>
      <w:r>
        <w:rPr>
          <w:lang w:val="en-AU"/>
        </w:rPr>
        <w:t xml:space="preserve">See the </w:t>
      </w:r>
      <w:r w:rsidRPr="00E15305">
        <w:t xml:space="preserve">ABS’s </w:t>
      </w:r>
      <w:r w:rsidRPr="00E15305">
        <w:rPr>
          <w:lang w:val="en-AU"/>
        </w:rPr>
        <w:t>Capacity to Contribute Data Quality Framework</w:t>
      </w:r>
      <w:r w:rsidR="00F92A2E">
        <w:rPr>
          <w:lang w:val="en-AU"/>
        </w:rPr>
        <w:t>:</w:t>
      </w:r>
      <w:bookmarkStart w:id="24" w:name="_Hlk207097758"/>
      <w:r w:rsidR="00F92A2E">
        <w:rPr>
          <w:lang w:val="en-AU"/>
        </w:rPr>
        <w:t xml:space="preserve"> </w:t>
      </w:r>
      <w:hyperlink r:id="rId5" w:history="1">
        <w:r w:rsidR="00F92A2E" w:rsidRPr="00592A3A">
          <w:rPr>
            <w:rStyle w:val="Hyperlink"/>
          </w:rPr>
          <w:t>www.education.gov.au/recurrent-funding-schools/resources/abs-capacity-contribute-data-quality-framework</w:t>
        </w:r>
      </w:hyperlink>
      <w:r w:rsidRPr="00E15305">
        <w:t>.</w:t>
      </w:r>
    </w:p>
    <w:bookmarkEnd w:id="23"/>
    <w:bookmarkEnd w:id="24"/>
  </w:footnote>
  <w:footnote w:id="7">
    <w:p w14:paraId="3EFE1EDB" w14:textId="77777777" w:rsidR="006804DA" w:rsidRPr="00664CBA" w:rsidRDefault="006804DA" w:rsidP="007E7E53">
      <w:pPr>
        <w:pStyle w:val="FootnoteText"/>
        <w:spacing w:before="0" w:after="60"/>
        <w:rPr>
          <w:lang w:val="en-AU"/>
        </w:rPr>
      </w:pPr>
      <w:r>
        <w:rPr>
          <w:rStyle w:val="FootnoteReference"/>
        </w:rPr>
        <w:footnoteRef/>
      </w:r>
      <w:r>
        <w:t xml:space="preserve"> From page 45 of the ABS’s </w:t>
      </w:r>
      <w:r>
        <w:rPr>
          <w:lang w:val="en-AU"/>
        </w:rPr>
        <w:t>Capacity to Contribute Data Quality Framework:</w:t>
      </w:r>
      <w:r w:rsidRPr="00AC20BD">
        <w:rPr>
          <w:color w:val="7F4594"/>
          <w:highlight w:val="yellow"/>
          <w:u w:val="single"/>
        </w:rPr>
        <w:t xml:space="preserve"> </w:t>
      </w:r>
      <w:hyperlink r:id="rId6" w:history="1">
        <w:r w:rsidRPr="00AC20BD">
          <w:rPr>
            <w:rStyle w:val="Hyperlink"/>
          </w:rPr>
          <w:t>www.education.gov.au/recurrent-funding-schools/resources/abs-capacity-contribute-data-quality-framework</w:t>
        </w:r>
      </w:hyperlink>
      <w:r w:rsidRPr="00AC20BD">
        <w:t>.</w:t>
      </w:r>
    </w:p>
  </w:footnote>
  <w:footnote w:id="8">
    <w:p w14:paraId="0FA62989" w14:textId="50124497" w:rsidR="0026791E" w:rsidRPr="000559B4" w:rsidRDefault="0026791E" w:rsidP="007E7E53">
      <w:pPr>
        <w:pStyle w:val="FootnoteText"/>
        <w:spacing w:before="0" w:after="60"/>
        <w:rPr>
          <w:lang w:val="en-AU"/>
        </w:rPr>
      </w:pPr>
      <w:r w:rsidRPr="000559B4">
        <w:rPr>
          <w:rStyle w:val="FootnoteReference"/>
        </w:rPr>
        <w:footnoteRef/>
      </w:r>
      <w:r w:rsidRPr="000559B4">
        <w:t xml:space="preserve"> </w:t>
      </w:r>
      <w:r w:rsidRPr="000559B4">
        <w:rPr>
          <w:lang w:val="en-AU"/>
        </w:rPr>
        <w:t xml:space="preserve">An unlinked population is made up of the parents and guardians whose records </w:t>
      </w:r>
      <w:r w:rsidR="009F6D39" w:rsidRPr="000559B4">
        <w:rPr>
          <w:lang w:val="en-AU"/>
        </w:rPr>
        <w:t>did not</w:t>
      </w:r>
      <w:r w:rsidRPr="000559B4">
        <w:rPr>
          <w:lang w:val="en-AU"/>
        </w:rPr>
        <w:t xml:space="preserve"> link </w:t>
      </w:r>
      <w:r w:rsidR="009F6D39" w:rsidRPr="000559B4">
        <w:rPr>
          <w:lang w:val="en-AU"/>
        </w:rPr>
        <w:t>in</w:t>
      </w:r>
      <w:r w:rsidRPr="000559B4">
        <w:rPr>
          <w:lang w:val="en-AU"/>
        </w:rPr>
        <w:t xml:space="preserve"> PLIDA. The incomes of these parents are not included in </w:t>
      </w:r>
      <w:r w:rsidR="00743E1D" w:rsidRPr="000559B4">
        <w:rPr>
          <w:lang w:val="en-AU"/>
        </w:rPr>
        <w:t xml:space="preserve">the calculation of </w:t>
      </w:r>
      <w:r w:rsidRPr="000559B4">
        <w:rPr>
          <w:lang w:val="en-AU"/>
        </w:rPr>
        <w:t>a school’s DMI score.</w:t>
      </w:r>
    </w:p>
  </w:footnote>
  <w:footnote w:id="9">
    <w:p w14:paraId="3F309AA7" w14:textId="3BD02308" w:rsidR="00E26598" w:rsidRPr="00D603DB" w:rsidRDefault="00E26598" w:rsidP="00494B1B">
      <w:pPr>
        <w:pStyle w:val="FootnoteText"/>
        <w:spacing w:before="0" w:after="60"/>
        <w:rPr>
          <w:lang w:val="en-AU"/>
        </w:rPr>
      </w:pPr>
      <w:r>
        <w:rPr>
          <w:rStyle w:val="FootnoteReference"/>
        </w:rPr>
        <w:footnoteRef/>
      </w:r>
      <w:r>
        <w:t xml:space="preserve"> </w:t>
      </w:r>
      <w:r w:rsidRPr="00494B1B">
        <w:rPr>
          <w:lang w:val="en-AU"/>
        </w:rPr>
        <w:t>Section</w:t>
      </w:r>
      <w:r>
        <w:t xml:space="preserve"> 23 of the Australian Education Regulations 2023</w:t>
      </w:r>
      <w:r w:rsidRPr="000B31FE">
        <w:t>:</w:t>
      </w:r>
      <w:r w:rsidRPr="000B31FE">
        <w:rPr>
          <w:rFonts w:asciiTheme="minorHAnsi" w:eastAsiaTheme="minorHAnsi" w:hAnsiTheme="minorHAnsi" w:cstheme="minorBidi"/>
          <w:sz w:val="22"/>
          <w:szCs w:val="22"/>
          <w:lang w:val="en-AU"/>
        </w:rPr>
        <w:t xml:space="preserve"> </w:t>
      </w:r>
      <w:hyperlink r:id="rId7" w:history="1">
        <w:r w:rsidRPr="000B31FE">
          <w:rPr>
            <w:rStyle w:val="Hyperlink"/>
            <w:lang w:val="en-AU"/>
          </w:rPr>
          <w:t>www.legislation.gov.au/F2023L01020/latest/text</w:t>
        </w:r>
      </w:hyperlink>
      <w:r w:rsidRPr="000B31FE">
        <w:rPr>
          <w:lang w:val="en-AU"/>
        </w:rPr>
        <w:t>.</w:t>
      </w:r>
    </w:p>
  </w:footnote>
  <w:footnote w:id="10">
    <w:p w14:paraId="0EEA2360" w14:textId="39A03883" w:rsidR="00494B1B" w:rsidRPr="00494B1B" w:rsidRDefault="00494B1B" w:rsidP="00494B1B">
      <w:pPr>
        <w:pStyle w:val="FootnoteText"/>
        <w:spacing w:before="0" w:after="60"/>
        <w:rPr>
          <w:lang w:val="en-AU"/>
        </w:rPr>
      </w:pPr>
      <w:r>
        <w:rPr>
          <w:rStyle w:val="FootnoteReference"/>
        </w:rPr>
        <w:footnoteRef/>
      </w:r>
      <w:r>
        <w:t xml:space="preserve"> </w:t>
      </w:r>
      <w:r>
        <w:rPr>
          <w:lang w:val="en-AU"/>
        </w:rPr>
        <w:t>Subsection 21(4) of the Australian Education Regulations 202</w:t>
      </w:r>
      <w:r w:rsidR="001B39B0">
        <w:rPr>
          <w:lang w:val="en-AU"/>
        </w:rPr>
        <w:t>3</w:t>
      </w:r>
      <w:r w:rsidR="000A1180">
        <w:rPr>
          <w:lang w:val="en-AU"/>
        </w:rPr>
        <w:t xml:space="preserve">: </w:t>
      </w:r>
      <w:hyperlink r:id="rId8" w:history="1">
        <w:r w:rsidR="000A1180" w:rsidRPr="000B31FE">
          <w:rPr>
            <w:rStyle w:val="Hyperlink"/>
            <w:lang w:val="en-AU"/>
          </w:rPr>
          <w:t>www.legislation.gov.au/F2023L01020/latest/text</w:t>
        </w:r>
      </w:hyperlink>
      <w:r w:rsidR="000A1180" w:rsidRPr="000B31FE">
        <w:rPr>
          <w:lang w:val="en-AU"/>
        </w:rPr>
        <w:t>.</w:t>
      </w:r>
    </w:p>
  </w:footnote>
  <w:footnote w:id="11">
    <w:p w14:paraId="23C58BBE" w14:textId="61321FBF" w:rsidR="00BC78F1" w:rsidRPr="008901FE" w:rsidRDefault="00BC78F1" w:rsidP="00494B1B">
      <w:pPr>
        <w:pStyle w:val="FootnoteText"/>
        <w:spacing w:before="0" w:after="60"/>
        <w:rPr>
          <w:lang w:val="en-AU"/>
        </w:rPr>
      </w:pPr>
      <w:r>
        <w:rPr>
          <w:rStyle w:val="FootnoteReference"/>
        </w:rPr>
        <w:footnoteRef/>
      </w:r>
      <w:r>
        <w:t xml:space="preserve"> </w:t>
      </w:r>
      <w:r>
        <w:rPr>
          <w:lang w:val="en-AU"/>
        </w:rPr>
        <w:t xml:space="preserve">Subsection 52(4) of the </w:t>
      </w:r>
      <w:r w:rsidR="00325C2B" w:rsidRPr="00BA5C97">
        <w:rPr>
          <w:i/>
          <w:iCs/>
          <w:lang w:val="en-AU"/>
        </w:rPr>
        <w:t xml:space="preserve">Australian Education </w:t>
      </w:r>
      <w:r w:rsidR="007C54AC" w:rsidRPr="00BA5C97">
        <w:rPr>
          <w:i/>
          <w:iCs/>
          <w:lang w:val="en-AU"/>
        </w:rPr>
        <w:t>Act</w:t>
      </w:r>
      <w:r w:rsidR="00325C2B" w:rsidRPr="00BA5C97">
        <w:rPr>
          <w:i/>
          <w:iCs/>
          <w:lang w:val="en-AU"/>
        </w:rPr>
        <w:t> 2013</w:t>
      </w:r>
      <w:r w:rsidR="007C54AC">
        <w:rPr>
          <w:lang w:val="en-AU"/>
        </w:rPr>
        <w:t xml:space="preserve"> </w:t>
      </w:r>
      <w:r>
        <w:rPr>
          <w:lang w:val="en-AU"/>
        </w:rPr>
        <w:t>requires the Minister (or delegate) to determine a CTC score in accordance with the Regulation</w:t>
      </w:r>
      <w:r w:rsidR="00E729F5">
        <w:rPr>
          <w:lang w:val="en-AU"/>
        </w:rPr>
        <w:t>s</w:t>
      </w:r>
      <w:r>
        <w:rPr>
          <w:lang w:val="en-AU"/>
        </w:rPr>
        <w:t xml:space="preserve"> unless they are satisfied doing so would result in a CTC score that</w:t>
      </w:r>
      <w:r w:rsidR="006F0E45">
        <w:rPr>
          <w:lang w:val="en-AU"/>
        </w:rPr>
        <w:t xml:space="preserve"> is not accurate.</w:t>
      </w:r>
      <w:r w:rsidR="00325C2B" w:rsidRPr="00325C2B">
        <w:rPr>
          <w:lang w:val="en-AU"/>
        </w:rPr>
        <w:t xml:space="preserve"> </w:t>
      </w:r>
      <w:bookmarkStart w:id="32" w:name="_Hlk204871620"/>
      <w:r w:rsidR="00325C2B" w:rsidRPr="00325C2B">
        <w:rPr>
          <w:lang w:val="en-AU"/>
        </w:rPr>
        <w:t xml:space="preserve">See: </w:t>
      </w:r>
      <w:hyperlink r:id="rId9" w:history="1">
        <w:r w:rsidR="00325C2B" w:rsidRPr="00325C2B">
          <w:rPr>
            <w:rStyle w:val="Hyperlink"/>
            <w:lang w:val="en-AU"/>
          </w:rPr>
          <w:t>www.legislation.gov.au/C2013A00067/latest/text</w:t>
        </w:r>
      </w:hyperlink>
      <w:bookmarkEnd w:id="32"/>
    </w:p>
  </w:footnote>
  <w:footnote w:id="12">
    <w:p w14:paraId="2A663E6E" w14:textId="69C784D6" w:rsidR="009F709B" w:rsidRPr="00980505" w:rsidRDefault="009F709B" w:rsidP="00980505">
      <w:pPr>
        <w:pStyle w:val="FootnoteText"/>
        <w:spacing w:before="0" w:after="120"/>
        <w:rPr>
          <w:lang w:val="en-AU"/>
        </w:rPr>
      </w:pPr>
      <w:r>
        <w:rPr>
          <w:rStyle w:val="FootnoteReference"/>
        </w:rPr>
        <w:footnoteRef/>
      </w:r>
      <w:r>
        <w:t xml:space="preserve"> </w:t>
      </w:r>
      <w:r w:rsidR="00980505">
        <w:t xml:space="preserve">Non-Government Representative Bodies (also known as NGRBs) are </w:t>
      </w:r>
      <w:r w:rsidR="007B2A80">
        <w:t xml:space="preserve">approved by the Minister under the </w:t>
      </w:r>
      <w:r w:rsidR="007B2A80" w:rsidRPr="007B2A80">
        <w:rPr>
          <w:i/>
          <w:iCs/>
        </w:rPr>
        <w:t>Australian Education Act 2013</w:t>
      </w:r>
      <w:r w:rsidR="007B2A80">
        <w:t xml:space="preserve">. They are </w:t>
      </w:r>
      <w:r w:rsidR="00980505">
        <w:t xml:space="preserve">generally the association of independent schools or the Catholic education </w:t>
      </w:r>
      <w:r w:rsidR="0040548B">
        <w:t>authority</w:t>
      </w:r>
      <w:r w:rsidR="00980505">
        <w:t xml:space="preserve"> in each state or territory. NGRBs are responsible for administering the Choice and Affordability Fund on behalf of the Australian Government</w:t>
      </w:r>
      <w:r w:rsidR="0040548B">
        <w:t xml:space="preserve"> for their member schools</w:t>
      </w:r>
      <w:r w:rsidR="00980505">
        <w:t>.</w:t>
      </w:r>
    </w:p>
  </w:footnote>
  <w:footnote w:id="13">
    <w:p w14:paraId="2CED5BAA" w14:textId="73F1A8BE" w:rsidR="00364133" w:rsidRPr="00364133" w:rsidRDefault="00364133" w:rsidP="00364133">
      <w:pPr>
        <w:pStyle w:val="FootnoteText"/>
        <w:spacing w:before="0" w:after="60"/>
        <w:rPr>
          <w:lang w:val="en-AU"/>
        </w:rPr>
      </w:pPr>
      <w:r>
        <w:rPr>
          <w:rStyle w:val="FootnoteReference"/>
        </w:rPr>
        <w:footnoteRef/>
      </w:r>
      <w:r>
        <w:t xml:space="preserve"> </w:t>
      </w:r>
      <w:r>
        <w:rPr>
          <w:lang w:val="en-AU"/>
        </w:rPr>
        <w:t>The</w:t>
      </w:r>
      <w:r w:rsidRPr="00364133">
        <w:rPr>
          <w:lang w:val="en-AU"/>
        </w:rPr>
        <w:t xml:space="preserve"> </w:t>
      </w:r>
      <w:r w:rsidRPr="00364133">
        <w:t xml:space="preserve">ABS’s </w:t>
      </w:r>
      <w:bookmarkStart w:id="40" w:name="_Hlk207372225"/>
      <w:r w:rsidRPr="00364133">
        <w:rPr>
          <w:lang w:val="en-AU"/>
        </w:rPr>
        <w:t xml:space="preserve">Capacity to Contribute </w:t>
      </w:r>
      <w:bookmarkEnd w:id="40"/>
      <w:r w:rsidRPr="00364133">
        <w:rPr>
          <w:lang w:val="en-AU"/>
        </w:rPr>
        <w:t>Data Quality Framework</w:t>
      </w:r>
      <w:r>
        <w:rPr>
          <w:lang w:val="en-AU"/>
        </w:rPr>
        <w:t xml:space="preserve"> is available at</w:t>
      </w:r>
      <w:r w:rsidRPr="00364133">
        <w:rPr>
          <w:lang w:val="en-AU"/>
        </w:rPr>
        <w:t>:</w:t>
      </w:r>
      <w:r w:rsidRPr="00364133">
        <w:rPr>
          <w:u w:val="single"/>
        </w:rPr>
        <w:t xml:space="preserve"> </w:t>
      </w:r>
      <w:hyperlink r:id="rId10" w:history="1">
        <w:r w:rsidRPr="00364133">
          <w:rPr>
            <w:rStyle w:val="Hyperlink"/>
          </w:rPr>
          <w:t>www.education.gov.au/recurrent-funding-schools/resources/abs-capacity-contribute-data-quality-framework</w:t>
        </w:r>
      </w:hyperlink>
      <w:r w:rsidRPr="00364133">
        <w:t>.</w:t>
      </w:r>
    </w:p>
    <w:p w14:paraId="01060C8D" w14:textId="28E24740" w:rsidR="00364133" w:rsidRPr="00364133" w:rsidRDefault="00364133">
      <w:pPr>
        <w:pStyle w:val="FootnoteText"/>
        <w:rPr>
          <w:lang w:val="en-AU"/>
        </w:rPr>
      </w:pPr>
    </w:p>
  </w:footnote>
  <w:footnote w:id="14">
    <w:p w14:paraId="1EB7A44E" w14:textId="77EEBCA7" w:rsidR="00125D05" w:rsidRPr="000B4581" w:rsidRDefault="00125D05" w:rsidP="000B4581">
      <w:pPr>
        <w:pStyle w:val="FootnoteText"/>
        <w:spacing w:before="0" w:after="60"/>
        <w:rPr>
          <w:lang w:val="en-AU"/>
        </w:rPr>
      </w:pPr>
      <w:r>
        <w:rPr>
          <w:rStyle w:val="FootnoteReference"/>
        </w:rPr>
        <w:footnoteRef/>
      </w:r>
      <w:r>
        <w:t xml:space="preserve"> </w:t>
      </w:r>
      <w:r>
        <w:rPr>
          <w:lang w:val="en-AU"/>
        </w:rPr>
        <w:t>The Australian Education Act 2013 (the Act) requires the department to</w:t>
      </w:r>
      <w:r w:rsidRPr="00125D05">
        <w:rPr>
          <w:lang w:val="en-AU"/>
        </w:rPr>
        <w:t xml:space="preserve"> appropriately considers the merits of each application for a CTC score review while also meeting its other obligations under the Act, the Australian Education Regulations 2023 (the Regulations) and the </w:t>
      </w:r>
      <w:r w:rsidRPr="00125D05">
        <w:rPr>
          <w:i/>
          <w:lang w:val="en-AU"/>
        </w:rPr>
        <w:t>Public Governance, Performance and Accountability Act 2013</w:t>
      </w:r>
      <w:r w:rsidRPr="00125D05">
        <w:rPr>
          <w:lang w:val="en-AU"/>
        </w:rPr>
        <w:t>.</w:t>
      </w:r>
    </w:p>
  </w:footnote>
  <w:footnote w:id="15">
    <w:p w14:paraId="4F59DAD6" w14:textId="640EF689" w:rsidR="000B4581" w:rsidRPr="000B4581" w:rsidRDefault="000B4581" w:rsidP="000B4581">
      <w:pPr>
        <w:pStyle w:val="FootnoteText"/>
        <w:spacing w:before="0" w:after="60"/>
        <w:rPr>
          <w:lang w:val="en-AU"/>
        </w:rPr>
      </w:pPr>
      <w:r>
        <w:rPr>
          <w:rStyle w:val="FootnoteReference"/>
        </w:rPr>
        <w:footnoteRef/>
      </w:r>
      <w:r>
        <w:t xml:space="preserve"> </w:t>
      </w:r>
      <w:r w:rsidRPr="000B4581">
        <w:rPr>
          <w:lang w:val="en-AU"/>
        </w:rPr>
        <w:t xml:space="preserve">The Australian Education Act 2013 (the Act) requires the department to appropriately considers the merits of each application for a CTC score review while also meeting its other obligations under the Act, the Australian Education Regulations 2023 (the Regulations) and the </w:t>
      </w:r>
      <w:r w:rsidRPr="000B4581">
        <w:rPr>
          <w:i/>
          <w:lang w:val="en-AU"/>
        </w:rPr>
        <w:t>Public Governance, Performance and Accountability Act 2013</w:t>
      </w:r>
      <w:r w:rsidRPr="000B4581">
        <w:rPr>
          <w:lang w:val="en-AU"/>
        </w:rPr>
        <w:t>.</w:t>
      </w:r>
    </w:p>
  </w:footnote>
  <w:footnote w:id="16">
    <w:p w14:paraId="49A29765" w14:textId="0F295542" w:rsidR="00095C7D" w:rsidRPr="0036184A" w:rsidRDefault="00095C7D" w:rsidP="001814C7">
      <w:pPr>
        <w:pStyle w:val="FootnoteText"/>
        <w:spacing w:before="0" w:after="60"/>
        <w:rPr>
          <w:lang w:val="en-AU"/>
        </w:rPr>
      </w:pPr>
      <w:r w:rsidRPr="001536DC">
        <w:rPr>
          <w:rStyle w:val="FootnoteReference"/>
        </w:rPr>
        <w:footnoteRef/>
      </w:r>
      <w:r w:rsidRPr="001536DC">
        <w:t xml:space="preserve"> </w:t>
      </w:r>
      <w:bookmarkStart w:id="57" w:name="_Hlk204857296"/>
      <w:r w:rsidRPr="001536DC">
        <w:rPr>
          <w:lang w:val="en-AU"/>
        </w:rPr>
        <w:t xml:space="preserve">As requested by non-government </w:t>
      </w:r>
      <w:r w:rsidR="00925B56" w:rsidRPr="001536DC">
        <w:rPr>
          <w:lang w:val="en-AU"/>
        </w:rPr>
        <w:t xml:space="preserve">school sector </w:t>
      </w:r>
      <w:r w:rsidRPr="001536DC">
        <w:rPr>
          <w:lang w:val="en-AU"/>
        </w:rPr>
        <w:t>representatives, a policy adjustment will result in a school’s 2026 CTC score being the value of its 2025 CTC score. This adjustment means 2026 CTC scores will be available in time to meet schools’ budgeting timeframes for the 2026 funding year.</w:t>
      </w:r>
      <w:bookmarkEnd w:id="57"/>
    </w:p>
  </w:footnote>
  <w:footnote w:id="17">
    <w:p w14:paraId="21C8EFD0" w14:textId="77777777" w:rsidR="006D02B5" w:rsidRPr="00753315" w:rsidRDefault="006D02B5" w:rsidP="001814C7">
      <w:pPr>
        <w:pStyle w:val="FootnoteText"/>
        <w:spacing w:before="0" w:after="60"/>
        <w:rPr>
          <w:lang w:val="en-AU"/>
        </w:rPr>
      </w:pPr>
      <w:r>
        <w:rPr>
          <w:rStyle w:val="FootnoteReference"/>
        </w:rPr>
        <w:footnoteRef/>
      </w:r>
      <w:r>
        <w:t xml:space="preserve"> </w:t>
      </w:r>
      <w:bookmarkStart w:id="63" w:name="_Hlk209077518"/>
      <w:r>
        <w:t xml:space="preserve">Subsection 53(2) of the </w:t>
      </w:r>
      <w:r w:rsidRPr="00BA5C97">
        <w:rPr>
          <w:i/>
          <w:iCs/>
        </w:rPr>
        <w:t>Australian Education Act 2013</w:t>
      </w:r>
      <w:r>
        <w:t xml:space="preserve"> allows an approved authority to apply for a determination of a new CTC score for a school. </w:t>
      </w:r>
      <w:bookmarkEnd w:id="63"/>
      <w:r>
        <w:t xml:space="preserve">See: </w:t>
      </w:r>
      <w:hyperlink r:id="rId11" w:history="1">
        <w:r w:rsidRPr="00CE49BD">
          <w:rPr>
            <w:rStyle w:val="Hyperlink"/>
            <w:lang w:val="en-AU"/>
          </w:rPr>
          <w:t>www.legislation.gov.au/C2013A00067/latest/text</w:t>
        </w:r>
      </w:hyperlink>
    </w:p>
  </w:footnote>
  <w:footnote w:id="18">
    <w:p w14:paraId="69F77247" w14:textId="0D1FFBD5" w:rsidR="006D02B5" w:rsidRPr="00274B44" w:rsidRDefault="006D02B5" w:rsidP="001814C7">
      <w:pPr>
        <w:pStyle w:val="FootnoteText"/>
        <w:spacing w:before="0" w:after="60"/>
        <w:rPr>
          <w:lang w:val="en-AU"/>
        </w:rPr>
      </w:pPr>
      <w:r>
        <w:rPr>
          <w:rStyle w:val="FootnoteReference"/>
        </w:rPr>
        <w:footnoteRef/>
      </w:r>
      <w:r>
        <w:t xml:space="preserve"> </w:t>
      </w:r>
      <w:r>
        <w:rPr>
          <w:lang w:val="en-AU"/>
        </w:rPr>
        <w:t xml:space="preserve">Section 115 of the </w:t>
      </w:r>
      <w:r w:rsidR="00D3621D" w:rsidRPr="00BA5C97">
        <w:rPr>
          <w:i/>
          <w:iCs/>
          <w:lang w:val="en-AU"/>
        </w:rPr>
        <w:t xml:space="preserve">Australian Education </w:t>
      </w:r>
      <w:r w:rsidRPr="00BA5C97">
        <w:rPr>
          <w:i/>
          <w:iCs/>
          <w:lang w:val="en-AU"/>
        </w:rPr>
        <w:t>Act</w:t>
      </w:r>
      <w:r w:rsidR="00D3621D" w:rsidRPr="00BA5C97">
        <w:rPr>
          <w:i/>
          <w:iCs/>
          <w:lang w:val="en-AU"/>
        </w:rPr>
        <w:t> 2013</w:t>
      </w:r>
      <w:r>
        <w:rPr>
          <w:lang w:val="en-AU"/>
        </w:rPr>
        <w:t xml:space="preserve"> requires an application be made in the approved form.</w:t>
      </w:r>
      <w:r w:rsidR="00D3621D">
        <w:rPr>
          <w:lang w:val="en-AU"/>
        </w:rPr>
        <w:t xml:space="preserve"> See: </w:t>
      </w:r>
      <w:hyperlink r:id="rId12" w:history="1">
        <w:r w:rsidR="00D3621D" w:rsidRPr="00CE49BD">
          <w:rPr>
            <w:rStyle w:val="Hyperlink"/>
            <w:lang w:val="en-AU"/>
          </w:rPr>
          <w:t>www.legislation.gov.au/C2013A00067/latest/text</w:t>
        </w:r>
      </w:hyperlink>
    </w:p>
  </w:footnote>
  <w:footnote w:id="19">
    <w:p w14:paraId="56CF134E" w14:textId="2EF9C2DD" w:rsidR="006F0E45" w:rsidRPr="00D603DB" w:rsidRDefault="006F0E45" w:rsidP="001814C7">
      <w:pPr>
        <w:pStyle w:val="FootnoteText"/>
        <w:spacing w:before="0" w:after="60"/>
        <w:rPr>
          <w:lang w:val="en-AU"/>
        </w:rPr>
      </w:pPr>
      <w:r>
        <w:rPr>
          <w:rStyle w:val="FootnoteReference"/>
        </w:rPr>
        <w:footnoteRef/>
      </w:r>
      <w:r>
        <w:t xml:space="preserve"> </w:t>
      </w:r>
      <w:r>
        <w:rPr>
          <w:lang w:val="en-AU"/>
        </w:rPr>
        <w:t xml:space="preserve">Section 118 of the </w:t>
      </w:r>
      <w:r w:rsidR="00D3621D" w:rsidRPr="00BA5C97">
        <w:rPr>
          <w:i/>
          <w:iCs/>
          <w:lang w:val="en-AU"/>
        </w:rPr>
        <w:t xml:space="preserve">Australian Education </w:t>
      </w:r>
      <w:r w:rsidRPr="00BA5C97">
        <w:rPr>
          <w:i/>
          <w:iCs/>
          <w:lang w:val="en-AU"/>
        </w:rPr>
        <w:t>Act</w:t>
      </w:r>
      <w:r w:rsidR="00D3621D" w:rsidRPr="00BA5C97">
        <w:rPr>
          <w:i/>
          <w:iCs/>
          <w:lang w:val="en-AU"/>
        </w:rPr>
        <w:t xml:space="preserve"> 1013</w:t>
      </w:r>
      <w:r>
        <w:rPr>
          <w:lang w:val="en-AU"/>
        </w:rPr>
        <w:t xml:space="preserve"> lists the administrative decisions made under the Act that are subject to internal review.</w:t>
      </w:r>
      <w:r w:rsidR="00D3621D">
        <w:rPr>
          <w:lang w:val="en-AU"/>
        </w:rPr>
        <w:t xml:space="preserve"> See: </w:t>
      </w:r>
      <w:bookmarkStart w:id="94" w:name="_Hlk204871537"/>
      <w:r w:rsidR="00D3621D">
        <w:rPr>
          <w:lang w:val="en-AU"/>
        </w:rPr>
        <w:fldChar w:fldCharType="begin"/>
      </w:r>
      <w:r w:rsidR="00D3621D">
        <w:rPr>
          <w:lang w:val="en-AU"/>
        </w:rPr>
        <w:instrText>HYPERLINK "https://www.legislation.gov.au/C2013A00067/latest/text"</w:instrText>
      </w:r>
      <w:r w:rsidR="00D3621D">
        <w:rPr>
          <w:lang w:val="en-AU"/>
        </w:rPr>
      </w:r>
      <w:r w:rsidR="00D3621D">
        <w:rPr>
          <w:lang w:val="en-AU"/>
        </w:rPr>
        <w:fldChar w:fldCharType="separate"/>
      </w:r>
      <w:r w:rsidR="00D3621D" w:rsidRPr="00CE49BD">
        <w:rPr>
          <w:rStyle w:val="Hyperlink"/>
          <w:lang w:val="en-AU"/>
        </w:rPr>
        <w:t>www.legislation.gov.au/C2013A00067/latest/text</w:t>
      </w:r>
      <w:r w:rsidR="00D3621D">
        <w:rPr>
          <w:lang w:val="en-AU"/>
        </w:rPr>
        <w:fldChar w:fldCharType="end"/>
      </w:r>
      <w:bookmarkEnd w:id="94"/>
    </w:p>
  </w:footnote>
  <w:footnote w:id="20">
    <w:p w14:paraId="58C6C6A6" w14:textId="243EC72A" w:rsidR="00871E5A" w:rsidRPr="00057AF0" w:rsidRDefault="00871E5A" w:rsidP="007E7E53">
      <w:pPr>
        <w:pStyle w:val="FootnoteText"/>
        <w:spacing w:before="0" w:after="60"/>
        <w:rPr>
          <w:lang w:val="en-AU"/>
        </w:rPr>
      </w:pPr>
      <w:r>
        <w:rPr>
          <w:rStyle w:val="FootnoteReference"/>
        </w:rPr>
        <w:footnoteRef/>
      </w:r>
      <w:r>
        <w:t xml:space="preserve"> </w:t>
      </w:r>
      <w:r>
        <w:rPr>
          <w:lang w:val="en-AU"/>
        </w:rPr>
        <w:t xml:space="preserve">In accordance with section 119 of the </w:t>
      </w:r>
      <w:r w:rsidR="00D3621D" w:rsidRPr="00BA5C97">
        <w:rPr>
          <w:i/>
          <w:iCs/>
          <w:lang w:val="en-AU"/>
        </w:rPr>
        <w:t xml:space="preserve">Australian Education </w:t>
      </w:r>
      <w:r w:rsidRPr="00BA5C97">
        <w:rPr>
          <w:i/>
          <w:iCs/>
          <w:lang w:val="en-AU"/>
        </w:rPr>
        <w:t>Act</w:t>
      </w:r>
      <w:r w:rsidR="00D3621D" w:rsidRPr="00BA5C97">
        <w:rPr>
          <w:i/>
          <w:iCs/>
          <w:lang w:val="en-AU"/>
        </w:rPr>
        <w:t> 2013</w:t>
      </w:r>
      <w:r w:rsidR="00D3621D">
        <w:rPr>
          <w:lang w:val="en-AU"/>
        </w:rPr>
        <w:t xml:space="preserve">. See: </w:t>
      </w:r>
      <w:hyperlink r:id="rId13" w:history="1">
        <w:r w:rsidR="00D3621D" w:rsidRPr="00D3621D">
          <w:rPr>
            <w:rStyle w:val="Hyperlink"/>
            <w:lang w:val="en-AU"/>
          </w:rPr>
          <w:t>www.legislation.gov.au/C2013A00067/latest/text</w:t>
        </w:r>
      </w:hyperlink>
    </w:p>
  </w:footnote>
  <w:footnote w:id="21">
    <w:p w14:paraId="0FCA1A8A" w14:textId="176B5D84" w:rsidR="006F0E45" w:rsidRPr="00D603DB" w:rsidRDefault="006F0E45" w:rsidP="007E7E53">
      <w:pPr>
        <w:pStyle w:val="FootnoteText"/>
        <w:spacing w:before="0" w:after="60"/>
        <w:rPr>
          <w:lang w:val="en-AU"/>
        </w:rPr>
      </w:pPr>
      <w:r>
        <w:rPr>
          <w:rStyle w:val="FootnoteReference"/>
        </w:rPr>
        <w:footnoteRef/>
      </w:r>
      <w:r>
        <w:t xml:space="preserve"> </w:t>
      </w:r>
      <w:r>
        <w:rPr>
          <w:lang w:val="en-AU"/>
        </w:rPr>
        <w:t>Subsections 22(3) and 23(4) of the</w:t>
      </w:r>
      <w:r w:rsidR="00D3621D">
        <w:rPr>
          <w:lang w:val="en-AU"/>
        </w:rPr>
        <w:t xml:space="preserve"> Australian Education</w:t>
      </w:r>
      <w:r>
        <w:rPr>
          <w:lang w:val="en-AU"/>
        </w:rPr>
        <w:t xml:space="preserve"> Regulations</w:t>
      </w:r>
      <w:r w:rsidR="00D3621D">
        <w:rPr>
          <w:lang w:val="en-AU"/>
        </w:rPr>
        <w:t xml:space="preserve"> 2023 </w:t>
      </w:r>
      <w:r>
        <w:rPr>
          <w:lang w:val="en-AU"/>
        </w:rPr>
        <w:t>refer.</w:t>
      </w:r>
      <w:r w:rsidR="00D3621D">
        <w:rPr>
          <w:lang w:val="en-AU"/>
        </w:rPr>
        <w:t xml:space="preserve"> See:</w:t>
      </w:r>
      <w:r w:rsidR="00660828" w:rsidRPr="00660828">
        <w:rPr>
          <w:rFonts w:asciiTheme="minorHAnsi" w:eastAsiaTheme="minorHAnsi" w:hAnsiTheme="minorHAnsi" w:cstheme="minorBidi"/>
          <w:sz w:val="22"/>
          <w:szCs w:val="22"/>
          <w:lang w:val="en-AU"/>
        </w:rPr>
        <w:t xml:space="preserve"> </w:t>
      </w:r>
      <w:hyperlink r:id="rId14" w:history="1">
        <w:r w:rsidR="00660828" w:rsidRPr="00660828">
          <w:rPr>
            <w:rStyle w:val="Hyperlink"/>
            <w:lang w:val="en-AU"/>
          </w:rPr>
          <w:t>www.legislation.gov.au/F2023L01020/latest/text</w:t>
        </w:r>
      </w:hyperlink>
      <w:r w:rsidR="00660828" w:rsidRPr="00660828">
        <w:rPr>
          <w:lang w:val="en-AU"/>
        </w:rPr>
        <w:t>.</w:t>
      </w:r>
    </w:p>
  </w:footnote>
  <w:footnote w:id="22">
    <w:p w14:paraId="6F2BC13F" w14:textId="77777777" w:rsidR="00660828" w:rsidRPr="00F81630" w:rsidRDefault="00660828" w:rsidP="002B7ECC">
      <w:pPr>
        <w:pStyle w:val="FootnoteText"/>
        <w:spacing w:before="0" w:after="60"/>
        <w:rPr>
          <w:lang w:val="en-AU"/>
        </w:rPr>
      </w:pPr>
      <w:r>
        <w:rPr>
          <w:rStyle w:val="FootnoteReference"/>
        </w:rPr>
        <w:footnoteRef/>
      </w:r>
      <w:r>
        <w:t xml:space="preserve"> </w:t>
      </w:r>
      <w:r>
        <w:rPr>
          <w:lang w:val="en-AU"/>
        </w:rPr>
        <w:t xml:space="preserve">Page 27, </w:t>
      </w:r>
      <w:r w:rsidRPr="000C194D">
        <w:rPr>
          <w:i/>
          <w:iCs/>
          <w:lang w:val="en-AU"/>
        </w:rPr>
        <w:t>Technical Framework for the Australian Government’s capacity to contribute score review process, Version 2</w:t>
      </w:r>
      <w:r>
        <w:rPr>
          <w:i/>
          <w:iCs/>
          <w:lang w:val="en-AU"/>
        </w:rPr>
        <w:t xml:space="preserve"> </w:t>
      </w:r>
      <w:r>
        <w:rPr>
          <w:lang w:val="en-AU"/>
        </w:rPr>
        <w:t xml:space="preserve">at: </w:t>
      </w:r>
      <w:hyperlink r:id="rId15" w:history="1">
        <w:r w:rsidRPr="00FE27A4">
          <w:rPr>
            <w:rStyle w:val="Hyperlink"/>
            <w:lang w:val="en-AU"/>
          </w:rPr>
          <w:t>www.education.gov.au/recurrent-funding-schools/resources/technical-framework-capacity-contribute-review-process</w:t>
        </w:r>
      </w:hyperlink>
    </w:p>
  </w:footnote>
  <w:footnote w:id="23">
    <w:p w14:paraId="449C3C33" w14:textId="14F29048" w:rsidR="003D7096" w:rsidRPr="00294B41" w:rsidRDefault="003D7096" w:rsidP="002B7ECC">
      <w:pPr>
        <w:pStyle w:val="FootnoteText"/>
        <w:spacing w:before="0" w:after="60"/>
        <w:rPr>
          <w:lang w:val="en-AU"/>
        </w:rPr>
      </w:pPr>
      <w:r>
        <w:rPr>
          <w:rStyle w:val="FootnoteReference"/>
        </w:rPr>
        <w:footnoteRef/>
      </w:r>
      <w:r>
        <w:t xml:space="preserve"> </w:t>
      </w:r>
      <w:r>
        <w:rPr>
          <w:lang w:val="en-AU"/>
        </w:rPr>
        <w:t xml:space="preserve">The </w:t>
      </w:r>
      <w:r w:rsidR="002947D8">
        <w:rPr>
          <w:lang w:val="en-AU"/>
        </w:rPr>
        <w:t xml:space="preserve">department provides the </w:t>
      </w:r>
      <w:r>
        <w:rPr>
          <w:lang w:val="en-AU"/>
        </w:rPr>
        <w:t>size of the linked population</w:t>
      </w:r>
      <w:r w:rsidR="002947D8">
        <w:rPr>
          <w:lang w:val="en-AU"/>
        </w:rPr>
        <w:t xml:space="preserve"> as a proportion of the whole school population</w:t>
      </w:r>
      <w:r>
        <w:rPr>
          <w:lang w:val="en-AU"/>
        </w:rPr>
        <w:t xml:space="preserve"> for each of the DMI scores used to calculate a CTC score annually.</w:t>
      </w:r>
    </w:p>
  </w:footnote>
  <w:footnote w:id="24">
    <w:p w14:paraId="73EBC949" w14:textId="49B7FB58" w:rsidR="00273159" w:rsidRPr="000F1BA3" w:rsidRDefault="00273159" w:rsidP="000F1BA3">
      <w:pPr>
        <w:pStyle w:val="FootnoteText"/>
        <w:spacing w:before="0" w:after="60"/>
        <w:rPr>
          <w:lang w:val="en-AU"/>
        </w:rPr>
      </w:pPr>
      <w:r>
        <w:rPr>
          <w:rStyle w:val="FootnoteReference"/>
        </w:rPr>
        <w:footnoteRef/>
      </w:r>
      <w:r>
        <w:t xml:space="preserve"> </w:t>
      </w:r>
      <w:r w:rsidR="008D10D7">
        <w:t xml:space="preserve">Except for </w:t>
      </w:r>
      <w:r>
        <w:rPr>
          <w:lang w:val="en-AU"/>
        </w:rPr>
        <w:t xml:space="preserve">2026 </w:t>
      </w:r>
    </w:p>
  </w:footnote>
  <w:footnote w:id="25">
    <w:p w14:paraId="65B6461C" w14:textId="060EEDAE" w:rsidR="008D10D7" w:rsidRPr="00AC2154" w:rsidRDefault="008D10D7" w:rsidP="000F1BA3">
      <w:pPr>
        <w:pStyle w:val="FootnoteText"/>
        <w:spacing w:before="0" w:after="60"/>
        <w:rPr>
          <w:lang w:val="en-AU"/>
        </w:rPr>
      </w:pPr>
      <w:r>
        <w:rPr>
          <w:rStyle w:val="FootnoteReference"/>
        </w:rPr>
        <w:footnoteRef/>
      </w:r>
      <w:r>
        <w:t xml:space="preserve"> </w:t>
      </w:r>
      <w:r>
        <w:rPr>
          <w:lang w:val="en-AU"/>
        </w:rPr>
        <w:t>2026 RAB</w:t>
      </w:r>
      <w:r w:rsidR="00B93711">
        <w:rPr>
          <w:lang w:val="en-AU"/>
        </w:rPr>
        <w:t>-based CTC</w:t>
      </w:r>
      <w:r>
        <w:rPr>
          <w:lang w:val="en-AU"/>
        </w:rPr>
        <w:t xml:space="preserve"> scores will be determined only for new schools starting operation in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8E62ED3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D2909F0A"/>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28831F4"/>
    <w:multiLevelType w:val="hybridMultilevel"/>
    <w:tmpl w:val="3B2A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81FDA2A"/>
    <w:multiLevelType w:val="hybridMultilevel"/>
    <w:tmpl w:val="2F8906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32843F6C"/>
    <w:name w:val="EDU - Bullet 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927" w:hanging="360"/>
      </w:pPr>
      <w:rPr>
        <w:rFonts w:ascii="Courier New" w:hAnsi="Courier New" w:cs="Courier New"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7F3EE5"/>
    <w:multiLevelType w:val="hybridMultilevel"/>
    <w:tmpl w:val="4C88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76EDD"/>
    <w:multiLevelType w:val="hybridMultilevel"/>
    <w:tmpl w:val="9BD4A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EC50E2"/>
    <w:multiLevelType w:val="hybridMultilevel"/>
    <w:tmpl w:val="E138A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661F7A"/>
    <w:multiLevelType w:val="hybridMultilevel"/>
    <w:tmpl w:val="6B14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23BC51F2"/>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F14104"/>
    <w:multiLevelType w:val="hybridMultilevel"/>
    <w:tmpl w:val="D6F28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A04218"/>
    <w:multiLevelType w:val="hybridMultilevel"/>
    <w:tmpl w:val="2214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968B2"/>
    <w:multiLevelType w:val="hybridMultilevel"/>
    <w:tmpl w:val="A7AE6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9E6EB5"/>
    <w:multiLevelType w:val="hybridMultilevel"/>
    <w:tmpl w:val="B526E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EB5996"/>
    <w:multiLevelType w:val="hybridMultilevel"/>
    <w:tmpl w:val="1A047B02"/>
    <w:lvl w:ilvl="0" w:tplc="0C09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B2613A8"/>
    <w:multiLevelType w:val="hybridMultilevel"/>
    <w:tmpl w:val="9400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ED1E61A4"/>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2571F5"/>
    <w:multiLevelType w:val="hybridMultilevel"/>
    <w:tmpl w:val="A9B2C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EDA2239"/>
    <w:multiLevelType w:val="hybridMultilevel"/>
    <w:tmpl w:val="506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07666"/>
    <w:multiLevelType w:val="hybridMultilevel"/>
    <w:tmpl w:val="14962D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CF4111"/>
    <w:multiLevelType w:val="hybridMultilevel"/>
    <w:tmpl w:val="F9D03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352E8F3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E0A23C5"/>
    <w:multiLevelType w:val="hybridMultilevel"/>
    <w:tmpl w:val="7974E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0067678">
    <w:abstractNumId w:val="14"/>
  </w:num>
  <w:num w:numId="2" w16cid:durableId="1190216857">
    <w:abstractNumId w:val="6"/>
  </w:num>
  <w:num w:numId="3" w16cid:durableId="1561745635">
    <w:abstractNumId w:val="5"/>
  </w:num>
  <w:num w:numId="4" w16cid:durableId="1845246327">
    <w:abstractNumId w:val="4"/>
  </w:num>
  <w:num w:numId="5" w16cid:durableId="1142498409">
    <w:abstractNumId w:val="20"/>
  </w:num>
  <w:num w:numId="6" w16cid:durableId="1461997182">
    <w:abstractNumId w:val="2"/>
  </w:num>
  <w:num w:numId="7" w16cid:durableId="636180164">
    <w:abstractNumId w:val="1"/>
  </w:num>
  <w:num w:numId="8" w16cid:durableId="2061052527">
    <w:abstractNumId w:val="0"/>
  </w:num>
  <w:num w:numId="9" w16cid:durableId="855267247">
    <w:abstractNumId w:val="19"/>
  </w:num>
  <w:num w:numId="10" w16cid:durableId="1554191887">
    <w:abstractNumId w:val="8"/>
  </w:num>
  <w:num w:numId="11" w16cid:durableId="141773222">
    <w:abstractNumId w:val="33"/>
  </w:num>
  <w:num w:numId="12" w16cid:durableId="853034963">
    <w:abstractNumId w:val="13"/>
  </w:num>
  <w:num w:numId="13" w16cid:durableId="1096092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802944">
    <w:abstractNumId w:val="10"/>
  </w:num>
  <w:num w:numId="15" w16cid:durableId="1626931495">
    <w:abstractNumId w:val="7"/>
  </w:num>
  <w:num w:numId="16" w16cid:durableId="1793085515">
    <w:abstractNumId w:val="34"/>
  </w:num>
  <w:num w:numId="17" w16cid:durableId="697857966">
    <w:abstractNumId w:val="21"/>
  </w:num>
  <w:num w:numId="18" w16cid:durableId="518156263">
    <w:abstractNumId w:val="9"/>
  </w:num>
  <w:num w:numId="19" w16cid:durableId="1701782230">
    <w:abstractNumId w:val="28"/>
  </w:num>
  <w:num w:numId="20" w16cid:durableId="77557372">
    <w:abstractNumId w:val="3"/>
  </w:num>
  <w:num w:numId="21" w16cid:durableId="1604681481">
    <w:abstractNumId w:val="35"/>
  </w:num>
  <w:num w:numId="22" w16cid:durableId="1048262556">
    <w:abstractNumId w:val="24"/>
  </w:num>
  <w:num w:numId="23" w16cid:durableId="835191004">
    <w:abstractNumId w:val="30"/>
  </w:num>
  <w:num w:numId="24" w16cid:durableId="1610698153">
    <w:abstractNumId w:val="31"/>
  </w:num>
  <w:num w:numId="25" w16cid:durableId="1134908286">
    <w:abstractNumId w:val="22"/>
  </w:num>
  <w:num w:numId="26" w16cid:durableId="1525754607">
    <w:abstractNumId w:val="12"/>
  </w:num>
  <w:num w:numId="27" w16cid:durableId="1155031032">
    <w:abstractNumId w:val="18"/>
  </w:num>
  <w:num w:numId="28" w16cid:durableId="179053428">
    <w:abstractNumId w:val="23"/>
  </w:num>
  <w:num w:numId="29" w16cid:durableId="863445824">
    <w:abstractNumId w:val="14"/>
  </w:num>
  <w:num w:numId="30" w16cid:durableId="1712075800">
    <w:abstractNumId w:val="14"/>
  </w:num>
  <w:num w:numId="31" w16cid:durableId="863907893">
    <w:abstractNumId w:val="14"/>
  </w:num>
  <w:num w:numId="32" w16cid:durableId="1202593758">
    <w:abstractNumId w:val="14"/>
  </w:num>
  <w:num w:numId="33" w16cid:durableId="1819027232">
    <w:abstractNumId w:val="14"/>
  </w:num>
  <w:num w:numId="34" w16cid:durableId="1027099340">
    <w:abstractNumId w:val="14"/>
  </w:num>
  <w:num w:numId="35" w16cid:durableId="1974867690">
    <w:abstractNumId w:val="14"/>
  </w:num>
  <w:num w:numId="36" w16cid:durableId="892690564">
    <w:abstractNumId w:val="28"/>
  </w:num>
  <w:num w:numId="37" w16cid:durableId="1910576842">
    <w:abstractNumId w:val="14"/>
  </w:num>
  <w:num w:numId="38" w16cid:durableId="2031254814">
    <w:abstractNumId w:val="20"/>
  </w:num>
  <w:num w:numId="39" w16cid:durableId="961693705">
    <w:abstractNumId w:val="28"/>
  </w:num>
  <w:num w:numId="40" w16cid:durableId="1058095369">
    <w:abstractNumId w:val="28"/>
  </w:num>
  <w:num w:numId="41" w16cid:durableId="962154856">
    <w:abstractNumId w:val="28"/>
  </w:num>
  <w:num w:numId="42" w16cid:durableId="1001272955">
    <w:abstractNumId w:val="14"/>
  </w:num>
  <w:num w:numId="43" w16cid:durableId="1485783019">
    <w:abstractNumId w:val="34"/>
  </w:num>
  <w:num w:numId="44" w16cid:durableId="1823964615">
    <w:abstractNumId w:val="10"/>
  </w:num>
  <w:num w:numId="45" w16cid:durableId="43523692">
    <w:abstractNumId w:val="20"/>
  </w:num>
  <w:num w:numId="46" w16cid:durableId="1254973823">
    <w:abstractNumId w:val="20"/>
  </w:num>
  <w:num w:numId="47" w16cid:durableId="137574206">
    <w:abstractNumId w:val="20"/>
  </w:num>
  <w:num w:numId="48" w16cid:durableId="794563967">
    <w:abstractNumId w:val="27"/>
  </w:num>
  <w:num w:numId="49" w16cid:durableId="1686900617">
    <w:abstractNumId w:val="15"/>
  </w:num>
  <w:num w:numId="50" w16cid:durableId="892959839">
    <w:abstractNumId w:val="16"/>
  </w:num>
  <w:num w:numId="51" w16cid:durableId="1774351633">
    <w:abstractNumId w:val="25"/>
  </w:num>
  <w:num w:numId="52" w16cid:durableId="297342858">
    <w:abstractNumId w:val="17"/>
  </w:num>
  <w:num w:numId="53" w16cid:durableId="866211072">
    <w:abstractNumId w:val="11"/>
  </w:num>
  <w:num w:numId="54" w16cid:durableId="326054882">
    <w:abstractNumId w:val="26"/>
    <w:lvlOverride w:ilvl="0">
      <w:startOverride w:val="1"/>
    </w:lvlOverride>
    <w:lvlOverride w:ilvl="1"/>
    <w:lvlOverride w:ilvl="2"/>
    <w:lvlOverride w:ilvl="3"/>
    <w:lvlOverride w:ilvl="4"/>
    <w:lvlOverride w:ilvl="5"/>
    <w:lvlOverride w:ilvl="6"/>
    <w:lvlOverride w:ilvl="7"/>
    <w:lvlOverride w:ilvl="8"/>
  </w:num>
  <w:num w:numId="55" w16cid:durableId="1685940327">
    <w:abstractNumId w:val="29"/>
  </w:num>
  <w:num w:numId="56" w16cid:durableId="82074414">
    <w:abstractNumId w:val="14"/>
  </w:num>
  <w:num w:numId="57" w16cid:durableId="173959506">
    <w:abstractNumId w:val="14"/>
  </w:num>
  <w:num w:numId="58" w16cid:durableId="1580556162">
    <w:abstractNumId w:val="14"/>
  </w:num>
  <w:num w:numId="59" w16cid:durableId="1398094965">
    <w:abstractNumId w:val="32"/>
  </w:num>
  <w:num w:numId="60" w16cid:durableId="869538653">
    <w:abstractNumId w:val="14"/>
  </w:num>
  <w:num w:numId="61" w16cid:durableId="151652892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B69"/>
    <w:rsid w:val="0000430C"/>
    <w:rsid w:val="000045B9"/>
    <w:rsid w:val="00006406"/>
    <w:rsid w:val="00011865"/>
    <w:rsid w:val="00012366"/>
    <w:rsid w:val="00012553"/>
    <w:rsid w:val="00013766"/>
    <w:rsid w:val="00013EAB"/>
    <w:rsid w:val="00021FBE"/>
    <w:rsid w:val="0002257E"/>
    <w:rsid w:val="000266B1"/>
    <w:rsid w:val="00027FAB"/>
    <w:rsid w:val="000319D6"/>
    <w:rsid w:val="00034161"/>
    <w:rsid w:val="0003514A"/>
    <w:rsid w:val="00041A34"/>
    <w:rsid w:val="00043BF3"/>
    <w:rsid w:val="000441F7"/>
    <w:rsid w:val="000476C5"/>
    <w:rsid w:val="00051A9C"/>
    <w:rsid w:val="000521D7"/>
    <w:rsid w:val="0005336F"/>
    <w:rsid w:val="000559B4"/>
    <w:rsid w:val="000619E5"/>
    <w:rsid w:val="00073056"/>
    <w:rsid w:val="000735D7"/>
    <w:rsid w:val="00083466"/>
    <w:rsid w:val="000834FB"/>
    <w:rsid w:val="00090C03"/>
    <w:rsid w:val="00091BB7"/>
    <w:rsid w:val="00093094"/>
    <w:rsid w:val="000942F7"/>
    <w:rsid w:val="00095C7D"/>
    <w:rsid w:val="000A0A5A"/>
    <w:rsid w:val="000A0B58"/>
    <w:rsid w:val="000A1180"/>
    <w:rsid w:val="000A6228"/>
    <w:rsid w:val="000A6ED0"/>
    <w:rsid w:val="000B2DE0"/>
    <w:rsid w:val="000B31FE"/>
    <w:rsid w:val="000B4581"/>
    <w:rsid w:val="000B588E"/>
    <w:rsid w:val="000B5D40"/>
    <w:rsid w:val="000B609D"/>
    <w:rsid w:val="000B6E69"/>
    <w:rsid w:val="000B7EC6"/>
    <w:rsid w:val="000C7E16"/>
    <w:rsid w:val="000D03BC"/>
    <w:rsid w:val="000D054F"/>
    <w:rsid w:val="000E35CF"/>
    <w:rsid w:val="000E74F5"/>
    <w:rsid w:val="000F1BA3"/>
    <w:rsid w:val="000F6F6A"/>
    <w:rsid w:val="000F7905"/>
    <w:rsid w:val="000F7C89"/>
    <w:rsid w:val="001006BA"/>
    <w:rsid w:val="00104E94"/>
    <w:rsid w:val="00106279"/>
    <w:rsid w:val="00106D02"/>
    <w:rsid w:val="00107D87"/>
    <w:rsid w:val="00107DD5"/>
    <w:rsid w:val="00112189"/>
    <w:rsid w:val="001126AD"/>
    <w:rsid w:val="00112AF7"/>
    <w:rsid w:val="00116903"/>
    <w:rsid w:val="001232DD"/>
    <w:rsid w:val="0012343A"/>
    <w:rsid w:val="00123C5C"/>
    <w:rsid w:val="001247C3"/>
    <w:rsid w:val="00125B82"/>
    <w:rsid w:val="00125D05"/>
    <w:rsid w:val="001274AC"/>
    <w:rsid w:val="00130E0B"/>
    <w:rsid w:val="00133B8D"/>
    <w:rsid w:val="0013611E"/>
    <w:rsid w:val="001405D7"/>
    <w:rsid w:val="001406E5"/>
    <w:rsid w:val="0014374D"/>
    <w:rsid w:val="001471DD"/>
    <w:rsid w:val="001515BF"/>
    <w:rsid w:val="00152002"/>
    <w:rsid w:val="001536DC"/>
    <w:rsid w:val="00155AF7"/>
    <w:rsid w:val="001577EC"/>
    <w:rsid w:val="00160AA6"/>
    <w:rsid w:val="00163F29"/>
    <w:rsid w:val="0017134D"/>
    <w:rsid w:val="0017609D"/>
    <w:rsid w:val="00176E0E"/>
    <w:rsid w:val="001814C7"/>
    <w:rsid w:val="00186A5A"/>
    <w:rsid w:val="001A18F4"/>
    <w:rsid w:val="001A4D78"/>
    <w:rsid w:val="001A6AAF"/>
    <w:rsid w:val="001B01EB"/>
    <w:rsid w:val="001B066D"/>
    <w:rsid w:val="001B1A6C"/>
    <w:rsid w:val="001B39B0"/>
    <w:rsid w:val="001B5E5D"/>
    <w:rsid w:val="001B6EEC"/>
    <w:rsid w:val="001C01F2"/>
    <w:rsid w:val="001C1523"/>
    <w:rsid w:val="001C3D33"/>
    <w:rsid w:val="001C7747"/>
    <w:rsid w:val="001D1729"/>
    <w:rsid w:val="001D5CE8"/>
    <w:rsid w:val="001E6750"/>
    <w:rsid w:val="001F02B9"/>
    <w:rsid w:val="001F2202"/>
    <w:rsid w:val="001F4019"/>
    <w:rsid w:val="0020137F"/>
    <w:rsid w:val="00201D8A"/>
    <w:rsid w:val="00205448"/>
    <w:rsid w:val="00207DA6"/>
    <w:rsid w:val="00212ECF"/>
    <w:rsid w:val="00215FCE"/>
    <w:rsid w:val="002209C9"/>
    <w:rsid w:val="00221D8F"/>
    <w:rsid w:val="00224099"/>
    <w:rsid w:val="002272DB"/>
    <w:rsid w:val="00231AF1"/>
    <w:rsid w:val="00242B73"/>
    <w:rsid w:val="002527D0"/>
    <w:rsid w:val="002533F2"/>
    <w:rsid w:val="00260902"/>
    <w:rsid w:val="00261253"/>
    <w:rsid w:val="0026347F"/>
    <w:rsid w:val="002658FD"/>
    <w:rsid w:val="002673DC"/>
    <w:rsid w:val="0026791E"/>
    <w:rsid w:val="00270F7C"/>
    <w:rsid w:val="00273159"/>
    <w:rsid w:val="00276047"/>
    <w:rsid w:val="002838C5"/>
    <w:rsid w:val="002947D8"/>
    <w:rsid w:val="00294845"/>
    <w:rsid w:val="002A05B2"/>
    <w:rsid w:val="002A2008"/>
    <w:rsid w:val="002A342F"/>
    <w:rsid w:val="002A4458"/>
    <w:rsid w:val="002A5FA6"/>
    <w:rsid w:val="002B134A"/>
    <w:rsid w:val="002B233D"/>
    <w:rsid w:val="002B47FF"/>
    <w:rsid w:val="002B7ECC"/>
    <w:rsid w:val="002C1663"/>
    <w:rsid w:val="002C5B0F"/>
    <w:rsid w:val="002C6B5F"/>
    <w:rsid w:val="002C6DCF"/>
    <w:rsid w:val="002C7B1F"/>
    <w:rsid w:val="002D589A"/>
    <w:rsid w:val="002D658F"/>
    <w:rsid w:val="002E0DC6"/>
    <w:rsid w:val="002E3C80"/>
    <w:rsid w:val="002F07A7"/>
    <w:rsid w:val="002F20EF"/>
    <w:rsid w:val="002F3569"/>
    <w:rsid w:val="002F4F64"/>
    <w:rsid w:val="002F525E"/>
    <w:rsid w:val="0030108D"/>
    <w:rsid w:val="003026F3"/>
    <w:rsid w:val="00303179"/>
    <w:rsid w:val="003041BB"/>
    <w:rsid w:val="00312423"/>
    <w:rsid w:val="0032046F"/>
    <w:rsid w:val="00325C2B"/>
    <w:rsid w:val="00334F93"/>
    <w:rsid w:val="00336E0C"/>
    <w:rsid w:val="00343BC6"/>
    <w:rsid w:val="00346969"/>
    <w:rsid w:val="003511B5"/>
    <w:rsid w:val="003544F1"/>
    <w:rsid w:val="00357092"/>
    <w:rsid w:val="00364133"/>
    <w:rsid w:val="00364449"/>
    <w:rsid w:val="00365E67"/>
    <w:rsid w:val="00376B55"/>
    <w:rsid w:val="00385F78"/>
    <w:rsid w:val="003928D7"/>
    <w:rsid w:val="00395082"/>
    <w:rsid w:val="00397771"/>
    <w:rsid w:val="003A0A12"/>
    <w:rsid w:val="003A64F4"/>
    <w:rsid w:val="003A795B"/>
    <w:rsid w:val="003B5809"/>
    <w:rsid w:val="003D3237"/>
    <w:rsid w:val="003D355A"/>
    <w:rsid w:val="003D7096"/>
    <w:rsid w:val="003D776C"/>
    <w:rsid w:val="003E17A5"/>
    <w:rsid w:val="003E20CA"/>
    <w:rsid w:val="003E3291"/>
    <w:rsid w:val="003E4DA5"/>
    <w:rsid w:val="003F37BD"/>
    <w:rsid w:val="0040155D"/>
    <w:rsid w:val="004034F9"/>
    <w:rsid w:val="0040548B"/>
    <w:rsid w:val="004123E0"/>
    <w:rsid w:val="004128D9"/>
    <w:rsid w:val="00416661"/>
    <w:rsid w:val="0041713E"/>
    <w:rsid w:val="00420812"/>
    <w:rsid w:val="00421D3F"/>
    <w:rsid w:val="00423785"/>
    <w:rsid w:val="00434056"/>
    <w:rsid w:val="004341C1"/>
    <w:rsid w:val="004356B8"/>
    <w:rsid w:val="00441A3E"/>
    <w:rsid w:val="00442627"/>
    <w:rsid w:val="00444E96"/>
    <w:rsid w:val="00447161"/>
    <w:rsid w:val="00452D26"/>
    <w:rsid w:val="00452E78"/>
    <w:rsid w:val="00465226"/>
    <w:rsid w:val="00465405"/>
    <w:rsid w:val="004707B5"/>
    <w:rsid w:val="00471651"/>
    <w:rsid w:val="00472654"/>
    <w:rsid w:val="00474A36"/>
    <w:rsid w:val="004762E4"/>
    <w:rsid w:val="004821D2"/>
    <w:rsid w:val="00485F26"/>
    <w:rsid w:val="00491907"/>
    <w:rsid w:val="00492755"/>
    <w:rsid w:val="00493670"/>
    <w:rsid w:val="00493734"/>
    <w:rsid w:val="00494B1B"/>
    <w:rsid w:val="00495A4B"/>
    <w:rsid w:val="00496831"/>
    <w:rsid w:val="00496E0D"/>
    <w:rsid w:val="00497FCF"/>
    <w:rsid w:val="004A0001"/>
    <w:rsid w:val="004A06CD"/>
    <w:rsid w:val="004A3E01"/>
    <w:rsid w:val="004A4B6F"/>
    <w:rsid w:val="004A4CF9"/>
    <w:rsid w:val="004A6D37"/>
    <w:rsid w:val="004A7074"/>
    <w:rsid w:val="004A7276"/>
    <w:rsid w:val="004A7E75"/>
    <w:rsid w:val="004B09D9"/>
    <w:rsid w:val="004B1D00"/>
    <w:rsid w:val="004B2794"/>
    <w:rsid w:val="004C40AE"/>
    <w:rsid w:val="004C44B0"/>
    <w:rsid w:val="004C5FE8"/>
    <w:rsid w:val="004D2471"/>
    <w:rsid w:val="004D2965"/>
    <w:rsid w:val="004D3DC8"/>
    <w:rsid w:val="004D43B3"/>
    <w:rsid w:val="004E6132"/>
    <w:rsid w:val="004E6525"/>
    <w:rsid w:val="004F4847"/>
    <w:rsid w:val="004F5DB7"/>
    <w:rsid w:val="00501280"/>
    <w:rsid w:val="00503096"/>
    <w:rsid w:val="0050397E"/>
    <w:rsid w:val="00514DF6"/>
    <w:rsid w:val="005152FD"/>
    <w:rsid w:val="00516240"/>
    <w:rsid w:val="00516D58"/>
    <w:rsid w:val="0051799E"/>
    <w:rsid w:val="005217CD"/>
    <w:rsid w:val="00526D20"/>
    <w:rsid w:val="00527E82"/>
    <w:rsid w:val="00531056"/>
    <w:rsid w:val="005344E1"/>
    <w:rsid w:val="005350A1"/>
    <w:rsid w:val="005425EE"/>
    <w:rsid w:val="00543F2C"/>
    <w:rsid w:val="00552E79"/>
    <w:rsid w:val="00553536"/>
    <w:rsid w:val="00560014"/>
    <w:rsid w:val="005604FB"/>
    <w:rsid w:val="0056092E"/>
    <w:rsid w:val="00560A7E"/>
    <w:rsid w:val="00562C06"/>
    <w:rsid w:val="005712E1"/>
    <w:rsid w:val="00581F69"/>
    <w:rsid w:val="0058212A"/>
    <w:rsid w:val="00583924"/>
    <w:rsid w:val="0058539C"/>
    <w:rsid w:val="00595E08"/>
    <w:rsid w:val="005A0B3C"/>
    <w:rsid w:val="005A3E48"/>
    <w:rsid w:val="005A4B0C"/>
    <w:rsid w:val="005A51B9"/>
    <w:rsid w:val="005A5684"/>
    <w:rsid w:val="005A6D5B"/>
    <w:rsid w:val="005A734F"/>
    <w:rsid w:val="005A75C9"/>
    <w:rsid w:val="005B1401"/>
    <w:rsid w:val="005B187D"/>
    <w:rsid w:val="005B5FD7"/>
    <w:rsid w:val="005B6D26"/>
    <w:rsid w:val="005C43F6"/>
    <w:rsid w:val="005C6252"/>
    <w:rsid w:val="005D280F"/>
    <w:rsid w:val="005D2DFA"/>
    <w:rsid w:val="005D7F77"/>
    <w:rsid w:val="005E2B65"/>
    <w:rsid w:val="005E3383"/>
    <w:rsid w:val="005F0A5A"/>
    <w:rsid w:val="005F0CA6"/>
    <w:rsid w:val="005F61AA"/>
    <w:rsid w:val="00602A6B"/>
    <w:rsid w:val="00607FD6"/>
    <w:rsid w:val="006151C1"/>
    <w:rsid w:val="006232DC"/>
    <w:rsid w:val="006240F7"/>
    <w:rsid w:val="0063094F"/>
    <w:rsid w:val="00631210"/>
    <w:rsid w:val="00635FDE"/>
    <w:rsid w:val="00640371"/>
    <w:rsid w:val="00641064"/>
    <w:rsid w:val="00643313"/>
    <w:rsid w:val="00646438"/>
    <w:rsid w:val="006510A3"/>
    <w:rsid w:val="00655040"/>
    <w:rsid w:val="00660828"/>
    <w:rsid w:val="006804DA"/>
    <w:rsid w:val="006842A8"/>
    <w:rsid w:val="006865FE"/>
    <w:rsid w:val="00694619"/>
    <w:rsid w:val="00696157"/>
    <w:rsid w:val="006B038E"/>
    <w:rsid w:val="006B2130"/>
    <w:rsid w:val="006B2880"/>
    <w:rsid w:val="006B2C37"/>
    <w:rsid w:val="006D0252"/>
    <w:rsid w:val="006D02B5"/>
    <w:rsid w:val="006D3000"/>
    <w:rsid w:val="006D67F3"/>
    <w:rsid w:val="006E34E9"/>
    <w:rsid w:val="006F0B8F"/>
    <w:rsid w:val="006F0E45"/>
    <w:rsid w:val="006F1FFF"/>
    <w:rsid w:val="006F4143"/>
    <w:rsid w:val="006F4263"/>
    <w:rsid w:val="006F6D10"/>
    <w:rsid w:val="00703509"/>
    <w:rsid w:val="00703681"/>
    <w:rsid w:val="00710023"/>
    <w:rsid w:val="00712B94"/>
    <w:rsid w:val="00716A89"/>
    <w:rsid w:val="00722214"/>
    <w:rsid w:val="0073550E"/>
    <w:rsid w:val="00743E1D"/>
    <w:rsid w:val="00746B21"/>
    <w:rsid w:val="00755BBF"/>
    <w:rsid w:val="00756931"/>
    <w:rsid w:val="0076028F"/>
    <w:rsid w:val="007640B7"/>
    <w:rsid w:val="00770644"/>
    <w:rsid w:val="00770E76"/>
    <w:rsid w:val="00784F2B"/>
    <w:rsid w:val="007A2E8E"/>
    <w:rsid w:val="007A4CBB"/>
    <w:rsid w:val="007B1781"/>
    <w:rsid w:val="007B2A7B"/>
    <w:rsid w:val="007B2A80"/>
    <w:rsid w:val="007B2CA1"/>
    <w:rsid w:val="007B324A"/>
    <w:rsid w:val="007B472B"/>
    <w:rsid w:val="007B5814"/>
    <w:rsid w:val="007B6525"/>
    <w:rsid w:val="007C1D5E"/>
    <w:rsid w:val="007C54AC"/>
    <w:rsid w:val="007C5BDF"/>
    <w:rsid w:val="007C7EE2"/>
    <w:rsid w:val="007D0ABC"/>
    <w:rsid w:val="007D0B81"/>
    <w:rsid w:val="007D2204"/>
    <w:rsid w:val="007D4C13"/>
    <w:rsid w:val="007E11EB"/>
    <w:rsid w:val="007E7E53"/>
    <w:rsid w:val="007F0E61"/>
    <w:rsid w:val="007F2271"/>
    <w:rsid w:val="007F3253"/>
    <w:rsid w:val="00801968"/>
    <w:rsid w:val="00802598"/>
    <w:rsid w:val="0080361C"/>
    <w:rsid w:val="008042F5"/>
    <w:rsid w:val="00806575"/>
    <w:rsid w:val="00812AC3"/>
    <w:rsid w:val="008152E6"/>
    <w:rsid w:val="00821F7B"/>
    <w:rsid w:val="008227E9"/>
    <w:rsid w:val="00834FB2"/>
    <w:rsid w:val="00850368"/>
    <w:rsid w:val="0085048F"/>
    <w:rsid w:val="008555B3"/>
    <w:rsid w:val="008646CF"/>
    <w:rsid w:val="00864DAC"/>
    <w:rsid w:val="008716E4"/>
    <w:rsid w:val="00871E5A"/>
    <w:rsid w:val="0087345D"/>
    <w:rsid w:val="008741FB"/>
    <w:rsid w:val="00876C7F"/>
    <w:rsid w:val="008815D9"/>
    <w:rsid w:val="00881A55"/>
    <w:rsid w:val="00881EFB"/>
    <w:rsid w:val="0088391C"/>
    <w:rsid w:val="00886755"/>
    <w:rsid w:val="00886959"/>
    <w:rsid w:val="00887F8E"/>
    <w:rsid w:val="00890F38"/>
    <w:rsid w:val="00891BB5"/>
    <w:rsid w:val="00894E81"/>
    <w:rsid w:val="008973DA"/>
    <w:rsid w:val="008A36E1"/>
    <w:rsid w:val="008A37A7"/>
    <w:rsid w:val="008B0736"/>
    <w:rsid w:val="008B1B6C"/>
    <w:rsid w:val="008B31CA"/>
    <w:rsid w:val="008B3393"/>
    <w:rsid w:val="008C089E"/>
    <w:rsid w:val="008C2103"/>
    <w:rsid w:val="008C22F4"/>
    <w:rsid w:val="008C2BD5"/>
    <w:rsid w:val="008D07E0"/>
    <w:rsid w:val="008D10D7"/>
    <w:rsid w:val="008E0E66"/>
    <w:rsid w:val="008E1EBF"/>
    <w:rsid w:val="008E6666"/>
    <w:rsid w:val="008F1F8C"/>
    <w:rsid w:val="008F7048"/>
    <w:rsid w:val="00901160"/>
    <w:rsid w:val="009133FD"/>
    <w:rsid w:val="00914826"/>
    <w:rsid w:val="00914848"/>
    <w:rsid w:val="00915EC6"/>
    <w:rsid w:val="00921080"/>
    <w:rsid w:val="00923042"/>
    <w:rsid w:val="009231B9"/>
    <w:rsid w:val="009255EE"/>
    <w:rsid w:val="00925B56"/>
    <w:rsid w:val="00926589"/>
    <w:rsid w:val="00926EEA"/>
    <w:rsid w:val="009270D6"/>
    <w:rsid w:val="00935156"/>
    <w:rsid w:val="0094135C"/>
    <w:rsid w:val="00941573"/>
    <w:rsid w:val="00946F67"/>
    <w:rsid w:val="00947113"/>
    <w:rsid w:val="00947550"/>
    <w:rsid w:val="00950B06"/>
    <w:rsid w:val="00952F14"/>
    <w:rsid w:val="00955348"/>
    <w:rsid w:val="00961F09"/>
    <w:rsid w:val="009622AD"/>
    <w:rsid w:val="0096779F"/>
    <w:rsid w:val="00970069"/>
    <w:rsid w:val="009721EB"/>
    <w:rsid w:val="00972BA2"/>
    <w:rsid w:val="00974EED"/>
    <w:rsid w:val="00980505"/>
    <w:rsid w:val="009851B8"/>
    <w:rsid w:val="00985FBF"/>
    <w:rsid w:val="009913A9"/>
    <w:rsid w:val="00992BDD"/>
    <w:rsid w:val="0099792A"/>
    <w:rsid w:val="009A022E"/>
    <w:rsid w:val="009A1340"/>
    <w:rsid w:val="009A4851"/>
    <w:rsid w:val="009A6022"/>
    <w:rsid w:val="009A69D8"/>
    <w:rsid w:val="009A70A3"/>
    <w:rsid w:val="009B1867"/>
    <w:rsid w:val="009B3833"/>
    <w:rsid w:val="009B6C05"/>
    <w:rsid w:val="009B706E"/>
    <w:rsid w:val="009B782D"/>
    <w:rsid w:val="009C2CC2"/>
    <w:rsid w:val="009C423A"/>
    <w:rsid w:val="009C4F9E"/>
    <w:rsid w:val="009C72CB"/>
    <w:rsid w:val="009D7379"/>
    <w:rsid w:val="009E020D"/>
    <w:rsid w:val="009E2142"/>
    <w:rsid w:val="009E4320"/>
    <w:rsid w:val="009E4593"/>
    <w:rsid w:val="009E46AE"/>
    <w:rsid w:val="009E5A03"/>
    <w:rsid w:val="009E7239"/>
    <w:rsid w:val="009E79ED"/>
    <w:rsid w:val="009E7BE5"/>
    <w:rsid w:val="009F288E"/>
    <w:rsid w:val="009F61F1"/>
    <w:rsid w:val="009F6D39"/>
    <w:rsid w:val="009F709B"/>
    <w:rsid w:val="00A069FE"/>
    <w:rsid w:val="00A07596"/>
    <w:rsid w:val="00A1119B"/>
    <w:rsid w:val="00A114ED"/>
    <w:rsid w:val="00A15131"/>
    <w:rsid w:val="00A17A08"/>
    <w:rsid w:val="00A40E21"/>
    <w:rsid w:val="00A416B2"/>
    <w:rsid w:val="00A45408"/>
    <w:rsid w:val="00A53CE1"/>
    <w:rsid w:val="00A5431C"/>
    <w:rsid w:val="00A60673"/>
    <w:rsid w:val="00A63409"/>
    <w:rsid w:val="00A63D80"/>
    <w:rsid w:val="00A6755B"/>
    <w:rsid w:val="00A73AB2"/>
    <w:rsid w:val="00A75E67"/>
    <w:rsid w:val="00A76007"/>
    <w:rsid w:val="00A76FF5"/>
    <w:rsid w:val="00A90AE2"/>
    <w:rsid w:val="00A93FD2"/>
    <w:rsid w:val="00A9421A"/>
    <w:rsid w:val="00AA4C2C"/>
    <w:rsid w:val="00AA5C95"/>
    <w:rsid w:val="00AA611B"/>
    <w:rsid w:val="00AC155A"/>
    <w:rsid w:val="00AC1872"/>
    <w:rsid w:val="00AC2154"/>
    <w:rsid w:val="00AD1876"/>
    <w:rsid w:val="00AD2B7C"/>
    <w:rsid w:val="00AD50E7"/>
    <w:rsid w:val="00AD631F"/>
    <w:rsid w:val="00AE1633"/>
    <w:rsid w:val="00AE21FF"/>
    <w:rsid w:val="00AE2933"/>
    <w:rsid w:val="00AF11A5"/>
    <w:rsid w:val="00AF1F18"/>
    <w:rsid w:val="00B009A6"/>
    <w:rsid w:val="00B0513A"/>
    <w:rsid w:val="00B0726E"/>
    <w:rsid w:val="00B14ADF"/>
    <w:rsid w:val="00B15F5A"/>
    <w:rsid w:val="00B20804"/>
    <w:rsid w:val="00B2159E"/>
    <w:rsid w:val="00B219D1"/>
    <w:rsid w:val="00B23082"/>
    <w:rsid w:val="00B25207"/>
    <w:rsid w:val="00B326F5"/>
    <w:rsid w:val="00B353A2"/>
    <w:rsid w:val="00B365A0"/>
    <w:rsid w:val="00B40A7B"/>
    <w:rsid w:val="00B40F01"/>
    <w:rsid w:val="00B461CC"/>
    <w:rsid w:val="00B51026"/>
    <w:rsid w:val="00B517CE"/>
    <w:rsid w:val="00B60501"/>
    <w:rsid w:val="00B66A60"/>
    <w:rsid w:val="00B67DA4"/>
    <w:rsid w:val="00B75136"/>
    <w:rsid w:val="00B75F12"/>
    <w:rsid w:val="00B80DA7"/>
    <w:rsid w:val="00B81FA4"/>
    <w:rsid w:val="00B822BB"/>
    <w:rsid w:val="00B82529"/>
    <w:rsid w:val="00B86AEB"/>
    <w:rsid w:val="00B8794C"/>
    <w:rsid w:val="00B90D18"/>
    <w:rsid w:val="00B93284"/>
    <w:rsid w:val="00B93711"/>
    <w:rsid w:val="00B94CB6"/>
    <w:rsid w:val="00B95EF4"/>
    <w:rsid w:val="00B95FFB"/>
    <w:rsid w:val="00BA120D"/>
    <w:rsid w:val="00BA1EA7"/>
    <w:rsid w:val="00BA1F02"/>
    <w:rsid w:val="00BA594E"/>
    <w:rsid w:val="00BA5C97"/>
    <w:rsid w:val="00BB5C87"/>
    <w:rsid w:val="00BB6509"/>
    <w:rsid w:val="00BC248C"/>
    <w:rsid w:val="00BC53B2"/>
    <w:rsid w:val="00BC5615"/>
    <w:rsid w:val="00BC78F1"/>
    <w:rsid w:val="00BD3ABD"/>
    <w:rsid w:val="00BD72D8"/>
    <w:rsid w:val="00BE26C2"/>
    <w:rsid w:val="00BE2AA2"/>
    <w:rsid w:val="00BE4D65"/>
    <w:rsid w:val="00BE554C"/>
    <w:rsid w:val="00C01EC0"/>
    <w:rsid w:val="00C04A38"/>
    <w:rsid w:val="00C10B0F"/>
    <w:rsid w:val="00C11EF9"/>
    <w:rsid w:val="00C213BC"/>
    <w:rsid w:val="00C244EE"/>
    <w:rsid w:val="00C25D3D"/>
    <w:rsid w:val="00C30266"/>
    <w:rsid w:val="00C31B5F"/>
    <w:rsid w:val="00C40BBC"/>
    <w:rsid w:val="00C5050B"/>
    <w:rsid w:val="00C53835"/>
    <w:rsid w:val="00C55A32"/>
    <w:rsid w:val="00C60248"/>
    <w:rsid w:val="00C61F4B"/>
    <w:rsid w:val="00C66A04"/>
    <w:rsid w:val="00C704FD"/>
    <w:rsid w:val="00C7212B"/>
    <w:rsid w:val="00C72224"/>
    <w:rsid w:val="00C75706"/>
    <w:rsid w:val="00C83261"/>
    <w:rsid w:val="00C843CD"/>
    <w:rsid w:val="00C848CD"/>
    <w:rsid w:val="00C86D2D"/>
    <w:rsid w:val="00CA0C43"/>
    <w:rsid w:val="00CA46BC"/>
    <w:rsid w:val="00CA4815"/>
    <w:rsid w:val="00CA6FBB"/>
    <w:rsid w:val="00CA7108"/>
    <w:rsid w:val="00CB1E1D"/>
    <w:rsid w:val="00CB2FED"/>
    <w:rsid w:val="00CB5AB7"/>
    <w:rsid w:val="00CB7304"/>
    <w:rsid w:val="00CD5599"/>
    <w:rsid w:val="00CD669F"/>
    <w:rsid w:val="00CD75D9"/>
    <w:rsid w:val="00CE1616"/>
    <w:rsid w:val="00CE26A7"/>
    <w:rsid w:val="00CE2D64"/>
    <w:rsid w:val="00CE66D2"/>
    <w:rsid w:val="00CF0484"/>
    <w:rsid w:val="00CF47A8"/>
    <w:rsid w:val="00CF5315"/>
    <w:rsid w:val="00CF6468"/>
    <w:rsid w:val="00CF6562"/>
    <w:rsid w:val="00D00DBC"/>
    <w:rsid w:val="00D01E28"/>
    <w:rsid w:val="00D042D0"/>
    <w:rsid w:val="00D1198D"/>
    <w:rsid w:val="00D11B24"/>
    <w:rsid w:val="00D16ACF"/>
    <w:rsid w:val="00D170E4"/>
    <w:rsid w:val="00D172D3"/>
    <w:rsid w:val="00D254BA"/>
    <w:rsid w:val="00D25F7A"/>
    <w:rsid w:val="00D3621D"/>
    <w:rsid w:val="00D4059D"/>
    <w:rsid w:val="00D41135"/>
    <w:rsid w:val="00D4311B"/>
    <w:rsid w:val="00D43F79"/>
    <w:rsid w:val="00D46DF6"/>
    <w:rsid w:val="00D50E57"/>
    <w:rsid w:val="00D5325D"/>
    <w:rsid w:val="00D5688A"/>
    <w:rsid w:val="00D5793E"/>
    <w:rsid w:val="00D60529"/>
    <w:rsid w:val="00D6289F"/>
    <w:rsid w:val="00D629A3"/>
    <w:rsid w:val="00D7022C"/>
    <w:rsid w:val="00D73B2D"/>
    <w:rsid w:val="00D81461"/>
    <w:rsid w:val="00D8148F"/>
    <w:rsid w:val="00D8337A"/>
    <w:rsid w:val="00D92681"/>
    <w:rsid w:val="00D9657F"/>
    <w:rsid w:val="00DA1765"/>
    <w:rsid w:val="00DA288C"/>
    <w:rsid w:val="00DA4AB6"/>
    <w:rsid w:val="00DA6A1C"/>
    <w:rsid w:val="00DB3AFC"/>
    <w:rsid w:val="00DB4933"/>
    <w:rsid w:val="00DC0576"/>
    <w:rsid w:val="00DC5980"/>
    <w:rsid w:val="00DC7B0F"/>
    <w:rsid w:val="00DD2B46"/>
    <w:rsid w:val="00DD418A"/>
    <w:rsid w:val="00DD4EF2"/>
    <w:rsid w:val="00DD7C7C"/>
    <w:rsid w:val="00DE080A"/>
    <w:rsid w:val="00DE124E"/>
    <w:rsid w:val="00DF23C0"/>
    <w:rsid w:val="00DF4C08"/>
    <w:rsid w:val="00DF4F25"/>
    <w:rsid w:val="00DF65DC"/>
    <w:rsid w:val="00DF7579"/>
    <w:rsid w:val="00E10C51"/>
    <w:rsid w:val="00E13EF4"/>
    <w:rsid w:val="00E14390"/>
    <w:rsid w:val="00E15308"/>
    <w:rsid w:val="00E15A18"/>
    <w:rsid w:val="00E20A33"/>
    <w:rsid w:val="00E26598"/>
    <w:rsid w:val="00E33239"/>
    <w:rsid w:val="00E33C55"/>
    <w:rsid w:val="00E500F9"/>
    <w:rsid w:val="00E529E5"/>
    <w:rsid w:val="00E55BA5"/>
    <w:rsid w:val="00E61553"/>
    <w:rsid w:val="00E6220A"/>
    <w:rsid w:val="00E62A48"/>
    <w:rsid w:val="00E67555"/>
    <w:rsid w:val="00E71EE6"/>
    <w:rsid w:val="00E729F5"/>
    <w:rsid w:val="00E73D6C"/>
    <w:rsid w:val="00E86EFE"/>
    <w:rsid w:val="00E87658"/>
    <w:rsid w:val="00E904C9"/>
    <w:rsid w:val="00E95F67"/>
    <w:rsid w:val="00E97CEF"/>
    <w:rsid w:val="00EA4B7C"/>
    <w:rsid w:val="00EB0D00"/>
    <w:rsid w:val="00EB4C2F"/>
    <w:rsid w:val="00EB592C"/>
    <w:rsid w:val="00ED0DDF"/>
    <w:rsid w:val="00ED2160"/>
    <w:rsid w:val="00ED2255"/>
    <w:rsid w:val="00ED4153"/>
    <w:rsid w:val="00ED60AF"/>
    <w:rsid w:val="00EE5351"/>
    <w:rsid w:val="00EF064B"/>
    <w:rsid w:val="00EF1970"/>
    <w:rsid w:val="00F0175A"/>
    <w:rsid w:val="00F1000D"/>
    <w:rsid w:val="00F10D91"/>
    <w:rsid w:val="00F10FC6"/>
    <w:rsid w:val="00F13148"/>
    <w:rsid w:val="00F22D3F"/>
    <w:rsid w:val="00F22E23"/>
    <w:rsid w:val="00F24FC8"/>
    <w:rsid w:val="00F25F62"/>
    <w:rsid w:val="00F27521"/>
    <w:rsid w:val="00F27C0C"/>
    <w:rsid w:val="00F311A4"/>
    <w:rsid w:val="00F3182E"/>
    <w:rsid w:val="00F32D69"/>
    <w:rsid w:val="00F3439F"/>
    <w:rsid w:val="00F36B26"/>
    <w:rsid w:val="00F40889"/>
    <w:rsid w:val="00F428ED"/>
    <w:rsid w:val="00F42FC1"/>
    <w:rsid w:val="00F47A99"/>
    <w:rsid w:val="00F50995"/>
    <w:rsid w:val="00F5309D"/>
    <w:rsid w:val="00F55FAA"/>
    <w:rsid w:val="00F6061C"/>
    <w:rsid w:val="00F6108B"/>
    <w:rsid w:val="00F65211"/>
    <w:rsid w:val="00F71650"/>
    <w:rsid w:val="00F82907"/>
    <w:rsid w:val="00F82C2C"/>
    <w:rsid w:val="00F85913"/>
    <w:rsid w:val="00F86998"/>
    <w:rsid w:val="00F92A2E"/>
    <w:rsid w:val="00F93210"/>
    <w:rsid w:val="00F94C58"/>
    <w:rsid w:val="00FB533F"/>
    <w:rsid w:val="00FB54F5"/>
    <w:rsid w:val="00FB7304"/>
    <w:rsid w:val="00FC443B"/>
    <w:rsid w:val="00FC5146"/>
    <w:rsid w:val="00FC7416"/>
    <w:rsid w:val="00FD2801"/>
    <w:rsid w:val="00FD296D"/>
    <w:rsid w:val="00FD2AC0"/>
    <w:rsid w:val="00FD33FC"/>
    <w:rsid w:val="00FD4D6E"/>
    <w:rsid w:val="00FD6BD2"/>
    <w:rsid w:val="00FD7B35"/>
    <w:rsid w:val="00FE4BEF"/>
    <w:rsid w:val="00FE7B04"/>
    <w:rsid w:val="00FF107B"/>
    <w:rsid w:val="00FF16C0"/>
    <w:rsid w:val="00FF1897"/>
    <w:rsid w:val="00FF1ABD"/>
    <w:rsid w:val="00FF38F1"/>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D7F7CD7-492D-4F7B-A5E9-32C95A4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91"/>
    <w:pPr>
      <w:spacing w:after="240"/>
    </w:pPr>
  </w:style>
  <w:style w:type="paragraph" w:styleId="Heading1">
    <w:name w:val="heading 1"/>
    <w:basedOn w:val="Normal"/>
    <w:next w:val="Normal"/>
    <w:link w:val="Heading1Char"/>
    <w:uiPriority w:val="9"/>
    <w:qFormat/>
    <w:rsid w:val="003E3291"/>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E3291"/>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3E3291"/>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3E3291"/>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3E3291"/>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3E3291"/>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3E3291"/>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qFormat/>
    <w:rsid w:val="006F0E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F0E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3291"/>
    <w:rPr>
      <w:b/>
      <w:bCs/>
    </w:rPr>
  </w:style>
  <w:style w:type="character" w:styleId="Hyperlink">
    <w:name w:val="Hyperlink"/>
    <w:basedOn w:val="DefaultParagraphFont"/>
    <w:uiPriority w:val="99"/>
    <w:unhideWhenUsed/>
    <w:qFormat/>
    <w:rsid w:val="003E3291"/>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6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rPr>
      <w:kern w:val="2"/>
      <w14:ligatures w14:val="standardContextual"/>
    </w:rPr>
  </w:style>
  <w:style w:type="paragraph" w:styleId="Footer">
    <w:name w:val="footer"/>
    <w:basedOn w:val="Normal"/>
    <w:link w:val="FooterChar"/>
    <w:uiPriority w:val="99"/>
    <w:unhideWhenUsed/>
    <w:rsid w:val="006F0E4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kern w:val="2"/>
      <w14:ligatures w14:val="standardContextual"/>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3291"/>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E3291"/>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3E3291"/>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3E3291"/>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3E3291"/>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3E3291"/>
    <w:rPr>
      <w:rFonts w:asciiTheme="majorHAnsi" w:eastAsiaTheme="majorEastAsia" w:hAnsiTheme="majorHAnsi" w:cstheme="majorBidi"/>
      <w:b/>
      <w:color w:val="5F636A"/>
    </w:rPr>
  </w:style>
  <w:style w:type="paragraph" w:styleId="Caption">
    <w:name w:val="caption"/>
    <w:basedOn w:val="Normal"/>
    <w:next w:val="Normal"/>
    <w:uiPriority w:val="35"/>
    <w:qFormat/>
    <w:rsid w:val="003E3291"/>
    <w:pPr>
      <w:spacing w:after="120" w:line="240" w:lineRule="auto"/>
    </w:pPr>
    <w:rPr>
      <w:b/>
      <w:iCs/>
      <w:color w:val="00254A" w:themeColor="text2"/>
      <w:szCs w:val="18"/>
    </w:rPr>
  </w:style>
  <w:style w:type="paragraph" w:customStyle="1" w:styleId="Source">
    <w:name w:val="Source"/>
    <w:basedOn w:val="Normal"/>
    <w:uiPriority w:val="97"/>
    <w:qFormat/>
    <w:rsid w:val="003E3291"/>
    <w:pPr>
      <w:spacing w:before="120"/>
    </w:pPr>
    <w:rPr>
      <w:sz w:val="18"/>
    </w:rPr>
  </w:style>
  <w:style w:type="character" w:customStyle="1" w:styleId="Heading7Char">
    <w:name w:val="Heading 7 Char"/>
    <w:basedOn w:val="DefaultParagraphFont"/>
    <w:link w:val="Heading7"/>
    <w:uiPriority w:val="9"/>
    <w:semiHidden/>
    <w:rsid w:val="003E3291"/>
    <w:rPr>
      <w:rFonts w:eastAsiaTheme="majorEastAsia" w:cstheme="majorBidi"/>
      <w:i/>
      <w:iCs/>
      <w:color w:val="55437E" w:themeColor="accent2"/>
    </w:rPr>
  </w:style>
  <w:style w:type="paragraph" w:styleId="Subtitle">
    <w:name w:val="Subtitle"/>
    <w:basedOn w:val="Normal"/>
    <w:next w:val="Normal"/>
    <w:link w:val="SubtitleChar"/>
    <w:uiPriority w:val="11"/>
    <w:qFormat/>
    <w:rsid w:val="003E3291"/>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3E3291"/>
    <w:rPr>
      <w:rFonts w:eastAsiaTheme="minorEastAsia"/>
      <w:color w:val="47BFAF" w:themeColor="accent4"/>
      <w:spacing w:val="15"/>
      <w:sz w:val="40"/>
    </w:rPr>
  </w:style>
  <w:style w:type="paragraph" w:styleId="List">
    <w:name w:val="List"/>
    <w:basedOn w:val="Normal"/>
    <w:uiPriority w:val="98"/>
    <w:qFormat/>
    <w:rsid w:val="003E3291"/>
    <w:pPr>
      <w:numPr>
        <w:numId w:val="41"/>
      </w:numPr>
      <w:tabs>
        <w:tab w:val="clear" w:pos="397"/>
        <w:tab w:val="num" w:pos="360"/>
      </w:tabs>
      <w:spacing w:after="200"/>
      <w:ind w:left="0" w:firstLine="0"/>
      <w:contextualSpacing/>
    </w:pPr>
  </w:style>
  <w:style w:type="paragraph" w:styleId="List2">
    <w:name w:val="List 2"/>
    <w:basedOn w:val="Normal"/>
    <w:uiPriority w:val="98"/>
    <w:qFormat/>
    <w:rsid w:val="003E3291"/>
    <w:pPr>
      <w:numPr>
        <w:ilvl w:val="1"/>
        <w:numId w:val="41"/>
      </w:numPr>
      <w:tabs>
        <w:tab w:val="num" w:pos="360"/>
      </w:tabs>
      <w:spacing w:after="200"/>
      <w:ind w:left="0" w:firstLine="0"/>
      <w:contextualSpacing/>
    </w:pPr>
  </w:style>
  <w:style w:type="paragraph" w:styleId="List3">
    <w:name w:val="List 3"/>
    <w:basedOn w:val="Normal"/>
    <w:uiPriority w:val="98"/>
    <w:qFormat/>
    <w:rsid w:val="003E3291"/>
    <w:pPr>
      <w:numPr>
        <w:ilvl w:val="2"/>
        <w:numId w:val="41"/>
      </w:numPr>
      <w:tabs>
        <w:tab w:val="num" w:pos="360"/>
      </w:tabs>
      <w:spacing w:after="200"/>
      <w:ind w:left="0" w:firstLine="0"/>
      <w:contextualSpacing/>
    </w:pPr>
  </w:style>
  <w:style w:type="paragraph" w:styleId="List4">
    <w:name w:val="List 4"/>
    <w:basedOn w:val="Normal"/>
    <w:uiPriority w:val="98"/>
    <w:qFormat/>
    <w:rsid w:val="003E3291"/>
    <w:pPr>
      <w:numPr>
        <w:ilvl w:val="3"/>
        <w:numId w:val="41"/>
      </w:numPr>
      <w:tabs>
        <w:tab w:val="num" w:pos="360"/>
      </w:tabs>
      <w:spacing w:after="200"/>
      <w:ind w:left="0" w:firstLine="0"/>
      <w:contextualSpacing/>
    </w:pPr>
  </w:style>
  <w:style w:type="paragraph" w:styleId="ListNumber">
    <w:name w:val="List Number"/>
    <w:basedOn w:val="Normal"/>
    <w:uiPriority w:val="98"/>
    <w:qFormat/>
    <w:rsid w:val="003E3291"/>
    <w:pPr>
      <w:numPr>
        <w:numId w:val="47"/>
      </w:numPr>
      <w:tabs>
        <w:tab w:val="num" w:pos="360"/>
      </w:tabs>
      <w:spacing w:after="200"/>
      <w:ind w:left="0" w:firstLine="0"/>
      <w:contextualSpacing/>
    </w:pPr>
  </w:style>
  <w:style w:type="paragraph" w:styleId="ListNumber2">
    <w:name w:val="List Number 2"/>
    <w:basedOn w:val="Normal"/>
    <w:uiPriority w:val="98"/>
    <w:qFormat/>
    <w:rsid w:val="003E3291"/>
    <w:pPr>
      <w:numPr>
        <w:ilvl w:val="1"/>
        <w:numId w:val="47"/>
      </w:numPr>
      <w:tabs>
        <w:tab w:val="num" w:pos="360"/>
      </w:tabs>
      <w:spacing w:after="200"/>
      <w:ind w:left="0" w:firstLine="0"/>
      <w:contextualSpacing/>
    </w:pPr>
  </w:style>
  <w:style w:type="paragraph" w:styleId="ListBullet3">
    <w:name w:val="List Bullet 3"/>
    <w:basedOn w:val="Normal"/>
    <w:uiPriority w:val="98"/>
    <w:qFormat/>
    <w:rsid w:val="00D172D3"/>
    <w:pPr>
      <w:numPr>
        <w:numId w:val="43"/>
      </w:numPr>
      <w:spacing w:after="200"/>
      <w:contextualSpacing/>
    </w:pPr>
  </w:style>
  <w:style w:type="paragraph" w:styleId="ListNumber3">
    <w:name w:val="List Number 3"/>
    <w:basedOn w:val="Normal"/>
    <w:uiPriority w:val="98"/>
    <w:qFormat/>
    <w:rsid w:val="003E3291"/>
    <w:pPr>
      <w:numPr>
        <w:ilvl w:val="2"/>
        <w:numId w:val="47"/>
      </w:numPr>
      <w:tabs>
        <w:tab w:val="num" w:pos="360"/>
      </w:tabs>
      <w:spacing w:after="200"/>
      <w:ind w:left="0" w:firstLine="0"/>
      <w:contextualSpacing/>
    </w:pPr>
  </w:style>
  <w:style w:type="paragraph" w:styleId="ListNumber4">
    <w:name w:val="List Number 4"/>
    <w:basedOn w:val="Normal"/>
    <w:uiPriority w:val="98"/>
    <w:qFormat/>
    <w:rsid w:val="003E3291"/>
    <w:pPr>
      <w:numPr>
        <w:ilvl w:val="3"/>
        <w:numId w:val="47"/>
      </w:numPr>
      <w:tabs>
        <w:tab w:val="num" w:pos="360"/>
      </w:tabs>
      <w:spacing w:after="200"/>
      <w:ind w:left="0" w:firstLine="0"/>
      <w:contextualSpacing/>
    </w:pPr>
  </w:style>
  <w:style w:type="paragraph" w:styleId="ListBullet">
    <w:name w:val="List Bullet"/>
    <w:basedOn w:val="Normal"/>
    <w:uiPriority w:val="98"/>
    <w:qFormat/>
    <w:rsid w:val="00D172D3"/>
    <w:pPr>
      <w:numPr>
        <w:numId w:val="42"/>
      </w:numPr>
      <w:spacing w:after="200"/>
      <w:contextualSpacing/>
    </w:pPr>
  </w:style>
  <w:style w:type="paragraph" w:styleId="ListBullet2">
    <w:name w:val="List Bullet 2"/>
    <w:basedOn w:val="Normal"/>
    <w:uiPriority w:val="98"/>
    <w:qFormat/>
    <w:rsid w:val="00D172D3"/>
    <w:pPr>
      <w:numPr>
        <w:ilvl w:val="1"/>
        <w:numId w:val="42"/>
      </w:numPr>
      <w:spacing w:after="200"/>
      <w:contextualSpacing/>
    </w:pPr>
  </w:style>
  <w:style w:type="paragraph" w:styleId="ListBullet4">
    <w:name w:val="List Bullet 4"/>
    <w:basedOn w:val="Normal"/>
    <w:uiPriority w:val="98"/>
    <w:qFormat/>
    <w:rsid w:val="00D172D3"/>
    <w:pPr>
      <w:numPr>
        <w:numId w:val="44"/>
      </w:numPr>
      <w:tabs>
        <w:tab w:val="num" w:pos="360"/>
      </w:tabs>
      <w:spacing w:after="200"/>
      <w:ind w:left="0" w:firstLine="0"/>
      <w:contextualSpacing/>
    </w:pPr>
  </w:style>
  <w:style w:type="paragraph" w:styleId="Quote">
    <w:name w:val="Quote"/>
    <w:basedOn w:val="Normal"/>
    <w:next w:val="Normal"/>
    <w:link w:val="QuoteChar"/>
    <w:uiPriority w:val="29"/>
    <w:qFormat/>
    <w:rsid w:val="003E3291"/>
    <w:pPr>
      <w:spacing w:before="200"/>
      <w:ind w:left="864" w:right="864"/>
      <w:jc w:val="center"/>
    </w:pPr>
    <w:rPr>
      <w:iCs/>
      <w:color w:val="5F6369"/>
    </w:rPr>
  </w:style>
  <w:style w:type="character" w:customStyle="1" w:styleId="QuoteChar">
    <w:name w:val="Quote Char"/>
    <w:basedOn w:val="DefaultParagraphFont"/>
    <w:link w:val="Quote"/>
    <w:uiPriority w:val="29"/>
    <w:rsid w:val="003E3291"/>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6F0E45"/>
    <w:pPr>
      <w:tabs>
        <w:tab w:val="right" w:leader="dot" w:pos="9016"/>
      </w:tabs>
      <w:spacing w:after="100"/>
    </w:pPr>
  </w:style>
  <w:style w:type="paragraph" w:styleId="TOC2">
    <w:name w:val="toc 2"/>
    <w:basedOn w:val="Normal"/>
    <w:next w:val="Normal"/>
    <w:autoRedefine/>
    <w:uiPriority w:val="39"/>
    <w:unhideWhenUsed/>
    <w:rsid w:val="006F0E45"/>
    <w:pPr>
      <w:spacing w:after="100"/>
      <w:ind w:left="220"/>
    </w:pPr>
  </w:style>
  <w:style w:type="paragraph" w:styleId="TOC3">
    <w:name w:val="toc 3"/>
    <w:basedOn w:val="Normal"/>
    <w:next w:val="Normal"/>
    <w:autoRedefine/>
    <w:uiPriority w:val="39"/>
    <w:unhideWhenUsed/>
    <w:rsid w:val="006F0E45"/>
    <w:pPr>
      <w:spacing w:after="100"/>
      <w:ind w:left="440"/>
    </w:pPr>
  </w:style>
  <w:style w:type="paragraph" w:styleId="TOCHeading">
    <w:name w:val="TOC Heading"/>
    <w:basedOn w:val="Heading1"/>
    <w:next w:val="Normal"/>
    <w:uiPriority w:val="99"/>
    <w:unhideWhenUsed/>
    <w:rsid w:val="00D172D3"/>
    <w:pPr>
      <w:spacing w:before="0" w:after="240"/>
      <w:outlineLvl w:val="9"/>
    </w:pPr>
    <w:rPr>
      <w:color w:val="55437E" w:themeColor="accent2"/>
      <w:sz w:val="44"/>
      <w:lang w:val="en-US"/>
    </w:rPr>
  </w:style>
  <w:style w:type="paragraph" w:styleId="FootnoteText">
    <w:name w:val="footnote text"/>
    <w:basedOn w:val="Normal"/>
    <w:link w:val="FootnoteTextChar"/>
    <w:uiPriority w:val="99"/>
    <w:unhideWhenUsed/>
    <w:rsid w:val="006F0E45"/>
    <w:pPr>
      <w:spacing w:before="24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BC78F1"/>
    <w:rPr>
      <w:rFonts w:ascii="Calibri" w:eastAsia="Calibri" w:hAnsi="Calibri" w:cs="Times New Roman"/>
      <w:kern w:val="2"/>
      <w:sz w:val="20"/>
      <w:szCs w:val="20"/>
      <w:lang w:val="en-US"/>
      <w14:ligatures w14:val="standardContextual"/>
    </w:rPr>
  </w:style>
  <w:style w:type="character" w:styleId="FootnoteReference">
    <w:name w:val="footnote reference"/>
    <w:basedOn w:val="DefaultParagraphFont"/>
    <w:uiPriority w:val="99"/>
    <w:semiHidden/>
    <w:unhideWhenUsed/>
    <w:rsid w:val="00BC78F1"/>
    <w:rPr>
      <w:vertAlign w:val="superscript"/>
    </w:rPr>
  </w:style>
  <w:style w:type="character" w:styleId="CommentReference">
    <w:name w:val="annotation reference"/>
    <w:basedOn w:val="DefaultParagraphFont"/>
    <w:uiPriority w:val="99"/>
    <w:unhideWhenUsed/>
    <w:rsid w:val="00BC78F1"/>
    <w:rPr>
      <w:sz w:val="16"/>
      <w:szCs w:val="16"/>
    </w:rPr>
  </w:style>
  <w:style w:type="paragraph" w:styleId="CommentText">
    <w:name w:val="annotation text"/>
    <w:basedOn w:val="Normal"/>
    <w:link w:val="CommentTextChar1"/>
    <w:uiPriority w:val="99"/>
    <w:unhideWhenUsed/>
    <w:rsid w:val="006F0E45"/>
    <w:pPr>
      <w:spacing w:before="240" w:line="240" w:lineRule="auto"/>
    </w:pPr>
    <w:rPr>
      <w:rFonts w:ascii="Calibri" w:eastAsiaTheme="minorEastAsia" w:hAnsi="Calibri" w:cs="Times New Roman"/>
      <w:sz w:val="20"/>
      <w:szCs w:val="20"/>
    </w:rPr>
  </w:style>
  <w:style w:type="character" w:customStyle="1" w:styleId="CommentTextChar">
    <w:name w:val="Comment Text Char"/>
    <w:basedOn w:val="DefaultParagraphFont"/>
    <w:uiPriority w:val="99"/>
    <w:rsid w:val="00BC78F1"/>
    <w:rPr>
      <w:rFonts w:ascii="Calibri" w:eastAsiaTheme="minorEastAsia" w:hAnsi="Calibri" w:cs="Times New Roman"/>
      <w:sz w:val="20"/>
      <w:szCs w:val="20"/>
    </w:rPr>
  </w:style>
  <w:style w:type="paragraph" w:customStyle="1" w:styleId="paragraph">
    <w:name w:val="paragraph"/>
    <w:basedOn w:val="Normal"/>
    <w:rsid w:val="006F0E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C78F1"/>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6F0E45"/>
    <w:pPr>
      <w:spacing w:befor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78F1"/>
    <w:rPr>
      <w:rFonts w:ascii="Calibri" w:eastAsiaTheme="minorEastAsia" w:hAnsi="Calibri" w:cs="Times New Roman"/>
      <w:b/>
      <w:bCs/>
      <w:sz w:val="20"/>
      <w:szCs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出段落,列出段落1,列,列出段"/>
    <w:basedOn w:val="Normal"/>
    <w:link w:val="ListParagraphChar"/>
    <w:uiPriority w:val="34"/>
    <w:qFormat/>
    <w:rsid w:val="00D172D3"/>
    <w:pPr>
      <w:ind w:left="720"/>
      <w:contextualSpacing/>
    </w:p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BC78F1"/>
  </w:style>
  <w:style w:type="paragraph" w:customStyle="1" w:styleId="Default">
    <w:name w:val="Default"/>
    <w:rsid w:val="006F0E4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A1EA7"/>
    <w:rPr>
      <w:i/>
      <w:iCs/>
    </w:rPr>
  </w:style>
  <w:style w:type="paragraph" w:styleId="Revision">
    <w:name w:val="Revision"/>
    <w:hidden/>
    <w:uiPriority w:val="99"/>
    <w:semiHidden/>
    <w:rsid w:val="006F0E45"/>
    <w:pPr>
      <w:spacing w:after="0" w:line="240" w:lineRule="auto"/>
    </w:pPr>
  </w:style>
  <w:style w:type="character" w:customStyle="1" w:styleId="Heading8Char">
    <w:name w:val="Heading 8 Char"/>
    <w:basedOn w:val="DefaultParagraphFont"/>
    <w:link w:val="Heading8"/>
    <w:uiPriority w:val="9"/>
    <w:semiHidden/>
    <w:rsid w:val="00E622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220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semiHidden/>
    <w:qFormat/>
    <w:rsid w:val="006F0E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220A"/>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semiHidden/>
    <w:qFormat/>
    <w:rsid w:val="00E6220A"/>
    <w:rPr>
      <w:i/>
      <w:iCs/>
      <w:color w:val="008599" w:themeColor="accent1"/>
    </w:rPr>
  </w:style>
  <w:style w:type="paragraph" w:styleId="IntenseQuote">
    <w:name w:val="Intense Quote"/>
    <w:basedOn w:val="Normal"/>
    <w:next w:val="Normal"/>
    <w:link w:val="IntenseQuoteChar"/>
    <w:uiPriority w:val="30"/>
    <w:semiHidden/>
    <w:qFormat/>
    <w:rsid w:val="006F0E45"/>
    <w:pPr>
      <w:pBdr>
        <w:top w:val="single" w:sz="4" w:space="10" w:color="008599" w:themeColor="accent1"/>
        <w:bottom w:val="single" w:sz="4" w:space="10" w:color="008599" w:themeColor="accent1"/>
      </w:pBdr>
      <w:spacing w:before="360" w:after="360"/>
      <w:ind w:left="864" w:right="864"/>
      <w:jc w:val="center"/>
    </w:pPr>
    <w:rPr>
      <w:i/>
      <w:iCs/>
      <w:color w:val="008599" w:themeColor="accent1"/>
    </w:rPr>
  </w:style>
  <w:style w:type="character" w:customStyle="1" w:styleId="IntenseQuoteChar">
    <w:name w:val="Intense Quote Char"/>
    <w:basedOn w:val="DefaultParagraphFont"/>
    <w:link w:val="IntenseQuote"/>
    <w:uiPriority w:val="30"/>
    <w:semiHidden/>
    <w:rsid w:val="00E6220A"/>
    <w:rPr>
      <w:i/>
      <w:iCs/>
      <w:color w:val="008599" w:themeColor="accent1"/>
    </w:rPr>
  </w:style>
  <w:style w:type="character" w:styleId="IntenseReference">
    <w:name w:val="Intense Reference"/>
    <w:basedOn w:val="DefaultParagraphFont"/>
    <w:uiPriority w:val="32"/>
    <w:semiHidden/>
    <w:qFormat/>
    <w:rsid w:val="00E6220A"/>
    <w:rPr>
      <w:b/>
      <w:bCs/>
      <w:smallCaps/>
      <w:color w:val="008599" w:themeColor="accent1"/>
      <w:spacing w:val="5"/>
    </w:rPr>
  </w:style>
  <w:style w:type="numbering" w:customStyle="1" w:styleId="NoList1">
    <w:name w:val="No List1"/>
    <w:next w:val="NoList"/>
    <w:uiPriority w:val="99"/>
    <w:semiHidden/>
    <w:unhideWhenUsed/>
    <w:rsid w:val="00E6220A"/>
  </w:style>
  <w:style w:type="character" w:customStyle="1" w:styleId="Hyperlink1">
    <w:name w:val="Hyperlink1"/>
    <w:basedOn w:val="DefaultParagraphFont"/>
    <w:uiPriority w:val="99"/>
    <w:unhideWhenUsed/>
    <w:rsid w:val="00E6220A"/>
    <w:rPr>
      <w:color w:val="7F4594"/>
      <w:u w:val="single"/>
    </w:rPr>
  </w:style>
  <w:style w:type="paragraph" w:customStyle="1" w:styleId="Caption1">
    <w:name w:val="Caption1"/>
    <w:basedOn w:val="Normal"/>
    <w:next w:val="Normal"/>
    <w:uiPriority w:val="35"/>
    <w:rsid w:val="006F0E45"/>
    <w:pPr>
      <w:spacing w:after="120" w:line="240" w:lineRule="auto"/>
    </w:pPr>
    <w:rPr>
      <w:b/>
      <w:iCs/>
      <w:color w:val="00254A"/>
      <w:szCs w:val="18"/>
    </w:rPr>
  </w:style>
  <w:style w:type="paragraph" w:customStyle="1" w:styleId="TOCHeading1">
    <w:name w:val="TOC Heading1"/>
    <w:basedOn w:val="Heading1"/>
    <w:next w:val="Normal"/>
    <w:uiPriority w:val="99"/>
    <w:unhideWhenUsed/>
    <w:rsid w:val="006F0E45"/>
    <w:pPr>
      <w:spacing w:before="0" w:after="240"/>
      <w:outlineLvl w:val="9"/>
    </w:pPr>
    <w:rPr>
      <w:color w:val="55437E"/>
      <w:sz w:val="44"/>
      <w:lang w:val="en-US"/>
    </w:rPr>
  </w:style>
  <w:style w:type="paragraph" w:customStyle="1" w:styleId="CommentText1">
    <w:name w:val="Comment Text1"/>
    <w:basedOn w:val="Normal"/>
    <w:next w:val="CommentText"/>
    <w:uiPriority w:val="99"/>
    <w:unhideWhenUsed/>
    <w:rsid w:val="006F0E45"/>
    <w:pPr>
      <w:spacing w:before="240" w:line="240" w:lineRule="auto"/>
    </w:pPr>
    <w:rPr>
      <w:rFonts w:ascii="Calibri" w:eastAsia="DengXian" w:hAnsi="Calibri" w:cs="Times New Roman"/>
      <w:sz w:val="20"/>
      <w:szCs w:val="20"/>
    </w:rPr>
  </w:style>
  <w:style w:type="character" w:customStyle="1" w:styleId="FollowedHyperlink1">
    <w:name w:val="FollowedHyperlink1"/>
    <w:basedOn w:val="DefaultParagraphFont"/>
    <w:uiPriority w:val="99"/>
    <w:semiHidden/>
    <w:unhideWhenUsed/>
    <w:rsid w:val="00E6220A"/>
    <w:rPr>
      <w:color w:val="CE372F"/>
      <w:u w:val="single"/>
    </w:rPr>
  </w:style>
  <w:style w:type="paragraph" w:customStyle="1" w:styleId="CommentSubject1">
    <w:name w:val="Comment Subject1"/>
    <w:basedOn w:val="CommentText"/>
    <w:next w:val="CommentText"/>
    <w:uiPriority w:val="99"/>
    <w:semiHidden/>
    <w:unhideWhenUsed/>
    <w:rsid w:val="006F0E45"/>
    <w:pPr>
      <w:spacing w:before="0"/>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sid w:val="00E6220A"/>
    <w:rPr>
      <w:rFonts w:ascii="Calibri" w:eastAsiaTheme="minorEastAsia" w:hAnsi="Calibri" w:cs="Times New Roman"/>
      <w:kern w:val="2"/>
      <w:sz w:val="20"/>
      <w:szCs w:val="20"/>
      <w14:ligatures w14:val="standardContextual"/>
    </w:rPr>
  </w:style>
  <w:style w:type="character" w:customStyle="1" w:styleId="CommentSubjectChar1">
    <w:name w:val="Comment Subject Char1"/>
    <w:basedOn w:val="CommentTextChar1"/>
    <w:uiPriority w:val="99"/>
    <w:semiHidden/>
    <w:rsid w:val="00E6220A"/>
    <w:rPr>
      <w:rFonts w:ascii="Calibri" w:eastAsiaTheme="minorEastAsia"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8516">
      <w:bodyDiv w:val="1"/>
      <w:marLeft w:val="0"/>
      <w:marRight w:val="0"/>
      <w:marTop w:val="0"/>
      <w:marBottom w:val="0"/>
      <w:divBdr>
        <w:top w:val="none" w:sz="0" w:space="0" w:color="auto"/>
        <w:left w:val="none" w:sz="0" w:space="0" w:color="auto"/>
        <w:bottom w:val="none" w:sz="0" w:space="0" w:color="auto"/>
        <w:right w:val="none" w:sz="0" w:space="0" w:color="auto"/>
      </w:divBdr>
    </w:div>
    <w:div w:id="160856275">
      <w:bodyDiv w:val="1"/>
      <w:marLeft w:val="0"/>
      <w:marRight w:val="0"/>
      <w:marTop w:val="0"/>
      <w:marBottom w:val="0"/>
      <w:divBdr>
        <w:top w:val="none" w:sz="0" w:space="0" w:color="auto"/>
        <w:left w:val="none" w:sz="0" w:space="0" w:color="auto"/>
        <w:bottom w:val="none" w:sz="0" w:space="0" w:color="auto"/>
        <w:right w:val="none" w:sz="0" w:space="0" w:color="auto"/>
      </w:divBdr>
    </w:div>
    <w:div w:id="1720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mailto:CTCReviews@education.gov.au" TargetMode="External"/><Relationship Id="rId26" Type="http://schemas.openxmlformats.org/officeDocument/2006/relationships/hyperlink" Target="https://www.ato.gov.au/Individuals/Tax-return/2022/Tax-return/Adjusted-taxable-income-(ATI)-for-you-and-your-dependants-2022/" TargetMode="External"/><Relationship Id="rId21" Type="http://schemas.openxmlformats.org/officeDocument/2006/relationships/hyperlink" Target="https://www.education.gov.au/recurrent-funding-schools/resources/outcome-ctc-score-reviews" TargetMode="External"/><Relationship Id="rId34" Type="http://schemas.openxmlformats.org/officeDocument/2006/relationships/hyperlink" Target="http://www.abs.gov.au/about/data-services/data-integration/integrated-data/person-level-integrated-data-asset-plid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recurrent-funding-schools/resources/application-form-review-capacity-contribute-score" TargetMode="External"/><Relationship Id="rId25" Type="http://schemas.openxmlformats.org/officeDocument/2006/relationships/hyperlink" Target="https://www.education.gov.au/recurrent-funding-schools/resources/technical-framework-capacity-contribute-review-process" TargetMode="External"/><Relationship Id="rId33" Type="http://schemas.openxmlformats.org/officeDocument/2006/relationships/hyperlink" Target="http://www.education.gov.au/recurrent-funding-schools/resources/abs-capacity-contribute-data-quality-framewor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au/recurrent-funding-schools/resources/direct-measure-income-dmi-methodology" TargetMode="External"/><Relationship Id="rId20" Type="http://schemas.openxmlformats.org/officeDocument/2006/relationships/hyperlink" Target="https://www.ato.gov.au/Individuals/Tax-return/2022/Tax-return/Adjusted-taxable-income-(ATI)-for-you-and-your-dependants-2022/" TargetMode="External"/><Relationship Id="rId29" Type="http://schemas.openxmlformats.org/officeDocument/2006/relationships/hyperlink" Target="https://www.education.gov.au/recurrent-funding-schools/schooling-resource-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TCReviews@education.gov.au" TargetMode="External"/><Relationship Id="rId32" Type="http://schemas.openxmlformats.org/officeDocument/2006/relationships/hyperlink" Target="https://www.education.gov.au/recurrent-funding-schools/schooling-resource-standar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recurrent-funding-schools/schooling-resource-standard" TargetMode="External"/><Relationship Id="rId23" Type="http://schemas.openxmlformats.org/officeDocument/2006/relationships/hyperlink" Target="http://www.education.gov.au/using-site/privacy-statement-department-education" TargetMode="External"/><Relationship Id="rId28" Type="http://schemas.openxmlformats.org/officeDocument/2006/relationships/hyperlink" Target="https://www.legislation.gov.au/F2023L01020/latest/tex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at.gov.au/" TargetMode="External"/><Relationship Id="rId31" Type="http://schemas.openxmlformats.org/officeDocument/2006/relationships/hyperlink" Target="https://www.education.gov.au/other-commonwealth-funding-schools/what-choice-and-affordability-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ducation.gov.au/recurrent-funding-schools/resources/application-form-review-capacity-contribute-score" TargetMode="External"/><Relationship Id="rId27" Type="http://schemas.openxmlformats.org/officeDocument/2006/relationships/hyperlink" Target="https://www.legislation.gov.au/F2023L01020/latest/text" TargetMode="External"/><Relationship Id="rId30" Type="http://schemas.openxmlformats.org/officeDocument/2006/relationships/hyperlink" Target="https://www.abs.gov.au/census/about-census" TargetMode="External"/><Relationship Id="rId35" Type="http://schemas.openxmlformats.org/officeDocument/2006/relationships/hyperlink" Target="https://www.education.gov.au/recurrent-funding-schools/resources/technical-framework-capacity-contribute-review-proces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F2023L01020/latest/text" TargetMode="External"/><Relationship Id="rId13" Type="http://schemas.openxmlformats.org/officeDocument/2006/relationships/hyperlink" Target="https://www.legislation.gov.au/C2013A00067/latest/text" TargetMode="External"/><Relationship Id="rId3" Type="http://schemas.openxmlformats.org/officeDocument/2006/relationships/hyperlink" Target="http://www.legislation.gov.au/F2023L01020/latest/text" TargetMode="External"/><Relationship Id="rId7" Type="http://schemas.openxmlformats.org/officeDocument/2006/relationships/hyperlink" Target="https://www.legislation.gov.au/F2023L01020/latest/text" TargetMode="External"/><Relationship Id="rId12" Type="http://schemas.openxmlformats.org/officeDocument/2006/relationships/hyperlink" Target="https://www.legislation.gov.au/C2013A00067/latest/text" TargetMode="External"/><Relationship Id="rId2" Type="http://schemas.openxmlformats.org/officeDocument/2006/relationships/hyperlink" Target="https://www.education.gov.au/recurrent-funding-schools/resources/technical-framework-capacity-contribute-review-process" TargetMode="External"/><Relationship Id="rId1" Type="http://schemas.openxmlformats.org/officeDocument/2006/relationships/hyperlink" Target="http://www.legislation.gov.au/Details/C2017C00269" TargetMode="External"/><Relationship Id="rId6" Type="http://schemas.openxmlformats.org/officeDocument/2006/relationships/hyperlink" Target="http://www.education.gov.au/recurrent-funding-schools/resources/abs-capacity-contribute-data-quality-framework" TargetMode="External"/><Relationship Id="rId11" Type="http://schemas.openxmlformats.org/officeDocument/2006/relationships/hyperlink" Target="https://www.legislation.gov.au/C2013A00067/latest/text" TargetMode="External"/><Relationship Id="rId5" Type="http://schemas.openxmlformats.org/officeDocument/2006/relationships/hyperlink" Target="http://www.education.gov.au/recurrent-funding-schools/resources/abs-capacity-contribute-data-quality-framework" TargetMode="External"/><Relationship Id="rId15" Type="http://schemas.openxmlformats.org/officeDocument/2006/relationships/hyperlink" Target="https://www.education.gov.au/recurrent-funding-schools/resources/technical-framework-capacity-contribute-review-process" TargetMode="External"/><Relationship Id="rId10" Type="http://schemas.openxmlformats.org/officeDocument/2006/relationships/hyperlink" Target="http://www.education.gov.au/recurrent-funding-schools/resources/abs-capacity-contribute-data-quality-framework" TargetMode="External"/><Relationship Id="rId4" Type="http://schemas.openxmlformats.org/officeDocument/2006/relationships/hyperlink" Target="https://www.legislation.gov.au/F2023L01020/latest/text" TargetMode="External"/><Relationship Id="rId9" Type="http://schemas.openxmlformats.org/officeDocument/2006/relationships/hyperlink" Target="https://www.legislation.gov.au/C2013A00067/latest/text" TargetMode="External"/><Relationship Id="rId14" Type="http://schemas.openxmlformats.org/officeDocument/2006/relationships/hyperlink" Target="https://www.legislation.gov.au/F2023L01020/latest/text"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D93CE-76EC-4726-B758-30AD7E426C3E}">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CFF8F007-8690-4A74-87FD-37CF2526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4BC4AB-7EBC-4023-9572-23F97D106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23</Pages>
  <Words>7472</Words>
  <Characters>40166</Characters>
  <Application>Microsoft Office Word</Application>
  <DocSecurity>0</DocSecurity>
  <Lines>718</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47369</CharactersWithSpaces>
  <SharedDoc>false</SharedDoc>
  <HLinks>
    <vt:vector size="594" baseType="variant">
      <vt:variant>
        <vt:i4>2883629</vt:i4>
      </vt:variant>
      <vt:variant>
        <vt:i4>354</vt:i4>
      </vt:variant>
      <vt:variant>
        <vt:i4>0</vt:i4>
      </vt:variant>
      <vt:variant>
        <vt:i4>5</vt:i4>
      </vt:variant>
      <vt:variant>
        <vt:lpwstr>https://www.education.gov.au/recurrent-funding-schools/resources/technical-framework-capacity-contribute-review-process</vt:lpwstr>
      </vt:variant>
      <vt:variant>
        <vt:lpwstr/>
      </vt:variant>
      <vt:variant>
        <vt:i4>3735656</vt:i4>
      </vt:variant>
      <vt:variant>
        <vt:i4>351</vt:i4>
      </vt:variant>
      <vt:variant>
        <vt:i4>0</vt:i4>
      </vt:variant>
      <vt:variant>
        <vt:i4>5</vt:i4>
      </vt:variant>
      <vt:variant>
        <vt:lpwstr>http://www.abs.gov.au/about/data-services/data-integration/integrated-data/person-level-integrated-data-asset-plida</vt:lpwstr>
      </vt:variant>
      <vt:variant>
        <vt:lpwstr/>
      </vt:variant>
      <vt:variant>
        <vt:i4>6422636</vt:i4>
      </vt:variant>
      <vt:variant>
        <vt:i4>348</vt:i4>
      </vt:variant>
      <vt:variant>
        <vt:i4>0</vt:i4>
      </vt:variant>
      <vt:variant>
        <vt:i4>5</vt:i4>
      </vt:variant>
      <vt:variant>
        <vt:lpwstr/>
      </vt:variant>
      <vt:variant>
        <vt:lpwstr>_Address_Collection</vt:lpwstr>
      </vt:variant>
      <vt:variant>
        <vt:i4>7405695</vt:i4>
      </vt:variant>
      <vt:variant>
        <vt:i4>345</vt:i4>
      </vt:variant>
      <vt:variant>
        <vt:i4>0</vt:i4>
      </vt:variant>
      <vt:variant>
        <vt:i4>5</vt:i4>
      </vt:variant>
      <vt:variant>
        <vt:lpwstr>http://www.education.gov.au/recurrent-funding-schools/resources/abs-capacity-contribute-data-quality-framework</vt:lpwstr>
      </vt:variant>
      <vt:variant>
        <vt:lpwstr/>
      </vt:variant>
      <vt:variant>
        <vt:i4>6422639</vt:i4>
      </vt:variant>
      <vt:variant>
        <vt:i4>342</vt:i4>
      </vt:variant>
      <vt:variant>
        <vt:i4>0</vt:i4>
      </vt:variant>
      <vt:variant>
        <vt:i4>5</vt:i4>
      </vt:variant>
      <vt:variant>
        <vt:lpwstr>https://www.education.gov.au/recurrent-funding-schools/schooling-resource-standard</vt:lpwstr>
      </vt:variant>
      <vt:variant>
        <vt:lpwstr/>
      </vt:variant>
      <vt:variant>
        <vt:i4>4063334</vt:i4>
      </vt:variant>
      <vt:variant>
        <vt:i4>339</vt:i4>
      </vt:variant>
      <vt:variant>
        <vt:i4>0</vt:i4>
      </vt:variant>
      <vt:variant>
        <vt:i4>5</vt:i4>
      </vt:variant>
      <vt:variant>
        <vt:lpwstr>https://www.education.gov.au/other-commonwealth-funding-schools/what-choice-and-affordability-fund</vt:lpwstr>
      </vt:variant>
      <vt:variant>
        <vt:lpwstr/>
      </vt:variant>
      <vt:variant>
        <vt:i4>3670122</vt:i4>
      </vt:variant>
      <vt:variant>
        <vt:i4>336</vt:i4>
      </vt:variant>
      <vt:variant>
        <vt:i4>0</vt:i4>
      </vt:variant>
      <vt:variant>
        <vt:i4>5</vt:i4>
      </vt:variant>
      <vt:variant>
        <vt:lpwstr>https://www.abs.gov.au/census/about-census</vt:lpwstr>
      </vt:variant>
      <vt:variant>
        <vt:lpwstr/>
      </vt:variant>
      <vt:variant>
        <vt:i4>6422639</vt:i4>
      </vt:variant>
      <vt:variant>
        <vt:i4>333</vt:i4>
      </vt:variant>
      <vt:variant>
        <vt:i4>0</vt:i4>
      </vt:variant>
      <vt:variant>
        <vt:i4>5</vt:i4>
      </vt:variant>
      <vt:variant>
        <vt:lpwstr>https://www.education.gov.au/recurrent-funding-schools/schooling-resource-standard</vt:lpwstr>
      </vt:variant>
      <vt:variant>
        <vt:lpwstr/>
      </vt:variant>
      <vt:variant>
        <vt:i4>2687037</vt:i4>
      </vt:variant>
      <vt:variant>
        <vt:i4>330</vt:i4>
      </vt:variant>
      <vt:variant>
        <vt:i4>0</vt:i4>
      </vt:variant>
      <vt:variant>
        <vt:i4>5</vt:i4>
      </vt:variant>
      <vt:variant>
        <vt:lpwstr>https://www.legislation.gov.au/F2023L01020/latest/text</vt:lpwstr>
      </vt:variant>
      <vt:variant>
        <vt:lpwstr/>
      </vt:variant>
      <vt:variant>
        <vt:i4>2687037</vt:i4>
      </vt:variant>
      <vt:variant>
        <vt:i4>327</vt:i4>
      </vt:variant>
      <vt:variant>
        <vt:i4>0</vt:i4>
      </vt:variant>
      <vt:variant>
        <vt:i4>5</vt:i4>
      </vt:variant>
      <vt:variant>
        <vt:lpwstr>https://www.legislation.gov.au/F2023L01020/latest/text</vt:lpwstr>
      </vt:variant>
      <vt:variant>
        <vt:lpwstr/>
      </vt:variant>
      <vt:variant>
        <vt:i4>5374019</vt:i4>
      </vt:variant>
      <vt:variant>
        <vt:i4>324</vt:i4>
      </vt:variant>
      <vt:variant>
        <vt:i4>0</vt:i4>
      </vt:variant>
      <vt:variant>
        <vt:i4>5</vt:i4>
      </vt:variant>
      <vt:variant>
        <vt:lpwstr>https://www.ato.gov.au/Individuals/Tax-return/2022/Tax-return/Adjusted-taxable-income-(ATI)-for-you-and-your-dependants-2022/</vt:lpwstr>
      </vt:variant>
      <vt:variant>
        <vt:lpwstr/>
      </vt:variant>
      <vt:variant>
        <vt:i4>6422636</vt:i4>
      </vt:variant>
      <vt:variant>
        <vt:i4>321</vt:i4>
      </vt:variant>
      <vt:variant>
        <vt:i4>0</vt:i4>
      </vt:variant>
      <vt:variant>
        <vt:i4>5</vt:i4>
      </vt:variant>
      <vt:variant>
        <vt:lpwstr/>
      </vt:variant>
      <vt:variant>
        <vt:lpwstr>_Address_Collection</vt:lpwstr>
      </vt:variant>
      <vt:variant>
        <vt:i4>2883629</vt:i4>
      </vt:variant>
      <vt:variant>
        <vt:i4>318</vt:i4>
      </vt:variant>
      <vt:variant>
        <vt:i4>0</vt:i4>
      </vt:variant>
      <vt:variant>
        <vt:i4>5</vt:i4>
      </vt:variant>
      <vt:variant>
        <vt:lpwstr>https://www.education.gov.au/recurrent-funding-schools/resources/technical-framework-capacity-contribute-review-process</vt:lpwstr>
      </vt:variant>
      <vt:variant>
        <vt:lpwstr/>
      </vt:variant>
      <vt:variant>
        <vt:i4>262191</vt:i4>
      </vt:variant>
      <vt:variant>
        <vt:i4>315</vt:i4>
      </vt:variant>
      <vt:variant>
        <vt:i4>0</vt:i4>
      </vt:variant>
      <vt:variant>
        <vt:i4>5</vt:i4>
      </vt:variant>
      <vt:variant>
        <vt:lpwstr/>
      </vt:variant>
      <vt:variant>
        <vt:lpwstr>_Technical_Framework_for</vt:lpwstr>
      </vt:variant>
      <vt:variant>
        <vt:i4>4063282</vt:i4>
      </vt:variant>
      <vt:variant>
        <vt:i4>312</vt:i4>
      </vt:variant>
      <vt:variant>
        <vt:i4>0</vt:i4>
      </vt:variant>
      <vt:variant>
        <vt:i4>5</vt:i4>
      </vt:variant>
      <vt:variant>
        <vt:lpwstr/>
      </vt:variant>
      <vt:variant>
        <vt:lpwstr>_Administrative_data</vt:lpwstr>
      </vt:variant>
      <vt:variant>
        <vt:i4>2162692</vt:i4>
      </vt:variant>
      <vt:variant>
        <vt:i4>309</vt:i4>
      </vt:variant>
      <vt:variant>
        <vt:i4>0</vt:i4>
      </vt:variant>
      <vt:variant>
        <vt:i4>5</vt:i4>
      </vt:variant>
      <vt:variant>
        <vt:lpwstr/>
      </vt:variant>
      <vt:variant>
        <vt:lpwstr>_Median_family_income</vt:lpwstr>
      </vt:variant>
      <vt:variant>
        <vt:i4>4325438</vt:i4>
      </vt:variant>
      <vt:variant>
        <vt:i4>306</vt:i4>
      </vt:variant>
      <vt:variant>
        <vt:i4>0</vt:i4>
      </vt:variant>
      <vt:variant>
        <vt:i4>5</vt:i4>
      </vt:variant>
      <vt:variant>
        <vt:lpwstr/>
      </vt:variant>
      <vt:variant>
        <vt:lpwstr>_SA1</vt:lpwstr>
      </vt:variant>
      <vt:variant>
        <vt:i4>6750290</vt:i4>
      </vt:variant>
      <vt:variant>
        <vt:i4>303</vt:i4>
      </vt:variant>
      <vt:variant>
        <vt:i4>0</vt:i4>
      </vt:variant>
      <vt:variant>
        <vt:i4>5</vt:i4>
      </vt:variant>
      <vt:variant>
        <vt:lpwstr/>
      </vt:variant>
      <vt:variant>
        <vt:lpwstr>_Data_Quality_Framework</vt:lpwstr>
      </vt:variant>
      <vt:variant>
        <vt:i4>6422636</vt:i4>
      </vt:variant>
      <vt:variant>
        <vt:i4>300</vt:i4>
      </vt:variant>
      <vt:variant>
        <vt:i4>0</vt:i4>
      </vt:variant>
      <vt:variant>
        <vt:i4>5</vt:i4>
      </vt:variant>
      <vt:variant>
        <vt:lpwstr/>
      </vt:variant>
      <vt:variant>
        <vt:lpwstr>_Address_Collection</vt:lpwstr>
      </vt:variant>
      <vt:variant>
        <vt:i4>6422636</vt:i4>
      </vt:variant>
      <vt:variant>
        <vt:i4>297</vt:i4>
      </vt:variant>
      <vt:variant>
        <vt:i4>0</vt:i4>
      </vt:variant>
      <vt:variant>
        <vt:i4>5</vt:i4>
      </vt:variant>
      <vt:variant>
        <vt:lpwstr/>
      </vt:variant>
      <vt:variant>
        <vt:lpwstr>_Address_Collection</vt:lpwstr>
      </vt:variant>
      <vt:variant>
        <vt:i4>4325438</vt:i4>
      </vt:variant>
      <vt:variant>
        <vt:i4>294</vt:i4>
      </vt:variant>
      <vt:variant>
        <vt:i4>0</vt:i4>
      </vt:variant>
      <vt:variant>
        <vt:i4>5</vt:i4>
      </vt:variant>
      <vt:variant>
        <vt:lpwstr/>
      </vt:variant>
      <vt:variant>
        <vt:lpwstr>_SA1</vt:lpwstr>
      </vt:variant>
      <vt:variant>
        <vt:i4>4456526</vt:i4>
      </vt:variant>
      <vt:variant>
        <vt:i4>291</vt:i4>
      </vt:variant>
      <vt:variant>
        <vt:i4>0</vt:i4>
      </vt:variant>
      <vt:variant>
        <vt:i4>5</vt:i4>
      </vt:variant>
      <vt:variant>
        <vt:lpwstr/>
      </vt:variant>
      <vt:variant>
        <vt:lpwstr>_Linked_population</vt:lpwstr>
      </vt:variant>
      <vt:variant>
        <vt:i4>6029385</vt:i4>
      </vt:variant>
      <vt:variant>
        <vt:i4>288</vt:i4>
      </vt:variant>
      <vt:variant>
        <vt:i4>0</vt:i4>
      </vt:variant>
      <vt:variant>
        <vt:i4>5</vt:i4>
      </vt:variant>
      <vt:variant>
        <vt:lpwstr/>
      </vt:variant>
      <vt:variant>
        <vt:lpwstr>_Family_income</vt:lpwstr>
      </vt:variant>
      <vt:variant>
        <vt:i4>3211296</vt:i4>
      </vt:variant>
      <vt:variant>
        <vt:i4>285</vt:i4>
      </vt:variant>
      <vt:variant>
        <vt:i4>0</vt:i4>
      </vt:variant>
      <vt:variant>
        <vt:i4>5</vt:i4>
      </vt:variant>
      <vt:variant>
        <vt:lpwstr/>
      </vt:variant>
      <vt:variant>
        <vt:lpwstr>_Unlinked_population</vt:lpwstr>
      </vt:variant>
      <vt:variant>
        <vt:i4>6029385</vt:i4>
      </vt:variant>
      <vt:variant>
        <vt:i4>282</vt:i4>
      </vt:variant>
      <vt:variant>
        <vt:i4>0</vt:i4>
      </vt:variant>
      <vt:variant>
        <vt:i4>5</vt:i4>
      </vt:variant>
      <vt:variant>
        <vt:lpwstr/>
      </vt:variant>
      <vt:variant>
        <vt:lpwstr>_Family_income</vt:lpwstr>
      </vt:variant>
      <vt:variant>
        <vt:i4>3211296</vt:i4>
      </vt:variant>
      <vt:variant>
        <vt:i4>279</vt:i4>
      </vt:variant>
      <vt:variant>
        <vt:i4>0</vt:i4>
      </vt:variant>
      <vt:variant>
        <vt:i4>5</vt:i4>
      </vt:variant>
      <vt:variant>
        <vt:lpwstr/>
      </vt:variant>
      <vt:variant>
        <vt:lpwstr>_Unlinked_population</vt:lpwstr>
      </vt:variant>
      <vt:variant>
        <vt:i4>6750290</vt:i4>
      </vt:variant>
      <vt:variant>
        <vt:i4>276</vt:i4>
      </vt:variant>
      <vt:variant>
        <vt:i4>0</vt:i4>
      </vt:variant>
      <vt:variant>
        <vt:i4>5</vt:i4>
      </vt:variant>
      <vt:variant>
        <vt:lpwstr/>
      </vt:variant>
      <vt:variant>
        <vt:lpwstr>_Data_Quality_Framework</vt:lpwstr>
      </vt:variant>
      <vt:variant>
        <vt:i4>2162692</vt:i4>
      </vt:variant>
      <vt:variant>
        <vt:i4>273</vt:i4>
      </vt:variant>
      <vt:variant>
        <vt:i4>0</vt:i4>
      </vt:variant>
      <vt:variant>
        <vt:i4>5</vt:i4>
      </vt:variant>
      <vt:variant>
        <vt:lpwstr/>
      </vt:variant>
      <vt:variant>
        <vt:lpwstr>_Median_family_income</vt:lpwstr>
      </vt:variant>
      <vt:variant>
        <vt:i4>7798793</vt:i4>
      </vt:variant>
      <vt:variant>
        <vt:i4>270</vt:i4>
      </vt:variant>
      <vt:variant>
        <vt:i4>0</vt:i4>
      </vt:variant>
      <vt:variant>
        <vt:i4>5</vt:i4>
      </vt:variant>
      <vt:variant>
        <vt:lpwstr/>
      </vt:variant>
      <vt:variant>
        <vt:lpwstr>_Appendix_B:_Definitions</vt:lpwstr>
      </vt:variant>
      <vt:variant>
        <vt:i4>2555919</vt:i4>
      </vt:variant>
      <vt:variant>
        <vt:i4>267</vt:i4>
      </vt:variant>
      <vt:variant>
        <vt:i4>0</vt:i4>
      </vt:variant>
      <vt:variant>
        <vt:i4>5</vt:i4>
      </vt:variant>
      <vt:variant>
        <vt:lpwstr/>
      </vt:variant>
      <vt:variant>
        <vt:lpwstr>_Statement_of_enrolments</vt:lpwstr>
      </vt:variant>
      <vt:variant>
        <vt:i4>6422636</vt:i4>
      </vt:variant>
      <vt:variant>
        <vt:i4>264</vt:i4>
      </vt:variant>
      <vt:variant>
        <vt:i4>0</vt:i4>
      </vt:variant>
      <vt:variant>
        <vt:i4>5</vt:i4>
      </vt:variant>
      <vt:variant>
        <vt:lpwstr/>
      </vt:variant>
      <vt:variant>
        <vt:lpwstr>_Address_Collection</vt:lpwstr>
      </vt:variant>
      <vt:variant>
        <vt:i4>7798793</vt:i4>
      </vt:variant>
      <vt:variant>
        <vt:i4>261</vt:i4>
      </vt:variant>
      <vt:variant>
        <vt:i4>0</vt:i4>
      </vt:variant>
      <vt:variant>
        <vt:i4>5</vt:i4>
      </vt:variant>
      <vt:variant>
        <vt:lpwstr/>
      </vt:variant>
      <vt:variant>
        <vt:lpwstr>_Appendix_B:_Definitions</vt:lpwstr>
      </vt:variant>
      <vt:variant>
        <vt:i4>2162692</vt:i4>
      </vt:variant>
      <vt:variant>
        <vt:i4>258</vt:i4>
      </vt:variant>
      <vt:variant>
        <vt:i4>0</vt:i4>
      </vt:variant>
      <vt:variant>
        <vt:i4>5</vt:i4>
      </vt:variant>
      <vt:variant>
        <vt:lpwstr/>
      </vt:variant>
      <vt:variant>
        <vt:lpwstr>_Median_family_income</vt:lpwstr>
      </vt:variant>
      <vt:variant>
        <vt:i4>5177454</vt:i4>
      </vt:variant>
      <vt:variant>
        <vt:i4>255</vt:i4>
      </vt:variant>
      <vt:variant>
        <vt:i4>0</vt:i4>
      </vt:variant>
      <vt:variant>
        <vt:i4>5</vt:i4>
      </vt:variant>
      <vt:variant>
        <vt:lpwstr/>
      </vt:variant>
      <vt:variant>
        <vt:lpwstr>_Family_income_profile</vt:lpwstr>
      </vt:variant>
      <vt:variant>
        <vt:i4>2162692</vt:i4>
      </vt:variant>
      <vt:variant>
        <vt:i4>252</vt:i4>
      </vt:variant>
      <vt:variant>
        <vt:i4>0</vt:i4>
      </vt:variant>
      <vt:variant>
        <vt:i4>5</vt:i4>
      </vt:variant>
      <vt:variant>
        <vt:lpwstr/>
      </vt:variant>
      <vt:variant>
        <vt:lpwstr>_Median_family_income</vt:lpwstr>
      </vt:variant>
      <vt:variant>
        <vt:i4>6225962</vt:i4>
      </vt:variant>
      <vt:variant>
        <vt:i4>249</vt:i4>
      </vt:variant>
      <vt:variant>
        <vt:i4>0</vt:i4>
      </vt:variant>
      <vt:variant>
        <vt:i4>5</vt:i4>
      </vt:variant>
      <vt:variant>
        <vt:lpwstr>mailto:CTCReviews@education.gov.au</vt:lpwstr>
      </vt:variant>
      <vt:variant>
        <vt:lpwstr/>
      </vt:variant>
      <vt:variant>
        <vt:i4>851992</vt:i4>
      </vt:variant>
      <vt:variant>
        <vt:i4>246</vt:i4>
      </vt:variant>
      <vt:variant>
        <vt:i4>0</vt:i4>
      </vt:variant>
      <vt:variant>
        <vt:i4>5</vt:i4>
      </vt:variant>
      <vt:variant>
        <vt:lpwstr>http://www.education.gov.au/using-site/privacy-statement-department-education</vt:lpwstr>
      </vt:variant>
      <vt:variant>
        <vt:lpwstr/>
      </vt:variant>
      <vt:variant>
        <vt:i4>5111882</vt:i4>
      </vt:variant>
      <vt:variant>
        <vt:i4>243</vt:i4>
      </vt:variant>
      <vt:variant>
        <vt:i4>0</vt:i4>
      </vt:variant>
      <vt:variant>
        <vt:i4>5</vt:i4>
      </vt:variant>
      <vt:variant>
        <vt:lpwstr>http://www.education.gov.au/recurrent-funding-schools/resources/application-form-review-capacity-contribute-score</vt:lpwstr>
      </vt:variant>
      <vt:variant>
        <vt:lpwstr/>
      </vt:variant>
      <vt:variant>
        <vt:i4>2293807</vt:i4>
      </vt:variant>
      <vt:variant>
        <vt:i4>240</vt:i4>
      </vt:variant>
      <vt:variant>
        <vt:i4>0</vt:i4>
      </vt:variant>
      <vt:variant>
        <vt:i4>5</vt:i4>
      </vt:variant>
      <vt:variant>
        <vt:lpwstr>https://www.education.gov.au/recurrent-funding-schools/resources/outcome-ctc-score-reviews</vt:lpwstr>
      </vt:variant>
      <vt:variant>
        <vt:lpwstr/>
      </vt:variant>
      <vt:variant>
        <vt:i4>7471195</vt:i4>
      </vt:variant>
      <vt:variant>
        <vt:i4>237</vt:i4>
      </vt:variant>
      <vt:variant>
        <vt:i4>0</vt:i4>
      </vt:variant>
      <vt:variant>
        <vt:i4>5</vt:i4>
      </vt:variant>
      <vt:variant>
        <vt:lpwstr/>
      </vt:variant>
      <vt:variant>
        <vt:lpwstr>_Can_I_seek</vt:lpwstr>
      </vt:variant>
      <vt:variant>
        <vt:i4>5374019</vt:i4>
      </vt:variant>
      <vt:variant>
        <vt:i4>234</vt:i4>
      </vt:variant>
      <vt:variant>
        <vt:i4>0</vt:i4>
      </vt:variant>
      <vt:variant>
        <vt:i4>5</vt:i4>
      </vt:variant>
      <vt:variant>
        <vt:lpwstr>https://www.ato.gov.au/Individuals/Tax-return/2022/Tax-return/Adjusted-taxable-income-(ATI)-for-you-and-your-dependants-2022/</vt:lpwstr>
      </vt:variant>
      <vt:variant>
        <vt:lpwstr/>
      </vt:variant>
      <vt:variant>
        <vt:i4>6357035</vt:i4>
      </vt:variant>
      <vt:variant>
        <vt:i4>231</vt:i4>
      </vt:variant>
      <vt:variant>
        <vt:i4>0</vt:i4>
      </vt:variant>
      <vt:variant>
        <vt:i4>5</vt:i4>
      </vt:variant>
      <vt:variant>
        <vt:lpwstr>http://www.aat.gov.au/</vt:lpwstr>
      </vt:variant>
      <vt:variant>
        <vt:lpwstr/>
      </vt:variant>
      <vt:variant>
        <vt:i4>2424854</vt:i4>
      </vt:variant>
      <vt:variant>
        <vt:i4>228</vt:i4>
      </vt:variant>
      <vt:variant>
        <vt:i4>0</vt:i4>
      </vt:variant>
      <vt:variant>
        <vt:i4>5</vt:i4>
      </vt:variant>
      <vt:variant>
        <vt:lpwstr/>
      </vt:variant>
      <vt:variant>
        <vt:lpwstr>_Annual_review_of</vt:lpwstr>
      </vt:variant>
      <vt:variant>
        <vt:i4>2687005</vt:i4>
      </vt:variant>
      <vt:variant>
        <vt:i4>225</vt:i4>
      </vt:variant>
      <vt:variant>
        <vt:i4>0</vt:i4>
      </vt:variant>
      <vt:variant>
        <vt:i4>5</vt:i4>
      </vt:variant>
      <vt:variant>
        <vt:lpwstr/>
      </vt:variant>
      <vt:variant>
        <vt:lpwstr>_When_will_a</vt:lpwstr>
      </vt:variant>
      <vt:variant>
        <vt:i4>6225962</vt:i4>
      </vt:variant>
      <vt:variant>
        <vt:i4>222</vt:i4>
      </vt:variant>
      <vt:variant>
        <vt:i4>0</vt:i4>
      </vt:variant>
      <vt:variant>
        <vt:i4>5</vt:i4>
      </vt:variant>
      <vt:variant>
        <vt:lpwstr>mailto:CTCReviews@education.gov.au</vt:lpwstr>
      </vt:variant>
      <vt:variant>
        <vt:lpwstr/>
      </vt:variant>
      <vt:variant>
        <vt:i4>3604517</vt:i4>
      </vt:variant>
      <vt:variant>
        <vt:i4>219</vt:i4>
      </vt:variant>
      <vt:variant>
        <vt:i4>0</vt:i4>
      </vt:variant>
      <vt:variant>
        <vt:i4>5</vt:i4>
      </vt:variant>
      <vt:variant>
        <vt:lpwstr>https://www.education.gov.au/recurrent-funding-schools/resources/application-form-review-capacity-contribute-score</vt:lpwstr>
      </vt:variant>
      <vt:variant>
        <vt:lpwstr/>
      </vt:variant>
      <vt:variant>
        <vt:i4>8126480</vt:i4>
      </vt:variant>
      <vt:variant>
        <vt:i4>216</vt:i4>
      </vt:variant>
      <vt:variant>
        <vt:i4>0</vt:i4>
      </vt:variant>
      <vt:variant>
        <vt:i4>5</vt:i4>
      </vt:variant>
      <vt:variant>
        <vt:lpwstr/>
      </vt:variant>
      <vt:variant>
        <vt:lpwstr>_Appendix_A:_Reasons</vt:lpwstr>
      </vt:variant>
      <vt:variant>
        <vt:i4>3014763</vt:i4>
      </vt:variant>
      <vt:variant>
        <vt:i4>213</vt:i4>
      </vt:variant>
      <vt:variant>
        <vt:i4>0</vt:i4>
      </vt:variant>
      <vt:variant>
        <vt:i4>5</vt:i4>
      </vt:variant>
      <vt:variant>
        <vt:lpwstr>https://www.education.gov.au/recurrent-funding-schools/resources/direct-measure-income-dmi-methodology</vt:lpwstr>
      </vt:variant>
      <vt:variant>
        <vt:lpwstr/>
      </vt:variant>
      <vt:variant>
        <vt:i4>6422639</vt:i4>
      </vt:variant>
      <vt:variant>
        <vt:i4>210</vt:i4>
      </vt:variant>
      <vt:variant>
        <vt:i4>0</vt:i4>
      </vt:variant>
      <vt:variant>
        <vt:i4>5</vt:i4>
      </vt:variant>
      <vt:variant>
        <vt:lpwstr>https://www.education.gov.au/recurrent-funding-schools/schooling-resource-standard</vt:lpwstr>
      </vt:variant>
      <vt:variant>
        <vt:lpwstr/>
      </vt:variant>
      <vt:variant>
        <vt:i4>7798793</vt:i4>
      </vt:variant>
      <vt:variant>
        <vt:i4>207</vt:i4>
      </vt:variant>
      <vt:variant>
        <vt:i4>0</vt:i4>
      </vt:variant>
      <vt:variant>
        <vt:i4>5</vt:i4>
      </vt:variant>
      <vt:variant>
        <vt:lpwstr/>
      </vt:variant>
      <vt:variant>
        <vt:lpwstr>_Appendix_B:_Definitions</vt:lpwstr>
      </vt:variant>
      <vt:variant>
        <vt:i4>1572912</vt:i4>
      </vt:variant>
      <vt:variant>
        <vt:i4>200</vt:i4>
      </vt:variant>
      <vt:variant>
        <vt:i4>0</vt:i4>
      </vt:variant>
      <vt:variant>
        <vt:i4>5</vt:i4>
      </vt:variant>
      <vt:variant>
        <vt:lpwstr/>
      </vt:variant>
      <vt:variant>
        <vt:lpwstr>_Toc208820879</vt:lpwstr>
      </vt:variant>
      <vt:variant>
        <vt:i4>1572912</vt:i4>
      </vt:variant>
      <vt:variant>
        <vt:i4>194</vt:i4>
      </vt:variant>
      <vt:variant>
        <vt:i4>0</vt:i4>
      </vt:variant>
      <vt:variant>
        <vt:i4>5</vt:i4>
      </vt:variant>
      <vt:variant>
        <vt:lpwstr/>
      </vt:variant>
      <vt:variant>
        <vt:lpwstr>_Toc208820878</vt:lpwstr>
      </vt:variant>
      <vt:variant>
        <vt:i4>1572912</vt:i4>
      </vt:variant>
      <vt:variant>
        <vt:i4>188</vt:i4>
      </vt:variant>
      <vt:variant>
        <vt:i4>0</vt:i4>
      </vt:variant>
      <vt:variant>
        <vt:i4>5</vt:i4>
      </vt:variant>
      <vt:variant>
        <vt:lpwstr/>
      </vt:variant>
      <vt:variant>
        <vt:lpwstr>_Toc208820877</vt:lpwstr>
      </vt:variant>
      <vt:variant>
        <vt:i4>1572912</vt:i4>
      </vt:variant>
      <vt:variant>
        <vt:i4>182</vt:i4>
      </vt:variant>
      <vt:variant>
        <vt:i4>0</vt:i4>
      </vt:variant>
      <vt:variant>
        <vt:i4>5</vt:i4>
      </vt:variant>
      <vt:variant>
        <vt:lpwstr/>
      </vt:variant>
      <vt:variant>
        <vt:lpwstr>_Toc208820876</vt:lpwstr>
      </vt:variant>
      <vt:variant>
        <vt:i4>1572912</vt:i4>
      </vt:variant>
      <vt:variant>
        <vt:i4>176</vt:i4>
      </vt:variant>
      <vt:variant>
        <vt:i4>0</vt:i4>
      </vt:variant>
      <vt:variant>
        <vt:i4>5</vt:i4>
      </vt:variant>
      <vt:variant>
        <vt:lpwstr/>
      </vt:variant>
      <vt:variant>
        <vt:lpwstr>_Toc208820875</vt:lpwstr>
      </vt:variant>
      <vt:variant>
        <vt:i4>1572912</vt:i4>
      </vt:variant>
      <vt:variant>
        <vt:i4>170</vt:i4>
      </vt:variant>
      <vt:variant>
        <vt:i4>0</vt:i4>
      </vt:variant>
      <vt:variant>
        <vt:i4>5</vt:i4>
      </vt:variant>
      <vt:variant>
        <vt:lpwstr/>
      </vt:variant>
      <vt:variant>
        <vt:lpwstr>_Toc208820874</vt:lpwstr>
      </vt:variant>
      <vt:variant>
        <vt:i4>1572912</vt:i4>
      </vt:variant>
      <vt:variant>
        <vt:i4>164</vt:i4>
      </vt:variant>
      <vt:variant>
        <vt:i4>0</vt:i4>
      </vt:variant>
      <vt:variant>
        <vt:i4>5</vt:i4>
      </vt:variant>
      <vt:variant>
        <vt:lpwstr/>
      </vt:variant>
      <vt:variant>
        <vt:lpwstr>_Toc208820873</vt:lpwstr>
      </vt:variant>
      <vt:variant>
        <vt:i4>1572912</vt:i4>
      </vt:variant>
      <vt:variant>
        <vt:i4>158</vt:i4>
      </vt:variant>
      <vt:variant>
        <vt:i4>0</vt:i4>
      </vt:variant>
      <vt:variant>
        <vt:i4>5</vt:i4>
      </vt:variant>
      <vt:variant>
        <vt:lpwstr/>
      </vt:variant>
      <vt:variant>
        <vt:lpwstr>_Toc208820872</vt:lpwstr>
      </vt:variant>
      <vt:variant>
        <vt:i4>1572912</vt:i4>
      </vt:variant>
      <vt:variant>
        <vt:i4>152</vt:i4>
      </vt:variant>
      <vt:variant>
        <vt:i4>0</vt:i4>
      </vt:variant>
      <vt:variant>
        <vt:i4>5</vt:i4>
      </vt:variant>
      <vt:variant>
        <vt:lpwstr/>
      </vt:variant>
      <vt:variant>
        <vt:lpwstr>_Toc208820871</vt:lpwstr>
      </vt:variant>
      <vt:variant>
        <vt:i4>1572912</vt:i4>
      </vt:variant>
      <vt:variant>
        <vt:i4>146</vt:i4>
      </vt:variant>
      <vt:variant>
        <vt:i4>0</vt:i4>
      </vt:variant>
      <vt:variant>
        <vt:i4>5</vt:i4>
      </vt:variant>
      <vt:variant>
        <vt:lpwstr/>
      </vt:variant>
      <vt:variant>
        <vt:lpwstr>_Toc208820870</vt:lpwstr>
      </vt:variant>
      <vt:variant>
        <vt:i4>1638448</vt:i4>
      </vt:variant>
      <vt:variant>
        <vt:i4>140</vt:i4>
      </vt:variant>
      <vt:variant>
        <vt:i4>0</vt:i4>
      </vt:variant>
      <vt:variant>
        <vt:i4>5</vt:i4>
      </vt:variant>
      <vt:variant>
        <vt:lpwstr/>
      </vt:variant>
      <vt:variant>
        <vt:lpwstr>_Toc208820869</vt:lpwstr>
      </vt:variant>
      <vt:variant>
        <vt:i4>1638448</vt:i4>
      </vt:variant>
      <vt:variant>
        <vt:i4>134</vt:i4>
      </vt:variant>
      <vt:variant>
        <vt:i4>0</vt:i4>
      </vt:variant>
      <vt:variant>
        <vt:i4>5</vt:i4>
      </vt:variant>
      <vt:variant>
        <vt:lpwstr/>
      </vt:variant>
      <vt:variant>
        <vt:lpwstr>_Toc208820868</vt:lpwstr>
      </vt:variant>
      <vt:variant>
        <vt:i4>1638448</vt:i4>
      </vt:variant>
      <vt:variant>
        <vt:i4>128</vt:i4>
      </vt:variant>
      <vt:variant>
        <vt:i4>0</vt:i4>
      </vt:variant>
      <vt:variant>
        <vt:i4>5</vt:i4>
      </vt:variant>
      <vt:variant>
        <vt:lpwstr/>
      </vt:variant>
      <vt:variant>
        <vt:lpwstr>_Toc208820867</vt:lpwstr>
      </vt:variant>
      <vt:variant>
        <vt:i4>1638448</vt:i4>
      </vt:variant>
      <vt:variant>
        <vt:i4>122</vt:i4>
      </vt:variant>
      <vt:variant>
        <vt:i4>0</vt:i4>
      </vt:variant>
      <vt:variant>
        <vt:i4>5</vt:i4>
      </vt:variant>
      <vt:variant>
        <vt:lpwstr/>
      </vt:variant>
      <vt:variant>
        <vt:lpwstr>_Toc208820866</vt:lpwstr>
      </vt:variant>
      <vt:variant>
        <vt:i4>1638448</vt:i4>
      </vt:variant>
      <vt:variant>
        <vt:i4>116</vt:i4>
      </vt:variant>
      <vt:variant>
        <vt:i4>0</vt:i4>
      </vt:variant>
      <vt:variant>
        <vt:i4>5</vt:i4>
      </vt:variant>
      <vt:variant>
        <vt:lpwstr/>
      </vt:variant>
      <vt:variant>
        <vt:lpwstr>_Toc208820865</vt:lpwstr>
      </vt:variant>
      <vt:variant>
        <vt:i4>1638448</vt:i4>
      </vt:variant>
      <vt:variant>
        <vt:i4>110</vt:i4>
      </vt:variant>
      <vt:variant>
        <vt:i4>0</vt:i4>
      </vt:variant>
      <vt:variant>
        <vt:i4>5</vt:i4>
      </vt:variant>
      <vt:variant>
        <vt:lpwstr/>
      </vt:variant>
      <vt:variant>
        <vt:lpwstr>_Toc208820864</vt:lpwstr>
      </vt:variant>
      <vt:variant>
        <vt:i4>1638448</vt:i4>
      </vt:variant>
      <vt:variant>
        <vt:i4>104</vt:i4>
      </vt:variant>
      <vt:variant>
        <vt:i4>0</vt:i4>
      </vt:variant>
      <vt:variant>
        <vt:i4>5</vt:i4>
      </vt:variant>
      <vt:variant>
        <vt:lpwstr/>
      </vt:variant>
      <vt:variant>
        <vt:lpwstr>_Toc208820863</vt:lpwstr>
      </vt:variant>
      <vt:variant>
        <vt:i4>1638448</vt:i4>
      </vt:variant>
      <vt:variant>
        <vt:i4>98</vt:i4>
      </vt:variant>
      <vt:variant>
        <vt:i4>0</vt:i4>
      </vt:variant>
      <vt:variant>
        <vt:i4>5</vt:i4>
      </vt:variant>
      <vt:variant>
        <vt:lpwstr/>
      </vt:variant>
      <vt:variant>
        <vt:lpwstr>_Toc208820862</vt:lpwstr>
      </vt:variant>
      <vt:variant>
        <vt:i4>1638448</vt:i4>
      </vt:variant>
      <vt:variant>
        <vt:i4>92</vt:i4>
      </vt:variant>
      <vt:variant>
        <vt:i4>0</vt:i4>
      </vt:variant>
      <vt:variant>
        <vt:i4>5</vt:i4>
      </vt:variant>
      <vt:variant>
        <vt:lpwstr/>
      </vt:variant>
      <vt:variant>
        <vt:lpwstr>_Toc208820861</vt:lpwstr>
      </vt:variant>
      <vt:variant>
        <vt:i4>1638448</vt:i4>
      </vt:variant>
      <vt:variant>
        <vt:i4>86</vt:i4>
      </vt:variant>
      <vt:variant>
        <vt:i4>0</vt:i4>
      </vt:variant>
      <vt:variant>
        <vt:i4>5</vt:i4>
      </vt:variant>
      <vt:variant>
        <vt:lpwstr/>
      </vt:variant>
      <vt:variant>
        <vt:lpwstr>_Toc208820860</vt:lpwstr>
      </vt:variant>
      <vt:variant>
        <vt:i4>1703984</vt:i4>
      </vt:variant>
      <vt:variant>
        <vt:i4>80</vt:i4>
      </vt:variant>
      <vt:variant>
        <vt:i4>0</vt:i4>
      </vt:variant>
      <vt:variant>
        <vt:i4>5</vt:i4>
      </vt:variant>
      <vt:variant>
        <vt:lpwstr/>
      </vt:variant>
      <vt:variant>
        <vt:lpwstr>_Toc208820859</vt:lpwstr>
      </vt:variant>
      <vt:variant>
        <vt:i4>1703984</vt:i4>
      </vt:variant>
      <vt:variant>
        <vt:i4>74</vt:i4>
      </vt:variant>
      <vt:variant>
        <vt:i4>0</vt:i4>
      </vt:variant>
      <vt:variant>
        <vt:i4>5</vt:i4>
      </vt:variant>
      <vt:variant>
        <vt:lpwstr/>
      </vt:variant>
      <vt:variant>
        <vt:lpwstr>_Toc208820858</vt:lpwstr>
      </vt:variant>
      <vt:variant>
        <vt:i4>1703984</vt:i4>
      </vt:variant>
      <vt:variant>
        <vt:i4>68</vt:i4>
      </vt:variant>
      <vt:variant>
        <vt:i4>0</vt:i4>
      </vt:variant>
      <vt:variant>
        <vt:i4>5</vt:i4>
      </vt:variant>
      <vt:variant>
        <vt:lpwstr/>
      </vt:variant>
      <vt:variant>
        <vt:lpwstr>_Toc208820857</vt:lpwstr>
      </vt:variant>
      <vt:variant>
        <vt:i4>1703984</vt:i4>
      </vt:variant>
      <vt:variant>
        <vt:i4>62</vt:i4>
      </vt:variant>
      <vt:variant>
        <vt:i4>0</vt:i4>
      </vt:variant>
      <vt:variant>
        <vt:i4>5</vt:i4>
      </vt:variant>
      <vt:variant>
        <vt:lpwstr/>
      </vt:variant>
      <vt:variant>
        <vt:lpwstr>_Toc208820856</vt:lpwstr>
      </vt:variant>
      <vt:variant>
        <vt:i4>1703984</vt:i4>
      </vt:variant>
      <vt:variant>
        <vt:i4>56</vt:i4>
      </vt:variant>
      <vt:variant>
        <vt:i4>0</vt:i4>
      </vt:variant>
      <vt:variant>
        <vt:i4>5</vt:i4>
      </vt:variant>
      <vt:variant>
        <vt:lpwstr/>
      </vt:variant>
      <vt:variant>
        <vt:lpwstr>_Toc208820855</vt:lpwstr>
      </vt:variant>
      <vt:variant>
        <vt:i4>1703984</vt:i4>
      </vt:variant>
      <vt:variant>
        <vt:i4>50</vt:i4>
      </vt:variant>
      <vt:variant>
        <vt:i4>0</vt:i4>
      </vt:variant>
      <vt:variant>
        <vt:i4>5</vt:i4>
      </vt:variant>
      <vt:variant>
        <vt:lpwstr/>
      </vt:variant>
      <vt:variant>
        <vt:lpwstr>_Toc208820854</vt:lpwstr>
      </vt:variant>
      <vt:variant>
        <vt:i4>1703984</vt:i4>
      </vt:variant>
      <vt:variant>
        <vt:i4>44</vt:i4>
      </vt:variant>
      <vt:variant>
        <vt:i4>0</vt:i4>
      </vt:variant>
      <vt:variant>
        <vt:i4>5</vt:i4>
      </vt:variant>
      <vt:variant>
        <vt:lpwstr/>
      </vt:variant>
      <vt:variant>
        <vt:lpwstr>_Toc208820853</vt:lpwstr>
      </vt:variant>
      <vt:variant>
        <vt:i4>1703984</vt:i4>
      </vt:variant>
      <vt:variant>
        <vt:i4>38</vt:i4>
      </vt:variant>
      <vt:variant>
        <vt:i4>0</vt:i4>
      </vt:variant>
      <vt:variant>
        <vt:i4>5</vt:i4>
      </vt:variant>
      <vt:variant>
        <vt:lpwstr/>
      </vt:variant>
      <vt:variant>
        <vt:lpwstr>_Toc208820852</vt:lpwstr>
      </vt:variant>
      <vt:variant>
        <vt:i4>1703984</vt:i4>
      </vt:variant>
      <vt:variant>
        <vt:i4>32</vt:i4>
      </vt:variant>
      <vt:variant>
        <vt:i4>0</vt:i4>
      </vt:variant>
      <vt:variant>
        <vt:i4>5</vt:i4>
      </vt:variant>
      <vt:variant>
        <vt:lpwstr/>
      </vt:variant>
      <vt:variant>
        <vt:lpwstr>_Toc208820851</vt:lpwstr>
      </vt:variant>
      <vt:variant>
        <vt:i4>1703984</vt:i4>
      </vt:variant>
      <vt:variant>
        <vt:i4>26</vt:i4>
      </vt:variant>
      <vt:variant>
        <vt:i4>0</vt:i4>
      </vt:variant>
      <vt:variant>
        <vt:i4>5</vt:i4>
      </vt:variant>
      <vt:variant>
        <vt:lpwstr/>
      </vt:variant>
      <vt:variant>
        <vt:lpwstr>_Toc208820850</vt:lpwstr>
      </vt:variant>
      <vt:variant>
        <vt:i4>1769520</vt:i4>
      </vt:variant>
      <vt:variant>
        <vt:i4>20</vt:i4>
      </vt:variant>
      <vt:variant>
        <vt:i4>0</vt:i4>
      </vt:variant>
      <vt:variant>
        <vt:i4>5</vt:i4>
      </vt:variant>
      <vt:variant>
        <vt:lpwstr/>
      </vt:variant>
      <vt:variant>
        <vt:lpwstr>_Toc208820849</vt:lpwstr>
      </vt:variant>
      <vt:variant>
        <vt:i4>1769520</vt:i4>
      </vt:variant>
      <vt:variant>
        <vt:i4>14</vt:i4>
      </vt:variant>
      <vt:variant>
        <vt:i4>0</vt:i4>
      </vt:variant>
      <vt:variant>
        <vt:i4>5</vt:i4>
      </vt:variant>
      <vt:variant>
        <vt:lpwstr/>
      </vt:variant>
      <vt:variant>
        <vt:lpwstr>_Toc208820848</vt:lpwstr>
      </vt:variant>
      <vt:variant>
        <vt:i4>1769520</vt:i4>
      </vt:variant>
      <vt:variant>
        <vt:i4>8</vt:i4>
      </vt:variant>
      <vt:variant>
        <vt:i4>0</vt:i4>
      </vt:variant>
      <vt:variant>
        <vt:i4>5</vt:i4>
      </vt:variant>
      <vt:variant>
        <vt:lpwstr/>
      </vt:variant>
      <vt:variant>
        <vt:lpwstr>_Toc208820847</vt:lpwstr>
      </vt:variant>
      <vt:variant>
        <vt:i4>1769520</vt:i4>
      </vt:variant>
      <vt:variant>
        <vt:i4>2</vt:i4>
      </vt:variant>
      <vt:variant>
        <vt:i4>0</vt:i4>
      </vt:variant>
      <vt:variant>
        <vt:i4>5</vt:i4>
      </vt:variant>
      <vt:variant>
        <vt:lpwstr/>
      </vt:variant>
      <vt:variant>
        <vt:lpwstr>_Toc208820846</vt:lpwstr>
      </vt:variant>
      <vt:variant>
        <vt:i4>2883629</vt:i4>
      </vt:variant>
      <vt:variant>
        <vt:i4>42</vt:i4>
      </vt:variant>
      <vt:variant>
        <vt:i4>0</vt:i4>
      </vt:variant>
      <vt:variant>
        <vt:i4>5</vt:i4>
      </vt:variant>
      <vt:variant>
        <vt:lpwstr>https://www.education.gov.au/recurrent-funding-schools/resources/technical-framework-capacity-contribute-review-process</vt:lpwstr>
      </vt:variant>
      <vt:variant>
        <vt:lpwstr/>
      </vt:variant>
      <vt:variant>
        <vt:i4>2687037</vt:i4>
      </vt:variant>
      <vt:variant>
        <vt:i4>39</vt:i4>
      </vt:variant>
      <vt:variant>
        <vt:i4>0</vt:i4>
      </vt:variant>
      <vt:variant>
        <vt:i4>5</vt:i4>
      </vt:variant>
      <vt:variant>
        <vt:lpwstr>https://www.legislation.gov.au/F2023L01020/latest/text</vt:lpwstr>
      </vt:variant>
      <vt:variant>
        <vt:lpwstr/>
      </vt:variant>
      <vt:variant>
        <vt:i4>2818102</vt:i4>
      </vt:variant>
      <vt:variant>
        <vt:i4>36</vt:i4>
      </vt:variant>
      <vt:variant>
        <vt:i4>0</vt:i4>
      </vt:variant>
      <vt:variant>
        <vt:i4>5</vt:i4>
      </vt:variant>
      <vt:variant>
        <vt:lpwstr>https://www.legislation.gov.au/C2013A00067/latest/text</vt:lpwstr>
      </vt:variant>
      <vt:variant>
        <vt:lpwstr/>
      </vt:variant>
      <vt:variant>
        <vt:i4>2818102</vt:i4>
      </vt:variant>
      <vt:variant>
        <vt:i4>33</vt:i4>
      </vt:variant>
      <vt:variant>
        <vt:i4>0</vt:i4>
      </vt:variant>
      <vt:variant>
        <vt:i4>5</vt:i4>
      </vt:variant>
      <vt:variant>
        <vt:lpwstr>https://www.legislation.gov.au/C2013A00067/latest/text</vt:lpwstr>
      </vt:variant>
      <vt:variant>
        <vt:lpwstr/>
      </vt:variant>
      <vt:variant>
        <vt:i4>2818102</vt:i4>
      </vt:variant>
      <vt:variant>
        <vt:i4>30</vt:i4>
      </vt:variant>
      <vt:variant>
        <vt:i4>0</vt:i4>
      </vt:variant>
      <vt:variant>
        <vt:i4>5</vt:i4>
      </vt:variant>
      <vt:variant>
        <vt:lpwstr>https://www.legislation.gov.au/C2013A00067/latest/text</vt:lpwstr>
      </vt:variant>
      <vt:variant>
        <vt:lpwstr/>
      </vt:variant>
      <vt:variant>
        <vt:i4>2818102</vt:i4>
      </vt:variant>
      <vt:variant>
        <vt:i4>27</vt:i4>
      </vt:variant>
      <vt:variant>
        <vt:i4>0</vt:i4>
      </vt:variant>
      <vt:variant>
        <vt:i4>5</vt:i4>
      </vt:variant>
      <vt:variant>
        <vt:lpwstr>https://www.legislation.gov.au/C2013A00067/latest/text</vt:lpwstr>
      </vt:variant>
      <vt:variant>
        <vt:lpwstr/>
      </vt:variant>
      <vt:variant>
        <vt:i4>7405695</vt:i4>
      </vt:variant>
      <vt:variant>
        <vt:i4>24</vt:i4>
      </vt:variant>
      <vt:variant>
        <vt:i4>0</vt:i4>
      </vt:variant>
      <vt:variant>
        <vt:i4>5</vt:i4>
      </vt:variant>
      <vt:variant>
        <vt:lpwstr>http://www.education.gov.au/recurrent-funding-schools/resources/abs-capacity-contribute-data-quality-framework</vt:lpwstr>
      </vt:variant>
      <vt:variant>
        <vt:lpwstr/>
      </vt:variant>
      <vt:variant>
        <vt:i4>2818102</vt:i4>
      </vt:variant>
      <vt:variant>
        <vt:i4>21</vt:i4>
      </vt:variant>
      <vt:variant>
        <vt:i4>0</vt:i4>
      </vt:variant>
      <vt:variant>
        <vt:i4>5</vt:i4>
      </vt:variant>
      <vt:variant>
        <vt:lpwstr>https://www.legislation.gov.au/C2013A00067/latest/text</vt:lpwstr>
      </vt:variant>
      <vt:variant>
        <vt:lpwstr/>
      </vt:variant>
      <vt:variant>
        <vt:i4>2687037</vt:i4>
      </vt:variant>
      <vt:variant>
        <vt:i4>18</vt:i4>
      </vt:variant>
      <vt:variant>
        <vt:i4>0</vt:i4>
      </vt:variant>
      <vt:variant>
        <vt:i4>5</vt:i4>
      </vt:variant>
      <vt:variant>
        <vt:lpwstr>https://www.legislation.gov.au/F2023L01020/latest/text</vt:lpwstr>
      </vt:variant>
      <vt:variant>
        <vt:lpwstr/>
      </vt:variant>
      <vt:variant>
        <vt:i4>7405695</vt:i4>
      </vt:variant>
      <vt:variant>
        <vt:i4>15</vt:i4>
      </vt:variant>
      <vt:variant>
        <vt:i4>0</vt:i4>
      </vt:variant>
      <vt:variant>
        <vt:i4>5</vt:i4>
      </vt:variant>
      <vt:variant>
        <vt:lpwstr>http://www.education.gov.au/recurrent-funding-schools/resources/abs-capacity-contribute-data-quality-framework</vt:lpwstr>
      </vt:variant>
      <vt:variant>
        <vt:lpwstr/>
      </vt:variant>
      <vt:variant>
        <vt:i4>7405695</vt:i4>
      </vt:variant>
      <vt:variant>
        <vt:i4>12</vt:i4>
      </vt:variant>
      <vt:variant>
        <vt:i4>0</vt:i4>
      </vt:variant>
      <vt:variant>
        <vt:i4>5</vt:i4>
      </vt:variant>
      <vt:variant>
        <vt:lpwstr>http://www.education.gov.au/recurrent-funding-schools/resources/abs-capacity-contribute-data-quality-framework</vt:lpwstr>
      </vt:variant>
      <vt:variant>
        <vt:lpwstr/>
      </vt:variant>
      <vt:variant>
        <vt:i4>2687037</vt:i4>
      </vt:variant>
      <vt:variant>
        <vt:i4>9</vt:i4>
      </vt:variant>
      <vt:variant>
        <vt:i4>0</vt:i4>
      </vt:variant>
      <vt:variant>
        <vt:i4>5</vt:i4>
      </vt:variant>
      <vt:variant>
        <vt:lpwstr>https://www.legislation.gov.au/F2023L01020/latest/text</vt:lpwstr>
      </vt:variant>
      <vt:variant>
        <vt:lpwstr/>
      </vt:variant>
      <vt:variant>
        <vt:i4>5636165</vt:i4>
      </vt:variant>
      <vt:variant>
        <vt:i4>6</vt:i4>
      </vt:variant>
      <vt:variant>
        <vt:i4>0</vt:i4>
      </vt:variant>
      <vt:variant>
        <vt:i4>5</vt:i4>
      </vt:variant>
      <vt:variant>
        <vt:lpwstr>http://www.legislation.gov.au/F2023L01020/latest/text</vt:lpwstr>
      </vt:variant>
      <vt:variant>
        <vt:lpwstr/>
      </vt:variant>
      <vt:variant>
        <vt:i4>2883629</vt:i4>
      </vt:variant>
      <vt:variant>
        <vt:i4>3</vt:i4>
      </vt:variant>
      <vt:variant>
        <vt:i4>0</vt:i4>
      </vt:variant>
      <vt:variant>
        <vt:i4>5</vt:i4>
      </vt:variant>
      <vt:variant>
        <vt:lpwstr>https://www.education.gov.au/recurrent-funding-schools/resources/technical-framework-capacity-contribute-review-process</vt:lpwstr>
      </vt:variant>
      <vt:variant>
        <vt:lpwstr/>
      </vt:variant>
      <vt:variant>
        <vt:i4>4915293</vt:i4>
      </vt:variant>
      <vt:variant>
        <vt:i4>0</vt:i4>
      </vt:variant>
      <vt:variant>
        <vt:i4>0</vt:i4>
      </vt:variant>
      <vt:variant>
        <vt:i4>5</vt:i4>
      </vt:variant>
      <vt:variant>
        <vt:lpwstr>http://www.legislation.gov.au/Details/C2017C00269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Dominique</cp:lastModifiedBy>
  <cp:revision>11</cp:revision>
  <cp:lastPrinted>2025-10-21T02:22:00Z</cp:lastPrinted>
  <dcterms:created xsi:type="dcterms:W3CDTF">2025-10-20T22:54:00Z</dcterms:created>
  <dcterms:modified xsi:type="dcterms:W3CDTF">2025-10-21T02:23:00Z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2023-05-01T23:50:31Z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a49a9779-d6e4-4415-b56a-f820d63c0857</vt:lpwstr>
  </property>
  <property fmtid="{D5CDD505-2E9C-101B-9397-08002B2CF9AE}" pid="8" name="MSIP_Label_79d889eb-932f-4752-8739-64d25806ef64_ContentBits">
    <vt:lpwstr>0</vt:lpwstr>
  </property>
</Properties>
</file>