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197C" w14:textId="0EB84BE9" w:rsidR="00467A7F" w:rsidRPr="00AC2737" w:rsidRDefault="00467A7F" w:rsidP="00AC2737">
      <w:pPr>
        <w:pStyle w:val="Heading1"/>
      </w:pPr>
      <w:bookmarkStart w:id="0" w:name="university-of-new-england"/>
      <w:r w:rsidRPr="00AC2737">
        <w:t>University of New England</w:t>
      </w:r>
      <w:bookmarkStart w:id="1" w:name="X7e29c8f40d5fb1ebbac650a7df331b808f7d05e"/>
      <w:r w:rsidR="00AC2737">
        <w:t xml:space="preserve"> (UNE)</w:t>
      </w:r>
      <w:r w:rsidR="00AC2737" w:rsidRPr="00AC2737">
        <w:t xml:space="preserve"> </w:t>
      </w:r>
      <w:r w:rsidRPr="00AC2737">
        <w:t>Submission to the Higher Education Standards Panel</w:t>
      </w:r>
      <w:bookmarkStart w:id="2" w:name="X92875afafc5524d4ad226e386c2e656773c17c4"/>
      <w:r w:rsidRPr="00AC2737">
        <w:t>: Consultation on Amendments to the Higher Education Standards Framework (Threshold Standards) 2021</w:t>
      </w:r>
    </w:p>
    <w:p w14:paraId="7DA077F8" w14:textId="77777777" w:rsidR="00467A7F" w:rsidRPr="00AC2737" w:rsidRDefault="00467A7F" w:rsidP="00467A7F">
      <w:pPr>
        <w:pStyle w:val="Heading3"/>
        <w:spacing w:line="276" w:lineRule="auto"/>
        <w:jc w:val="both"/>
        <w:rPr>
          <w:rFonts w:ascii="Calibri" w:hAnsi="Calibri" w:cs="Calibri"/>
          <w:b/>
          <w:bCs/>
          <w:color w:val="auto"/>
          <w:sz w:val="22"/>
          <w:szCs w:val="22"/>
        </w:rPr>
      </w:pPr>
      <w:bookmarkStart w:id="3" w:name="introduction"/>
      <w:bookmarkEnd w:id="2"/>
      <w:r w:rsidRPr="00AC2737">
        <w:rPr>
          <w:rFonts w:ascii="Calibri" w:hAnsi="Calibri" w:cs="Calibri"/>
          <w:b/>
          <w:bCs/>
          <w:color w:val="auto"/>
          <w:sz w:val="22"/>
          <w:szCs w:val="22"/>
        </w:rPr>
        <w:t>1. Introduction</w:t>
      </w:r>
    </w:p>
    <w:p w14:paraId="102761B4" w14:textId="77777777" w:rsidR="00467A7F" w:rsidRPr="00B01BCE" w:rsidRDefault="00467A7F" w:rsidP="00467A7F">
      <w:pPr>
        <w:pStyle w:val="FirstParagraph"/>
        <w:spacing w:line="276" w:lineRule="auto"/>
        <w:jc w:val="both"/>
        <w:rPr>
          <w:rFonts w:ascii="Calibri" w:hAnsi="Calibri" w:cs="Calibri"/>
          <w:sz w:val="22"/>
          <w:szCs w:val="22"/>
        </w:rPr>
      </w:pPr>
      <w:r w:rsidRPr="00B01BCE">
        <w:rPr>
          <w:rFonts w:ascii="Calibri" w:hAnsi="Calibri" w:cs="Calibri"/>
          <w:sz w:val="22"/>
          <w:szCs w:val="22"/>
        </w:rPr>
        <w:t>The University of New England (UNE) welcomes the opportunity to respond to the Higher Education Standards Panel’s consultation on amendments to the Higher Education Standards Framework (Threshold Standards) 2021 (HESF). UNE unequivocally supports the policy intent behind the consultation themes, acknowledging the critical necessity of credible institutional capability to address racism and related prejudice, support students with disabilities, enhance governance transparency, and manage risks associated with emerging technologies.</w:t>
      </w:r>
    </w:p>
    <w:p w14:paraId="51DBEC90" w14:textId="77777777" w:rsidR="00467A7F" w:rsidRPr="00B01BCE" w:rsidRDefault="00467A7F" w:rsidP="00467A7F">
      <w:pPr>
        <w:pStyle w:val="FirstParagraph"/>
        <w:spacing w:line="276" w:lineRule="auto"/>
        <w:jc w:val="both"/>
        <w:rPr>
          <w:rFonts w:ascii="Calibri" w:hAnsi="Calibri" w:cs="Calibri"/>
          <w:sz w:val="22"/>
          <w:szCs w:val="22"/>
        </w:rPr>
      </w:pPr>
      <w:r w:rsidRPr="00B01BCE">
        <w:rPr>
          <w:rFonts w:ascii="Calibri" w:hAnsi="Calibri" w:cs="Calibri"/>
          <w:sz w:val="22"/>
          <w:szCs w:val="22"/>
        </w:rPr>
        <w:t xml:space="preserve">However, UNE asserts that addressing these complex, cross-cutting </w:t>
      </w:r>
      <w:r>
        <w:rPr>
          <w:rFonts w:ascii="Calibri" w:hAnsi="Calibri" w:cs="Calibri"/>
          <w:sz w:val="22"/>
          <w:szCs w:val="22"/>
        </w:rPr>
        <w:t>issues</w:t>
      </w:r>
      <w:r w:rsidRPr="00B01BCE">
        <w:rPr>
          <w:rFonts w:ascii="Calibri" w:hAnsi="Calibri" w:cs="Calibri"/>
          <w:sz w:val="22"/>
          <w:szCs w:val="22"/>
        </w:rPr>
        <w:t xml:space="preserve"> necessitates a deliberate regulatory architecture rather than isolated, thematic amendments to the HESF.</w:t>
      </w:r>
    </w:p>
    <w:p w14:paraId="7D0F36A9" w14:textId="77777777" w:rsidR="00467A7F" w:rsidRPr="00B01BCE" w:rsidRDefault="00467A7F" w:rsidP="00467A7F">
      <w:pPr>
        <w:pStyle w:val="FirstParagraph"/>
        <w:spacing w:line="276" w:lineRule="auto"/>
        <w:jc w:val="both"/>
        <w:rPr>
          <w:rFonts w:ascii="Calibri" w:hAnsi="Calibri" w:cs="Calibri"/>
          <w:sz w:val="22"/>
          <w:szCs w:val="22"/>
        </w:rPr>
      </w:pPr>
      <w:r w:rsidRPr="00B01BCE">
        <w:rPr>
          <w:rFonts w:ascii="Calibri" w:hAnsi="Calibri" w:cs="Calibri"/>
          <w:sz w:val="22"/>
          <w:szCs w:val="22"/>
        </w:rPr>
        <w:t xml:space="preserve">UNE’s overarching policy standpoint is that the sector is best served by a regulatory model that maintains the HESF as a stable, principles-based, and technology-neutral legislative </w:t>
      </w:r>
      <w:r>
        <w:rPr>
          <w:rFonts w:ascii="Calibri" w:hAnsi="Calibri" w:cs="Calibri"/>
          <w:sz w:val="22"/>
          <w:szCs w:val="22"/>
        </w:rPr>
        <w:t xml:space="preserve">threshold </w:t>
      </w:r>
      <w:r w:rsidRPr="00B01BCE">
        <w:rPr>
          <w:rFonts w:ascii="Calibri" w:hAnsi="Calibri" w:cs="Calibri"/>
          <w:sz w:val="22"/>
          <w:szCs w:val="22"/>
        </w:rPr>
        <w:t>baseline. Consequently, systemic, rapidly evolving, and intersecting risks should be managed primarily through TEQSA’s existing and maturing suite of risk-based instruments</w:t>
      </w:r>
      <w:r>
        <w:rPr>
          <w:rFonts w:ascii="Calibri" w:hAnsi="Calibri" w:cs="Calibri"/>
          <w:sz w:val="22"/>
          <w:szCs w:val="22"/>
        </w:rPr>
        <w:t xml:space="preserve"> </w:t>
      </w:r>
      <w:r w:rsidRPr="00B01BCE">
        <w:rPr>
          <w:rFonts w:ascii="Calibri" w:hAnsi="Calibri" w:cs="Calibri"/>
          <w:sz w:val="22"/>
          <w:szCs w:val="22"/>
        </w:rPr>
        <w:t>including Statements of Regulatory Expectations (SREs), compliance priorities, and the forthcoming Regulatory Risk and Quality Assurance Framework (RQF).</w:t>
      </w:r>
    </w:p>
    <w:p w14:paraId="4BB0F63E" w14:textId="77777777" w:rsidR="00467A7F" w:rsidRPr="00B01BCE" w:rsidRDefault="00467A7F" w:rsidP="00467A7F">
      <w:pPr>
        <w:pStyle w:val="FirstParagraph"/>
        <w:spacing w:line="276" w:lineRule="auto"/>
        <w:jc w:val="both"/>
        <w:rPr>
          <w:rFonts w:ascii="Calibri" w:hAnsi="Calibri" w:cs="Calibri"/>
          <w:sz w:val="22"/>
          <w:szCs w:val="22"/>
        </w:rPr>
      </w:pPr>
      <w:r w:rsidRPr="00B01BCE">
        <w:rPr>
          <w:rFonts w:ascii="Calibri" w:hAnsi="Calibri" w:cs="Calibri"/>
          <w:sz w:val="22"/>
          <w:szCs w:val="22"/>
        </w:rPr>
        <w:t>This approach functionally establishes TEQSA’s operational instruments as an ‘agile layer’ capable of responding to sector dynamics without triggering continuous legislative churn or fragmenting the HESF's original design as a set of foundational minimum requirements. Crucially, this strategy prevents the duplication of existing external legal frameworks</w:t>
      </w:r>
      <w:r>
        <w:rPr>
          <w:rFonts w:ascii="Calibri" w:hAnsi="Calibri" w:cs="Calibri"/>
          <w:sz w:val="22"/>
          <w:szCs w:val="22"/>
        </w:rPr>
        <w:t xml:space="preserve">, </w:t>
      </w:r>
      <w:r w:rsidRPr="00B01BCE">
        <w:rPr>
          <w:rFonts w:ascii="Calibri" w:hAnsi="Calibri" w:cs="Calibri"/>
          <w:sz w:val="22"/>
          <w:szCs w:val="22"/>
        </w:rPr>
        <w:t>such as the Racial Discrimination Act 1975, the Disability Discrimination Act 1992, and established work health and safety psychosocial duties</w:t>
      </w:r>
      <w:r>
        <w:rPr>
          <w:rFonts w:ascii="Calibri" w:hAnsi="Calibri" w:cs="Calibri"/>
          <w:sz w:val="22"/>
          <w:szCs w:val="22"/>
        </w:rPr>
        <w:t xml:space="preserve">, </w:t>
      </w:r>
      <w:r w:rsidRPr="00B01BCE">
        <w:rPr>
          <w:rFonts w:ascii="Calibri" w:hAnsi="Calibri" w:cs="Calibri"/>
          <w:sz w:val="22"/>
          <w:szCs w:val="22"/>
        </w:rPr>
        <w:t>ensuring that regulatory interventions remain proportionate, risk-reflective, and necessary, in strict accordance with the foundational principles of the TEQSA Act 2011.</w:t>
      </w:r>
    </w:p>
    <w:p w14:paraId="5EE3844F" w14:textId="77777777" w:rsidR="00467A7F" w:rsidRDefault="00467A7F" w:rsidP="00467A7F">
      <w:pPr>
        <w:pStyle w:val="Compact"/>
        <w:spacing w:line="276" w:lineRule="auto"/>
        <w:jc w:val="both"/>
        <w:rPr>
          <w:rFonts w:ascii="Calibri" w:hAnsi="Calibri" w:cs="Calibri"/>
          <w:sz w:val="22"/>
          <w:szCs w:val="22"/>
        </w:rPr>
      </w:pPr>
      <w:r w:rsidRPr="00B01BCE">
        <w:rPr>
          <w:rFonts w:ascii="Calibri" w:hAnsi="Calibri" w:cs="Calibri"/>
          <w:sz w:val="22"/>
          <w:szCs w:val="22"/>
        </w:rPr>
        <w:t xml:space="preserve">To safeguard the integrity of the HESF and </w:t>
      </w:r>
      <w:proofErr w:type="spellStart"/>
      <w:r w:rsidRPr="00B01BCE">
        <w:rPr>
          <w:rFonts w:ascii="Calibri" w:hAnsi="Calibri" w:cs="Calibri"/>
          <w:sz w:val="22"/>
          <w:szCs w:val="22"/>
        </w:rPr>
        <w:t>operationalise</w:t>
      </w:r>
      <w:proofErr w:type="spellEnd"/>
      <w:r w:rsidRPr="00B01BCE">
        <w:rPr>
          <w:rFonts w:ascii="Calibri" w:hAnsi="Calibri" w:cs="Calibri"/>
          <w:sz w:val="22"/>
          <w:szCs w:val="22"/>
        </w:rPr>
        <w:t xml:space="preserve"> this tiered regulatory architecture, UNE recommends the Panel adopt and publish a rigorous ‘decision rule’ for any proposed amendments. Specifically, an item should only be explicitly codified within the Threshold Standards where the following criteria are met: </w:t>
      </w:r>
    </w:p>
    <w:p w14:paraId="5957B818" w14:textId="77777777" w:rsidR="00467A7F" w:rsidRPr="00533362" w:rsidRDefault="00467A7F" w:rsidP="00467A7F">
      <w:pPr>
        <w:pStyle w:val="Compact"/>
        <w:numPr>
          <w:ilvl w:val="0"/>
          <w:numId w:val="3"/>
        </w:numPr>
        <w:spacing w:line="276" w:lineRule="auto"/>
        <w:jc w:val="both"/>
        <w:rPr>
          <w:rFonts w:ascii="Calibri" w:hAnsi="Calibri" w:cs="Calibri"/>
          <w:sz w:val="22"/>
          <w:szCs w:val="22"/>
        </w:rPr>
      </w:pPr>
      <w:r w:rsidRPr="00533362">
        <w:rPr>
          <w:rFonts w:ascii="Calibri" w:hAnsi="Calibri" w:cs="Calibri"/>
          <w:sz w:val="22"/>
          <w:szCs w:val="22"/>
        </w:rPr>
        <w:t>The harm is high and the risk is systemic or likely to become systemic.</w:t>
      </w:r>
    </w:p>
    <w:p w14:paraId="153E520E" w14:textId="77777777" w:rsidR="00467A7F" w:rsidRPr="00533362" w:rsidRDefault="00467A7F" w:rsidP="00467A7F">
      <w:pPr>
        <w:pStyle w:val="Compact"/>
        <w:numPr>
          <w:ilvl w:val="0"/>
          <w:numId w:val="3"/>
        </w:numPr>
        <w:spacing w:line="276" w:lineRule="auto"/>
        <w:jc w:val="both"/>
        <w:rPr>
          <w:rFonts w:ascii="Calibri" w:hAnsi="Calibri" w:cs="Calibri"/>
          <w:sz w:val="22"/>
          <w:szCs w:val="22"/>
        </w:rPr>
      </w:pPr>
      <w:r w:rsidRPr="00533362">
        <w:rPr>
          <w:rFonts w:ascii="Calibri" w:hAnsi="Calibri" w:cs="Calibri"/>
          <w:sz w:val="22"/>
          <w:szCs w:val="22"/>
        </w:rPr>
        <w:t>The risk materially intersects multiple standards and is not adequately addressed by existing regulatory instruments.</w:t>
      </w:r>
    </w:p>
    <w:p w14:paraId="12DE94B1" w14:textId="77777777" w:rsidR="00467A7F" w:rsidRPr="00533362" w:rsidRDefault="00467A7F" w:rsidP="00467A7F">
      <w:pPr>
        <w:pStyle w:val="Compact"/>
        <w:numPr>
          <w:ilvl w:val="0"/>
          <w:numId w:val="3"/>
        </w:numPr>
        <w:spacing w:line="276" w:lineRule="auto"/>
        <w:jc w:val="both"/>
        <w:rPr>
          <w:rFonts w:ascii="Calibri" w:hAnsi="Calibri" w:cs="Calibri"/>
          <w:sz w:val="22"/>
          <w:szCs w:val="22"/>
        </w:rPr>
      </w:pPr>
      <w:r w:rsidRPr="00533362">
        <w:rPr>
          <w:rFonts w:ascii="Calibri" w:hAnsi="Calibri" w:cs="Calibri"/>
          <w:sz w:val="22"/>
          <w:szCs w:val="22"/>
        </w:rPr>
        <w:t>Existing legal obligations, including those beyond the remit of TEQSA, do not provide a clear and enforceable baseline.</w:t>
      </w:r>
    </w:p>
    <w:p w14:paraId="7FFB0737" w14:textId="77777777" w:rsidR="00467A7F" w:rsidRPr="00B01BCE" w:rsidRDefault="00467A7F" w:rsidP="00467A7F">
      <w:pPr>
        <w:pStyle w:val="FirstParagraph"/>
        <w:spacing w:line="276" w:lineRule="auto"/>
        <w:jc w:val="both"/>
        <w:rPr>
          <w:rFonts w:ascii="Calibri" w:hAnsi="Calibri" w:cs="Calibri"/>
          <w:sz w:val="22"/>
          <w:szCs w:val="22"/>
        </w:rPr>
      </w:pPr>
    </w:p>
    <w:p w14:paraId="5C50BCAB" w14:textId="77777777" w:rsidR="00467A7F" w:rsidRPr="00533362" w:rsidRDefault="00467A7F" w:rsidP="00467A7F">
      <w:pPr>
        <w:pStyle w:val="FirstParagraph"/>
        <w:spacing w:line="276" w:lineRule="auto"/>
        <w:jc w:val="both"/>
        <w:rPr>
          <w:rFonts w:ascii="Calibri" w:hAnsi="Calibri" w:cs="Calibri"/>
          <w:sz w:val="22"/>
          <w:szCs w:val="22"/>
        </w:rPr>
      </w:pPr>
      <w:r w:rsidRPr="00B01BCE">
        <w:rPr>
          <w:rFonts w:ascii="Calibri" w:hAnsi="Calibri" w:cs="Calibri"/>
          <w:sz w:val="22"/>
          <w:szCs w:val="22"/>
        </w:rPr>
        <w:lastRenderedPageBreak/>
        <w:t xml:space="preserve">The following submission applies this overarching policy lens to each of the distinct consultation themes </w:t>
      </w:r>
      <w:r>
        <w:rPr>
          <w:rFonts w:ascii="Calibri" w:hAnsi="Calibri" w:cs="Calibri"/>
          <w:sz w:val="22"/>
          <w:szCs w:val="22"/>
        </w:rPr>
        <w:t xml:space="preserve">and </w:t>
      </w:r>
      <w:r w:rsidRPr="00533362">
        <w:rPr>
          <w:rFonts w:ascii="Calibri" w:hAnsi="Calibri" w:cs="Calibri"/>
          <w:sz w:val="22"/>
          <w:szCs w:val="22"/>
        </w:rPr>
        <w:t>responds to each consultation theme in turn</w:t>
      </w:r>
      <w:r w:rsidRPr="00B01BCE">
        <w:rPr>
          <w:rFonts w:ascii="Calibri" w:hAnsi="Calibri" w:cs="Calibri"/>
          <w:sz w:val="22"/>
          <w:szCs w:val="22"/>
        </w:rPr>
        <w:t xml:space="preserve">. </w:t>
      </w:r>
    </w:p>
    <w:p w14:paraId="2062D759" w14:textId="77777777" w:rsidR="00467A7F" w:rsidRPr="00AC2737" w:rsidRDefault="00467A7F" w:rsidP="00467A7F">
      <w:pPr>
        <w:pStyle w:val="Heading3"/>
        <w:spacing w:line="276" w:lineRule="auto"/>
        <w:jc w:val="both"/>
        <w:rPr>
          <w:rFonts w:ascii="Calibri" w:hAnsi="Calibri" w:cs="Calibri"/>
          <w:b/>
          <w:bCs/>
          <w:color w:val="auto"/>
          <w:sz w:val="22"/>
          <w:szCs w:val="22"/>
        </w:rPr>
      </w:pPr>
      <w:bookmarkStart w:id="4" w:name="X98a03aac21047b90167dab52dfdeb1285ec4784"/>
      <w:bookmarkEnd w:id="3"/>
      <w:r w:rsidRPr="00AC2737">
        <w:rPr>
          <w:rFonts w:ascii="Calibri" w:hAnsi="Calibri" w:cs="Calibri"/>
          <w:b/>
          <w:bCs/>
          <w:color w:val="auto"/>
          <w:sz w:val="22"/>
          <w:szCs w:val="22"/>
        </w:rPr>
        <w:t>2. Demonstrating a Commitment to Addressing Racism</w:t>
      </w:r>
    </w:p>
    <w:p w14:paraId="0AEC220A" w14:textId="77777777" w:rsidR="00467A7F" w:rsidRPr="00A145EE" w:rsidRDefault="00467A7F" w:rsidP="00467A7F">
      <w:pPr>
        <w:pStyle w:val="FirstParagraph"/>
        <w:spacing w:line="276" w:lineRule="auto"/>
        <w:ind w:left="720"/>
        <w:jc w:val="both"/>
        <w:rPr>
          <w:rFonts w:ascii="Calibri" w:hAnsi="Calibri" w:cs="Calibri"/>
          <w:i/>
          <w:iCs/>
          <w:sz w:val="22"/>
          <w:szCs w:val="22"/>
        </w:rPr>
      </w:pPr>
      <w:r w:rsidRPr="00A145EE">
        <w:rPr>
          <w:rFonts w:ascii="Calibri" w:hAnsi="Calibri" w:cs="Calibri"/>
          <w:i/>
          <w:iCs/>
          <w:sz w:val="22"/>
          <w:szCs w:val="22"/>
        </w:rPr>
        <w:t>Q1: What specific actions should providers be required to take to demonstrate an institution-wide commitment to addressing racism?</w:t>
      </w:r>
    </w:p>
    <w:p w14:paraId="1FE28FA9" w14:textId="77777777" w:rsidR="00467A7F" w:rsidRPr="00083F2F" w:rsidRDefault="00467A7F" w:rsidP="00467A7F">
      <w:pPr>
        <w:pStyle w:val="BodyText"/>
        <w:spacing w:line="276" w:lineRule="auto"/>
        <w:jc w:val="both"/>
        <w:rPr>
          <w:rFonts w:ascii="Calibri" w:hAnsi="Calibri" w:cs="Calibri"/>
          <w:sz w:val="22"/>
          <w:szCs w:val="22"/>
          <w:lang w:val="en-AU"/>
        </w:rPr>
      </w:pPr>
      <w:r w:rsidRPr="00083F2F">
        <w:rPr>
          <w:rFonts w:ascii="Calibri" w:hAnsi="Calibri" w:cs="Calibri"/>
          <w:sz w:val="22"/>
          <w:szCs w:val="22"/>
          <w:lang w:val="en-AU"/>
        </w:rPr>
        <w:t xml:space="preserve">UNE unequivocally recognises that racism is a pervasive societal challenge requiring sustained, coordinated action across all sectors, entirely consistent with the evidence documented in the </w:t>
      </w:r>
      <w:r w:rsidRPr="00083F2F">
        <w:rPr>
          <w:rFonts w:ascii="Calibri" w:hAnsi="Calibri" w:cs="Calibri"/>
          <w:i/>
          <w:iCs/>
          <w:sz w:val="22"/>
          <w:szCs w:val="22"/>
          <w:lang w:val="en-AU"/>
        </w:rPr>
        <w:t>Respect at Uni Study</w:t>
      </w:r>
      <w:r w:rsidRPr="00083F2F">
        <w:rPr>
          <w:rFonts w:ascii="Calibri" w:hAnsi="Calibri" w:cs="Calibri"/>
          <w:sz w:val="22"/>
          <w:szCs w:val="22"/>
          <w:lang w:val="en-AU"/>
        </w:rPr>
        <w:t xml:space="preserve">. In approaching regulatory design, it is vital to acknowledge the operational context: students and staff enter the higher education sector having navigated prior educational and social systems, frequently arriving with entrenched, pre-existing views and prejudices. </w:t>
      </w:r>
    </w:p>
    <w:p w14:paraId="51ADF872" w14:textId="77777777" w:rsidR="00467A7F" w:rsidRPr="00083F2F" w:rsidRDefault="00467A7F" w:rsidP="00467A7F">
      <w:pPr>
        <w:pStyle w:val="BodyText"/>
        <w:spacing w:line="276" w:lineRule="auto"/>
        <w:jc w:val="both"/>
        <w:rPr>
          <w:rFonts w:ascii="Calibri" w:hAnsi="Calibri" w:cs="Calibri"/>
          <w:sz w:val="22"/>
          <w:szCs w:val="22"/>
          <w:lang w:val="en-AU"/>
        </w:rPr>
      </w:pPr>
      <w:r w:rsidRPr="00083F2F">
        <w:rPr>
          <w:rFonts w:ascii="Calibri" w:hAnsi="Calibri" w:cs="Calibri"/>
          <w:sz w:val="22"/>
          <w:szCs w:val="22"/>
          <w:lang w:val="en-AU"/>
        </w:rPr>
        <w:t>Acknowledging this reality does not diminish the sector’s obligations; rather, it sharply defines the institutional challenge. Providers must actively architect policies, assurance systems, and institutional cultures capable of intercepting, challenging, and dismantling systemic prejudice within their environments. Crucially, the manifestation of these systemic issues—and the targeted interventions required to address them effectively—will differ greatly between providers. A provider's geographical location, alongside the specific demographic make-up of its student cohort and staff profile, distinctly shapes its operational risk and the requisite cultural response.</w:t>
      </w:r>
    </w:p>
    <w:p w14:paraId="1A211425" w14:textId="77777777" w:rsidR="00467A7F" w:rsidRPr="00083F2F" w:rsidRDefault="00467A7F" w:rsidP="00467A7F">
      <w:pPr>
        <w:pStyle w:val="BodyText"/>
        <w:spacing w:line="276" w:lineRule="auto"/>
        <w:jc w:val="both"/>
        <w:rPr>
          <w:rFonts w:ascii="Calibri" w:hAnsi="Calibri" w:cs="Calibri"/>
          <w:sz w:val="22"/>
          <w:szCs w:val="22"/>
          <w:lang w:val="en-AU"/>
        </w:rPr>
      </w:pPr>
      <w:r>
        <w:rPr>
          <w:rFonts w:ascii="Calibri" w:hAnsi="Calibri" w:cs="Calibri"/>
          <w:sz w:val="22"/>
          <w:szCs w:val="22"/>
          <w:lang w:val="en-AU"/>
        </w:rPr>
        <w:t>M</w:t>
      </w:r>
      <w:r w:rsidRPr="00083F2F">
        <w:rPr>
          <w:rFonts w:ascii="Calibri" w:hAnsi="Calibri" w:cs="Calibri"/>
          <w:sz w:val="22"/>
          <w:szCs w:val="22"/>
          <w:lang w:val="en-AU"/>
        </w:rPr>
        <w:t>itigating this risk requires profound, contextualised systemic capability rather than superficial, one-size-fits-all compliance</w:t>
      </w:r>
      <w:r>
        <w:rPr>
          <w:rFonts w:ascii="Calibri" w:hAnsi="Calibri" w:cs="Calibri"/>
          <w:sz w:val="22"/>
          <w:szCs w:val="22"/>
          <w:lang w:val="en-AU"/>
        </w:rPr>
        <w:t>.  Thus, UNE</w:t>
      </w:r>
      <w:r w:rsidRPr="00083F2F">
        <w:rPr>
          <w:rFonts w:ascii="Calibri" w:hAnsi="Calibri" w:cs="Calibri"/>
          <w:sz w:val="22"/>
          <w:szCs w:val="22"/>
          <w:lang w:val="en-AU"/>
        </w:rPr>
        <w:t xml:space="preserve"> recommend</w:t>
      </w:r>
      <w:r>
        <w:rPr>
          <w:rFonts w:ascii="Calibri" w:hAnsi="Calibri" w:cs="Calibri"/>
          <w:sz w:val="22"/>
          <w:szCs w:val="22"/>
          <w:lang w:val="en-AU"/>
        </w:rPr>
        <w:t>s</w:t>
      </w:r>
      <w:r w:rsidRPr="00083F2F">
        <w:rPr>
          <w:rFonts w:ascii="Calibri" w:hAnsi="Calibri" w:cs="Calibri"/>
          <w:sz w:val="22"/>
          <w:szCs w:val="22"/>
          <w:lang w:val="en-AU"/>
        </w:rPr>
        <w:t xml:space="preserve"> targeted amendments to existing standards rather than the introduction of a standalone</w:t>
      </w:r>
      <w:r>
        <w:rPr>
          <w:rFonts w:ascii="Calibri" w:hAnsi="Calibri" w:cs="Calibri"/>
          <w:sz w:val="22"/>
          <w:szCs w:val="22"/>
          <w:lang w:val="en-AU"/>
        </w:rPr>
        <w:t xml:space="preserve"> </w:t>
      </w:r>
      <w:r w:rsidRPr="00083F2F">
        <w:rPr>
          <w:rFonts w:ascii="Calibri" w:hAnsi="Calibri" w:cs="Calibri"/>
          <w:sz w:val="22"/>
          <w:szCs w:val="22"/>
          <w:lang w:val="en-AU"/>
        </w:rPr>
        <w:t>anti-racism standard:</w:t>
      </w:r>
    </w:p>
    <w:p w14:paraId="020E840C"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Standard 6.1.4 could be strengthened to require governing bodies to develop and maintain an institutional environment that anticipates, prevents, and responds to racism and related prejudice.</w:t>
      </w:r>
    </w:p>
    <w:p w14:paraId="01EC611B"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Standard 2.3.4 could be amended to explicitly reference racism and prejudice as risks to the safety of the learning environment.</w:t>
      </w:r>
    </w:p>
    <w:p w14:paraId="64560ABF" w14:textId="77777777" w:rsidR="00467A7F"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Requirements relating to complaints and grievance mechanisms should be strengthened to ensure accessibility, transparency, and responsiveness in relation to racism-related complaints, consistent with TEQSA's existing SRE on student grievance and complaint mechanisms.</w:t>
      </w:r>
    </w:p>
    <w:p w14:paraId="53E72C3B" w14:textId="77777777" w:rsidR="00467A7F" w:rsidRPr="00083F2F" w:rsidRDefault="00467A7F" w:rsidP="00467A7F">
      <w:pPr>
        <w:pStyle w:val="ListParagraph"/>
        <w:numPr>
          <w:ilvl w:val="0"/>
          <w:numId w:val="1"/>
        </w:numPr>
        <w:spacing w:after="0" w:line="276" w:lineRule="auto"/>
        <w:jc w:val="both"/>
        <w:rPr>
          <w:rFonts w:ascii="Calibri" w:hAnsi="Calibri" w:cs="Calibri"/>
          <w:sz w:val="22"/>
          <w:szCs w:val="22"/>
        </w:rPr>
      </w:pPr>
      <w:r w:rsidRPr="00083F2F">
        <w:rPr>
          <w:rFonts w:ascii="Calibri" w:hAnsi="Calibri" w:cs="Calibri"/>
          <w:sz w:val="22"/>
          <w:szCs w:val="22"/>
        </w:rPr>
        <w:t xml:space="preserve">Crucially, prescriptive operational expectations are most appropriately addressed through TEQSA's agile layer of risk-based instruments. This allows requirements to be differentiated by provider category and updated as evidence and practice develop, without forcing continuous amendment to the legislative baseline. </w:t>
      </w:r>
    </w:p>
    <w:p w14:paraId="6698A661" w14:textId="77777777" w:rsidR="00467A7F" w:rsidRPr="00533362" w:rsidRDefault="00467A7F" w:rsidP="00467A7F">
      <w:pPr>
        <w:pStyle w:val="FirstParagraph"/>
        <w:spacing w:line="276" w:lineRule="auto"/>
        <w:jc w:val="both"/>
        <w:rPr>
          <w:rFonts w:ascii="Calibri" w:hAnsi="Calibri" w:cs="Calibri"/>
          <w:sz w:val="22"/>
          <w:szCs w:val="22"/>
        </w:rPr>
      </w:pPr>
      <w:r w:rsidRPr="00533362">
        <w:rPr>
          <w:rFonts w:ascii="Calibri" w:hAnsi="Calibri" w:cs="Calibri"/>
          <w:sz w:val="22"/>
          <w:szCs w:val="22"/>
        </w:rPr>
        <w:t>Operational expectations including training, workforce diversity, curriculum review, and monitoring, are appropriately addressed through TEQSA's risk-based instruments, where they can be differentiated by provider category and updated as evidence and practice develop.</w:t>
      </w:r>
    </w:p>
    <w:p w14:paraId="0933B401" w14:textId="77777777" w:rsidR="00467A7F" w:rsidRPr="00A145EE" w:rsidRDefault="00467A7F" w:rsidP="00467A7F">
      <w:pPr>
        <w:pStyle w:val="FirstParagraph"/>
        <w:spacing w:line="276" w:lineRule="auto"/>
        <w:ind w:firstLine="240"/>
        <w:jc w:val="both"/>
        <w:rPr>
          <w:rFonts w:ascii="Calibri" w:hAnsi="Calibri" w:cs="Calibri"/>
          <w:i/>
          <w:iCs/>
          <w:sz w:val="22"/>
          <w:szCs w:val="22"/>
        </w:rPr>
      </w:pPr>
      <w:r w:rsidRPr="00A145EE">
        <w:rPr>
          <w:rFonts w:ascii="Calibri" w:hAnsi="Calibri" w:cs="Calibri"/>
          <w:i/>
          <w:iCs/>
          <w:sz w:val="22"/>
          <w:szCs w:val="22"/>
        </w:rPr>
        <w:lastRenderedPageBreak/>
        <w:t>Q2: What targeted guidance would most effectively support providers?</w:t>
      </w:r>
    </w:p>
    <w:p w14:paraId="1F8D38E5"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TEQSA guidance should set out maturity expectations for institutional anti-racism capability, calibrated to provider category and risk profile, and informed by the findings of the Respect at Uni Study. Guidance issued through the RQF or as an SRE provides the necessary specificity while allowing for periodic revision without legislative instrument amendment.</w:t>
      </w:r>
    </w:p>
    <w:p w14:paraId="07CC7B51" w14:textId="77777777" w:rsidR="00467A7F" w:rsidRPr="00A145EE" w:rsidRDefault="00467A7F" w:rsidP="00467A7F">
      <w:pPr>
        <w:pStyle w:val="FirstParagraph"/>
        <w:spacing w:line="276" w:lineRule="auto"/>
        <w:ind w:firstLine="240"/>
        <w:jc w:val="both"/>
        <w:rPr>
          <w:rFonts w:ascii="Calibri" w:hAnsi="Calibri" w:cs="Calibri"/>
          <w:i/>
          <w:iCs/>
          <w:sz w:val="22"/>
          <w:szCs w:val="22"/>
        </w:rPr>
      </w:pPr>
      <w:r w:rsidRPr="00A145EE">
        <w:rPr>
          <w:rFonts w:ascii="Calibri" w:hAnsi="Calibri" w:cs="Calibri"/>
          <w:i/>
          <w:iCs/>
          <w:sz w:val="22"/>
          <w:szCs w:val="22"/>
        </w:rPr>
        <w:t xml:space="preserve">Q3: Benefits and limitations of explicit anti-racism standards compared with existing </w:t>
      </w:r>
      <w:proofErr w:type="gramStart"/>
      <w:r w:rsidRPr="00A145EE">
        <w:rPr>
          <w:rFonts w:ascii="Calibri" w:hAnsi="Calibri" w:cs="Calibri"/>
          <w:i/>
          <w:iCs/>
          <w:sz w:val="22"/>
          <w:szCs w:val="22"/>
        </w:rPr>
        <w:t>provisions?</w:t>
      </w:r>
      <w:proofErr w:type="gramEnd"/>
    </w:p>
    <w:p w14:paraId="4AA388E6"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 xml:space="preserve">Targeted amendments to existing standards provide a clear regulatory signal and strengthen TEQSA's monitoring capacity. A standalone anti-racism standard would risk duplicating obligations under the </w:t>
      </w:r>
      <w:r w:rsidRPr="00533362">
        <w:rPr>
          <w:rFonts w:ascii="Calibri" w:hAnsi="Calibri" w:cs="Calibri"/>
          <w:i/>
          <w:iCs/>
          <w:sz w:val="22"/>
          <w:szCs w:val="22"/>
        </w:rPr>
        <w:t>Racial Discrimination Act 1975</w:t>
      </w:r>
      <w:r w:rsidRPr="00533362">
        <w:rPr>
          <w:rFonts w:ascii="Calibri" w:hAnsi="Calibri" w:cs="Calibri"/>
          <w:sz w:val="22"/>
          <w:szCs w:val="22"/>
        </w:rPr>
        <w:t>, state and territory anti-discrimination legislation, and work health and safety psychosocial duties. It would also risk encouraging a compliance-oriented approach rather than sustained institutional culture change and would establish a precedent for issue-specific standards that may fragment the HESF's principles-based architecture over time.</w:t>
      </w:r>
    </w:p>
    <w:p w14:paraId="7EC7BB6A" w14:textId="77777777" w:rsidR="00467A7F" w:rsidRPr="00AC2737" w:rsidRDefault="00467A7F" w:rsidP="00467A7F">
      <w:pPr>
        <w:pStyle w:val="Heading3"/>
        <w:spacing w:line="276" w:lineRule="auto"/>
        <w:jc w:val="both"/>
        <w:rPr>
          <w:rFonts w:ascii="Calibri" w:hAnsi="Calibri" w:cs="Calibri"/>
          <w:b/>
          <w:bCs/>
          <w:color w:val="auto"/>
          <w:sz w:val="22"/>
          <w:szCs w:val="22"/>
        </w:rPr>
      </w:pPr>
      <w:bookmarkStart w:id="5" w:name="Xd7924d075555e738692404573fa7c14cd43511a"/>
      <w:bookmarkEnd w:id="4"/>
      <w:r w:rsidRPr="00AC2737">
        <w:rPr>
          <w:rFonts w:ascii="Calibri" w:hAnsi="Calibri" w:cs="Calibri"/>
          <w:b/>
          <w:bCs/>
          <w:color w:val="auto"/>
          <w:sz w:val="22"/>
          <w:szCs w:val="22"/>
        </w:rPr>
        <w:t>3. Incorporating the Governance Principles and Transparency Requirements</w:t>
      </w:r>
    </w:p>
    <w:p w14:paraId="4F6DC5DF" w14:textId="77777777" w:rsidR="00467A7F" w:rsidRPr="00A145EE" w:rsidRDefault="00467A7F" w:rsidP="00467A7F">
      <w:pPr>
        <w:pStyle w:val="FirstParagraph"/>
        <w:spacing w:line="276" w:lineRule="auto"/>
        <w:ind w:firstLine="240"/>
        <w:jc w:val="both"/>
        <w:rPr>
          <w:rFonts w:ascii="Calibri" w:hAnsi="Calibri" w:cs="Calibri"/>
          <w:i/>
          <w:iCs/>
          <w:sz w:val="22"/>
          <w:szCs w:val="22"/>
        </w:rPr>
      </w:pPr>
      <w:r w:rsidRPr="00A145EE">
        <w:rPr>
          <w:rFonts w:ascii="Calibri" w:hAnsi="Calibri" w:cs="Calibri"/>
          <w:i/>
          <w:iCs/>
          <w:sz w:val="22"/>
          <w:szCs w:val="22"/>
        </w:rPr>
        <w:t>Q4: Advantages and risks of a Part C applying only to public universities?</w:t>
      </w:r>
    </w:p>
    <w:p w14:paraId="414CD94C"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UNE holds significant concerns regarding the proposed Part C</w:t>
      </w:r>
      <w:r>
        <w:rPr>
          <w:rFonts w:ascii="Calibri" w:hAnsi="Calibri" w:cs="Calibri"/>
          <w:sz w:val="22"/>
          <w:szCs w:val="22"/>
        </w:rPr>
        <w:t>, specifically that this creates r</w:t>
      </w:r>
      <w:r w:rsidRPr="00533362">
        <w:rPr>
          <w:rFonts w:ascii="Calibri" w:hAnsi="Calibri" w:cs="Calibri"/>
          <w:sz w:val="22"/>
          <w:szCs w:val="22"/>
        </w:rPr>
        <w:t xml:space="preserve">egulatory </w:t>
      </w:r>
      <w:r>
        <w:rPr>
          <w:rFonts w:ascii="Calibri" w:hAnsi="Calibri" w:cs="Calibri"/>
          <w:sz w:val="22"/>
          <w:szCs w:val="22"/>
        </w:rPr>
        <w:t>in</w:t>
      </w:r>
      <w:r w:rsidRPr="00533362">
        <w:rPr>
          <w:rFonts w:ascii="Calibri" w:hAnsi="Calibri" w:cs="Calibri"/>
          <w:sz w:val="22"/>
          <w:szCs w:val="22"/>
        </w:rPr>
        <w:t xml:space="preserve">coherence. </w:t>
      </w:r>
      <w:proofErr w:type="gramStart"/>
      <w:r w:rsidRPr="00533362">
        <w:rPr>
          <w:rFonts w:ascii="Calibri" w:hAnsi="Calibri" w:cs="Calibri"/>
          <w:sz w:val="22"/>
          <w:szCs w:val="22"/>
        </w:rPr>
        <w:t>The HESF's</w:t>
      </w:r>
      <w:proofErr w:type="gramEnd"/>
      <w:r w:rsidRPr="00533362">
        <w:rPr>
          <w:rFonts w:ascii="Calibri" w:hAnsi="Calibri" w:cs="Calibri"/>
          <w:sz w:val="22"/>
          <w:szCs w:val="22"/>
        </w:rPr>
        <w:t xml:space="preserve"> current structure applies </w:t>
      </w:r>
      <w:proofErr w:type="gramStart"/>
      <w:r w:rsidRPr="00533362">
        <w:rPr>
          <w:rFonts w:ascii="Calibri" w:hAnsi="Calibri" w:cs="Calibri"/>
          <w:sz w:val="22"/>
          <w:szCs w:val="22"/>
        </w:rPr>
        <w:t>Part</w:t>
      </w:r>
      <w:proofErr w:type="gramEnd"/>
      <w:r w:rsidRPr="00533362">
        <w:rPr>
          <w:rFonts w:ascii="Calibri" w:hAnsi="Calibri" w:cs="Calibri"/>
          <w:sz w:val="22"/>
          <w:szCs w:val="22"/>
        </w:rPr>
        <w:t xml:space="preserve"> A universally and differentiates in Part B by provider category. A Part C </w:t>
      </w:r>
      <w:proofErr w:type="gramStart"/>
      <w:r w:rsidRPr="00533362">
        <w:rPr>
          <w:rFonts w:ascii="Calibri" w:hAnsi="Calibri" w:cs="Calibri"/>
          <w:sz w:val="22"/>
          <w:szCs w:val="22"/>
        </w:rPr>
        <w:t>applying</w:t>
      </w:r>
      <w:proofErr w:type="gramEnd"/>
      <w:r w:rsidRPr="00533362">
        <w:rPr>
          <w:rFonts w:ascii="Calibri" w:hAnsi="Calibri" w:cs="Calibri"/>
          <w:sz w:val="22"/>
          <w:szCs w:val="22"/>
        </w:rPr>
        <w:t xml:space="preserve"> to a subset of one provider category (Table A universities) introduces a third regulatory layer that is neither universal nor category-based, creating architectural inconsistency and a precedent for further fragmentation.</w:t>
      </w:r>
    </w:p>
    <w:p w14:paraId="3C3917EB" w14:textId="77777777" w:rsidR="00467A7F" w:rsidRPr="00533362" w:rsidRDefault="00467A7F" w:rsidP="00467A7F">
      <w:pPr>
        <w:pStyle w:val="Compact"/>
        <w:spacing w:line="276" w:lineRule="auto"/>
        <w:jc w:val="both"/>
        <w:rPr>
          <w:rFonts w:ascii="Calibri" w:hAnsi="Calibri" w:cs="Calibri"/>
          <w:sz w:val="22"/>
          <w:szCs w:val="22"/>
        </w:rPr>
      </w:pPr>
      <w:r>
        <w:rPr>
          <w:rFonts w:ascii="Calibri" w:hAnsi="Calibri" w:cs="Calibri"/>
          <w:sz w:val="22"/>
          <w:szCs w:val="22"/>
        </w:rPr>
        <w:t xml:space="preserve">Further, the proposal </w:t>
      </w:r>
      <w:proofErr w:type="gramStart"/>
      <w:r>
        <w:rPr>
          <w:rFonts w:ascii="Calibri" w:hAnsi="Calibri" w:cs="Calibri"/>
          <w:sz w:val="22"/>
          <w:szCs w:val="22"/>
        </w:rPr>
        <w:t>of</w:t>
      </w:r>
      <w:proofErr w:type="gramEnd"/>
      <w:r>
        <w:rPr>
          <w:rFonts w:ascii="Calibri" w:hAnsi="Calibri" w:cs="Calibri"/>
          <w:sz w:val="22"/>
          <w:szCs w:val="22"/>
        </w:rPr>
        <w:t xml:space="preserve"> Part C does not appear consistent</w:t>
      </w:r>
      <w:r w:rsidRPr="00533362">
        <w:rPr>
          <w:rFonts w:ascii="Calibri" w:hAnsi="Calibri" w:cs="Calibri"/>
          <w:sz w:val="22"/>
          <w:szCs w:val="22"/>
        </w:rPr>
        <w:t xml:space="preserve"> with the Expert Council's recommendations. The Expert Council recommended the </w:t>
      </w:r>
      <w:proofErr w:type="gramStart"/>
      <w:r>
        <w:rPr>
          <w:rFonts w:ascii="Calibri" w:hAnsi="Calibri" w:cs="Calibri"/>
          <w:sz w:val="22"/>
          <w:szCs w:val="22"/>
        </w:rPr>
        <w:t>P</w:t>
      </w:r>
      <w:r w:rsidRPr="00533362">
        <w:rPr>
          <w:rFonts w:ascii="Calibri" w:hAnsi="Calibri" w:cs="Calibri"/>
          <w:sz w:val="22"/>
          <w:szCs w:val="22"/>
        </w:rPr>
        <w:t>rinciples</w:t>
      </w:r>
      <w:proofErr w:type="gramEnd"/>
      <w:r w:rsidRPr="00533362">
        <w:rPr>
          <w:rFonts w:ascii="Calibri" w:hAnsi="Calibri" w:cs="Calibri"/>
          <w:sz w:val="22"/>
          <w:szCs w:val="22"/>
        </w:rPr>
        <w:t xml:space="preserve"> operate on an 'if not, why not' basis, with each governing body determining contextual application. Incorporating the Principles as mandatory standards is inconsistent with this approach and removes the flexibility the Expert Council intended.</w:t>
      </w:r>
      <w:r>
        <w:rPr>
          <w:rFonts w:ascii="Calibri" w:hAnsi="Calibri" w:cs="Calibri"/>
          <w:sz w:val="22"/>
          <w:szCs w:val="22"/>
        </w:rPr>
        <w:t xml:space="preserve"> There is also risk of duplication.</w:t>
      </w:r>
      <w:r w:rsidRPr="00533362">
        <w:rPr>
          <w:rFonts w:ascii="Calibri" w:hAnsi="Calibri" w:cs="Calibri"/>
          <w:sz w:val="22"/>
          <w:szCs w:val="22"/>
        </w:rPr>
        <w:t xml:space="preserve"> </w:t>
      </w:r>
      <w:r>
        <w:rPr>
          <w:rFonts w:ascii="Calibri" w:hAnsi="Calibri" w:cs="Calibri"/>
          <w:sz w:val="22"/>
          <w:szCs w:val="22"/>
        </w:rPr>
        <w:t xml:space="preserve">Several </w:t>
      </w:r>
      <w:r w:rsidRPr="00533362">
        <w:rPr>
          <w:rFonts w:ascii="Calibri" w:hAnsi="Calibri" w:cs="Calibri"/>
          <w:sz w:val="22"/>
          <w:szCs w:val="22"/>
        </w:rPr>
        <w:t xml:space="preserve">the Principles' themes — accountability, transparency, risk management, ethical conduct — are already addressed in Part A, Domain 6. </w:t>
      </w:r>
      <w:proofErr w:type="gramStart"/>
      <w:r w:rsidRPr="00533362">
        <w:rPr>
          <w:rFonts w:ascii="Calibri" w:hAnsi="Calibri" w:cs="Calibri"/>
          <w:sz w:val="22"/>
          <w:szCs w:val="22"/>
        </w:rPr>
        <w:t>A Part</w:t>
      </w:r>
      <w:proofErr w:type="gramEnd"/>
      <w:r w:rsidRPr="00533362">
        <w:rPr>
          <w:rFonts w:ascii="Calibri" w:hAnsi="Calibri" w:cs="Calibri"/>
          <w:sz w:val="22"/>
          <w:szCs w:val="22"/>
        </w:rPr>
        <w:t xml:space="preserve"> C risks creating overlapping or inconsistent requirements.</w:t>
      </w:r>
    </w:p>
    <w:p w14:paraId="75576E01" w14:textId="77777777" w:rsidR="00467A7F" w:rsidRPr="00533362" w:rsidRDefault="00467A7F" w:rsidP="00467A7F">
      <w:pPr>
        <w:pStyle w:val="FirstParagraph"/>
        <w:spacing w:line="276" w:lineRule="auto"/>
        <w:jc w:val="both"/>
        <w:rPr>
          <w:rFonts w:ascii="Calibri" w:hAnsi="Calibri" w:cs="Calibri"/>
          <w:sz w:val="22"/>
          <w:szCs w:val="22"/>
        </w:rPr>
      </w:pPr>
      <w:r w:rsidRPr="00533362">
        <w:rPr>
          <w:rFonts w:ascii="Calibri" w:hAnsi="Calibri" w:cs="Calibri"/>
          <w:sz w:val="22"/>
          <w:szCs w:val="22"/>
        </w:rPr>
        <w:t xml:space="preserve">UNE recommends the </w:t>
      </w:r>
      <w:proofErr w:type="gramStart"/>
      <w:r w:rsidRPr="00533362">
        <w:rPr>
          <w:rFonts w:ascii="Calibri" w:hAnsi="Calibri" w:cs="Calibri"/>
          <w:sz w:val="22"/>
          <w:szCs w:val="22"/>
        </w:rPr>
        <w:t>Principles</w:t>
      </w:r>
      <w:proofErr w:type="gramEnd"/>
      <w:r w:rsidRPr="00533362">
        <w:rPr>
          <w:rFonts w:ascii="Calibri" w:hAnsi="Calibri" w:cs="Calibri"/>
          <w:sz w:val="22"/>
          <w:szCs w:val="22"/>
        </w:rPr>
        <w:t xml:space="preserve"> be implemented through TEQSA guidance and the RQF on an 'if not, why not' basis, consistent with the Expert Council's intent. The additional transparency requirements announced by the Minister can be implemented through an SRE or condition of registration for Australian Universities without amendment to the HESF.</w:t>
      </w:r>
    </w:p>
    <w:p w14:paraId="36242230" w14:textId="77777777" w:rsidR="00467A7F" w:rsidRPr="00A145EE" w:rsidRDefault="00467A7F" w:rsidP="00467A7F">
      <w:pPr>
        <w:pStyle w:val="FirstParagraph"/>
        <w:spacing w:line="276" w:lineRule="auto"/>
        <w:ind w:left="240"/>
        <w:jc w:val="both"/>
        <w:rPr>
          <w:rFonts w:ascii="Calibri" w:hAnsi="Calibri" w:cs="Calibri"/>
          <w:i/>
          <w:iCs/>
          <w:sz w:val="22"/>
          <w:szCs w:val="22"/>
        </w:rPr>
      </w:pPr>
      <w:r w:rsidRPr="00A145EE">
        <w:rPr>
          <w:rFonts w:ascii="Calibri" w:hAnsi="Calibri" w:cs="Calibri"/>
          <w:i/>
          <w:iCs/>
          <w:sz w:val="22"/>
          <w:szCs w:val="22"/>
        </w:rPr>
        <w:t>Q5: How might strengthened standards on academic oversight, staffing, and teaching quality affect student outcomes?</w:t>
      </w:r>
    </w:p>
    <w:p w14:paraId="23404ECD"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 xml:space="preserve">UNE supports the expectation that providers demonstrate effective academic oversight and maintain staffing profiles sufficient to deliver high-quality learning outcomes. Amendments in this area should require governance capability and outcomes rather than prescribe specific structures or processes. </w:t>
      </w:r>
      <w:r w:rsidRPr="00533362">
        <w:rPr>
          <w:rFonts w:ascii="Calibri" w:hAnsi="Calibri" w:cs="Calibri"/>
          <w:sz w:val="22"/>
          <w:szCs w:val="22"/>
        </w:rPr>
        <w:lastRenderedPageBreak/>
        <w:t xml:space="preserve">This is particularly important for providers with diverse delivery models. UNE delivers predominantly </w:t>
      </w:r>
      <w:proofErr w:type="gramStart"/>
      <w:r>
        <w:rPr>
          <w:rFonts w:ascii="Calibri" w:hAnsi="Calibri" w:cs="Calibri"/>
          <w:sz w:val="22"/>
          <w:szCs w:val="22"/>
        </w:rPr>
        <w:t>at distance</w:t>
      </w:r>
      <w:r w:rsidRPr="00533362">
        <w:rPr>
          <w:rFonts w:ascii="Calibri" w:hAnsi="Calibri" w:cs="Calibri"/>
          <w:sz w:val="22"/>
          <w:szCs w:val="22"/>
        </w:rPr>
        <w:t xml:space="preserve"> to</w:t>
      </w:r>
      <w:proofErr w:type="gramEnd"/>
      <w:r w:rsidRPr="00533362">
        <w:rPr>
          <w:rFonts w:ascii="Calibri" w:hAnsi="Calibri" w:cs="Calibri"/>
          <w:sz w:val="22"/>
          <w:szCs w:val="22"/>
        </w:rPr>
        <w:t xml:space="preserve"> a mature-age, working student cohort, and its academic governance arrangements are designed accordingly. The HESF should set the expectation that academic governance is effective, while preserving institutional flexibility in how that expectation is met.</w:t>
      </w:r>
    </w:p>
    <w:p w14:paraId="751BCD42" w14:textId="77777777" w:rsidR="00467A7F" w:rsidRPr="00AC2737" w:rsidRDefault="00467A7F" w:rsidP="00467A7F">
      <w:pPr>
        <w:pStyle w:val="Heading3"/>
        <w:spacing w:line="276" w:lineRule="auto"/>
        <w:jc w:val="both"/>
        <w:rPr>
          <w:rFonts w:ascii="Calibri" w:hAnsi="Calibri" w:cs="Calibri"/>
          <w:b/>
          <w:bCs/>
          <w:sz w:val="22"/>
          <w:szCs w:val="22"/>
        </w:rPr>
      </w:pPr>
      <w:bookmarkStart w:id="6" w:name="supporting-people-with-disability"/>
      <w:bookmarkEnd w:id="5"/>
      <w:r w:rsidRPr="00AC2737">
        <w:rPr>
          <w:rFonts w:ascii="Calibri" w:hAnsi="Calibri" w:cs="Calibri"/>
          <w:b/>
          <w:bCs/>
          <w:color w:val="auto"/>
          <w:sz w:val="22"/>
          <w:szCs w:val="22"/>
        </w:rPr>
        <w:t>4. Supporting People with Disability</w:t>
      </w:r>
    </w:p>
    <w:p w14:paraId="469E656C" w14:textId="77777777" w:rsidR="00467A7F" w:rsidRPr="00A145EE" w:rsidRDefault="00467A7F" w:rsidP="00467A7F">
      <w:pPr>
        <w:pStyle w:val="FirstParagraph"/>
        <w:spacing w:line="276" w:lineRule="auto"/>
        <w:ind w:firstLine="240"/>
        <w:jc w:val="both"/>
        <w:rPr>
          <w:rFonts w:ascii="Calibri" w:hAnsi="Calibri" w:cs="Calibri"/>
          <w:i/>
          <w:iCs/>
          <w:sz w:val="22"/>
          <w:szCs w:val="22"/>
        </w:rPr>
      </w:pPr>
      <w:r w:rsidRPr="00A145EE">
        <w:rPr>
          <w:rFonts w:ascii="Calibri" w:hAnsi="Calibri" w:cs="Calibri"/>
          <w:i/>
          <w:iCs/>
          <w:sz w:val="22"/>
          <w:szCs w:val="22"/>
        </w:rPr>
        <w:t>Q6: To what extent would the proposed themes drive a more inclusive system and improved outcomes?</w:t>
      </w:r>
    </w:p>
    <w:p w14:paraId="45A5B13B"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UNE supports the direction of the proposed themes and offers the following observations:</w:t>
      </w:r>
    </w:p>
    <w:p w14:paraId="008D0BD7"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Terminology. UNE supports the removal of outdated language, including 'special needs', and the clarification of references to identified groups. This amendment is appropriate and overdue.</w:t>
      </w:r>
    </w:p>
    <w:p w14:paraId="3E0BDDB2"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 xml:space="preserve">Inclusion. UNE supports strengthening Standard 6.1.4 to require governing bodies to foster institutional environments that support inclusion for students and staff with disability, and to ensure meaningful consultation and participation in institutional planning. Requirements should focus on inclusive outcomes rather than prescribing specific governance structures, </w:t>
      </w:r>
      <w:proofErr w:type="spellStart"/>
      <w:r w:rsidRPr="00533362">
        <w:rPr>
          <w:rFonts w:ascii="Calibri" w:hAnsi="Calibri" w:cs="Calibri"/>
          <w:sz w:val="22"/>
          <w:szCs w:val="22"/>
        </w:rPr>
        <w:t>recognising</w:t>
      </w:r>
      <w:proofErr w:type="spellEnd"/>
      <w:r w:rsidRPr="00533362">
        <w:rPr>
          <w:rFonts w:ascii="Calibri" w:hAnsi="Calibri" w:cs="Calibri"/>
          <w:sz w:val="22"/>
          <w:szCs w:val="22"/>
        </w:rPr>
        <w:t xml:space="preserve"> that effective approaches will vary across provider types and delivery models.</w:t>
      </w:r>
    </w:p>
    <w:p w14:paraId="6844BE0B"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Universal design. UNE strongly supports the embedding of universal design principles, particularly in course design and delivery (Domain 3) and learning environments (Domain 2). Requirements should be expressed as principles rather than prescriptive technical standards, to ensure they remain relevant as technology and pedagogy evolve.</w:t>
      </w:r>
    </w:p>
    <w:p w14:paraId="303BA322"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Inherent requirements. UNE supports clearer expectations regarding the identification, communication, and review of inherent requirements, informed by universal design principles. The HESF should allow providers to exercise professional judgment in applying inherent requirements to individual circumstances, given the complexity of the relationship between inherent requirements and reasonable adjustments.</w:t>
      </w:r>
    </w:p>
    <w:p w14:paraId="7AEE21D8" w14:textId="77777777" w:rsidR="00467A7F" w:rsidRPr="00A145EE" w:rsidRDefault="00467A7F" w:rsidP="00467A7F">
      <w:pPr>
        <w:pStyle w:val="FirstParagraph"/>
        <w:spacing w:line="276" w:lineRule="auto"/>
        <w:ind w:firstLine="240"/>
        <w:jc w:val="both"/>
        <w:rPr>
          <w:rFonts w:ascii="Calibri" w:hAnsi="Calibri" w:cs="Calibri"/>
          <w:i/>
          <w:iCs/>
          <w:sz w:val="22"/>
          <w:szCs w:val="22"/>
        </w:rPr>
      </w:pPr>
      <w:r w:rsidRPr="00A145EE">
        <w:rPr>
          <w:rFonts w:ascii="Calibri" w:hAnsi="Calibri" w:cs="Calibri"/>
          <w:i/>
          <w:iCs/>
          <w:sz w:val="22"/>
          <w:szCs w:val="22"/>
        </w:rPr>
        <w:t>Q7: To what extent would the proposed themes promote accountability and better governance?</w:t>
      </w:r>
    </w:p>
    <w:p w14:paraId="1C955B26"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The proposed themes have the potential to strengthen accountability and governance, provided they are implemented in a manner that is outcomes-focused, proportionate to provider size and delivery model, and complementary to existing legal obligations.</w:t>
      </w:r>
    </w:p>
    <w:p w14:paraId="28D68810"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UNE draws the Panel's attention to two matters:</w:t>
      </w:r>
    </w:p>
    <w:p w14:paraId="492E9DB0" w14:textId="77777777" w:rsidR="00467A7F" w:rsidRPr="00533362" w:rsidRDefault="00467A7F" w:rsidP="00467A7F">
      <w:pPr>
        <w:pStyle w:val="Compact"/>
        <w:numPr>
          <w:ilvl w:val="0"/>
          <w:numId w:val="2"/>
        </w:numPr>
        <w:spacing w:line="276" w:lineRule="auto"/>
        <w:jc w:val="both"/>
        <w:rPr>
          <w:rFonts w:ascii="Calibri" w:hAnsi="Calibri" w:cs="Calibri"/>
          <w:sz w:val="22"/>
          <w:szCs w:val="22"/>
        </w:rPr>
      </w:pPr>
      <w:r w:rsidRPr="00533362">
        <w:rPr>
          <w:rFonts w:ascii="Calibri" w:hAnsi="Calibri" w:cs="Calibri"/>
          <w:sz w:val="22"/>
          <w:szCs w:val="22"/>
        </w:rPr>
        <w:t xml:space="preserve">Regulatory sequencing. Both the </w:t>
      </w:r>
      <w:r w:rsidRPr="00533362">
        <w:rPr>
          <w:rFonts w:ascii="Calibri" w:hAnsi="Calibri" w:cs="Calibri"/>
          <w:i/>
          <w:iCs/>
          <w:sz w:val="22"/>
          <w:szCs w:val="22"/>
        </w:rPr>
        <w:t>Disability Discrimination Act 1992</w:t>
      </w:r>
      <w:r w:rsidRPr="00533362">
        <w:rPr>
          <w:rFonts w:ascii="Calibri" w:hAnsi="Calibri" w:cs="Calibri"/>
          <w:sz w:val="22"/>
          <w:szCs w:val="22"/>
        </w:rPr>
        <w:t xml:space="preserve"> and the </w:t>
      </w:r>
      <w:r w:rsidRPr="00533362">
        <w:rPr>
          <w:rFonts w:ascii="Calibri" w:hAnsi="Calibri" w:cs="Calibri"/>
          <w:i/>
          <w:iCs/>
          <w:sz w:val="22"/>
          <w:szCs w:val="22"/>
        </w:rPr>
        <w:t>Disability Standards for Education 2005</w:t>
      </w:r>
      <w:r w:rsidRPr="00533362">
        <w:rPr>
          <w:rFonts w:ascii="Calibri" w:hAnsi="Calibri" w:cs="Calibri"/>
          <w:sz w:val="22"/>
          <w:szCs w:val="22"/>
        </w:rPr>
        <w:t xml:space="preserve"> are currently under review. Amending the HESF in advance of those outcomes creates a risk of inconsistency or duplication across the regulatory framework. UNE recommends close coordination between these processes.</w:t>
      </w:r>
    </w:p>
    <w:p w14:paraId="1C64348B" w14:textId="77777777" w:rsidR="00467A7F" w:rsidRPr="00A145EE" w:rsidRDefault="00467A7F" w:rsidP="00467A7F">
      <w:pPr>
        <w:pStyle w:val="Compact"/>
        <w:numPr>
          <w:ilvl w:val="0"/>
          <w:numId w:val="2"/>
        </w:numPr>
        <w:spacing w:line="276" w:lineRule="auto"/>
        <w:jc w:val="both"/>
        <w:rPr>
          <w:rFonts w:ascii="Calibri" w:hAnsi="Calibri" w:cs="Calibri"/>
          <w:sz w:val="22"/>
          <w:szCs w:val="22"/>
        </w:rPr>
      </w:pPr>
      <w:r w:rsidRPr="00533362">
        <w:rPr>
          <w:rFonts w:ascii="Calibri" w:hAnsi="Calibri" w:cs="Calibri"/>
          <w:sz w:val="22"/>
          <w:szCs w:val="22"/>
        </w:rPr>
        <w:lastRenderedPageBreak/>
        <w:t>Resourcing implications. The consultation paper does not address the cost of strengthened disability support requirements. The proposed Disability Support Fund has not yet been legislated. Regulatory requirements that are not accompanied by adequate funding risk diverting resources from frontline student support, with disproportionate impact on regional and smaller institutions.</w:t>
      </w:r>
    </w:p>
    <w:p w14:paraId="4B407689" w14:textId="1E1003CE" w:rsidR="00467A7F" w:rsidRPr="00AC2737" w:rsidRDefault="00467A7F" w:rsidP="00467A7F">
      <w:pPr>
        <w:pStyle w:val="Heading3"/>
        <w:spacing w:line="276" w:lineRule="auto"/>
        <w:jc w:val="both"/>
        <w:rPr>
          <w:rFonts w:ascii="Calibri" w:hAnsi="Calibri" w:cs="Calibri"/>
          <w:b/>
          <w:bCs/>
          <w:color w:val="auto"/>
          <w:sz w:val="22"/>
          <w:szCs w:val="22"/>
        </w:rPr>
      </w:pPr>
      <w:bookmarkStart w:id="7" w:name="responding-to-emerging-technologies"/>
      <w:bookmarkEnd w:id="6"/>
      <w:r w:rsidRPr="00AC2737">
        <w:rPr>
          <w:rFonts w:ascii="Calibri" w:hAnsi="Calibri" w:cs="Calibri"/>
          <w:b/>
          <w:bCs/>
          <w:color w:val="auto"/>
          <w:sz w:val="22"/>
          <w:szCs w:val="22"/>
        </w:rPr>
        <w:t>5. Responding to Emerging Technologies</w:t>
      </w:r>
    </w:p>
    <w:p w14:paraId="03104EE6" w14:textId="77777777" w:rsidR="00467A7F" w:rsidRPr="00A145EE" w:rsidRDefault="00467A7F" w:rsidP="00467A7F">
      <w:pPr>
        <w:pStyle w:val="FirstParagraph"/>
        <w:spacing w:line="276" w:lineRule="auto"/>
        <w:ind w:firstLine="720"/>
        <w:jc w:val="both"/>
        <w:rPr>
          <w:rFonts w:ascii="Calibri" w:hAnsi="Calibri" w:cs="Calibri"/>
          <w:i/>
          <w:iCs/>
          <w:sz w:val="22"/>
          <w:szCs w:val="22"/>
        </w:rPr>
      </w:pPr>
      <w:r w:rsidRPr="00A145EE">
        <w:rPr>
          <w:rFonts w:ascii="Calibri" w:hAnsi="Calibri" w:cs="Calibri"/>
          <w:i/>
          <w:iCs/>
          <w:sz w:val="22"/>
          <w:szCs w:val="22"/>
        </w:rPr>
        <w:t xml:space="preserve">Q8: </w:t>
      </w:r>
      <w:proofErr w:type="gramStart"/>
      <w:r w:rsidRPr="00A145EE">
        <w:rPr>
          <w:rFonts w:ascii="Calibri" w:hAnsi="Calibri" w:cs="Calibri"/>
          <w:i/>
          <w:iCs/>
          <w:sz w:val="22"/>
          <w:szCs w:val="22"/>
        </w:rPr>
        <w:t>Does</w:t>
      </w:r>
      <w:proofErr w:type="gramEnd"/>
      <w:r w:rsidRPr="00A145EE">
        <w:rPr>
          <w:rFonts w:ascii="Calibri" w:hAnsi="Calibri" w:cs="Calibri"/>
          <w:i/>
          <w:iCs/>
          <w:sz w:val="22"/>
          <w:szCs w:val="22"/>
        </w:rPr>
        <w:t xml:space="preserve"> 'emerging technologies' adequately capture the relevant innovations?</w:t>
      </w:r>
    </w:p>
    <w:p w14:paraId="23AF7AF7"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The term is adequate</w:t>
      </w:r>
      <w:r>
        <w:rPr>
          <w:rFonts w:ascii="Calibri" w:hAnsi="Calibri" w:cs="Calibri"/>
          <w:sz w:val="22"/>
          <w:szCs w:val="22"/>
        </w:rPr>
        <w:t xml:space="preserve"> only if it functions</w:t>
      </w:r>
      <w:r w:rsidRPr="00533362">
        <w:rPr>
          <w:rFonts w:ascii="Calibri" w:hAnsi="Calibri" w:cs="Calibri"/>
          <w:sz w:val="22"/>
          <w:szCs w:val="22"/>
        </w:rPr>
        <w:t xml:space="preserve"> as a principles-based descriptor, provided it is not defined by reference to specific current technologies. UNE recommends technology-neutral language throughout the instrument</w:t>
      </w:r>
      <w:r>
        <w:rPr>
          <w:rFonts w:ascii="Calibri" w:hAnsi="Calibri" w:cs="Calibri"/>
          <w:sz w:val="22"/>
          <w:szCs w:val="22"/>
        </w:rPr>
        <w:t>.</w:t>
      </w:r>
      <w:r w:rsidRPr="00533362">
        <w:rPr>
          <w:rFonts w:ascii="Calibri" w:hAnsi="Calibri" w:cs="Calibri"/>
          <w:sz w:val="22"/>
          <w:szCs w:val="22"/>
        </w:rPr>
        <w:t xml:space="preserve"> </w:t>
      </w:r>
      <w:r>
        <w:rPr>
          <w:rFonts w:ascii="Calibri" w:hAnsi="Calibri" w:cs="Calibri"/>
          <w:sz w:val="22"/>
          <w:szCs w:val="22"/>
        </w:rPr>
        <w:t>F</w:t>
      </w:r>
      <w:r w:rsidRPr="00533362">
        <w:rPr>
          <w:rFonts w:ascii="Calibri" w:hAnsi="Calibri" w:cs="Calibri"/>
          <w:sz w:val="22"/>
          <w:szCs w:val="22"/>
        </w:rPr>
        <w:t>or example, "technologies that materially affect teaching, learning, research, and institutional operations." Referencing specific technologies by name in a legislative instrument is inconsistent with the HESF's principles-based design and risks the Standards becoming outdated between review cycles.</w:t>
      </w:r>
    </w:p>
    <w:p w14:paraId="1E0D0C0F" w14:textId="77777777" w:rsidR="00467A7F" w:rsidRPr="00A145EE" w:rsidRDefault="00467A7F" w:rsidP="00467A7F">
      <w:pPr>
        <w:pStyle w:val="BodyText"/>
        <w:spacing w:line="276" w:lineRule="auto"/>
        <w:ind w:firstLine="720"/>
        <w:jc w:val="both"/>
        <w:rPr>
          <w:rFonts w:ascii="Calibri" w:hAnsi="Calibri" w:cs="Calibri"/>
          <w:i/>
          <w:iCs/>
          <w:sz w:val="22"/>
          <w:szCs w:val="22"/>
        </w:rPr>
      </w:pPr>
      <w:r w:rsidRPr="00A145EE">
        <w:rPr>
          <w:rFonts w:ascii="Calibri" w:hAnsi="Calibri" w:cs="Calibri"/>
          <w:i/>
          <w:iCs/>
          <w:sz w:val="22"/>
          <w:szCs w:val="22"/>
        </w:rPr>
        <w:t>Q9: Do the standards currently provide adequate guidance to manage emerging technology risks?</w:t>
      </w:r>
    </w:p>
    <w:p w14:paraId="75945A03" w14:textId="77777777" w:rsidR="00467A7F" w:rsidRPr="00533362"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The current Standards provide a</w:t>
      </w:r>
      <w:r>
        <w:rPr>
          <w:rFonts w:ascii="Calibri" w:hAnsi="Calibri" w:cs="Calibri"/>
          <w:sz w:val="22"/>
          <w:szCs w:val="22"/>
        </w:rPr>
        <w:t xml:space="preserve">n </w:t>
      </w:r>
      <w:r w:rsidRPr="00533362">
        <w:rPr>
          <w:rFonts w:ascii="Calibri" w:hAnsi="Calibri" w:cs="Calibri"/>
          <w:sz w:val="22"/>
          <w:szCs w:val="22"/>
        </w:rPr>
        <w:t>adequate governance framework through Domains 5 and 6. UNE supports targeted amendments to:</w:t>
      </w:r>
    </w:p>
    <w:p w14:paraId="574E18A1"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Require corporate governing bodies to ensure that risks arising from technologies materially affecting institutional operations are identified, assessed, and managed within institutional risk frameworks.</w:t>
      </w:r>
    </w:p>
    <w:p w14:paraId="6A13B5EC"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Require academic governing bodies to ensure coherent institutional approaches to technologies affecting learning, assessment, and research integrity.</w:t>
      </w:r>
    </w:p>
    <w:p w14:paraId="11370BFC" w14:textId="77777777" w:rsidR="00467A7F" w:rsidRPr="00533362" w:rsidRDefault="00467A7F" w:rsidP="00467A7F">
      <w:pPr>
        <w:pStyle w:val="FirstParagraph"/>
        <w:spacing w:line="276" w:lineRule="auto"/>
        <w:jc w:val="both"/>
        <w:rPr>
          <w:rFonts w:ascii="Calibri" w:hAnsi="Calibri" w:cs="Calibri"/>
          <w:sz w:val="22"/>
          <w:szCs w:val="22"/>
        </w:rPr>
      </w:pPr>
      <w:r w:rsidRPr="00533362">
        <w:rPr>
          <w:rFonts w:ascii="Calibri" w:hAnsi="Calibri" w:cs="Calibri"/>
          <w:sz w:val="22"/>
          <w:szCs w:val="22"/>
        </w:rPr>
        <w:t xml:space="preserve">These amendments elevate technology risk to governance-level visibility without prescribing specific technologies or operational responses. UNE does not support amendments that reference specific technologies by name, prescribe operational measures, or duplicate obligations under the </w:t>
      </w:r>
      <w:r w:rsidRPr="00533362">
        <w:rPr>
          <w:rFonts w:ascii="Calibri" w:hAnsi="Calibri" w:cs="Calibri"/>
          <w:i/>
          <w:iCs/>
          <w:sz w:val="22"/>
          <w:szCs w:val="22"/>
        </w:rPr>
        <w:t>Privacy Act 1988</w:t>
      </w:r>
      <w:r w:rsidRPr="00533362">
        <w:rPr>
          <w:rFonts w:ascii="Calibri" w:hAnsi="Calibri" w:cs="Calibri"/>
          <w:sz w:val="22"/>
          <w:szCs w:val="22"/>
        </w:rPr>
        <w:t xml:space="preserve">, the </w:t>
      </w:r>
      <w:r w:rsidRPr="00533362">
        <w:rPr>
          <w:rFonts w:ascii="Calibri" w:hAnsi="Calibri" w:cs="Calibri"/>
          <w:i/>
          <w:iCs/>
          <w:sz w:val="22"/>
          <w:szCs w:val="22"/>
        </w:rPr>
        <w:t>Security of Critical Infrastructure Act 2018</w:t>
      </w:r>
      <w:r w:rsidRPr="00533362">
        <w:rPr>
          <w:rFonts w:ascii="Calibri" w:hAnsi="Calibri" w:cs="Calibri"/>
          <w:sz w:val="22"/>
          <w:szCs w:val="22"/>
        </w:rPr>
        <w:t>, or other technology-specific legislation.</w:t>
      </w:r>
    </w:p>
    <w:p w14:paraId="07D36F95" w14:textId="77777777" w:rsidR="00467A7F" w:rsidRPr="00A145EE" w:rsidRDefault="00467A7F" w:rsidP="00467A7F">
      <w:pPr>
        <w:pStyle w:val="BodyText"/>
        <w:spacing w:line="276" w:lineRule="auto"/>
        <w:ind w:firstLine="720"/>
        <w:jc w:val="both"/>
        <w:rPr>
          <w:rFonts w:ascii="Calibri" w:hAnsi="Calibri" w:cs="Calibri"/>
          <w:i/>
          <w:iCs/>
          <w:sz w:val="22"/>
          <w:szCs w:val="22"/>
        </w:rPr>
      </w:pPr>
      <w:r w:rsidRPr="00A145EE">
        <w:rPr>
          <w:rFonts w:ascii="Calibri" w:hAnsi="Calibri" w:cs="Calibri"/>
          <w:i/>
          <w:iCs/>
          <w:sz w:val="22"/>
          <w:szCs w:val="22"/>
        </w:rPr>
        <w:t>Q10: How should standards balance risk management with provider flexibility and innovation?</w:t>
      </w:r>
    </w:p>
    <w:p w14:paraId="556C60F9" w14:textId="77777777" w:rsidR="00467A7F" w:rsidRDefault="00467A7F" w:rsidP="00467A7F">
      <w:pPr>
        <w:pStyle w:val="BodyText"/>
        <w:spacing w:line="276" w:lineRule="auto"/>
        <w:jc w:val="both"/>
        <w:rPr>
          <w:rFonts w:ascii="Calibri" w:hAnsi="Calibri" w:cs="Calibri"/>
          <w:sz w:val="22"/>
          <w:szCs w:val="22"/>
        </w:rPr>
      </w:pPr>
      <w:r w:rsidRPr="00533362">
        <w:rPr>
          <w:rFonts w:ascii="Calibri" w:hAnsi="Calibri" w:cs="Calibri"/>
          <w:sz w:val="22"/>
          <w:szCs w:val="22"/>
        </w:rPr>
        <w:t>The appropriate balance is achieved by maintaining HESF as a principles-based instrument that requires governance capability and self-assurance, while using TEQSA's risk-based instruments for operational specificity. This approach supports innovation by allowing providers to adopt and manage technologies in ways appropriate to their context, while ensuring accountability through governance and quality assurance processes.</w:t>
      </w:r>
    </w:p>
    <w:p w14:paraId="36EE2C62" w14:textId="77777777" w:rsidR="00467A7F" w:rsidRPr="00533362" w:rsidRDefault="00467A7F" w:rsidP="00467A7F">
      <w:pPr>
        <w:pStyle w:val="BodyText"/>
        <w:spacing w:line="276" w:lineRule="auto"/>
        <w:jc w:val="both"/>
        <w:rPr>
          <w:rFonts w:ascii="Calibri" w:hAnsi="Calibri" w:cs="Calibri"/>
          <w:sz w:val="22"/>
          <w:szCs w:val="22"/>
        </w:rPr>
      </w:pPr>
    </w:p>
    <w:p w14:paraId="39D112FD" w14:textId="77777777" w:rsidR="00467A7F" w:rsidRPr="00AC2737" w:rsidRDefault="00467A7F" w:rsidP="00467A7F">
      <w:pPr>
        <w:pStyle w:val="Heading3"/>
        <w:spacing w:line="276" w:lineRule="auto"/>
        <w:jc w:val="both"/>
        <w:rPr>
          <w:rFonts w:ascii="Calibri" w:hAnsi="Calibri" w:cs="Calibri"/>
          <w:b/>
          <w:bCs/>
          <w:sz w:val="22"/>
          <w:szCs w:val="22"/>
        </w:rPr>
      </w:pPr>
      <w:bookmarkStart w:id="8" w:name="approach-to-a-cyclical-review"/>
      <w:bookmarkEnd w:id="7"/>
      <w:r w:rsidRPr="00AC2737">
        <w:rPr>
          <w:rFonts w:ascii="Calibri" w:hAnsi="Calibri" w:cs="Calibri"/>
          <w:b/>
          <w:bCs/>
          <w:color w:val="auto"/>
          <w:sz w:val="22"/>
          <w:szCs w:val="22"/>
        </w:rPr>
        <w:lastRenderedPageBreak/>
        <w:t>6. Approach to a Cyclical Review</w:t>
      </w:r>
    </w:p>
    <w:p w14:paraId="24D24848" w14:textId="77777777" w:rsidR="00467A7F" w:rsidRPr="00A145EE" w:rsidRDefault="00467A7F" w:rsidP="00467A7F">
      <w:pPr>
        <w:pStyle w:val="FirstParagraph"/>
        <w:spacing w:line="276" w:lineRule="auto"/>
        <w:jc w:val="both"/>
        <w:rPr>
          <w:rFonts w:ascii="Calibri" w:hAnsi="Calibri" w:cs="Calibri"/>
          <w:i/>
          <w:iCs/>
          <w:sz w:val="22"/>
          <w:szCs w:val="22"/>
        </w:rPr>
      </w:pPr>
      <w:r w:rsidRPr="00A145EE">
        <w:rPr>
          <w:rFonts w:ascii="Calibri" w:hAnsi="Calibri" w:cs="Calibri"/>
          <w:i/>
          <w:iCs/>
          <w:sz w:val="22"/>
          <w:szCs w:val="22"/>
        </w:rPr>
        <w:t>Q11: What methodological approaches should underpin a cyclical review?</w:t>
      </w:r>
    </w:p>
    <w:p w14:paraId="322BB9DD" w14:textId="77777777" w:rsidR="00467A7F" w:rsidRPr="005632AA" w:rsidRDefault="00467A7F" w:rsidP="00467A7F">
      <w:pPr>
        <w:pStyle w:val="BodyText"/>
        <w:spacing w:line="276" w:lineRule="auto"/>
        <w:jc w:val="both"/>
        <w:rPr>
          <w:rFonts w:ascii="Calibri" w:hAnsi="Calibri" w:cs="Calibri"/>
          <w:sz w:val="22"/>
          <w:szCs w:val="22"/>
        </w:rPr>
      </w:pPr>
      <w:r w:rsidRPr="005632AA">
        <w:rPr>
          <w:rFonts w:ascii="Calibri" w:hAnsi="Calibri" w:cs="Calibri"/>
          <w:sz w:val="22"/>
          <w:szCs w:val="22"/>
        </w:rPr>
        <w:t xml:space="preserve">While UNE supports the objective of maintaining contemporary regulatory frameworks, we </w:t>
      </w:r>
      <w:r>
        <w:rPr>
          <w:rFonts w:ascii="Calibri" w:hAnsi="Calibri" w:cs="Calibri"/>
          <w:sz w:val="22"/>
          <w:szCs w:val="22"/>
        </w:rPr>
        <w:t xml:space="preserve">see issues with </w:t>
      </w:r>
      <w:r w:rsidRPr="005632AA">
        <w:rPr>
          <w:rFonts w:ascii="Calibri" w:hAnsi="Calibri" w:cs="Calibri"/>
          <w:sz w:val="22"/>
          <w:szCs w:val="22"/>
        </w:rPr>
        <w:t>a statutory five-year cyclical review of the HESF</w:t>
      </w:r>
      <w:r>
        <w:rPr>
          <w:rFonts w:ascii="Calibri" w:hAnsi="Calibri" w:cs="Calibri"/>
          <w:sz w:val="22"/>
          <w:szCs w:val="22"/>
        </w:rPr>
        <w:t xml:space="preserve"> unless firm guardrails are also in place</w:t>
      </w:r>
      <w:r w:rsidRPr="005632AA">
        <w:rPr>
          <w:rFonts w:ascii="Calibri" w:hAnsi="Calibri" w:cs="Calibri"/>
          <w:sz w:val="22"/>
          <w:szCs w:val="22"/>
        </w:rPr>
        <w:t>.</w:t>
      </w:r>
    </w:p>
    <w:p w14:paraId="5286269B" w14:textId="77777777" w:rsidR="00467A7F" w:rsidRPr="005632AA" w:rsidRDefault="00467A7F" w:rsidP="00467A7F">
      <w:pPr>
        <w:pStyle w:val="BodyText"/>
        <w:spacing w:line="276" w:lineRule="auto"/>
        <w:jc w:val="both"/>
        <w:rPr>
          <w:rFonts w:ascii="Calibri" w:hAnsi="Calibri" w:cs="Calibri"/>
          <w:sz w:val="22"/>
          <w:szCs w:val="22"/>
        </w:rPr>
      </w:pPr>
      <w:r w:rsidRPr="005632AA">
        <w:rPr>
          <w:rFonts w:ascii="Calibri" w:hAnsi="Calibri" w:cs="Calibri"/>
          <w:sz w:val="22"/>
          <w:szCs w:val="22"/>
        </w:rPr>
        <w:t xml:space="preserve">Such a constrained timeframe ignores the foundational architecture and legislative intent of the instrument as Threshold Standards. As explicitly articulated in both the 2015 and 2021 Explanatory Statements, the HESF was deliberately designed to set “minimum acceptable requirements,” establishing a solid, sufficiently high “barrier to entry” and a stable “baseline” for operational quality and integrity. </w:t>
      </w:r>
      <w:proofErr w:type="gramStart"/>
      <w:r w:rsidRPr="005632AA">
        <w:rPr>
          <w:rFonts w:ascii="Calibri" w:hAnsi="Calibri" w:cs="Calibri"/>
          <w:sz w:val="22"/>
          <w:szCs w:val="22"/>
        </w:rPr>
        <w:t>By definition, foundational</w:t>
      </w:r>
      <w:proofErr w:type="gramEnd"/>
      <w:r w:rsidRPr="005632AA">
        <w:rPr>
          <w:rFonts w:ascii="Calibri" w:hAnsi="Calibri" w:cs="Calibri"/>
          <w:sz w:val="22"/>
          <w:szCs w:val="22"/>
        </w:rPr>
        <w:t xml:space="preserve"> baseline thresholds must provide certainty and endurance; they are not designed to be transient, nor should they be subjected to continuous legislative churn.</w:t>
      </w:r>
    </w:p>
    <w:p w14:paraId="7F83E18B" w14:textId="77777777" w:rsidR="00467A7F" w:rsidRDefault="00467A7F" w:rsidP="00467A7F">
      <w:pPr>
        <w:pStyle w:val="BodyText"/>
        <w:spacing w:line="276" w:lineRule="auto"/>
        <w:jc w:val="both"/>
        <w:rPr>
          <w:rFonts w:ascii="Calibri" w:hAnsi="Calibri" w:cs="Calibri"/>
          <w:sz w:val="22"/>
          <w:szCs w:val="22"/>
        </w:rPr>
      </w:pPr>
      <w:r>
        <w:rPr>
          <w:rFonts w:ascii="Calibri" w:hAnsi="Calibri" w:cs="Calibri"/>
          <w:sz w:val="22"/>
          <w:szCs w:val="22"/>
        </w:rPr>
        <w:t>A</w:t>
      </w:r>
      <w:r w:rsidRPr="005632AA">
        <w:rPr>
          <w:rFonts w:ascii="Calibri" w:hAnsi="Calibri" w:cs="Calibri"/>
          <w:sz w:val="22"/>
          <w:szCs w:val="22"/>
        </w:rPr>
        <w:t xml:space="preserve"> five-year mandated review</w:t>
      </w:r>
      <w:r>
        <w:rPr>
          <w:rFonts w:ascii="Calibri" w:hAnsi="Calibri" w:cs="Calibri"/>
          <w:sz w:val="22"/>
          <w:szCs w:val="22"/>
        </w:rPr>
        <w:t>, if not managed via firm guardrails, may</w:t>
      </w:r>
      <w:r w:rsidRPr="005632AA">
        <w:rPr>
          <w:rFonts w:ascii="Calibri" w:hAnsi="Calibri" w:cs="Calibri"/>
          <w:sz w:val="22"/>
          <w:szCs w:val="22"/>
        </w:rPr>
        <w:t xml:space="preserve"> introduce structural instability</w:t>
      </w:r>
      <w:r>
        <w:rPr>
          <w:rFonts w:ascii="Calibri" w:hAnsi="Calibri" w:cs="Calibri"/>
          <w:sz w:val="22"/>
          <w:szCs w:val="22"/>
        </w:rPr>
        <w:t xml:space="preserve"> into the sector. </w:t>
      </w:r>
      <w:r w:rsidRPr="005632AA">
        <w:rPr>
          <w:rFonts w:ascii="Calibri" w:hAnsi="Calibri" w:cs="Calibri"/>
          <w:sz w:val="22"/>
          <w:szCs w:val="22"/>
        </w:rPr>
        <w:t>The practical reality of legislative amendment</w:t>
      </w:r>
      <w:r>
        <w:rPr>
          <w:rFonts w:ascii="Calibri" w:hAnsi="Calibri" w:cs="Calibri"/>
          <w:sz w:val="22"/>
          <w:szCs w:val="22"/>
        </w:rPr>
        <w:t>s</w:t>
      </w:r>
      <w:r w:rsidRPr="005632AA">
        <w:rPr>
          <w:rFonts w:ascii="Calibri" w:hAnsi="Calibri" w:cs="Calibri"/>
          <w:sz w:val="22"/>
          <w:szCs w:val="22"/>
        </w:rPr>
        <w:t xml:space="preserve"> dictates that a five-year cycle leaves inadequate time between identifying an issue, passing legislative amendments, implementing institutional changes, and measuring operational effectiveness. Providers would be caught in a perpetual state of compliance transition, explicitly undermining the framework's intended stability as a reliable regulatory baseline.</w:t>
      </w:r>
      <w:r w:rsidRPr="00533362">
        <w:rPr>
          <w:rFonts w:ascii="Calibri" w:hAnsi="Calibri" w:cs="Calibri"/>
          <w:sz w:val="22"/>
          <w:szCs w:val="22"/>
        </w:rPr>
        <w:t xml:space="preserve"> It is likely that a </w:t>
      </w:r>
      <w:proofErr w:type="gramStart"/>
      <w:r w:rsidRPr="00533362">
        <w:rPr>
          <w:rFonts w:ascii="Calibri" w:hAnsi="Calibri" w:cs="Calibri"/>
          <w:sz w:val="22"/>
          <w:szCs w:val="22"/>
        </w:rPr>
        <w:t>longer term</w:t>
      </w:r>
      <w:proofErr w:type="gramEnd"/>
      <w:r w:rsidRPr="00533362">
        <w:rPr>
          <w:rFonts w:ascii="Calibri" w:hAnsi="Calibri" w:cs="Calibri"/>
          <w:sz w:val="22"/>
          <w:szCs w:val="22"/>
        </w:rPr>
        <w:t xml:space="preserve"> review horizon, and stewardship of the higher education sector by ATEC should ensure that a review should only be considered every 10 years or </w:t>
      </w:r>
      <w:r>
        <w:rPr>
          <w:rFonts w:ascii="Calibri" w:hAnsi="Calibri" w:cs="Calibri"/>
          <w:sz w:val="22"/>
          <w:szCs w:val="22"/>
        </w:rPr>
        <w:t xml:space="preserve">sooner </w:t>
      </w:r>
      <w:r w:rsidRPr="00533362">
        <w:rPr>
          <w:rFonts w:ascii="Calibri" w:hAnsi="Calibri" w:cs="Calibri"/>
          <w:sz w:val="22"/>
          <w:szCs w:val="22"/>
        </w:rPr>
        <w:t xml:space="preserve">if there is a specific and extensive shift in the environment warranting this. </w:t>
      </w:r>
      <w:r w:rsidRPr="005632AA">
        <w:rPr>
          <w:rFonts w:ascii="Calibri" w:hAnsi="Calibri" w:cs="Calibri"/>
          <w:sz w:val="22"/>
          <w:szCs w:val="22"/>
        </w:rPr>
        <w:t>When a review is undertaken, the methodology must structurally enforce this architectural discipline by:</w:t>
      </w:r>
      <w:r>
        <w:rPr>
          <w:rFonts w:ascii="Calibri" w:hAnsi="Calibri" w:cs="Calibri"/>
          <w:sz w:val="22"/>
          <w:szCs w:val="22"/>
        </w:rPr>
        <w:t xml:space="preserve"> </w:t>
      </w:r>
    </w:p>
    <w:p w14:paraId="01709E84"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Apply</w:t>
      </w:r>
      <w:r>
        <w:rPr>
          <w:rFonts w:ascii="Calibri" w:hAnsi="Calibri" w:cs="Calibri"/>
          <w:sz w:val="22"/>
          <w:szCs w:val="22"/>
        </w:rPr>
        <w:t>ing</w:t>
      </w:r>
      <w:r w:rsidRPr="00533362">
        <w:rPr>
          <w:rFonts w:ascii="Calibri" w:hAnsi="Calibri" w:cs="Calibri"/>
          <w:sz w:val="22"/>
          <w:szCs w:val="22"/>
        </w:rPr>
        <w:t xml:space="preserve"> a published decision rule to each proposed amendment, ensuring changes are necessary, proportionate, and non-duplicative.</w:t>
      </w:r>
    </w:p>
    <w:p w14:paraId="587DDBBC"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Distinguish explicitly between matters requiring HESF amendment and those appropriately addressed through TEQSA's risk-based instruments, with published reasoning.</w:t>
      </w:r>
    </w:p>
    <w:p w14:paraId="6F639476"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Be informed by TEQSA compliance and risk data, student experience data, international regulatory benchmarking, and provider consultation.</w:t>
      </w:r>
    </w:p>
    <w:p w14:paraId="5A435E03"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Include a regulatory impact assessment addressing compliance costs, with particular attention to the impact on smaller and regional providers.</w:t>
      </w:r>
    </w:p>
    <w:p w14:paraId="657A8FB3" w14:textId="77777777" w:rsidR="00467A7F" w:rsidRPr="00533362" w:rsidRDefault="00467A7F" w:rsidP="00467A7F">
      <w:pPr>
        <w:pStyle w:val="Compact"/>
        <w:numPr>
          <w:ilvl w:val="0"/>
          <w:numId w:val="1"/>
        </w:numPr>
        <w:spacing w:line="276" w:lineRule="auto"/>
        <w:jc w:val="both"/>
        <w:rPr>
          <w:rFonts w:ascii="Calibri" w:hAnsi="Calibri" w:cs="Calibri"/>
          <w:sz w:val="22"/>
          <w:szCs w:val="22"/>
        </w:rPr>
      </w:pPr>
      <w:r w:rsidRPr="00533362">
        <w:rPr>
          <w:rFonts w:ascii="Calibri" w:hAnsi="Calibri" w:cs="Calibri"/>
          <w:sz w:val="22"/>
          <w:szCs w:val="22"/>
        </w:rPr>
        <w:t>Be sequenced to take account of concurrent regulatory processes (including reviews of the DDA, DSE, and RQF development) to ensure coherence across the framework.</w:t>
      </w:r>
    </w:p>
    <w:p w14:paraId="29E7B479" w14:textId="77777777" w:rsidR="00467A7F" w:rsidRPr="00A145EE" w:rsidRDefault="00467A7F" w:rsidP="00467A7F">
      <w:pPr>
        <w:pStyle w:val="FirstParagraph"/>
        <w:spacing w:line="276" w:lineRule="auto"/>
        <w:ind w:firstLine="240"/>
        <w:jc w:val="both"/>
        <w:rPr>
          <w:rFonts w:ascii="Calibri" w:hAnsi="Calibri" w:cs="Calibri"/>
          <w:i/>
          <w:iCs/>
          <w:sz w:val="22"/>
          <w:szCs w:val="22"/>
        </w:rPr>
      </w:pPr>
      <w:r w:rsidRPr="00A145EE">
        <w:rPr>
          <w:rFonts w:ascii="Calibri" w:hAnsi="Calibri" w:cs="Calibri"/>
          <w:i/>
          <w:iCs/>
          <w:sz w:val="22"/>
          <w:szCs w:val="22"/>
        </w:rPr>
        <w:t>Q12: How can the review process meaningfully engage diverse stakeholders?</w:t>
      </w:r>
    </w:p>
    <w:p w14:paraId="390355C2" w14:textId="77777777" w:rsidR="00467A7F" w:rsidRPr="00533362" w:rsidRDefault="00467A7F" w:rsidP="00467A7F">
      <w:pPr>
        <w:pStyle w:val="Compact"/>
        <w:spacing w:line="276" w:lineRule="auto"/>
        <w:jc w:val="both"/>
        <w:rPr>
          <w:rFonts w:ascii="Calibri" w:hAnsi="Calibri" w:cs="Calibri"/>
          <w:sz w:val="22"/>
          <w:szCs w:val="22"/>
        </w:rPr>
      </w:pPr>
      <w:r>
        <w:rPr>
          <w:rFonts w:ascii="Calibri" w:hAnsi="Calibri" w:cs="Calibri"/>
          <w:sz w:val="22"/>
          <w:szCs w:val="22"/>
        </w:rPr>
        <w:t>The review process could meaningfully engage stakeholders by ensuring that early notification of c</w:t>
      </w:r>
      <w:r w:rsidRPr="00533362">
        <w:rPr>
          <w:rFonts w:ascii="Calibri" w:hAnsi="Calibri" w:cs="Calibri"/>
          <w:sz w:val="22"/>
          <w:szCs w:val="22"/>
        </w:rPr>
        <w:t>onsultation periods</w:t>
      </w:r>
      <w:r>
        <w:rPr>
          <w:rFonts w:ascii="Calibri" w:hAnsi="Calibri" w:cs="Calibri"/>
          <w:sz w:val="22"/>
          <w:szCs w:val="22"/>
        </w:rPr>
        <w:t xml:space="preserve"> is given and that these </w:t>
      </w:r>
      <w:r w:rsidRPr="00533362">
        <w:rPr>
          <w:rFonts w:ascii="Calibri" w:hAnsi="Calibri" w:cs="Calibri"/>
          <w:sz w:val="22"/>
          <w:szCs w:val="22"/>
        </w:rPr>
        <w:t>are sufficient for providers to develop considered institutional responses. A minimum period of eight weeks is appropriate for matters of this complexity.</w:t>
      </w:r>
      <w:r>
        <w:rPr>
          <w:rFonts w:ascii="Calibri" w:hAnsi="Calibri" w:cs="Calibri"/>
          <w:sz w:val="22"/>
          <w:szCs w:val="22"/>
        </w:rPr>
        <w:t xml:space="preserve"> </w:t>
      </w:r>
      <w:r w:rsidRPr="00533362">
        <w:rPr>
          <w:rFonts w:ascii="Calibri" w:hAnsi="Calibri" w:cs="Calibri"/>
          <w:sz w:val="22"/>
          <w:szCs w:val="22"/>
        </w:rPr>
        <w:t xml:space="preserve">Engagement </w:t>
      </w:r>
      <w:r>
        <w:rPr>
          <w:rFonts w:ascii="Calibri" w:hAnsi="Calibri" w:cs="Calibri"/>
          <w:sz w:val="22"/>
          <w:szCs w:val="22"/>
        </w:rPr>
        <w:t>could</w:t>
      </w:r>
      <w:r w:rsidRPr="00533362">
        <w:rPr>
          <w:rFonts w:ascii="Calibri" w:hAnsi="Calibri" w:cs="Calibri"/>
          <w:sz w:val="22"/>
          <w:szCs w:val="22"/>
        </w:rPr>
        <w:t xml:space="preserve"> be differentiated by provider type, </w:t>
      </w:r>
      <w:proofErr w:type="spellStart"/>
      <w:r w:rsidRPr="00533362">
        <w:rPr>
          <w:rFonts w:ascii="Calibri" w:hAnsi="Calibri" w:cs="Calibri"/>
          <w:sz w:val="22"/>
          <w:szCs w:val="22"/>
        </w:rPr>
        <w:t>recognising</w:t>
      </w:r>
      <w:proofErr w:type="spellEnd"/>
      <w:r w:rsidRPr="00533362">
        <w:rPr>
          <w:rFonts w:ascii="Calibri" w:hAnsi="Calibri" w:cs="Calibri"/>
          <w:sz w:val="22"/>
          <w:szCs w:val="22"/>
        </w:rPr>
        <w:t xml:space="preserve"> that regional, specialist, and smaller providers face distinct regulatory impacts.</w:t>
      </w:r>
      <w:r>
        <w:rPr>
          <w:rFonts w:ascii="Calibri" w:hAnsi="Calibri" w:cs="Calibri"/>
          <w:sz w:val="22"/>
          <w:szCs w:val="22"/>
        </w:rPr>
        <w:t xml:space="preserve"> For example, t</w:t>
      </w:r>
      <w:r w:rsidRPr="00533362">
        <w:rPr>
          <w:rFonts w:ascii="Calibri" w:hAnsi="Calibri" w:cs="Calibri"/>
          <w:sz w:val="22"/>
          <w:szCs w:val="22"/>
        </w:rPr>
        <w:t xml:space="preserve">he review should include mechanisms for direct engagement with students and staff through independent channels, alongside institutional </w:t>
      </w:r>
      <w:r w:rsidRPr="00533362">
        <w:rPr>
          <w:rFonts w:ascii="Calibri" w:hAnsi="Calibri" w:cs="Calibri"/>
          <w:sz w:val="22"/>
          <w:szCs w:val="22"/>
        </w:rPr>
        <w:lastRenderedPageBreak/>
        <w:t>submissions.</w:t>
      </w:r>
      <w:r>
        <w:rPr>
          <w:rFonts w:ascii="Calibri" w:hAnsi="Calibri" w:cs="Calibri"/>
          <w:sz w:val="22"/>
          <w:szCs w:val="22"/>
        </w:rPr>
        <w:t xml:space="preserve"> Finally, a</w:t>
      </w:r>
      <w:r w:rsidRPr="00533362">
        <w:rPr>
          <w:rFonts w:ascii="Calibri" w:hAnsi="Calibri" w:cs="Calibri"/>
          <w:sz w:val="22"/>
          <w:szCs w:val="22"/>
        </w:rPr>
        <w:t xml:space="preserve"> draft decision framework should be published and consulted on before specific amendments are proposed, enabling stakeholders to engage with the principles guiding the review.</w:t>
      </w:r>
    </w:p>
    <w:p w14:paraId="6377D294" w14:textId="77777777" w:rsidR="00DB12E8" w:rsidRDefault="00DB12E8" w:rsidP="00467A7F">
      <w:pPr>
        <w:pStyle w:val="BodyText"/>
        <w:spacing w:line="276" w:lineRule="auto"/>
        <w:rPr>
          <w:rFonts w:ascii="Calibri" w:hAnsi="Calibri" w:cs="Calibri"/>
          <w:sz w:val="22"/>
          <w:szCs w:val="22"/>
        </w:rPr>
      </w:pPr>
    </w:p>
    <w:p w14:paraId="0DB294D4" w14:textId="19DD8D06" w:rsidR="009625C7" w:rsidRDefault="00467A7F" w:rsidP="00467A7F">
      <w:pPr>
        <w:pStyle w:val="BodyText"/>
        <w:spacing w:line="276" w:lineRule="auto"/>
        <w:rPr>
          <w:rFonts w:ascii="Calibri" w:hAnsi="Calibri" w:cs="Calibri"/>
          <w:sz w:val="22"/>
          <w:szCs w:val="22"/>
        </w:rPr>
      </w:pPr>
      <w:r w:rsidRPr="00533362">
        <w:rPr>
          <w:rFonts w:ascii="Calibri" w:hAnsi="Calibri" w:cs="Calibri"/>
          <w:sz w:val="22"/>
          <w:szCs w:val="22"/>
        </w:rPr>
        <w:t>Rebecca Cawood</w:t>
      </w:r>
      <w:r w:rsidRPr="00533362">
        <w:rPr>
          <w:rFonts w:ascii="Calibri" w:hAnsi="Calibri" w:cs="Calibri"/>
          <w:sz w:val="22"/>
          <w:szCs w:val="22"/>
        </w:rPr>
        <w:br/>
        <w:t>Director, Office of Strategy Management</w:t>
      </w:r>
    </w:p>
    <w:p w14:paraId="0EEFDCCD" w14:textId="1B7C616F" w:rsidR="00467A7F" w:rsidRPr="00533362" w:rsidRDefault="00467A7F" w:rsidP="00467A7F">
      <w:pPr>
        <w:pStyle w:val="BodyText"/>
        <w:spacing w:line="276" w:lineRule="auto"/>
        <w:rPr>
          <w:rFonts w:ascii="Calibri" w:hAnsi="Calibri" w:cs="Calibri"/>
          <w:sz w:val="22"/>
          <w:szCs w:val="22"/>
        </w:rPr>
      </w:pPr>
      <w:r w:rsidRPr="00533362">
        <w:rPr>
          <w:rFonts w:ascii="Calibri" w:hAnsi="Calibri" w:cs="Calibri"/>
          <w:sz w:val="22"/>
          <w:szCs w:val="22"/>
        </w:rPr>
        <w:t>Office of the Vice-Chancellor</w:t>
      </w:r>
      <w:r w:rsidRPr="00533362">
        <w:rPr>
          <w:rFonts w:ascii="Calibri" w:hAnsi="Calibri" w:cs="Calibri"/>
          <w:sz w:val="22"/>
          <w:szCs w:val="22"/>
        </w:rPr>
        <w:br/>
        <w:t>University of New England</w:t>
      </w:r>
    </w:p>
    <w:bookmarkEnd w:id="0"/>
    <w:bookmarkEnd w:id="1"/>
    <w:bookmarkEnd w:id="8"/>
    <w:p w14:paraId="5A7CA8D6" w14:textId="27D90FE3" w:rsidR="007E3141" w:rsidRPr="008335EE" w:rsidRDefault="008335EE" w:rsidP="008335EE">
      <w:pPr>
        <w:spacing w:after="240" w:line="276" w:lineRule="auto"/>
        <w:rPr>
          <w:rFonts w:asciiTheme="majorHAnsi" w:hAnsiTheme="majorHAnsi" w:cstheme="majorHAnsi"/>
          <w:sz w:val="22"/>
          <w:szCs w:val="22"/>
        </w:rPr>
      </w:pPr>
      <w:r w:rsidRPr="008335EE">
        <w:rPr>
          <w:rFonts w:asciiTheme="majorHAnsi" w:eastAsia="Calibri" w:hAnsiTheme="majorHAnsi" w:cstheme="majorHAnsi"/>
          <w:iCs/>
          <w:color w:val="000000" w:themeColor="text1"/>
          <w:sz w:val="22"/>
          <w:szCs w:val="22"/>
        </w:rPr>
        <w:t xml:space="preserve"> </w:t>
      </w:r>
    </w:p>
    <w:sectPr w:rsidR="007E3141" w:rsidRPr="008335EE" w:rsidSect="00214C37">
      <w:headerReference w:type="even" r:id="rId11"/>
      <w:headerReference w:type="default" r:id="rId12"/>
      <w:footerReference w:type="even" r:id="rId13"/>
      <w:footerReference w:type="default" r:id="rId14"/>
      <w:headerReference w:type="first" r:id="rId15"/>
      <w:footerReference w:type="first" r:id="rId16"/>
      <w:pgSz w:w="11900" w:h="16840"/>
      <w:pgMar w:top="3402" w:right="2244" w:bottom="822" w:left="567" w:header="36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49D2" w14:textId="77777777" w:rsidR="007011B7" w:rsidRDefault="007011B7">
      <w:r>
        <w:separator/>
      </w:r>
    </w:p>
  </w:endnote>
  <w:endnote w:type="continuationSeparator" w:id="0">
    <w:p w14:paraId="4127D02D" w14:textId="77777777" w:rsidR="007011B7" w:rsidRDefault="0070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 Pro">
    <w:altName w:val="Malgun Gothic"/>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B146" w14:textId="77777777" w:rsidR="00467A7F" w:rsidRDefault="00467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AB17" w14:textId="77777777" w:rsidR="00467A7F" w:rsidRDefault="00467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860D" w14:textId="77777777" w:rsidR="00467A7F" w:rsidRDefault="00467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4936" w14:textId="77777777" w:rsidR="007011B7" w:rsidRDefault="007011B7">
      <w:r>
        <w:separator/>
      </w:r>
    </w:p>
  </w:footnote>
  <w:footnote w:type="continuationSeparator" w:id="0">
    <w:p w14:paraId="17ECD5C7" w14:textId="77777777" w:rsidR="007011B7" w:rsidRDefault="0070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8C89" w14:textId="77777777" w:rsidR="00467A7F" w:rsidRDefault="00467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F4ED" w14:textId="77777777" w:rsidR="00437693" w:rsidRPr="00327F04" w:rsidRDefault="00437693" w:rsidP="007E3141">
    <w:pPr>
      <w:pStyle w:val="NormalParagraphStyle"/>
      <w:spacing w:after="17" w:line="196" w:lineRule="exact"/>
      <w:ind w:left="1136" w:right="112"/>
      <w:rPr>
        <w:rFonts w:ascii="Myriad Pro" w:hAnsi="Myriad Pro"/>
        <w:b/>
        <w:sz w:val="22"/>
        <w:szCs w:val="22"/>
      </w:rPr>
    </w:pPr>
    <w:r>
      <w:rPr>
        <w:noProof/>
        <w:lang w:val="en-US"/>
      </w:rPr>
      <w:drawing>
        <wp:anchor distT="0" distB="0" distL="114300" distR="114300" simplePos="0" relativeHeight="251657216" behindDoc="1" locked="0" layoutInCell="1" allowOverlap="1" wp14:anchorId="16946B19" wp14:editId="56DD6950">
          <wp:simplePos x="0" y="0"/>
          <wp:positionH relativeFrom="column">
            <wp:posOffset>720090</wp:posOffset>
          </wp:positionH>
          <wp:positionV relativeFrom="paragraph">
            <wp:posOffset>-3175</wp:posOffset>
          </wp:positionV>
          <wp:extent cx="1055370" cy="1055370"/>
          <wp:effectExtent l="25400" t="0" r="11430" b="0"/>
          <wp:wrapNone/>
          <wp:docPr id="7" name="Picture 7" descr="GREEN AND WHITE 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AND WHITE ON BLACK"/>
                  <pic:cNvPicPr>
                    <a:picLocks noChangeAspect="1" noChangeArrowheads="1"/>
                  </pic:cNvPicPr>
                </pic:nvPicPr>
                <pic:blipFill>
                  <a:blip r:embed="rId1"/>
                  <a:srcRect/>
                  <a:stretch>
                    <a:fillRect/>
                  </a:stretch>
                </pic:blipFill>
                <pic:spPr bwMode="auto">
                  <a:xfrm>
                    <a:off x="0" y="0"/>
                    <a:ext cx="1055370" cy="1055370"/>
                  </a:xfrm>
                  <a:prstGeom prst="rect">
                    <a:avLst/>
                  </a:prstGeom>
                  <a:noFill/>
                  <a:ln w="9525">
                    <a:noFill/>
                    <a:miter lim="800000"/>
                    <a:headEnd/>
                    <a:tailEnd/>
                  </a:ln>
                </pic:spPr>
              </pic:pic>
            </a:graphicData>
          </a:graphic>
        </wp:anchor>
      </w:drawing>
    </w:r>
    <w:r>
      <w:rPr>
        <w:rFonts w:ascii="Myriad Pro" w:hAnsi="Myriad Pro"/>
        <w:b/>
        <w:sz w:val="22"/>
        <w:szCs w:val="22"/>
      </w:rPr>
      <w:tab/>
    </w:r>
    <w:r>
      <w:rPr>
        <w:rFonts w:ascii="Myriad Pro" w:hAnsi="Myriad Pro"/>
        <w:b/>
        <w:sz w:val="22"/>
        <w:szCs w:val="22"/>
      </w:rPr>
      <w:tab/>
    </w:r>
  </w:p>
  <w:p w14:paraId="2376D13C" w14:textId="77777777" w:rsidR="00437693" w:rsidRPr="00327F04" w:rsidRDefault="00437693" w:rsidP="007E3141">
    <w:pPr>
      <w:pStyle w:val="NormalParagraphStyle"/>
      <w:spacing w:after="17" w:line="196" w:lineRule="exact"/>
      <w:rPr>
        <w:rFonts w:ascii="Myriad Pro" w:hAnsi="Myriad Pro"/>
        <w:b/>
        <w:sz w:val="22"/>
        <w:szCs w:val="22"/>
      </w:rPr>
    </w:pP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p>
  <w:p w14:paraId="2045B9EC" w14:textId="0A7026F2" w:rsidR="00437693" w:rsidRPr="00327F04" w:rsidRDefault="00437693" w:rsidP="007E3141">
    <w:pPr>
      <w:pStyle w:val="NormalParagraphStyle"/>
      <w:spacing w:after="17" w:line="196" w:lineRule="exact"/>
      <w:rPr>
        <w:rFonts w:ascii="Myriad Pro" w:hAnsi="Myriad Pro"/>
        <w:b/>
        <w:sz w:val="22"/>
        <w:szCs w:val="22"/>
      </w:rPr>
    </w:pPr>
  </w:p>
  <w:p w14:paraId="2DFA6562" w14:textId="77777777" w:rsidR="00437693" w:rsidRPr="00327F04" w:rsidRDefault="00437693" w:rsidP="007E3141">
    <w:pPr>
      <w:pStyle w:val="NormalParagraphStyle"/>
      <w:spacing w:after="17" w:line="196" w:lineRule="exact"/>
      <w:rPr>
        <w:rFonts w:ascii="Myriad Pro" w:hAnsi="Myriad Pro"/>
        <w:b/>
        <w:sz w:val="22"/>
        <w:szCs w:val="22"/>
      </w:rPr>
    </w:pP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p>
  <w:p w14:paraId="7A10217C" w14:textId="77777777" w:rsidR="00437693" w:rsidRPr="00327F04" w:rsidRDefault="00437693" w:rsidP="007E3141">
    <w:pPr>
      <w:pStyle w:val="NormalParagraphStyle"/>
      <w:spacing w:after="17" w:line="196" w:lineRule="exact"/>
      <w:rPr>
        <w:rFonts w:ascii="Myriad Pro" w:hAnsi="Myriad Pro"/>
        <w:b/>
        <w:sz w:val="22"/>
        <w:szCs w:val="22"/>
      </w:rPr>
    </w:pP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r>
      <w:rPr>
        <w:rFonts w:ascii="Myriad Pro" w:hAnsi="Myriad Pro"/>
        <w:b/>
        <w:sz w:val="22"/>
        <w:szCs w:val="22"/>
      </w:rPr>
      <w:tab/>
    </w:r>
  </w:p>
  <w:p w14:paraId="57E19DC9" w14:textId="77777777" w:rsidR="00437693" w:rsidRPr="00327F04" w:rsidRDefault="00437693" w:rsidP="007E3141">
    <w:pPr>
      <w:pStyle w:val="NormalParagraphStyle"/>
      <w:spacing w:after="17" w:line="196" w:lineRule="exact"/>
      <w:rPr>
        <w:rFonts w:ascii="Myriad Pro" w:hAnsi="Myriad Pro"/>
        <w:b/>
        <w:sz w:val="22"/>
        <w:szCs w:val="22"/>
      </w:rPr>
    </w:pPr>
  </w:p>
  <w:p w14:paraId="056F1F16" w14:textId="77777777" w:rsidR="00437693" w:rsidRPr="00327F04" w:rsidRDefault="00437693" w:rsidP="007E3141">
    <w:pPr>
      <w:pStyle w:val="Header"/>
      <w:ind w:right="112"/>
      <w:rPr>
        <w:rFonts w:ascii="Myriad Pro" w:hAnsi="Myriad Pro"/>
        <w:b/>
        <w:sz w:val="22"/>
        <w:szCs w:val="22"/>
      </w:rPr>
    </w:pPr>
    <w:r>
      <w:rPr>
        <w:rFonts w:ascii="Myriad Pro" w:hAnsi="Myriad Pro"/>
        <w:b/>
        <w:sz w:val="22"/>
        <w:szCs w:val="22"/>
      </w:rPr>
      <w:tab/>
    </w:r>
  </w:p>
  <w:p w14:paraId="13083429" w14:textId="77777777" w:rsidR="00437693" w:rsidRDefault="00437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9297" w14:textId="77777777" w:rsidR="00467A7F" w:rsidRDefault="00467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CACEF1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201"/>
    <w:multiLevelType w:val="multilevel"/>
    <w:tmpl w:val="12F49D3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15:restartNumberingAfterBreak="0">
    <w:nsid w:val="22501B6E"/>
    <w:multiLevelType w:val="multilevel"/>
    <w:tmpl w:val="15E8E002"/>
    <w:lvl w:ilvl="0">
      <w:start w:val="1"/>
      <w:numFmt w:val="bullet"/>
      <w:lvlText w:val=""/>
      <w:lvlJc w:val="left"/>
      <w:pPr>
        <w:ind w:left="720" w:hanging="480"/>
      </w:pPr>
      <w:rPr>
        <w:rFonts w:ascii="Symbol" w:hAnsi="Symbol" w:hint="default"/>
      </w:r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121916950">
    <w:abstractNumId w:val="0"/>
  </w:num>
  <w:num w:numId="2" w16cid:durableId="2060090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42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2"/>
    <w:rsid w:val="0002015E"/>
    <w:rsid w:val="00023E8D"/>
    <w:rsid w:val="000B1776"/>
    <w:rsid w:val="001475C0"/>
    <w:rsid w:val="00194F4D"/>
    <w:rsid w:val="001B1CE5"/>
    <w:rsid w:val="001C15D5"/>
    <w:rsid w:val="00214C37"/>
    <w:rsid w:val="002A513A"/>
    <w:rsid w:val="002C456E"/>
    <w:rsid w:val="002F116A"/>
    <w:rsid w:val="003B568A"/>
    <w:rsid w:val="004065DD"/>
    <w:rsid w:val="00437693"/>
    <w:rsid w:val="00467A7F"/>
    <w:rsid w:val="00501420"/>
    <w:rsid w:val="0050488F"/>
    <w:rsid w:val="005D3EF9"/>
    <w:rsid w:val="005F190B"/>
    <w:rsid w:val="005F609B"/>
    <w:rsid w:val="00604358"/>
    <w:rsid w:val="00651C20"/>
    <w:rsid w:val="0066288D"/>
    <w:rsid w:val="00694332"/>
    <w:rsid w:val="007011B7"/>
    <w:rsid w:val="00702AFB"/>
    <w:rsid w:val="0076062D"/>
    <w:rsid w:val="007E3141"/>
    <w:rsid w:val="008335EE"/>
    <w:rsid w:val="00910921"/>
    <w:rsid w:val="009625C7"/>
    <w:rsid w:val="00984545"/>
    <w:rsid w:val="009F48B1"/>
    <w:rsid w:val="00A25387"/>
    <w:rsid w:val="00AC2737"/>
    <w:rsid w:val="00AD2AB8"/>
    <w:rsid w:val="00B50EAE"/>
    <w:rsid w:val="00B73808"/>
    <w:rsid w:val="00BD022D"/>
    <w:rsid w:val="00C00ED9"/>
    <w:rsid w:val="00C13F7C"/>
    <w:rsid w:val="00C82B05"/>
    <w:rsid w:val="00CC141B"/>
    <w:rsid w:val="00CC5A04"/>
    <w:rsid w:val="00DB12E8"/>
    <w:rsid w:val="00E146E2"/>
    <w:rsid w:val="00E71F52"/>
    <w:rsid w:val="00EA475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CF083C"/>
  <w15:docId w15:val="{302D1E02-484D-4F92-848B-1E064F0B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808"/>
    <w:rPr>
      <w:sz w:val="24"/>
      <w:szCs w:val="24"/>
    </w:rPr>
  </w:style>
  <w:style w:type="paragraph" w:styleId="Heading1">
    <w:name w:val="heading 1"/>
    <w:basedOn w:val="Normal"/>
    <w:next w:val="Normal"/>
    <w:link w:val="Heading1Char"/>
    <w:uiPriority w:val="9"/>
    <w:qFormat/>
    <w:rsid w:val="008335E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67A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7A7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7F04"/>
    <w:pPr>
      <w:tabs>
        <w:tab w:val="center" w:pos="4320"/>
        <w:tab w:val="right" w:pos="8640"/>
      </w:tabs>
    </w:pPr>
  </w:style>
  <w:style w:type="paragraph" w:styleId="Footer">
    <w:name w:val="footer"/>
    <w:basedOn w:val="Normal"/>
    <w:semiHidden/>
    <w:rsid w:val="00327F04"/>
    <w:pPr>
      <w:tabs>
        <w:tab w:val="center" w:pos="4320"/>
        <w:tab w:val="right" w:pos="8640"/>
      </w:tabs>
    </w:pPr>
  </w:style>
  <w:style w:type="paragraph" w:customStyle="1" w:styleId="NormalParagraphStyle">
    <w:name w:val="NormalParagraphStyle"/>
    <w:basedOn w:val="Normal"/>
    <w:rsid w:val="00327F04"/>
    <w:pPr>
      <w:widowControl w:val="0"/>
      <w:autoSpaceDE w:val="0"/>
      <w:autoSpaceDN w:val="0"/>
      <w:adjustRightInd w:val="0"/>
      <w:spacing w:line="288" w:lineRule="auto"/>
      <w:textAlignment w:val="center"/>
    </w:pPr>
    <w:rPr>
      <w:rFonts w:ascii="Times-Roman" w:hAnsi="Times-Roman"/>
      <w:color w:val="000000"/>
      <w:lang w:val="en-GB"/>
    </w:rPr>
  </w:style>
  <w:style w:type="character" w:styleId="Hyperlink">
    <w:name w:val="Hyperlink"/>
    <w:basedOn w:val="DefaultParagraphFont"/>
    <w:uiPriority w:val="99"/>
    <w:unhideWhenUsed/>
    <w:rsid w:val="002F116A"/>
    <w:rPr>
      <w:color w:val="0000FF" w:themeColor="hyperlink"/>
      <w:u w:val="single"/>
    </w:rPr>
  </w:style>
  <w:style w:type="character" w:customStyle="1" w:styleId="Heading1Char">
    <w:name w:val="Heading 1 Char"/>
    <w:basedOn w:val="DefaultParagraphFont"/>
    <w:link w:val="Heading1"/>
    <w:uiPriority w:val="9"/>
    <w:rsid w:val="008335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67A7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7A7F"/>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qFormat/>
    <w:rsid w:val="00467A7F"/>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467A7F"/>
    <w:rPr>
      <w:rFonts w:asciiTheme="minorHAnsi" w:eastAsiaTheme="minorHAnsi" w:hAnsiTheme="minorHAnsi" w:cstheme="minorBidi"/>
      <w:sz w:val="24"/>
      <w:szCs w:val="24"/>
      <w:lang w:val="en-US"/>
    </w:rPr>
  </w:style>
  <w:style w:type="paragraph" w:customStyle="1" w:styleId="FirstParagraph">
    <w:name w:val="First Paragraph"/>
    <w:basedOn w:val="BodyText"/>
    <w:next w:val="BodyText"/>
    <w:qFormat/>
    <w:rsid w:val="00467A7F"/>
  </w:style>
  <w:style w:type="paragraph" w:customStyle="1" w:styleId="Compact">
    <w:name w:val="Compact"/>
    <w:basedOn w:val="BodyText"/>
    <w:qFormat/>
    <w:rsid w:val="00467A7F"/>
    <w:pPr>
      <w:spacing w:before="36" w:after="36"/>
    </w:pPr>
  </w:style>
  <w:style w:type="paragraph" w:styleId="ListParagraph">
    <w:name w:val="List Paragraph"/>
    <w:basedOn w:val="Normal"/>
    <w:rsid w:val="00467A7F"/>
    <w:pPr>
      <w:spacing w:after="200"/>
      <w:ind w:left="720"/>
      <w:contextualSpacing/>
    </w:pPr>
    <w:rPr>
      <w:rFonts w:asciiTheme="minorHAnsi" w:eastAsiaTheme="minorHAnsi" w:hAnsiTheme="minorHAnsi" w:cstheme="minorBidi"/>
      <w:lang w:val="en-US"/>
    </w:rPr>
  </w:style>
  <w:style w:type="character" w:styleId="UnresolvedMention">
    <w:name w:val="Unresolved Mention"/>
    <w:basedOn w:val="DefaultParagraphFont"/>
    <w:uiPriority w:val="99"/>
    <w:semiHidden/>
    <w:unhideWhenUsed/>
    <w:rsid w:val="00962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TaxCatchAll xmlns="150ed607-d011-45d5-8216-b1990882b9c0" xsi:nil="true"/>
    <Comments xmlns="4a9c6c2e-cc90-47c0-be42-0b97b97642c0" xsi:nil="true"/>
    <Notes xmlns="4a9c6c2e-cc90-47c0-be42-0b97b97642c0" xsi:nil="true"/>
    <Content xmlns="4a9c6c2e-cc90-47c0-be42-0b97b97642c0" xsi:nil="true"/>
    <Order0 xmlns="4a9c6c2e-cc90-47c0-be42-0b97b97642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A5D815A-213E-4464-911B-479B59D563E9}">
  <ds:schemaRefs>
    <ds:schemaRef ds:uri="http://schemas.microsoft.com/office/2006/metadata/properties"/>
    <ds:schemaRef ds:uri="http://schemas.microsoft.com/office/infopath/2007/PartnerControls"/>
    <ds:schemaRef ds:uri="e29ba597-ac8a-49a7-8f5b-cf427441a3e5"/>
    <ds:schemaRef ds:uri="328995bf-d748-46f6-a2c2-ed6660d2ab0c"/>
  </ds:schemaRefs>
</ds:datastoreItem>
</file>

<file path=customXml/itemProps2.xml><?xml version="1.0" encoding="utf-8"?>
<ds:datastoreItem xmlns:ds="http://schemas.openxmlformats.org/officeDocument/2006/customXml" ds:itemID="{97AF565E-8825-4B61-B66B-9A58D649DD08}">
  <ds:schemaRefs>
    <ds:schemaRef ds:uri="http://schemas.microsoft.com/sharepoint/v3/contenttype/forms"/>
  </ds:schemaRefs>
</ds:datastoreItem>
</file>

<file path=customXml/itemProps3.xml><?xml version="1.0" encoding="utf-8"?>
<ds:datastoreItem xmlns:ds="http://schemas.openxmlformats.org/officeDocument/2006/customXml" ds:itemID="{1F479E4C-4B8B-45FF-BC88-4F5FAF7E24B2}"/>
</file>

<file path=customXml/itemProps4.xml><?xml version="1.0" encoding="utf-8"?>
<ds:datastoreItem xmlns:ds="http://schemas.openxmlformats.org/officeDocument/2006/customXml" ds:itemID="{3AE0CFA9-4881-437C-9F1E-9B424F5972C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2308</Words>
  <Characters>15191</Characters>
  <Application>Microsoft Office Word</Application>
  <DocSecurity>0</DocSecurity>
  <Lines>217</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17422</CharactersWithSpaces>
  <SharedDoc>false</SharedDoc>
  <HLinks>
    <vt:vector size="12" baseType="variant">
      <vt:variant>
        <vt:i4>4390994</vt:i4>
      </vt:variant>
      <vt:variant>
        <vt:i4>-1</vt:i4>
      </vt:variant>
      <vt:variant>
        <vt:i4>2055</vt:i4>
      </vt:variant>
      <vt:variant>
        <vt:i4>1</vt:i4>
      </vt:variant>
      <vt:variant>
        <vt:lpwstr>GREEN AND WHITE ON BLACK</vt:lpwstr>
      </vt:variant>
      <vt:variant>
        <vt:lpwstr/>
      </vt:variant>
      <vt:variant>
        <vt:i4>2293782</vt:i4>
      </vt:variant>
      <vt:variant>
        <vt:i4>-1</vt:i4>
      </vt:variant>
      <vt:variant>
        <vt:i4>2061</vt:i4>
      </vt:variant>
      <vt:variant>
        <vt:i4>1</vt:i4>
      </vt:variant>
      <vt:variant>
        <vt:lpwstr>LETTERHEAD 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Watson</dc:creator>
  <cp:keywords/>
  <cp:lastModifiedBy>LEI, Melissa</cp:lastModifiedBy>
  <cp:revision>2</cp:revision>
  <cp:lastPrinted>2007-10-08T00:47:00Z</cp:lastPrinted>
  <dcterms:created xsi:type="dcterms:W3CDTF">2026-04-16T09:00:00Z</dcterms:created>
  <dcterms:modified xsi:type="dcterms:W3CDTF">2026-04-16T09:00:00Z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0x010100E098083483EAF54BBE19C56BE4F7D597</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2026-04-16T09:00:02Z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2b0f715a-7e12-464b-83ed-4dd728532fcd</vt:lpwstr>
  </property>
  <property fmtid="{D5CDD505-2E9C-101B-9397-08002B2CF9AE}" pid="10" name="MSIP_Label_79d889eb-932f-4752-8739-64d25806ef64_ContentBits">
    <vt:lpwstr>0</vt:lpwstr>
  </property>
  <property fmtid="{D5CDD505-2E9C-101B-9397-08002B2CF9AE}" pid="11" name="MSIP_Label_79d889eb-932f-4752-8739-64d25806ef64_Tag">
    <vt:lpwstr>10, 0, 1, 1</vt:lpwstr>
  </property>
</Properties>
</file>