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E9B7" w14:textId="77777777" w:rsidR="00B96D2E" w:rsidRPr="00B96D2E" w:rsidRDefault="00B96D2E" w:rsidP="00B96D2E">
      <w:r w:rsidRPr="00B96D2E">
        <w:rPr>
          <w:b/>
          <w:bCs/>
        </w:rPr>
        <w:t>Submission to the Higher Education Standards Panel</w:t>
      </w:r>
      <w:r w:rsidRPr="00B96D2E">
        <w:t xml:space="preserve"> </w:t>
      </w:r>
      <w:r w:rsidRPr="00B96D2E">
        <w:rPr>
          <w:b/>
          <w:bCs/>
        </w:rPr>
        <w:t>Question 9: Do the standards currently provide adequate guidance to manage risks related to emerging technologies?</w:t>
      </w:r>
    </w:p>
    <w:p w14:paraId="6A1BFA87" w14:textId="77777777" w:rsidR="00B96D2E" w:rsidRPr="00B96D2E" w:rsidRDefault="00B96D2E" w:rsidP="00B96D2E">
      <w:r w:rsidRPr="00B96D2E">
        <w:t>Dear Members of the Higher Education Standards Panel,</w:t>
      </w:r>
    </w:p>
    <w:p w14:paraId="75BB60C6" w14:textId="17E223D0" w:rsidR="000C31EC" w:rsidRDefault="06BA77B0" w:rsidP="00B96D2E">
      <w:r>
        <w:t xml:space="preserve">We </w:t>
      </w:r>
      <w:r w:rsidR="00B96D2E">
        <w:t>write as</w:t>
      </w:r>
      <w:r>
        <w:t xml:space="preserve"> researchers from the Centre for Research in Assessment and Digital Learning (CRADLE) at Deakin University. Our response addresses Question 9</w:t>
      </w:r>
      <w:r w:rsidR="5E173352">
        <w:t>, and it is simply</w:t>
      </w:r>
      <w:r>
        <w:t xml:space="preserve">: </w:t>
      </w:r>
      <w:r w:rsidR="6A6E7011">
        <w:t>“</w:t>
      </w:r>
      <w:r w:rsidR="6758B099">
        <w:t>N</w:t>
      </w:r>
      <w:r>
        <w:t>o</w:t>
      </w:r>
      <w:r w:rsidR="606AD195">
        <w:t>”</w:t>
      </w:r>
      <w:r w:rsidR="4AD06BCD">
        <w:t>.</w:t>
      </w:r>
      <w:r>
        <w:t xml:space="preserve"> </w:t>
      </w:r>
      <w:r w:rsidR="4AD06BCD">
        <w:t>T</w:t>
      </w:r>
      <w:r>
        <w:t>he current Threshold Standards do not provide adequate guidance to manage risks related to emerging technologies</w:t>
      </w:r>
      <w:r w:rsidR="4AD06BCD">
        <w:t xml:space="preserve">. </w:t>
      </w:r>
    </w:p>
    <w:p w14:paraId="4E670035" w14:textId="7FCCFAB8" w:rsidR="00B96D2E" w:rsidRPr="00B96D2E" w:rsidRDefault="000C31EC" w:rsidP="00B96D2E">
      <w:r>
        <w:t>T</w:t>
      </w:r>
      <w:r w:rsidR="00B96D2E" w:rsidRPr="00B96D2E">
        <w:t>he consequences of that inadequacy are already being felt.</w:t>
      </w:r>
    </w:p>
    <w:p w14:paraId="607FD20F" w14:textId="77777777" w:rsidR="00B96D2E" w:rsidRPr="00B96D2E" w:rsidRDefault="00B96D2E" w:rsidP="00B96D2E">
      <w:r w:rsidRPr="00B96D2E">
        <w:rPr>
          <w:b/>
          <w:bCs/>
        </w:rPr>
        <w:t>The current framework is reactive by design</w:t>
      </w:r>
    </w:p>
    <w:p w14:paraId="22AA7D5E" w14:textId="6905F96B" w:rsidR="00B96D2E" w:rsidRPr="00B96D2E" w:rsidRDefault="06BA77B0" w:rsidP="00B96D2E">
      <w:r>
        <w:t>The Standards address technological change primarily through broad, principle-based provisions on governance, risk, academic integrity and quality assurance. As the consultation paper itself acknowledges, emerging technologies are not explicitly contemplated. In our view, this approach</w:t>
      </w:r>
      <w:r w:rsidR="63039DFD">
        <w:t xml:space="preserve"> not only fails to provide adequate guidance</w:t>
      </w:r>
      <w:r w:rsidR="00973BBB">
        <w:t>,</w:t>
      </w:r>
      <w:r w:rsidR="63039DFD">
        <w:t xml:space="preserve"> </w:t>
      </w:r>
      <w:proofErr w:type="gramStart"/>
      <w:r w:rsidR="63039DFD">
        <w:t>it</w:t>
      </w:r>
      <w:proofErr w:type="gramEnd"/>
      <w:r w:rsidR="63039DFD">
        <w:t xml:space="preserve"> </w:t>
      </w:r>
      <w:r>
        <w:t xml:space="preserve">has </w:t>
      </w:r>
      <w:r w:rsidR="3F1894B9">
        <w:t xml:space="preserve">also </w:t>
      </w:r>
      <w:r>
        <w:t>actively enabled institutional inaction.</w:t>
      </w:r>
    </w:p>
    <w:p w14:paraId="0198328E" w14:textId="77777777" w:rsidR="00B96D2E" w:rsidRPr="00B96D2E" w:rsidRDefault="00B96D2E" w:rsidP="00B96D2E">
      <w:r w:rsidRPr="00B96D2E">
        <w:rPr>
          <w:b/>
          <w:bCs/>
        </w:rPr>
        <w:t>The "sudden disruption" narrative is false</w:t>
      </w:r>
    </w:p>
    <w:p w14:paraId="46D815ED" w14:textId="5E7ACFC9" w:rsidR="00B96D2E" w:rsidRPr="00B96D2E" w:rsidRDefault="06BA77B0" w:rsidP="00B96D2E">
      <w:r>
        <w:t>A persistent claim in the sector is that generative AI arrived without warning and disrupted assessment before institutions could reasonably respond. This narrative does not withstand scrutiny, and the</w:t>
      </w:r>
      <w:r w:rsidR="008948CD">
        <w:t xml:space="preserve"> standards should be rewritten to ensure that the next wave of technological change does not result in the same chaos which resulted from the release of ChatGPT in </w:t>
      </w:r>
      <w:proofErr w:type="gramStart"/>
      <w:r w:rsidR="008948CD">
        <w:t>November,</w:t>
      </w:r>
      <w:proofErr w:type="gramEnd"/>
      <w:r w:rsidR="008948CD">
        <w:t xml:space="preserve"> 2022.</w:t>
      </w:r>
    </w:p>
    <w:p w14:paraId="6ACE029B" w14:textId="2FAFC8EF" w:rsidR="00B96D2E" w:rsidRPr="00B96D2E" w:rsidRDefault="00B96D2E" w:rsidP="00B96D2E">
      <w:r w:rsidRPr="00B96D2E">
        <w:t xml:space="preserve">In 2019, while researching </w:t>
      </w:r>
      <w:r w:rsidRPr="00B96D2E">
        <w:rPr>
          <w:i/>
          <w:iCs/>
        </w:rPr>
        <w:t>Defending Assessment Security in a Digital World</w:t>
      </w:r>
      <w:r w:rsidRPr="00B96D2E">
        <w:t xml:space="preserve"> (Routledge, 2021), first author Phillip Dawson used</w:t>
      </w:r>
      <w:r w:rsidR="0060553F">
        <w:t xml:space="preserve"> an early version of</w:t>
      </w:r>
      <w:r w:rsidRPr="00B96D2E">
        <w:t xml:space="preserve"> OpenAI's GPT </w:t>
      </w:r>
      <w:r w:rsidR="009F5374">
        <w:t>(</w:t>
      </w:r>
      <w:r w:rsidRPr="00B96D2E">
        <w:t>the underlying technology of ChatGPT</w:t>
      </w:r>
      <w:r w:rsidR="009F5374">
        <w:t xml:space="preserve">) </w:t>
      </w:r>
      <w:r w:rsidRPr="00B96D2E">
        <w:t xml:space="preserve">to generate responses to assignment briefs. He presented this work and its implications in major conference keynotes, at TEQSA events, and at both </w:t>
      </w:r>
      <w:r w:rsidR="00CA6548">
        <w:t xml:space="preserve">major </w:t>
      </w:r>
      <w:r w:rsidRPr="00B96D2E">
        <w:t xml:space="preserve">Chairs of Academic Boards networks. He spoke to the media about it </w:t>
      </w:r>
      <w:r w:rsidR="00CA6548">
        <w:t xml:space="preserve">well </w:t>
      </w:r>
      <w:r w:rsidRPr="00B96D2E">
        <w:t>before ChatGPT became publicly available. Internationally, scholars such as Thomas Lancaster (UK) were conducting parallel work. The academic integrity community understood clearly that this technology was coming and had a well-founded view of its likely impacts.</w:t>
      </w:r>
    </w:p>
    <w:p w14:paraId="7C46F3FC" w14:textId="4D5A1C45" w:rsidR="00B96D2E" w:rsidRPr="00B96D2E" w:rsidRDefault="00B96D2E" w:rsidP="00B96D2E">
      <w:r w:rsidRPr="00B96D2E">
        <w:t>The generative AI "crisis" was not an unforeseeable shock. It was foreseen, publicly, by researchers working in this field</w:t>
      </w:r>
      <w:r w:rsidR="003B5FE4">
        <w:t xml:space="preserve">, however, </w:t>
      </w:r>
      <w:r w:rsidRPr="00B96D2E">
        <w:t xml:space="preserve">the regulatory framework provided no mechanism to compel </w:t>
      </w:r>
      <w:r w:rsidR="009F20E7">
        <w:t>the sector</w:t>
      </w:r>
      <w:r w:rsidRPr="00B96D2E">
        <w:t xml:space="preserve"> to act on those warnings.</w:t>
      </w:r>
    </w:p>
    <w:p w14:paraId="490AF82B" w14:textId="77777777" w:rsidR="00B96D2E" w:rsidRPr="00B96D2E" w:rsidRDefault="00B96D2E" w:rsidP="00B96D2E">
      <w:r w:rsidRPr="00B96D2E">
        <w:rPr>
          <w:b/>
          <w:bCs/>
        </w:rPr>
        <w:t>The next disruption is already visible</w:t>
      </w:r>
    </w:p>
    <w:p w14:paraId="44DF5992" w14:textId="35B05D8C" w:rsidR="00B96D2E" w:rsidRPr="00B96D2E" w:rsidRDefault="06BA77B0" w:rsidP="00B96D2E">
      <w:r>
        <w:t xml:space="preserve">Researchers at CRADLE and elsewhere are now identifying the next wave of technologies with serious implications for assessment integrity, equity and student </w:t>
      </w:r>
      <w:r>
        <w:lastRenderedPageBreak/>
        <w:t>safety. These include AI-enabled wearables such as smart glasses, consumer neurotechnology, and real-time high-quality deepfakes. These are not speculative</w:t>
      </w:r>
      <w:r w:rsidR="287055F8">
        <w:t>;</w:t>
      </w:r>
      <w:r>
        <w:t xml:space="preserve"> they exist today</w:t>
      </w:r>
      <w:r w:rsidR="07C4F6C3">
        <w:t xml:space="preserve"> and are being sold in their million</w:t>
      </w:r>
      <w:r>
        <w:t>. They are simply not yet taken seriously enough by most institutions.</w:t>
      </w:r>
    </w:p>
    <w:p w14:paraId="477C089C" w14:textId="084F3B59" w:rsidR="00B96D2E" w:rsidRPr="00B96D2E" w:rsidRDefault="06BA77B0" w:rsidP="00B96D2E">
      <w:r>
        <w:t xml:space="preserve">Without intervention, the current regulatory framework will </w:t>
      </w:r>
      <w:r w:rsidR="2FA9668E">
        <w:t xml:space="preserve">once </w:t>
      </w:r>
      <w:r>
        <w:t xml:space="preserve">again permit providers to disregard credible early warnings until a crisis </w:t>
      </w:r>
      <w:r w:rsidR="0C47CD9E">
        <w:t xml:space="preserve">finally </w:t>
      </w:r>
      <w:r>
        <w:t>forces a reactive response. This pattern is not acceptable in other domains of institutional risk, and there is no principled reason to accept it for academic standards.</w:t>
      </w:r>
    </w:p>
    <w:p w14:paraId="7C6328F4" w14:textId="77777777" w:rsidR="00B96D2E" w:rsidRPr="00B96D2E" w:rsidRDefault="00B96D2E" w:rsidP="00B96D2E">
      <w:r w:rsidRPr="00B96D2E">
        <w:rPr>
          <w:b/>
          <w:bCs/>
        </w:rPr>
        <w:t>Recommended amendments to the Standards</w:t>
      </w:r>
    </w:p>
    <w:p w14:paraId="03270225" w14:textId="77777777" w:rsidR="00B96D2E" w:rsidRPr="00B96D2E" w:rsidRDefault="00B96D2E" w:rsidP="00B96D2E">
      <w:r w:rsidRPr="00B96D2E">
        <w:t>We recommend the Standards be amended to require providers to demonstrate that they:</w:t>
      </w:r>
    </w:p>
    <w:p w14:paraId="0A89EF54" w14:textId="3E656F85" w:rsidR="00B96D2E" w:rsidRPr="00B96D2E" w:rsidRDefault="06BA77B0" w:rsidP="00B96D2E">
      <w:pPr>
        <w:numPr>
          <w:ilvl w:val="0"/>
          <w:numId w:val="2"/>
        </w:numPr>
      </w:pPr>
      <w:r w:rsidRPr="41D97941">
        <w:rPr>
          <w:b/>
          <w:bCs/>
        </w:rPr>
        <w:t>Horizon-scan systematically</w:t>
      </w:r>
      <w:r w:rsidR="26B989D5">
        <w:t xml:space="preserve">: </w:t>
      </w:r>
      <w:r>
        <w:t xml:space="preserve"> maintain ongoing, documented processes for identifying technological developments with implications for assessment, academic integrity, equity</w:t>
      </w:r>
      <w:r w:rsidR="73FB99CD">
        <w:t>,</w:t>
      </w:r>
      <w:r>
        <w:t xml:space="preserve"> and student safety.</w:t>
      </w:r>
    </w:p>
    <w:p w14:paraId="68AF3199" w14:textId="0A003BA9" w:rsidR="00B96D2E" w:rsidRPr="00B96D2E" w:rsidRDefault="00B96D2E" w:rsidP="00B96D2E">
      <w:pPr>
        <w:numPr>
          <w:ilvl w:val="0"/>
          <w:numId w:val="2"/>
        </w:numPr>
      </w:pPr>
      <w:r w:rsidRPr="00B96D2E">
        <w:rPr>
          <w:b/>
          <w:bCs/>
        </w:rPr>
        <w:t>Escalate risk appropriately</w:t>
      </w:r>
      <w:r w:rsidR="00906940">
        <w:t xml:space="preserve">: </w:t>
      </w:r>
      <w:r w:rsidRPr="00B96D2E">
        <w:t xml:space="preserve">integrate identified technological risks </w:t>
      </w:r>
      <w:r w:rsidR="006924CD">
        <w:t xml:space="preserve">to academic integrity </w:t>
      </w:r>
      <w:r w:rsidRPr="00B96D2E">
        <w:t>into enterprise risk management processes at governing body level.</w:t>
      </w:r>
    </w:p>
    <w:p w14:paraId="240EA160" w14:textId="767FC29D" w:rsidR="00B96D2E" w:rsidRPr="00B96D2E" w:rsidRDefault="00B96D2E" w:rsidP="00B96D2E">
      <w:pPr>
        <w:numPr>
          <w:ilvl w:val="0"/>
          <w:numId w:val="2"/>
        </w:numPr>
      </w:pPr>
      <w:r w:rsidRPr="00B96D2E">
        <w:rPr>
          <w:b/>
          <w:bCs/>
        </w:rPr>
        <w:t>Review assessment design proactively</w:t>
      </w:r>
      <w:r w:rsidR="006924CD">
        <w:t xml:space="preserve">: </w:t>
      </w:r>
      <w:r w:rsidRPr="00B96D2E">
        <w:t xml:space="preserve">conduct regular, evidence-informed reviews of assessment practices </w:t>
      </w:r>
      <w:proofErr w:type="gramStart"/>
      <w:r w:rsidRPr="00B96D2E">
        <w:t>in light of</w:t>
      </w:r>
      <w:proofErr w:type="gramEnd"/>
      <w:r w:rsidRPr="00B96D2E">
        <w:t xml:space="preserve"> emerging technological capabilities.</w:t>
      </w:r>
    </w:p>
    <w:p w14:paraId="6051B285" w14:textId="31AB3489" w:rsidR="00B96D2E" w:rsidRPr="00B96D2E" w:rsidRDefault="00B96D2E" w:rsidP="00B96D2E">
      <w:pPr>
        <w:numPr>
          <w:ilvl w:val="0"/>
          <w:numId w:val="2"/>
        </w:numPr>
      </w:pPr>
      <w:r w:rsidRPr="00B96D2E">
        <w:rPr>
          <w:b/>
          <w:bCs/>
        </w:rPr>
        <w:t>Report transparently</w:t>
      </w:r>
      <w:r w:rsidR="006924CD">
        <w:t xml:space="preserve">: </w:t>
      </w:r>
      <w:r w:rsidRPr="00B96D2E">
        <w:t>publish, at regular intervals, how emerging technological risks have been identified, assessed, mitigated and monitored.</w:t>
      </w:r>
    </w:p>
    <w:p w14:paraId="393A7F91" w14:textId="732CE604" w:rsidR="00B96D2E" w:rsidRPr="00B96D2E" w:rsidRDefault="00B96D2E" w:rsidP="00B96D2E">
      <w:r w:rsidRPr="00B96D2E">
        <w:t xml:space="preserve">We recognise that smaller providers may lack the internal capacity to undertake </w:t>
      </w:r>
      <w:proofErr w:type="gramStart"/>
      <w:r w:rsidRPr="00B96D2E">
        <w:t>all of</w:t>
      </w:r>
      <w:proofErr w:type="gramEnd"/>
      <w:r w:rsidRPr="00B96D2E">
        <w:t xml:space="preserve"> these activities independently. The Standards should therefore contemplate that some horizon-scanning and risk synthesis functions may be fulfilled through sector-wide bodies, consortia, or an appropriately resourced independent entity</w:t>
      </w:r>
      <w:r w:rsidR="00073F85">
        <w:t>,</w:t>
      </w:r>
      <w:r w:rsidRPr="00B96D2E">
        <w:t xml:space="preserve"> provided that all institutions are required to act on the outputs.</w:t>
      </w:r>
    </w:p>
    <w:p w14:paraId="143CC30F" w14:textId="77777777" w:rsidR="00B96D2E" w:rsidRPr="00B96D2E" w:rsidRDefault="00B96D2E" w:rsidP="00B96D2E">
      <w:r w:rsidRPr="00B96D2E">
        <w:rPr>
          <w:b/>
          <w:bCs/>
        </w:rPr>
        <w:t>Conclusion</w:t>
      </w:r>
    </w:p>
    <w:p w14:paraId="7A13C0B5" w14:textId="0F857F51" w:rsidR="00B96D2E" w:rsidRPr="00B96D2E" w:rsidRDefault="00B96D2E" w:rsidP="00B96D2E">
      <w:r w:rsidRPr="00B96D2E">
        <w:t xml:space="preserve">In other high-stakes domains, institutions are not permitted to plead ignorance of foreseeable risks. The integrity of Australian higher education qualifications should be afforded no less protection. We urge the Panel to use this review as an opportunity to move the Standards from a </w:t>
      </w:r>
      <w:r w:rsidR="0074713C">
        <w:t>reactive to a proactive posture when it comes to emerging technologies.</w:t>
      </w:r>
    </w:p>
    <w:p w14:paraId="62D4CAAD" w14:textId="77777777" w:rsidR="00B96D2E" w:rsidRPr="00B96D2E" w:rsidRDefault="00B96D2E" w:rsidP="00B96D2E">
      <w:r w:rsidRPr="00B96D2E">
        <w:t>We welcome the opportunity to discuss this submission further.</w:t>
      </w:r>
    </w:p>
    <w:p w14:paraId="4653C58F" w14:textId="1642211D" w:rsidR="00B96D2E" w:rsidRDefault="00B96D2E" w:rsidP="00FE1F24">
      <w:r w:rsidRPr="00B96D2E">
        <w:rPr>
          <w:b/>
          <w:bCs/>
        </w:rPr>
        <w:t>Professor Phillip Dawson and Dr Thomas Corbin</w:t>
      </w:r>
      <w:r w:rsidR="00AA4C9F">
        <w:rPr>
          <w:b/>
          <w:bCs/>
        </w:rPr>
        <w:t>,</w:t>
      </w:r>
      <w:r w:rsidRPr="00B96D2E">
        <w:t xml:space="preserve"> Centre for Research in Assessment and Digital Learning (CRADLE)</w:t>
      </w:r>
      <w:r w:rsidR="00AA4C9F">
        <w:t>,</w:t>
      </w:r>
      <w:r w:rsidRPr="00B96D2E">
        <w:t xml:space="preserve"> Deakin University</w:t>
      </w:r>
    </w:p>
    <w:sectPr w:rsidR="00B96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1E58"/>
    <w:multiLevelType w:val="multilevel"/>
    <w:tmpl w:val="BD7A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A16C5C"/>
    <w:multiLevelType w:val="multilevel"/>
    <w:tmpl w:val="B602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138919">
    <w:abstractNumId w:val="0"/>
  </w:num>
  <w:num w:numId="2" w16cid:durableId="1677001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83"/>
    <w:rsid w:val="0000614C"/>
    <w:rsid w:val="00022600"/>
    <w:rsid w:val="00035025"/>
    <w:rsid w:val="00057190"/>
    <w:rsid w:val="0007311F"/>
    <w:rsid w:val="00073F85"/>
    <w:rsid w:val="00087240"/>
    <w:rsid w:val="00090164"/>
    <w:rsid w:val="000963EC"/>
    <w:rsid w:val="000A2518"/>
    <w:rsid w:val="000A40E0"/>
    <w:rsid w:val="000B4D9C"/>
    <w:rsid w:val="000C31EC"/>
    <w:rsid w:val="000C56F8"/>
    <w:rsid w:val="000C707C"/>
    <w:rsid w:val="000D008E"/>
    <w:rsid w:val="000D0830"/>
    <w:rsid w:val="000D0B99"/>
    <w:rsid w:val="000D6A8A"/>
    <w:rsid w:val="000E2F85"/>
    <w:rsid w:val="000E646A"/>
    <w:rsid w:val="000F7784"/>
    <w:rsid w:val="00111083"/>
    <w:rsid w:val="00112924"/>
    <w:rsid w:val="00116BB2"/>
    <w:rsid w:val="00121F28"/>
    <w:rsid w:val="0012651E"/>
    <w:rsid w:val="001414F2"/>
    <w:rsid w:val="00150D03"/>
    <w:rsid w:val="00157CFD"/>
    <w:rsid w:val="00176181"/>
    <w:rsid w:val="00180069"/>
    <w:rsid w:val="001868ED"/>
    <w:rsid w:val="001A62E9"/>
    <w:rsid w:val="001C5BC4"/>
    <w:rsid w:val="001D4280"/>
    <w:rsid w:val="001E3A57"/>
    <w:rsid w:val="001E7657"/>
    <w:rsid w:val="001F1B6B"/>
    <w:rsid w:val="00205356"/>
    <w:rsid w:val="002106DF"/>
    <w:rsid w:val="002114AF"/>
    <w:rsid w:val="0024329E"/>
    <w:rsid w:val="00243364"/>
    <w:rsid w:val="00246EEF"/>
    <w:rsid w:val="0024735A"/>
    <w:rsid w:val="0025005F"/>
    <w:rsid w:val="00252BBE"/>
    <w:rsid w:val="00254661"/>
    <w:rsid w:val="00260B8E"/>
    <w:rsid w:val="00263B73"/>
    <w:rsid w:val="00266C5D"/>
    <w:rsid w:val="002751B5"/>
    <w:rsid w:val="002C24E7"/>
    <w:rsid w:val="002D01BD"/>
    <w:rsid w:val="002F50CA"/>
    <w:rsid w:val="002F689B"/>
    <w:rsid w:val="0030075A"/>
    <w:rsid w:val="0031751B"/>
    <w:rsid w:val="00324127"/>
    <w:rsid w:val="00342D66"/>
    <w:rsid w:val="00343F34"/>
    <w:rsid w:val="003479EE"/>
    <w:rsid w:val="003610E1"/>
    <w:rsid w:val="0037237A"/>
    <w:rsid w:val="0039283B"/>
    <w:rsid w:val="00397D95"/>
    <w:rsid w:val="003A158F"/>
    <w:rsid w:val="003A30B9"/>
    <w:rsid w:val="003A3C83"/>
    <w:rsid w:val="003B13F2"/>
    <w:rsid w:val="003B1E83"/>
    <w:rsid w:val="003B5FE4"/>
    <w:rsid w:val="003C534C"/>
    <w:rsid w:val="003E0F5C"/>
    <w:rsid w:val="00405317"/>
    <w:rsid w:val="0040684F"/>
    <w:rsid w:val="00413F6F"/>
    <w:rsid w:val="00420A32"/>
    <w:rsid w:val="00424CB2"/>
    <w:rsid w:val="00436DAD"/>
    <w:rsid w:val="00466DE8"/>
    <w:rsid w:val="004848D2"/>
    <w:rsid w:val="00492DF8"/>
    <w:rsid w:val="004957FE"/>
    <w:rsid w:val="004A0681"/>
    <w:rsid w:val="004A348D"/>
    <w:rsid w:val="004B3BFA"/>
    <w:rsid w:val="004C2EB6"/>
    <w:rsid w:val="004C7A18"/>
    <w:rsid w:val="004D0768"/>
    <w:rsid w:val="004E2690"/>
    <w:rsid w:val="004E6E3C"/>
    <w:rsid w:val="004F69AB"/>
    <w:rsid w:val="00500DB5"/>
    <w:rsid w:val="00510943"/>
    <w:rsid w:val="00514DA5"/>
    <w:rsid w:val="00515D53"/>
    <w:rsid w:val="00522E6F"/>
    <w:rsid w:val="00526CC1"/>
    <w:rsid w:val="00532ED9"/>
    <w:rsid w:val="00533D59"/>
    <w:rsid w:val="005368E8"/>
    <w:rsid w:val="005508DD"/>
    <w:rsid w:val="00556026"/>
    <w:rsid w:val="005923F5"/>
    <w:rsid w:val="005A01BA"/>
    <w:rsid w:val="005A3360"/>
    <w:rsid w:val="005A363A"/>
    <w:rsid w:val="005C1354"/>
    <w:rsid w:val="005D7381"/>
    <w:rsid w:val="006002F6"/>
    <w:rsid w:val="00603477"/>
    <w:rsid w:val="006053A2"/>
    <w:rsid w:val="0060553F"/>
    <w:rsid w:val="006076B5"/>
    <w:rsid w:val="00615E0C"/>
    <w:rsid w:val="00623E36"/>
    <w:rsid w:val="0063409F"/>
    <w:rsid w:val="0063434E"/>
    <w:rsid w:val="0064067D"/>
    <w:rsid w:val="00641D83"/>
    <w:rsid w:val="006454D1"/>
    <w:rsid w:val="00662740"/>
    <w:rsid w:val="00681EA4"/>
    <w:rsid w:val="00684625"/>
    <w:rsid w:val="006924CD"/>
    <w:rsid w:val="006B01BB"/>
    <w:rsid w:val="006B3221"/>
    <w:rsid w:val="006C6125"/>
    <w:rsid w:val="006D3704"/>
    <w:rsid w:val="006E2B5D"/>
    <w:rsid w:val="006E5A16"/>
    <w:rsid w:val="006E79E8"/>
    <w:rsid w:val="006F390E"/>
    <w:rsid w:val="006F397A"/>
    <w:rsid w:val="007215F2"/>
    <w:rsid w:val="00724A3D"/>
    <w:rsid w:val="0074713C"/>
    <w:rsid w:val="007533A4"/>
    <w:rsid w:val="00753578"/>
    <w:rsid w:val="00760DC1"/>
    <w:rsid w:val="00761BA8"/>
    <w:rsid w:val="00767937"/>
    <w:rsid w:val="00782CF8"/>
    <w:rsid w:val="007A007A"/>
    <w:rsid w:val="007A2322"/>
    <w:rsid w:val="007A7F12"/>
    <w:rsid w:val="007C6533"/>
    <w:rsid w:val="007D3114"/>
    <w:rsid w:val="007E5AA9"/>
    <w:rsid w:val="007E66FF"/>
    <w:rsid w:val="007E69F6"/>
    <w:rsid w:val="007F2CA0"/>
    <w:rsid w:val="007F651B"/>
    <w:rsid w:val="00811871"/>
    <w:rsid w:val="00817F38"/>
    <w:rsid w:val="00820D30"/>
    <w:rsid w:val="00824640"/>
    <w:rsid w:val="00852A9B"/>
    <w:rsid w:val="0086392E"/>
    <w:rsid w:val="00871D11"/>
    <w:rsid w:val="00877DD2"/>
    <w:rsid w:val="008863A1"/>
    <w:rsid w:val="00886A6F"/>
    <w:rsid w:val="008948CD"/>
    <w:rsid w:val="008B23BF"/>
    <w:rsid w:val="008B7AA9"/>
    <w:rsid w:val="008C46B3"/>
    <w:rsid w:val="008C52DD"/>
    <w:rsid w:val="008C5A9D"/>
    <w:rsid w:val="008C5B46"/>
    <w:rsid w:val="008D3430"/>
    <w:rsid w:val="00900786"/>
    <w:rsid w:val="0090433F"/>
    <w:rsid w:val="00906940"/>
    <w:rsid w:val="00910D2F"/>
    <w:rsid w:val="00912628"/>
    <w:rsid w:val="009142F5"/>
    <w:rsid w:val="00922EB2"/>
    <w:rsid w:val="0092774F"/>
    <w:rsid w:val="009373BC"/>
    <w:rsid w:val="00942C4C"/>
    <w:rsid w:val="00947312"/>
    <w:rsid w:val="0096180D"/>
    <w:rsid w:val="00962788"/>
    <w:rsid w:val="00962D2E"/>
    <w:rsid w:val="00965D79"/>
    <w:rsid w:val="00967BE1"/>
    <w:rsid w:val="00973BBB"/>
    <w:rsid w:val="00995215"/>
    <w:rsid w:val="009A76A1"/>
    <w:rsid w:val="009C59CE"/>
    <w:rsid w:val="009D3EB2"/>
    <w:rsid w:val="009E1381"/>
    <w:rsid w:val="009F0C43"/>
    <w:rsid w:val="009F19D9"/>
    <w:rsid w:val="009F20E7"/>
    <w:rsid w:val="009F2324"/>
    <w:rsid w:val="009F5374"/>
    <w:rsid w:val="00A025C4"/>
    <w:rsid w:val="00A27780"/>
    <w:rsid w:val="00A57FD0"/>
    <w:rsid w:val="00A60164"/>
    <w:rsid w:val="00A6455C"/>
    <w:rsid w:val="00A828A0"/>
    <w:rsid w:val="00A87B89"/>
    <w:rsid w:val="00A911DA"/>
    <w:rsid w:val="00A91B20"/>
    <w:rsid w:val="00AA48F1"/>
    <w:rsid w:val="00AA4C9F"/>
    <w:rsid w:val="00AB6202"/>
    <w:rsid w:val="00AF3783"/>
    <w:rsid w:val="00B03912"/>
    <w:rsid w:val="00B14A33"/>
    <w:rsid w:val="00B20F77"/>
    <w:rsid w:val="00B33579"/>
    <w:rsid w:val="00B43DDB"/>
    <w:rsid w:val="00B7161B"/>
    <w:rsid w:val="00B77D92"/>
    <w:rsid w:val="00B8087C"/>
    <w:rsid w:val="00B96D2E"/>
    <w:rsid w:val="00BA251E"/>
    <w:rsid w:val="00BA5441"/>
    <w:rsid w:val="00BC1F07"/>
    <w:rsid w:val="00BD3791"/>
    <w:rsid w:val="00BD3A68"/>
    <w:rsid w:val="00BD520D"/>
    <w:rsid w:val="00BF4B9B"/>
    <w:rsid w:val="00C00501"/>
    <w:rsid w:val="00C015C2"/>
    <w:rsid w:val="00C02EE9"/>
    <w:rsid w:val="00C576B2"/>
    <w:rsid w:val="00C63E0F"/>
    <w:rsid w:val="00C65F63"/>
    <w:rsid w:val="00C67BCC"/>
    <w:rsid w:val="00C73D22"/>
    <w:rsid w:val="00C75B95"/>
    <w:rsid w:val="00C86968"/>
    <w:rsid w:val="00C9433F"/>
    <w:rsid w:val="00CA6548"/>
    <w:rsid w:val="00CC093E"/>
    <w:rsid w:val="00CC4093"/>
    <w:rsid w:val="00CC5AD0"/>
    <w:rsid w:val="00CD31DB"/>
    <w:rsid w:val="00CD477C"/>
    <w:rsid w:val="00CD6667"/>
    <w:rsid w:val="00CE721E"/>
    <w:rsid w:val="00CF50A4"/>
    <w:rsid w:val="00D05539"/>
    <w:rsid w:val="00D10F56"/>
    <w:rsid w:val="00D21BD3"/>
    <w:rsid w:val="00D22DB9"/>
    <w:rsid w:val="00D41599"/>
    <w:rsid w:val="00D6049B"/>
    <w:rsid w:val="00DA21B6"/>
    <w:rsid w:val="00DC0281"/>
    <w:rsid w:val="00DC74AB"/>
    <w:rsid w:val="00DE35ED"/>
    <w:rsid w:val="00E05312"/>
    <w:rsid w:val="00E07EBF"/>
    <w:rsid w:val="00E11F13"/>
    <w:rsid w:val="00E12DFC"/>
    <w:rsid w:val="00E17764"/>
    <w:rsid w:val="00E207F1"/>
    <w:rsid w:val="00E20FBF"/>
    <w:rsid w:val="00E22B59"/>
    <w:rsid w:val="00E308E8"/>
    <w:rsid w:val="00E32651"/>
    <w:rsid w:val="00E37C11"/>
    <w:rsid w:val="00E41522"/>
    <w:rsid w:val="00E43FEA"/>
    <w:rsid w:val="00E63B28"/>
    <w:rsid w:val="00E82332"/>
    <w:rsid w:val="00E90414"/>
    <w:rsid w:val="00E935AF"/>
    <w:rsid w:val="00EA5665"/>
    <w:rsid w:val="00EB4F20"/>
    <w:rsid w:val="00EB5325"/>
    <w:rsid w:val="00ED1344"/>
    <w:rsid w:val="00ED2A6E"/>
    <w:rsid w:val="00ED351A"/>
    <w:rsid w:val="00ED547B"/>
    <w:rsid w:val="00F01B72"/>
    <w:rsid w:val="00F107A5"/>
    <w:rsid w:val="00F144EB"/>
    <w:rsid w:val="00F165BB"/>
    <w:rsid w:val="00F4433B"/>
    <w:rsid w:val="00F7029F"/>
    <w:rsid w:val="00F848EE"/>
    <w:rsid w:val="00FA44F1"/>
    <w:rsid w:val="00FB2088"/>
    <w:rsid w:val="00FB5C03"/>
    <w:rsid w:val="00FB7F56"/>
    <w:rsid w:val="00FC6765"/>
    <w:rsid w:val="00FD5783"/>
    <w:rsid w:val="00FE1F24"/>
    <w:rsid w:val="00FE3590"/>
    <w:rsid w:val="00FE5B70"/>
    <w:rsid w:val="06BA77B0"/>
    <w:rsid w:val="07C4F6C3"/>
    <w:rsid w:val="0A782472"/>
    <w:rsid w:val="0C47CD9E"/>
    <w:rsid w:val="1A9B34D4"/>
    <w:rsid w:val="26B989D5"/>
    <w:rsid w:val="27381B4D"/>
    <w:rsid w:val="287055F8"/>
    <w:rsid w:val="2883FCD8"/>
    <w:rsid w:val="2FA9668E"/>
    <w:rsid w:val="3F1894B9"/>
    <w:rsid w:val="41D97941"/>
    <w:rsid w:val="44EE88C0"/>
    <w:rsid w:val="4AD06BCD"/>
    <w:rsid w:val="55CC1288"/>
    <w:rsid w:val="5E173352"/>
    <w:rsid w:val="606AD195"/>
    <w:rsid w:val="63039DFD"/>
    <w:rsid w:val="659C8F71"/>
    <w:rsid w:val="6758B099"/>
    <w:rsid w:val="6A6E7011"/>
    <w:rsid w:val="73FB99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896A"/>
  <w15:chartTrackingRefBased/>
  <w15:docId w15:val="{1B8FCEF1-5891-C942-9ACB-C10F836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C83"/>
    <w:rPr>
      <w:rFonts w:eastAsiaTheme="majorEastAsia" w:cstheme="majorBidi"/>
      <w:color w:val="272727" w:themeColor="text1" w:themeTint="D8"/>
    </w:rPr>
  </w:style>
  <w:style w:type="paragraph" w:styleId="Title">
    <w:name w:val="Title"/>
    <w:basedOn w:val="Normal"/>
    <w:next w:val="Normal"/>
    <w:link w:val="TitleChar"/>
    <w:uiPriority w:val="10"/>
    <w:qFormat/>
    <w:rsid w:val="003A3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C83"/>
    <w:pPr>
      <w:spacing w:before="160"/>
      <w:jc w:val="center"/>
    </w:pPr>
    <w:rPr>
      <w:i/>
      <w:iCs/>
      <w:color w:val="404040" w:themeColor="text1" w:themeTint="BF"/>
    </w:rPr>
  </w:style>
  <w:style w:type="character" w:customStyle="1" w:styleId="QuoteChar">
    <w:name w:val="Quote Char"/>
    <w:basedOn w:val="DefaultParagraphFont"/>
    <w:link w:val="Quote"/>
    <w:uiPriority w:val="29"/>
    <w:rsid w:val="003A3C83"/>
    <w:rPr>
      <w:i/>
      <w:iCs/>
      <w:color w:val="404040" w:themeColor="text1" w:themeTint="BF"/>
    </w:rPr>
  </w:style>
  <w:style w:type="paragraph" w:styleId="ListParagraph">
    <w:name w:val="List Paragraph"/>
    <w:basedOn w:val="Normal"/>
    <w:uiPriority w:val="34"/>
    <w:qFormat/>
    <w:rsid w:val="003A3C83"/>
    <w:pPr>
      <w:ind w:left="720"/>
      <w:contextualSpacing/>
    </w:pPr>
  </w:style>
  <w:style w:type="character" w:styleId="IntenseEmphasis">
    <w:name w:val="Intense Emphasis"/>
    <w:basedOn w:val="DefaultParagraphFont"/>
    <w:uiPriority w:val="21"/>
    <w:qFormat/>
    <w:rsid w:val="003A3C83"/>
    <w:rPr>
      <w:i/>
      <w:iCs/>
      <w:color w:val="0F4761" w:themeColor="accent1" w:themeShade="BF"/>
    </w:rPr>
  </w:style>
  <w:style w:type="paragraph" w:styleId="IntenseQuote">
    <w:name w:val="Intense Quote"/>
    <w:basedOn w:val="Normal"/>
    <w:next w:val="Normal"/>
    <w:link w:val="IntenseQuoteChar"/>
    <w:uiPriority w:val="30"/>
    <w:qFormat/>
    <w:rsid w:val="003A3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C83"/>
    <w:rPr>
      <w:i/>
      <w:iCs/>
      <w:color w:val="0F4761" w:themeColor="accent1" w:themeShade="BF"/>
    </w:rPr>
  </w:style>
  <w:style w:type="character" w:styleId="IntenseReference">
    <w:name w:val="Intense Reference"/>
    <w:basedOn w:val="DefaultParagraphFont"/>
    <w:uiPriority w:val="32"/>
    <w:qFormat/>
    <w:rsid w:val="003A3C83"/>
    <w:rPr>
      <w:b/>
      <w:bCs/>
      <w:smallCaps/>
      <w:color w:val="0F4761" w:themeColor="accent1" w:themeShade="BF"/>
      <w:spacing w:val="5"/>
    </w:rPr>
  </w:style>
  <w:style w:type="character" w:styleId="Hyperlink">
    <w:name w:val="Hyperlink"/>
    <w:basedOn w:val="DefaultParagraphFont"/>
    <w:uiPriority w:val="99"/>
    <w:unhideWhenUsed/>
    <w:rsid w:val="00BD3A68"/>
    <w:rPr>
      <w:color w:val="467886" w:themeColor="hyperlink"/>
      <w:u w:val="single"/>
    </w:rPr>
  </w:style>
  <w:style w:type="character" w:styleId="UnresolvedMention">
    <w:name w:val="Unresolved Mention"/>
    <w:basedOn w:val="DefaultParagraphFont"/>
    <w:uiPriority w:val="99"/>
    <w:semiHidden/>
    <w:unhideWhenUsed/>
    <w:rsid w:val="00BD3A6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C5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96DA7A4E-47C3-4A32-BF13-ADDCD9C97FF2}"/>
</file>

<file path=customXml/itemProps2.xml><?xml version="1.0" encoding="utf-8"?>
<ds:datastoreItem xmlns:ds="http://schemas.openxmlformats.org/officeDocument/2006/customXml" ds:itemID="{ACDDA62F-8564-4BFB-8B45-80FACD2903A8}"/>
</file>

<file path=customXml/itemProps3.xml><?xml version="1.0" encoding="utf-8"?>
<ds:datastoreItem xmlns:ds="http://schemas.openxmlformats.org/officeDocument/2006/customXml" ds:itemID="{EBD2FA26-33DA-4B37-ADC5-FDDD7B69C3D2}"/>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Dawson</dc:creator>
  <cp:keywords/>
  <dc:description/>
  <cp:lastModifiedBy>LEI, Melissa</cp:lastModifiedBy>
  <cp:revision>2</cp:revision>
  <dcterms:created xsi:type="dcterms:W3CDTF">2026-04-16T08:09:00Z</dcterms:created>
  <dcterms:modified xsi:type="dcterms:W3CDTF">2026-04-16T08:09:00Z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2026-04-16T08:07:36Z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f136117c-0db3-4b35-9eb0-a616681ee082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