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51D8" w14:textId="49037788" w:rsidR="00F84462" w:rsidRDefault="00F84462" w:rsidP="00F84462">
      <w:pPr>
        <w:pStyle w:val="Heading1"/>
      </w:pPr>
      <w:r>
        <w:t>Submission to the Higher Education Standards Panel</w:t>
      </w:r>
    </w:p>
    <w:p w14:paraId="43A74CE3" w14:textId="6732D514" w:rsidR="00F84462" w:rsidRPr="00F84462" w:rsidRDefault="00F84462" w:rsidP="00F84462">
      <w:pPr>
        <w:rPr>
          <w:rStyle w:val="IntenseEmphasis"/>
        </w:rPr>
      </w:pPr>
      <w:r w:rsidRPr="00F84462">
        <w:rPr>
          <w:rStyle w:val="IntenseEmphasis"/>
        </w:rPr>
        <w:t>Consultation on amendments to the Higher Education Standards Framework (Threshold Standards) 2021</w:t>
      </w:r>
    </w:p>
    <w:p w14:paraId="40E9B28C" w14:textId="42D703CD" w:rsidR="00C9719B" w:rsidRDefault="00C9719B" w:rsidP="00C9719B">
      <w:r>
        <w:t>The Higher Education Standards Panel’s decision to pursue targeted amendments to the Higher Education Standards Framework (Threshold Standards) 2021 is timely and appropriate. The proposed focus on student safety, governance, inclusion and emerging technologies reflects real pressures facing the higher education sector and recognises the need for the Threshold Standards to remain responsive</w:t>
      </w:r>
      <w:r w:rsidR="00977A1A">
        <w:t xml:space="preserve"> </w:t>
      </w:r>
      <w:r>
        <w:t>and fit for purpose.</w:t>
      </w:r>
    </w:p>
    <w:p w14:paraId="493531AF" w14:textId="1FD9181E" w:rsidR="00C9719B" w:rsidRDefault="000A106E" w:rsidP="00C9719B">
      <w:r>
        <w:t>T</w:t>
      </w:r>
      <w:r w:rsidR="00C9719B">
        <w:t>he proposed amendments relating to addressing racism, incorporating University Governance Principles, strengthening transparency and accountability, responding to emerging technologies (including generative artificial intelligence), and introducing a more structured cyclical review of the Threshold Standards are strongly supported.</w:t>
      </w:r>
    </w:p>
    <w:p w14:paraId="12DAA226" w14:textId="3818FE06" w:rsidR="00C9719B" w:rsidRPr="000A106E" w:rsidRDefault="00977A1A" w:rsidP="00C9719B">
      <w:r w:rsidRPr="000A106E">
        <w:t xml:space="preserve">Although the proposed reforms are not directed at </w:t>
      </w:r>
      <w:r w:rsidR="000A106E" w:rsidRPr="000A106E">
        <w:t xml:space="preserve">higher education staff with significant caring responsibilities, </w:t>
      </w:r>
      <w:r w:rsidR="000A106E">
        <w:t xml:space="preserve">their emphasis on </w:t>
      </w:r>
      <w:r w:rsidRPr="000A106E">
        <w:t>systems, oversight and assurance is highly relevant</w:t>
      </w:r>
      <w:r w:rsidR="000A106E">
        <w:t xml:space="preserve"> to carers as a cohort</w:t>
      </w:r>
      <w:r w:rsidRPr="000A106E">
        <w:t xml:space="preserve">. </w:t>
      </w:r>
      <w:r w:rsidR="000A106E" w:rsidRPr="000A106E">
        <w:t xml:space="preserve">Many equity impacts experienced by carers, and other groups, </w:t>
      </w:r>
      <w:r w:rsidR="00EA7913">
        <w:t xml:space="preserve">most often </w:t>
      </w:r>
      <w:r w:rsidR="000A106E" w:rsidRPr="000A106E">
        <w:t>arise not from overt intent but from weaknesses in institutional systems and assurance</w:t>
      </w:r>
      <w:r w:rsidRPr="000A106E">
        <w:t>. In this context, the proposed strengthening of governance responsibilities usefully reinforces the principle that equity is an institutional obligation, rather than a matter of local discretion.</w:t>
      </w:r>
      <w:r w:rsidR="000A106E" w:rsidRPr="000A106E">
        <w:t xml:space="preserve"> T</w:t>
      </w:r>
      <w:r w:rsidR="00C9719B" w:rsidRPr="000A106E">
        <w:t>he most constructive role for the Threshold Standards lies in reinforcing expectations about institutional systems, governance maturity and accountability, rather than creating new individual entitlements. Where institutions are well governed, transparent and consistent in practice, equity outcomes are less reliant on discretionary decision</w:t>
      </w:r>
      <w:r w:rsidR="00C9719B" w:rsidRPr="000A106E">
        <w:rPr>
          <w:rFonts w:ascii="Cambria Math" w:hAnsi="Cambria Math" w:cs="Cambria Math"/>
        </w:rPr>
        <w:t>‑</w:t>
      </w:r>
      <w:r w:rsidR="00C9719B" w:rsidRPr="000A106E">
        <w:t xml:space="preserve">making and more likely to be sustained over time. </w:t>
      </w:r>
    </w:p>
    <w:p w14:paraId="16B4553F" w14:textId="73DBBF96" w:rsidR="00C9719B" w:rsidRDefault="00C9719B" w:rsidP="00C9719B">
      <w:r>
        <w:t>In practice, shortcomings in governance are often experienced by staff with caring responsibilities through inconsistent application of flexible work arrangements, short</w:t>
      </w:r>
      <w:r>
        <w:rPr>
          <w:rFonts w:ascii="Cambria Math" w:hAnsi="Cambria Math" w:cs="Cambria Math"/>
        </w:rPr>
        <w:t>‑</w:t>
      </w:r>
      <w:r>
        <w:t>term or fragile accommodations, and promotion or workload systems that inadequately account for relative to opportunity. These issues are often treated as operational, yet they are better understood as indicators of governance maturity. Clearer expectations that governing bodies oversee how institutional systems operate in practice, including their equity impacts, would strengthen accountability while remaining within the proper scope of the Threshold Standards.</w:t>
      </w:r>
      <w:r w:rsidR="000A106E">
        <w:t xml:space="preserve"> </w:t>
      </w:r>
      <w:r w:rsidR="000A106E" w:rsidRPr="000A106E">
        <w:t>Against this backdrop, the following comments are offered as a consideration of how the proposed reforms might be extended, consistent with their intent, rather than as a departure from them.</w:t>
      </w:r>
    </w:p>
    <w:p w14:paraId="1C571826" w14:textId="77777777" w:rsidR="00C9719B" w:rsidRDefault="00C9719B" w:rsidP="00C9719B">
      <w:r>
        <w:t xml:space="preserve">The proposed strengthening of expectations around supporting people with disability is also welcome, particularly the shift towards more systematic and anticipatory </w:t>
      </w:r>
      <w:r>
        <w:lastRenderedPageBreak/>
        <w:t>approaches rather than reliance on individual adjustments. In this context, the Panel may wish to consider whether the framing of these amendments could be extended to more clearly acknowledge the close relationship between disability inclusion and caring responsibilities within higher education.</w:t>
      </w:r>
    </w:p>
    <w:p w14:paraId="49A2119D" w14:textId="72EBCD6F" w:rsidR="00E05A55" w:rsidRDefault="00E05A55" w:rsidP="00E05A55">
      <w:r>
        <w:t>To strengthen the coherence and effectiveness of proposed amendments relating to disability inclusion, the Panel may wish to consider the following recommendations:</w:t>
      </w:r>
    </w:p>
    <w:p w14:paraId="6FCE325A" w14:textId="77777777" w:rsidR="00E05A55" w:rsidRDefault="00E05A55" w:rsidP="0058279A">
      <w:pPr>
        <w:pStyle w:val="ListParagraph"/>
        <w:numPr>
          <w:ilvl w:val="0"/>
          <w:numId w:val="5"/>
        </w:numPr>
      </w:pPr>
      <w:r>
        <w:t>Explicitly recognise the relationship between disability inclusion and caring responsibilities</w:t>
      </w:r>
    </w:p>
    <w:p w14:paraId="546E9D4F" w14:textId="77777777" w:rsidR="00E05A55" w:rsidRDefault="00E05A55" w:rsidP="0058279A">
      <w:pPr>
        <w:ind w:left="720"/>
      </w:pPr>
      <w:r>
        <w:t>Acknowledge within the framing of the Threshold Standards that many staff carers support children or dependants with disability or chronic illness, and that their ability to participate sustainably in higher education work is shaped by the quality and consistency of institutional systems. This recognition would reinforce disability inclusion as a whole</w:t>
      </w:r>
      <w:r>
        <w:rPr>
          <w:rFonts w:ascii="Cambria Math" w:hAnsi="Cambria Math" w:cs="Cambria Math"/>
        </w:rPr>
        <w:t>‑</w:t>
      </w:r>
      <w:r>
        <w:t>of</w:t>
      </w:r>
      <w:r>
        <w:rPr>
          <w:rFonts w:ascii="Cambria Math" w:hAnsi="Cambria Math" w:cs="Cambria Math"/>
        </w:rPr>
        <w:t>‑</w:t>
      </w:r>
      <w:r>
        <w:t>institution responsibility and improve alignment between student</w:t>
      </w:r>
      <w:r>
        <w:rPr>
          <w:rFonts w:ascii="Cambria Math" w:hAnsi="Cambria Math" w:cs="Cambria Math"/>
        </w:rPr>
        <w:t>‑</w:t>
      </w:r>
      <w:r>
        <w:t>focused inclusion frameworks and staff experience.</w:t>
      </w:r>
    </w:p>
    <w:p w14:paraId="5E951092" w14:textId="77777777" w:rsidR="00E05A55" w:rsidRDefault="00E05A55" w:rsidP="0058279A">
      <w:pPr>
        <w:pStyle w:val="ListParagraph"/>
        <w:numPr>
          <w:ilvl w:val="0"/>
          <w:numId w:val="5"/>
        </w:numPr>
      </w:pPr>
      <w:r>
        <w:t>Provide clear guidance anchored in existing legislative frameworks</w:t>
      </w:r>
    </w:p>
    <w:p w14:paraId="17A9997E" w14:textId="3EA4DCF4" w:rsidR="00E05A55" w:rsidRDefault="00E05A55" w:rsidP="0058279A">
      <w:pPr>
        <w:ind w:left="720"/>
      </w:pPr>
      <w:r>
        <w:t xml:space="preserve">Support this recognition through clear guidance that does not extend or duplicate disability </w:t>
      </w:r>
      <w:r w:rsidR="003D3224">
        <w:t>legislation but</w:t>
      </w:r>
      <w:r>
        <w:t xml:space="preserve"> is underpinned by recognised and enforceable rights within existing legislative frameworks. This would help institutions translate intent into consistent and transparent practice.</w:t>
      </w:r>
    </w:p>
    <w:p w14:paraId="4790D189" w14:textId="77777777" w:rsidR="00E05A55" w:rsidRDefault="00E05A55" w:rsidP="0058279A">
      <w:pPr>
        <w:pStyle w:val="ListParagraph"/>
        <w:numPr>
          <w:ilvl w:val="0"/>
          <w:numId w:val="5"/>
        </w:numPr>
      </w:pPr>
      <w:r>
        <w:t>Strengthen compliance and enforcement expectations</w:t>
      </w:r>
    </w:p>
    <w:p w14:paraId="6F7632F0" w14:textId="77777777" w:rsidR="00E05A55" w:rsidRDefault="00E05A55" w:rsidP="0058279A">
      <w:pPr>
        <w:ind w:left="360"/>
      </w:pPr>
      <w:r>
        <w:t>Reinforce expectations that disability inclusion and related caring impacts are supported by strong compliance obligations and effective enforcement mechanisms, ensuring that institutional systems, rather than discretionary decision</w:t>
      </w:r>
      <w:r>
        <w:rPr>
          <w:rFonts w:ascii="Cambria Math" w:hAnsi="Cambria Math" w:cs="Cambria Math"/>
        </w:rPr>
        <w:t>‑</w:t>
      </w:r>
      <w:r>
        <w:t>making, drive sustainable and equitable outcomes.</w:t>
      </w:r>
    </w:p>
    <w:p w14:paraId="44784E01" w14:textId="63CE31FE" w:rsidR="00C60C19" w:rsidRPr="00F84462" w:rsidRDefault="00C9719B" w:rsidP="00C9719B">
      <w:r>
        <w:t>Overall, the direction of the proposed amendments is strongly supported</w:t>
      </w:r>
      <w:r w:rsidR="000A106E">
        <w:t xml:space="preserve"> and welcomed</w:t>
      </w:r>
      <w:r>
        <w:t>. Consideration of how these reforms might be extended to better reflect the interaction between disability inclusion, caring responsibilities and governance maturity would further strengthen the coherence and effectiveness of the Threshold Standards, while remaining within their proper regulatory scope.</w:t>
      </w:r>
    </w:p>
    <w:sectPr w:rsidR="00C60C19" w:rsidRPr="00F84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147"/>
    <w:multiLevelType w:val="hybridMultilevel"/>
    <w:tmpl w:val="885214A2"/>
    <w:lvl w:ilvl="0" w:tplc="0E481E08">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273E2C"/>
    <w:multiLevelType w:val="hybridMultilevel"/>
    <w:tmpl w:val="A66C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5168E9"/>
    <w:multiLevelType w:val="hybridMultilevel"/>
    <w:tmpl w:val="10921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D123E8"/>
    <w:multiLevelType w:val="hybridMultilevel"/>
    <w:tmpl w:val="8798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BD0D7D"/>
    <w:multiLevelType w:val="hybridMultilevel"/>
    <w:tmpl w:val="70F87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398059">
    <w:abstractNumId w:val="3"/>
  </w:num>
  <w:num w:numId="2" w16cid:durableId="816141307">
    <w:abstractNumId w:val="1"/>
  </w:num>
  <w:num w:numId="3" w16cid:durableId="123082773">
    <w:abstractNumId w:val="2"/>
  </w:num>
  <w:num w:numId="4" w16cid:durableId="1623613715">
    <w:abstractNumId w:val="0"/>
  </w:num>
  <w:num w:numId="5" w16cid:durableId="818956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19"/>
    <w:rsid w:val="000A106E"/>
    <w:rsid w:val="0018710F"/>
    <w:rsid w:val="001C138E"/>
    <w:rsid w:val="003C2DEC"/>
    <w:rsid w:val="003D3224"/>
    <w:rsid w:val="003E736A"/>
    <w:rsid w:val="00417FA1"/>
    <w:rsid w:val="0050407F"/>
    <w:rsid w:val="0058279A"/>
    <w:rsid w:val="00933E30"/>
    <w:rsid w:val="00977A1A"/>
    <w:rsid w:val="009C25F6"/>
    <w:rsid w:val="00A62B84"/>
    <w:rsid w:val="00AC3233"/>
    <w:rsid w:val="00C60C19"/>
    <w:rsid w:val="00C9719B"/>
    <w:rsid w:val="00CB4C9C"/>
    <w:rsid w:val="00D6613D"/>
    <w:rsid w:val="00E05A55"/>
    <w:rsid w:val="00E53E70"/>
    <w:rsid w:val="00EA7913"/>
    <w:rsid w:val="00F3471A"/>
    <w:rsid w:val="00F84462"/>
    <w:rsid w:val="0C3F9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EE0E"/>
  <w15:chartTrackingRefBased/>
  <w15:docId w15:val="{1B4DFC0B-E11D-4ADF-9041-C99E15A3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C19"/>
    <w:rPr>
      <w:rFonts w:eastAsiaTheme="majorEastAsia" w:cstheme="majorBidi"/>
      <w:color w:val="272727" w:themeColor="text1" w:themeTint="D8"/>
    </w:rPr>
  </w:style>
  <w:style w:type="paragraph" w:styleId="Title">
    <w:name w:val="Title"/>
    <w:basedOn w:val="Normal"/>
    <w:next w:val="Normal"/>
    <w:link w:val="TitleChar"/>
    <w:uiPriority w:val="10"/>
    <w:qFormat/>
    <w:rsid w:val="00C60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C19"/>
    <w:pPr>
      <w:spacing w:before="160"/>
      <w:jc w:val="center"/>
    </w:pPr>
    <w:rPr>
      <w:i/>
      <w:iCs/>
      <w:color w:val="404040" w:themeColor="text1" w:themeTint="BF"/>
    </w:rPr>
  </w:style>
  <w:style w:type="character" w:customStyle="1" w:styleId="QuoteChar">
    <w:name w:val="Quote Char"/>
    <w:basedOn w:val="DefaultParagraphFont"/>
    <w:link w:val="Quote"/>
    <w:uiPriority w:val="29"/>
    <w:rsid w:val="00C60C19"/>
    <w:rPr>
      <w:i/>
      <w:iCs/>
      <w:color w:val="404040" w:themeColor="text1" w:themeTint="BF"/>
    </w:rPr>
  </w:style>
  <w:style w:type="paragraph" w:styleId="ListParagraph">
    <w:name w:val="List Paragraph"/>
    <w:basedOn w:val="Normal"/>
    <w:uiPriority w:val="34"/>
    <w:qFormat/>
    <w:rsid w:val="00C60C19"/>
    <w:pPr>
      <w:ind w:left="720"/>
      <w:contextualSpacing/>
    </w:pPr>
  </w:style>
  <w:style w:type="character" w:styleId="IntenseEmphasis">
    <w:name w:val="Intense Emphasis"/>
    <w:basedOn w:val="DefaultParagraphFont"/>
    <w:uiPriority w:val="21"/>
    <w:qFormat/>
    <w:rsid w:val="00C60C19"/>
    <w:rPr>
      <w:i/>
      <w:iCs/>
      <w:color w:val="0F4761" w:themeColor="accent1" w:themeShade="BF"/>
    </w:rPr>
  </w:style>
  <w:style w:type="paragraph" w:styleId="IntenseQuote">
    <w:name w:val="Intense Quote"/>
    <w:basedOn w:val="Normal"/>
    <w:next w:val="Normal"/>
    <w:link w:val="IntenseQuoteChar"/>
    <w:uiPriority w:val="30"/>
    <w:qFormat/>
    <w:rsid w:val="00C60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C19"/>
    <w:rPr>
      <w:i/>
      <w:iCs/>
      <w:color w:val="0F4761" w:themeColor="accent1" w:themeShade="BF"/>
    </w:rPr>
  </w:style>
  <w:style w:type="character" w:styleId="IntenseReference">
    <w:name w:val="Intense Reference"/>
    <w:basedOn w:val="DefaultParagraphFont"/>
    <w:uiPriority w:val="32"/>
    <w:qFormat/>
    <w:rsid w:val="00C60C19"/>
    <w:rPr>
      <w:b/>
      <w:bCs/>
      <w:smallCaps/>
      <w:color w:val="0F4761" w:themeColor="accent1" w:themeShade="BF"/>
      <w:spacing w:val="5"/>
    </w:rPr>
  </w:style>
  <w:style w:type="character" w:styleId="CommentReference">
    <w:name w:val="annotation reference"/>
    <w:basedOn w:val="DefaultParagraphFont"/>
    <w:uiPriority w:val="99"/>
    <w:semiHidden/>
    <w:unhideWhenUsed/>
    <w:rsid w:val="00A62B84"/>
    <w:rPr>
      <w:sz w:val="16"/>
      <w:szCs w:val="16"/>
    </w:rPr>
  </w:style>
  <w:style w:type="paragraph" w:styleId="CommentText">
    <w:name w:val="annotation text"/>
    <w:basedOn w:val="Normal"/>
    <w:link w:val="CommentTextChar"/>
    <w:uiPriority w:val="99"/>
    <w:semiHidden/>
    <w:unhideWhenUsed/>
    <w:rsid w:val="00A62B84"/>
    <w:pPr>
      <w:spacing w:line="240" w:lineRule="auto"/>
    </w:pPr>
    <w:rPr>
      <w:sz w:val="20"/>
      <w:szCs w:val="20"/>
    </w:rPr>
  </w:style>
  <w:style w:type="character" w:customStyle="1" w:styleId="CommentTextChar">
    <w:name w:val="Comment Text Char"/>
    <w:basedOn w:val="DefaultParagraphFont"/>
    <w:link w:val="CommentText"/>
    <w:uiPriority w:val="99"/>
    <w:semiHidden/>
    <w:rsid w:val="00A62B84"/>
    <w:rPr>
      <w:sz w:val="20"/>
      <w:szCs w:val="20"/>
    </w:rPr>
  </w:style>
  <w:style w:type="paragraph" w:styleId="CommentSubject">
    <w:name w:val="annotation subject"/>
    <w:basedOn w:val="CommentText"/>
    <w:next w:val="CommentText"/>
    <w:link w:val="CommentSubjectChar"/>
    <w:uiPriority w:val="99"/>
    <w:semiHidden/>
    <w:unhideWhenUsed/>
    <w:rsid w:val="00A62B84"/>
    <w:rPr>
      <w:b/>
      <w:bCs/>
    </w:rPr>
  </w:style>
  <w:style w:type="character" w:customStyle="1" w:styleId="CommentSubjectChar">
    <w:name w:val="Comment Subject Char"/>
    <w:basedOn w:val="CommentTextChar"/>
    <w:link w:val="CommentSubject"/>
    <w:uiPriority w:val="99"/>
    <w:semiHidden/>
    <w:rsid w:val="00A62B84"/>
    <w:rPr>
      <w:b/>
      <w:bCs/>
      <w:sz w:val="20"/>
      <w:szCs w:val="20"/>
    </w:rPr>
  </w:style>
  <w:style w:type="paragraph" w:styleId="Revision">
    <w:name w:val="Revision"/>
    <w:hidden/>
    <w:uiPriority w:val="99"/>
    <w:semiHidden/>
    <w:rsid w:val="00417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2BC52A04-4759-49D7-9A2B-0D4BB42C2F3A}"/>
</file>

<file path=customXml/itemProps2.xml><?xml version="1.0" encoding="utf-8"?>
<ds:datastoreItem xmlns:ds="http://schemas.openxmlformats.org/officeDocument/2006/customXml" ds:itemID="{D5340134-A56C-4F5F-A4D0-24D7D40796CE}"/>
</file>

<file path=customXml/itemProps3.xml><?xml version="1.0" encoding="utf-8"?>
<ds:datastoreItem xmlns:ds="http://schemas.openxmlformats.org/officeDocument/2006/customXml" ds:itemID="{163EA886-603C-4F6F-BC72-4D3A883D67FD}"/>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4323</Characters>
  <Application>Microsoft Office Word</Application>
  <DocSecurity>0</DocSecurity>
  <Lines>65</Lines>
  <Paragraphs>15</Paragraphs>
  <ScaleCrop>false</ScaleCrop>
  <Company>The University of Queensland</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Novello</dc:creator>
  <cp:keywords/>
  <dc:description/>
  <cp:lastModifiedBy>LEI, Melissa</cp:lastModifiedBy>
  <cp:revision>4</cp:revision>
  <dcterms:created xsi:type="dcterms:W3CDTF">2026-04-17T07:27:00Z</dcterms:created>
  <dcterms:modified xsi:type="dcterms:W3CDTF">2026-04-17T07:27:00Z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2026-03-02T00:48:56Z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daf95c82-08b3-4324-9102-282e6db9b20b</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y fmtid="{D5CDD505-2E9C-101B-9397-08002B2CF9AE}" pid="10" name="MSIP_Label_79d889eb-932f-4752-8739-64d25806ef64_Enabled">
    <vt:lpwstr>true</vt:lpwstr>
  </property>
  <property fmtid="{D5CDD505-2E9C-101B-9397-08002B2CF9AE}" pid="11" name="MSIP_Label_79d889eb-932f-4752-8739-64d25806ef64_SetDate">
    <vt:lpwstr>2026-04-17T07:27:02Z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5a764309-878b-47c3-8433-379c40727ee2</vt:lpwstr>
  </property>
  <property fmtid="{D5CDD505-2E9C-101B-9397-08002B2CF9AE}" pid="16" name="MSIP_Label_79d889eb-932f-4752-8739-64d25806ef64_ContentBits">
    <vt:lpwstr>0</vt:lpwstr>
  </property>
  <property fmtid="{D5CDD505-2E9C-101B-9397-08002B2CF9AE}" pid="17" name="MSIP_Label_79d889eb-932f-4752-8739-64d25806ef64_Tag">
    <vt:lpwstr>10, 0, 1, 1</vt:lpwstr>
  </property>
  <property fmtid="{D5CDD505-2E9C-101B-9397-08002B2CF9AE}" pid="18" name="ContentTypeId">
    <vt:lpwstr>0x010100E098083483EAF54BBE19C56BE4F7D597</vt:lpwstr>
  </property>
</Properties>
</file>