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23951" w14:textId="4B7A9699" w:rsidR="00227A8C" w:rsidRPr="00227A8C" w:rsidRDefault="00227A8C" w:rsidP="00227A8C">
      <w:pPr>
        <w:spacing w:after="0"/>
        <w:rPr>
          <w:b/>
          <w:bCs/>
        </w:rPr>
      </w:pPr>
      <w:hyperlink r:id="rId7" w:history="1">
        <w:r w:rsidRPr="00227A8C">
          <w:rPr>
            <w:rStyle w:val="Hyperlink"/>
            <w:b/>
            <w:bCs/>
            <w:color w:val="auto"/>
            <w:u w:val="none"/>
          </w:rPr>
          <w:t>Associate Professor Laura Gray</w:t>
        </w:r>
      </w:hyperlink>
    </w:p>
    <w:p w14:paraId="475DA41A" w14:textId="77777777" w:rsidR="00227A8C" w:rsidRPr="00227A8C" w:rsidRDefault="00227A8C" w:rsidP="00227A8C">
      <w:pPr>
        <w:spacing w:after="0"/>
      </w:pPr>
      <w:r w:rsidRPr="00227A8C">
        <w:t>Director, Damion Drapac Centre for Equity in Health Professions Education</w:t>
      </w:r>
    </w:p>
    <w:p w14:paraId="6E6D64D1" w14:textId="77777777" w:rsidR="00227A8C" w:rsidRPr="00227A8C" w:rsidRDefault="00227A8C" w:rsidP="00227A8C">
      <w:pPr>
        <w:spacing w:after="0"/>
      </w:pPr>
      <w:r w:rsidRPr="00227A8C">
        <w:t>Centre for Research in Assessment and Digital Learning (</w:t>
      </w:r>
      <w:hyperlink r:id="rId8" w:history="1">
        <w:r w:rsidRPr="00227A8C">
          <w:rPr>
            <w:rStyle w:val="Hyperlink"/>
            <w:color w:val="auto"/>
            <w:u w:val="none"/>
          </w:rPr>
          <w:t>CRADLE</w:t>
        </w:r>
      </w:hyperlink>
      <w:r w:rsidRPr="00227A8C">
        <w:t>) Fellow</w:t>
      </w:r>
    </w:p>
    <w:p w14:paraId="75C18AED" w14:textId="77777777" w:rsidR="00227A8C" w:rsidRPr="00227A8C" w:rsidRDefault="00227A8C" w:rsidP="00227A8C">
      <w:pPr>
        <w:spacing w:after="0"/>
      </w:pPr>
      <w:r w:rsidRPr="00227A8C">
        <w:t>Disability Inclusive Health Professions Education Alliance ANZ (DIHPEA)</w:t>
      </w:r>
    </w:p>
    <w:p w14:paraId="1CFBA09C" w14:textId="77777777" w:rsidR="00227A8C" w:rsidRPr="00227A8C" w:rsidRDefault="00227A8C" w:rsidP="00227A8C">
      <w:pPr>
        <w:spacing w:after="0"/>
      </w:pPr>
      <w:r w:rsidRPr="00227A8C">
        <w:t>School of Medicine, Faculty of Health</w:t>
      </w:r>
    </w:p>
    <w:p w14:paraId="7C4D338B" w14:textId="77777777" w:rsidR="00227A8C" w:rsidRPr="00227A8C" w:rsidRDefault="00227A8C" w:rsidP="00227A8C">
      <w:pPr>
        <w:spacing w:after="0"/>
      </w:pPr>
      <w:r w:rsidRPr="00227A8C">
        <w:t>Wadda-Warrung Country</w:t>
      </w:r>
    </w:p>
    <w:p w14:paraId="7732252B" w14:textId="77777777" w:rsidR="00227A8C" w:rsidRDefault="00227A8C" w:rsidP="00227A8C">
      <w:pPr>
        <w:pBdr>
          <w:bottom w:val="single" w:sz="4" w:space="1" w:color="auto"/>
        </w:pBdr>
        <w:rPr>
          <w:lang w:val="en-US"/>
        </w:rPr>
      </w:pPr>
    </w:p>
    <w:p w14:paraId="43BA013D" w14:textId="34B74DD8" w:rsidR="00A65B80" w:rsidRDefault="00C77C5D" w:rsidP="00C77C5D">
      <w:pPr>
        <w:pStyle w:val="Heading2"/>
        <w:rPr>
          <w:lang w:val="en-US"/>
        </w:rPr>
      </w:pPr>
      <w:r>
        <w:rPr>
          <w:lang w:val="en-US"/>
        </w:rPr>
        <w:t>Strengthening the Threshold Standards</w:t>
      </w:r>
    </w:p>
    <w:p w14:paraId="1CE97798" w14:textId="4AF921D4" w:rsidR="00C77C5D" w:rsidRDefault="008E508F">
      <w:r>
        <w:rPr>
          <w:lang w:val="en-US"/>
        </w:rPr>
        <w:t>T</w:t>
      </w:r>
      <w:r w:rsidR="00C77C5D">
        <w:rPr>
          <w:lang w:val="en-US"/>
        </w:rPr>
        <w:t>he call to strengthen the threshold standards with regards to including students with disabilities</w:t>
      </w:r>
      <w:r>
        <w:rPr>
          <w:lang w:val="en-US"/>
        </w:rPr>
        <w:t xml:space="preserve"> is very much welcomed</w:t>
      </w:r>
      <w:r w:rsidR="00C77C5D">
        <w:rPr>
          <w:lang w:val="en-US"/>
        </w:rPr>
        <w:t>.  As the discussion paper notes, “</w:t>
      </w:r>
      <w:r w:rsidR="00C77C5D">
        <w:t>c</w:t>
      </w:r>
      <w:r w:rsidR="00C77C5D" w:rsidRPr="00C77C5D">
        <w:t>urrently, the Threshold Standards do not explicitly require inclusive practices, disability-specific supports or provide clarity on the responsibilities of staff.</w:t>
      </w:r>
      <w:r w:rsidR="00C77C5D">
        <w:t xml:space="preserve">”  </w:t>
      </w:r>
    </w:p>
    <w:p w14:paraId="0728B445" w14:textId="46B51235" w:rsidR="00C77C5D" w:rsidRDefault="00C77C5D">
      <w:r>
        <w:t xml:space="preserve">A significant step forward would be developing clarity regarding education providers’ responsibilities under the DDA and DSE.  These could be referred to specifically in the standards, rather than the more open reference to </w:t>
      </w:r>
      <w:r w:rsidR="00192025">
        <w:t xml:space="preserve">“any other </w:t>
      </w:r>
      <w:r w:rsidR="00192025" w:rsidRPr="00192025">
        <w:t>legislative requirements</w:t>
      </w:r>
      <w:r w:rsidR="00192025">
        <w:t xml:space="preserve">”.  </w:t>
      </w:r>
    </w:p>
    <w:p w14:paraId="71023EF9" w14:textId="77777777" w:rsidR="00207A5E" w:rsidRDefault="00207A5E" w:rsidP="00207A5E">
      <w:pPr>
        <w:pStyle w:val="Heading3"/>
        <w:rPr>
          <w:lang w:val="en-US"/>
        </w:rPr>
      </w:pPr>
      <w:r>
        <w:rPr>
          <w:lang w:val="en-US"/>
        </w:rPr>
        <w:t>Nomenclature</w:t>
      </w:r>
    </w:p>
    <w:p w14:paraId="7E36D588" w14:textId="5AE8470B" w:rsidR="00207A5E" w:rsidRDefault="00611E9A" w:rsidP="00207A5E">
      <w:pPr>
        <w:rPr>
          <w:lang w:val="en-US"/>
        </w:rPr>
      </w:pPr>
      <w:r>
        <w:rPr>
          <w:lang w:val="en-US"/>
        </w:rPr>
        <w:t>The call to review</w:t>
      </w:r>
      <w:r w:rsidR="00B52F05">
        <w:rPr>
          <w:lang w:val="en-US"/>
        </w:rPr>
        <w:t xml:space="preserve"> nomenclature with regards to students with disabilities is very welcome.  </w:t>
      </w:r>
      <w:r w:rsidR="008D0540">
        <w:rPr>
          <w:lang w:val="en-US"/>
        </w:rPr>
        <w:t xml:space="preserve">A reluctance to use the term ‘disabled’ can be linked to </w:t>
      </w:r>
      <w:r w:rsidR="00C07B07">
        <w:rPr>
          <w:lang w:val="en-US"/>
        </w:rPr>
        <w:t xml:space="preserve">deficit-focussed, ablist approaches; explicitly acknowledging </w:t>
      </w:r>
      <w:r w:rsidR="00957307">
        <w:rPr>
          <w:lang w:val="en-US"/>
        </w:rPr>
        <w:t xml:space="preserve">and naming </w:t>
      </w:r>
      <w:r w:rsidR="00C07B07">
        <w:rPr>
          <w:lang w:val="en-US"/>
        </w:rPr>
        <w:t>disability is essential to effectively removing barriers</w:t>
      </w:r>
      <w:r w:rsidR="00946475">
        <w:rPr>
          <w:lang w:val="en-US"/>
        </w:rPr>
        <w:fldChar w:fldCharType="begin"/>
      </w:r>
      <w:r w:rsidR="00946475">
        <w:rPr>
          <w:lang w:val="en-US"/>
        </w:rPr>
        <w:instrText xml:space="preserve"> ADDIN ZOTERO_ITEM CSL_CITATION {"citationID":"AIbMaCbl","properties":{"formattedCitation":"\\super 1\\nosupersub{}","plainCitation":"1","noteIndex":0},"citationItems":[{"id":122,"uris":["http://zotero.org/users/13737467/items/2ZTHZLPI"],"itemData":{"id":122,"type":"article-journal","abstract":"How medical students, their teachers, and school administrators understand disability appears connected to ongoing, unequal access to medical education for disabled people. The stigmatization of disability within medical education affects students’ disability disclosures, yet few studies have explored how understandings of disability influence inclusion practices beyond individual student actions. This paper develops the concept of legibility, derived from a constructivist grounded theory study that examined disability inclusion at four U.S. medical schools through interviews with 19 disabled students and 27 school officials (faculty and administrators). With two dimensions (recognition and assessment of possibility), legibility demonstrates that knowing disability is relational, contextual, and equivocal. Drawing from the field of disability studies, the paper argues that the current paradigm of disability inclusion demands that students’ disability experiences be highly legible to themselves and others, yet increased legibility comes with potential risk due to prevalent ableism. While individual interactions can shift understandings of disability towards greater inclusivity, systemic action that embeds liberating discourses of disability into medical education is needed.","container-title":"Advances in Health Sciences Education","DOI":"10.1007/s10459-023-10268-1","ISSN":"1382-4996, 1573-1677","journalAbbreviation":"Adv in Health Sci Educ","language":"en","source":"DOI.org (Crossref)","title":"Legibility: knowing disability in medical education inclusion","title-short":"Legibility","URL":"https://link.springer.com/10.1007/s10459-023-10268-1","author":[{"family":"Jain","given":"Neera R."}],"accessed":{"date-parts":[["2024",2,29]]},"issued":{"date-parts":[["2023",7,21]]}}}],"schema":"https://github.com/citation-style-language/schema/raw/master/csl-citation.json"} </w:instrText>
      </w:r>
      <w:r w:rsidR="00946475">
        <w:rPr>
          <w:lang w:val="en-US"/>
        </w:rPr>
        <w:fldChar w:fldCharType="separate"/>
      </w:r>
      <w:r w:rsidR="00946475" w:rsidRPr="00946475">
        <w:rPr>
          <w:rFonts w:ascii="Aptos" w:hAnsi="Aptos" w:cs="Times New Roman"/>
          <w:kern w:val="0"/>
          <w:vertAlign w:val="superscript"/>
        </w:rPr>
        <w:t>1</w:t>
      </w:r>
      <w:r w:rsidR="00946475">
        <w:rPr>
          <w:lang w:val="en-US"/>
        </w:rPr>
        <w:fldChar w:fldCharType="end"/>
      </w:r>
      <w:r w:rsidR="00C07B07">
        <w:rPr>
          <w:lang w:val="en-US"/>
        </w:rPr>
        <w:t xml:space="preserve">.  However some nuance may be required here; </w:t>
      </w:r>
      <w:r w:rsidR="007A1385">
        <w:rPr>
          <w:lang w:val="en-US"/>
        </w:rPr>
        <w:t xml:space="preserve">recognition of </w:t>
      </w:r>
      <w:r w:rsidR="00C920C3">
        <w:rPr>
          <w:lang w:val="en-US"/>
        </w:rPr>
        <w:t xml:space="preserve">person- and identity-first preferences, as well as the preferences of those who </w:t>
      </w:r>
      <w:r w:rsidR="008F06A8">
        <w:rPr>
          <w:lang w:val="en-US"/>
        </w:rPr>
        <w:t xml:space="preserve">may not identify as disabled despite requiring adjustments to access and learning (for example those with chronic health conditions, </w:t>
      </w:r>
      <w:r w:rsidR="002C3CB2">
        <w:rPr>
          <w:lang w:val="en-US"/>
        </w:rPr>
        <w:t xml:space="preserve">mental health challenges, </w:t>
      </w:r>
      <w:r w:rsidR="008F06A8">
        <w:rPr>
          <w:lang w:val="en-US"/>
        </w:rPr>
        <w:t>neurodivergen</w:t>
      </w:r>
      <w:r w:rsidR="002C3CB2">
        <w:rPr>
          <w:lang w:val="en-US"/>
        </w:rPr>
        <w:t>t students</w:t>
      </w:r>
      <w:r w:rsidR="008F06A8">
        <w:rPr>
          <w:lang w:val="en-US"/>
        </w:rPr>
        <w:t>, etc)</w:t>
      </w:r>
      <w:r w:rsidR="00946475">
        <w:rPr>
          <w:lang w:val="en-US"/>
        </w:rPr>
        <w:fldChar w:fldCharType="begin"/>
      </w:r>
      <w:r w:rsidR="00946475">
        <w:rPr>
          <w:lang w:val="en-US"/>
        </w:rPr>
        <w:instrText xml:space="preserve"> ADDIN ZOTERO_ITEM CSL_CITATION {"citationID":"uRNefaDD","properties":{"formattedCitation":"\\super 2,3\\nosupersub{}","plainCitation":"2,3","noteIndex":0},"citationItems":[{"id":1262,"uris":["http://zotero.org/users/13737467/items/BBTH6Y38"],"itemData":{"id":1262,"type":"paper-conference","DOI":"10.21125/iceri.2019.0422","page":"1444-1453","source":"ResearchGate","title":"TOWARDS INCLUSIVE LANGUAGE: EXPLORING STUDENT-LED APPROACHES TO TALKING ABOUT DISABILITY-RELATED STUDY NEEDS","title-short":"TOWARDS INCLUSIVE LANGUAGE","author":[{"family":"Lister","given":"Kate"},{"family":"McPherson","given":"Elaine"},{"family":"Coughlan","given":"Tim"},{"family":"Gallen","given":"Anne-Marie"},{"family":"Pearson","given":"Victoria"}],"issued":{"date-parts":[["2019",11,1]]}}},{"id":1248,"uris":["http://zotero.org/users/13737467/items/5ILCGD66"],"itemData":{"id":1248,"type":"article-journal","abstract":"A research project at an Australian regional university reframed \"disability\" by defining the diagnosis of a disability with an impact on learning as a \"learning challenge.\" Using the terminology of \"learning challenge,\" an anonymous, online survey found there was a significant number of students who chose institutional non-disclosure and excluded themselves from legally mandated support for learning. Using a sample of 111 students from this previously hidden group, qualitative analysis was performed on their stated reasons for non-disclosure using the conceptual lens of stigma mechanisms and theories at individual, situational, and institutional levels. This research found that internalised stigma is most common for students living with mental health issues (n=97), who anticipate discrimination and prejudice should disclosure be made. Further analysis for this group found students described stigma as having effected learning through poorer academic outcomes, reduced social support and academic help-seeking, and a perception that future professional identities excluded those living with mental health issues. Non-disclosure was perceived by students to be necessary to protect them from being discredited within their learning environment and, for some, in future employment. Structural elements of stigma, such as the qualification of disability and process of disclosure, were seen to be barriers. Perceived discrimination and the desire to protect students' ideal identity (not disabled) were also described. Institutions may find these results useful to develop changes that will result in improved academic outcomes, retention, and completion for students living with disability and stigma.","container-title":"Journal of Postsecondary Education and Disability","ISSN":"2379-7762","issue":"1","language":"en","note":"publisher: Association on Higher Education and Disability\nERIC Number: EJ1273678","page":"23-37","source":"ERIC","title":"University Student Experiences of Disability and the Influence of Stigma on Institutional Non-Disclosure and Learning","URL":"https://eric.ed.gov/?id=EJ1273678","volume":"33","author":[{"family":"Grimes","given":"Susan"},{"family":"Southgate","given":"Erica"},{"family":"Scevak","given":"Jill"},{"family":"Buchanan","given":"Rachel"}],"accessed":{"date-parts":[["2024",8,27]]},"issued":{"date-parts":[["2020"]]}}}],"schema":"https://github.com/citation-style-language/schema/raw/master/csl-citation.json"} </w:instrText>
      </w:r>
      <w:r w:rsidR="00946475">
        <w:rPr>
          <w:lang w:val="en-US"/>
        </w:rPr>
        <w:fldChar w:fldCharType="separate"/>
      </w:r>
      <w:r w:rsidR="00946475" w:rsidRPr="00946475">
        <w:rPr>
          <w:rFonts w:ascii="Aptos" w:hAnsi="Aptos" w:cs="Times New Roman"/>
          <w:kern w:val="0"/>
          <w:vertAlign w:val="superscript"/>
        </w:rPr>
        <w:t>2,3</w:t>
      </w:r>
      <w:r w:rsidR="00946475">
        <w:rPr>
          <w:lang w:val="en-US"/>
        </w:rPr>
        <w:fldChar w:fldCharType="end"/>
      </w:r>
      <w:r w:rsidR="00A84572">
        <w:rPr>
          <w:lang w:val="en-US"/>
        </w:rPr>
        <w:t xml:space="preserve">.  More broadly acknowledgement of the need for inclusive language across </w:t>
      </w:r>
      <w:r w:rsidR="006914CD">
        <w:rPr>
          <w:lang w:val="en-US"/>
        </w:rPr>
        <w:t>all aspects of the educational environment could be highlighted.</w:t>
      </w:r>
    </w:p>
    <w:p w14:paraId="18AAC502" w14:textId="77777777" w:rsidR="00207A5E" w:rsidRDefault="00207A5E" w:rsidP="00207A5E">
      <w:pPr>
        <w:pStyle w:val="Heading3"/>
        <w:rPr>
          <w:lang w:val="en-US"/>
        </w:rPr>
      </w:pPr>
      <w:r>
        <w:rPr>
          <w:lang w:val="en-US"/>
        </w:rPr>
        <w:t>Inclusion</w:t>
      </w:r>
    </w:p>
    <w:p w14:paraId="4252793F" w14:textId="4BFA4C4E" w:rsidR="00207A5E" w:rsidRDefault="00A86E0B">
      <w:r>
        <w:t xml:space="preserve">More </w:t>
      </w:r>
      <w:r w:rsidR="00FC503A">
        <w:t xml:space="preserve">explicit reference to principles of inclusion within the standards is very much welcomed.  However, as currently </w:t>
      </w:r>
      <w:r w:rsidR="006811BB">
        <w:t xml:space="preserve">written, the discussion paper frames this concept in a very broad manner, with few specific recommendations beyond representation and </w:t>
      </w:r>
      <w:r w:rsidR="00F605AC">
        <w:t xml:space="preserve">training.  For inclusion to </w:t>
      </w:r>
      <w:r w:rsidR="00156539">
        <w:t xml:space="preserve">be truly impactful, it needs to occur across all phases of the student lifecycle, and in all aspects of higher education culture, governance and </w:t>
      </w:r>
      <w:r w:rsidR="0069559F">
        <w:t>policy</w:t>
      </w:r>
      <w:r w:rsidR="004A2426">
        <w:fldChar w:fldCharType="begin"/>
      </w:r>
      <w:r w:rsidR="004A2426">
        <w:instrText xml:space="preserve"> ADDIN ZOTERO_ITEM CSL_CITATION {"citationID":"HNCD8U78","properties":{"formattedCitation":"\\super 4\\nosupersub{}","plainCitation":"4","noteIndex":0},"citationItems":[{"id":792,"uris":["http://zotero.org/users/13737467/items/7G8GVZXG"],"itemData":{"id":792,"type":"article-journal","abstract":"The proportion of higher education students with disability is increasing. We know there is institutional variation in retention and performance of higher education students with disability, and there is a need to understand the reasons for this. This exploratory national study examines supports and adjustments provided by universities, including the role of disability practitioners, influence retention and performance of students with disability. The study uses a mixed-methods approach. National equity retention and performance data are analysed by higher education institution. Qualitative data on institutional policies and practices collected from a purposive sample of Australian higher education institutions are then analysed. Findings from the study include identification of factors linked to retention and performance of students with disability, including different types of disability.","container-title":"International Journal of Inclusive Education","DOI":"10.1080/13603116.2016.1251980","ISSN":"1360-3116","issue":"7","note":"publisher: Routledge\n_eprint: https://doi.org/10.1080/13603116.2016.1251980","page":"747-762","source":"Taylor and Francis+NEJM","title":"Exploring the retention and success of students with disability in Australian higher education","URL":"https://doi.org/10.1080/13603116.2016.1251980","volume":"21","author":[{"family":"Kilpatrick","given":"S."},{"family":"Johns","given":"S."},{"family":"Barnes","given":"R."},{"family":"Fischer","given":"S."},{"family":"McLennan","given":"D."},{"family":"Magnussen","given":"K."}],"accessed":{"date-parts":[["2024",7,16]]},"issued":{"date-parts":[["2017",7,3]]}}}],"schema":"https://github.com/citation-style-language/schema/raw/master/csl-citation.json"} </w:instrText>
      </w:r>
      <w:r w:rsidR="004A2426">
        <w:fldChar w:fldCharType="separate"/>
      </w:r>
      <w:r w:rsidR="004A2426" w:rsidRPr="004A2426">
        <w:rPr>
          <w:rFonts w:ascii="Aptos" w:hAnsi="Aptos" w:cs="Times New Roman"/>
          <w:kern w:val="0"/>
          <w:vertAlign w:val="superscript"/>
        </w:rPr>
        <w:t>4</w:t>
      </w:r>
      <w:r w:rsidR="004A2426">
        <w:fldChar w:fldCharType="end"/>
      </w:r>
      <w:r w:rsidR="0069559F">
        <w:t xml:space="preserve">.  As such, it could reasonably be explicitly referenced in </w:t>
      </w:r>
      <w:r w:rsidR="00F2712F">
        <w:t xml:space="preserve">many if not all of the Higher Education Threshold Standards. </w:t>
      </w:r>
      <w:r w:rsidR="007702DC">
        <w:t xml:space="preserve"> </w:t>
      </w:r>
    </w:p>
    <w:p w14:paraId="264F8140" w14:textId="59FF85B2" w:rsidR="00192025" w:rsidRDefault="00192025">
      <w:r>
        <w:t>There are multiple points within the standards where responsibilities towards students with disabilities could be more explicitly stated.  Some examples are listed below:</w:t>
      </w:r>
    </w:p>
    <w:p w14:paraId="611BF6EE" w14:textId="4DBD7D84" w:rsidR="00192025" w:rsidRPr="007702DC" w:rsidRDefault="00192025" w:rsidP="00192025">
      <w:pPr>
        <w:pStyle w:val="ListParagraph"/>
        <w:numPr>
          <w:ilvl w:val="1"/>
          <w:numId w:val="1"/>
        </w:numPr>
        <w:rPr>
          <w:b/>
          <w:bCs/>
        </w:rPr>
      </w:pPr>
      <w:r w:rsidRPr="007702DC">
        <w:rPr>
          <w:b/>
          <w:bCs/>
        </w:rPr>
        <w:lastRenderedPageBreak/>
        <w:t>Admission</w:t>
      </w:r>
    </w:p>
    <w:p w14:paraId="2BFAC0A6" w14:textId="19B3E55D" w:rsidR="00192025" w:rsidRDefault="00192025" w:rsidP="00192025">
      <w:pPr>
        <w:pStyle w:val="ListParagraph"/>
        <w:ind w:left="370"/>
      </w:pPr>
      <w:r>
        <w:rPr>
          <w:lang w:val="en-US"/>
        </w:rPr>
        <w:t xml:space="preserve">Here reference is made to admitted students having ‘no known limitations’ with regards to admission </w:t>
      </w:r>
      <w:r w:rsidRPr="00192025">
        <w:t>policies, requirements and procedures</w:t>
      </w:r>
      <w:r>
        <w:t xml:space="preserve">.  This </w:t>
      </w:r>
      <w:r w:rsidR="000915EF">
        <w:t xml:space="preserve">phrase </w:t>
      </w:r>
      <w:r>
        <w:t xml:space="preserve">requires further clarification with regards to students with disabilities and how these might be placed in context with reasonable adjustment processes.   Similarly the responsibility to clearly set out requirements of the course prior to admission could be strengthened and set out with specific reference to the availability of adjustments as per the DSE.  </w:t>
      </w:r>
    </w:p>
    <w:p w14:paraId="5DECFE5F" w14:textId="02200EF0" w:rsidR="00192025" w:rsidRPr="007702DC" w:rsidRDefault="004B3AF0" w:rsidP="00192025">
      <w:pPr>
        <w:rPr>
          <w:b/>
          <w:bCs/>
          <w:lang w:val="en-US"/>
        </w:rPr>
      </w:pPr>
      <w:r w:rsidRPr="007702DC">
        <w:rPr>
          <w:b/>
          <w:bCs/>
          <w:lang w:val="en-US"/>
        </w:rPr>
        <w:t>2.2 Diversity &amp; Equity</w:t>
      </w:r>
    </w:p>
    <w:p w14:paraId="0F5FE557" w14:textId="38E76E31" w:rsidR="004B3AF0" w:rsidRDefault="004B3AF0" w:rsidP="004B3AF0">
      <w:pPr>
        <w:ind w:left="284"/>
        <w:rPr>
          <w:lang w:val="en-US"/>
        </w:rPr>
      </w:pPr>
      <w:r>
        <w:rPr>
          <w:lang w:val="en-US"/>
        </w:rPr>
        <w:t>This standard could arguably be strengthened with regard to students with disabilities.</w:t>
      </w:r>
      <w:r w:rsidR="00BF12B9">
        <w:rPr>
          <w:lang w:val="en-US"/>
        </w:rPr>
        <w:t xml:space="preserve"> T</w:t>
      </w:r>
      <w:r w:rsidR="00EE0DC4">
        <w:rPr>
          <w:lang w:val="en-US"/>
        </w:rPr>
        <w:t>he requirement</w:t>
      </w:r>
      <w:r w:rsidR="00BF12B9">
        <w:rPr>
          <w:lang w:val="en-US"/>
        </w:rPr>
        <w:t>s</w:t>
      </w:r>
      <w:r w:rsidR="00EE0DC4">
        <w:rPr>
          <w:lang w:val="en-US"/>
        </w:rPr>
        <w:t xml:space="preserve"> for </w:t>
      </w:r>
      <w:r w:rsidR="00610872">
        <w:rPr>
          <w:lang w:val="en-US"/>
        </w:rPr>
        <w:t xml:space="preserve">accommodation of diversity and equivalence of </w:t>
      </w:r>
      <w:r w:rsidR="00B15421">
        <w:rPr>
          <w:lang w:val="en-US"/>
        </w:rPr>
        <w:t xml:space="preserve">opportunity for </w:t>
      </w:r>
      <w:r w:rsidR="00610872">
        <w:rPr>
          <w:lang w:val="en-US"/>
        </w:rPr>
        <w:t xml:space="preserve">academic </w:t>
      </w:r>
      <w:r w:rsidR="00B15421">
        <w:rPr>
          <w:lang w:val="en-US"/>
        </w:rPr>
        <w:t>success, along with monitoring requirements</w:t>
      </w:r>
      <w:r w:rsidR="009C7AA1">
        <w:rPr>
          <w:lang w:val="en-US"/>
        </w:rPr>
        <w:t>,</w:t>
      </w:r>
      <w:r w:rsidR="00B15421">
        <w:rPr>
          <w:lang w:val="en-US"/>
        </w:rPr>
        <w:t xml:space="preserve"> are positive inclusions</w:t>
      </w:r>
      <w:r w:rsidR="00BF12B9">
        <w:rPr>
          <w:lang w:val="en-US"/>
        </w:rPr>
        <w:t xml:space="preserve">.  </w:t>
      </w:r>
      <w:r w:rsidR="009C7AA1">
        <w:rPr>
          <w:lang w:val="en-US"/>
        </w:rPr>
        <w:t xml:space="preserve">However </w:t>
      </w:r>
      <w:r w:rsidR="00BF12B9">
        <w:rPr>
          <w:lang w:val="en-US"/>
        </w:rPr>
        <w:t xml:space="preserve">there is </w:t>
      </w:r>
      <w:r w:rsidR="009C7AA1">
        <w:rPr>
          <w:lang w:val="en-US"/>
        </w:rPr>
        <w:t xml:space="preserve">opportunity to include </w:t>
      </w:r>
      <w:r w:rsidR="00BF12B9">
        <w:rPr>
          <w:lang w:val="en-US"/>
        </w:rPr>
        <w:t xml:space="preserve">recognition of </w:t>
      </w:r>
      <w:r w:rsidR="007B7AAF">
        <w:rPr>
          <w:lang w:val="en-US"/>
        </w:rPr>
        <w:t>the benefits of a universal design approach in meeting these</w:t>
      </w:r>
      <w:r w:rsidR="00D369E2">
        <w:rPr>
          <w:lang w:val="en-US"/>
        </w:rPr>
        <w:t xml:space="preserve"> requirements, and </w:t>
      </w:r>
      <w:r w:rsidR="002C3363">
        <w:rPr>
          <w:lang w:val="en-US"/>
        </w:rPr>
        <w:t xml:space="preserve">explicitly stipulating </w:t>
      </w:r>
      <w:r w:rsidR="00D369E2">
        <w:rPr>
          <w:lang w:val="en-US"/>
        </w:rPr>
        <w:t xml:space="preserve">the need for </w:t>
      </w:r>
      <w:r w:rsidR="00195BA2">
        <w:rPr>
          <w:lang w:val="en-US"/>
        </w:rPr>
        <w:t xml:space="preserve">appropriately designed, resourced and monitored systems for providing reasonable adjustments.  </w:t>
      </w:r>
      <w:r w:rsidR="00D35C23">
        <w:rPr>
          <w:lang w:val="en-US"/>
        </w:rPr>
        <w:t xml:space="preserve">Data in the Australian context suggests that </w:t>
      </w:r>
      <w:r w:rsidR="00E8701A">
        <w:rPr>
          <w:lang w:val="en-US"/>
        </w:rPr>
        <w:t>inclusion is contingent on adjustments that are designed in response to student needs</w:t>
      </w:r>
      <w:r w:rsidR="000D2337">
        <w:rPr>
          <w:lang w:val="en-US"/>
        </w:rPr>
        <w:t>, consistently implemented and delivered in a culture which minimizes stigma</w:t>
      </w:r>
      <w:r w:rsidR="002F4555">
        <w:rPr>
          <w:lang w:val="en-US"/>
        </w:rPr>
        <w:fldChar w:fldCharType="begin"/>
      </w:r>
      <w:r w:rsidR="002F4555">
        <w:rPr>
          <w:lang w:val="en-US"/>
        </w:rPr>
        <w:instrText xml:space="preserve"> ADDIN ZOTERO_ITEM CSL_CITATION {"citationID":"sVEfP0iO","properties":{"formattedCitation":"\\super 5\\nosupersub{}","plainCitation":"5","noteIndex":0},"citationItems":[{"id":2721,"uris":["http://zotero.org/users/13737467/items/LFGETIDF"],"itemData":{"id":2721,"type":"article-journal","abstract":"Introduction: Neurodivergent individuals are increasingly recognised as playing a critical role in the health professions workforce. However, many face significant barriers during their education due to stigma, ableism, and institutional inflexibility. We have approached this work through the lens of the neurodiversity paradigm, reframing disadvantage as arising not from individual traits but from the social, structural, and cultural contexts that shape experiences within healthcare and education. Methods: We conducted an online survey (during May to July 2024) of neurodivergent graduates from a range of Australian health professions programs, exploring their diagnoses, use of accommodations, and experiences navigating their education. We also invited participants to share advice for future neurodivergent students entering health professions education. Thematic analysis of qualitative data was guided by Jain’s framework of legibility, which describes how disability, or neurodivergence in this context, is recognised and understood by both individuals and institutions and how recognition shapes accommodations, inclusion, and learner experiences. Results: The 183 respondents had completed a range of health professions qualifications and, strikingly, often identified with multiple forms of neurodivergence. This allowed us to identify patterns of experience that spanned professional groups and rigid diagnostic boundaries. Many reported experiencing stigma and inadequate or inaccessible accommodations, where neurodivergence was framed within a deficit-focussed model. Even when formally granted, supports were inconsistently implemented. Participants described complex processes of self-recognition, often occurring during study or after graduation. Despite these barriers, self-recognition and peer connection were sources of empowerment and agency. The advice participants shared emphasized self-advocacy, self-compassion, connection with community, and the distinct value neurodivergent learners bring to healthcare. Conclusion: Our findings show that the way neurodivergence is recognised and understood by individuals and institutions profoundly shapes neurodivergent learners’ educational experiences. When recognition is founded in deficit-based assumptions, it reinforces exclusion, stigma, and structural inequity. To support student agency, self-determination, and belonging, recognition of neurodiversity through a neuro-affirming lens is required. These insights highlight the urgent need for systematic reform to embed neuro-affirming principles within health professions education. Truly inclusive education must prioritise universal design, reduce reliance on diagnostic disclosure, and provide environments where all learners can thrive.","container-title":"Teaching and Learning in Medicine","DOI":"10.1080/10401334.2026.2632753","ISSN":"1040-1334","issue":"0","license":"Creative Commons Attribution-NonCommercial-NoDerivatives 4.0 International License (CC-BY-NC-ND)","note":"publisher: Routledge\n_eprint: https://www.tandfonline.com/doi/pdf/10.1080/10401334.2026.2632753\nPMID: 41718571","page":"1-18","source":"Taylor and Francis+NEJM","title":"“You Have So Much to Offer as a Health Professional”: Neurodivergent Students’ Experiences of Recognition, Disclosure, and Accommodation in Australian Health Professions Education","title-short":"“You Have So Much to Offer as a Health Professional”","URL":"https://www.tandfonline.com/doi/abs/10.1080/10401334.2026.2632753","volume":"0","author":[{"family":"Gray","given":"Laura"},{"family":"McNeill","given":"Bryony"},{"family":"Woodman","given":"James"},{"family":"Bernard","given":"Sarah"},{"family":"Kos","given":"Julie"},{"family":"Hewitt","given":"Yvonne"},{"family":"Goldingay","given":"Sophie"},{"family":"Hayley","given":"Alexa"},{"family":"Hitch","given":"Danielle"},{"family":"Macfarlane","given":"Susie"},{"family":"Pecora","given":"Laura"},{"family":"Watchorn","given":"Valerie"},{"family":"Evans","given":"Sherryn"}],"accessed":{"date-parts":[["2026",3,5]]},"issued":{"date-parts":[["2026",2,20]]}}}],"schema":"https://github.com/citation-style-language/schema/raw/master/csl-citation.json"} </w:instrText>
      </w:r>
      <w:r w:rsidR="002F4555">
        <w:rPr>
          <w:lang w:val="en-US"/>
        </w:rPr>
        <w:fldChar w:fldCharType="separate"/>
      </w:r>
      <w:r w:rsidR="002F4555" w:rsidRPr="002F4555">
        <w:rPr>
          <w:rFonts w:ascii="Aptos" w:hAnsi="Aptos" w:cs="Times New Roman"/>
          <w:kern w:val="0"/>
          <w:vertAlign w:val="superscript"/>
        </w:rPr>
        <w:t>5</w:t>
      </w:r>
      <w:r w:rsidR="002F4555">
        <w:rPr>
          <w:lang w:val="en-US"/>
        </w:rPr>
        <w:fldChar w:fldCharType="end"/>
      </w:r>
      <w:r w:rsidR="002F4555">
        <w:rPr>
          <w:lang w:val="en-US"/>
        </w:rPr>
        <w:t xml:space="preserve">.  </w:t>
      </w:r>
      <w:r w:rsidR="00195BA2">
        <w:rPr>
          <w:lang w:val="en-US"/>
        </w:rPr>
        <w:t xml:space="preserve">In addition, the concept of ‘success’ could potentially be broadened to </w:t>
      </w:r>
      <w:r w:rsidR="00517773">
        <w:rPr>
          <w:lang w:val="en-US"/>
        </w:rPr>
        <w:t xml:space="preserve">encompass </w:t>
      </w:r>
      <w:r w:rsidR="00B07800">
        <w:rPr>
          <w:lang w:val="en-US"/>
        </w:rPr>
        <w:t>student wellbeing</w:t>
      </w:r>
      <w:r w:rsidR="00DE0466">
        <w:rPr>
          <w:lang w:val="en-US"/>
        </w:rPr>
        <w:t xml:space="preserve">, beyond academic outcomes. </w:t>
      </w:r>
    </w:p>
    <w:p w14:paraId="5BD0DD0E" w14:textId="1A38FD38" w:rsidR="007334CF" w:rsidRPr="007702DC" w:rsidRDefault="007334CF" w:rsidP="007334CF">
      <w:pPr>
        <w:rPr>
          <w:b/>
          <w:bCs/>
          <w:lang w:val="en-US"/>
        </w:rPr>
      </w:pPr>
      <w:r w:rsidRPr="007702DC">
        <w:rPr>
          <w:b/>
          <w:bCs/>
          <w:lang w:val="en-US"/>
        </w:rPr>
        <w:t>3.1 Course Design</w:t>
      </w:r>
    </w:p>
    <w:p w14:paraId="76BD3A0C" w14:textId="56CF31A6" w:rsidR="007334CF" w:rsidRDefault="007334CF" w:rsidP="007334CF">
      <w:pPr>
        <w:ind w:left="284"/>
        <w:rPr>
          <w:lang w:val="en-US"/>
        </w:rPr>
      </w:pPr>
      <w:r>
        <w:rPr>
          <w:lang w:val="en-US"/>
        </w:rPr>
        <w:t xml:space="preserve">This standard could be strengthened by specific reference to principles of universal design, benefiting students with disability as well as other student groups.  The requirement for equivalence across modes and locations of delivery is positive but there is opportunity to recognise equivalence of achievement in cases where reasonable adjustments are applied.  Here this could acknowledge the distinction between </w:t>
      </w:r>
      <w:r w:rsidRPr="000026C3">
        <w:rPr>
          <w:i/>
          <w:iCs/>
          <w:lang w:val="en-US"/>
        </w:rPr>
        <w:t>how</w:t>
      </w:r>
      <w:r>
        <w:rPr>
          <w:lang w:val="en-US"/>
        </w:rPr>
        <w:t xml:space="preserve"> students achieve academic outcomes and the </w:t>
      </w:r>
      <w:r w:rsidRPr="00FB755A">
        <w:rPr>
          <w:i/>
          <w:iCs/>
          <w:lang w:val="en-US"/>
        </w:rPr>
        <w:t>purpose or goal</w:t>
      </w:r>
      <w:r>
        <w:rPr>
          <w:lang w:val="en-US"/>
        </w:rPr>
        <w:t xml:space="preserve"> of these outcomes – a point of difference which leaves space for accommodations or adjustments in the achievement and demonstration of these outcomes</w:t>
      </w:r>
      <w:r w:rsidR="002F4555">
        <w:rPr>
          <w:lang w:val="en-US"/>
        </w:rPr>
        <w:fldChar w:fldCharType="begin"/>
      </w:r>
      <w:r w:rsidR="002F4555">
        <w:rPr>
          <w:lang w:val="en-US"/>
        </w:rPr>
        <w:instrText xml:space="preserve"> ADDIN ZOTERO_ITEM CSL_CITATION {"citationID":"wZQ51g36","properties":{"formattedCitation":"\\super 6\\nosupersub{}","plainCitation":"6","noteIndex":0},"citationItems":[{"id":2672,"uris":["http://zotero.org/users/13737467/items/X67F8NSP"],"itemData":{"id":2672,"type":"article-journal","abstract":"Despite widespread calls for greater inclusion of disabled people in the healthcare workforce, significant barriers remain. These barriers exist even before admission to training, when applicants are considering study options and future careers. In Australia and Aotearoa/New Zealand (NZ), the Medical Deans of Australia and New Zealand (MDANZ) have developed guidelines for inclusive pre-admission practices, but the extent to which these are enacted is unclear. This study aimed to explore the extent to which Australian and NZ schools have adopted these guidelines and whether their websites communicate to prospective applicants in a way that explicitly recognises disability as a valued dimension of diversity. We used these data to develop a set of reflective questions intended to help medical schools improve their pre-admission communication to applicants. In January–September 2024, we conducted an audit and content analysis of all Australian and NZ public-facing medical school websites. Domains examined included the use of Inherent Requirements and/or MDANZ Guidelines for Inclusive Medical Education and how these documents framed program requirements from organic or functional perspectives. We also explored the accessibility of relevant information, the transparency of pre-admission discussions, and identified where schools framed disability as a deficit versus using positive and strengths-based language. While we found examples of inclusive practices, many schools could improve the clarity and framing of the information provided to applicants. Many schools framed disability as a deficit or avoided explicit reference to disability. Clear information regarding procedures for confidential discussion of applicant circumstances and access to accommodations prior to admission was often absent, potentially leaving applicants uncertain about the impact of disability disclosure. Only half of the schools referenced the MDANZ Guidelines. Those that used Inherent Requirements often employed organic framing which did not acknowledge the role of accommodations. Establishing the state of current practice illuminates opportunities to make medical programs more inclusive from the early stages of the student lifecycle. These findings illustrate the potential gap between policy and practice. Here, we identify the practical importance of reviewing pre-admissions communication through a disability-inclusive lens, and provide a series of recommendations and reflective prompts to support medical schools as they work towards more inclusive practice.","container-title":"Teaching and Learning in Medicine","DOI":"10.1080/10401334.2025.2601205","ISSN":"1040-1334","issue":"0","note":"publisher: Routledge\n_eprint: https://doi.org/10.1080/10401334.2025.2601205\nPMID: 41399027","page":"1-12","source":"Taylor and Francis+NEJM","title":"Barriers Before Entry: Opportunities for Improving Pre-Admission Guidance for Disabled Medical School Applicants in Australia and New Zealand","title-short":"Barriers Before Entry","URL":"https://doi.org/10.1080/10401334.2025.2601205","volume":"0","author":[{"family":"Gray","given":"Laura"},{"family":"Mogensen","given":"Lise"},{"family":"Gallego","given":"Gisselle"},{"family":"Jain","given":"Neera R."},{"family":"Tai","given":"Joanna"},{"family":"Bishop","given":"Jo"},{"family":"Brett","given":"Matt"},{"family":"McNeill","given":"Bryony A."}],"accessed":{"date-parts":[["2026",2,4]]},"issued":{"date-parts":[["2025",12,15]]}}}],"schema":"https://github.com/citation-style-language/schema/raw/master/csl-citation.json"} </w:instrText>
      </w:r>
      <w:r w:rsidR="002F4555">
        <w:rPr>
          <w:lang w:val="en-US"/>
        </w:rPr>
        <w:fldChar w:fldCharType="separate"/>
      </w:r>
      <w:r w:rsidR="002F4555" w:rsidRPr="002F4555">
        <w:rPr>
          <w:rFonts w:ascii="Aptos" w:hAnsi="Aptos" w:cs="Times New Roman"/>
          <w:kern w:val="0"/>
          <w:vertAlign w:val="superscript"/>
        </w:rPr>
        <w:t>6</w:t>
      </w:r>
      <w:r w:rsidR="002F4555">
        <w:rPr>
          <w:lang w:val="en-US"/>
        </w:rPr>
        <w:fldChar w:fldCharType="end"/>
      </w:r>
      <w:r>
        <w:rPr>
          <w:lang w:val="en-US"/>
        </w:rPr>
        <w:t xml:space="preserve">.  For example, a student achieving a learning outcome relating to communication skills might demonstrate those skills through a variety of modes, including speech to text, text to speech, or written communication.  </w:t>
      </w:r>
    </w:p>
    <w:p w14:paraId="6278067D" w14:textId="226C713D" w:rsidR="003750ED" w:rsidRPr="003750ED" w:rsidRDefault="003750ED" w:rsidP="003750ED">
      <w:pPr>
        <w:rPr>
          <w:b/>
          <w:bCs/>
          <w:lang w:val="en-US"/>
        </w:rPr>
      </w:pPr>
      <w:r w:rsidRPr="003750ED">
        <w:rPr>
          <w:b/>
          <w:bCs/>
          <w:lang w:val="en-US"/>
        </w:rPr>
        <w:t>3.2 Staffing</w:t>
      </w:r>
    </w:p>
    <w:p w14:paraId="4EC1D578" w14:textId="274B97FC" w:rsidR="003750ED" w:rsidRDefault="003750ED" w:rsidP="000F605D">
      <w:pPr>
        <w:ind w:left="284"/>
        <w:rPr>
          <w:lang w:val="en-US"/>
        </w:rPr>
      </w:pPr>
      <w:r>
        <w:rPr>
          <w:lang w:val="en-US"/>
        </w:rPr>
        <w:t xml:space="preserve">This standard could be strengthened to point more clearly to the need for </w:t>
      </w:r>
      <w:r w:rsidR="00E5246C">
        <w:rPr>
          <w:lang w:val="en-US"/>
        </w:rPr>
        <w:t xml:space="preserve">training and professional development for all staff (not solely educators), in understanding and responding to the needs of students with disability and other cohorts. </w:t>
      </w:r>
    </w:p>
    <w:p w14:paraId="71D92A8E" w14:textId="77777777" w:rsidR="00227A8C" w:rsidRDefault="00227A8C" w:rsidP="000F605D">
      <w:pPr>
        <w:ind w:left="284"/>
        <w:rPr>
          <w:lang w:val="en-US"/>
        </w:rPr>
      </w:pPr>
    </w:p>
    <w:p w14:paraId="17988519" w14:textId="76FCD6E0" w:rsidR="00581CE4" w:rsidRPr="00AD1CF5" w:rsidRDefault="00AD1CF5" w:rsidP="00AD1CF5">
      <w:pPr>
        <w:rPr>
          <w:b/>
          <w:bCs/>
          <w:lang w:val="en-US"/>
        </w:rPr>
      </w:pPr>
      <w:r w:rsidRPr="00AD1CF5">
        <w:rPr>
          <w:b/>
          <w:bCs/>
          <w:lang w:val="en-US"/>
        </w:rPr>
        <w:lastRenderedPageBreak/>
        <w:t>3.3 Learning Resources and Educational Support</w:t>
      </w:r>
    </w:p>
    <w:p w14:paraId="349AB9B3" w14:textId="1DAF9DF2" w:rsidR="00AD1CF5" w:rsidRDefault="00AD1CF5" w:rsidP="000F605D">
      <w:pPr>
        <w:ind w:left="284"/>
        <w:rPr>
          <w:lang w:val="en-US"/>
        </w:rPr>
      </w:pPr>
      <w:r>
        <w:rPr>
          <w:lang w:val="en-US"/>
        </w:rPr>
        <w:t xml:space="preserve">Standard 3.3 could make specific reference to </w:t>
      </w:r>
      <w:r w:rsidR="009A4661">
        <w:rPr>
          <w:lang w:val="en-US"/>
        </w:rPr>
        <w:t xml:space="preserve">the need for appropriately designed, resourced and monitored learning resources and educational supports which specifically meet the needs of students with disability.  </w:t>
      </w:r>
      <w:r w:rsidR="008352D6">
        <w:rPr>
          <w:lang w:val="en-US"/>
        </w:rPr>
        <w:t xml:space="preserve">This might include (but is not limited to) specific study skills development as well as </w:t>
      </w:r>
      <w:r w:rsidR="00CF59D0">
        <w:rPr>
          <w:lang w:val="en-US"/>
        </w:rPr>
        <w:t xml:space="preserve">collaborative arrangements for the provision of adjustments to learning and assessment. </w:t>
      </w:r>
    </w:p>
    <w:p w14:paraId="3746C7DD" w14:textId="38013E24" w:rsidR="00AD1CF5" w:rsidRPr="009C0DE0" w:rsidRDefault="009C0DE0" w:rsidP="009C0DE0">
      <w:pPr>
        <w:rPr>
          <w:b/>
          <w:bCs/>
          <w:lang w:val="en-US"/>
        </w:rPr>
      </w:pPr>
      <w:r w:rsidRPr="009C0DE0">
        <w:rPr>
          <w:b/>
          <w:bCs/>
          <w:lang w:val="en-US"/>
        </w:rPr>
        <w:t>5.1</w:t>
      </w:r>
      <w:r w:rsidR="00775F1C">
        <w:rPr>
          <w:b/>
          <w:bCs/>
          <w:lang w:val="en-US"/>
        </w:rPr>
        <w:t xml:space="preserve"> </w:t>
      </w:r>
      <w:r w:rsidRPr="009C0DE0">
        <w:rPr>
          <w:b/>
          <w:bCs/>
          <w:lang w:val="en-US"/>
        </w:rPr>
        <w:t>Course Approval and Accreditation</w:t>
      </w:r>
      <w:r w:rsidR="00775F1C">
        <w:rPr>
          <w:b/>
          <w:bCs/>
          <w:lang w:val="en-US"/>
        </w:rPr>
        <w:t xml:space="preserve">, and 5.3 </w:t>
      </w:r>
      <w:r w:rsidR="00F4015D">
        <w:rPr>
          <w:b/>
          <w:bCs/>
          <w:lang w:val="en-US"/>
        </w:rPr>
        <w:t>Monitoring, Review and Improvement</w:t>
      </w:r>
    </w:p>
    <w:p w14:paraId="16CCF1F4" w14:textId="77777777" w:rsidR="006A73E3" w:rsidRDefault="00F4015D" w:rsidP="009C0DE0">
      <w:pPr>
        <w:ind w:left="426"/>
        <w:rPr>
          <w:lang w:val="en-US"/>
        </w:rPr>
      </w:pPr>
      <w:r>
        <w:rPr>
          <w:lang w:val="en-US"/>
        </w:rPr>
        <w:t>These standards could be</w:t>
      </w:r>
      <w:r w:rsidR="00623907">
        <w:rPr>
          <w:lang w:val="en-US"/>
        </w:rPr>
        <w:t xml:space="preserve"> significantly</w:t>
      </w:r>
      <w:r>
        <w:rPr>
          <w:lang w:val="en-US"/>
        </w:rPr>
        <w:t xml:space="preserve"> strengthened </w:t>
      </w:r>
      <w:r w:rsidR="00D041CB">
        <w:rPr>
          <w:lang w:val="en-US"/>
        </w:rPr>
        <w:t xml:space="preserve">through incorporation of </w:t>
      </w:r>
      <w:r w:rsidR="00DA10F1">
        <w:rPr>
          <w:lang w:val="en-US"/>
        </w:rPr>
        <w:t xml:space="preserve">disability </w:t>
      </w:r>
      <w:r w:rsidR="00D041CB">
        <w:rPr>
          <w:lang w:val="en-US"/>
        </w:rPr>
        <w:t>inclusion as</w:t>
      </w:r>
      <w:r w:rsidR="00DA10F1">
        <w:rPr>
          <w:lang w:val="en-US"/>
        </w:rPr>
        <w:t xml:space="preserve"> an explicit consideration in accreditation, review and quality assurance processes.  </w:t>
      </w:r>
      <w:r w:rsidR="00D041CB">
        <w:rPr>
          <w:lang w:val="en-US"/>
        </w:rPr>
        <w:t xml:space="preserve"> </w:t>
      </w:r>
      <w:r w:rsidR="00F2258B">
        <w:rPr>
          <w:lang w:val="en-US"/>
        </w:rPr>
        <w:t>T</w:t>
      </w:r>
      <w:r w:rsidR="00E5358D">
        <w:rPr>
          <w:lang w:val="en-US"/>
        </w:rPr>
        <w:t xml:space="preserve">he responsibilities of </w:t>
      </w:r>
      <w:r w:rsidR="001B7C29">
        <w:rPr>
          <w:lang w:val="en-US"/>
        </w:rPr>
        <w:t xml:space="preserve">education providers under the DDA and DSE </w:t>
      </w:r>
      <w:r w:rsidR="00F2258B">
        <w:rPr>
          <w:lang w:val="en-US"/>
        </w:rPr>
        <w:t>can be</w:t>
      </w:r>
      <w:r w:rsidR="001B7C29">
        <w:rPr>
          <w:lang w:val="en-US"/>
        </w:rPr>
        <w:t xml:space="preserve"> foregrounded</w:t>
      </w:r>
      <w:r w:rsidR="00F2258B">
        <w:rPr>
          <w:lang w:val="en-US"/>
        </w:rPr>
        <w:t xml:space="preserve"> through </w:t>
      </w:r>
      <w:r w:rsidR="007F4E5B">
        <w:rPr>
          <w:lang w:val="en-US"/>
        </w:rPr>
        <w:t xml:space="preserve">using institutional governance as a mechanism for establishing </w:t>
      </w:r>
      <w:r w:rsidR="00851AF5">
        <w:rPr>
          <w:lang w:val="en-US"/>
        </w:rPr>
        <w:t>baseline requirements and accountability</w:t>
      </w:r>
      <w:r w:rsidR="0082563F">
        <w:rPr>
          <w:lang w:val="en-US"/>
        </w:rPr>
        <w:t xml:space="preserve"> across all courses</w:t>
      </w:r>
      <w:r w:rsidR="001B7C29">
        <w:rPr>
          <w:lang w:val="en-US"/>
        </w:rPr>
        <w:t>.</w:t>
      </w:r>
      <w:r w:rsidR="00851AF5">
        <w:rPr>
          <w:lang w:val="en-US"/>
        </w:rPr>
        <w:t xml:space="preserve">  The comprehensive nature of course accreditation and review processes makes </w:t>
      </w:r>
      <w:r w:rsidR="0054394E">
        <w:rPr>
          <w:lang w:val="en-US"/>
        </w:rPr>
        <w:t>these ideal points of intervention</w:t>
      </w:r>
      <w:r w:rsidR="00ED31EE">
        <w:rPr>
          <w:lang w:val="en-US"/>
        </w:rPr>
        <w:t xml:space="preserve">.  Similarly, </w:t>
      </w:r>
      <w:r w:rsidR="00ED0FC6">
        <w:rPr>
          <w:lang w:val="en-US"/>
        </w:rPr>
        <w:t xml:space="preserve">standards relating to responding to feedback and data on student outcomes could be strengthened to explicitly recognise </w:t>
      </w:r>
      <w:r w:rsidR="00E96EC3">
        <w:rPr>
          <w:lang w:val="en-US"/>
        </w:rPr>
        <w:t xml:space="preserve">students with disability (and other marginalized groups), and require </w:t>
      </w:r>
      <w:r w:rsidR="00777904">
        <w:rPr>
          <w:lang w:val="en-US"/>
        </w:rPr>
        <w:t xml:space="preserve">reference to both quantitative and qualitative data that expands the definition of academic success to </w:t>
      </w:r>
      <w:r w:rsidR="006A73E3">
        <w:rPr>
          <w:lang w:val="en-US"/>
        </w:rPr>
        <w:t xml:space="preserve">include student safety and wellbeing. </w:t>
      </w:r>
    </w:p>
    <w:p w14:paraId="0109B3D4" w14:textId="26B7C416" w:rsidR="004B3AF0" w:rsidRPr="00B223AD" w:rsidRDefault="00B223AD" w:rsidP="00B223AD">
      <w:pPr>
        <w:rPr>
          <w:b/>
          <w:bCs/>
          <w:lang w:val="en-US"/>
        </w:rPr>
      </w:pPr>
      <w:r w:rsidRPr="00B223AD">
        <w:rPr>
          <w:b/>
          <w:bCs/>
          <w:lang w:val="en-US"/>
        </w:rPr>
        <w:t xml:space="preserve">5.4 Delivery with Other Parties </w:t>
      </w:r>
      <w:r w:rsidR="0054394E" w:rsidRPr="00B223AD">
        <w:rPr>
          <w:b/>
          <w:bCs/>
          <w:lang w:val="en-US"/>
        </w:rPr>
        <w:t xml:space="preserve"> </w:t>
      </w:r>
      <w:r w:rsidR="001B7C29" w:rsidRPr="00B223AD">
        <w:rPr>
          <w:b/>
          <w:bCs/>
          <w:lang w:val="en-US"/>
        </w:rPr>
        <w:t xml:space="preserve"> </w:t>
      </w:r>
    </w:p>
    <w:p w14:paraId="1F662184" w14:textId="4481AAEF" w:rsidR="00B223AD" w:rsidRDefault="00F53507" w:rsidP="009C0DE0">
      <w:pPr>
        <w:ind w:left="426"/>
        <w:rPr>
          <w:lang w:val="en-US"/>
        </w:rPr>
      </w:pPr>
      <w:r>
        <w:rPr>
          <w:lang w:val="en-US"/>
        </w:rPr>
        <w:t>Significant data exists to point to placements and WIL as being points in the student journey where equity and inclusion can falter</w:t>
      </w:r>
      <w:r w:rsidR="009B5F2B">
        <w:rPr>
          <w:lang w:val="en-US"/>
        </w:rPr>
        <w:fldChar w:fldCharType="begin"/>
      </w:r>
      <w:r w:rsidR="009B5F2B">
        <w:rPr>
          <w:lang w:val="en-US"/>
        </w:rPr>
        <w:instrText xml:space="preserve"> ADDIN ZOTERO_ITEM CSL_CITATION {"citationID":"VA3kzns6","properties":{"formattedCitation":"\\super 5,7,8\\nosupersub{}","plainCitation":"5,7,8","noteIndex":0},"citationItems":[{"id":2721,"uris":["http://zotero.org/users/13737467/items/LFGETIDF"],"itemData":{"id":2721,"type":"article-journal","abstract":"Introduction: Neurodivergent individuals are increasingly recognised as playing a critical role in the health professions workforce. However, many face significant barriers during their education due to stigma, ableism, and institutional inflexibility. We have approached this work through the lens of the neurodiversity paradigm, reframing disadvantage as arising not from individual traits but from the social, structural, and cultural contexts that shape experiences within healthcare and education. Methods: We conducted an online survey (during May to July 2024) of neurodivergent graduates from a range of Australian health professions programs, exploring their diagnoses, use of accommodations, and experiences navigating their education. We also invited participants to share advice for future neurodivergent students entering health professions education. Thematic analysis of qualitative data was guided by Jain’s framework of legibility, which describes how disability, or neurodivergence in this context, is recognised and understood by both individuals and institutions and how recognition shapes accommodations, inclusion, and learner experiences. Results: The 183 respondents had completed a range of health professions qualifications and, strikingly, often identified with multiple forms of neurodivergence. This allowed us to identify patterns of experience that spanned professional groups and rigid diagnostic boundaries. Many reported experiencing stigma and inadequate or inaccessible accommodations, where neurodivergence was framed within a deficit-focussed model. Even when formally granted, supports were inconsistently implemented. Participants described complex processes of self-recognition, often occurring during study or after graduation. Despite these barriers, self-recognition and peer connection were sources of empowerment and agency. The advice participants shared emphasized self-advocacy, self-compassion, connection with community, and the distinct value neurodivergent learners bring to healthcare. Conclusion: Our findings show that the way neurodivergence is recognised and understood by individuals and institutions profoundly shapes neurodivergent learners’ educational experiences. When recognition is founded in deficit-based assumptions, it reinforces exclusion, stigma, and structural inequity. To support student agency, self-determination, and belonging, recognition of neurodiversity through a neuro-affirming lens is required. These insights highlight the urgent need for systematic reform to embed neuro-affirming principles within health professions education. Truly inclusive education must prioritise universal design, reduce reliance on diagnostic disclosure, and provide environments where all learners can thrive.","container-title":"Teaching and Learning in Medicine","DOI":"10.1080/10401334.2026.2632753","ISSN":"1040-1334","issue":"0","license":"Creative Commons Attribution-NonCommercial-NoDerivatives 4.0 International License (CC-BY-NC-ND)","note":"publisher: Routledge\n_eprint: https://www.tandfonline.com/doi/pdf/10.1080/10401334.2026.2632753\nPMID: 41718571","page":"1-18","source":"Taylor and Francis+NEJM","title":"“You Have So Much to Offer as a Health Professional”: Neurodivergent Students’ Experiences of Recognition, Disclosure, and Accommodation in Australian Health Professions Education","title-short":"“You Have So Much to Offer as a Health Professional”","URL":"https://www.tandfonline.com/doi/abs/10.1080/10401334.2026.2632753","volume":"0","author":[{"family":"Gray","given":"Laura"},{"family":"McNeill","given":"Bryony"},{"family":"Woodman","given":"James"},{"family":"Bernard","given":"Sarah"},{"family":"Kos","given":"Julie"},{"family":"Hewitt","given":"Yvonne"},{"family":"Goldingay","given":"Sophie"},{"family":"Hayley","given":"Alexa"},{"family":"Hitch","given":"Danielle"},{"family":"Macfarlane","given":"Susie"},{"family":"Pecora","given":"Laura"},{"family":"Watchorn","given":"Valerie"},{"family":"Evans","given":"Sherryn"}],"accessed":{"date-parts":[["2026",3,5]]},"issued":{"date-parts":[["2026",2,20]]}}},{"id":1697,"uris":["http://zotero.org/users/13737467/items/6IHGXEVI"],"itemData":{"id":1697,"type":"article-journal","abstract":"Work-integrated learning (WIL) or university placements are valuable opportunities for students to apply their knowledge in an authentic work setting and help support their transition from university to employment. However, as our study evidenced, students with disability face significant and unique barriers to securing and completing WIL placements. In this study, we surveyed students with disability at an Australian university (n = 132) to explore their experiences and perceptions of WIL placements. Our findings indicate that while many students are motivated to participate in placements, they have concerns about how their disability, medical or mental health condition(s) will be accepted by the organisations and whether their requests for accommodations will be facilitated without judgement from supervisors. The findings from our study are relevant to the fields of disability/inclusion and employability, as the results showcase that current policies and practices do not adequately support diverse students.","container-title":"Journal of Higher Education Policy and Management","DOI":"10.1080/1360080X.2022.2129317","ISSN":"1360-080X","issue":"1","note":"publisher: Routledge\n_eprint: https://doi.org/10.1080/1360080X.2022.2129317","page":"3-18","source":"Taylor and Francis+NEJM","title":"Exploring the experiences of students with disabilities in work-integrated learning","URL":"https://doi.org/10.1080/1360080X.2022.2129317","volume":"45","author":[{"family":"Dollinger","given":"Mollie"},{"family":"Finneran","given":"Rachel"},{"family":"Ajjawi","given":"Rola"}],"accessed":{"date-parts":[["2024",11,12]]},"issued":{"date-parts":[["2023",1,2]]}}},{"id":348,"uris":["http://zotero.org/users/13737467/items/JX945HEE"],"itemData":{"id":348,"type":"article-journal","abstract":"The expectation for universities to support students’ employability through work-integrated learning placements demands investigation into how opportunities are inclusive to students from a diversity of backgrounds. In this paper, we explore the experiences of students with disabilities during work placements, drawing on qualitative data collected through six focus groups with students (n = 27). Analysed through the frame of stigma, the results show how students bear an unfair burden of responsibility in their placement experiences, as they shoulder consequential decisions to disclose and/or request accommodations to support their learning. In this study, work placement environments were often somewhat hostile, both in relation to their built environments but also through the bias and/or prejudice of others. The results shed light on the difficulties that students with disabilities face in their placements and underscore how educational equity is multi-layered, requiring scrutiny of the student life-course including access to opportunities in professional fields. Points of interestDespite work integrated placements often being positioned as opportunities for students to ‘try out’ authentic work experiences during their time at university, placements are not inclusive to students with disabilities.Students with disabilities shoulder an unfair responsibility in their work placement experiences, where they must negotiate the decision of disclosure and/or request for accommodations.Students reported hostile work placement environments, and cultures of exclusion, demanding more investigation into how universities can ensure safe and appropriate learning environments for students on placement.Students recommend greater education and training for placement teams (i.e., academic unit chairs, professional coordinators) and industry supervisors to reduce stigma and combat entrenched assumptions about disability.Universities themselves must also reflect and act on how to support inclusive cultures, including supporting training and policy that embed a strengths-based lens of disabilities. Despite work integrated placements often being positioned as opportunities for students to ‘try out’ authentic work experiences during their time at university, placements are not inclusive to students with disabilities. Students with disabilities shoulder an unfair responsibility in their work placement experiences, where they must negotiate the decision of disclosure and/or request for accommodations. Students reported hostile work placement environments, and cultures of exclusion, demanding more investigation into how universities can ensure safe and appropriate learning environments for students on placement. Students recommend greater education and training for placement teams (i.e., academic unit chairs, professional coordinators) and industry supervisors to reduce stigma and combat entrenched assumptions about disability. Universities themselves must also reflect and act on how to support inclusive cultures, including supporting training and policy that embed a strengths-based lens of disabilities.","container-title":"Disability &amp; Society","DOI":"10.1080/09687599.2023.2209276","ISSN":"0968-7599","issue":"0","note":"publisher: Routledge\n_eprint: https://doi.org/10.1080/09687599.2023.2209276","page":"1–19","source":"Taylor and Francis+NEJM","title":"Conceptualising responsibility and hostility within work-integrated learning placements for students with disabilities","URL":"https://doi.org/10.1080/09687599.2023.2209276","volume":"0","author":[{"family":"Dollinger","given":"Mollie"},{"family":"Ajjawi","given":"Rola"},{"family":"Finneran","given":"Rachel"},{"family":"O’Shea","given":"Sarah"}],"accessed":{"date-parts":[["2024",5,6]]},"issued":{"date-parts":[["2023"]]}}}],"schema":"https://github.com/citation-style-language/schema/raw/master/csl-citation.json"} </w:instrText>
      </w:r>
      <w:r w:rsidR="009B5F2B">
        <w:rPr>
          <w:lang w:val="en-US"/>
        </w:rPr>
        <w:fldChar w:fldCharType="separate"/>
      </w:r>
      <w:r w:rsidR="009B5F2B" w:rsidRPr="009B5F2B">
        <w:rPr>
          <w:rFonts w:ascii="Aptos" w:hAnsi="Aptos" w:cs="Times New Roman"/>
          <w:kern w:val="0"/>
          <w:vertAlign w:val="superscript"/>
        </w:rPr>
        <w:t>5,7,8</w:t>
      </w:r>
      <w:r w:rsidR="009B5F2B">
        <w:rPr>
          <w:lang w:val="en-US"/>
        </w:rPr>
        <w:fldChar w:fldCharType="end"/>
      </w:r>
      <w:r>
        <w:rPr>
          <w:lang w:val="en-US"/>
        </w:rPr>
        <w:t xml:space="preserve">.  </w:t>
      </w:r>
      <w:r w:rsidR="00B223AD">
        <w:rPr>
          <w:lang w:val="en-US"/>
        </w:rPr>
        <w:t xml:space="preserve">In this standard, more explicit reference could be made to the responsibilities of education providers to work with both students and </w:t>
      </w:r>
      <w:r w:rsidR="009F70CF">
        <w:rPr>
          <w:lang w:val="en-US"/>
        </w:rPr>
        <w:t xml:space="preserve">hosts of WIL/placements to ensure equity of access, safety and opportunities for learning.  This encompasses the provision of </w:t>
      </w:r>
      <w:r w:rsidR="00F52EA0">
        <w:rPr>
          <w:lang w:val="en-US"/>
        </w:rPr>
        <w:t xml:space="preserve">appropriate adjustments, orientation to placement, and clear mechanisms to responding to evolving or emerging student needs.  </w:t>
      </w:r>
    </w:p>
    <w:p w14:paraId="5DCF8A64" w14:textId="77777777" w:rsidR="00C77C5D" w:rsidRDefault="00C77C5D">
      <w:pPr>
        <w:rPr>
          <w:lang w:val="en-US"/>
        </w:rPr>
      </w:pPr>
    </w:p>
    <w:p w14:paraId="6EB4E52D" w14:textId="3A515477" w:rsidR="00C77C5D" w:rsidRDefault="00C77C5D" w:rsidP="000915EF">
      <w:pPr>
        <w:pStyle w:val="Heading2"/>
        <w:rPr>
          <w:lang w:val="en-US"/>
        </w:rPr>
      </w:pPr>
      <w:r>
        <w:rPr>
          <w:lang w:val="en-US"/>
        </w:rPr>
        <w:t>Universal Design</w:t>
      </w:r>
    </w:p>
    <w:p w14:paraId="4397A2E9" w14:textId="28A16A98" w:rsidR="00B2552C" w:rsidRDefault="00BC65FC">
      <w:pPr>
        <w:rPr>
          <w:lang w:val="en-US"/>
        </w:rPr>
      </w:pPr>
      <w:r w:rsidRPr="00BC65FC">
        <w:rPr>
          <w:lang w:val="en-US"/>
        </w:rPr>
        <w:t xml:space="preserve">The proposal to more explicitly incorporate </w:t>
      </w:r>
      <w:r>
        <w:rPr>
          <w:lang w:val="en-US"/>
        </w:rPr>
        <w:t xml:space="preserve">universal design principles is a very welcome </w:t>
      </w:r>
      <w:r w:rsidR="0034022B">
        <w:rPr>
          <w:lang w:val="en-US"/>
        </w:rPr>
        <w:t xml:space="preserve">aspect </w:t>
      </w:r>
      <w:r w:rsidR="00277AFA">
        <w:rPr>
          <w:lang w:val="en-US"/>
        </w:rPr>
        <w:t xml:space="preserve">of the principle </w:t>
      </w:r>
      <w:r w:rsidR="005A63E6">
        <w:rPr>
          <w:lang w:val="en-US"/>
        </w:rPr>
        <w:t xml:space="preserve">of inclusivity.  </w:t>
      </w:r>
      <w:r w:rsidR="00277AFA">
        <w:rPr>
          <w:lang w:val="en-US"/>
        </w:rPr>
        <w:t xml:space="preserve">When defining inclusivity, and </w:t>
      </w:r>
      <w:r w:rsidR="002A0ACA">
        <w:rPr>
          <w:lang w:val="en-US"/>
        </w:rPr>
        <w:t xml:space="preserve">when referencing inclusivity in the standards, it could be made clear that </w:t>
      </w:r>
      <w:r w:rsidR="00220A63">
        <w:rPr>
          <w:lang w:val="en-US"/>
        </w:rPr>
        <w:t>UDL is an integral aspect of inclusivity</w:t>
      </w:r>
      <w:r w:rsidR="0061507E">
        <w:rPr>
          <w:lang w:val="en-US"/>
        </w:rPr>
        <w:t xml:space="preserve">, forming a baseline for teaching, learning and assessment design upon which </w:t>
      </w:r>
      <w:r w:rsidR="00B2552C">
        <w:rPr>
          <w:lang w:val="en-US"/>
        </w:rPr>
        <w:t xml:space="preserve">adjustments can be built as required for individual students. </w:t>
      </w:r>
      <w:r w:rsidR="00333352">
        <w:rPr>
          <w:lang w:val="en-US"/>
        </w:rPr>
        <w:t xml:space="preserve"> </w:t>
      </w:r>
      <w:r w:rsidR="00A42990">
        <w:rPr>
          <w:lang w:val="en-US"/>
        </w:rPr>
        <w:t>A key addition to the principle of universal design could be specific reference to attending to UDL and inclusion in the response to emerging technologies and AI</w:t>
      </w:r>
      <w:r w:rsidR="00260000">
        <w:rPr>
          <w:lang w:val="en-US"/>
        </w:rPr>
        <w:t xml:space="preserve">.  Many of the proposed </w:t>
      </w:r>
      <w:r w:rsidR="00D6128C">
        <w:rPr>
          <w:lang w:val="en-US"/>
        </w:rPr>
        <w:lastRenderedPageBreak/>
        <w:t xml:space="preserve">responses to the need for assurance of learning may inadvertently undermine UDL and inclusivity and the need to contend with this balance could be explicitly noted. </w:t>
      </w:r>
    </w:p>
    <w:p w14:paraId="6D8C30AE" w14:textId="77777777" w:rsidR="00101747" w:rsidRDefault="00101747">
      <w:pPr>
        <w:rPr>
          <w:lang w:val="en-US"/>
        </w:rPr>
      </w:pPr>
    </w:p>
    <w:p w14:paraId="4DA4B670" w14:textId="45FADA5B" w:rsidR="00C77C5D" w:rsidRDefault="00C77C5D" w:rsidP="00B2552C">
      <w:pPr>
        <w:pStyle w:val="Heading2"/>
        <w:rPr>
          <w:lang w:val="en-US"/>
        </w:rPr>
      </w:pPr>
      <w:r>
        <w:rPr>
          <w:lang w:val="en-US"/>
        </w:rPr>
        <w:t>Inherent Requirements</w:t>
      </w:r>
    </w:p>
    <w:p w14:paraId="5E9D804D" w14:textId="6187552A" w:rsidR="00B94590" w:rsidRDefault="00B2552C">
      <w:pPr>
        <w:rPr>
          <w:lang w:val="en-US"/>
        </w:rPr>
      </w:pPr>
      <w:r>
        <w:rPr>
          <w:lang w:val="en-US"/>
        </w:rPr>
        <w:t xml:space="preserve">The proposal to </w:t>
      </w:r>
      <w:r w:rsidR="00074A9B">
        <w:rPr>
          <w:lang w:val="en-US"/>
        </w:rPr>
        <w:t xml:space="preserve">more explicitly refer to inherent requirements </w:t>
      </w:r>
      <w:r w:rsidR="00347AFB">
        <w:rPr>
          <w:lang w:val="en-US"/>
        </w:rPr>
        <w:t xml:space="preserve">(IR) </w:t>
      </w:r>
      <w:r w:rsidR="00074A9B">
        <w:rPr>
          <w:lang w:val="en-US"/>
        </w:rPr>
        <w:t>in the standards</w:t>
      </w:r>
      <w:r w:rsidR="00CD1AA0">
        <w:rPr>
          <w:lang w:val="en-US"/>
        </w:rPr>
        <w:t xml:space="preserve"> (in particular 7.2 Information for Current and Prospective Students)</w:t>
      </w:r>
      <w:r w:rsidR="00FD4370">
        <w:rPr>
          <w:lang w:val="en-US"/>
        </w:rPr>
        <w:t>,</w:t>
      </w:r>
      <w:r w:rsidR="00074A9B">
        <w:rPr>
          <w:lang w:val="en-US"/>
        </w:rPr>
        <w:t xml:space="preserve"> may require more development.  </w:t>
      </w:r>
      <w:r w:rsidR="00347AFB">
        <w:rPr>
          <w:lang w:val="en-US"/>
        </w:rPr>
        <w:t>The discussion paper refers to the need for flexibly designed IR which are informed by UDL principles, which is a positive step.  However, the standards could go further here, acknowledging the benefits of a</w:t>
      </w:r>
      <w:r w:rsidR="00AA55B0">
        <w:rPr>
          <w:lang w:val="en-US"/>
        </w:rPr>
        <w:t xml:space="preserve"> </w:t>
      </w:r>
      <w:r w:rsidR="00AA55B0" w:rsidRPr="00AA55B0">
        <w:rPr>
          <w:i/>
          <w:iCs/>
          <w:lang w:val="en-US"/>
        </w:rPr>
        <w:t xml:space="preserve">functional </w:t>
      </w:r>
      <w:r w:rsidR="00AA55B0">
        <w:rPr>
          <w:lang w:val="en-US"/>
        </w:rPr>
        <w:t xml:space="preserve">framing of IR which </w:t>
      </w:r>
      <w:r w:rsidR="00505073">
        <w:rPr>
          <w:lang w:val="en-US"/>
        </w:rPr>
        <w:t>focusses on the purpose of the learning activity</w:t>
      </w:r>
      <w:r w:rsidR="00BF5736">
        <w:rPr>
          <w:lang w:val="en-US"/>
        </w:rPr>
        <w:t xml:space="preserve">, knowledge or skill rather than </w:t>
      </w:r>
      <w:r w:rsidR="00BF5736" w:rsidRPr="00BF5736">
        <w:rPr>
          <w:i/>
          <w:iCs/>
          <w:lang w:val="en-US"/>
        </w:rPr>
        <w:t xml:space="preserve">how </w:t>
      </w:r>
      <w:r w:rsidR="00BF5736">
        <w:rPr>
          <w:lang w:val="en-US"/>
        </w:rPr>
        <w:t>students undertake tasks</w:t>
      </w:r>
      <w:r w:rsidR="00517EA5">
        <w:rPr>
          <w:lang w:val="en-US"/>
        </w:rPr>
        <w:fldChar w:fldCharType="begin"/>
      </w:r>
      <w:r w:rsidR="00517EA5">
        <w:rPr>
          <w:lang w:val="en-US"/>
        </w:rPr>
        <w:instrText xml:space="preserve"> ADDIN ZOTERO_ITEM CSL_CITATION {"citationID":"rOvGbhLP","properties":{"formattedCitation":"\\super 6\\nosupersub{}","plainCitation":"6","noteIndex":0},"citationItems":[{"id":2672,"uris":["http://zotero.org/users/13737467/items/X67F8NSP"],"itemData":{"id":2672,"type":"article-journal","abstract":"Despite widespread calls for greater inclusion of disabled people in the healthcare workforce, significant barriers remain. These barriers exist even before admission to training, when applicants are considering study options and future careers. In Australia and Aotearoa/New Zealand (NZ), the Medical Deans of Australia and New Zealand (MDANZ) have developed guidelines for inclusive pre-admission practices, but the extent to which these are enacted is unclear. This study aimed to explore the extent to which Australian and NZ schools have adopted these guidelines and whether their websites communicate to prospective applicants in a way that explicitly recognises disability as a valued dimension of diversity. We used these data to develop a set of reflective questions intended to help medical schools improve their pre-admission communication to applicants. In January–September 2024, we conducted an audit and content analysis of all Australian and NZ public-facing medical school websites. Domains examined included the use of Inherent Requirements and/or MDANZ Guidelines for Inclusive Medical Education and how these documents framed program requirements from organic or functional perspectives. We also explored the accessibility of relevant information, the transparency of pre-admission discussions, and identified where schools framed disability as a deficit versus using positive and strengths-based language. While we found examples of inclusive practices, many schools could improve the clarity and framing of the information provided to applicants. Many schools framed disability as a deficit or avoided explicit reference to disability. Clear information regarding procedures for confidential discussion of applicant circumstances and access to accommodations prior to admission was often absent, potentially leaving applicants uncertain about the impact of disability disclosure. Only half of the schools referenced the MDANZ Guidelines. Those that used Inherent Requirements often employed organic framing which did not acknowledge the role of accommodations. Establishing the state of current practice illuminates opportunities to make medical programs more inclusive from the early stages of the student lifecycle. These findings illustrate the potential gap between policy and practice. Here, we identify the practical importance of reviewing pre-admissions communication through a disability-inclusive lens, and provide a series of recommendations and reflective prompts to support medical schools as they work towards more inclusive practice.","container-title":"Teaching and Learning in Medicine","DOI":"10.1080/10401334.2025.2601205","ISSN":"1040-1334","issue":"0","note":"publisher: Routledge\n_eprint: https://doi.org/10.1080/10401334.2025.2601205\nPMID: 41399027","page":"1-12","source":"Taylor and Francis+NEJM","title":"Barriers Before Entry: Opportunities for Improving Pre-Admission Guidance for Disabled Medical School Applicants in Australia and New Zealand","title-short":"Barriers Before Entry","URL":"https://doi.org/10.1080/10401334.2025.2601205","volume":"0","author":[{"family":"Gray","given":"Laura"},{"family":"Mogensen","given":"Lise"},{"family":"Gallego","given":"Gisselle"},{"family":"Jain","given":"Neera R."},{"family":"Tai","given":"Joanna"},{"family":"Bishop","given":"Jo"},{"family":"Brett","given":"Matt"},{"family":"McNeill","given":"Bryony A."}],"accessed":{"date-parts":[["2026",2,4]]},"issued":{"date-parts":[["2025",12,15]]}}}],"schema":"https://github.com/citation-style-language/schema/raw/master/csl-citation.json"} </w:instrText>
      </w:r>
      <w:r w:rsidR="00517EA5">
        <w:rPr>
          <w:lang w:val="en-US"/>
        </w:rPr>
        <w:fldChar w:fldCharType="separate"/>
      </w:r>
      <w:r w:rsidR="00517EA5" w:rsidRPr="00517EA5">
        <w:rPr>
          <w:rFonts w:ascii="Aptos" w:hAnsi="Aptos" w:cs="Times New Roman"/>
          <w:kern w:val="0"/>
          <w:vertAlign w:val="superscript"/>
        </w:rPr>
        <w:t>6</w:t>
      </w:r>
      <w:r w:rsidR="00517EA5">
        <w:rPr>
          <w:lang w:val="en-US"/>
        </w:rPr>
        <w:fldChar w:fldCharType="end"/>
      </w:r>
      <w:r w:rsidR="00BF5736">
        <w:rPr>
          <w:lang w:val="en-US"/>
        </w:rPr>
        <w:t xml:space="preserve">. </w:t>
      </w:r>
      <w:r w:rsidR="003577BE">
        <w:rPr>
          <w:lang w:val="en-US"/>
        </w:rPr>
        <w:t>Such an approach is not only more inclusive, it allows for specific reference to the potential for adjustments, as required by the DDA and DSE</w:t>
      </w:r>
      <w:r w:rsidR="00CB0B46">
        <w:rPr>
          <w:lang w:val="en-US"/>
        </w:rPr>
        <w:t>.  Importantly, IR should be regularly reviewed, as noted, but also contextualised to the institutional, disciplinary and professional context</w:t>
      </w:r>
      <w:r w:rsidR="00921C52">
        <w:rPr>
          <w:lang w:val="en-US"/>
        </w:rPr>
        <w:t xml:space="preserve">, without the use of technical or discipline-specific language.  In addition, consideration of alternative formats of IR may be valuable here; for example the Medical Deans of Australia and New Zealand have developed an alternative </w:t>
      </w:r>
      <w:r w:rsidR="008B60CA">
        <w:rPr>
          <w:lang w:val="en-US"/>
        </w:rPr>
        <w:t>to IR which provides a series of reflective questions for prospective applicants, allowing them to evaluate their capability to undertake medical training (with adjustments as required)</w:t>
      </w:r>
      <w:r w:rsidR="00517EA5">
        <w:rPr>
          <w:lang w:val="en-US"/>
        </w:rPr>
        <w:fldChar w:fldCharType="begin"/>
      </w:r>
      <w:r w:rsidR="00517EA5">
        <w:rPr>
          <w:lang w:val="en-US"/>
        </w:rPr>
        <w:instrText xml:space="preserve"> ADDIN ZOTERO_ITEM CSL_CITATION {"citationID":"rYCnOMfa","properties":{"formattedCitation":"\\super 9\\nosupersub{}","plainCitation":"9","noteIndex":0},"citationItems":[{"id":282,"uris":["http://zotero.org/users/13737467/items/IGQDKBWE"],"itemData":{"id":282,"type":"document","title":"Inclusive Medical Education - Guidance on medical program applicants and students with a disability","URL":"https://medicaldeans.org.au/md/2021/04/Inclusive-Medical-Education-Guidance-on-medical-program-applicants-and-students-with-a-disability-Apr-2021-1.pdf","author":[{"family":"Medical Deans of Australia and New Zealand","given":""}],"issued":{"date-parts":[["2021"]]}}}],"schema":"https://github.com/citation-style-language/schema/raw/master/csl-citation.json"} </w:instrText>
      </w:r>
      <w:r w:rsidR="00517EA5">
        <w:rPr>
          <w:lang w:val="en-US"/>
        </w:rPr>
        <w:fldChar w:fldCharType="separate"/>
      </w:r>
      <w:r w:rsidR="00517EA5" w:rsidRPr="00517EA5">
        <w:rPr>
          <w:rFonts w:ascii="Aptos" w:hAnsi="Aptos" w:cs="Times New Roman"/>
          <w:kern w:val="0"/>
          <w:vertAlign w:val="superscript"/>
        </w:rPr>
        <w:t>9</w:t>
      </w:r>
      <w:r w:rsidR="00517EA5">
        <w:rPr>
          <w:lang w:val="en-US"/>
        </w:rPr>
        <w:fldChar w:fldCharType="end"/>
      </w:r>
      <w:r w:rsidR="008B60CA">
        <w:rPr>
          <w:lang w:val="en-US"/>
        </w:rPr>
        <w:t xml:space="preserve">.  </w:t>
      </w:r>
    </w:p>
    <w:p w14:paraId="32CC5A85" w14:textId="3E248FE9" w:rsidR="004844A9" w:rsidRDefault="008B60CA">
      <w:pPr>
        <w:rPr>
          <w:lang w:val="en-US"/>
        </w:rPr>
      </w:pPr>
      <w:r>
        <w:rPr>
          <w:lang w:val="en-US"/>
        </w:rPr>
        <w:t xml:space="preserve">The discussion paper notes that </w:t>
      </w:r>
      <w:r w:rsidR="00FA32CF">
        <w:rPr>
          <w:lang w:val="en-US"/>
        </w:rPr>
        <w:t xml:space="preserve">prospective and current </w:t>
      </w:r>
      <w:r>
        <w:rPr>
          <w:lang w:val="en-US"/>
        </w:rPr>
        <w:t xml:space="preserve">students must be aware of </w:t>
      </w:r>
      <w:r w:rsidR="00FA32CF">
        <w:rPr>
          <w:lang w:val="en-US"/>
        </w:rPr>
        <w:t xml:space="preserve">IR.  However, awareness </w:t>
      </w:r>
      <w:r w:rsidR="005A2F38">
        <w:rPr>
          <w:lang w:val="en-US"/>
        </w:rPr>
        <w:t xml:space="preserve">may not be sufficient; students and prospective students must also understand how IR relate to their </w:t>
      </w:r>
      <w:r w:rsidR="00C04A59">
        <w:rPr>
          <w:lang w:val="en-US"/>
        </w:rPr>
        <w:t xml:space="preserve">circumstances and how these documents </w:t>
      </w:r>
      <w:r w:rsidR="006A339E">
        <w:rPr>
          <w:lang w:val="en-US"/>
        </w:rPr>
        <w:t xml:space="preserve">are </w:t>
      </w:r>
      <w:r w:rsidR="00C04A59">
        <w:rPr>
          <w:lang w:val="en-US"/>
        </w:rPr>
        <w:t>appl</w:t>
      </w:r>
      <w:r w:rsidR="006A339E">
        <w:rPr>
          <w:lang w:val="en-US"/>
        </w:rPr>
        <w:t>ied</w:t>
      </w:r>
      <w:r w:rsidR="006A339E">
        <w:rPr>
          <w:lang w:val="en-US"/>
        </w:rPr>
        <w:fldChar w:fldCharType="begin"/>
      </w:r>
      <w:r w:rsidR="00092309">
        <w:rPr>
          <w:lang w:val="en-US"/>
        </w:rPr>
        <w:instrText xml:space="preserve"> ADDIN ZOTERO_ITEM CSL_CITATION {"citationID":"Qr5OhVN5","properties":{"formattedCitation":"\\super 10,11\\nosupersub{}","plainCitation":"10,11","noteIndex":0},"citationItems":[{"id":225,"uris":["http://zotero.org/users/13737467/items/I4F8QVF6"],"itemData":{"id":225,"type":"article-journal","language":"en","source":"Zotero","title":"The Role of Inherent Requirement Statements in Australian Universities","author":[{"family":"Brett","given":"Matt"},{"family":"Harvey","given":"Andrew"},{"family":"Funston","given":"Andrew"},{"family":"Spicer","given":"Rachael"},{"family":"Wood","given":"Adam"}],"issued":{"date-parts":[["2016"]]}}},{"id":1146,"uris":["http://zotero.org/users/13737467/items/8SG62YKU"],"itemData":{"id":1146,"type":"chapter","abstract":"This chapter provides an overview of the development of disability services within the Australian higher education sector including explanation of the historical, political, and cultural factors which influenced legislative and policy changes from the early 1990s through to the present, which have provided the basis for the current services and supports accessed by students with a disability throughout Australian universities. Models of disability are discussed in relation to their impact on provision of services and supports to students with disabilities in higher education. Requirements for access to services and determination of eligibility are also discussed in the context of current legislation and government policies and challenges faced by students in accessing supports are identified. Strategies to support improvements to disability services provision in higher education are provided in the form of four practice recommendations.","ISBN":"978-1-80220-405-6","language":"en","note":"section: Handbook of Higher Education and Disability","source":"www-elgaronline-com.ezproxy-f.deakin.edu.au","title":"Chapter 9: Disability services in higher education: an Australian perspective","title-short":"Chapter 9","URL":"https://www-elgaronline-com.ezproxy-f.deakin.edu.au/edcollchap/book/9781802204056/book-part-9781802204056-15.xml","author":[{"family":"Nuske","given":"Alison"},{"family":"Brett","given":"Matthew"},{"family":"Knight","given":"Elizabeth"}],"accessed":{"date-parts":[["2024",8,14]]},"issued":{"date-parts":[["2023",12,8]]}}}],"schema":"https://github.com/citation-style-language/schema/raw/master/csl-citation.json"} </w:instrText>
      </w:r>
      <w:r w:rsidR="006A339E">
        <w:rPr>
          <w:lang w:val="en-US"/>
        </w:rPr>
        <w:fldChar w:fldCharType="separate"/>
      </w:r>
      <w:r w:rsidR="00092309" w:rsidRPr="00092309">
        <w:rPr>
          <w:rFonts w:ascii="Aptos" w:hAnsi="Aptos" w:cs="Times New Roman"/>
          <w:kern w:val="0"/>
          <w:vertAlign w:val="superscript"/>
        </w:rPr>
        <w:t>10,11</w:t>
      </w:r>
      <w:r w:rsidR="006A339E">
        <w:rPr>
          <w:lang w:val="en-US"/>
        </w:rPr>
        <w:fldChar w:fldCharType="end"/>
      </w:r>
      <w:r w:rsidR="00C04A59">
        <w:rPr>
          <w:lang w:val="en-US"/>
        </w:rPr>
        <w:t xml:space="preserve">.  Critically, are IR </w:t>
      </w:r>
      <w:r w:rsidR="009217E7">
        <w:rPr>
          <w:lang w:val="en-US"/>
        </w:rPr>
        <w:t xml:space="preserve">solely intended to guide potential applicants as to the requirements of participation, learning and assessment within the course?  Or, are they used as threshold requirements </w:t>
      </w:r>
      <w:r w:rsidR="008131E1">
        <w:rPr>
          <w:lang w:val="en-US"/>
        </w:rPr>
        <w:t xml:space="preserve">which might </w:t>
      </w:r>
      <w:r w:rsidR="00960B05">
        <w:rPr>
          <w:lang w:val="en-US"/>
        </w:rPr>
        <w:t xml:space="preserve">restrict access where students are unable to demonstrate </w:t>
      </w:r>
      <w:r w:rsidR="00C13A29">
        <w:rPr>
          <w:lang w:val="en-US"/>
        </w:rPr>
        <w:t>capabilities at the point of application</w:t>
      </w:r>
      <w:r w:rsidR="009217E7">
        <w:rPr>
          <w:lang w:val="en-US"/>
        </w:rPr>
        <w:t>?  Are they used as mechanisms to regulate or restrict progress</w:t>
      </w:r>
      <w:r w:rsidR="00C13A29">
        <w:rPr>
          <w:lang w:val="en-US"/>
        </w:rPr>
        <w:t xml:space="preserve"> through courses</w:t>
      </w:r>
      <w:r w:rsidR="009217E7">
        <w:rPr>
          <w:lang w:val="en-US"/>
        </w:rPr>
        <w:t xml:space="preserve">?  Are they designed as targets for development akin to graduate outcomes statements?  </w:t>
      </w:r>
      <w:r w:rsidR="00C13A29">
        <w:rPr>
          <w:lang w:val="en-US"/>
        </w:rPr>
        <w:t xml:space="preserve">  Far greater clarity regarding the use and application of these documents is required if they are to be explicit requirements in the </w:t>
      </w:r>
      <w:r w:rsidR="00482960">
        <w:rPr>
          <w:lang w:val="en-US"/>
        </w:rPr>
        <w:t xml:space="preserve">standards.  </w:t>
      </w:r>
    </w:p>
    <w:p w14:paraId="3690D03E" w14:textId="08DCCF5F" w:rsidR="004844A9" w:rsidRDefault="00482960">
      <w:pPr>
        <w:rPr>
          <w:lang w:val="en-US"/>
        </w:rPr>
      </w:pPr>
      <w:r>
        <w:rPr>
          <w:lang w:val="en-US"/>
        </w:rPr>
        <w:t xml:space="preserve">In addition, attention should be paid to </w:t>
      </w:r>
      <w:r w:rsidR="00DD5660">
        <w:rPr>
          <w:lang w:val="en-US"/>
        </w:rPr>
        <w:t xml:space="preserve">processes surrounding IR, particularly for prospective applicants.  Applicants should have further opportunities for </w:t>
      </w:r>
      <w:r w:rsidR="00725607">
        <w:rPr>
          <w:lang w:val="en-US"/>
        </w:rPr>
        <w:t xml:space="preserve">gathering further information </w:t>
      </w:r>
      <w:r w:rsidR="00DD5660">
        <w:rPr>
          <w:lang w:val="en-US"/>
        </w:rPr>
        <w:t>specific to their circumstances</w:t>
      </w:r>
      <w:r w:rsidR="008753B9">
        <w:rPr>
          <w:lang w:val="en-US"/>
        </w:rPr>
        <w:t xml:space="preserve">, particularly around the detailed requirements of particular courses and the ability of institutions to meet any </w:t>
      </w:r>
      <w:r w:rsidR="009F3F02">
        <w:rPr>
          <w:lang w:val="en-US"/>
        </w:rPr>
        <w:t xml:space="preserve">adjustment needs.  Prospective applicants should be provided with opportunities for </w:t>
      </w:r>
      <w:r w:rsidR="00725607">
        <w:rPr>
          <w:lang w:val="en-US"/>
        </w:rPr>
        <w:t xml:space="preserve"> constructive and collaborative discussions prior to application</w:t>
      </w:r>
      <w:r w:rsidR="00445BC2">
        <w:rPr>
          <w:lang w:val="en-US"/>
        </w:rPr>
        <w:t>, which are clearly confidential and separated from admissions decisions</w:t>
      </w:r>
      <w:r w:rsidR="00092309">
        <w:rPr>
          <w:lang w:val="en-US"/>
        </w:rPr>
        <w:fldChar w:fldCharType="begin"/>
      </w:r>
      <w:r w:rsidR="00092309">
        <w:rPr>
          <w:lang w:val="en-US"/>
        </w:rPr>
        <w:instrText xml:space="preserve"> ADDIN ZOTERO_ITEM CSL_CITATION {"citationID":"PxYc0oZ6","properties":{"formattedCitation":"\\super 6\\nosupersub{}","plainCitation":"6","noteIndex":0},"citationItems":[{"id":2672,"uris":["http://zotero.org/users/13737467/items/X67F8NSP"],"itemData":{"id":2672,"type":"article-journal","abstract":"Despite widespread calls for greater inclusion of disabled people in the healthcare workforce, significant barriers remain. These barriers exist even before admission to training, when applicants are considering study options and future careers. In Australia and Aotearoa/New Zealand (NZ), the Medical Deans of Australia and New Zealand (MDANZ) have developed guidelines for inclusive pre-admission practices, but the extent to which these are enacted is unclear. This study aimed to explore the extent to which Australian and NZ schools have adopted these guidelines and whether their websites communicate to prospective applicants in a way that explicitly recognises disability as a valued dimension of diversity. We used these data to develop a set of reflective questions intended to help medical schools improve their pre-admission communication to applicants. In January–September 2024, we conducted an audit and content analysis of all Australian and NZ public-facing medical school websites. Domains examined included the use of Inherent Requirements and/or MDANZ Guidelines for Inclusive Medical Education and how these documents framed program requirements from organic or functional perspectives. We also explored the accessibility of relevant information, the transparency of pre-admission discussions, and identified where schools framed disability as a deficit versus using positive and strengths-based language. While we found examples of inclusive practices, many schools could improve the clarity and framing of the information provided to applicants. Many schools framed disability as a deficit or avoided explicit reference to disability. Clear information regarding procedures for confidential discussion of applicant circumstances and access to accommodations prior to admission was often absent, potentially leaving applicants uncertain about the impact of disability disclosure. Only half of the schools referenced the MDANZ Guidelines. Those that used Inherent Requirements often employed organic framing which did not acknowledge the role of accommodations. Establishing the state of current practice illuminates opportunities to make medical programs more inclusive from the early stages of the student lifecycle. These findings illustrate the potential gap between policy and practice. Here, we identify the practical importance of reviewing pre-admissions communication through a disability-inclusive lens, and provide a series of recommendations and reflective prompts to support medical schools as they work towards more inclusive practice.","container-title":"Teaching and Learning in Medicine","DOI":"10.1080/10401334.2025.2601205","ISSN":"1040-1334","issue":"0","note":"publisher: Routledge\n_eprint: https://doi.org/10.1080/10401334.2025.2601205\nPMID: 41399027","page":"1-12","source":"Taylor and Francis+NEJM","title":"Barriers Before Entry: Opportunities for Improving Pre-Admission Guidance for Disabled Medical School Applicants in Australia and New Zealand","title-short":"Barriers Before Entry","URL":"https://doi.org/10.1080/10401334.2025.2601205","volume":"0","author":[{"family":"Gray","given":"Laura"},{"family":"Mogensen","given":"Lise"},{"family":"Gallego","given":"Gisselle"},{"family":"Jain","given":"Neera R."},{"family":"Tai","given":"Joanna"},{"family":"Bishop","given":"Jo"},{"family":"Brett","given":"Matt"},{"family":"McNeill","given":"Bryony A."}],"accessed":{"date-parts":[["2026",2,4]]},"issued":{"date-parts":[["2025",12,15]]}}}],"schema":"https://github.com/citation-style-language/schema/raw/master/csl-citation.json"} </w:instrText>
      </w:r>
      <w:r w:rsidR="00092309">
        <w:rPr>
          <w:lang w:val="en-US"/>
        </w:rPr>
        <w:fldChar w:fldCharType="separate"/>
      </w:r>
      <w:r w:rsidR="00092309" w:rsidRPr="00092309">
        <w:rPr>
          <w:rFonts w:ascii="Aptos" w:hAnsi="Aptos" w:cs="Times New Roman"/>
          <w:kern w:val="0"/>
          <w:vertAlign w:val="superscript"/>
        </w:rPr>
        <w:t>6</w:t>
      </w:r>
      <w:r w:rsidR="00092309">
        <w:rPr>
          <w:lang w:val="en-US"/>
        </w:rPr>
        <w:fldChar w:fldCharType="end"/>
      </w:r>
      <w:r w:rsidR="00725607">
        <w:rPr>
          <w:lang w:val="en-US"/>
        </w:rPr>
        <w:t xml:space="preserve">. </w:t>
      </w:r>
    </w:p>
    <w:p w14:paraId="05C031B3" w14:textId="77777777" w:rsidR="00B71BDE" w:rsidRDefault="00B71BDE">
      <w:pPr>
        <w:rPr>
          <w:lang w:val="en-US"/>
        </w:rPr>
      </w:pPr>
    </w:p>
    <w:p w14:paraId="4D81ACE3" w14:textId="638A6DBD" w:rsidR="00B71BDE" w:rsidRDefault="00B71BDE" w:rsidP="00B71BDE">
      <w:pPr>
        <w:pStyle w:val="Heading3"/>
        <w:rPr>
          <w:lang w:val="en-US"/>
        </w:rPr>
      </w:pPr>
      <w:r>
        <w:rPr>
          <w:lang w:val="en-US"/>
        </w:rPr>
        <w:lastRenderedPageBreak/>
        <w:t>References</w:t>
      </w:r>
    </w:p>
    <w:p w14:paraId="0248AB4D" w14:textId="77777777" w:rsidR="008E508F" w:rsidRPr="008E508F" w:rsidRDefault="008E508F" w:rsidP="008E508F">
      <w:pPr>
        <w:pStyle w:val="Bibliography"/>
        <w:rPr>
          <w:rFonts w:ascii="Aptos" w:hAnsi="Aptos"/>
        </w:rPr>
      </w:pPr>
      <w:r>
        <w:rPr>
          <w:lang w:val="en-US"/>
        </w:rPr>
        <w:fldChar w:fldCharType="begin"/>
      </w:r>
      <w:r>
        <w:rPr>
          <w:lang w:val="en-US"/>
        </w:rPr>
        <w:instrText xml:space="preserve"> ADDIN ZOTERO_BIBL {"uncited":[],"omitted":[],"custom":[]} CSL_BIBLIOGRAPHY </w:instrText>
      </w:r>
      <w:r>
        <w:rPr>
          <w:lang w:val="en-US"/>
        </w:rPr>
        <w:fldChar w:fldCharType="separate"/>
      </w:r>
      <w:r w:rsidRPr="008E508F">
        <w:rPr>
          <w:rFonts w:ascii="Aptos" w:hAnsi="Aptos"/>
        </w:rPr>
        <w:t>1.</w:t>
      </w:r>
      <w:r w:rsidRPr="008E508F">
        <w:rPr>
          <w:rFonts w:ascii="Aptos" w:hAnsi="Aptos"/>
        </w:rPr>
        <w:tab/>
        <w:t xml:space="preserve">Jain, N. R. Legibility: knowing disability in medical education inclusion. </w:t>
      </w:r>
      <w:r w:rsidRPr="008E508F">
        <w:rPr>
          <w:rFonts w:ascii="Aptos" w:hAnsi="Aptos"/>
          <w:i/>
          <w:iCs/>
        </w:rPr>
        <w:t>Adv in Health Sci Educ</w:t>
      </w:r>
      <w:r w:rsidRPr="008E508F">
        <w:rPr>
          <w:rFonts w:ascii="Aptos" w:hAnsi="Aptos"/>
        </w:rPr>
        <w:t xml:space="preserve"> https://doi.org/10.1007/s10459-023-10268-1 (2023) doi:10.1007/s10459-023-10268-1.</w:t>
      </w:r>
    </w:p>
    <w:p w14:paraId="38E04944" w14:textId="77777777" w:rsidR="008E508F" w:rsidRPr="008E508F" w:rsidRDefault="008E508F" w:rsidP="008E508F">
      <w:pPr>
        <w:pStyle w:val="Bibliography"/>
        <w:rPr>
          <w:rFonts w:ascii="Aptos" w:hAnsi="Aptos"/>
        </w:rPr>
      </w:pPr>
      <w:r w:rsidRPr="008E508F">
        <w:rPr>
          <w:rFonts w:ascii="Aptos" w:hAnsi="Aptos"/>
        </w:rPr>
        <w:t>2.</w:t>
      </w:r>
      <w:r w:rsidRPr="008E508F">
        <w:rPr>
          <w:rFonts w:ascii="Aptos" w:hAnsi="Aptos"/>
        </w:rPr>
        <w:tab/>
        <w:t>Lister, K., McPherson, E., Coughlan, T., Gallen, A.-M. &amp; Pearson, V. TOWARDS INCLUSIVE LANGUAGE: EXPLORING STUDENT-LED APPROACHES TO TALKING ABOUT DISABILITY-RELATED STUDY NEEDS. in 1444–1453 (2019). doi:10.21125/iceri.2019.0422.</w:t>
      </w:r>
    </w:p>
    <w:p w14:paraId="0F679A90" w14:textId="77777777" w:rsidR="008E508F" w:rsidRPr="008E508F" w:rsidRDefault="008E508F" w:rsidP="008E508F">
      <w:pPr>
        <w:pStyle w:val="Bibliography"/>
        <w:rPr>
          <w:rFonts w:ascii="Aptos" w:hAnsi="Aptos"/>
        </w:rPr>
      </w:pPr>
      <w:r w:rsidRPr="008E508F">
        <w:rPr>
          <w:rFonts w:ascii="Aptos" w:hAnsi="Aptos"/>
        </w:rPr>
        <w:t>3.</w:t>
      </w:r>
      <w:r w:rsidRPr="008E508F">
        <w:rPr>
          <w:rFonts w:ascii="Aptos" w:hAnsi="Aptos"/>
        </w:rPr>
        <w:tab/>
        <w:t xml:space="preserve">Grimes, S., Southgate, E., Scevak, J. &amp; Buchanan, R. University Student Experiences of Disability and the Influence of Stigma on Institutional Non-Disclosure and Learning. </w:t>
      </w:r>
      <w:r w:rsidRPr="008E508F">
        <w:rPr>
          <w:rFonts w:ascii="Aptos" w:hAnsi="Aptos"/>
          <w:i/>
          <w:iCs/>
        </w:rPr>
        <w:t>Journal of Postsecondary Education and Disability</w:t>
      </w:r>
      <w:r w:rsidRPr="008E508F">
        <w:rPr>
          <w:rFonts w:ascii="Aptos" w:hAnsi="Aptos"/>
        </w:rPr>
        <w:t xml:space="preserve"> </w:t>
      </w:r>
      <w:r w:rsidRPr="008E508F">
        <w:rPr>
          <w:rFonts w:ascii="Aptos" w:hAnsi="Aptos"/>
          <w:b/>
          <w:bCs/>
        </w:rPr>
        <w:t>33</w:t>
      </w:r>
      <w:r w:rsidRPr="008E508F">
        <w:rPr>
          <w:rFonts w:ascii="Aptos" w:hAnsi="Aptos"/>
        </w:rPr>
        <w:t>, 23–37 (2020).</w:t>
      </w:r>
    </w:p>
    <w:p w14:paraId="14A13D2A" w14:textId="77777777" w:rsidR="008E508F" w:rsidRPr="008E508F" w:rsidRDefault="008E508F" w:rsidP="008E508F">
      <w:pPr>
        <w:pStyle w:val="Bibliography"/>
        <w:rPr>
          <w:rFonts w:ascii="Aptos" w:hAnsi="Aptos"/>
        </w:rPr>
      </w:pPr>
      <w:r w:rsidRPr="008E508F">
        <w:rPr>
          <w:rFonts w:ascii="Aptos" w:hAnsi="Aptos"/>
        </w:rPr>
        <w:t>4.</w:t>
      </w:r>
      <w:r w:rsidRPr="008E508F">
        <w:rPr>
          <w:rFonts w:ascii="Aptos" w:hAnsi="Aptos"/>
        </w:rPr>
        <w:tab/>
        <w:t xml:space="preserve">Kilpatrick, S. </w:t>
      </w:r>
      <w:r w:rsidRPr="008E508F">
        <w:rPr>
          <w:rFonts w:ascii="Aptos" w:hAnsi="Aptos"/>
          <w:i/>
          <w:iCs/>
        </w:rPr>
        <w:t>et al.</w:t>
      </w:r>
      <w:r w:rsidRPr="008E508F">
        <w:rPr>
          <w:rFonts w:ascii="Aptos" w:hAnsi="Aptos"/>
        </w:rPr>
        <w:t xml:space="preserve"> Exploring the retention and success of students with disability in Australian higher education. </w:t>
      </w:r>
      <w:r w:rsidRPr="008E508F">
        <w:rPr>
          <w:rFonts w:ascii="Aptos" w:hAnsi="Aptos"/>
          <w:i/>
          <w:iCs/>
        </w:rPr>
        <w:t>International Journal of Inclusive Education</w:t>
      </w:r>
      <w:r w:rsidRPr="008E508F">
        <w:rPr>
          <w:rFonts w:ascii="Aptos" w:hAnsi="Aptos"/>
        </w:rPr>
        <w:t xml:space="preserve"> </w:t>
      </w:r>
      <w:r w:rsidRPr="008E508F">
        <w:rPr>
          <w:rFonts w:ascii="Aptos" w:hAnsi="Aptos"/>
          <w:b/>
          <w:bCs/>
        </w:rPr>
        <w:t>21</w:t>
      </w:r>
      <w:r w:rsidRPr="008E508F">
        <w:rPr>
          <w:rFonts w:ascii="Aptos" w:hAnsi="Aptos"/>
        </w:rPr>
        <w:t>, 747–762 (2017).</w:t>
      </w:r>
    </w:p>
    <w:p w14:paraId="08B4263D" w14:textId="77777777" w:rsidR="008E508F" w:rsidRPr="008E508F" w:rsidRDefault="008E508F" w:rsidP="008E508F">
      <w:pPr>
        <w:pStyle w:val="Bibliography"/>
        <w:rPr>
          <w:rFonts w:ascii="Aptos" w:hAnsi="Aptos"/>
        </w:rPr>
      </w:pPr>
      <w:r w:rsidRPr="008E508F">
        <w:rPr>
          <w:rFonts w:ascii="Aptos" w:hAnsi="Aptos"/>
        </w:rPr>
        <w:t>5.</w:t>
      </w:r>
      <w:r w:rsidRPr="008E508F">
        <w:rPr>
          <w:rFonts w:ascii="Aptos" w:hAnsi="Aptos"/>
        </w:rPr>
        <w:tab/>
        <w:t xml:space="preserve">Gray, L. </w:t>
      </w:r>
      <w:r w:rsidRPr="008E508F">
        <w:rPr>
          <w:rFonts w:ascii="Aptos" w:hAnsi="Aptos"/>
          <w:i/>
          <w:iCs/>
        </w:rPr>
        <w:t>et al.</w:t>
      </w:r>
      <w:r w:rsidRPr="008E508F">
        <w:rPr>
          <w:rFonts w:ascii="Aptos" w:hAnsi="Aptos"/>
        </w:rPr>
        <w:t xml:space="preserve"> “You Have So Much to Offer as a Health Professional”: Neurodivergent Students’ Experiences of Recognition, Disclosure, and Accommodation in Australian Health Professions Education. </w:t>
      </w:r>
      <w:r w:rsidRPr="008E508F">
        <w:rPr>
          <w:rFonts w:ascii="Aptos" w:hAnsi="Aptos"/>
          <w:i/>
          <w:iCs/>
        </w:rPr>
        <w:t>Teaching and Learning in Medicine</w:t>
      </w:r>
      <w:r w:rsidRPr="008E508F">
        <w:rPr>
          <w:rFonts w:ascii="Aptos" w:hAnsi="Aptos"/>
        </w:rPr>
        <w:t xml:space="preserve"> </w:t>
      </w:r>
      <w:r w:rsidRPr="008E508F">
        <w:rPr>
          <w:rFonts w:ascii="Aptos" w:hAnsi="Aptos"/>
          <w:b/>
          <w:bCs/>
        </w:rPr>
        <w:t>0</w:t>
      </w:r>
      <w:r w:rsidRPr="008E508F">
        <w:rPr>
          <w:rFonts w:ascii="Aptos" w:hAnsi="Aptos"/>
        </w:rPr>
        <w:t>, 1–18 (2026).</w:t>
      </w:r>
    </w:p>
    <w:p w14:paraId="022BAB8F" w14:textId="77777777" w:rsidR="008E508F" w:rsidRPr="008E508F" w:rsidRDefault="008E508F" w:rsidP="008E508F">
      <w:pPr>
        <w:pStyle w:val="Bibliography"/>
        <w:rPr>
          <w:rFonts w:ascii="Aptos" w:hAnsi="Aptos"/>
        </w:rPr>
      </w:pPr>
      <w:r w:rsidRPr="008E508F">
        <w:rPr>
          <w:rFonts w:ascii="Aptos" w:hAnsi="Aptos"/>
        </w:rPr>
        <w:t>6.</w:t>
      </w:r>
      <w:r w:rsidRPr="008E508F">
        <w:rPr>
          <w:rFonts w:ascii="Aptos" w:hAnsi="Aptos"/>
        </w:rPr>
        <w:tab/>
        <w:t xml:space="preserve">Gray, L. </w:t>
      </w:r>
      <w:r w:rsidRPr="008E508F">
        <w:rPr>
          <w:rFonts w:ascii="Aptos" w:hAnsi="Aptos"/>
          <w:i/>
          <w:iCs/>
        </w:rPr>
        <w:t>et al.</w:t>
      </w:r>
      <w:r w:rsidRPr="008E508F">
        <w:rPr>
          <w:rFonts w:ascii="Aptos" w:hAnsi="Aptos"/>
        </w:rPr>
        <w:t xml:space="preserve"> Barriers Before Entry: Opportunities for Improving Pre-Admission Guidance for Disabled Medical School Applicants in Australia and New Zealand. </w:t>
      </w:r>
      <w:r w:rsidRPr="008E508F">
        <w:rPr>
          <w:rFonts w:ascii="Aptos" w:hAnsi="Aptos"/>
          <w:i/>
          <w:iCs/>
        </w:rPr>
        <w:t>Teaching and Learning in Medicine</w:t>
      </w:r>
      <w:r w:rsidRPr="008E508F">
        <w:rPr>
          <w:rFonts w:ascii="Aptos" w:hAnsi="Aptos"/>
        </w:rPr>
        <w:t xml:space="preserve"> </w:t>
      </w:r>
      <w:r w:rsidRPr="008E508F">
        <w:rPr>
          <w:rFonts w:ascii="Aptos" w:hAnsi="Aptos"/>
          <w:b/>
          <w:bCs/>
        </w:rPr>
        <w:t>0</w:t>
      </w:r>
      <w:r w:rsidRPr="008E508F">
        <w:rPr>
          <w:rFonts w:ascii="Aptos" w:hAnsi="Aptos"/>
        </w:rPr>
        <w:t>, 1–12 (2025).</w:t>
      </w:r>
    </w:p>
    <w:p w14:paraId="606145AB" w14:textId="77777777" w:rsidR="008E508F" w:rsidRPr="008E508F" w:rsidRDefault="008E508F" w:rsidP="008E508F">
      <w:pPr>
        <w:pStyle w:val="Bibliography"/>
        <w:rPr>
          <w:rFonts w:ascii="Aptos" w:hAnsi="Aptos"/>
        </w:rPr>
      </w:pPr>
      <w:r w:rsidRPr="008E508F">
        <w:rPr>
          <w:rFonts w:ascii="Aptos" w:hAnsi="Aptos"/>
        </w:rPr>
        <w:t>7.</w:t>
      </w:r>
      <w:r w:rsidRPr="008E508F">
        <w:rPr>
          <w:rFonts w:ascii="Aptos" w:hAnsi="Aptos"/>
        </w:rPr>
        <w:tab/>
        <w:t xml:space="preserve">Dollinger, M., Finneran, R. &amp; Ajjawi, R. Exploring the experiences of students with disabilities in work-integrated learning. </w:t>
      </w:r>
      <w:r w:rsidRPr="008E508F">
        <w:rPr>
          <w:rFonts w:ascii="Aptos" w:hAnsi="Aptos"/>
          <w:i/>
          <w:iCs/>
        </w:rPr>
        <w:t>Journal of Higher Education Policy and Management</w:t>
      </w:r>
      <w:r w:rsidRPr="008E508F">
        <w:rPr>
          <w:rFonts w:ascii="Aptos" w:hAnsi="Aptos"/>
        </w:rPr>
        <w:t xml:space="preserve"> </w:t>
      </w:r>
      <w:r w:rsidRPr="008E508F">
        <w:rPr>
          <w:rFonts w:ascii="Aptos" w:hAnsi="Aptos"/>
          <w:b/>
          <w:bCs/>
        </w:rPr>
        <w:t>45</w:t>
      </w:r>
      <w:r w:rsidRPr="008E508F">
        <w:rPr>
          <w:rFonts w:ascii="Aptos" w:hAnsi="Aptos"/>
        </w:rPr>
        <w:t>, 3–18 (2023).</w:t>
      </w:r>
    </w:p>
    <w:p w14:paraId="0EBA9E39" w14:textId="77777777" w:rsidR="008E508F" w:rsidRPr="008E508F" w:rsidRDefault="008E508F" w:rsidP="008E508F">
      <w:pPr>
        <w:pStyle w:val="Bibliography"/>
        <w:rPr>
          <w:rFonts w:ascii="Aptos" w:hAnsi="Aptos"/>
        </w:rPr>
      </w:pPr>
      <w:r w:rsidRPr="008E508F">
        <w:rPr>
          <w:rFonts w:ascii="Aptos" w:hAnsi="Aptos"/>
        </w:rPr>
        <w:lastRenderedPageBreak/>
        <w:t>8.</w:t>
      </w:r>
      <w:r w:rsidRPr="008E508F">
        <w:rPr>
          <w:rFonts w:ascii="Aptos" w:hAnsi="Aptos"/>
        </w:rPr>
        <w:tab/>
        <w:t xml:space="preserve">Dollinger, M., Ajjawi, R., Finneran, R. &amp; O’Shea, S. Conceptualising responsibility and hostility within work-integrated learning placements for students with disabilities. </w:t>
      </w:r>
      <w:r w:rsidRPr="008E508F">
        <w:rPr>
          <w:rFonts w:ascii="Aptos" w:hAnsi="Aptos"/>
          <w:i/>
          <w:iCs/>
        </w:rPr>
        <w:t>Disability &amp; Society</w:t>
      </w:r>
      <w:r w:rsidRPr="008E508F">
        <w:rPr>
          <w:rFonts w:ascii="Aptos" w:hAnsi="Aptos"/>
        </w:rPr>
        <w:t xml:space="preserve"> </w:t>
      </w:r>
      <w:r w:rsidRPr="008E508F">
        <w:rPr>
          <w:rFonts w:ascii="Aptos" w:hAnsi="Aptos"/>
          <w:b/>
          <w:bCs/>
        </w:rPr>
        <w:t>0</w:t>
      </w:r>
      <w:r w:rsidRPr="008E508F">
        <w:rPr>
          <w:rFonts w:ascii="Aptos" w:hAnsi="Aptos"/>
        </w:rPr>
        <w:t>, 1–19 (2023).</w:t>
      </w:r>
    </w:p>
    <w:p w14:paraId="2854A6CF" w14:textId="77777777" w:rsidR="008E508F" w:rsidRPr="008E508F" w:rsidRDefault="008E508F" w:rsidP="008E508F">
      <w:pPr>
        <w:pStyle w:val="Bibliography"/>
        <w:rPr>
          <w:rFonts w:ascii="Aptos" w:hAnsi="Aptos"/>
        </w:rPr>
      </w:pPr>
      <w:r w:rsidRPr="008E508F">
        <w:rPr>
          <w:rFonts w:ascii="Aptos" w:hAnsi="Aptos"/>
        </w:rPr>
        <w:t>9.</w:t>
      </w:r>
      <w:r w:rsidRPr="008E508F">
        <w:rPr>
          <w:rFonts w:ascii="Aptos" w:hAnsi="Aptos"/>
        </w:rPr>
        <w:tab/>
        <w:t>Medical Deans of Australia and New Zealand. Inclusive Medical Education - Guidance on medical program applicants and students with a disability. (2021).</w:t>
      </w:r>
    </w:p>
    <w:p w14:paraId="52900C38" w14:textId="77777777" w:rsidR="008E508F" w:rsidRPr="008E508F" w:rsidRDefault="008E508F" w:rsidP="008E508F">
      <w:pPr>
        <w:pStyle w:val="Bibliography"/>
        <w:rPr>
          <w:rFonts w:ascii="Aptos" w:hAnsi="Aptos"/>
        </w:rPr>
      </w:pPr>
      <w:r w:rsidRPr="008E508F">
        <w:rPr>
          <w:rFonts w:ascii="Aptos" w:hAnsi="Aptos"/>
        </w:rPr>
        <w:t>10.</w:t>
      </w:r>
      <w:r w:rsidRPr="008E508F">
        <w:rPr>
          <w:rFonts w:ascii="Aptos" w:hAnsi="Aptos"/>
        </w:rPr>
        <w:tab/>
        <w:t>Brett, M., Harvey, A., Funston, A., Spicer, R. &amp; Wood, A. The Role of Inherent Requirement Statements in Australian Universities. (2016).</w:t>
      </w:r>
    </w:p>
    <w:p w14:paraId="7B31A2F2" w14:textId="77777777" w:rsidR="008E508F" w:rsidRPr="008E508F" w:rsidRDefault="008E508F" w:rsidP="008E508F">
      <w:pPr>
        <w:pStyle w:val="Bibliography"/>
        <w:rPr>
          <w:rFonts w:ascii="Aptos" w:hAnsi="Aptos"/>
        </w:rPr>
      </w:pPr>
      <w:r w:rsidRPr="008E508F">
        <w:rPr>
          <w:rFonts w:ascii="Aptos" w:hAnsi="Aptos"/>
        </w:rPr>
        <w:t>11.</w:t>
      </w:r>
      <w:r w:rsidRPr="008E508F">
        <w:rPr>
          <w:rFonts w:ascii="Aptos" w:hAnsi="Aptos"/>
        </w:rPr>
        <w:tab/>
        <w:t>Nuske, A., Brett, M. &amp; Knight, E. Chapter 9: Disability services in higher education: an Australian perspective. in (2023).</w:t>
      </w:r>
    </w:p>
    <w:p w14:paraId="7274A86A" w14:textId="493A7E1D" w:rsidR="00741721" w:rsidRDefault="008E508F">
      <w:pPr>
        <w:rPr>
          <w:lang w:val="en-US"/>
        </w:rPr>
      </w:pPr>
      <w:r>
        <w:rPr>
          <w:lang w:val="en-US"/>
        </w:rPr>
        <w:fldChar w:fldCharType="end"/>
      </w:r>
    </w:p>
    <w:p w14:paraId="0FE9C6DF" w14:textId="77777777" w:rsidR="00741721" w:rsidRDefault="00741721">
      <w:pPr>
        <w:rPr>
          <w:lang w:val="en-US"/>
        </w:rPr>
      </w:pPr>
    </w:p>
    <w:p w14:paraId="24AC7FAC" w14:textId="77777777" w:rsidR="00B94590" w:rsidRPr="00C77C5D" w:rsidRDefault="00B94590">
      <w:pPr>
        <w:rPr>
          <w:lang w:val="en-US"/>
        </w:rPr>
      </w:pPr>
    </w:p>
    <w:sectPr w:rsidR="00B94590" w:rsidRPr="00C77C5D">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57F3A" w14:textId="77777777" w:rsidR="007E40D2" w:rsidRDefault="007E40D2" w:rsidP="00227A8C">
      <w:pPr>
        <w:spacing w:after="0" w:line="240" w:lineRule="auto"/>
      </w:pPr>
      <w:r>
        <w:separator/>
      </w:r>
    </w:p>
  </w:endnote>
  <w:endnote w:type="continuationSeparator" w:id="0">
    <w:p w14:paraId="5657ED8F" w14:textId="77777777" w:rsidR="007E40D2" w:rsidRDefault="007E40D2" w:rsidP="00227A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30D38" w14:textId="77777777" w:rsidR="007E40D2" w:rsidRDefault="007E40D2" w:rsidP="00227A8C">
      <w:pPr>
        <w:spacing w:after="0" w:line="240" w:lineRule="auto"/>
      </w:pPr>
      <w:r>
        <w:separator/>
      </w:r>
    </w:p>
  </w:footnote>
  <w:footnote w:type="continuationSeparator" w:id="0">
    <w:p w14:paraId="7A56EE0C" w14:textId="77777777" w:rsidR="007E40D2" w:rsidRDefault="007E40D2" w:rsidP="00227A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4859" w14:textId="77777777" w:rsidR="00227A8C" w:rsidRDefault="00227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847FC1"/>
    <w:multiLevelType w:val="multilevel"/>
    <w:tmpl w:val="E9F605CA"/>
    <w:lvl w:ilvl="0">
      <w:start w:val="1"/>
      <w:numFmt w:val="decimal"/>
      <w:lvlText w:val="%1"/>
      <w:lvlJc w:val="left"/>
      <w:pPr>
        <w:ind w:left="370" w:hanging="370"/>
      </w:pPr>
      <w:rPr>
        <w:rFonts w:hint="default"/>
      </w:rPr>
    </w:lvl>
    <w:lvl w:ilvl="1">
      <w:start w:val="1"/>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922225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C5D"/>
    <w:rsid w:val="000026C3"/>
    <w:rsid w:val="00020A5D"/>
    <w:rsid w:val="000432E7"/>
    <w:rsid w:val="00074A9B"/>
    <w:rsid w:val="000915EF"/>
    <w:rsid w:val="00092309"/>
    <w:rsid w:val="000B48D0"/>
    <w:rsid w:val="000C7A09"/>
    <w:rsid w:val="000D2337"/>
    <w:rsid w:val="000F605D"/>
    <w:rsid w:val="00101747"/>
    <w:rsid w:val="00156539"/>
    <w:rsid w:val="0016501D"/>
    <w:rsid w:val="00192025"/>
    <w:rsid w:val="00195BA2"/>
    <w:rsid w:val="001B7C29"/>
    <w:rsid w:val="00207415"/>
    <w:rsid w:val="00207A5E"/>
    <w:rsid w:val="00220A63"/>
    <w:rsid w:val="00226907"/>
    <w:rsid w:val="00227A8C"/>
    <w:rsid w:val="00260000"/>
    <w:rsid w:val="00277AFA"/>
    <w:rsid w:val="002A0ACA"/>
    <w:rsid w:val="002A3783"/>
    <w:rsid w:val="002B22BA"/>
    <w:rsid w:val="002C3363"/>
    <w:rsid w:val="002C3CB2"/>
    <w:rsid w:val="002F4555"/>
    <w:rsid w:val="00333352"/>
    <w:rsid w:val="0034022B"/>
    <w:rsid w:val="00347AFB"/>
    <w:rsid w:val="003577BE"/>
    <w:rsid w:val="003750ED"/>
    <w:rsid w:val="003C57A5"/>
    <w:rsid w:val="003E17CB"/>
    <w:rsid w:val="00445BC2"/>
    <w:rsid w:val="00482960"/>
    <w:rsid w:val="004836A3"/>
    <w:rsid w:val="004844A9"/>
    <w:rsid w:val="00496354"/>
    <w:rsid w:val="004A2426"/>
    <w:rsid w:val="004B3AF0"/>
    <w:rsid w:val="004F11E0"/>
    <w:rsid w:val="0050339A"/>
    <w:rsid w:val="00505073"/>
    <w:rsid w:val="00517773"/>
    <w:rsid w:val="00517EA5"/>
    <w:rsid w:val="00533093"/>
    <w:rsid w:val="0054394E"/>
    <w:rsid w:val="00581CE4"/>
    <w:rsid w:val="00586611"/>
    <w:rsid w:val="005A2F38"/>
    <w:rsid w:val="005A63E6"/>
    <w:rsid w:val="005B1B49"/>
    <w:rsid w:val="00610872"/>
    <w:rsid w:val="00611E9A"/>
    <w:rsid w:val="0061507E"/>
    <w:rsid w:val="00623907"/>
    <w:rsid w:val="006811BB"/>
    <w:rsid w:val="006914CD"/>
    <w:rsid w:val="0069559F"/>
    <w:rsid w:val="006A339E"/>
    <w:rsid w:val="006A73E3"/>
    <w:rsid w:val="00725607"/>
    <w:rsid w:val="007334CF"/>
    <w:rsid w:val="00741721"/>
    <w:rsid w:val="007638B6"/>
    <w:rsid w:val="007702DC"/>
    <w:rsid w:val="00775F1C"/>
    <w:rsid w:val="00777904"/>
    <w:rsid w:val="0078535A"/>
    <w:rsid w:val="007A1385"/>
    <w:rsid w:val="007B7AAF"/>
    <w:rsid w:val="007E40D2"/>
    <w:rsid w:val="007F4E5B"/>
    <w:rsid w:val="00806221"/>
    <w:rsid w:val="008131E1"/>
    <w:rsid w:val="0082563F"/>
    <w:rsid w:val="00827F05"/>
    <w:rsid w:val="00832FCC"/>
    <w:rsid w:val="008352D6"/>
    <w:rsid w:val="00851AF5"/>
    <w:rsid w:val="008753B9"/>
    <w:rsid w:val="008A0A72"/>
    <w:rsid w:val="008B60CA"/>
    <w:rsid w:val="008D0540"/>
    <w:rsid w:val="008E508F"/>
    <w:rsid w:val="008E762F"/>
    <w:rsid w:val="008F06A8"/>
    <w:rsid w:val="009217E7"/>
    <w:rsid w:val="00921C52"/>
    <w:rsid w:val="00946475"/>
    <w:rsid w:val="009568D2"/>
    <w:rsid w:val="00957307"/>
    <w:rsid w:val="00960B05"/>
    <w:rsid w:val="009A4661"/>
    <w:rsid w:val="009B5F2B"/>
    <w:rsid w:val="009C0DE0"/>
    <w:rsid w:val="009C7AA1"/>
    <w:rsid w:val="009F3F02"/>
    <w:rsid w:val="009F70CF"/>
    <w:rsid w:val="00A42990"/>
    <w:rsid w:val="00A43FA9"/>
    <w:rsid w:val="00A61C86"/>
    <w:rsid w:val="00A65B80"/>
    <w:rsid w:val="00A84572"/>
    <w:rsid w:val="00A86E0B"/>
    <w:rsid w:val="00A8765C"/>
    <w:rsid w:val="00AA55B0"/>
    <w:rsid w:val="00AD1CF5"/>
    <w:rsid w:val="00B07800"/>
    <w:rsid w:val="00B15421"/>
    <w:rsid w:val="00B223AD"/>
    <w:rsid w:val="00B2552C"/>
    <w:rsid w:val="00B52F05"/>
    <w:rsid w:val="00B71BDE"/>
    <w:rsid w:val="00B94590"/>
    <w:rsid w:val="00BC65FC"/>
    <w:rsid w:val="00BF12B9"/>
    <w:rsid w:val="00BF5736"/>
    <w:rsid w:val="00C04A59"/>
    <w:rsid w:val="00C07B07"/>
    <w:rsid w:val="00C13A29"/>
    <w:rsid w:val="00C27FA3"/>
    <w:rsid w:val="00C4288B"/>
    <w:rsid w:val="00C77C5D"/>
    <w:rsid w:val="00C81C9F"/>
    <w:rsid w:val="00C920C3"/>
    <w:rsid w:val="00CB0B46"/>
    <w:rsid w:val="00CD1AA0"/>
    <w:rsid w:val="00CF59D0"/>
    <w:rsid w:val="00D041CB"/>
    <w:rsid w:val="00D3497D"/>
    <w:rsid w:val="00D35C23"/>
    <w:rsid w:val="00D369E2"/>
    <w:rsid w:val="00D6128C"/>
    <w:rsid w:val="00DA10F1"/>
    <w:rsid w:val="00DD5660"/>
    <w:rsid w:val="00DE0466"/>
    <w:rsid w:val="00DE41BA"/>
    <w:rsid w:val="00E2717A"/>
    <w:rsid w:val="00E33B88"/>
    <w:rsid w:val="00E5246C"/>
    <w:rsid w:val="00E5358D"/>
    <w:rsid w:val="00E8701A"/>
    <w:rsid w:val="00E96EC3"/>
    <w:rsid w:val="00ED0FC6"/>
    <w:rsid w:val="00ED31EE"/>
    <w:rsid w:val="00EE0DC4"/>
    <w:rsid w:val="00F2258B"/>
    <w:rsid w:val="00F2712F"/>
    <w:rsid w:val="00F4015D"/>
    <w:rsid w:val="00F52EA0"/>
    <w:rsid w:val="00F53507"/>
    <w:rsid w:val="00F605AC"/>
    <w:rsid w:val="00FA26D0"/>
    <w:rsid w:val="00FA32CF"/>
    <w:rsid w:val="00FB755A"/>
    <w:rsid w:val="00FC503A"/>
    <w:rsid w:val="00FD4370"/>
    <w:rsid w:val="00FF2FFC"/>
    <w:rsid w:val="00FF34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DF8F2"/>
  <w15:chartTrackingRefBased/>
  <w15:docId w15:val="{7B3C27FD-866C-477C-8A3F-6C9E18238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7C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77C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77C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7C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7C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7C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7C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7C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7C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7C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77C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77C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7C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7C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7C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7C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7C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7C5D"/>
    <w:rPr>
      <w:rFonts w:eastAsiaTheme="majorEastAsia" w:cstheme="majorBidi"/>
      <w:color w:val="272727" w:themeColor="text1" w:themeTint="D8"/>
    </w:rPr>
  </w:style>
  <w:style w:type="paragraph" w:styleId="Title">
    <w:name w:val="Title"/>
    <w:basedOn w:val="Normal"/>
    <w:next w:val="Normal"/>
    <w:link w:val="TitleChar"/>
    <w:uiPriority w:val="10"/>
    <w:qFormat/>
    <w:rsid w:val="00C77C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7C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7C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7C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7C5D"/>
    <w:pPr>
      <w:spacing w:before="160"/>
      <w:jc w:val="center"/>
    </w:pPr>
    <w:rPr>
      <w:i/>
      <w:iCs/>
      <w:color w:val="404040" w:themeColor="text1" w:themeTint="BF"/>
    </w:rPr>
  </w:style>
  <w:style w:type="character" w:customStyle="1" w:styleId="QuoteChar">
    <w:name w:val="Quote Char"/>
    <w:basedOn w:val="DefaultParagraphFont"/>
    <w:link w:val="Quote"/>
    <w:uiPriority w:val="29"/>
    <w:rsid w:val="00C77C5D"/>
    <w:rPr>
      <w:i/>
      <w:iCs/>
      <w:color w:val="404040" w:themeColor="text1" w:themeTint="BF"/>
    </w:rPr>
  </w:style>
  <w:style w:type="paragraph" w:styleId="ListParagraph">
    <w:name w:val="List Paragraph"/>
    <w:basedOn w:val="Normal"/>
    <w:uiPriority w:val="34"/>
    <w:qFormat/>
    <w:rsid w:val="00C77C5D"/>
    <w:pPr>
      <w:ind w:left="720"/>
      <w:contextualSpacing/>
    </w:pPr>
  </w:style>
  <w:style w:type="character" w:styleId="IntenseEmphasis">
    <w:name w:val="Intense Emphasis"/>
    <w:basedOn w:val="DefaultParagraphFont"/>
    <w:uiPriority w:val="21"/>
    <w:qFormat/>
    <w:rsid w:val="00C77C5D"/>
    <w:rPr>
      <w:i/>
      <w:iCs/>
      <w:color w:val="0F4761" w:themeColor="accent1" w:themeShade="BF"/>
    </w:rPr>
  </w:style>
  <w:style w:type="paragraph" w:styleId="IntenseQuote">
    <w:name w:val="Intense Quote"/>
    <w:basedOn w:val="Normal"/>
    <w:next w:val="Normal"/>
    <w:link w:val="IntenseQuoteChar"/>
    <w:uiPriority w:val="30"/>
    <w:qFormat/>
    <w:rsid w:val="00C77C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7C5D"/>
    <w:rPr>
      <w:i/>
      <w:iCs/>
      <w:color w:val="0F4761" w:themeColor="accent1" w:themeShade="BF"/>
    </w:rPr>
  </w:style>
  <w:style w:type="character" w:styleId="IntenseReference">
    <w:name w:val="Intense Reference"/>
    <w:basedOn w:val="DefaultParagraphFont"/>
    <w:uiPriority w:val="32"/>
    <w:qFormat/>
    <w:rsid w:val="00C77C5D"/>
    <w:rPr>
      <w:b/>
      <w:bCs/>
      <w:smallCaps/>
      <w:color w:val="0F4761" w:themeColor="accent1" w:themeShade="BF"/>
      <w:spacing w:val="5"/>
    </w:rPr>
  </w:style>
  <w:style w:type="paragraph" w:styleId="Bibliography">
    <w:name w:val="Bibliography"/>
    <w:basedOn w:val="Normal"/>
    <w:next w:val="Normal"/>
    <w:uiPriority w:val="37"/>
    <w:unhideWhenUsed/>
    <w:rsid w:val="008E508F"/>
    <w:pPr>
      <w:tabs>
        <w:tab w:val="left" w:pos="384"/>
      </w:tabs>
      <w:spacing w:after="0" w:line="480" w:lineRule="auto"/>
      <w:ind w:left="384" w:hanging="384"/>
    </w:pPr>
  </w:style>
  <w:style w:type="paragraph" w:styleId="Header">
    <w:name w:val="header"/>
    <w:basedOn w:val="Normal"/>
    <w:link w:val="HeaderChar"/>
    <w:uiPriority w:val="99"/>
    <w:unhideWhenUsed/>
    <w:rsid w:val="00227A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7A8C"/>
  </w:style>
  <w:style w:type="paragraph" w:styleId="Footer">
    <w:name w:val="footer"/>
    <w:basedOn w:val="Normal"/>
    <w:link w:val="FooterChar"/>
    <w:uiPriority w:val="99"/>
    <w:unhideWhenUsed/>
    <w:rsid w:val="00227A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7A8C"/>
  </w:style>
  <w:style w:type="character" w:styleId="Hyperlink">
    <w:name w:val="Hyperlink"/>
    <w:basedOn w:val="DefaultParagraphFont"/>
    <w:uiPriority w:val="99"/>
    <w:unhideWhenUsed/>
    <w:rsid w:val="00227A8C"/>
    <w:rPr>
      <w:color w:val="467886" w:themeColor="hyperlink"/>
      <w:u w:val="single"/>
    </w:rPr>
  </w:style>
  <w:style w:type="character" w:styleId="UnresolvedMention">
    <w:name w:val="Unresolved Mention"/>
    <w:basedOn w:val="DefaultParagraphFont"/>
    <w:uiPriority w:val="99"/>
    <w:semiHidden/>
    <w:unhideWhenUsed/>
    <w:rsid w:val="00227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akin.edu.au/about-deakin/vision-and-values/teaching-and-learning/cradle"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experts.deakin.edu.au/2217-laura-gray"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98083483EAF54BBE19C56BE4F7D597" ma:contentTypeVersion="21" ma:contentTypeDescription="Create a new document." ma:contentTypeScope="" ma:versionID="50bc1c2aacae335ff79e0cd643d50306">
  <xsd:schema xmlns:xsd="http://www.w3.org/2001/XMLSchema" xmlns:xs="http://www.w3.org/2001/XMLSchema" xmlns:p="http://schemas.microsoft.com/office/2006/metadata/properties" xmlns:ns2="4a9c6c2e-cc90-47c0-be42-0b97b97642c0" xmlns:ns3="150ed607-d011-45d5-8216-b1990882b9c0" targetNamespace="http://schemas.microsoft.com/office/2006/metadata/properties" ma:root="true" ma:fieldsID="8eb6476fa37a5b11c60279e660b351c8" ns2:_="" ns3:_="">
    <xsd:import namespace="4a9c6c2e-cc90-47c0-be42-0b97b97642c0"/>
    <xsd:import namespace="150ed607-d011-45d5-8216-b1990882b9c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Notes" minOccurs="0"/>
                <xsd:element ref="ns2:MediaServiceSearchProperties" minOccurs="0"/>
                <xsd:element ref="ns2:MediaLengthInSeconds" minOccurs="0"/>
                <xsd:element ref="ns2:MediaServiceLocation" minOccurs="0"/>
                <xsd:element ref="ns2:Comments" minOccurs="0"/>
                <xsd:element ref="ns2:Content"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9c6c2e-cc90-47c0-be42-0b97b97642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Notes" ma:index="20" nillable="true" ma:displayName="Notes" ma:format="Dropdown" ma:internalName="Notes">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Comments" ma:index="24" nillable="true" ma:displayName="Comments" ma:format="Dropdown" ma:internalName="Comments">
      <xsd:simpleType>
        <xsd:restriction base="dms:Note">
          <xsd:maxLength value="255"/>
        </xsd:restriction>
      </xsd:simpleType>
    </xsd:element>
    <xsd:element name="Content" ma:index="25" nillable="true" ma:displayName="Content" ma:internalName="Content">
      <xsd:simpleType>
        <xsd:restriction base="dms:Note">
          <xsd:maxLength value="255"/>
        </xsd:restriction>
      </xsd:simpleType>
    </xsd:element>
    <xsd:element name="Order0" ma:index="26" nillable="true" ma:displayName="Order" ma:format="Dropdown" ma:internalName="Order0"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150ed607-d011-45d5-8216-b1990882b9c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8c6cb8d-386b-40f8-891a-4611800468b4}" ma:internalName="TaxCatchAll" ma:showField="CatchAllData" ma:web="150ed607-d011-45d5-8216-b1990882b9c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9c6c2e-cc90-47c0-be42-0b97b97642c0">
      <Terms xmlns="http://schemas.microsoft.com/office/infopath/2007/PartnerControls"/>
    </lcf76f155ced4ddcb4097134ff3c332f>
    <Comments xmlns="4a9c6c2e-cc90-47c0-be42-0b97b97642c0" xsi:nil="true"/>
    <Notes xmlns="4a9c6c2e-cc90-47c0-be42-0b97b97642c0" xsi:nil="true"/>
    <Content xmlns="4a9c6c2e-cc90-47c0-be42-0b97b97642c0" xsi:nil="true"/>
    <Order0 xmlns="4a9c6c2e-cc90-47c0-be42-0b97b97642c0" xsi:nil="true"/>
    <TaxCatchAll xmlns="150ed607-d011-45d5-8216-b1990882b9c0" xsi:nil="true"/>
  </documentManagement>
</p:properties>
</file>

<file path=customXml/itemProps1.xml><?xml version="1.0" encoding="utf-8"?>
<ds:datastoreItem xmlns:ds="http://schemas.openxmlformats.org/officeDocument/2006/customXml" ds:itemID="{54818E8B-DF34-4716-A9AF-648ED7181C3E}"/>
</file>

<file path=customXml/itemProps2.xml><?xml version="1.0" encoding="utf-8"?>
<ds:datastoreItem xmlns:ds="http://schemas.openxmlformats.org/officeDocument/2006/customXml" ds:itemID="{A0C02F2A-3E8B-4862-9D78-9171BFF99926}"/>
</file>

<file path=customXml/itemProps3.xml><?xml version="1.0" encoding="utf-8"?>
<ds:datastoreItem xmlns:ds="http://schemas.openxmlformats.org/officeDocument/2006/customXml" ds:itemID="{17304D76-E440-4C7A-B7E6-F494730CB327}"/>
</file>

<file path=docProps/app.xml><?xml version="1.0" encoding="utf-8"?>
<Properties xmlns="http://schemas.openxmlformats.org/officeDocument/2006/extended-properties" xmlns:vt="http://schemas.openxmlformats.org/officeDocument/2006/docPropsVTypes">
  <Template>Normal.dotm</Template>
  <TotalTime>10</TotalTime>
  <Pages>6</Pages>
  <Words>7114</Words>
  <Characters>42831</Characters>
  <Application>Microsoft Office Word</Application>
  <DocSecurity>0</DocSecurity>
  <Lines>764</Lines>
  <Paragraphs>191</Paragraphs>
  <ScaleCrop>false</ScaleCrop>
  <HeadingPairs>
    <vt:vector size="2" baseType="variant">
      <vt:variant>
        <vt:lpstr>Title</vt:lpstr>
      </vt:variant>
      <vt:variant>
        <vt:i4>1</vt:i4>
      </vt:variant>
    </vt:vector>
  </HeadingPairs>
  <TitlesOfParts>
    <vt:vector size="1" baseType="lpstr">
      <vt:lpstr/>
    </vt:vector>
  </TitlesOfParts>
  <Company>Deakin University</Company>
  <LinksUpToDate>false</LinksUpToDate>
  <CharactersWithSpaces>49754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Gray</dc:creator>
  <cp:keywords/>
  <dc:description/>
  <cp:lastModifiedBy>LEI, Melissa</cp:lastModifiedBy>
  <cp:revision>4</cp:revision>
  <dcterms:created xsi:type="dcterms:W3CDTF">2026-04-15T06:16:00Z</dcterms:created>
  <dcterms:modified xsi:type="dcterms:W3CDTF">2026-04-29T01:30:00Z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id="vkzahOFO"/&gt;&lt;style id="http://www.zotero.org/styles/nature" hasBibliography="1" bibliographyStyleHasBeenSet="1"/&gt;&lt;prefs&gt;&lt;pref name="fieldType" value="Field"/&gt;&lt;/prefs&gt;&lt;/data&gt;</vt:lpwstr>
  </property>
  <property fmtid="{D5CDD505-2E9C-101B-9397-08002B2CF9AE}" pid="3" name="MSIP_Label_79d889eb-932f-4752-8739-64d25806ef64_Enabled">
    <vt:lpwstr>true</vt:lpwstr>
  </property>
  <property fmtid="{D5CDD505-2E9C-101B-9397-08002B2CF9AE}" pid="4" name="MSIP_Label_79d889eb-932f-4752-8739-64d25806ef64_SetDate">
    <vt:lpwstr>2026-04-15T06:16:49Z</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iteId">
    <vt:lpwstr>dd0cfd15-4558-4b12-8bad-ea26984fc417</vt:lpwstr>
  </property>
  <property fmtid="{D5CDD505-2E9C-101B-9397-08002B2CF9AE}" pid="8" name="MSIP_Label_79d889eb-932f-4752-8739-64d25806ef64_ActionId">
    <vt:lpwstr>135ffd70-b628-4921-a849-36e0b79bd474</vt:lpwstr>
  </property>
  <property fmtid="{D5CDD505-2E9C-101B-9397-08002B2CF9AE}" pid="9" name="MSIP_Label_79d889eb-932f-4752-8739-64d25806ef64_ContentBits">
    <vt:lpwstr>0</vt:lpwstr>
  </property>
  <property fmtid="{D5CDD505-2E9C-101B-9397-08002B2CF9AE}" pid="10" name="MSIP_Label_79d889eb-932f-4752-8739-64d25806ef64_Tag">
    <vt:lpwstr>10, 0, 1, 1</vt:lpwstr>
  </property>
  <property fmtid="{D5CDD505-2E9C-101B-9397-08002B2CF9AE}" pid="11" name="ContentTypeId">
    <vt:lpwstr>0x010100E098083483EAF54BBE19C56BE4F7D597</vt:lpwstr>
  </property>
</Properties>
</file>