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BC83" w14:textId="77777777" w:rsidR="00CA2B5D" w:rsidRDefault="00CA2B5D" w:rsidP="002B3C2B">
      <w:pPr>
        <w:pStyle w:val="Title"/>
        <w:jc w:val="center"/>
      </w:pPr>
    </w:p>
    <w:p w14:paraId="52410CAD" w14:textId="77777777" w:rsidR="00CA2B5D" w:rsidRDefault="00CA2B5D" w:rsidP="002B3C2B">
      <w:pPr>
        <w:pStyle w:val="Title"/>
        <w:jc w:val="center"/>
      </w:pPr>
    </w:p>
    <w:p w14:paraId="73E2C418" w14:textId="585BBBD0" w:rsidR="00365253" w:rsidRDefault="00365253" w:rsidP="002B3C2B">
      <w:pPr>
        <w:pStyle w:val="Title"/>
        <w:jc w:val="center"/>
      </w:pPr>
      <w:r>
        <w:t>Submission to the Higher Education Standards Panel</w:t>
      </w:r>
    </w:p>
    <w:p w14:paraId="4C3B8152" w14:textId="77777777" w:rsidR="00CA2B5D" w:rsidRDefault="00CA2B5D" w:rsidP="002B3C2B">
      <w:pPr>
        <w:pStyle w:val="Subtitle"/>
        <w:jc w:val="center"/>
      </w:pPr>
    </w:p>
    <w:p w14:paraId="7BECD504" w14:textId="24903B31" w:rsidR="00365253" w:rsidRDefault="00365253" w:rsidP="002B3C2B">
      <w:pPr>
        <w:pStyle w:val="Subtitle"/>
        <w:jc w:val="center"/>
      </w:pPr>
      <w:r>
        <w:t>Consultation on amendments to the Higher Education Standards Framework (Threshold Standards) 2021</w:t>
      </w:r>
    </w:p>
    <w:p w14:paraId="35A1DB58" w14:textId="77777777" w:rsidR="00CA2B5D" w:rsidRDefault="00CA2B5D" w:rsidP="002B3C2B">
      <w:pPr>
        <w:jc w:val="center"/>
      </w:pPr>
    </w:p>
    <w:p w14:paraId="0476D6FD" w14:textId="21DCFB4F" w:rsidR="00365253" w:rsidRDefault="00365253" w:rsidP="002B3C2B">
      <w:pPr>
        <w:jc w:val="center"/>
      </w:pPr>
      <w:r>
        <w:t>Ebe Ganon</w:t>
      </w:r>
      <w:r w:rsidR="002B3C2B">
        <w:br/>
      </w:r>
      <w:r>
        <w:t>March 2026</w:t>
      </w:r>
    </w:p>
    <w:p w14:paraId="0FD2B4F0" w14:textId="77777777" w:rsidR="00365253" w:rsidRDefault="00365253">
      <w:r>
        <w:br w:type="page"/>
      </w:r>
    </w:p>
    <w:p w14:paraId="05F23E26" w14:textId="597C4793" w:rsidR="00365253" w:rsidRDefault="00365253" w:rsidP="00365253">
      <w:pPr>
        <w:pStyle w:val="Heading1"/>
      </w:pPr>
      <w:bookmarkStart w:id="0" w:name="_Toc224054398"/>
      <w:r>
        <w:lastRenderedPageBreak/>
        <w:t>Introduction</w:t>
      </w:r>
      <w:bookmarkEnd w:id="0"/>
    </w:p>
    <w:p w14:paraId="56465324" w14:textId="7FBC53EA" w:rsidR="00791083" w:rsidRDefault="00E236DE" w:rsidP="00365253">
      <w:r>
        <w:t xml:space="preserve">I am a current PhD student with disability, and a non-executive director of a disability representative organisation. </w:t>
      </w:r>
      <w:r w:rsidR="00365253">
        <w:t xml:space="preserve">This submission draws on my experience </w:t>
      </w:r>
      <w:r w:rsidR="008D21E8">
        <w:t xml:space="preserve">in </w:t>
      </w:r>
      <w:r w:rsidR="00365253">
        <w:t xml:space="preserve">disability policy </w:t>
      </w:r>
      <w:r w:rsidR="00867B2A">
        <w:t xml:space="preserve">and </w:t>
      </w:r>
      <w:r w:rsidR="008D21E8">
        <w:t>as an</w:t>
      </w:r>
      <w:r w:rsidR="00365253">
        <w:t xml:space="preserve"> advocate with a focus on the higher education </w:t>
      </w:r>
      <w:proofErr w:type="gramStart"/>
      <w:r w:rsidR="00365253">
        <w:t>sector</w:t>
      </w:r>
      <w:r w:rsidR="00867B2A">
        <w:t>;</w:t>
      </w:r>
      <w:proofErr w:type="gramEnd"/>
      <w:r w:rsidR="00365253">
        <w:t xml:space="preserve"> and on direct engagement with students, practitioners, and institutions over a sustained period. </w:t>
      </w:r>
    </w:p>
    <w:p w14:paraId="42D9D6F3" w14:textId="06D96888" w:rsidR="00241EFE" w:rsidRDefault="00365253" w:rsidP="00365253">
      <w:r>
        <w:t xml:space="preserve">It focuses primarily on the proposed amendments </w:t>
      </w:r>
      <w:r w:rsidR="00791083">
        <w:t xml:space="preserve">and consultation questions </w:t>
      </w:r>
      <w:r>
        <w:t>related to supporting people with disability, governance, and emerging technologies.</w:t>
      </w:r>
      <w:r w:rsidR="00791083">
        <w:t xml:space="preserve"> </w:t>
      </w:r>
      <w:r w:rsidR="00C6783F">
        <w:t>Nine recommendations are provided.</w:t>
      </w:r>
    </w:p>
    <w:sdt>
      <w:sdtPr>
        <w:rPr>
          <w:rFonts w:asciiTheme="minorHAnsi" w:eastAsiaTheme="minorHAnsi" w:hAnsiTheme="minorHAnsi" w:cstheme="minorBidi"/>
          <w:color w:val="auto"/>
          <w:kern w:val="2"/>
          <w:sz w:val="24"/>
          <w:szCs w:val="24"/>
          <w:lang w:val="en-AU"/>
          <w14:ligatures w14:val="standardContextual"/>
        </w:rPr>
        <w:id w:val="-291133161"/>
        <w:docPartObj>
          <w:docPartGallery w:val="Table of Contents"/>
          <w:docPartUnique/>
        </w:docPartObj>
      </w:sdtPr>
      <w:sdtEndPr>
        <w:rPr>
          <w:b/>
          <w:bCs/>
          <w:noProof/>
        </w:rPr>
      </w:sdtEndPr>
      <w:sdtContent>
        <w:p w14:paraId="39B55A56" w14:textId="0ABFB36F" w:rsidR="00120E27" w:rsidRDefault="00120E27">
          <w:pPr>
            <w:pStyle w:val="TOCHeading"/>
          </w:pPr>
          <w:r>
            <w:t>Contents</w:t>
          </w:r>
        </w:p>
        <w:p w14:paraId="24ACF6BC" w14:textId="0825C150" w:rsidR="00F96693" w:rsidRDefault="00120E27">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224054398" w:history="1">
            <w:r w:rsidR="00F96693" w:rsidRPr="00FC65B1">
              <w:rPr>
                <w:rStyle w:val="Hyperlink"/>
                <w:noProof/>
              </w:rPr>
              <w:t>Introduction</w:t>
            </w:r>
            <w:r w:rsidR="00F96693">
              <w:rPr>
                <w:noProof/>
                <w:webHidden/>
              </w:rPr>
              <w:tab/>
            </w:r>
            <w:r w:rsidR="00F96693">
              <w:rPr>
                <w:noProof/>
                <w:webHidden/>
              </w:rPr>
              <w:fldChar w:fldCharType="begin"/>
            </w:r>
            <w:r w:rsidR="00F96693">
              <w:rPr>
                <w:noProof/>
                <w:webHidden/>
              </w:rPr>
              <w:instrText xml:space="preserve"> PAGEREF _Toc224054398 \h </w:instrText>
            </w:r>
            <w:r w:rsidR="00F96693">
              <w:rPr>
                <w:noProof/>
                <w:webHidden/>
              </w:rPr>
            </w:r>
            <w:r w:rsidR="00F96693">
              <w:rPr>
                <w:noProof/>
                <w:webHidden/>
              </w:rPr>
              <w:fldChar w:fldCharType="separate"/>
            </w:r>
            <w:r w:rsidR="00F96693">
              <w:rPr>
                <w:noProof/>
                <w:webHidden/>
              </w:rPr>
              <w:t>2</w:t>
            </w:r>
            <w:r w:rsidR="00F96693">
              <w:rPr>
                <w:noProof/>
                <w:webHidden/>
              </w:rPr>
              <w:fldChar w:fldCharType="end"/>
            </w:r>
          </w:hyperlink>
        </w:p>
        <w:p w14:paraId="1A824199" w14:textId="631884C2" w:rsidR="00F96693" w:rsidRDefault="00F96693">
          <w:pPr>
            <w:pStyle w:val="TOC1"/>
            <w:tabs>
              <w:tab w:val="right" w:leader="dot" w:pos="9016"/>
            </w:tabs>
            <w:rPr>
              <w:rFonts w:eastAsiaTheme="minorEastAsia"/>
              <w:noProof/>
              <w:lang w:eastAsia="en-AU"/>
            </w:rPr>
          </w:pPr>
          <w:hyperlink w:anchor="_Toc224054399" w:history="1">
            <w:r w:rsidRPr="00FC65B1">
              <w:rPr>
                <w:rStyle w:val="Hyperlink"/>
                <w:noProof/>
              </w:rPr>
              <w:t>Incorporating the University Governance Principles and transparency requirements</w:t>
            </w:r>
            <w:r>
              <w:rPr>
                <w:noProof/>
                <w:webHidden/>
              </w:rPr>
              <w:tab/>
            </w:r>
            <w:r>
              <w:rPr>
                <w:noProof/>
                <w:webHidden/>
              </w:rPr>
              <w:fldChar w:fldCharType="begin"/>
            </w:r>
            <w:r>
              <w:rPr>
                <w:noProof/>
                <w:webHidden/>
              </w:rPr>
              <w:instrText xml:space="preserve"> PAGEREF _Toc224054399 \h </w:instrText>
            </w:r>
            <w:r>
              <w:rPr>
                <w:noProof/>
                <w:webHidden/>
              </w:rPr>
            </w:r>
            <w:r>
              <w:rPr>
                <w:noProof/>
                <w:webHidden/>
              </w:rPr>
              <w:fldChar w:fldCharType="separate"/>
            </w:r>
            <w:r>
              <w:rPr>
                <w:noProof/>
                <w:webHidden/>
              </w:rPr>
              <w:t>3</w:t>
            </w:r>
            <w:r>
              <w:rPr>
                <w:noProof/>
                <w:webHidden/>
              </w:rPr>
              <w:fldChar w:fldCharType="end"/>
            </w:r>
          </w:hyperlink>
        </w:p>
        <w:p w14:paraId="121B4002" w14:textId="18009EBA" w:rsidR="00F96693" w:rsidRDefault="00F96693">
          <w:pPr>
            <w:pStyle w:val="TOC2"/>
            <w:tabs>
              <w:tab w:val="right" w:leader="dot" w:pos="9016"/>
            </w:tabs>
            <w:rPr>
              <w:rFonts w:eastAsiaTheme="minorEastAsia"/>
              <w:noProof/>
              <w:lang w:eastAsia="en-AU"/>
            </w:rPr>
          </w:pPr>
          <w:hyperlink w:anchor="_Toc224054400" w:history="1">
            <w:r w:rsidRPr="00FC65B1">
              <w:rPr>
                <w:rStyle w:val="Hyperlink"/>
                <w:noProof/>
              </w:rPr>
              <w:t>Question 4</w:t>
            </w:r>
            <w:r>
              <w:rPr>
                <w:noProof/>
                <w:webHidden/>
              </w:rPr>
              <w:tab/>
            </w:r>
            <w:r>
              <w:rPr>
                <w:noProof/>
                <w:webHidden/>
              </w:rPr>
              <w:fldChar w:fldCharType="begin"/>
            </w:r>
            <w:r>
              <w:rPr>
                <w:noProof/>
                <w:webHidden/>
              </w:rPr>
              <w:instrText xml:space="preserve"> PAGEREF _Toc224054400 \h </w:instrText>
            </w:r>
            <w:r>
              <w:rPr>
                <w:noProof/>
                <w:webHidden/>
              </w:rPr>
            </w:r>
            <w:r>
              <w:rPr>
                <w:noProof/>
                <w:webHidden/>
              </w:rPr>
              <w:fldChar w:fldCharType="separate"/>
            </w:r>
            <w:r>
              <w:rPr>
                <w:noProof/>
                <w:webHidden/>
              </w:rPr>
              <w:t>3</w:t>
            </w:r>
            <w:r>
              <w:rPr>
                <w:noProof/>
                <w:webHidden/>
              </w:rPr>
              <w:fldChar w:fldCharType="end"/>
            </w:r>
          </w:hyperlink>
        </w:p>
        <w:p w14:paraId="3A7353C2" w14:textId="30131843" w:rsidR="00F96693" w:rsidRDefault="00F96693">
          <w:pPr>
            <w:pStyle w:val="TOC2"/>
            <w:tabs>
              <w:tab w:val="right" w:leader="dot" w:pos="9016"/>
            </w:tabs>
            <w:rPr>
              <w:rFonts w:eastAsiaTheme="minorEastAsia"/>
              <w:noProof/>
              <w:lang w:eastAsia="en-AU"/>
            </w:rPr>
          </w:pPr>
          <w:hyperlink w:anchor="_Toc224054401" w:history="1">
            <w:r w:rsidRPr="00FC65B1">
              <w:rPr>
                <w:rStyle w:val="Hyperlink"/>
                <w:noProof/>
              </w:rPr>
              <w:t>Question 5</w:t>
            </w:r>
            <w:r>
              <w:rPr>
                <w:noProof/>
                <w:webHidden/>
              </w:rPr>
              <w:tab/>
            </w:r>
            <w:r>
              <w:rPr>
                <w:noProof/>
                <w:webHidden/>
              </w:rPr>
              <w:fldChar w:fldCharType="begin"/>
            </w:r>
            <w:r>
              <w:rPr>
                <w:noProof/>
                <w:webHidden/>
              </w:rPr>
              <w:instrText xml:space="preserve"> PAGEREF _Toc224054401 \h </w:instrText>
            </w:r>
            <w:r>
              <w:rPr>
                <w:noProof/>
                <w:webHidden/>
              </w:rPr>
            </w:r>
            <w:r>
              <w:rPr>
                <w:noProof/>
                <w:webHidden/>
              </w:rPr>
              <w:fldChar w:fldCharType="separate"/>
            </w:r>
            <w:r>
              <w:rPr>
                <w:noProof/>
                <w:webHidden/>
              </w:rPr>
              <w:t>4</w:t>
            </w:r>
            <w:r>
              <w:rPr>
                <w:noProof/>
                <w:webHidden/>
              </w:rPr>
              <w:fldChar w:fldCharType="end"/>
            </w:r>
          </w:hyperlink>
        </w:p>
        <w:p w14:paraId="75611ACE" w14:textId="168832AE" w:rsidR="00F96693" w:rsidRDefault="00F96693">
          <w:pPr>
            <w:pStyle w:val="TOC1"/>
            <w:tabs>
              <w:tab w:val="right" w:leader="dot" w:pos="9016"/>
            </w:tabs>
            <w:rPr>
              <w:rFonts w:eastAsiaTheme="minorEastAsia"/>
              <w:noProof/>
              <w:lang w:eastAsia="en-AU"/>
            </w:rPr>
          </w:pPr>
          <w:hyperlink w:anchor="_Toc224054402" w:history="1">
            <w:r w:rsidRPr="00FC65B1">
              <w:rPr>
                <w:rStyle w:val="Hyperlink"/>
                <w:noProof/>
              </w:rPr>
              <w:t>Supporting people with disability in higher education</w:t>
            </w:r>
            <w:r>
              <w:rPr>
                <w:noProof/>
                <w:webHidden/>
              </w:rPr>
              <w:tab/>
            </w:r>
            <w:r>
              <w:rPr>
                <w:noProof/>
                <w:webHidden/>
              </w:rPr>
              <w:fldChar w:fldCharType="begin"/>
            </w:r>
            <w:r>
              <w:rPr>
                <w:noProof/>
                <w:webHidden/>
              </w:rPr>
              <w:instrText xml:space="preserve"> PAGEREF _Toc224054402 \h </w:instrText>
            </w:r>
            <w:r>
              <w:rPr>
                <w:noProof/>
                <w:webHidden/>
              </w:rPr>
            </w:r>
            <w:r>
              <w:rPr>
                <w:noProof/>
                <w:webHidden/>
              </w:rPr>
              <w:fldChar w:fldCharType="separate"/>
            </w:r>
            <w:r>
              <w:rPr>
                <w:noProof/>
                <w:webHidden/>
              </w:rPr>
              <w:t>5</w:t>
            </w:r>
            <w:r>
              <w:rPr>
                <w:noProof/>
                <w:webHidden/>
              </w:rPr>
              <w:fldChar w:fldCharType="end"/>
            </w:r>
          </w:hyperlink>
        </w:p>
        <w:p w14:paraId="294E4F2B" w14:textId="487CBEF3" w:rsidR="00F96693" w:rsidRDefault="00F96693">
          <w:pPr>
            <w:pStyle w:val="TOC2"/>
            <w:tabs>
              <w:tab w:val="right" w:leader="dot" w:pos="9016"/>
            </w:tabs>
            <w:rPr>
              <w:rFonts w:eastAsiaTheme="minorEastAsia"/>
              <w:noProof/>
              <w:lang w:eastAsia="en-AU"/>
            </w:rPr>
          </w:pPr>
          <w:hyperlink w:anchor="_Toc224054403" w:history="1">
            <w:r w:rsidRPr="00FC65B1">
              <w:rPr>
                <w:rStyle w:val="Hyperlink"/>
                <w:noProof/>
              </w:rPr>
              <w:t>Question 6</w:t>
            </w:r>
            <w:r>
              <w:rPr>
                <w:noProof/>
                <w:webHidden/>
              </w:rPr>
              <w:tab/>
            </w:r>
            <w:r>
              <w:rPr>
                <w:noProof/>
                <w:webHidden/>
              </w:rPr>
              <w:fldChar w:fldCharType="begin"/>
            </w:r>
            <w:r>
              <w:rPr>
                <w:noProof/>
                <w:webHidden/>
              </w:rPr>
              <w:instrText xml:space="preserve"> PAGEREF _Toc224054403 \h </w:instrText>
            </w:r>
            <w:r>
              <w:rPr>
                <w:noProof/>
                <w:webHidden/>
              </w:rPr>
            </w:r>
            <w:r>
              <w:rPr>
                <w:noProof/>
                <w:webHidden/>
              </w:rPr>
              <w:fldChar w:fldCharType="separate"/>
            </w:r>
            <w:r>
              <w:rPr>
                <w:noProof/>
                <w:webHidden/>
              </w:rPr>
              <w:t>5</w:t>
            </w:r>
            <w:r>
              <w:rPr>
                <w:noProof/>
                <w:webHidden/>
              </w:rPr>
              <w:fldChar w:fldCharType="end"/>
            </w:r>
          </w:hyperlink>
        </w:p>
        <w:p w14:paraId="3C3FE1B0" w14:textId="116B7C63" w:rsidR="00F96693" w:rsidRDefault="00F96693">
          <w:pPr>
            <w:pStyle w:val="TOC2"/>
            <w:tabs>
              <w:tab w:val="right" w:leader="dot" w:pos="9016"/>
            </w:tabs>
            <w:rPr>
              <w:rFonts w:eastAsiaTheme="minorEastAsia"/>
              <w:noProof/>
              <w:lang w:eastAsia="en-AU"/>
            </w:rPr>
          </w:pPr>
          <w:hyperlink w:anchor="_Toc224054404" w:history="1">
            <w:r w:rsidRPr="00FC65B1">
              <w:rPr>
                <w:rStyle w:val="Hyperlink"/>
                <w:noProof/>
              </w:rPr>
              <w:t>Question 7</w:t>
            </w:r>
            <w:r>
              <w:rPr>
                <w:noProof/>
                <w:webHidden/>
              </w:rPr>
              <w:tab/>
            </w:r>
            <w:r>
              <w:rPr>
                <w:noProof/>
                <w:webHidden/>
              </w:rPr>
              <w:fldChar w:fldCharType="begin"/>
            </w:r>
            <w:r>
              <w:rPr>
                <w:noProof/>
                <w:webHidden/>
              </w:rPr>
              <w:instrText xml:space="preserve"> PAGEREF _Toc224054404 \h </w:instrText>
            </w:r>
            <w:r>
              <w:rPr>
                <w:noProof/>
                <w:webHidden/>
              </w:rPr>
            </w:r>
            <w:r>
              <w:rPr>
                <w:noProof/>
                <w:webHidden/>
              </w:rPr>
              <w:fldChar w:fldCharType="separate"/>
            </w:r>
            <w:r>
              <w:rPr>
                <w:noProof/>
                <w:webHidden/>
              </w:rPr>
              <w:t>6</w:t>
            </w:r>
            <w:r>
              <w:rPr>
                <w:noProof/>
                <w:webHidden/>
              </w:rPr>
              <w:fldChar w:fldCharType="end"/>
            </w:r>
          </w:hyperlink>
        </w:p>
        <w:p w14:paraId="79C1F832" w14:textId="1539EF2D" w:rsidR="00F96693" w:rsidRDefault="00F96693">
          <w:pPr>
            <w:pStyle w:val="TOC1"/>
            <w:tabs>
              <w:tab w:val="right" w:leader="dot" w:pos="9016"/>
            </w:tabs>
            <w:rPr>
              <w:rFonts w:eastAsiaTheme="minorEastAsia"/>
              <w:noProof/>
              <w:lang w:eastAsia="en-AU"/>
            </w:rPr>
          </w:pPr>
          <w:hyperlink w:anchor="_Toc224054405" w:history="1">
            <w:r w:rsidRPr="00FC65B1">
              <w:rPr>
                <w:rStyle w:val="Hyperlink"/>
                <w:noProof/>
              </w:rPr>
              <w:t>Emerging technologies and artificial intelligence</w:t>
            </w:r>
            <w:r>
              <w:rPr>
                <w:noProof/>
                <w:webHidden/>
              </w:rPr>
              <w:tab/>
            </w:r>
            <w:r>
              <w:rPr>
                <w:noProof/>
                <w:webHidden/>
              </w:rPr>
              <w:fldChar w:fldCharType="begin"/>
            </w:r>
            <w:r>
              <w:rPr>
                <w:noProof/>
                <w:webHidden/>
              </w:rPr>
              <w:instrText xml:space="preserve"> PAGEREF _Toc224054405 \h </w:instrText>
            </w:r>
            <w:r>
              <w:rPr>
                <w:noProof/>
                <w:webHidden/>
              </w:rPr>
            </w:r>
            <w:r>
              <w:rPr>
                <w:noProof/>
                <w:webHidden/>
              </w:rPr>
              <w:fldChar w:fldCharType="separate"/>
            </w:r>
            <w:r>
              <w:rPr>
                <w:noProof/>
                <w:webHidden/>
              </w:rPr>
              <w:t>7</w:t>
            </w:r>
            <w:r>
              <w:rPr>
                <w:noProof/>
                <w:webHidden/>
              </w:rPr>
              <w:fldChar w:fldCharType="end"/>
            </w:r>
          </w:hyperlink>
        </w:p>
        <w:p w14:paraId="215B9F83" w14:textId="15DDD9B9" w:rsidR="00F96693" w:rsidRDefault="00F96693">
          <w:pPr>
            <w:pStyle w:val="TOC2"/>
            <w:tabs>
              <w:tab w:val="right" w:leader="dot" w:pos="9016"/>
            </w:tabs>
            <w:rPr>
              <w:rFonts w:eastAsiaTheme="minorEastAsia"/>
              <w:noProof/>
              <w:lang w:eastAsia="en-AU"/>
            </w:rPr>
          </w:pPr>
          <w:hyperlink w:anchor="_Toc224054406" w:history="1">
            <w:r w:rsidRPr="00FC65B1">
              <w:rPr>
                <w:rStyle w:val="Hyperlink"/>
                <w:noProof/>
              </w:rPr>
              <w:t>Question 9</w:t>
            </w:r>
            <w:r>
              <w:rPr>
                <w:noProof/>
                <w:webHidden/>
              </w:rPr>
              <w:tab/>
            </w:r>
            <w:r>
              <w:rPr>
                <w:noProof/>
                <w:webHidden/>
              </w:rPr>
              <w:fldChar w:fldCharType="begin"/>
            </w:r>
            <w:r>
              <w:rPr>
                <w:noProof/>
                <w:webHidden/>
              </w:rPr>
              <w:instrText xml:space="preserve"> PAGEREF _Toc224054406 \h </w:instrText>
            </w:r>
            <w:r>
              <w:rPr>
                <w:noProof/>
                <w:webHidden/>
              </w:rPr>
            </w:r>
            <w:r>
              <w:rPr>
                <w:noProof/>
                <w:webHidden/>
              </w:rPr>
              <w:fldChar w:fldCharType="separate"/>
            </w:r>
            <w:r>
              <w:rPr>
                <w:noProof/>
                <w:webHidden/>
              </w:rPr>
              <w:t>7</w:t>
            </w:r>
            <w:r>
              <w:rPr>
                <w:noProof/>
                <w:webHidden/>
              </w:rPr>
              <w:fldChar w:fldCharType="end"/>
            </w:r>
          </w:hyperlink>
        </w:p>
        <w:p w14:paraId="5303161E" w14:textId="554B1C59" w:rsidR="00F96693" w:rsidRDefault="00F96693">
          <w:pPr>
            <w:pStyle w:val="TOC1"/>
            <w:tabs>
              <w:tab w:val="right" w:leader="dot" w:pos="9016"/>
            </w:tabs>
            <w:rPr>
              <w:rFonts w:eastAsiaTheme="minorEastAsia"/>
              <w:noProof/>
              <w:lang w:eastAsia="en-AU"/>
            </w:rPr>
          </w:pPr>
          <w:hyperlink w:anchor="_Toc224054407" w:history="1">
            <w:r w:rsidRPr="00FC65B1">
              <w:rPr>
                <w:rStyle w:val="Hyperlink"/>
                <w:noProof/>
              </w:rPr>
              <w:t>Approach to a cyclical review of the Threshold Standards</w:t>
            </w:r>
            <w:r>
              <w:rPr>
                <w:noProof/>
                <w:webHidden/>
              </w:rPr>
              <w:tab/>
            </w:r>
            <w:r>
              <w:rPr>
                <w:noProof/>
                <w:webHidden/>
              </w:rPr>
              <w:fldChar w:fldCharType="begin"/>
            </w:r>
            <w:r>
              <w:rPr>
                <w:noProof/>
                <w:webHidden/>
              </w:rPr>
              <w:instrText xml:space="preserve"> PAGEREF _Toc224054407 \h </w:instrText>
            </w:r>
            <w:r>
              <w:rPr>
                <w:noProof/>
                <w:webHidden/>
              </w:rPr>
            </w:r>
            <w:r>
              <w:rPr>
                <w:noProof/>
                <w:webHidden/>
              </w:rPr>
              <w:fldChar w:fldCharType="separate"/>
            </w:r>
            <w:r>
              <w:rPr>
                <w:noProof/>
                <w:webHidden/>
              </w:rPr>
              <w:t>8</w:t>
            </w:r>
            <w:r>
              <w:rPr>
                <w:noProof/>
                <w:webHidden/>
              </w:rPr>
              <w:fldChar w:fldCharType="end"/>
            </w:r>
          </w:hyperlink>
        </w:p>
        <w:p w14:paraId="38745936" w14:textId="26FCCE6A" w:rsidR="00F96693" w:rsidRDefault="00F96693">
          <w:pPr>
            <w:pStyle w:val="TOC2"/>
            <w:tabs>
              <w:tab w:val="right" w:leader="dot" w:pos="9016"/>
            </w:tabs>
            <w:rPr>
              <w:rFonts w:eastAsiaTheme="minorEastAsia"/>
              <w:noProof/>
              <w:lang w:eastAsia="en-AU"/>
            </w:rPr>
          </w:pPr>
          <w:hyperlink w:anchor="_Toc224054408" w:history="1">
            <w:r w:rsidRPr="00FC65B1">
              <w:rPr>
                <w:rStyle w:val="Hyperlink"/>
                <w:noProof/>
              </w:rPr>
              <w:t>Question 11</w:t>
            </w:r>
            <w:r>
              <w:rPr>
                <w:noProof/>
                <w:webHidden/>
              </w:rPr>
              <w:tab/>
            </w:r>
            <w:r>
              <w:rPr>
                <w:noProof/>
                <w:webHidden/>
              </w:rPr>
              <w:fldChar w:fldCharType="begin"/>
            </w:r>
            <w:r>
              <w:rPr>
                <w:noProof/>
                <w:webHidden/>
              </w:rPr>
              <w:instrText xml:space="preserve"> PAGEREF _Toc224054408 \h </w:instrText>
            </w:r>
            <w:r>
              <w:rPr>
                <w:noProof/>
                <w:webHidden/>
              </w:rPr>
            </w:r>
            <w:r>
              <w:rPr>
                <w:noProof/>
                <w:webHidden/>
              </w:rPr>
              <w:fldChar w:fldCharType="separate"/>
            </w:r>
            <w:r>
              <w:rPr>
                <w:noProof/>
                <w:webHidden/>
              </w:rPr>
              <w:t>8</w:t>
            </w:r>
            <w:r>
              <w:rPr>
                <w:noProof/>
                <w:webHidden/>
              </w:rPr>
              <w:fldChar w:fldCharType="end"/>
            </w:r>
          </w:hyperlink>
        </w:p>
        <w:p w14:paraId="628F3E10" w14:textId="2ADDF3D1" w:rsidR="00F96693" w:rsidRDefault="00F96693">
          <w:pPr>
            <w:pStyle w:val="TOC2"/>
            <w:tabs>
              <w:tab w:val="right" w:leader="dot" w:pos="9016"/>
            </w:tabs>
            <w:rPr>
              <w:rFonts w:eastAsiaTheme="minorEastAsia"/>
              <w:noProof/>
              <w:lang w:eastAsia="en-AU"/>
            </w:rPr>
          </w:pPr>
          <w:hyperlink w:anchor="_Toc224054409" w:history="1">
            <w:r w:rsidRPr="00FC65B1">
              <w:rPr>
                <w:rStyle w:val="Hyperlink"/>
                <w:noProof/>
              </w:rPr>
              <w:t>Question 12</w:t>
            </w:r>
            <w:r>
              <w:rPr>
                <w:noProof/>
                <w:webHidden/>
              </w:rPr>
              <w:tab/>
            </w:r>
            <w:r>
              <w:rPr>
                <w:noProof/>
                <w:webHidden/>
              </w:rPr>
              <w:fldChar w:fldCharType="begin"/>
            </w:r>
            <w:r>
              <w:rPr>
                <w:noProof/>
                <w:webHidden/>
              </w:rPr>
              <w:instrText xml:space="preserve"> PAGEREF _Toc224054409 \h </w:instrText>
            </w:r>
            <w:r>
              <w:rPr>
                <w:noProof/>
                <w:webHidden/>
              </w:rPr>
            </w:r>
            <w:r>
              <w:rPr>
                <w:noProof/>
                <w:webHidden/>
              </w:rPr>
              <w:fldChar w:fldCharType="separate"/>
            </w:r>
            <w:r>
              <w:rPr>
                <w:noProof/>
                <w:webHidden/>
              </w:rPr>
              <w:t>8</w:t>
            </w:r>
            <w:r>
              <w:rPr>
                <w:noProof/>
                <w:webHidden/>
              </w:rPr>
              <w:fldChar w:fldCharType="end"/>
            </w:r>
          </w:hyperlink>
        </w:p>
        <w:p w14:paraId="02392E89" w14:textId="2C4CD6A9" w:rsidR="00120E27" w:rsidRDefault="00120E27" w:rsidP="00365253">
          <w:r>
            <w:rPr>
              <w:b/>
              <w:bCs/>
              <w:noProof/>
            </w:rPr>
            <w:fldChar w:fldCharType="end"/>
          </w:r>
        </w:p>
      </w:sdtContent>
    </w:sdt>
    <w:p w14:paraId="3CD082C4" w14:textId="77777777" w:rsidR="00CA2B5D" w:rsidRDefault="00CA2B5D">
      <w:pPr>
        <w:rPr>
          <w:rFonts w:asciiTheme="majorHAnsi" w:eastAsiaTheme="majorEastAsia" w:hAnsiTheme="majorHAnsi" w:cstheme="majorBidi"/>
          <w:color w:val="0F4761" w:themeColor="accent1" w:themeShade="BF"/>
          <w:sz w:val="40"/>
          <w:szCs w:val="40"/>
        </w:rPr>
      </w:pPr>
      <w:r>
        <w:br w:type="page"/>
      </w:r>
    </w:p>
    <w:p w14:paraId="562A25DC" w14:textId="3EFAF688" w:rsidR="00365253" w:rsidRDefault="00365253" w:rsidP="00791083">
      <w:pPr>
        <w:pStyle w:val="Heading1"/>
      </w:pPr>
      <w:bookmarkStart w:id="1" w:name="_Toc224054399"/>
      <w:r>
        <w:lastRenderedPageBreak/>
        <w:t>Incorporating the University Governance Principles and transparency requirements</w:t>
      </w:r>
      <w:bookmarkEnd w:id="1"/>
    </w:p>
    <w:p w14:paraId="29FB3B92" w14:textId="38E5EC58" w:rsidR="00365253" w:rsidRDefault="00365253" w:rsidP="00791083">
      <w:pPr>
        <w:pStyle w:val="Heading2"/>
      </w:pPr>
      <w:bookmarkStart w:id="2" w:name="_Toc224054400"/>
      <w:r>
        <w:t>Question 4</w:t>
      </w:r>
      <w:bookmarkEnd w:id="2"/>
    </w:p>
    <w:p w14:paraId="107B397B" w14:textId="5D1D0B46" w:rsidR="00365253" w:rsidRDefault="00365253" w:rsidP="00365253">
      <w:r>
        <w:t>The propos</w:t>
      </w:r>
      <w:r w:rsidR="000F66D4">
        <w:t>ed approach for</w:t>
      </w:r>
      <w:r>
        <w:t xml:space="preserve"> Part C </w:t>
      </w:r>
      <w:r w:rsidR="000F66D4">
        <w:t>to apply</w:t>
      </w:r>
      <w:r>
        <w:t xml:space="preserve"> only to public universities </w:t>
      </w:r>
      <w:r w:rsidR="00A25974">
        <w:t xml:space="preserve">is </w:t>
      </w:r>
      <w:r w:rsidR="004D2C2E">
        <w:t>i</w:t>
      </w:r>
      <w:r w:rsidR="00A25974">
        <w:t>nadvisable</w:t>
      </w:r>
      <w:r>
        <w:t xml:space="preserve">. </w:t>
      </w:r>
      <w:r w:rsidR="00736E9F">
        <w:t>L</w:t>
      </w:r>
      <w:r>
        <w:t xml:space="preserve">imiting stronger governance obligations to the public university sector creates an </w:t>
      </w:r>
      <w:r w:rsidR="00736E9F">
        <w:t>inconsistency</w:t>
      </w:r>
      <w:r>
        <w:t xml:space="preserve"> that is difficult to justify from a</w:t>
      </w:r>
      <w:r w:rsidR="000F66D4">
        <w:t xml:space="preserve"> public-facing or</w:t>
      </w:r>
      <w:r>
        <w:t xml:space="preserve"> student perspective.</w:t>
      </w:r>
    </w:p>
    <w:p w14:paraId="03E1817A" w14:textId="30858065" w:rsidR="00365253" w:rsidRDefault="00365253" w:rsidP="00365253">
      <w:r>
        <w:t xml:space="preserve">Students don't meaningfully differentiate between public and private universities when making enrolment decisions, and the stated policy intent </w:t>
      </w:r>
      <w:r w:rsidR="00736E9F">
        <w:t>(</w:t>
      </w:r>
      <w:r>
        <w:t>restoring trust in Australian higher education</w:t>
      </w:r>
      <w:r w:rsidR="00736E9F">
        <w:t>)</w:t>
      </w:r>
      <w:r>
        <w:t xml:space="preserve"> applies to the whole sector. If governance standards are worth having, they are worth having universally. </w:t>
      </w:r>
      <w:r w:rsidR="00593A39">
        <w:t>S</w:t>
      </w:r>
      <w:r>
        <w:t>tudents at private providers</w:t>
      </w:r>
      <w:r w:rsidR="00593A39">
        <w:t xml:space="preserve"> are</w:t>
      </w:r>
      <w:r>
        <w:t xml:space="preserve"> no less deserving of the protections </w:t>
      </w:r>
      <w:r w:rsidR="00593A39">
        <w:t xml:space="preserve">and institutional quality </w:t>
      </w:r>
      <w:r>
        <w:t xml:space="preserve">that stronger governance </w:t>
      </w:r>
      <w:r w:rsidR="00593A39">
        <w:t xml:space="preserve">standards </w:t>
      </w:r>
      <w:r>
        <w:t>would provide.</w:t>
      </w:r>
    </w:p>
    <w:p w14:paraId="5721EE76" w14:textId="462FE4E4" w:rsidR="00365253" w:rsidRDefault="00365253" w:rsidP="00365253">
      <w:r>
        <w:t xml:space="preserve">A tiered approach also risks entrenching a perception that private providers are less accountable, regardless of whether that reflects reality. Where differences in governance structures make direct application of the University Governance Principles impractical for private providers, the solution is to develop equivalent </w:t>
      </w:r>
      <w:r w:rsidR="00493A03">
        <w:t xml:space="preserve">or universally suitable </w:t>
      </w:r>
      <w:r>
        <w:t>standards</w:t>
      </w:r>
      <w:r w:rsidR="00131F70">
        <w:t xml:space="preserve">, rather than </w:t>
      </w:r>
      <w:r>
        <w:t>to exempt those providers.</w:t>
      </w:r>
    </w:p>
    <w:p w14:paraId="34EC7225" w14:textId="5E2895A4" w:rsidR="00365253" w:rsidRPr="00C6783F" w:rsidRDefault="00365253" w:rsidP="00C6783F">
      <w:pPr>
        <w:pStyle w:val="IntenseQuote"/>
        <w:rPr>
          <w:i w:val="0"/>
          <w:iCs w:val="0"/>
        </w:rPr>
      </w:pPr>
      <w:r w:rsidRPr="00C6783F">
        <w:rPr>
          <w:b/>
          <w:bCs/>
          <w:i w:val="0"/>
          <w:iCs w:val="0"/>
        </w:rPr>
        <w:t>Recommendation</w:t>
      </w:r>
      <w:r w:rsidR="001231F0" w:rsidRPr="00C6783F">
        <w:rPr>
          <w:b/>
          <w:bCs/>
          <w:i w:val="0"/>
          <w:iCs w:val="0"/>
        </w:rPr>
        <w:t xml:space="preserve"> 1</w:t>
      </w:r>
      <w:r w:rsidRPr="00C6783F">
        <w:rPr>
          <w:i w:val="0"/>
          <w:iCs w:val="0"/>
        </w:rPr>
        <w:t>: The Panel should consider whether equivalent governance principles can be applied across all registered providers, with appropriate contextual flexibility in how compliance is demonstrated, rather than creating a two-tier system that privileges students at public universities.</w:t>
      </w:r>
    </w:p>
    <w:p w14:paraId="58767158" w14:textId="135AA2FB" w:rsidR="00DE588C" w:rsidRDefault="00DE588C" w:rsidP="001231F0">
      <w:r w:rsidRPr="001231F0">
        <w:t>Australia's obligations under Article 4 of the CRPD</w:t>
      </w:r>
      <w:r>
        <w:t xml:space="preserve">, </w:t>
      </w:r>
      <w:r w:rsidRPr="001231F0">
        <w:t>which requires that people with disability be actively involved and consulted in the development and implementation of legislation and policies that affect them</w:t>
      </w:r>
      <w:r>
        <w:t>,</w:t>
      </w:r>
      <w:r w:rsidRPr="001231F0">
        <w:t xml:space="preserve"> apply to public universities as institutions exercising public functions. Amended standards should reflect this by requiring that governing bodies demonstrate meaningful representation of people with disability, and that this representation is substantive rather than tokenistic</w:t>
      </w:r>
      <w:r w:rsidR="00AF7129">
        <w:t xml:space="preserve">. </w:t>
      </w:r>
      <w:r w:rsidR="00AF7129" w:rsidRPr="00C6783F">
        <w:t>Institutions that make decisions about disability inclusion without lived experience at the table are structurally limited in their capacity to do so well, regardless of what the Threshold Standards require of them.</w:t>
      </w:r>
    </w:p>
    <w:p w14:paraId="77BC5636" w14:textId="1244686C" w:rsidR="001231F0" w:rsidRPr="00C6783F" w:rsidRDefault="001231F0" w:rsidP="00C6783F">
      <w:pPr>
        <w:pStyle w:val="IntenseQuote"/>
        <w:rPr>
          <w:i w:val="0"/>
          <w:iCs w:val="0"/>
        </w:rPr>
      </w:pPr>
      <w:r w:rsidRPr="00C6783F">
        <w:rPr>
          <w:b/>
          <w:bCs/>
          <w:i w:val="0"/>
          <w:iCs w:val="0"/>
        </w:rPr>
        <w:lastRenderedPageBreak/>
        <w:t>Recommendation 2</w:t>
      </w:r>
      <w:r w:rsidRPr="00C6783F">
        <w:rPr>
          <w:i w:val="0"/>
          <w:iCs w:val="0"/>
        </w:rPr>
        <w:t xml:space="preserve">: The Panel should consider the addition of a governance standard which ensures that that people with disability </w:t>
      </w:r>
      <w:proofErr w:type="gramStart"/>
      <w:r w:rsidRPr="00C6783F">
        <w:rPr>
          <w:i w:val="0"/>
          <w:iCs w:val="0"/>
        </w:rPr>
        <w:t>are</w:t>
      </w:r>
      <w:proofErr w:type="gramEnd"/>
      <w:r w:rsidRPr="00C6783F">
        <w:rPr>
          <w:i w:val="0"/>
          <w:iCs w:val="0"/>
        </w:rPr>
        <w:t xml:space="preserve"> meaningfully represented in university governance and leadership structures themselves. </w:t>
      </w:r>
      <w:r w:rsidR="00AF7129">
        <w:rPr>
          <w:i w:val="0"/>
          <w:iCs w:val="0"/>
        </w:rPr>
        <w:t>T</w:t>
      </w:r>
      <w:r w:rsidR="00AF7129" w:rsidRPr="00AF7129">
        <w:rPr>
          <w:i w:val="0"/>
          <w:iCs w:val="0"/>
        </w:rPr>
        <w:t>hat is, that people with disability are present in decision-making roles with genuine authority, not only in advisory or consultative capacities.</w:t>
      </w:r>
    </w:p>
    <w:p w14:paraId="6DE3B56D" w14:textId="67A8C5A8" w:rsidR="00365253" w:rsidRDefault="00365253" w:rsidP="00791083">
      <w:pPr>
        <w:pStyle w:val="Heading2"/>
      </w:pPr>
      <w:bookmarkStart w:id="3" w:name="_Toc224054401"/>
      <w:r>
        <w:t>Question 5</w:t>
      </w:r>
      <w:bookmarkEnd w:id="3"/>
    </w:p>
    <w:p w14:paraId="3F8DC034" w14:textId="64BAB929" w:rsidR="00365253" w:rsidRDefault="00365253" w:rsidP="00365253">
      <w:r>
        <w:t xml:space="preserve">Strengthened standards in this area have </w:t>
      </w:r>
      <w:r w:rsidR="00864D68">
        <w:t>the</w:t>
      </w:r>
      <w:r>
        <w:t xml:space="preserve"> potential to improve outcomes for students with disability</w:t>
      </w:r>
      <w:r w:rsidR="00864D68">
        <w:t>,</w:t>
      </w:r>
      <w:r>
        <w:t xml:space="preserve"> </w:t>
      </w:r>
      <w:r w:rsidR="00131F70">
        <w:t xml:space="preserve">assuming they </w:t>
      </w:r>
      <w:r>
        <w:t>address the accountability gap at the point of teaching practice.</w:t>
      </w:r>
    </w:p>
    <w:p w14:paraId="4C3AAC11" w14:textId="32029C1E" w:rsidR="00365253" w:rsidRDefault="00365253" w:rsidP="00365253">
      <w:r>
        <w:t xml:space="preserve">The most consistent </w:t>
      </w:r>
      <w:r w:rsidR="00493A03">
        <w:t>issue</w:t>
      </w:r>
      <w:r w:rsidR="00864D68">
        <w:t xml:space="preserve"> impacting the experiences and outcomes of students with disability</w:t>
      </w:r>
      <w:r>
        <w:t xml:space="preserve"> is </w:t>
      </w:r>
      <w:r w:rsidR="00864D68">
        <w:t xml:space="preserve">generally </w:t>
      </w:r>
      <w:r>
        <w:t>not in the design of access plans or the availability of reasonable adjustments. It is in their implementation by teaching staff. Students regularly secure appropriate adjustments through disability support services, only to have those adjustments ignored, refused, or poorly applied by academics. Disability support staff frequently lack the institutional authority or capacity to intervene when this occurs, and there is currently no meaningful consequence for academic staff who fail to meet their obligations under the Disability Standards for Education 2005 (DSE).</w:t>
      </w:r>
    </w:p>
    <w:p w14:paraId="378EA85C" w14:textId="6BDC2CA7" w:rsidR="00365253" w:rsidRPr="00C6783F" w:rsidRDefault="00EA560B" w:rsidP="00C6783F">
      <w:pPr>
        <w:pStyle w:val="IntenseQuote"/>
        <w:rPr>
          <w:i w:val="0"/>
          <w:iCs w:val="0"/>
        </w:rPr>
      </w:pPr>
      <w:r w:rsidRPr="00C6783F">
        <w:rPr>
          <w:b/>
          <w:bCs/>
          <w:i w:val="0"/>
          <w:iCs w:val="0"/>
        </w:rPr>
        <w:t>Recommendation</w:t>
      </w:r>
      <w:r w:rsidR="001231F0" w:rsidRPr="00C6783F">
        <w:rPr>
          <w:b/>
          <w:bCs/>
          <w:i w:val="0"/>
          <w:iCs w:val="0"/>
        </w:rPr>
        <w:t xml:space="preserve"> 3</w:t>
      </w:r>
      <w:r w:rsidRPr="00C6783F">
        <w:rPr>
          <w:i w:val="0"/>
          <w:iCs w:val="0"/>
        </w:rPr>
        <w:t xml:space="preserve">: </w:t>
      </w:r>
      <w:r w:rsidR="00365253" w:rsidRPr="00C6783F">
        <w:rPr>
          <w:i w:val="0"/>
          <w:iCs w:val="0"/>
        </w:rPr>
        <w:t>Strengthened standards on staffing profiles and teaching quality present a</w:t>
      </w:r>
      <w:r w:rsidR="00F914A4" w:rsidRPr="00C6783F">
        <w:rPr>
          <w:i w:val="0"/>
          <w:iCs w:val="0"/>
        </w:rPr>
        <w:t xml:space="preserve">n </w:t>
      </w:r>
      <w:r w:rsidR="00365253" w:rsidRPr="00C6783F">
        <w:rPr>
          <w:i w:val="0"/>
          <w:iCs w:val="0"/>
        </w:rPr>
        <w:t xml:space="preserve">opportunity to embed responsibility for implementing reasonable adjustments as an explicit teaching quality </w:t>
      </w:r>
      <w:r w:rsidR="001C21D8" w:rsidRPr="00C6783F">
        <w:rPr>
          <w:i w:val="0"/>
          <w:iCs w:val="0"/>
        </w:rPr>
        <w:t xml:space="preserve">and capability </w:t>
      </w:r>
      <w:r w:rsidR="00365253" w:rsidRPr="00C6783F">
        <w:rPr>
          <w:i w:val="0"/>
          <w:iCs w:val="0"/>
        </w:rPr>
        <w:t>expectation. This should include:</w:t>
      </w:r>
    </w:p>
    <w:p w14:paraId="2F20079D" w14:textId="293246EF" w:rsidR="00365253" w:rsidRPr="00C6783F" w:rsidRDefault="00EA560B" w:rsidP="00C6783F">
      <w:pPr>
        <w:pStyle w:val="IntenseQuote"/>
        <w:numPr>
          <w:ilvl w:val="0"/>
          <w:numId w:val="14"/>
        </w:numPr>
        <w:rPr>
          <w:i w:val="0"/>
          <w:iCs w:val="0"/>
        </w:rPr>
      </w:pPr>
      <w:r w:rsidRPr="00C6783F">
        <w:rPr>
          <w:i w:val="0"/>
          <w:iCs w:val="0"/>
        </w:rPr>
        <w:t>E</w:t>
      </w:r>
      <w:r w:rsidR="00365253" w:rsidRPr="00C6783F">
        <w:rPr>
          <w:i w:val="0"/>
          <w:iCs w:val="0"/>
        </w:rPr>
        <w:t>xplicit naming of teaching staff as responsible parties in the implementation of student support arrangements</w:t>
      </w:r>
      <w:r w:rsidRPr="00C6783F">
        <w:rPr>
          <w:i w:val="0"/>
          <w:iCs w:val="0"/>
        </w:rPr>
        <w:t>.</w:t>
      </w:r>
    </w:p>
    <w:p w14:paraId="7E1522E8" w14:textId="732B4829" w:rsidR="004108FD" w:rsidRPr="00C6783F" w:rsidRDefault="00EA560B" w:rsidP="00C6783F">
      <w:pPr>
        <w:pStyle w:val="IntenseQuote"/>
        <w:numPr>
          <w:ilvl w:val="0"/>
          <w:numId w:val="14"/>
        </w:numPr>
        <w:rPr>
          <w:i w:val="0"/>
          <w:iCs w:val="0"/>
        </w:rPr>
      </w:pPr>
      <w:r w:rsidRPr="00C6783F">
        <w:rPr>
          <w:i w:val="0"/>
          <w:iCs w:val="0"/>
        </w:rPr>
        <w:t>A</w:t>
      </w:r>
      <w:r w:rsidR="00365253" w:rsidRPr="00C6783F">
        <w:rPr>
          <w:i w:val="0"/>
          <w:iCs w:val="0"/>
        </w:rPr>
        <w:t>n expectation that staff are equipped with knowledge of</w:t>
      </w:r>
      <w:r w:rsidR="00C74937" w:rsidRPr="00C6783F">
        <w:rPr>
          <w:i w:val="0"/>
          <w:iCs w:val="0"/>
        </w:rPr>
        <w:t xml:space="preserve"> (and skill to discharge)</w:t>
      </w:r>
      <w:r w:rsidR="00365253" w:rsidRPr="00C6783F">
        <w:rPr>
          <w:i w:val="0"/>
          <w:iCs w:val="0"/>
        </w:rPr>
        <w:t xml:space="preserve"> their obligations under the DSE and the Threshold Standards</w:t>
      </w:r>
      <w:r w:rsidRPr="00C6783F">
        <w:rPr>
          <w:i w:val="0"/>
          <w:iCs w:val="0"/>
        </w:rPr>
        <w:t>.</w:t>
      </w:r>
    </w:p>
    <w:p w14:paraId="091CCC98" w14:textId="0C60F149" w:rsidR="00365253" w:rsidRDefault="00365253" w:rsidP="004108FD">
      <w:pPr>
        <w:pStyle w:val="Heading1"/>
      </w:pPr>
      <w:bookmarkStart w:id="4" w:name="_Toc224054402"/>
      <w:r>
        <w:lastRenderedPageBreak/>
        <w:t>Supporting people with disability in higher education</w:t>
      </w:r>
      <w:bookmarkEnd w:id="4"/>
    </w:p>
    <w:p w14:paraId="58FD57BA" w14:textId="50B3A821" w:rsidR="00365253" w:rsidRDefault="00791083" w:rsidP="00791083">
      <w:pPr>
        <w:pStyle w:val="Heading2"/>
      </w:pPr>
      <w:bookmarkStart w:id="5" w:name="_Toc224054403"/>
      <w:r>
        <w:t>Q</w:t>
      </w:r>
      <w:r w:rsidR="00365253">
        <w:t>uestion 6</w:t>
      </w:r>
      <w:bookmarkEnd w:id="5"/>
    </w:p>
    <w:p w14:paraId="558C2166" w14:textId="519A718C" w:rsidR="00365253" w:rsidRDefault="00365253" w:rsidP="00365253">
      <w:r>
        <w:t xml:space="preserve">The proposed themes </w:t>
      </w:r>
      <w:r w:rsidR="00F940F8">
        <w:t>are appropriate</w:t>
      </w:r>
      <w:r>
        <w:t>. They reflect a</w:t>
      </w:r>
      <w:r w:rsidR="00F940F8">
        <w:t xml:space="preserve">n </w:t>
      </w:r>
      <w:r>
        <w:t>understanding of the barriers students with disability face and are broadly consistent with Australia's obligations under the United Nations Convention on the Rights of Persons with Disabilities (CRPD), Article 24.</w:t>
      </w:r>
    </w:p>
    <w:p w14:paraId="63E1374E" w14:textId="29B610EA" w:rsidR="00365253" w:rsidRDefault="00365253" w:rsidP="00365253">
      <w:r>
        <w:t xml:space="preserve">That said, it is not possible to assess the likely impact of these amendments without knowing how they will be drafted. The consultation paper speaks frequently of 'improvements' and 'enhancements' without specifying </w:t>
      </w:r>
      <w:r w:rsidR="00F940F8">
        <w:t xml:space="preserve">drafting decision or </w:t>
      </w:r>
      <w:r>
        <w:t>what institutions would be required to do differently</w:t>
      </w:r>
      <w:r w:rsidR="00F940F8">
        <w:t xml:space="preserve"> as a result</w:t>
      </w:r>
      <w:r>
        <w:t xml:space="preserve">. </w:t>
      </w:r>
      <w:r w:rsidR="001B5541">
        <w:t>For example, t</w:t>
      </w:r>
      <w:r>
        <w:t xml:space="preserve">he difference between a standard that requires genuine UDL implementation and one that requires institutions to 'have regard to' UDL principles is </w:t>
      </w:r>
      <w:r w:rsidR="00472939">
        <w:t>meaningful</w:t>
      </w:r>
      <w:r w:rsidR="00971BC1">
        <w:t>,</w:t>
      </w:r>
      <w:r w:rsidR="00472939">
        <w:t xml:space="preserve"> and </w:t>
      </w:r>
      <w:r w:rsidR="00971BC1">
        <w:t xml:space="preserve">drafting decision in this respect </w:t>
      </w:r>
      <w:r w:rsidR="00472939">
        <w:t>will directly inform the efficacy of these reforms.</w:t>
      </w:r>
    </w:p>
    <w:p w14:paraId="73397988" w14:textId="34E1C8A0" w:rsidR="00D02AFB" w:rsidRPr="00C6783F" w:rsidRDefault="00D02AFB" w:rsidP="00C6783F">
      <w:pPr>
        <w:pStyle w:val="IntenseQuote"/>
        <w:rPr>
          <w:i w:val="0"/>
          <w:iCs w:val="0"/>
        </w:rPr>
      </w:pPr>
      <w:r w:rsidRPr="00C6783F">
        <w:rPr>
          <w:b/>
          <w:bCs/>
          <w:i w:val="0"/>
          <w:iCs w:val="0"/>
        </w:rPr>
        <w:t>Recommendation 4</w:t>
      </w:r>
      <w:r w:rsidRPr="00C6783F">
        <w:rPr>
          <w:i w:val="0"/>
          <w:iCs w:val="0"/>
        </w:rPr>
        <w:t xml:space="preserve">: The Panel carefully consider drafting decisions in relation to strength of wording to ensure efficiency and the realisation of desired reforms </w:t>
      </w:r>
      <w:r w:rsidR="00DC621A" w:rsidRPr="00C6783F">
        <w:rPr>
          <w:i w:val="0"/>
          <w:iCs w:val="0"/>
        </w:rPr>
        <w:t xml:space="preserve">towards the proposed themes. </w:t>
      </w:r>
    </w:p>
    <w:p w14:paraId="18715159" w14:textId="5AEE5F8B" w:rsidR="00A559EA" w:rsidRDefault="000637AE" w:rsidP="00365253">
      <w:r>
        <w:t>With respect to inherent requirements, t</w:t>
      </w:r>
      <w:r w:rsidR="00365253">
        <w:t xml:space="preserve">he </w:t>
      </w:r>
      <w:r>
        <w:t>re</w:t>
      </w:r>
      <w:r w:rsidR="00365253">
        <w:t>framing as requiring 'flexible design' is a significant improvement on current practice, and the proposal to require regular review and prospective disclosure is welcome</w:t>
      </w:r>
      <w:r w:rsidR="00A559EA">
        <w:t xml:space="preserve">. </w:t>
      </w:r>
    </w:p>
    <w:p w14:paraId="02542853" w14:textId="6143196B" w:rsidR="00365253" w:rsidRDefault="00365253" w:rsidP="00365253">
      <w:r>
        <w:t>Institutions have historically used inherent requirements as a mechanism to avoid adjustment obligations</w:t>
      </w:r>
      <w:r w:rsidR="005B04E2">
        <w:t xml:space="preserve"> and exclude students from programs of study regardless of their practice intentions. This</w:t>
      </w:r>
      <w:r>
        <w:t xml:space="preserve"> risk will persist unless the standards include a clear expectation that inherent requirements reflect the minimum necessary to achieve genuine learning outcomes</w:t>
      </w:r>
      <w:r w:rsidR="00A559EA">
        <w:t xml:space="preserve">. </w:t>
      </w:r>
    </w:p>
    <w:p w14:paraId="3C091985" w14:textId="3561322A" w:rsidR="00A559EA" w:rsidRPr="00C6783F" w:rsidRDefault="001231F0" w:rsidP="00C6783F">
      <w:pPr>
        <w:pStyle w:val="IntenseQuote"/>
        <w:rPr>
          <w:i w:val="0"/>
          <w:iCs w:val="0"/>
        </w:rPr>
      </w:pPr>
      <w:r w:rsidRPr="00C6783F">
        <w:rPr>
          <w:b/>
          <w:bCs/>
          <w:i w:val="0"/>
          <w:iCs w:val="0"/>
        </w:rPr>
        <w:t xml:space="preserve">Recommendation </w:t>
      </w:r>
      <w:r w:rsidR="00DC621A" w:rsidRPr="00C6783F">
        <w:rPr>
          <w:b/>
          <w:bCs/>
          <w:i w:val="0"/>
          <w:iCs w:val="0"/>
        </w:rPr>
        <w:t>5</w:t>
      </w:r>
      <w:r w:rsidRPr="00C6783F">
        <w:rPr>
          <w:b/>
          <w:bCs/>
          <w:i w:val="0"/>
          <w:iCs w:val="0"/>
        </w:rPr>
        <w:t>:</w:t>
      </w:r>
      <w:r w:rsidRPr="00C6783F">
        <w:rPr>
          <w:i w:val="0"/>
          <w:iCs w:val="0"/>
        </w:rPr>
        <w:t xml:space="preserve"> The Panel considers </w:t>
      </w:r>
      <w:r w:rsidR="00A559EA" w:rsidRPr="00C6783F">
        <w:rPr>
          <w:i w:val="0"/>
          <w:iCs w:val="0"/>
        </w:rPr>
        <w:t xml:space="preserve">including safeguards again undue influence by professional accrediting bodies on the formulation of inherent requirements. </w:t>
      </w:r>
      <w:r w:rsidR="007A27B1" w:rsidRPr="00C6783F">
        <w:rPr>
          <w:i w:val="0"/>
          <w:iCs w:val="0"/>
        </w:rPr>
        <w:t xml:space="preserve">These groups have traditionally been closely involved in this process, despite having perverse incentives to create exclusionary inherent requirements, rather than inclusive and flexible ones which reflect the intent of higher education and the awarding of degrees. </w:t>
      </w:r>
    </w:p>
    <w:p w14:paraId="1565EC80" w14:textId="1745DB9F" w:rsidR="00365253" w:rsidRDefault="002B3C2B" w:rsidP="002B3C2B">
      <w:pPr>
        <w:pStyle w:val="Heading2"/>
      </w:pPr>
      <w:bookmarkStart w:id="6" w:name="_Toc224054404"/>
      <w:r>
        <w:lastRenderedPageBreak/>
        <w:t>Question 7</w:t>
      </w:r>
      <w:bookmarkEnd w:id="6"/>
    </w:p>
    <w:p w14:paraId="022E9A62" w14:textId="0C45BF87" w:rsidR="00365253" w:rsidRDefault="001342A7" w:rsidP="00365253">
      <w:r>
        <w:t>A focus on the</w:t>
      </w:r>
      <w:r w:rsidR="00365253">
        <w:t xml:space="preserve"> proposed themes </w:t>
      </w:r>
      <w:r>
        <w:t>in reforms to the Threshold Standards has</w:t>
      </w:r>
      <w:r w:rsidR="00365253">
        <w:t xml:space="preserve"> </w:t>
      </w:r>
      <w:r>
        <w:t>the</w:t>
      </w:r>
      <w:r w:rsidR="00365253">
        <w:t xml:space="preserve"> potential to improve governance and provider practice, but the effectiveness </w:t>
      </w:r>
      <w:r>
        <w:t xml:space="preserve">of changes </w:t>
      </w:r>
      <w:r w:rsidR="00365253">
        <w:t xml:space="preserve">will depend entirely on implementation and follow-through. </w:t>
      </w:r>
    </w:p>
    <w:p w14:paraId="6BC77422" w14:textId="013FDD4C" w:rsidR="003B52A7" w:rsidRDefault="00365253" w:rsidP="00365253">
      <w:r>
        <w:t>Across every regulatory instrument that currently applies to disability inclusion in higher education — the DDA, the DSE, the Threshold Standards, institutional disability action plans, Support for Students policies — the consistent failure</w:t>
      </w:r>
      <w:r w:rsidR="00B71D72">
        <w:t>s</w:t>
      </w:r>
      <w:r>
        <w:t xml:space="preserve"> </w:t>
      </w:r>
      <w:r w:rsidR="00B71D72">
        <w:t>are</w:t>
      </w:r>
      <w:r>
        <w:t xml:space="preserve"> not in policy design </w:t>
      </w:r>
      <w:r w:rsidR="00B71D72">
        <w:t xml:space="preserve">(generally) </w:t>
      </w:r>
      <w:r>
        <w:t xml:space="preserve">but in implementation and enforcement. There is little spot-checking of the alignment between what institutions report and what students experience. </w:t>
      </w:r>
      <w:r w:rsidR="0056068E" w:rsidRPr="00C6783F">
        <w:t>The Threshold Standards amendments are an opportunity to build in student-facing accountability mechanisms</w:t>
      </w:r>
      <w:r w:rsidR="008920E0">
        <w:t>, as well as provisions for</w:t>
      </w:r>
      <w:r w:rsidR="00B71D72">
        <w:t xml:space="preserve"> additional implementation monitoring. </w:t>
      </w:r>
    </w:p>
    <w:p w14:paraId="09624D6B" w14:textId="009B7B0A" w:rsidR="00365253" w:rsidRPr="00C6783F" w:rsidRDefault="00953C59" w:rsidP="00C6783F">
      <w:pPr>
        <w:pStyle w:val="IntenseQuote"/>
        <w:rPr>
          <w:i w:val="0"/>
          <w:iCs w:val="0"/>
        </w:rPr>
      </w:pPr>
      <w:r w:rsidRPr="00C6783F">
        <w:rPr>
          <w:b/>
          <w:bCs/>
          <w:i w:val="0"/>
          <w:iCs w:val="0"/>
        </w:rPr>
        <w:t>Recommendation</w:t>
      </w:r>
      <w:r w:rsidR="00DC621A" w:rsidRPr="00C6783F">
        <w:rPr>
          <w:b/>
          <w:bCs/>
          <w:i w:val="0"/>
          <w:iCs w:val="0"/>
        </w:rPr>
        <w:t xml:space="preserve"> 6</w:t>
      </w:r>
      <w:r w:rsidRPr="00C6783F">
        <w:rPr>
          <w:i w:val="0"/>
          <w:iCs w:val="0"/>
        </w:rPr>
        <w:t>:</w:t>
      </w:r>
      <w:r w:rsidR="00B71D72">
        <w:rPr>
          <w:i w:val="0"/>
          <w:iCs w:val="0"/>
        </w:rPr>
        <w:t xml:space="preserve"> </w:t>
      </w:r>
      <w:r w:rsidR="0056068E">
        <w:rPr>
          <w:i w:val="0"/>
          <w:iCs w:val="0"/>
        </w:rPr>
        <w:t>The Panel consider implement changes to</w:t>
      </w:r>
      <w:r w:rsidR="00365253" w:rsidRPr="00C6783F">
        <w:rPr>
          <w:i w:val="0"/>
          <w:iCs w:val="0"/>
        </w:rPr>
        <w:t xml:space="preserve"> requir</w:t>
      </w:r>
      <w:r w:rsidR="0056068E">
        <w:rPr>
          <w:i w:val="0"/>
          <w:iCs w:val="0"/>
        </w:rPr>
        <w:t>e</w:t>
      </w:r>
      <w:r w:rsidR="00365253" w:rsidRPr="00C6783F">
        <w:rPr>
          <w:i w:val="0"/>
          <w:iCs w:val="0"/>
        </w:rPr>
        <w:t xml:space="preserve"> institutions to include a student-reported component in their compliance reporting, </w:t>
      </w:r>
      <w:r w:rsidR="0056068E">
        <w:rPr>
          <w:i w:val="0"/>
          <w:iCs w:val="0"/>
        </w:rPr>
        <w:t xml:space="preserve">and a provision for auditing and </w:t>
      </w:r>
      <w:r w:rsidR="008920E0">
        <w:rPr>
          <w:i w:val="0"/>
          <w:iCs w:val="0"/>
        </w:rPr>
        <w:t xml:space="preserve">requests for implementation evidence. </w:t>
      </w:r>
    </w:p>
    <w:p w14:paraId="0862F19F" w14:textId="77777777" w:rsidR="00F96693" w:rsidRDefault="00F96693">
      <w:pPr>
        <w:rPr>
          <w:rFonts w:asciiTheme="majorHAnsi" w:eastAsiaTheme="majorEastAsia" w:hAnsiTheme="majorHAnsi" w:cstheme="majorBidi"/>
          <w:color w:val="0F4761" w:themeColor="accent1" w:themeShade="BF"/>
          <w:sz w:val="40"/>
          <w:szCs w:val="40"/>
        </w:rPr>
      </w:pPr>
      <w:r>
        <w:br w:type="page"/>
      </w:r>
    </w:p>
    <w:p w14:paraId="16B80910" w14:textId="34FA7B8F" w:rsidR="00120E27" w:rsidRPr="004108FD" w:rsidRDefault="00120E27" w:rsidP="004108FD">
      <w:pPr>
        <w:pStyle w:val="Heading1"/>
      </w:pPr>
      <w:bookmarkStart w:id="7" w:name="_Toc224054405"/>
      <w:r>
        <w:lastRenderedPageBreak/>
        <w:t>Emerging technologies and artificial intelligence</w:t>
      </w:r>
      <w:bookmarkEnd w:id="7"/>
    </w:p>
    <w:p w14:paraId="27ADE78F" w14:textId="6E07303C" w:rsidR="00120E27" w:rsidRDefault="00120E27" w:rsidP="00120E27">
      <w:pPr>
        <w:pStyle w:val="Heading2"/>
      </w:pPr>
      <w:bookmarkStart w:id="8" w:name="_Toc224054406"/>
      <w:r>
        <w:t>Question 9</w:t>
      </w:r>
      <w:bookmarkEnd w:id="8"/>
    </w:p>
    <w:p w14:paraId="1B7CF463" w14:textId="4D3F7C4F" w:rsidR="00365253" w:rsidRDefault="00365253" w:rsidP="00365253">
      <w:r>
        <w:t>The consultation paper treats emerging technologies and disability inclusion as separate matters. They are not. There is a significant and growing population of students with disability for whom AI tools — including generative AI — are appropriate, cost-effective, and sometimes the only accessible means of engaging with learning materials, managing executive functioning demands, or compensating for processing or communication differences. These students are being harmed right now by blanket institutional responses to academic integrity concerns that prohibit or restrict AI use without adequate carve-outs for students whose access plans involve AI tools.</w:t>
      </w:r>
      <w:r w:rsidR="0094634F">
        <w:t xml:space="preserve"> For students who are using existing tools which have subsequently added SI features beyond their control, these supports are being unfairly removed – sometimes without replacement. </w:t>
      </w:r>
    </w:p>
    <w:p w14:paraId="64DA1D96" w14:textId="7A3ABDFA" w:rsidR="00B23255" w:rsidRDefault="00365253" w:rsidP="00C6783F">
      <w:r>
        <w:t>Universities moving to 'AI equals no' by default — even in contexts where AI is a legitimate and documented disability support — is a direct access and participation issue.</w:t>
      </w:r>
      <w:r w:rsidR="00B23255">
        <w:t xml:space="preserve"> </w:t>
      </w:r>
      <w:r w:rsidR="00C6783F">
        <w:t>This is an area where early, explicit regulatory attention would prevent harm at scale</w:t>
      </w:r>
      <w:r w:rsidR="00B23255">
        <w:t xml:space="preserve"> and compliment other policy priorities relating to participation and success.</w:t>
      </w:r>
      <w:r w:rsidR="00D95E67">
        <w:t xml:space="preserve"> As the consultation paper acknowledges, many institutions are feeling lost in this policy space: centralised guidance and standards for how accessibility and AI can be </w:t>
      </w:r>
      <w:r w:rsidR="0094634F">
        <w:t xml:space="preserve">brought into a unified conversation would benefit all stakeholders to this issue. </w:t>
      </w:r>
    </w:p>
    <w:p w14:paraId="6E3DBC7E" w14:textId="35AB4EB9" w:rsidR="00365253" w:rsidRPr="00C6783F" w:rsidRDefault="00953C59" w:rsidP="00C6783F">
      <w:pPr>
        <w:pStyle w:val="IntenseQuote"/>
        <w:rPr>
          <w:i w:val="0"/>
          <w:iCs w:val="0"/>
        </w:rPr>
      </w:pPr>
      <w:r w:rsidRPr="00C6783F">
        <w:rPr>
          <w:b/>
          <w:bCs/>
          <w:i w:val="0"/>
          <w:iCs w:val="0"/>
        </w:rPr>
        <w:t>Recommendation</w:t>
      </w:r>
      <w:r w:rsidR="00DC621A" w:rsidRPr="00C6783F">
        <w:rPr>
          <w:b/>
          <w:bCs/>
          <w:i w:val="0"/>
          <w:iCs w:val="0"/>
        </w:rPr>
        <w:t xml:space="preserve"> 7</w:t>
      </w:r>
      <w:r w:rsidRPr="00C6783F">
        <w:rPr>
          <w:i w:val="0"/>
          <w:iCs w:val="0"/>
        </w:rPr>
        <w:t xml:space="preserve">: </w:t>
      </w:r>
      <w:r w:rsidR="00365253" w:rsidRPr="00C6783F">
        <w:rPr>
          <w:i w:val="0"/>
          <w:iCs w:val="0"/>
        </w:rPr>
        <w:t>The Threshold Standards amendments should explicitly recognise this intersection and require that:</w:t>
      </w:r>
    </w:p>
    <w:p w14:paraId="15C834B6" w14:textId="6B9FB1B2" w:rsidR="00365253" w:rsidRPr="00C6783F" w:rsidRDefault="00365253" w:rsidP="00C6783F">
      <w:pPr>
        <w:pStyle w:val="IntenseQuote"/>
        <w:numPr>
          <w:ilvl w:val="0"/>
          <w:numId w:val="15"/>
        </w:numPr>
        <w:rPr>
          <w:i w:val="0"/>
          <w:iCs w:val="0"/>
        </w:rPr>
      </w:pPr>
      <w:r w:rsidRPr="00C6783F">
        <w:rPr>
          <w:i w:val="0"/>
          <w:iCs w:val="0"/>
        </w:rPr>
        <w:t>institutional policies on the use of AI and emerging technologies explicitly address the needs of students for whom AI constitutes a reasonable adjustment or accessibility tool</w:t>
      </w:r>
    </w:p>
    <w:p w14:paraId="3C9AE037" w14:textId="7FA0447A" w:rsidR="00365253" w:rsidRPr="00C6783F" w:rsidRDefault="00365253" w:rsidP="00C6783F">
      <w:pPr>
        <w:pStyle w:val="IntenseQuote"/>
        <w:numPr>
          <w:ilvl w:val="0"/>
          <w:numId w:val="15"/>
        </w:numPr>
        <w:rPr>
          <w:i w:val="0"/>
          <w:iCs w:val="0"/>
        </w:rPr>
      </w:pPr>
      <w:r w:rsidRPr="00C6783F">
        <w:rPr>
          <w:i w:val="0"/>
          <w:iCs w:val="0"/>
        </w:rPr>
        <w:t>decisions about AI restrictions in assessment contexts cannot override documented disability support arrangements without a transparent and reviewable process</w:t>
      </w:r>
    </w:p>
    <w:p w14:paraId="1C987D5E" w14:textId="2BE2D78A" w:rsidR="00365253" w:rsidRPr="00C6783F" w:rsidRDefault="00365253" w:rsidP="00C6783F">
      <w:pPr>
        <w:pStyle w:val="IntenseQuote"/>
        <w:numPr>
          <w:ilvl w:val="0"/>
          <w:numId w:val="15"/>
        </w:numPr>
        <w:rPr>
          <w:i w:val="0"/>
          <w:iCs w:val="0"/>
        </w:rPr>
      </w:pPr>
      <w:r w:rsidRPr="00C6783F">
        <w:rPr>
          <w:i w:val="0"/>
          <w:iCs w:val="0"/>
        </w:rPr>
        <w:t>the inherent requirements framework addresses what is genuinely required to demonstrate learning outcomes, rather than treating AI-free performance as an automatic proxy for academic integrity.</w:t>
      </w:r>
    </w:p>
    <w:p w14:paraId="042AE730" w14:textId="63787500" w:rsidR="00365253" w:rsidRDefault="00365253" w:rsidP="002B3C2B">
      <w:pPr>
        <w:pStyle w:val="Heading1"/>
      </w:pPr>
      <w:bookmarkStart w:id="9" w:name="_Toc224054407"/>
      <w:r>
        <w:lastRenderedPageBreak/>
        <w:t>Approach to a cyclical review of the Threshold Standards</w:t>
      </w:r>
      <w:bookmarkEnd w:id="9"/>
    </w:p>
    <w:p w14:paraId="2FE69C68" w14:textId="46D3D984" w:rsidR="00365253" w:rsidRDefault="00365253" w:rsidP="002B3C2B">
      <w:pPr>
        <w:pStyle w:val="Heading2"/>
      </w:pPr>
      <w:bookmarkStart w:id="10" w:name="_Toc224054408"/>
      <w:r>
        <w:t>Question 11</w:t>
      </w:r>
      <w:bookmarkEnd w:id="10"/>
    </w:p>
    <w:p w14:paraId="4EDF1A52" w14:textId="77777777" w:rsidR="00953C59" w:rsidRDefault="00365253" w:rsidP="00365253">
      <w:r>
        <w:t xml:space="preserve">A cyclical review should be underpinned by outcome data, not just compliance data. The current risk is that reviews assess whether institutions have policies, not whether those policies are producing better outcomes for students. </w:t>
      </w:r>
    </w:p>
    <w:p w14:paraId="6BC2905E" w14:textId="4DD695F8" w:rsidR="00365253" w:rsidRPr="00C6783F" w:rsidRDefault="00953C59" w:rsidP="00C6783F">
      <w:pPr>
        <w:pStyle w:val="IntenseQuote"/>
        <w:rPr>
          <w:i w:val="0"/>
          <w:iCs w:val="0"/>
        </w:rPr>
      </w:pPr>
      <w:r w:rsidRPr="00C6783F">
        <w:rPr>
          <w:b/>
          <w:bCs/>
          <w:i w:val="0"/>
          <w:iCs w:val="0"/>
        </w:rPr>
        <w:t>Recommendation</w:t>
      </w:r>
      <w:r w:rsidR="00DC621A" w:rsidRPr="00C6783F">
        <w:rPr>
          <w:b/>
          <w:bCs/>
          <w:i w:val="0"/>
          <w:iCs w:val="0"/>
        </w:rPr>
        <w:t xml:space="preserve"> 8</w:t>
      </w:r>
      <w:r w:rsidRPr="00C6783F">
        <w:rPr>
          <w:i w:val="0"/>
          <w:iCs w:val="0"/>
        </w:rPr>
        <w:t xml:space="preserve">: </w:t>
      </w:r>
      <w:r w:rsidR="00365253" w:rsidRPr="00C6783F">
        <w:rPr>
          <w:i w:val="0"/>
          <w:iCs w:val="0"/>
        </w:rPr>
        <w:t>Review methodology should include:</w:t>
      </w:r>
    </w:p>
    <w:p w14:paraId="24A251FC" w14:textId="130E8C83" w:rsidR="00365253" w:rsidRPr="00C6783F" w:rsidRDefault="00365253" w:rsidP="00C6783F">
      <w:pPr>
        <w:pStyle w:val="IntenseQuote"/>
        <w:numPr>
          <w:ilvl w:val="0"/>
          <w:numId w:val="16"/>
        </w:numPr>
        <w:rPr>
          <w:i w:val="0"/>
          <w:iCs w:val="0"/>
        </w:rPr>
      </w:pPr>
      <w:r w:rsidRPr="00C6783F">
        <w:rPr>
          <w:i w:val="0"/>
          <w:iCs w:val="0"/>
        </w:rPr>
        <w:t>systematic use of disaggregated student experience and outcome data, including by disability status, at an institutional level</w:t>
      </w:r>
    </w:p>
    <w:p w14:paraId="022FFCAE" w14:textId="0AFD58AF" w:rsidR="00365253" w:rsidRPr="00C6783F" w:rsidRDefault="00365253" w:rsidP="00C6783F">
      <w:pPr>
        <w:pStyle w:val="IntenseQuote"/>
        <w:numPr>
          <w:ilvl w:val="0"/>
          <w:numId w:val="16"/>
        </w:numPr>
        <w:rPr>
          <w:i w:val="0"/>
          <w:iCs w:val="0"/>
        </w:rPr>
      </w:pPr>
      <w:r w:rsidRPr="00C6783F">
        <w:rPr>
          <w:i w:val="0"/>
          <w:iCs w:val="0"/>
        </w:rPr>
        <w:t>mechanisms for students to report on their experiences directly, not filtered through institutional self-assessment</w:t>
      </w:r>
    </w:p>
    <w:p w14:paraId="05FD414F" w14:textId="562A7EEB" w:rsidR="00365253" w:rsidRPr="00C6783F" w:rsidRDefault="00365253" w:rsidP="00C6783F">
      <w:pPr>
        <w:pStyle w:val="IntenseQuote"/>
        <w:numPr>
          <w:ilvl w:val="0"/>
          <w:numId w:val="16"/>
        </w:numPr>
        <w:rPr>
          <w:i w:val="0"/>
          <w:iCs w:val="0"/>
        </w:rPr>
      </w:pPr>
      <w:r w:rsidRPr="00C6783F">
        <w:rPr>
          <w:i w:val="0"/>
          <w:iCs w:val="0"/>
        </w:rPr>
        <w:t>triangulation of institutional reporting against complaints data from the National Student Ombudsman and the Australian Human Rights Commission</w:t>
      </w:r>
    </w:p>
    <w:p w14:paraId="5FBF199D" w14:textId="38A6758E" w:rsidR="00365253" w:rsidRPr="00C6783F" w:rsidRDefault="00365253" w:rsidP="00C6783F">
      <w:pPr>
        <w:pStyle w:val="IntenseQuote"/>
        <w:numPr>
          <w:ilvl w:val="0"/>
          <w:numId w:val="16"/>
        </w:numPr>
        <w:rPr>
          <w:i w:val="0"/>
          <w:iCs w:val="0"/>
        </w:rPr>
      </w:pPr>
      <w:r w:rsidRPr="00C6783F">
        <w:rPr>
          <w:i w:val="0"/>
          <w:iCs w:val="0"/>
        </w:rPr>
        <w:t>consideration of how the DSE review outcomes and DDA review outcomes interact with Threshold Standards requirements, to ensure coherence across instruments rather than duplication or contradiction.</w:t>
      </w:r>
    </w:p>
    <w:p w14:paraId="4A12C648" w14:textId="7B892664" w:rsidR="00365253" w:rsidRDefault="00365253" w:rsidP="002B3C2B">
      <w:pPr>
        <w:pStyle w:val="Heading2"/>
      </w:pPr>
      <w:bookmarkStart w:id="11" w:name="_Toc224054409"/>
      <w:r>
        <w:t>Question 12</w:t>
      </w:r>
      <w:bookmarkEnd w:id="11"/>
    </w:p>
    <w:p w14:paraId="334E5C2A" w14:textId="77777777" w:rsidR="00365253" w:rsidRDefault="00365253" w:rsidP="00365253">
      <w:r>
        <w:t>Meaningful engagement with students with disability requires active outreach beyond standard public submission processes. Students with disability are disproportionately unlikely to participate in formal consultations: barriers include time, cognitive load, the accessibility of consultation materials and processes, and a well-founded scepticism that their input will change anything.</w:t>
      </w:r>
    </w:p>
    <w:p w14:paraId="2968E198" w14:textId="5C1E69B2" w:rsidR="00C6783F" w:rsidRDefault="00C6783F" w:rsidP="00C6783F">
      <w:r>
        <w:t xml:space="preserve">The five-yearly review cycle is welcome. Its value will depend on whether it functions as genuine accountability or as a broad-brush compliance exercise. The design choices </w:t>
      </w:r>
      <w:r w:rsidR="00E06A81">
        <w:t>below</w:t>
      </w:r>
      <w:r>
        <w:t xml:space="preserve"> would help ensure the former.</w:t>
      </w:r>
    </w:p>
    <w:p w14:paraId="0D20B2D6" w14:textId="1E15CD51" w:rsidR="00365253" w:rsidRPr="00C6783F" w:rsidRDefault="00953C59" w:rsidP="00C6783F">
      <w:pPr>
        <w:pStyle w:val="IntenseQuote"/>
        <w:rPr>
          <w:i w:val="0"/>
          <w:iCs w:val="0"/>
        </w:rPr>
      </w:pPr>
      <w:r w:rsidRPr="00C6783F">
        <w:rPr>
          <w:b/>
          <w:bCs/>
          <w:i w:val="0"/>
          <w:iCs w:val="0"/>
        </w:rPr>
        <w:lastRenderedPageBreak/>
        <w:t>Recommendation</w:t>
      </w:r>
      <w:r w:rsidR="00DC621A" w:rsidRPr="00C6783F">
        <w:rPr>
          <w:b/>
          <w:bCs/>
          <w:i w:val="0"/>
          <w:iCs w:val="0"/>
        </w:rPr>
        <w:t xml:space="preserve"> 9</w:t>
      </w:r>
      <w:r w:rsidRPr="00C6783F">
        <w:rPr>
          <w:i w:val="0"/>
          <w:iCs w:val="0"/>
        </w:rPr>
        <w:t xml:space="preserve">: </w:t>
      </w:r>
      <w:r w:rsidR="00365253" w:rsidRPr="00C6783F">
        <w:rPr>
          <w:i w:val="0"/>
          <w:iCs w:val="0"/>
        </w:rPr>
        <w:t>Specific measures that would improve engagement include:</w:t>
      </w:r>
    </w:p>
    <w:p w14:paraId="62898809" w14:textId="45722006" w:rsidR="00365253" w:rsidRPr="00C6783F" w:rsidRDefault="00365253" w:rsidP="00C6783F">
      <w:pPr>
        <w:pStyle w:val="IntenseQuote"/>
        <w:numPr>
          <w:ilvl w:val="0"/>
          <w:numId w:val="17"/>
        </w:numPr>
        <w:rPr>
          <w:i w:val="0"/>
          <w:iCs w:val="0"/>
        </w:rPr>
      </w:pPr>
      <w:r w:rsidRPr="00C6783F">
        <w:rPr>
          <w:i w:val="0"/>
          <w:iCs w:val="0"/>
        </w:rPr>
        <w:t>co-</w:t>
      </w:r>
      <w:r w:rsidR="00E06A81">
        <w:rPr>
          <w:i w:val="0"/>
          <w:iCs w:val="0"/>
        </w:rPr>
        <w:t>development</w:t>
      </w:r>
      <w:r w:rsidRPr="00C6783F">
        <w:rPr>
          <w:i w:val="0"/>
          <w:iCs w:val="0"/>
        </w:rPr>
        <w:t xml:space="preserve"> of consultation questions and materials with disability representative organisations and student disability advocates</w:t>
      </w:r>
    </w:p>
    <w:p w14:paraId="5134B1F6" w14:textId="37FA438F" w:rsidR="00365253" w:rsidRPr="00C6783F" w:rsidRDefault="00365253" w:rsidP="00C6783F">
      <w:pPr>
        <w:pStyle w:val="IntenseQuote"/>
        <w:numPr>
          <w:ilvl w:val="0"/>
          <w:numId w:val="17"/>
        </w:numPr>
        <w:rPr>
          <w:i w:val="0"/>
          <w:iCs w:val="0"/>
        </w:rPr>
      </w:pPr>
      <w:r w:rsidRPr="00C6783F">
        <w:rPr>
          <w:i w:val="0"/>
          <w:iCs w:val="0"/>
        </w:rPr>
        <w:t>provision of accessible formats and multiple modes of engagement (written, verbal, small group) as a default, not on request</w:t>
      </w:r>
    </w:p>
    <w:p w14:paraId="6D9C0B66" w14:textId="192DF74D" w:rsidR="00365253" w:rsidRPr="00C6783F" w:rsidRDefault="00365253" w:rsidP="00C6783F">
      <w:pPr>
        <w:pStyle w:val="IntenseQuote"/>
        <w:numPr>
          <w:ilvl w:val="0"/>
          <w:numId w:val="17"/>
        </w:numPr>
        <w:rPr>
          <w:i w:val="0"/>
          <w:iCs w:val="0"/>
        </w:rPr>
      </w:pPr>
      <w:r w:rsidRPr="00C6783F">
        <w:rPr>
          <w:i w:val="0"/>
          <w:iCs w:val="0"/>
        </w:rPr>
        <w:t>paid participation for community members who are not affiliated with peak bodies or institutions, recognising the labour of lived experience contribution</w:t>
      </w:r>
    </w:p>
    <w:p w14:paraId="166E2A83" w14:textId="3E4D426F" w:rsidR="00365253" w:rsidRPr="00C6783F" w:rsidRDefault="00365253" w:rsidP="00C6783F">
      <w:pPr>
        <w:pStyle w:val="IntenseQuote"/>
        <w:numPr>
          <w:ilvl w:val="0"/>
          <w:numId w:val="17"/>
        </w:numPr>
        <w:rPr>
          <w:i w:val="0"/>
          <w:iCs w:val="0"/>
        </w:rPr>
      </w:pPr>
      <w:r w:rsidRPr="00C6783F">
        <w:rPr>
          <w:i w:val="0"/>
          <w:iCs w:val="0"/>
        </w:rPr>
        <w:t xml:space="preserve">feedback </w:t>
      </w:r>
      <w:r w:rsidR="00F96693">
        <w:rPr>
          <w:i w:val="0"/>
          <w:iCs w:val="0"/>
        </w:rPr>
        <w:t>mechanisms</w:t>
      </w:r>
      <w:r w:rsidRPr="00C6783F">
        <w:rPr>
          <w:i w:val="0"/>
          <w:iCs w:val="0"/>
        </w:rPr>
        <w:t xml:space="preserve"> that close the loop with participants on how their input was used and what changed </w:t>
      </w:r>
      <w:r w:rsidR="005F3BE5" w:rsidRPr="00C6783F">
        <w:rPr>
          <w:i w:val="0"/>
          <w:iCs w:val="0"/>
        </w:rPr>
        <w:t>(or did not change)</w:t>
      </w:r>
      <w:r w:rsidRPr="00C6783F">
        <w:rPr>
          <w:i w:val="0"/>
          <w:iCs w:val="0"/>
        </w:rPr>
        <w:t xml:space="preserve"> as a result</w:t>
      </w:r>
    </w:p>
    <w:p w14:paraId="1B61B125" w14:textId="54E2E04B" w:rsidR="00365253" w:rsidRPr="00C6783F" w:rsidRDefault="00365253" w:rsidP="00C6783F">
      <w:pPr>
        <w:pStyle w:val="IntenseQuote"/>
        <w:numPr>
          <w:ilvl w:val="0"/>
          <w:numId w:val="17"/>
        </w:numPr>
        <w:rPr>
          <w:i w:val="0"/>
          <w:iCs w:val="0"/>
        </w:rPr>
      </w:pPr>
      <w:r w:rsidRPr="00C6783F">
        <w:rPr>
          <w:i w:val="0"/>
          <w:iCs w:val="0"/>
        </w:rPr>
        <w:t>explicit representation of people with disability in the review panel or advisory structures, not just in the consultation process.</w:t>
      </w:r>
    </w:p>
    <w:p w14:paraId="64F897A2" w14:textId="77777777" w:rsidR="00C6783F" w:rsidRDefault="00C6783F"/>
    <w:sectPr w:rsidR="00C6783F" w:rsidSect="00CA2B5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8518" w14:textId="77777777" w:rsidR="00DA4C61" w:rsidRDefault="00DA4C61" w:rsidP="002B3C2B">
      <w:pPr>
        <w:spacing w:after="0" w:line="240" w:lineRule="auto"/>
      </w:pPr>
      <w:r>
        <w:separator/>
      </w:r>
    </w:p>
  </w:endnote>
  <w:endnote w:type="continuationSeparator" w:id="0">
    <w:p w14:paraId="275B1DC1" w14:textId="77777777" w:rsidR="00DA4C61" w:rsidRDefault="00DA4C61" w:rsidP="002B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F37D" w14:textId="77777777" w:rsidR="00DA4C61" w:rsidRDefault="00DA4C61" w:rsidP="002B3C2B">
      <w:pPr>
        <w:spacing w:after="0" w:line="240" w:lineRule="auto"/>
      </w:pPr>
      <w:r>
        <w:separator/>
      </w:r>
    </w:p>
  </w:footnote>
  <w:footnote w:type="continuationSeparator" w:id="0">
    <w:p w14:paraId="24E7AD09" w14:textId="77777777" w:rsidR="00DA4C61" w:rsidRDefault="00DA4C61" w:rsidP="002B3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352958A" w14:textId="77777777" w:rsidR="002B3C2B" w:rsidRDefault="002B3C2B">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4919119F" w14:textId="77777777" w:rsidR="002B3C2B" w:rsidRDefault="002B3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399"/>
    <w:multiLevelType w:val="hybridMultilevel"/>
    <w:tmpl w:val="B5C6E880"/>
    <w:lvl w:ilvl="0" w:tplc="B6BCBC84">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 w15:restartNumberingAfterBreak="0">
    <w:nsid w:val="0AFB6EED"/>
    <w:multiLevelType w:val="hybridMultilevel"/>
    <w:tmpl w:val="B1D855F8"/>
    <w:lvl w:ilvl="0" w:tplc="B7B88F6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04C3F"/>
    <w:multiLevelType w:val="hybridMultilevel"/>
    <w:tmpl w:val="22CE875C"/>
    <w:lvl w:ilvl="0" w:tplc="A8F2D85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473FCE"/>
    <w:multiLevelType w:val="hybridMultilevel"/>
    <w:tmpl w:val="1B3C32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ED6216"/>
    <w:multiLevelType w:val="hybridMultilevel"/>
    <w:tmpl w:val="0B7E394C"/>
    <w:lvl w:ilvl="0" w:tplc="046C2334">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5" w15:restartNumberingAfterBreak="0">
    <w:nsid w:val="1B703D8A"/>
    <w:multiLevelType w:val="hybridMultilevel"/>
    <w:tmpl w:val="AB8ED746"/>
    <w:lvl w:ilvl="0" w:tplc="F5905DA0">
      <w:start w:val="6"/>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A292E"/>
    <w:multiLevelType w:val="hybridMultilevel"/>
    <w:tmpl w:val="45FE6D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376112"/>
    <w:multiLevelType w:val="hybridMultilevel"/>
    <w:tmpl w:val="4A7E32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F7577EC"/>
    <w:multiLevelType w:val="hybridMultilevel"/>
    <w:tmpl w:val="DFBCF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6C417D"/>
    <w:multiLevelType w:val="hybridMultilevel"/>
    <w:tmpl w:val="04CA24FA"/>
    <w:lvl w:ilvl="0" w:tplc="85C2CE1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D71D60"/>
    <w:multiLevelType w:val="hybridMultilevel"/>
    <w:tmpl w:val="3416B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F86CCB"/>
    <w:multiLevelType w:val="hybridMultilevel"/>
    <w:tmpl w:val="81BA19AA"/>
    <w:lvl w:ilvl="0" w:tplc="D174E9B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2A4C7B"/>
    <w:multiLevelType w:val="hybridMultilevel"/>
    <w:tmpl w:val="A4A00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6A266A"/>
    <w:multiLevelType w:val="hybridMultilevel"/>
    <w:tmpl w:val="C9D6C0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BF6937"/>
    <w:multiLevelType w:val="hybridMultilevel"/>
    <w:tmpl w:val="3CD422C8"/>
    <w:lvl w:ilvl="0" w:tplc="FB1C2B58">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5" w15:restartNumberingAfterBreak="0">
    <w:nsid w:val="75190563"/>
    <w:multiLevelType w:val="hybridMultilevel"/>
    <w:tmpl w:val="98AA1D26"/>
    <w:lvl w:ilvl="0" w:tplc="B49071FE">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6" w15:restartNumberingAfterBreak="0">
    <w:nsid w:val="7B524EA0"/>
    <w:multiLevelType w:val="hybridMultilevel"/>
    <w:tmpl w:val="33745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806783">
    <w:abstractNumId w:val="12"/>
  </w:num>
  <w:num w:numId="2" w16cid:durableId="1621449349">
    <w:abstractNumId w:val="11"/>
  </w:num>
  <w:num w:numId="3" w16cid:durableId="1681929778">
    <w:abstractNumId w:val="13"/>
  </w:num>
  <w:num w:numId="4" w16cid:durableId="1203978939">
    <w:abstractNumId w:val="8"/>
  </w:num>
  <w:num w:numId="5" w16cid:durableId="1151756186">
    <w:abstractNumId w:val="2"/>
  </w:num>
  <w:num w:numId="6" w16cid:durableId="940333165">
    <w:abstractNumId w:val="7"/>
  </w:num>
  <w:num w:numId="7" w16cid:durableId="323777863">
    <w:abstractNumId w:val="16"/>
  </w:num>
  <w:num w:numId="8" w16cid:durableId="1455176412">
    <w:abstractNumId w:val="1"/>
  </w:num>
  <w:num w:numId="9" w16cid:durableId="32004619">
    <w:abstractNumId w:val="6"/>
  </w:num>
  <w:num w:numId="10" w16cid:durableId="1439106693">
    <w:abstractNumId w:val="10"/>
  </w:num>
  <w:num w:numId="11" w16cid:durableId="2013026541">
    <w:abstractNumId w:val="9"/>
  </w:num>
  <w:num w:numId="12" w16cid:durableId="1885865970">
    <w:abstractNumId w:val="3"/>
  </w:num>
  <w:num w:numId="13" w16cid:durableId="1955822160">
    <w:abstractNumId w:val="5"/>
  </w:num>
  <w:num w:numId="14" w16cid:durableId="1565993261">
    <w:abstractNumId w:val="0"/>
  </w:num>
  <w:num w:numId="15" w16cid:durableId="1947616390">
    <w:abstractNumId w:val="14"/>
  </w:num>
  <w:num w:numId="16" w16cid:durableId="883254301">
    <w:abstractNumId w:val="4"/>
  </w:num>
  <w:num w:numId="17" w16cid:durableId="6256999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9C"/>
    <w:rsid w:val="000637AE"/>
    <w:rsid w:val="000A5D39"/>
    <w:rsid w:val="000F66D4"/>
    <w:rsid w:val="00120E27"/>
    <w:rsid w:val="001231F0"/>
    <w:rsid w:val="00131F70"/>
    <w:rsid w:val="001342A7"/>
    <w:rsid w:val="00172A35"/>
    <w:rsid w:val="001B5541"/>
    <w:rsid w:val="001C21D8"/>
    <w:rsid w:val="00241EFE"/>
    <w:rsid w:val="002B3C2B"/>
    <w:rsid w:val="00365253"/>
    <w:rsid w:val="003B52A7"/>
    <w:rsid w:val="004108FD"/>
    <w:rsid w:val="00472939"/>
    <w:rsid w:val="00493A03"/>
    <w:rsid w:val="004B3964"/>
    <w:rsid w:val="004D2C2E"/>
    <w:rsid w:val="0050546E"/>
    <w:rsid w:val="0056068E"/>
    <w:rsid w:val="00593A39"/>
    <w:rsid w:val="005B04E2"/>
    <w:rsid w:val="005F3BE5"/>
    <w:rsid w:val="00736E9F"/>
    <w:rsid w:val="00791083"/>
    <w:rsid w:val="007A27B1"/>
    <w:rsid w:val="00815DCC"/>
    <w:rsid w:val="0084729C"/>
    <w:rsid w:val="00864D68"/>
    <w:rsid w:val="00867B2A"/>
    <w:rsid w:val="008920E0"/>
    <w:rsid w:val="008D21E8"/>
    <w:rsid w:val="00916DE1"/>
    <w:rsid w:val="0094634F"/>
    <w:rsid w:val="00953C59"/>
    <w:rsid w:val="00971BC1"/>
    <w:rsid w:val="00A25974"/>
    <w:rsid w:val="00A559EA"/>
    <w:rsid w:val="00AF7129"/>
    <w:rsid w:val="00B23255"/>
    <w:rsid w:val="00B71D72"/>
    <w:rsid w:val="00C6783F"/>
    <w:rsid w:val="00C74937"/>
    <w:rsid w:val="00CA2B5D"/>
    <w:rsid w:val="00D02AFB"/>
    <w:rsid w:val="00D95E67"/>
    <w:rsid w:val="00DA4C61"/>
    <w:rsid w:val="00DC621A"/>
    <w:rsid w:val="00DE588C"/>
    <w:rsid w:val="00E06A81"/>
    <w:rsid w:val="00E236DE"/>
    <w:rsid w:val="00E71685"/>
    <w:rsid w:val="00EA560B"/>
    <w:rsid w:val="00F2687F"/>
    <w:rsid w:val="00F914A4"/>
    <w:rsid w:val="00F940F8"/>
    <w:rsid w:val="00F96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48D6"/>
  <w15:chartTrackingRefBased/>
  <w15:docId w15:val="{7DB117B7-1B8E-4843-B2B1-C00F53B7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7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7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7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7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29C"/>
    <w:rPr>
      <w:rFonts w:eastAsiaTheme="majorEastAsia" w:cstheme="majorBidi"/>
      <w:color w:val="272727" w:themeColor="text1" w:themeTint="D8"/>
    </w:rPr>
  </w:style>
  <w:style w:type="paragraph" w:styleId="Title">
    <w:name w:val="Title"/>
    <w:basedOn w:val="Normal"/>
    <w:next w:val="Normal"/>
    <w:link w:val="TitleChar"/>
    <w:uiPriority w:val="10"/>
    <w:qFormat/>
    <w:rsid w:val="00847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29C"/>
    <w:pPr>
      <w:spacing w:before="160"/>
      <w:jc w:val="center"/>
    </w:pPr>
    <w:rPr>
      <w:i/>
      <w:iCs/>
      <w:color w:val="404040" w:themeColor="text1" w:themeTint="BF"/>
    </w:rPr>
  </w:style>
  <w:style w:type="character" w:customStyle="1" w:styleId="QuoteChar">
    <w:name w:val="Quote Char"/>
    <w:basedOn w:val="DefaultParagraphFont"/>
    <w:link w:val="Quote"/>
    <w:uiPriority w:val="29"/>
    <w:rsid w:val="0084729C"/>
    <w:rPr>
      <w:i/>
      <w:iCs/>
      <w:color w:val="404040" w:themeColor="text1" w:themeTint="BF"/>
    </w:rPr>
  </w:style>
  <w:style w:type="paragraph" w:styleId="ListParagraph">
    <w:name w:val="List Paragraph"/>
    <w:aliases w:val="L,List Paragraph1,List Paragraph11,Recommendation,bullet point list,F5 List Paragraph,Dot pt,CV text,Table text,List Paragraph111,Medium Grid 1 - Accent 21,Numbered Paragraph,List Paragraph2,Bulleted Para,NFP GP Bulleted List,FooterText,b"/>
    <w:basedOn w:val="Normal"/>
    <w:link w:val="ListParagraphChar"/>
    <w:uiPriority w:val="34"/>
    <w:qFormat/>
    <w:rsid w:val="0084729C"/>
    <w:pPr>
      <w:ind w:left="720"/>
      <w:contextualSpacing/>
    </w:pPr>
  </w:style>
  <w:style w:type="character" w:styleId="IntenseEmphasis">
    <w:name w:val="Intense Emphasis"/>
    <w:basedOn w:val="DefaultParagraphFont"/>
    <w:uiPriority w:val="21"/>
    <w:qFormat/>
    <w:rsid w:val="0084729C"/>
    <w:rPr>
      <w:i/>
      <w:iCs/>
      <w:color w:val="0F4761" w:themeColor="accent1" w:themeShade="BF"/>
    </w:rPr>
  </w:style>
  <w:style w:type="paragraph" w:styleId="IntenseQuote">
    <w:name w:val="Intense Quote"/>
    <w:basedOn w:val="Normal"/>
    <w:next w:val="Normal"/>
    <w:link w:val="IntenseQuoteChar"/>
    <w:uiPriority w:val="30"/>
    <w:qFormat/>
    <w:rsid w:val="00847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29C"/>
    <w:rPr>
      <w:i/>
      <w:iCs/>
      <w:color w:val="0F4761" w:themeColor="accent1" w:themeShade="BF"/>
    </w:rPr>
  </w:style>
  <w:style w:type="character" w:styleId="IntenseReference">
    <w:name w:val="Intense Reference"/>
    <w:basedOn w:val="DefaultParagraphFont"/>
    <w:uiPriority w:val="32"/>
    <w:qFormat/>
    <w:rsid w:val="0084729C"/>
    <w:rPr>
      <w:b/>
      <w:bCs/>
      <w:smallCaps/>
      <w:color w:val="0F4761" w:themeColor="accent1" w:themeShade="BF"/>
      <w:spacing w:val="5"/>
    </w:rPr>
  </w:style>
  <w:style w:type="paragraph" w:styleId="Header">
    <w:name w:val="header"/>
    <w:basedOn w:val="Normal"/>
    <w:link w:val="HeaderChar"/>
    <w:uiPriority w:val="99"/>
    <w:unhideWhenUsed/>
    <w:rsid w:val="002B3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C2B"/>
  </w:style>
  <w:style w:type="paragraph" w:styleId="Footer">
    <w:name w:val="footer"/>
    <w:basedOn w:val="Normal"/>
    <w:link w:val="FooterChar"/>
    <w:uiPriority w:val="99"/>
    <w:unhideWhenUsed/>
    <w:rsid w:val="002B3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C2B"/>
  </w:style>
  <w:style w:type="character" w:customStyle="1" w:styleId="ListParagraphChar">
    <w:name w:val="List Paragraph Char"/>
    <w:aliases w:val="L Char,List Paragraph1 Char,List Paragraph11 Char,Recommendation Char,bullet point list Char,F5 List Paragraph Char,Dot pt Char,CV text Char,Table text Char,List Paragraph111 Char,Medium Grid 1 - Accent 21 Char,List Paragraph2 Char"/>
    <w:basedOn w:val="DefaultParagraphFont"/>
    <w:link w:val="ListParagraph"/>
    <w:uiPriority w:val="34"/>
    <w:qFormat/>
    <w:locked/>
    <w:rsid w:val="00120E27"/>
  </w:style>
  <w:style w:type="paragraph" w:styleId="TOCHeading">
    <w:name w:val="TOC Heading"/>
    <w:basedOn w:val="Heading1"/>
    <w:next w:val="Normal"/>
    <w:uiPriority w:val="39"/>
    <w:unhideWhenUsed/>
    <w:qFormat/>
    <w:rsid w:val="00120E2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20E27"/>
    <w:pPr>
      <w:spacing w:after="100"/>
    </w:pPr>
  </w:style>
  <w:style w:type="paragraph" w:styleId="TOC2">
    <w:name w:val="toc 2"/>
    <w:basedOn w:val="Normal"/>
    <w:next w:val="Normal"/>
    <w:autoRedefine/>
    <w:uiPriority w:val="39"/>
    <w:unhideWhenUsed/>
    <w:rsid w:val="00120E27"/>
    <w:pPr>
      <w:spacing w:after="100"/>
      <w:ind w:left="240"/>
    </w:pPr>
  </w:style>
  <w:style w:type="character" w:styleId="Hyperlink">
    <w:name w:val="Hyperlink"/>
    <w:basedOn w:val="DefaultParagraphFont"/>
    <w:uiPriority w:val="99"/>
    <w:unhideWhenUsed/>
    <w:rsid w:val="00120E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F5C52821-A472-457F-8611-05728E74B05C}">
  <ds:schemaRefs>
    <ds:schemaRef ds:uri="http://schemas.openxmlformats.org/officeDocument/2006/bibliography"/>
  </ds:schemaRefs>
</ds:datastoreItem>
</file>

<file path=customXml/itemProps2.xml><?xml version="1.0" encoding="utf-8"?>
<ds:datastoreItem xmlns:ds="http://schemas.openxmlformats.org/officeDocument/2006/customXml" ds:itemID="{C5F07903-E13C-438E-AE4D-06F0B7BC632E}"/>
</file>

<file path=customXml/itemProps3.xml><?xml version="1.0" encoding="utf-8"?>
<ds:datastoreItem xmlns:ds="http://schemas.openxmlformats.org/officeDocument/2006/customXml" ds:itemID="{3EE362C7-0B43-4571-90F6-9C7A6D82D9AE}"/>
</file>

<file path=customXml/itemProps4.xml><?xml version="1.0" encoding="utf-8"?>
<ds:datastoreItem xmlns:ds="http://schemas.openxmlformats.org/officeDocument/2006/customXml" ds:itemID="{D284006C-D2C6-4546-ABD3-C10BB4E3C9A4}"/>
</file>

<file path=docProps/app.xml><?xml version="1.0" encoding="utf-8"?>
<Properties xmlns="http://schemas.openxmlformats.org/officeDocument/2006/extended-properties" xmlns:vt="http://schemas.openxmlformats.org/officeDocument/2006/docPropsVTypes">
  <Template>Normal.dotm</Template>
  <TotalTime>6</TotalTime>
  <Pages>9</Pages>
  <Words>1752</Words>
  <Characters>10898</Characters>
  <Application>Microsoft Office Word</Application>
  <DocSecurity>0</DocSecurity>
  <Lines>213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Ganon</dc:creator>
  <cp:keywords/>
  <dc:description/>
  <cp:lastModifiedBy>LEI, Melissa</cp:lastModifiedBy>
  <cp:revision>2</cp:revision>
  <dcterms:created xsi:type="dcterms:W3CDTF">2026-04-15T03:36:00Z</dcterms:created>
  <dcterms:modified xsi:type="dcterms:W3CDTF">2026-04-15T03:36:00Z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2026-04-15T03:36:34Z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62c59aa4-db81-4732-82a8-afa8e528a1d3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