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448A" w14:textId="57463AE0" w:rsidR="00324E50" w:rsidRDefault="00231AE7" w:rsidP="00231AE7">
      <w:pPr>
        <w:pStyle w:val="Heading1"/>
      </w:pPr>
      <w:r>
        <w:t>Submission to the Higher Education Standards Panel</w:t>
      </w:r>
    </w:p>
    <w:p w14:paraId="1589D268" w14:textId="77777777" w:rsidR="00231AE7" w:rsidRDefault="00231AE7" w:rsidP="00231AE7">
      <w:pPr>
        <w:pStyle w:val="Heading2"/>
      </w:pPr>
      <w:r>
        <w:rPr>
          <w:rFonts w:eastAsia="Arial"/>
        </w:rPr>
        <w:t>Consultation on Amendments to the Higher Education Standards Framework (Threshold Standards) 2021</w:t>
      </w:r>
    </w:p>
    <w:p w14:paraId="63598E4F" w14:textId="77777777" w:rsidR="00231AE7" w:rsidRDefault="00231AE7" w:rsidP="00231AE7">
      <w:pPr>
        <w:pStyle w:val="Heading3"/>
      </w:pPr>
      <w:r>
        <w:rPr>
          <w:rFonts w:eastAsia="Arial"/>
        </w:rPr>
        <w:t>Supporting People with Disability in Higher Education</w:t>
      </w:r>
    </w:p>
    <w:p w14:paraId="7DB5652E" w14:textId="4EEEF57E" w:rsidR="00231AE7" w:rsidRDefault="00231AE7" w:rsidP="00231AE7">
      <w:pPr>
        <w:spacing w:after="80"/>
      </w:pPr>
      <w:r w:rsidRPr="00A65F40">
        <w:rPr>
          <w:rFonts w:ascii="Arial" w:eastAsia="Arial" w:hAnsi="Arial" w:cs="Arial"/>
          <w:b/>
          <w:bCs/>
          <w:sz w:val="22"/>
          <w:szCs w:val="22"/>
        </w:rPr>
        <w:t>Submitted by:</w:t>
      </w:r>
      <w:r>
        <w:rPr>
          <w:rFonts w:ascii="Arial" w:eastAsia="Arial" w:hAnsi="Arial" w:cs="Arial"/>
          <w:sz w:val="22"/>
          <w:szCs w:val="22"/>
        </w:rPr>
        <w:t xml:space="preserve"> D</w:t>
      </w:r>
      <w:r w:rsidR="00A823C2">
        <w:rPr>
          <w:rFonts w:ascii="Arial" w:eastAsia="Arial" w:hAnsi="Arial" w:cs="Arial"/>
          <w:sz w:val="22"/>
          <w:szCs w:val="22"/>
        </w:rPr>
        <w:t>.</w:t>
      </w:r>
      <w:r>
        <w:rPr>
          <w:rFonts w:ascii="Arial" w:eastAsia="Arial" w:hAnsi="Arial" w:cs="Arial"/>
          <w:sz w:val="22"/>
          <w:szCs w:val="22"/>
        </w:rPr>
        <w:t xml:space="preserve"> McLennan</w:t>
      </w:r>
    </w:p>
    <w:p w14:paraId="32F798E9" w14:textId="77777777" w:rsidR="00231AE7" w:rsidRDefault="00231AE7" w:rsidP="00231AE7">
      <w:pPr>
        <w:spacing w:after="80"/>
      </w:pPr>
      <w:r>
        <w:rPr>
          <w:rFonts w:ascii="Arial" w:eastAsia="Arial" w:hAnsi="Arial" w:cs="Arial"/>
          <w:sz w:val="22"/>
          <w:szCs w:val="22"/>
        </w:rPr>
        <w:t>ACSES Equity Fellow, University of Tasmania</w:t>
      </w:r>
    </w:p>
    <w:p w14:paraId="5DA955AD" w14:textId="77777777" w:rsidR="00A65F40" w:rsidRDefault="00231AE7" w:rsidP="00A65F40">
      <w:pPr>
        <w:spacing w:after="480"/>
      </w:pPr>
      <w:r>
        <w:rPr>
          <w:rFonts w:ascii="Arial" w:eastAsia="Arial" w:hAnsi="Arial" w:cs="Arial"/>
          <w:sz w:val="22"/>
          <w:szCs w:val="22"/>
        </w:rPr>
        <w:t>March 2026</w:t>
      </w:r>
    </w:p>
    <w:p w14:paraId="4B00FBBD" w14:textId="2F57640B" w:rsidR="00231AE7" w:rsidRPr="00231AE7" w:rsidRDefault="00231AE7" w:rsidP="00A65F40">
      <w:pPr>
        <w:spacing w:after="480"/>
      </w:pPr>
      <w:r w:rsidRPr="00231AE7">
        <w:t xml:space="preserve">This submission responds to consultation Questions 6 and 7, relating to supporting people with disability in higher education. </w:t>
      </w:r>
      <w:r w:rsidR="0005775A" w:rsidRPr="0005775A">
        <w:t>I bring to this submission 21 years of experience working in disability and tertiary education</w:t>
      </w:r>
      <w:r w:rsidRPr="00231AE7">
        <w:t>, my role as Manager of the Australian Disability Clearinghouse on Education and Training (ADCET), my lived experience of disability, and my ACSES Equity Fellowship</w:t>
      </w:r>
      <w:r w:rsidR="0005775A">
        <w:t xml:space="preserve"> undertaken in 2025-2026</w:t>
      </w:r>
      <w:r w:rsidRPr="00231AE7">
        <w:t>, 'Beyond Adjustments: Enhancing Disability Support in Australian Universities', conducted through the University of Tasmania.</w:t>
      </w:r>
    </w:p>
    <w:p w14:paraId="0CCC9988" w14:textId="707CEF88" w:rsidR="00231AE7" w:rsidRPr="00231AE7" w:rsidRDefault="00A65F40" w:rsidP="00231AE7">
      <w:r>
        <w:t xml:space="preserve">I </w:t>
      </w:r>
      <w:r w:rsidRPr="00231AE7">
        <w:t>strongly support the proposed amendments. The case for stronger, more explicit standards is well established and long overdue. The current Threshold Standards are not producing consistent outcomes for people with disability, and voluntary approaches and implicit obligations have proven insufficient to drive the cultural and structural change the sector needs.</w:t>
      </w:r>
      <w:r w:rsidR="00231AE7" w:rsidRPr="00231AE7">
        <w:t xml:space="preserve"> </w:t>
      </w:r>
    </w:p>
    <w:p w14:paraId="202A9E32" w14:textId="0839FB06" w:rsidR="00231AE7" w:rsidRPr="00231AE7" w:rsidRDefault="00231AE7" w:rsidP="00231AE7">
      <w:r w:rsidRPr="00231AE7">
        <w:t xml:space="preserve">I welcome in </w:t>
      </w:r>
      <w:r>
        <w:t xml:space="preserve">particular </w:t>
      </w:r>
      <w:r w:rsidRPr="00231AE7">
        <w:t xml:space="preserve">the proposal to remove the term “special needs” from the Threshold Standards. This language is outdated, does not reflect how people with disability understand themselves or their rights, and is inconsistent with the human rights model of disability that should underpin the sector’s approach. </w:t>
      </w:r>
      <w:r w:rsidR="0005775A">
        <w:t>Changing the term</w:t>
      </w:r>
      <w:r w:rsidRPr="00231AE7">
        <w:t xml:space="preserve"> is a straightforward but meaningful change, and it signals that the standards are grounded in contemporary understanding rather than legacy assumptions.</w:t>
      </w:r>
    </w:p>
    <w:p w14:paraId="551F67B4" w14:textId="77777777" w:rsidR="00231AE7" w:rsidRPr="00231AE7" w:rsidRDefault="00231AE7" w:rsidP="00231AE7">
      <w:r w:rsidRPr="00231AE7">
        <w:t>People with disability are the fastest-growing equity cohort in Australian higher education. Domestic undergraduate enrolments of students with disability have grown substantially over the past decade, yet outcomes have not followed the same trajectory. Students with disability continue to report lower satisfaction, lower completion rates, and poorer overall educational experiences than their peers without disability. This pattern has persisted across successive years of data, including the Quality Indicators for Learning and Teaching Student Experience Survey.</w:t>
      </w:r>
    </w:p>
    <w:p w14:paraId="30DA4ECA" w14:textId="77777777" w:rsidR="00231AE7" w:rsidRPr="00231AE7" w:rsidRDefault="00231AE7" w:rsidP="00231AE7">
      <w:r w:rsidRPr="00231AE7">
        <w:lastRenderedPageBreak/>
        <w:t>The causes are well understood within the sector. Support for students with disability has historically been concentrated in dedicated disability services teams, which are often under-resourced, positioned as advisory rather than authoritative, and working without the institutional backing needed to drive genuine change. Academic staff frequently lack the training, incentive, or accountability to implement access plans or design inclusive learning environments. And the broader culture of many institutions still treats disability inclusion as an add-on rather than a core responsibility.</w:t>
      </w:r>
    </w:p>
    <w:p w14:paraId="420D7286" w14:textId="77777777" w:rsidR="00231AE7" w:rsidRPr="00231AE7" w:rsidRDefault="00231AE7" w:rsidP="00231AE7">
      <w:r w:rsidRPr="00231AE7">
        <w:t>Strengthened Threshold Standards will not solve all of this on their own. But as the experience of other areas of higher education reform demonstrates, clear regulatory expectations with real accountability mechanisms are a necessary condition for change. Goodwill and good practice guidance are not enough when institutional pressures push in the other direction.</w:t>
      </w:r>
    </w:p>
    <w:p w14:paraId="28DD61E0" w14:textId="77777777" w:rsidR="00231AE7" w:rsidRPr="00231AE7" w:rsidRDefault="00231AE7" w:rsidP="00231AE7">
      <w:pPr>
        <w:pStyle w:val="Heading2"/>
      </w:pPr>
      <w:r w:rsidRPr="00231AE7">
        <w:t>Question 6: The Proposed Themes</w:t>
      </w:r>
    </w:p>
    <w:p w14:paraId="50008E37" w14:textId="4982DE70" w:rsidR="00231AE7" w:rsidRPr="00231AE7" w:rsidRDefault="00231AE7" w:rsidP="00231AE7">
      <w:r w:rsidRPr="00231AE7">
        <w:t xml:space="preserve">The following comments address three proposed themes of inclusion, universal design, and inherent requirements each in turn, with a focus on what the standards will need to </w:t>
      </w:r>
      <w:r w:rsidR="00A65F40" w:rsidRPr="00231AE7">
        <w:t>require</w:t>
      </w:r>
      <w:r w:rsidRPr="00231AE7">
        <w:t xml:space="preserve"> if they are to produce better outcomes.</w:t>
      </w:r>
    </w:p>
    <w:p w14:paraId="405CA487" w14:textId="77777777" w:rsidR="00231AE7" w:rsidRPr="00231AE7" w:rsidRDefault="00231AE7" w:rsidP="00231AE7">
      <w:pPr>
        <w:pStyle w:val="Heading3"/>
      </w:pPr>
      <w:r w:rsidRPr="00231AE7">
        <w:t>Inclusion: Moving Beyond the Disability Services Team</w:t>
      </w:r>
    </w:p>
    <w:p w14:paraId="3D20B2FF" w14:textId="374F8120" w:rsidR="00231AE7" w:rsidRPr="00231AE7" w:rsidRDefault="00231AE7" w:rsidP="00231AE7">
      <w:r w:rsidRPr="00231AE7">
        <w:t xml:space="preserve">The most important shift the amended standards could make is to establish that disability inclusion is a whole-of-institution responsibility, not a responsibility that sits primarily with disability services. This is </w:t>
      </w:r>
      <w:r>
        <w:t xml:space="preserve">one of </w:t>
      </w:r>
      <w:r w:rsidRPr="00231AE7">
        <w:t>the structural problem</w:t>
      </w:r>
      <w:r w:rsidR="00A65F40">
        <w:t>s</w:t>
      </w:r>
      <w:r w:rsidRPr="00231AE7">
        <w:t xml:space="preserve"> in the sector</w:t>
      </w:r>
      <w:r w:rsidR="00A65F40">
        <w:t xml:space="preserve">. </w:t>
      </w:r>
      <w:r w:rsidRPr="00231AE7">
        <w:t>Disability practitioners are doing excellent and often complex work, but they are doing it largely alone, without the institutional authority to require change from academic staff, course designers, or senior leadership.</w:t>
      </w:r>
    </w:p>
    <w:p w14:paraId="2A7FC651" w14:textId="77777777" w:rsidR="00231AE7" w:rsidRPr="00231AE7" w:rsidRDefault="00231AE7" w:rsidP="00231AE7">
      <w:r w:rsidRPr="00231AE7">
        <w:t>For inclusion standards to have practical effect, they need to place explicit obligations on governing bodies and academic leadership. The standard should require that governing bodies actively maintain institutional environments that support people with disability, and that this obligation extends to how the institution designs and delivers its academic programs, not solely to what support services are available.</w:t>
      </w:r>
    </w:p>
    <w:p w14:paraId="02E7D790" w14:textId="77777777" w:rsidR="00231AE7" w:rsidRPr="00231AE7" w:rsidRDefault="00231AE7" w:rsidP="00231AE7">
      <w:r w:rsidRPr="00231AE7">
        <w:t>Meaningful inclusion also requires that students and staff with disability have a genuine voice in institutional planning, policy development, and decision-making. This is consistent with Australia's obligations under the United Nations Convention on the Rights of Persons with Disabilities (CRPD), Article 4, which requires active involvement and consultation with people with disability in the development of legislation and policies that affect them. It should be reflected explicitly in the amended standards.</w:t>
      </w:r>
    </w:p>
    <w:p w14:paraId="13456364" w14:textId="5E0E3349" w:rsidR="00231AE7" w:rsidRPr="00231AE7" w:rsidRDefault="00231AE7" w:rsidP="00231AE7">
      <w:r w:rsidRPr="00231AE7">
        <w:t xml:space="preserve">Disability Action Plans have been a common institutional response to inclusion obligations, but their effectiveness has been limited. In practice, they tend to be broad, unmeasurable, and disconnected from budget allocation and accountability. If the </w:t>
      </w:r>
      <w:r w:rsidRPr="00231AE7">
        <w:lastRenderedPageBreak/>
        <w:t xml:space="preserve">amended standards include requirements for disability-related planning or reporting, they must </w:t>
      </w:r>
      <w:r w:rsidR="0005775A">
        <w:t xml:space="preserve">be </w:t>
      </w:r>
      <w:r w:rsidRPr="00231AE7">
        <w:t>measurable, funded, and subject to annual review by governing bodies, not treated as static compliance documents.</w:t>
      </w:r>
    </w:p>
    <w:p w14:paraId="591493D1" w14:textId="6DD58B05" w:rsidR="00231AE7" w:rsidRDefault="00231AE7" w:rsidP="00845C8B">
      <w:pPr>
        <w:pStyle w:val="Heading4"/>
      </w:pPr>
      <w:r>
        <w:t xml:space="preserve">Recommendation 1: </w:t>
      </w:r>
    </w:p>
    <w:p w14:paraId="59AAF1A5" w14:textId="1EFB2561" w:rsidR="0015484C" w:rsidRDefault="0015484C" w:rsidP="0015484C">
      <w:r w:rsidRPr="0015484C">
        <w:t>Inclusion obligations should be placed explicitly on governing bodies and should extend to academic staff practice, course design, and institutional culture, not solely to the provision of disability support services. Standards should require meaningful participation of people with disability in institutional planning and decision-making processes.</w:t>
      </w:r>
    </w:p>
    <w:p w14:paraId="5D56BF2E" w14:textId="29A0EEB4" w:rsidR="0015484C" w:rsidRDefault="0015484C" w:rsidP="00845C8B">
      <w:pPr>
        <w:pStyle w:val="Heading4"/>
      </w:pPr>
      <w:r>
        <w:t>Recommendation 2:</w:t>
      </w:r>
    </w:p>
    <w:p w14:paraId="55063FFB" w14:textId="143E127D" w:rsidR="0015484C" w:rsidRPr="0015484C" w:rsidRDefault="0015484C" w:rsidP="0015484C">
      <w:r w:rsidRPr="0015484C">
        <w:t xml:space="preserve">Any disability-related planning </w:t>
      </w:r>
      <w:r>
        <w:t xml:space="preserve">or reporting </w:t>
      </w:r>
      <w:r w:rsidRPr="0015484C">
        <w:t xml:space="preserve">requirements under the Threshold Standards should </w:t>
      </w:r>
      <w:r>
        <w:t>be</w:t>
      </w:r>
      <w:r w:rsidRPr="0015484C">
        <w:t xml:space="preserve"> measurable</w:t>
      </w:r>
      <w:r>
        <w:t xml:space="preserve"> with </w:t>
      </w:r>
      <w:r w:rsidRPr="0015484C">
        <w:t>named accountabilities. Aspirational statements without these elements should not be sufficient to meet the standard.</w:t>
      </w:r>
    </w:p>
    <w:p w14:paraId="63A528DB" w14:textId="77777777" w:rsidR="0015484C" w:rsidRPr="0015484C" w:rsidRDefault="0015484C" w:rsidP="0015484C">
      <w:pPr>
        <w:pStyle w:val="Heading2"/>
      </w:pPr>
      <w:r w:rsidRPr="0015484C">
        <w:t>Universal Design: Implementation, Not Rhetoric</w:t>
      </w:r>
    </w:p>
    <w:p w14:paraId="70CAB089" w14:textId="70F095D0" w:rsidR="0015484C" w:rsidRPr="0015484C" w:rsidRDefault="0015484C" w:rsidP="0015484C">
      <w:r>
        <w:t xml:space="preserve">The </w:t>
      </w:r>
      <w:r w:rsidRPr="0015484C">
        <w:t>Universal Design</w:t>
      </w:r>
      <w:r>
        <w:t xml:space="preserve"> theme</w:t>
      </w:r>
      <w:r w:rsidRPr="0015484C">
        <w:t xml:space="preserve"> </w:t>
      </w:r>
      <w:r>
        <w:t>included in consultation on the</w:t>
      </w:r>
      <w:r w:rsidRPr="0015484C">
        <w:t xml:space="preserve"> Threshold Standards is welcome, and the framing matters. Universal Design </w:t>
      </w:r>
      <w:r w:rsidR="002E5D02">
        <w:t xml:space="preserve">should influence and </w:t>
      </w:r>
      <w:r w:rsidRPr="0015484C">
        <w:t>encompasse the full institutional environment: physical spaces, digital systems, communications, policies, procurement, and learning design. Universal Design for Learning (UDL) is one important component, focusing specifically on curriculum and pedagogy, but it is not the whole picture. Students with disability encounter barriers across every aspect of their university experience, not only in the classroom. The critical question</w:t>
      </w:r>
      <w:r>
        <w:t xml:space="preserve"> </w:t>
      </w:r>
      <w:r w:rsidRPr="0015484C">
        <w:t>is how Universal Design will be required, not simply whether it will be mentioned.</w:t>
      </w:r>
      <w:r>
        <w:t xml:space="preserve"> </w:t>
      </w:r>
      <w:r w:rsidRPr="0015484C">
        <w:t>Without a genuine commitment to proactive design, Universal Design risks becoming another line in a policy document rather than a genuine change in how institutions are built and how courses are delivered.</w:t>
      </w:r>
    </w:p>
    <w:p w14:paraId="2AE36265" w14:textId="77777777" w:rsidR="0015484C" w:rsidRPr="0015484C" w:rsidRDefault="0015484C" w:rsidP="0015484C">
      <w:r w:rsidRPr="0015484C">
        <w:t>The benefits of genuine Universal Design implementation extend well beyond students with disability. When the physical environment, digital systems, and course design are built to accommodate diverse users from the start, the number of individual reasonable adjustments required is reduced, the burden on students to navigate documentation and advocacy processes is lower, and academic staff spend less time managing ad hoc requests. It is in institutions’ interests to invest in this, and the Threshold Standards should make clear that it is expected.</w:t>
      </w:r>
    </w:p>
    <w:p w14:paraId="429353BD" w14:textId="77777777" w:rsidR="0015484C" w:rsidRPr="0015484C" w:rsidRDefault="0015484C" w:rsidP="0015484C">
      <w:r w:rsidRPr="0015484C">
        <w:t>The standards should also require that academic professional development in inclusive teaching extends to sessional and casual academic staff, who currently have the least access to institutional training yet often have direct and sustained contact with students.</w:t>
      </w:r>
    </w:p>
    <w:p w14:paraId="0E4C3A63" w14:textId="77777777" w:rsidR="00C56476" w:rsidRDefault="00C56476" w:rsidP="00845C8B">
      <w:pPr>
        <w:pStyle w:val="Heading4"/>
      </w:pPr>
      <w:r w:rsidRPr="00C56476">
        <w:lastRenderedPageBreak/>
        <w:t xml:space="preserve">Recommendation 3: </w:t>
      </w:r>
    </w:p>
    <w:p w14:paraId="763E98A6" w14:textId="49D1BCFE" w:rsidR="00C56476" w:rsidRPr="00C56476" w:rsidRDefault="00C56476" w:rsidP="00C56476">
      <w:r w:rsidRPr="00C56476">
        <w:t>The Threshold Standards should require that Universal Design principles are embedded across all aspects of institutional operations, including course and assessment design, physical environments, digital systems, procurement, and policy development. This should be addressed explicitly in course accreditation and periodic review processes, and requirements should extend to field trips, laboratory settings, work-integrated learning, and online environments.</w:t>
      </w:r>
    </w:p>
    <w:p w14:paraId="1DEBA9F5" w14:textId="77777777" w:rsidR="00C56476" w:rsidRPr="00845C8B" w:rsidRDefault="00C56476" w:rsidP="00845C8B">
      <w:pPr>
        <w:pStyle w:val="Heading4"/>
      </w:pPr>
      <w:r w:rsidRPr="00845C8B">
        <w:rPr>
          <w:rStyle w:val="Heading3Char"/>
          <w:sz w:val="24"/>
          <w:szCs w:val="24"/>
        </w:rPr>
        <w:t>Recommendation 4:</w:t>
      </w:r>
      <w:r w:rsidRPr="00845C8B">
        <w:t xml:space="preserve"> </w:t>
      </w:r>
    </w:p>
    <w:p w14:paraId="5A7315CF" w14:textId="55223F85" w:rsidR="00C56476" w:rsidRPr="00C56476" w:rsidRDefault="00C56476" w:rsidP="00C56476">
      <w:r w:rsidRPr="00C56476">
        <w:t>Universities should be required to ensure that all academic staff, including sessional and casual staff, have access to funded, structured professional development in inclusive teaching and assessment design. Workload recognition for participation should be required, not discretionary.</w:t>
      </w:r>
    </w:p>
    <w:p w14:paraId="67ABD907" w14:textId="77777777" w:rsidR="00C56476" w:rsidRDefault="00C56476" w:rsidP="00845C8B">
      <w:pPr>
        <w:pStyle w:val="Heading4"/>
      </w:pPr>
      <w:r w:rsidRPr="00C56476">
        <w:t xml:space="preserve">Recommendation 5: </w:t>
      </w:r>
    </w:p>
    <w:p w14:paraId="0C1889A2" w14:textId="74E3F145" w:rsidR="00C56476" w:rsidRPr="00C56476" w:rsidRDefault="00C56476" w:rsidP="00C56476">
      <w:r w:rsidRPr="00C56476">
        <w:t>Universities should be required to report publicly on the professional development provided to academic staff in inclusive teaching, including completion rates, to support transparency and accountability.</w:t>
      </w:r>
    </w:p>
    <w:p w14:paraId="40D7355D" w14:textId="77777777" w:rsidR="00C56476" w:rsidRPr="00C56476" w:rsidRDefault="00C56476" w:rsidP="00C56476">
      <w:pPr>
        <w:pStyle w:val="Heading2"/>
      </w:pPr>
      <w:r w:rsidRPr="00C56476">
        <w:t>Inherent Requirements: Proceed With Caution</w:t>
      </w:r>
    </w:p>
    <w:p w14:paraId="1B2701CA" w14:textId="77777777" w:rsidR="00C56476" w:rsidRPr="00C56476" w:rsidRDefault="00C56476" w:rsidP="00C56476">
      <w:r w:rsidRPr="00C56476">
        <w:t>This is an area where the Panel should tread carefully. The stated intent of strengthening inherent requirements provisions is to better inform students about what a course requires of them, and this is a legitimate aim. Students deserve clear, honest information about course demands so they can make informed decisions about enrolment and understand what adjustments can and cannot be made.</w:t>
      </w:r>
    </w:p>
    <w:p w14:paraId="427C540F" w14:textId="53C5086C" w:rsidR="00C56476" w:rsidRPr="00C56476" w:rsidRDefault="00C56476" w:rsidP="00C56476">
      <w:r w:rsidRPr="00C56476">
        <w:t xml:space="preserve">However, inherent requirements have a troubled history in Australian higher education. In practice, they </w:t>
      </w:r>
      <w:r w:rsidR="00AE116C">
        <w:t>occasionally have</w:t>
      </w:r>
      <w:r w:rsidRPr="00C56476">
        <w:t xml:space="preserve"> been used as a mechanism to restrict or exclude students with disability from programs of study, rather than to genuinely clarify minimum course requirements. </w:t>
      </w:r>
    </w:p>
    <w:p w14:paraId="36B1ADB3" w14:textId="77777777" w:rsidR="00C56476" w:rsidRPr="00C56476" w:rsidRDefault="00C56476" w:rsidP="00C56476">
      <w:r w:rsidRPr="00C56476">
        <w:t>The risk with strengthening inherent requirements provisions in the Threshold Standards is that more explicit standards in this area could inadvertently legitimise the use of inherent requirements as exclusion tools rather than information tools. A requirement that institutions publish and maintain inherent requirements could, if not carefully drafted, provide a more formal basis for restricting access than currently exists.</w:t>
      </w:r>
    </w:p>
    <w:p w14:paraId="5961753B" w14:textId="6E7068AE" w:rsidR="00C56476" w:rsidRPr="00C56476" w:rsidRDefault="00C56476" w:rsidP="00C56476">
      <w:r w:rsidRPr="00C56476">
        <w:t>If the Panel proceeds with inherent requirements provisions, the following safeguards are essential. Inherent requirements should reflect the minimum genuinely necessary to achieve the learning outcomes of a course, not the preferences of a professional body or the assumptions of a discipline about how outcomes should be demonstrated. They should be developed with reference to Universal Design principles</w:t>
      </w:r>
      <w:r>
        <w:t xml:space="preserve"> and reasonable </w:t>
      </w:r>
      <w:r>
        <w:lastRenderedPageBreak/>
        <w:t>adjustment</w:t>
      </w:r>
      <w:r w:rsidRPr="00C56476">
        <w:t xml:space="preserve">, asking whether the way a requirement is expressed reflects a genuine necessity or an inherited assumption about how tasks must be performed. </w:t>
      </w:r>
    </w:p>
    <w:p w14:paraId="0ADB4409" w14:textId="62BCCDCB" w:rsidR="00C56476" w:rsidRPr="00C56476" w:rsidRDefault="00C56476" w:rsidP="00C56476">
      <w:r w:rsidRPr="00C56476">
        <w:t xml:space="preserve">Critically, the standards should make clear that the existence of published inherent requirements does not remove or reduce an institution's obligations under the Disability Discrimination Act 1992 and the Disability Standards for Education 2005. </w:t>
      </w:r>
    </w:p>
    <w:p w14:paraId="5BABF204" w14:textId="77777777" w:rsidR="00C56476" w:rsidRPr="00A65F40" w:rsidRDefault="00C56476" w:rsidP="00A65F40">
      <w:pPr>
        <w:pStyle w:val="Heading4"/>
      </w:pPr>
      <w:r w:rsidRPr="00A65F40">
        <w:rPr>
          <w:rStyle w:val="Heading3Char"/>
          <w:sz w:val="24"/>
          <w:szCs w:val="24"/>
        </w:rPr>
        <w:t>Recommendation 6:</w:t>
      </w:r>
      <w:r w:rsidRPr="00A65F40">
        <w:t xml:space="preserve"> </w:t>
      </w:r>
    </w:p>
    <w:p w14:paraId="18CDBA74" w14:textId="60709FB6" w:rsidR="00C56476" w:rsidRPr="00C56476" w:rsidRDefault="00C56476" w:rsidP="00C56476">
      <w:r w:rsidRPr="00C56476">
        <w:t>The Panel should proceed cautiously with inherent requirements provisions. The primary purpose of any provision should be to ensure students are clearly informed about course requirements, not to formalise mechanisms for restricting access. Any new provisions should include explicit safeguards against the use of inherent requirements as exclusion tools, require regular review, and make clear that inherent requirements do not override obligations under disability legislation.</w:t>
      </w:r>
    </w:p>
    <w:p w14:paraId="0A9A044A" w14:textId="77777777" w:rsidR="009E396D" w:rsidRPr="009E396D" w:rsidRDefault="009E396D" w:rsidP="00AE116C">
      <w:pPr>
        <w:pStyle w:val="Heading2"/>
      </w:pPr>
      <w:r w:rsidRPr="009E396D">
        <w:t xml:space="preserve">Question 7: </w:t>
      </w:r>
      <w:r w:rsidRPr="00AE116C">
        <w:t>Accountability</w:t>
      </w:r>
      <w:r w:rsidRPr="009E396D">
        <w:t>, Governance and Provider Practice</w:t>
      </w:r>
    </w:p>
    <w:p w14:paraId="51A33E82" w14:textId="77777777" w:rsidR="009E396D" w:rsidRDefault="009E396D" w:rsidP="009E396D">
      <w:r w:rsidRPr="009E396D">
        <w:t>The proposed themes will only promote accountability and improved provider practice if the standards are drafted with sufficient strength and if genuine accountability mechanisms are built in. The sector's track record with implicit and principles-based disability obligations is not encouraging. The consistent pattern across disability-related policy frameworks in Australian higher education has been strong statements of intent, limited implementation monitoring, and outcomes that depend heavily on individual institutional culture rather than consistent standard-setting.</w:t>
      </w:r>
    </w:p>
    <w:p w14:paraId="3135A7AD" w14:textId="0FAADA08" w:rsidR="00845C8B" w:rsidRDefault="00845C8B" w:rsidP="00845C8B">
      <w:pPr>
        <w:pStyle w:val="Heading3"/>
      </w:pPr>
      <w:r>
        <w:t>Academic accountability and education</w:t>
      </w:r>
    </w:p>
    <w:p w14:paraId="2B5E23CB" w14:textId="70CADAB8" w:rsidR="00D55338" w:rsidRPr="00D55338" w:rsidRDefault="00D55338" w:rsidP="00D55338">
      <w:r w:rsidRPr="00D55338">
        <w:t xml:space="preserve">One of the most significant and persistent problems in disability support in Australian higher education is that academic staff are not meaningfully accountable for implementing access plans or for the inclusivity of their teaching practice. Disability support staff identify appropriate adjustments and develop access </w:t>
      </w:r>
      <w:r w:rsidR="00AE116C" w:rsidRPr="00D55338">
        <w:t>plans and</w:t>
      </w:r>
      <w:r w:rsidRPr="00D55338">
        <w:t xml:space="preserve"> then have very limited recourse when those adjustments are not implemented.</w:t>
      </w:r>
    </w:p>
    <w:p w14:paraId="558FFD09" w14:textId="77777777" w:rsidR="00D55338" w:rsidRPr="00D55338" w:rsidRDefault="00D55338" w:rsidP="00D55338">
      <w:r w:rsidRPr="00D55338">
        <w:t>This is not primarily a problem of attitude, though ableist attitudes do exist in the sector and should not be minimised. It is a structural problem, and academic workload is a central part of it. Many academics are genuinely time-poor and operating under significant pressure. Casualisation of the workforce means that a large proportion of the people who actually teach students have insecure employment, little time for activities outside direct teaching, and minimal access to professional development. Expecting academic staff to consistently implement individualised access plans, redesign assessments, and engage proactively with disability support services is not realistic without structural support and workload recognition. When implementation fails, it is not always because of unwillingness. Sometimes it is because the workload simply has not been accounted for.</w:t>
      </w:r>
    </w:p>
    <w:p w14:paraId="0FEB1764" w14:textId="77777777" w:rsidR="00D55338" w:rsidRPr="00D55338" w:rsidRDefault="00D55338" w:rsidP="00D55338">
      <w:r w:rsidRPr="00D55338">
        <w:lastRenderedPageBreak/>
        <w:t>This does not reduce institutional responsibility. It changes where that responsibility should sit. If academic staff are expected to implement access plans as part of their teaching role, then universities need to make that expectation explicit, resource it properly, and include it in workload calculations. At the moment, none of these things happen consistently. Academic promotion and performance review processes do not generally include inclusive teaching as a criterion. There is no meaningful consequence for an academic staff member who fails to implement a student's documented adjustments. Disability practitioners frequently do not have the institutional standing to escalate non-compliance effectively. And universities are not required to report on whether their access plan implementation rates or adjustment processes are actually working.</w:t>
      </w:r>
    </w:p>
    <w:p w14:paraId="48ED17FE" w14:textId="35E58F8E" w:rsidR="00D55338" w:rsidRPr="00D55338" w:rsidRDefault="00D55338" w:rsidP="00D55338">
      <w:r w:rsidRPr="00D55338">
        <w:t>Part of the solution may also lie in reducing the volume of individual adjustments that academic staff are asked to implement in the first place. When Universal Design</w:t>
      </w:r>
      <w:r w:rsidR="00AE116C">
        <w:t xml:space="preserve"> for Learning</w:t>
      </w:r>
      <w:r w:rsidRPr="00D55338">
        <w:t xml:space="preserve"> is genuinely embedded into course design, the need for ad hoc, individualised adjustments decreases. This is one of the strongest practical arguments for requiring Universal Design</w:t>
      </w:r>
      <w:r w:rsidR="00AE116C">
        <w:t xml:space="preserve"> for Leaning</w:t>
      </w:r>
      <w:r w:rsidRPr="00D55338">
        <w:t xml:space="preserve"> from the outset: it reduces pressure on individual academics while improving outcomes for students. The Threshold Standards can drive this by making clear that Universal Design</w:t>
      </w:r>
      <w:r w:rsidR="00AE116C">
        <w:t xml:space="preserve"> and Universal Design for Learning</w:t>
      </w:r>
      <w:r w:rsidRPr="00D55338">
        <w:t xml:space="preserve"> is an institutional obligation, not an optional enhancement.</w:t>
      </w:r>
    </w:p>
    <w:p w14:paraId="4ABE3BBF" w14:textId="77777777" w:rsidR="00D55338" w:rsidRPr="00D55338" w:rsidRDefault="00D55338" w:rsidP="00D55338">
      <w:r w:rsidRPr="00D55338">
        <w:t>The amended Threshold Standards present a real opportunity to address the structural side of this problem. Strengthened standards on staffing profiles and teaching quality, as proposed in the consultation paper, should explicitly include disability-inclusive teaching practice as part of what constitutes quality teaching. This means naming academic staff as responsible parties for implementing student support arrangements, requiring that this responsibility is incorporated into performance and promotion frameworks, and requiring that universities provide adequate resourcing and workload recognition to make implementation realistic rather than notional.</w:t>
      </w:r>
    </w:p>
    <w:p w14:paraId="6F818D4D" w14:textId="77777777" w:rsidR="00D55338" w:rsidRDefault="00D55338" w:rsidP="00AE116C">
      <w:pPr>
        <w:pStyle w:val="Heading4"/>
      </w:pPr>
      <w:r w:rsidRPr="00D55338">
        <w:t xml:space="preserve">Recommendation 7: </w:t>
      </w:r>
    </w:p>
    <w:p w14:paraId="7F06EB5F" w14:textId="551A5D7E" w:rsidR="00D55338" w:rsidRPr="00D55338" w:rsidRDefault="00D55338" w:rsidP="00D55338">
      <w:r w:rsidRPr="00D55338">
        <w:t>The Threshold Standards should explicitly name teaching staff as responsible parties for implementing student support arrangements, and require that inclusive teaching capability, including the implementation of access plans and reasonable adjustments, is incorporated as a criterion in academic performance review and promotion processes. Universities should also be required to demonstrate that workload models adequately account for the time required to implement access arrangements and engage in inclusive course design.</w:t>
      </w:r>
    </w:p>
    <w:p w14:paraId="5D984CEB" w14:textId="77777777" w:rsidR="00D55338" w:rsidRPr="00D55338" w:rsidRDefault="00D55338" w:rsidP="00AE116C">
      <w:pPr>
        <w:pStyle w:val="Heading3"/>
      </w:pPr>
      <w:r w:rsidRPr="00D55338">
        <w:t>The Role of Disability Practitioners and Services</w:t>
      </w:r>
    </w:p>
    <w:p w14:paraId="36CBB41B" w14:textId="77777777" w:rsidR="00D55338" w:rsidRPr="00D55338" w:rsidRDefault="00D55338" w:rsidP="00D55338">
      <w:r w:rsidRPr="00D55338">
        <w:t xml:space="preserve">Disability practitioners are among the most knowledgeable people in the higher education sector on questions of accessibility, inclusion, and student support. Yet they </w:t>
      </w:r>
      <w:r w:rsidRPr="00D55338">
        <w:lastRenderedPageBreak/>
        <w:t>are frequently positioned in ways that limit their ability to influence institutional practice. Grouped with general student advisory roles, operating without senior leadership backing, and regarded as a service rather than as a source of expertise, disability services teams are often doing more with less and with less institutional authority than their expertise warrants.</w:t>
      </w:r>
    </w:p>
    <w:p w14:paraId="3FC93664" w14:textId="77777777" w:rsidR="00D55338" w:rsidRPr="00D55338" w:rsidRDefault="00D55338" w:rsidP="00D55338">
      <w:r w:rsidRPr="00D55338">
        <w:t>For the amended Threshold Standards to produce genuine change, governing bodies need to be required to ensure that disability services have appropriate institutional standing to contribute to course design, policy development, curriculum review, and academic governance processes. Disability support is not a back-office function. It should inform how institutions plan and deliver education.</w:t>
      </w:r>
    </w:p>
    <w:p w14:paraId="25387837" w14:textId="77777777" w:rsidR="00D55338" w:rsidRPr="00D55338" w:rsidRDefault="00D55338" w:rsidP="00D55338">
      <w:r w:rsidRPr="00D55338">
        <w:t>The ACSES Fellowship is currently developing professional standards for disability practitioners as one of its outputs. Stronger Threshold Standards will require a workforce capable of meeting them. Investment in the professionalisation of disability practitioners, including through recognition of their expertise and appropriate positioning within institutional structures, is a necessary complement to regulatory reform.</w:t>
      </w:r>
    </w:p>
    <w:p w14:paraId="22C464BF" w14:textId="77777777" w:rsidR="00D55338" w:rsidRDefault="00D55338" w:rsidP="00AE116C">
      <w:pPr>
        <w:pStyle w:val="Heading4"/>
      </w:pPr>
      <w:r w:rsidRPr="00D55338">
        <w:t xml:space="preserve">Recommendation </w:t>
      </w:r>
      <w:r>
        <w:t>8</w:t>
      </w:r>
      <w:r w:rsidRPr="00D55338">
        <w:t xml:space="preserve">: </w:t>
      </w:r>
    </w:p>
    <w:p w14:paraId="0268A050" w14:textId="1DF6DE8C" w:rsidR="00D55338" w:rsidRPr="00D55338" w:rsidRDefault="00D55338" w:rsidP="00D55338">
      <w:r w:rsidRPr="00D55338">
        <w:t>Governing bodies should be required to ensure that disability services have sufficient institutional standing and authority to participate in course design, policy development, and academic governance. Disability practitioners' expertise should inform institutional practice, not only individual student support.</w:t>
      </w:r>
    </w:p>
    <w:p w14:paraId="443C8595" w14:textId="77777777" w:rsidR="00D55338" w:rsidRPr="00D55338" w:rsidRDefault="00D55338" w:rsidP="00AE116C">
      <w:pPr>
        <w:pStyle w:val="Heading3"/>
      </w:pPr>
      <w:r w:rsidRPr="00D55338">
        <w:t>Data, Reporting and Accountability</w:t>
      </w:r>
    </w:p>
    <w:p w14:paraId="60DD8915" w14:textId="41E62309" w:rsidR="00D55338" w:rsidRPr="00D55338" w:rsidRDefault="00D55338" w:rsidP="00D55338">
      <w:r w:rsidRPr="00D55338">
        <w:t xml:space="preserve">Current reporting requirements do not give an accurate picture of how institutions are performing in supporting people with disability. Compliance data showing that a university has a disability action plan, or that a certain number of students have access plans, tells us very little about whether students are </w:t>
      </w:r>
      <w:r w:rsidR="00845C8B" w:rsidRPr="00D55338">
        <w:t>experiencing</w:t>
      </w:r>
      <w:r w:rsidRPr="00D55338">
        <w:t xml:space="preserve"> better outcomes.</w:t>
      </w:r>
    </w:p>
    <w:p w14:paraId="2DE0D04F" w14:textId="5085B83A" w:rsidR="00D55338" w:rsidRPr="00D55338" w:rsidRDefault="00D55338" w:rsidP="00D55338">
      <w:r w:rsidRPr="00D55338">
        <w:t xml:space="preserve">The amended standards should require institutions to report publicly on outcome data for students with disability, disaggregated from overall student data. This should include completion rates, satisfaction data, and where possible, data on access plan implementation. </w:t>
      </w:r>
    </w:p>
    <w:p w14:paraId="24A42CD6" w14:textId="7DD5612D" w:rsidR="00D55338" w:rsidRPr="00D55338" w:rsidRDefault="00D55338" w:rsidP="00D55338">
      <w:r w:rsidRPr="00D55338">
        <w:t xml:space="preserve">Meaningful accountability also requires that students themselves have accessible, well-publicised mechanisms to report on whether their support is working, without fear of retaliation. </w:t>
      </w:r>
      <w:r>
        <w:t>T</w:t>
      </w:r>
      <w:r w:rsidRPr="00D55338">
        <w:t>he Threshold Standards should require that universities have in place accessible, confidential feedback mechanisms that students with disability can use without risk.</w:t>
      </w:r>
    </w:p>
    <w:p w14:paraId="0D63371F" w14:textId="77777777" w:rsidR="00D55338" w:rsidRDefault="00D55338" w:rsidP="00AE116C">
      <w:pPr>
        <w:pStyle w:val="Heading4"/>
      </w:pPr>
      <w:r w:rsidRPr="00D55338">
        <w:lastRenderedPageBreak/>
        <w:t xml:space="preserve">Recommendation </w:t>
      </w:r>
      <w:r>
        <w:t>9</w:t>
      </w:r>
      <w:r w:rsidRPr="00D55338">
        <w:t xml:space="preserve"> </w:t>
      </w:r>
    </w:p>
    <w:p w14:paraId="55997379" w14:textId="6D631681" w:rsidR="00D55338" w:rsidRPr="00D55338" w:rsidRDefault="00D55338" w:rsidP="00D55338">
      <w:r w:rsidRPr="00D55338">
        <w:t>The Threshold Standards should require universities to report publicly on outcomes for students with disability, including completion rates and satisfaction data, disaggregated from overall student cohort data. Compliance reporting should demonstrate outcomes, not only the existence of policies and plans.</w:t>
      </w:r>
    </w:p>
    <w:p w14:paraId="65B5CA58" w14:textId="77777777" w:rsidR="00D55338" w:rsidRDefault="00D55338" w:rsidP="00AE116C">
      <w:pPr>
        <w:pStyle w:val="Heading4"/>
      </w:pPr>
      <w:r w:rsidRPr="00D55338">
        <w:t>Recommendation 1</w:t>
      </w:r>
      <w:r>
        <w:t>0</w:t>
      </w:r>
      <w:r w:rsidRPr="00D55338">
        <w:t xml:space="preserve">: </w:t>
      </w:r>
    </w:p>
    <w:p w14:paraId="7AEFCA10" w14:textId="03621B16" w:rsidR="00D55338" w:rsidRPr="00D55338" w:rsidRDefault="00D55338" w:rsidP="00D55338">
      <w:r w:rsidRPr="00D55338">
        <w:t>Universities should be required to provide accessible, confidential feedback mechanisms specifically for students with disability to report on whether their support arrangements are working, and to flag barriers or failures without risk to their academic standing or relationships with staff.</w:t>
      </w:r>
    </w:p>
    <w:p w14:paraId="4002DA3F" w14:textId="77777777" w:rsidR="00D55338" w:rsidRPr="00D55338" w:rsidRDefault="00D55338" w:rsidP="00AE116C">
      <w:pPr>
        <w:pStyle w:val="Heading3"/>
      </w:pPr>
      <w:r w:rsidRPr="00D55338">
        <w:t>Closing Comments</w:t>
      </w:r>
    </w:p>
    <w:p w14:paraId="487B6EB7" w14:textId="7E07F253" w:rsidR="00D55338" w:rsidRPr="00D55338" w:rsidRDefault="00D55338" w:rsidP="00D55338">
      <w:r w:rsidRPr="00D55338">
        <w:t>The proposed amendments to the Threshold Standards represent a genuine opportunity to shift Australian higher education toward more consistent, accountable, and genuinely inclusive practice for people with disability. The test will be in whether the final amendments are drafted with enough clarity and backed with enough accountability to produce real change</w:t>
      </w:r>
      <w:r w:rsidR="002E5D02">
        <w:t>.</w:t>
      </w:r>
    </w:p>
    <w:p w14:paraId="5D4EC6AA" w14:textId="11E850FE" w:rsidR="0015484C" w:rsidRPr="0015484C" w:rsidRDefault="00D55338" w:rsidP="0015484C">
      <w:r w:rsidRPr="00D55338">
        <w:t>I encourage the Panel to draft standards that require demonstrable outcomes, not just policies and plans; that hold governing bodies and academic staff accountable, not just disability services; and that are reviewed against disaggregated student outcome data in every cyclical review cycle.</w:t>
      </w:r>
    </w:p>
    <w:sectPr w:rsidR="0015484C" w:rsidRPr="0015484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CF17" w14:textId="77777777" w:rsidR="006B27B6" w:rsidRDefault="006B27B6" w:rsidP="007F3C4B">
      <w:pPr>
        <w:spacing w:after="0" w:line="240" w:lineRule="auto"/>
      </w:pPr>
      <w:r>
        <w:separator/>
      </w:r>
    </w:p>
  </w:endnote>
  <w:endnote w:type="continuationSeparator" w:id="0">
    <w:p w14:paraId="3D64B21E" w14:textId="77777777" w:rsidR="006B27B6" w:rsidRDefault="006B27B6" w:rsidP="007F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021260"/>
      <w:docPartObj>
        <w:docPartGallery w:val="Page Numbers (Bottom of Page)"/>
        <w:docPartUnique/>
      </w:docPartObj>
    </w:sdtPr>
    <w:sdtEndPr>
      <w:rPr>
        <w:noProof/>
      </w:rPr>
    </w:sdtEndPr>
    <w:sdtContent>
      <w:p w14:paraId="2921CE5D" w14:textId="5C06C075" w:rsidR="007F3C4B" w:rsidRDefault="007F3C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8C1376" w14:textId="77777777" w:rsidR="007F3C4B" w:rsidRDefault="007F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5F40" w14:textId="77777777" w:rsidR="006B27B6" w:rsidRDefault="006B27B6" w:rsidP="007F3C4B">
      <w:pPr>
        <w:spacing w:after="0" w:line="240" w:lineRule="auto"/>
      </w:pPr>
      <w:r>
        <w:separator/>
      </w:r>
    </w:p>
  </w:footnote>
  <w:footnote w:type="continuationSeparator" w:id="0">
    <w:p w14:paraId="7DDB837F" w14:textId="77777777" w:rsidR="006B27B6" w:rsidRDefault="006B27B6" w:rsidP="007F3C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E7"/>
    <w:rsid w:val="0005775A"/>
    <w:rsid w:val="0015484C"/>
    <w:rsid w:val="001B5F2A"/>
    <w:rsid w:val="00231AE7"/>
    <w:rsid w:val="002E5D02"/>
    <w:rsid w:val="00324E50"/>
    <w:rsid w:val="00423C92"/>
    <w:rsid w:val="00560298"/>
    <w:rsid w:val="00686EC2"/>
    <w:rsid w:val="006B27B6"/>
    <w:rsid w:val="007E6B05"/>
    <w:rsid w:val="007F3C4B"/>
    <w:rsid w:val="00845C8B"/>
    <w:rsid w:val="008A2D29"/>
    <w:rsid w:val="009E396D"/>
    <w:rsid w:val="00A21B46"/>
    <w:rsid w:val="00A65F40"/>
    <w:rsid w:val="00A823C2"/>
    <w:rsid w:val="00AE116C"/>
    <w:rsid w:val="00BD0EC3"/>
    <w:rsid w:val="00C56476"/>
    <w:rsid w:val="00D55338"/>
    <w:rsid w:val="00D903CB"/>
    <w:rsid w:val="00EC71A6"/>
    <w:rsid w:val="00F47C57"/>
    <w:rsid w:val="00F83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3EC3"/>
  <w15:chartTrackingRefBased/>
  <w15:docId w15:val="{CA5B052B-9028-473C-B074-1F0D4E76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1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1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31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1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1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31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AE7"/>
    <w:rPr>
      <w:rFonts w:eastAsiaTheme="majorEastAsia" w:cstheme="majorBidi"/>
      <w:color w:val="272727" w:themeColor="text1" w:themeTint="D8"/>
    </w:rPr>
  </w:style>
  <w:style w:type="paragraph" w:styleId="Title">
    <w:name w:val="Title"/>
    <w:basedOn w:val="Normal"/>
    <w:next w:val="Normal"/>
    <w:link w:val="TitleChar"/>
    <w:uiPriority w:val="10"/>
    <w:qFormat/>
    <w:rsid w:val="00231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AE7"/>
    <w:pPr>
      <w:spacing w:before="160"/>
      <w:jc w:val="center"/>
    </w:pPr>
    <w:rPr>
      <w:i/>
      <w:iCs/>
      <w:color w:val="404040" w:themeColor="text1" w:themeTint="BF"/>
    </w:rPr>
  </w:style>
  <w:style w:type="character" w:customStyle="1" w:styleId="QuoteChar">
    <w:name w:val="Quote Char"/>
    <w:basedOn w:val="DefaultParagraphFont"/>
    <w:link w:val="Quote"/>
    <w:uiPriority w:val="29"/>
    <w:rsid w:val="00231AE7"/>
    <w:rPr>
      <w:i/>
      <w:iCs/>
      <w:color w:val="404040" w:themeColor="text1" w:themeTint="BF"/>
    </w:rPr>
  </w:style>
  <w:style w:type="paragraph" w:styleId="ListParagraph">
    <w:name w:val="List Paragraph"/>
    <w:basedOn w:val="Normal"/>
    <w:uiPriority w:val="34"/>
    <w:qFormat/>
    <w:rsid w:val="00231AE7"/>
    <w:pPr>
      <w:ind w:left="720"/>
      <w:contextualSpacing/>
    </w:pPr>
  </w:style>
  <w:style w:type="character" w:styleId="IntenseEmphasis">
    <w:name w:val="Intense Emphasis"/>
    <w:basedOn w:val="DefaultParagraphFont"/>
    <w:uiPriority w:val="21"/>
    <w:qFormat/>
    <w:rsid w:val="00231AE7"/>
    <w:rPr>
      <w:i/>
      <w:iCs/>
      <w:color w:val="0F4761" w:themeColor="accent1" w:themeShade="BF"/>
    </w:rPr>
  </w:style>
  <w:style w:type="paragraph" w:styleId="IntenseQuote">
    <w:name w:val="Intense Quote"/>
    <w:basedOn w:val="Normal"/>
    <w:next w:val="Normal"/>
    <w:link w:val="IntenseQuoteChar"/>
    <w:uiPriority w:val="30"/>
    <w:qFormat/>
    <w:rsid w:val="00231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AE7"/>
    <w:rPr>
      <w:i/>
      <w:iCs/>
      <w:color w:val="0F4761" w:themeColor="accent1" w:themeShade="BF"/>
    </w:rPr>
  </w:style>
  <w:style w:type="character" w:styleId="IntenseReference">
    <w:name w:val="Intense Reference"/>
    <w:basedOn w:val="DefaultParagraphFont"/>
    <w:uiPriority w:val="32"/>
    <w:qFormat/>
    <w:rsid w:val="00231AE7"/>
    <w:rPr>
      <w:b/>
      <w:bCs/>
      <w:smallCaps/>
      <w:color w:val="0F4761" w:themeColor="accent1" w:themeShade="BF"/>
      <w:spacing w:val="5"/>
    </w:rPr>
  </w:style>
  <w:style w:type="paragraph" w:styleId="Header">
    <w:name w:val="header"/>
    <w:basedOn w:val="Normal"/>
    <w:link w:val="HeaderChar"/>
    <w:uiPriority w:val="99"/>
    <w:unhideWhenUsed/>
    <w:rsid w:val="007F3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C4B"/>
  </w:style>
  <w:style w:type="paragraph" w:styleId="Footer">
    <w:name w:val="footer"/>
    <w:basedOn w:val="Normal"/>
    <w:link w:val="FooterChar"/>
    <w:uiPriority w:val="99"/>
    <w:unhideWhenUsed/>
    <w:rsid w:val="007F3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C4B"/>
  </w:style>
  <w:style w:type="paragraph" w:styleId="TOCHeading">
    <w:name w:val="TOC Heading"/>
    <w:basedOn w:val="Heading1"/>
    <w:next w:val="Normal"/>
    <w:uiPriority w:val="39"/>
    <w:unhideWhenUsed/>
    <w:qFormat/>
    <w:rsid w:val="007F3C4B"/>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F3C4B"/>
    <w:pPr>
      <w:spacing w:after="100"/>
    </w:pPr>
  </w:style>
  <w:style w:type="paragraph" w:styleId="TOC2">
    <w:name w:val="toc 2"/>
    <w:basedOn w:val="Normal"/>
    <w:next w:val="Normal"/>
    <w:autoRedefine/>
    <w:uiPriority w:val="39"/>
    <w:unhideWhenUsed/>
    <w:rsid w:val="007F3C4B"/>
    <w:pPr>
      <w:spacing w:after="100"/>
      <w:ind w:left="240"/>
    </w:pPr>
  </w:style>
  <w:style w:type="paragraph" w:styleId="TOC3">
    <w:name w:val="toc 3"/>
    <w:basedOn w:val="Normal"/>
    <w:next w:val="Normal"/>
    <w:autoRedefine/>
    <w:uiPriority w:val="39"/>
    <w:unhideWhenUsed/>
    <w:rsid w:val="007F3C4B"/>
    <w:pPr>
      <w:spacing w:after="100"/>
      <w:ind w:left="480"/>
    </w:pPr>
  </w:style>
  <w:style w:type="character" w:styleId="Hyperlink">
    <w:name w:val="Hyperlink"/>
    <w:basedOn w:val="DefaultParagraphFont"/>
    <w:uiPriority w:val="99"/>
    <w:unhideWhenUsed/>
    <w:rsid w:val="007F3C4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C6F27D6F-BB33-4686-81A5-A2F96E3EE8F8}">
  <ds:schemaRefs>
    <ds:schemaRef ds:uri="http://schemas.openxmlformats.org/officeDocument/2006/bibliography"/>
  </ds:schemaRefs>
</ds:datastoreItem>
</file>

<file path=customXml/itemProps2.xml><?xml version="1.0" encoding="utf-8"?>
<ds:datastoreItem xmlns:ds="http://schemas.openxmlformats.org/officeDocument/2006/customXml" ds:itemID="{6AE37F5E-1EFB-48BE-A705-21EAE9896190}"/>
</file>

<file path=customXml/itemProps3.xml><?xml version="1.0" encoding="utf-8"?>
<ds:datastoreItem xmlns:ds="http://schemas.openxmlformats.org/officeDocument/2006/customXml" ds:itemID="{9FA02DAE-7335-4B59-BAC6-5370BD51E31D}"/>
</file>

<file path=customXml/itemProps4.xml><?xml version="1.0" encoding="utf-8"?>
<ds:datastoreItem xmlns:ds="http://schemas.openxmlformats.org/officeDocument/2006/customXml" ds:itemID="{63D6CBDE-4D36-4CE4-825A-D9A30225FFAB}"/>
</file>

<file path=docProps/app.xml><?xml version="1.0" encoding="utf-8"?>
<Properties xmlns="http://schemas.openxmlformats.org/officeDocument/2006/extended-properties" xmlns:vt="http://schemas.openxmlformats.org/officeDocument/2006/docPropsVTypes">
  <Template>Normal.dotm</Template>
  <TotalTime>1</TotalTime>
  <Pages>8</Pages>
  <Words>2941</Words>
  <Characters>17005</Characters>
  <Application>Microsoft Office Word</Application>
  <DocSecurity>0</DocSecurity>
  <Lines>309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McLennan</dc:creator>
  <cp:keywords/>
  <dc:description/>
  <cp:lastModifiedBy>LEI, Melissa</cp:lastModifiedBy>
  <cp:revision>3</cp:revision>
  <dcterms:created xsi:type="dcterms:W3CDTF">2026-04-16T08:23:00Z</dcterms:created>
  <dcterms:modified xsi:type="dcterms:W3CDTF">2026-04-20T01:27:00Z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2026-04-16T08:22:41Z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2be34cf1-a809-4aa0-b0e5-bc3fca6610e7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