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E55F0" w14:textId="77777777" w:rsidR="00997DA8" w:rsidRDefault="00997DA8" w:rsidP="00997DA8">
      <w:pPr>
        <w:tabs>
          <w:tab w:val="left" w:pos="709"/>
        </w:tabs>
        <w:rPr>
          <w:b/>
          <w:bCs/>
        </w:rPr>
      </w:pPr>
      <w:r w:rsidRPr="00997DA8">
        <w:rPr>
          <w:b/>
          <w:bCs/>
        </w:rPr>
        <w:t>Consultation on amendments to the Higher Education Standards Framework (Threshold Standards) 2021</w:t>
      </w:r>
    </w:p>
    <w:p w14:paraId="370E006D" w14:textId="77777777" w:rsidR="00997DA8" w:rsidRPr="00997DA8" w:rsidRDefault="00997DA8" w:rsidP="00997DA8">
      <w:pPr>
        <w:tabs>
          <w:tab w:val="left" w:pos="709"/>
        </w:tabs>
        <w:rPr>
          <w:b/>
          <w:bCs/>
        </w:rPr>
      </w:pPr>
    </w:p>
    <w:p w14:paraId="41ABB083" w14:textId="4F82185C" w:rsidR="00104355" w:rsidRPr="00080A50" w:rsidRDefault="00104355" w:rsidP="00104355">
      <w:pPr>
        <w:tabs>
          <w:tab w:val="left" w:pos="709"/>
        </w:tabs>
        <w:rPr>
          <w:color w:val="002060"/>
        </w:rPr>
      </w:pPr>
      <w:r w:rsidRPr="00080A50">
        <w:rPr>
          <w:color w:val="002060"/>
        </w:rPr>
        <w:t xml:space="preserve">6. To what extent would the proposed themes in the consultation paper (inclusion, universal design and inherent requirements) </w:t>
      </w:r>
      <w:r w:rsidRPr="00080A50">
        <w:rPr>
          <w:b/>
          <w:bCs/>
          <w:color w:val="002060"/>
        </w:rPr>
        <w:t>drive a more inclusive and equitable higher education system and drive student outcomes?</w:t>
      </w:r>
      <w:r w:rsidRPr="00080A50">
        <w:rPr>
          <w:color w:val="002060"/>
        </w:rPr>
        <w:t xml:space="preserve"> </w:t>
      </w:r>
    </w:p>
    <w:p w14:paraId="780292D4" w14:textId="4BC20C3F" w:rsidR="00104355" w:rsidRDefault="00DE1B47" w:rsidP="00104355">
      <w:pPr>
        <w:tabs>
          <w:tab w:val="left" w:pos="709"/>
        </w:tabs>
      </w:pPr>
      <w:r>
        <w:t xml:space="preserve">The </w:t>
      </w:r>
      <w:r w:rsidR="00080A50">
        <w:t>themes</w:t>
      </w:r>
      <w:r>
        <w:t xml:space="preserve"> proposed in the consultation are essential in driving more inclusive and equitable practice.</w:t>
      </w:r>
    </w:p>
    <w:p w14:paraId="15C7CFE5" w14:textId="77777777" w:rsidR="00104355" w:rsidRPr="00DE1B47" w:rsidRDefault="00104355" w:rsidP="00104355">
      <w:pPr>
        <w:pStyle w:val="ListParagraph"/>
        <w:numPr>
          <w:ilvl w:val="0"/>
          <w:numId w:val="3"/>
        </w:numPr>
        <w:tabs>
          <w:tab w:val="left" w:pos="709"/>
        </w:tabs>
        <w:rPr>
          <w:i/>
          <w:iCs/>
        </w:rPr>
      </w:pPr>
      <w:r w:rsidRPr="00DE1B47">
        <w:rPr>
          <w:i/>
          <w:iCs/>
        </w:rPr>
        <w:t xml:space="preserve">promoting a whole of institution approach to support for students with disability </w:t>
      </w:r>
    </w:p>
    <w:p w14:paraId="2D7F47DA" w14:textId="77777777" w:rsidR="00104355" w:rsidRPr="00DE1B47" w:rsidRDefault="00104355" w:rsidP="00104355">
      <w:pPr>
        <w:pStyle w:val="ListParagraph"/>
        <w:numPr>
          <w:ilvl w:val="0"/>
          <w:numId w:val="3"/>
        </w:numPr>
        <w:tabs>
          <w:tab w:val="left" w:pos="709"/>
        </w:tabs>
        <w:rPr>
          <w:i/>
          <w:iCs/>
        </w:rPr>
      </w:pPr>
      <w:r w:rsidRPr="00DE1B47">
        <w:rPr>
          <w:i/>
          <w:iCs/>
        </w:rPr>
        <w:t xml:space="preserve">embedding universal design and inclusive curriculum design and delivery requirements in the standards </w:t>
      </w:r>
    </w:p>
    <w:p w14:paraId="06F450DD" w14:textId="77777777" w:rsidR="00104355" w:rsidRPr="00DE1B47" w:rsidRDefault="00104355" w:rsidP="00104355">
      <w:pPr>
        <w:pStyle w:val="ListParagraph"/>
        <w:numPr>
          <w:ilvl w:val="0"/>
          <w:numId w:val="3"/>
        </w:numPr>
        <w:tabs>
          <w:tab w:val="left" w:pos="709"/>
        </w:tabs>
        <w:rPr>
          <w:i/>
          <w:iCs/>
        </w:rPr>
      </w:pPr>
      <w:r w:rsidRPr="00DE1B47">
        <w:rPr>
          <w:i/>
          <w:iCs/>
        </w:rPr>
        <w:t xml:space="preserve">updating language to remove ableist terminology and clarify ‘identified groups’ </w:t>
      </w:r>
    </w:p>
    <w:p w14:paraId="65CED984" w14:textId="77777777" w:rsidR="00104355" w:rsidRPr="00DE1B47" w:rsidRDefault="00104355" w:rsidP="00104355">
      <w:pPr>
        <w:pStyle w:val="ListParagraph"/>
        <w:numPr>
          <w:ilvl w:val="0"/>
          <w:numId w:val="3"/>
        </w:numPr>
        <w:tabs>
          <w:tab w:val="left" w:pos="709"/>
        </w:tabs>
        <w:rPr>
          <w:i/>
          <w:iCs/>
        </w:rPr>
      </w:pPr>
      <w:r w:rsidRPr="00DE1B47">
        <w:rPr>
          <w:i/>
          <w:iCs/>
        </w:rPr>
        <w:t xml:space="preserve">embedding explicit requirements for adjustments </w:t>
      </w:r>
    </w:p>
    <w:p w14:paraId="4B7B95BD" w14:textId="77777777" w:rsidR="00104355" w:rsidRPr="00DE1B47" w:rsidRDefault="00104355" w:rsidP="00104355">
      <w:pPr>
        <w:pStyle w:val="ListParagraph"/>
        <w:numPr>
          <w:ilvl w:val="0"/>
          <w:numId w:val="3"/>
        </w:numPr>
        <w:tabs>
          <w:tab w:val="left" w:pos="709"/>
        </w:tabs>
        <w:rPr>
          <w:i/>
          <w:iCs/>
        </w:rPr>
      </w:pPr>
      <w:r w:rsidRPr="00DE1B47">
        <w:rPr>
          <w:i/>
          <w:iCs/>
        </w:rPr>
        <w:t xml:space="preserve">clarifying accountability and responsibility as they relate to work-integrated learning (WIL), training delivered through other parties, and field and laboratory work. </w:t>
      </w:r>
    </w:p>
    <w:p w14:paraId="05793719" w14:textId="62CE403D" w:rsidR="00DE1B47" w:rsidRPr="001277E1" w:rsidRDefault="00DE1B47" w:rsidP="00DE1B47">
      <w:pPr>
        <w:pStyle w:val="ListParagraph"/>
        <w:tabs>
          <w:tab w:val="left" w:pos="709"/>
        </w:tabs>
        <w:ind w:left="709"/>
      </w:pPr>
    </w:p>
    <w:p w14:paraId="647D774C" w14:textId="2D641038" w:rsidR="00DE1B47" w:rsidRDefault="00DE1B47" w:rsidP="00DE1B47">
      <w:pPr>
        <w:tabs>
          <w:tab w:val="left" w:pos="709"/>
        </w:tabs>
      </w:pPr>
      <w:r>
        <w:t xml:space="preserve">In </w:t>
      </w:r>
      <w:r w:rsidR="00080A50">
        <w:t>considering the</w:t>
      </w:r>
      <w:r>
        <w:t xml:space="preserve"> factors that most impact student success (</w:t>
      </w:r>
      <w:hyperlink r:id="rId6" w:history="1">
        <w:r w:rsidRPr="00DE1B47">
          <w:rPr>
            <w:rStyle w:val="Hyperlink"/>
          </w:rPr>
          <w:t>Evans &amp; Zhu, 2023</w:t>
        </w:r>
      </w:hyperlink>
      <w:r>
        <w:t>a), key elements that</w:t>
      </w:r>
      <w:r w:rsidR="0045767E">
        <w:t xml:space="preserve"> also</w:t>
      </w:r>
      <w:r>
        <w:t xml:space="preserve"> need to be addressed include the following:</w:t>
      </w:r>
    </w:p>
    <w:p w14:paraId="3C568C88" w14:textId="399BD1F4" w:rsidR="00DE1B47" w:rsidRDefault="00DE1B47" w:rsidP="00C564FD">
      <w:pPr>
        <w:pStyle w:val="ListParagraph"/>
        <w:numPr>
          <w:ilvl w:val="0"/>
          <w:numId w:val="6"/>
        </w:numPr>
        <w:tabs>
          <w:tab w:val="left" w:pos="709"/>
        </w:tabs>
      </w:pPr>
      <w:r w:rsidRPr="00C564FD">
        <w:rPr>
          <w:b/>
          <w:bCs/>
        </w:rPr>
        <w:t>Preparing students for transitions</w:t>
      </w:r>
      <w:r>
        <w:t xml:space="preserve"> from secondary into higher education and into employment. </w:t>
      </w:r>
    </w:p>
    <w:p w14:paraId="46FE0C8B" w14:textId="77777777" w:rsidR="00080A50" w:rsidRPr="00080A50" w:rsidRDefault="00080A50" w:rsidP="00080A50">
      <w:pPr>
        <w:pStyle w:val="ListParagraph"/>
        <w:tabs>
          <w:tab w:val="left" w:pos="709"/>
        </w:tabs>
      </w:pPr>
    </w:p>
    <w:p w14:paraId="5F5A02CA" w14:textId="55B2CA0C" w:rsidR="00DE1B47" w:rsidRDefault="00DE1B47" w:rsidP="00C564FD">
      <w:pPr>
        <w:pStyle w:val="ListParagraph"/>
        <w:numPr>
          <w:ilvl w:val="0"/>
          <w:numId w:val="6"/>
        </w:numPr>
        <w:tabs>
          <w:tab w:val="left" w:pos="709"/>
        </w:tabs>
      </w:pPr>
      <w:r w:rsidRPr="00C564FD">
        <w:rPr>
          <w:b/>
          <w:bCs/>
        </w:rPr>
        <w:t>S</w:t>
      </w:r>
      <w:r w:rsidR="00080A50">
        <w:rPr>
          <w:b/>
          <w:bCs/>
        </w:rPr>
        <w:t>tudent s</w:t>
      </w:r>
      <w:r w:rsidRPr="00C564FD">
        <w:rPr>
          <w:b/>
          <w:bCs/>
        </w:rPr>
        <w:t>upport in the first semester impacts outcomes</w:t>
      </w:r>
      <w:r>
        <w:t>. Clarity and transparency around</w:t>
      </w:r>
      <w:r w:rsidR="00080A50">
        <w:t xml:space="preserve"> the</w:t>
      </w:r>
      <w:r>
        <w:t xml:space="preserve"> supports available for all students and </w:t>
      </w:r>
      <w:r w:rsidR="00080A50">
        <w:t xml:space="preserve">the </w:t>
      </w:r>
      <w:r>
        <w:t>specialist ones for disabled students</w:t>
      </w:r>
      <w:r w:rsidR="00080A50">
        <w:t xml:space="preserve"> is essential.</w:t>
      </w:r>
    </w:p>
    <w:p w14:paraId="3857A193" w14:textId="77777777" w:rsidR="00080A50" w:rsidRDefault="00080A50" w:rsidP="00080A50">
      <w:pPr>
        <w:pStyle w:val="ListParagraph"/>
        <w:tabs>
          <w:tab w:val="left" w:pos="709"/>
        </w:tabs>
        <w:rPr>
          <w:b/>
          <w:bCs/>
        </w:rPr>
      </w:pPr>
    </w:p>
    <w:p w14:paraId="1B29E0DE" w14:textId="50137578" w:rsidR="00DE1B47" w:rsidRPr="00C564FD" w:rsidRDefault="00DE1B47" w:rsidP="00C564FD">
      <w:pPr>
        <w:pStyle w:val="ListParagraph"/>
        <w:numPr>
          <w:ilvl w:val="0"/>
          <w:numId w:val="6"/>
        </w:numPr>
        <w:tabs>
          <w:tab w:val="left" w:pos="709"/>
        </w:tabs>
        <w:rPr>
          <w:b/>
          <w:bCs/>
        </w:rPr>
      </w:pPr>
      <w:r w:rsidRPr="00C564FD">
        <w:rPr>
          <w:b/>
          <w:bCs/>
        </w:rPr>
        <w:t>Training for students, staff and employers in awareness of disabilities and use of assistive technologies</w:t>
      </w:r>
      <w:r w:rsidR="00080A50">
        <w:rPr>
          <w:b/>
          <w:bCs/>
        </w:rPr>
        <w:t xml:space="preserve"> is </w:t>
      </w:r>
      <w:r w:rsidR="00997DA8">
        <w:rPr>
          <w:b/>
          <w:bCs/>
        </w:rPr>
        <w:t>critical</w:t>
      </w:r>
      <w:r w:rsidR="00080A50">
        <w:rPr>
          <w:b/>
          <w:bCs/>
        </w:rPr>
        <w:t xml:space="preserve"> and specifically: </w:t>
      </w:r>
    </w:p>
    <w:p w14:paraId="335650BD" w14:textId="77777777" w:rsidR="00080A50" w:rsidRPr="00080A50" w:rsidRDefault="00080A50" w:rsidP="00080A50">
      <w:pPr>
        <w:pStyle w:val="ListParagraph"/>
        <w:tabs>
          <w:tab w:val="left" w:pos="709"/>
        </w:tabs>
      </w:pPr>
    </w:p>
    <w:p w14:paraId="30A46430" w14:textId="5730291B" w:rsidR="00DE1B47" w:rsidRPr="00080A50" w:rsidRDefault="00DE1B47" w:rsidP="00080A50">
      <w:pPr>
        <w:pStyle w:val="ListParagraph"/>
        <w:numPr>
          <w:ilvl w:val="1"/>
          <w:numId w:val="6"/>
        </w:numPr>
        <w:tabs>
          <w:tab w:val="left" w:pos="709"/>
        </w:tabs>
      </w:pPr>
      <w:r w:rsidRPr="00C564FD">
        <w:rPr>
          <w:b/>
          <w:bCs/>
        </w:rPr>
        <w:t>Explicit training in the use of high-level self-regulatory skills</w:t>
      </w:r>
      <w:r>
        <w:t xml:space="preserve"> (what strategies to use and how to use them well) has a significant impact on learning outcomes for all students and especially</w:t>
      </w:r>
      <w:r w:rsidR="00C564FD">
        <w:t xml:space="preserve"> for</w:t>
      </w:r>
      <w:r>
        <w:t xml:space="preserve"> those with disabilities. The value of training in self-advocacy skills</w:t>
      </w:r>
      <w:r w:rsidR="00C564FD">
        <w:t xml:space="preserve"> that promote agency and autonomy</w:t>
      </w:r>
      <w:r>
        <w:t xml:space="preserve"> can have significant impacts on wellbeing and success (</w:t>
      </w:r>
      <w:proofErr w:type="spellStart"/>
      <w:r w:rsidRPr="00C564FD">
        <w:rPr>
          <w:rFonts w:eastAsia="Arial" w:cs="Arial"/>
        </w:rPr>
        <w:t>Moriña</w:t>
      </w:r>
      <w:proofErr w:type="spellEnd"/>
      <w:r w:rsidRPr="00C564FD">
        <w:rPr>
          <w:rFonts w:eastAsia="Arial" w:cs="Arial"/>
        </w:rPr>
        <w:t xml:space="preserve"> &amp; Biagiotti, 2021).</w:t>
      </w:r>
    </w:p>
    <w:p w14:paraId="0C143737" w14:textId="77777777" w:rsidR="00080A50" w:rsidRDefault="00080A50" w:rsidP="00080A50">
      <w:pPr>
        <w:pStyle w:val="ListParagraph"/>
        <w:tabs>
          <w:tab w:val="left" w:pos="709"/>
        </w:tabs>
        <w:ind w:left="1440"/>
      </w:pPr>
    </w:p>
    <w:p w14:paraId="2DA4607A" w14:textId="0B24B578" w:rsidR="00DE1B47" w:rsidRPr="00C564FD" w:rsidRDefault="00C564FD" w:rsidP="00C564FD">
      <w:pPr>
        <w:pStyle w:val="ListParagraph"/>
        <w:numPr>
          <w:ilvl w:val="0"/>
          <w:numId w:val="6"/>
        </w:numPr>
        <w:tabs>
          <w:tab w:val="left" w:pos="709"/>
        </w:tabs>
        <w:rPr>
          <w:rFonts w:cs="MinionPro-Regular"/>
        </w:rPr>
      </w:pPr>
      <w:r>
        <w:rPr>
          <w:b/>
          <w:bCs/>
        </w:rPr>
        <w:lastRenderedPageBreak/>
        <w:t>Inclusive assessment.</w:t>
      </w:r>
      <w:r w:rsidR="00DE1B47">
        <w:t xml:space="preserve"> The importance of rethinking assessment so that reasonable adjustments are embedded in the curriculum from the outset (Evans, 2025; </w:t>
      </w:r>
      <w:r w:rsidR="00DE1B47" w:rsidRPr="00C564FD">
        <w:rPr>
          <w:rFonts w:cs="MinionPro-Regular"/>
        </w:rPr>
        <w:t xml:space="preserve">Nieminen, 2022). </w:t>
      </w:r>
    </w:p>
    <w:p w14:paraId="1615F666" w14:textId="2E5D3316" w:rsidR="00DE1B47" w:rsidRPr="00C564FD" w:rsidRDefault="00DE1B47" w:rsidP="00C564FD">
      <w:pPr>
        <w:pStyle w:val="ListParagraph"/>
        <w:numPr>
          <w:ilvl w:val="0"/>
          <w:numId w:val="6"/>
        </w:numPr>
        <w:tabs>
          <w:tab w:val="left" w:pos="709"/>
        </w:tabs>
        <w:rPr>
          <w:rFonts w:cs="MinionPro-Regular"/>
        </w:rPr>
      </w:pPr>
      <w:r w:rsidRPr="00C564FD">
        <w:rPr>
          <w:rFonts w:cs="MinionPro-Regular"/>
          <w:b/>
          <w:bCs/>
        </w:rPr>
        <w:t>Universal Design</w:t>
      </w:r>
      <w:r w:rsidR="00C564FD" w:rsidRPr="00C564FD">
        <w:rPr>
          <w:rFonts w:cs="MinionPro-Regular"/>
        </w:rPr>
        <w:t xml:space="preserve"> is important but </w:t>
      </w:r>
      <w:r w:rsidR="00C564FD">
        <w:rPr>
          <w:rFonts w:cs="MinionPro-Regular"/>
        </w:rPr>
        <w:t>requires</w:t>
      </w:r>
      <w:r w:rsidR="00C564FD" w:rsidRPr="00C564FD">
        <w:rPr>
          <w:rFonts w:cs="MinionPro-Regular"/>
        </w:rPr>
        <w:t xml:space="preserve"> a clear theoretical underpinning and fine-tuned design </w:t>
      </w:r>
      <w:r w:rsidRPr="00C564FD">
        <w:rPr>
          <w:rFonts w:cs="MinionPro-Regular"/>
        </w:rPr>
        <w:t>to clarify the components of it</w:t>
      </w:r>
      <w:r w:rsidR="00080A50">
        <w:rPr>
          <w:rFonts w:cs="MinionPro-Regular"/>
        </w:rPr>
        <w:t>,</w:t>
      </w:r>
      <w:r w:rsidRPr="00C564FD">
        <w:rPr>
          <w:rFonts w:cs="MinionPro-Regular"/>
        </w:rPr>
        <w:t xml:space="preserve"> </w:t>
      </w:r>
      <w:r w:rsidR="00C564FD" w:rsidRPr="00C564FD">
        <w:rPr>
          <w:rFonts w:cs="MinionPro-Regular"/>
        </w:rPr>
        <w:t xml:space="preserve">and attuned to </w:t>
      </w:r>
      <w:r w:rsidR="00080A50">
        <w:rPr>
          <w:rFonts w:cs="MinionPro-Regular"/>
        </w:rPr>
        <w:t xml:space="preserve">the </w:t>
      </w:r>
      <w:r w:rsidR="00C564FD" w:rsidRPr="00C564FD">
        <w:rPr>
          <w:rFonts w:cs="MinionPro-Regular"/>
        </w:rPr>
        <w:t>different types of disability needs</w:t>
      </w:r>
      <w:r w:rsidR="00C564FD">
        <w:rPr>
          <w:rFonts w:cs="MinionPro-Regular"/>
        </w:rPr>
        <w:t xml:space="preserve"> </w:t>
      </w:r>
      <w:r w:rsidR="00C564FD" w:rsidRPr="00C564FD">
        <w:rPr>
          <w:rFonts w:cs="MinionPro-Regular"/>
        </w:rPr>
        <w:t>(</w:t>
      </w:r>
      <w:hyperlink r:id="rId7" w:history="1">
        <w:r w:rsidR="00C564FD" w:rsidRPr="00C564FD">
          <w:rPr>
            <w:rStyle w:val="Hyperlink"/>
          </w:rPr>
          <w:t>Evans &amp; Zhu,</w:t>
        </w:r>
        <w:r w:rsidRPr="00C564FD">
          <w:rPr>
            <w:rStyle w:val="Hyperlink"/>
          </w:rPr>
          <w:t>2023b</w:t>
        </w:r>
      </w:hyperlink>
      <w:r w:rsidR="00C564FD">
        <w:t xml:space="preserve">). Universal Design can mean many different things to different groups and needs careful consideration of what inclusive design is and for whom. </w:t>
      </w:r>
      <w:r w:rsidR="00080A50">
        <w:t xml:space="preserve"> Our research found very little evidence for the effectiveness of Universal Design on outcomes given the many different interpretations of it and lack of theoretical understanding of how to apply the concept effectively in practice. </w:t>
      </w:r>
    </w:p>
    <w:p w14:paraId="69B3DDEE" w14:textId="77777777" w:rsidR="00104355" w:rsidRDefault="00104355" w:rsidP="00104355">
      <w:pPr>
        <w:tabs>
          <w:tab w:val="left" w:pos="709"/>
        </w:tabs>
      </w:pPr>
    </w:p>
    <w:p w14:paraId="4840ADB4" w14:textId="4D6EC349" w:rsidR="00104355" w:rsidRPr="00080A50" w:rsidRDefault="00104355" w:rsidP="00104355">
      <w:pPr>
        <w:tabs>
          <w:tab w:val="left" w:pos="709"/>
        </w:tabs>
        <w:rPr>
          <w:b/>
          <w:bCs/>
          <w:color w:val="002060"/>
        </w:rPr>
      </w:pPr>
      <w:r w:rsidRPr="00080A50">
        <w:rPr>
          <w:color w:val="002060"/>
        </w:rPr>
        <w:t xml:space="preserve">7. </w:t>
      </w:r>
      <w:r w:rsidRPr="00080A50">
        <w:rPr>
          <w:b/>
          <w:bCs/>
          <w:color w:val="002060"/>
        </w:rPr>
        <w:t>To what extent would the proposed themes promote accountability, better governance and improved provider practice to support people with disability in higher education?</w:t>
      </w:r>
    </w:p>
    <w:p w14:paraId="689977DB" w14:textId="77777777" w:rsidR="00C564FD" w:rsidRDefault="00C564FD" w:rsidP="00104355">
      <w:pPr>
        <w:tabs>
          <w:tab w:val="left" w:pos="709"/>
        </w:tabs>
        <w:rPr>
          <w:b/>
          <w:bCs/>
        </w:rPr>
      </w:pPr>
    </w:p>
    <w:p w14:paraId="7A09B63B" w14:textId="6FF42EC3" w:rsidR="00C564FD" w:rsidRPr="0045767E" w:rsidRDefault="00C564FD" w:rsidP="00104355">
      <w:pPr>
        <w:tabs>
          <w:tab w:val="left" w:pos="709"/>
        </w:tabs>
      </w:pPr>
      <w:r w:rsidRPr="0045767E">
        <w:t xml:space="preserve">The themes highlighted are extremely important but to </w:t>
      </w:r>
      <w:r w:rsidR="0045767E">
        <w:t>impact</w:t>
      </w:r>
      <w:r w:rsidRPr="0045767E">
        <w:t xml:space="preserve"> practice could go further</w:t>
      </w:r>
      <w:r w:rsidR="0045767E">
        <w:t xml:space="preserve">. For </w:t>
      </w:r>
      <w:r w:rsidR="00080A50">
        <w:t xml:space="preserve">example: </w:t>
      </w:r>
    </w:p>
    <w:p w14:paraId="2EFFEDB8" w14:textId="6A6AEE98" w:rsidR="00C564FD" w:rsidRPr="00C564FD" w:rsidRDefault="00C564FD" w:rsidP="00C564FD">
      <w:pPr>
        <w:pStyle w:val="ListParagraph"/>
        <w:numPr>
          <w:ilvl w:val="0"/>
          <w:numId w:val="4"/>
        </w:numPr>
        <w:tabs>
          <w:tab w:val="left" w:pos="709"/>
        </w:tabs>
      </w:pPr>
      <w:r>
        <w:rPr>
          <w:b/>
          <w:bCs/>
        </w:rPr>
        <w:t xml:space="preserve">Review </w:t>
      </w:r>
      <w:r w:rsidR="0045767E">
        <w:rPr>
          <w:b/>
          <w:bCs/>
        </w:rPr>
        <w:t xml:space="preserve">of </w:t>
      </w:r>
      <w:r>
        <w:rPr>
          <w:b/>
          <w:bCs/>
        </w:rPr>
        <w:t xml:space="preserve">HR policy and processes. </w:t>
      </w:r>
      <w:r w:rsidR="0045767E">
        <w:t>I</w:t>
      </w:r>
      <w:r w:rsidRPr="00C564FD">
        <w:t>mpact analysis of the extent to which policies are inclusive. For example, staff with disabilities may need more time to mark work; how is this embedded in institutional processes?</w:t>
      </w:r>
      <w:r>
        <w:rPr>
          <w:b/>
          <w:bCs/>
        </w:rPr>
        <w:t xml:space="preserve"> </w:t>
      </w:r>
    </w:p>
    <w:p w14:paraId="3ABA7FA4" w14:textId="77777777" w:rsidR="00080A50" w:rsidRPr="00080A50" w:rsidRDefault="00080A50" w:rsidP="00080A50">
      <w:pPr>
        <w:pStyle w:val="ListParagraph"/>
        <w:tabs>
          <w:tab w:val="left" w:pos="709"/>
        </w:tabs>
      </w:pPr>
    </w:p>
    <w:p w14:paraId="110BE1F4" w14:textId="3F21A652" w:rsidR="00080A50" w:rsidRDefault="00D357BD" w:rsidP="00080A50">
      <w:pPr>
        <w:pStyle w:val="ListParagraph"/>
        <w:numPr>
          <w:ilvl w:val="0"/>
          <w:numId w:val="4"/>
        </w:numPr>
        <w:tabs>
          <w:tab w:val="left" w:pos="709"/>
        </w:tabs>
      </w:pPr>
      <w:r w:rsidRPr="001277E1">
        <w:rPr>
          <w:b/>
          <w:bCs/>
        </w:rPr>
        <w:t>O</w:t>
      </w:r>
      <w:r w:rsidR="00104355" w:rsidRPr="001277E1">
        <w:rPr>
          <w:b/>
          <w:bCs/>
        </w:rPr>
        <w:t>utcomes-</w:t>
      </w:r>
      <w:r w:rsidR="00080A50">
        <w:rPr>
          <w:b/>
          <w:bCs/>
        </w:rPr>
        <w:t xml:space="preserve"> and process- </w:t>
      </w:r>
      <w:r w:rsidR="00104355" w:rsidRPr="001277E1">
        <w:rPr>
          <w:b/>
          <w:bCs/>
        </w:rPr>
        <w:t>based measures</w:t>
      </w:r>
      <w:r w:rsidRPr="001277E1">
        <w:rPr>
          <w:b/>
          <w:bCs/>
        </w:rPr>
        <w:t xml:space="preserve"> </w:t>
      </w:r>
      <w:r w:rsidR="00104355">
        <w:t>that set targets for reducing differential learning outcomes for students (i.e., for access, continuation, success and progression into employment</w:t>
      </w:r>
      <w:r w:rsidR="00080A50">
        <w:t>, and that also explore the lived experiences of disabled students</w:t>
      </w:r>
      <w:r w:rsidR="00104355">
        <w:t>).</w:t>
      </w:r>
    </w:p>
    <w:p w14:paraId="0DC58888" w14:textId="77777777" w:rsidR="00080A50" w:rsidRPr="00080A50" w:rsidRDefault="00080A50" w:rsidP="00080A50">
      <w:pPr>
        <w:pStyle w:val="ListParagraph"/>
        <w:tabs>
          <w:tab w:val="left" w:pos="709"/>
        </w:tabs>
      </w:pPr>
    </w:p>
    <w:p w14:paraId="75B9F904" w14:textId="50B8C90D" w:rsidR="007D11F7" w:rsidRDefault="00080A50" w:rsidP="00080A50">
      <w:pPr>
        <w:pStyle w:val="ListParagraph"/>
        <w:numPr>
          <w:ilvl w:val="0"/>
          <w:numId w:val="4"/>
        </w:numPr>
        <w:tabs>
          <w:tab w:val="left" w:pos="709"/>
        </w:tabs>
        <w:ind w:left="709" w:hanging="349"/>
      </w:pPr>
      <w:r>
        <w:rPr>
          <w:b/>
          <w:bCs/>
        </w:rPr>
        <w:t>The need for evidence of o</w:t>
      </w:r>
      <w:r w:rsidR="001277E1" w:rsidRPr="001277E1">
        <w:rPr>
          <w:b/>
          <w:bCs/>
        </w:rPr>
        <w:t xml:space="preserve">ngoing </w:t>
      </w:r>
      <w:r w:rsidR="00104355" w:rsidRPr="001277E1">
        <w:rPr>
          <w:b/>
          <w:bCs/>
        </w:rPr>
        <w:t>monitoring of the</w:t>
      </w:r>
      <w:r w:rsidR="00D357BD" w:rsidRPr="001277E1">
        <w:rPr>
          <w:b/>
          <w:bCs/>
        </w:rPr>
        <w:t xml:space="preserve"> extent to which </w:t>
      </w:r>
      <w:r w:rsidR="0045767E">
        <w:rPr>
          <w:b/>
          <w:bCs/>
        </w:rPr>
        <w:t>inclusion is</w:t>
      </w:r>
      <w:r w:rsidR="00D357BD" w:rsidRPr="001277E1">
        <w:rPr>
          <w:b/>
          <w:bCs/>
        </w:rPr>
        <w:t xml:space="preserve"> realised</w:t>
      </w:r>
      <w:r w:rsidR="0045767E">
        <w:rPr>
          <w:b/>
          <w:bCs/>
        </w:rPr>
        <w:t xml:space="preserve">. </w:t>
      </w:r>
      <w:r w:rsidR="00D357BD">
        <w:t>Institutional analysis of disability inclusion identifies ‘pockets of good practice’</w:t>
      </w:r>
      <w:r w:rsidR="0045767E">
        <w:t xml:space="preserve"> rather than institutional embedding of disability inclusion</w:t>
      </w:r>
      <w:r w:rsidR="007D11F7">
        <w:t xml:space="preserve"> (Evans, NDSS, 2025)</w:t>
      </w:r>
      <w:r w:rsidR="00D357BD">
        <w:t>.</w:t>
      </w:r>
      <w:r w:rsidR="001277E1">
        <w:t xml:space="preserve"> </w:t>
      </w:r>
    </w:p>
    <w:p w14:paraId="3652152A" w14:textId="77777777" w:rsidR="00080A50" w:rsidRPr="00080A50" w:rsidRDefault="00080A50" w:rsidP="00080A50">
      <w:pPr>
        <w:pStyle w:val="ListParagraph"/>
        <w:tabs>
          <w:tab w:val="left" w:pos="709"/>
        </w:tabs>
      </w:pPr>
    </w:p>
    <w:p w14:paraId="01F123B3" w14:textId="1A25C70E" w:rsidR="00104355" w:rsidRDefault="001277E1" w:rsidP="001277E1">
      <w:pPr>
        <w:pStyle w:val="ListParagraph"/>
        <w:numPr>
          <w:ilvl w:val="0"/>
          <w:numId w:val="4"/>
        </w:numPr>
        <w:tabs>
          <w:tab w:val="left" w:pos="709"/>
        </w:tabs>
      </w:pPr>
      <w:r w:rsidRPr="001277E1">
        <w:rPr>
          <w:b/>
          <w:bCs/>
        </w:rPr>
        <w:t>I</w:t>
      </w:r>
      <w:r w:rsidR="00D357BD" w:rsidRPr="001277E1">
        <w:rPr>
          <w:b/>
          <w:bCs/>
        </w:rPr>
        <w:t xml:space="preserve">nstitutional frameworks </w:t>
      </w:r>
      <w:r w:rsidR="007D11F7">
        <w:rPr>
          <w:b/>
          <w:bCs/>
        </w:rPr>
        <w:t>need to</w:t>
      </w:r>
      <w:r w:rsidR="00D357BD" w:rsidRPr="001277E1">
        <w:rPr>
          <w:b/>
          <w:bCs/>
        </w:rPr>
        <w:t xml:space="preserve"> ensure a holistic and integrated approach to disability inclusion</w:t>
      </w:r>
      <w:r w:rsidRPr="001277E1">
        <w:rPr>
          <w:b/>
          <w:bCs/>
        </w:rPr>
        <w:t xml:space="preserve"> </w:t>
      </w:r>
      <w:r w:rsidR="007D11F7">
        <w:rPr>
          <w:b/>
          <w:bCs/>
        </w:rPr>
        <w:t>with clear leadership oversight/responsibility at all levels within an organisation.</w:t>
      </w:r>
      <w:r w:rsidR="007D11F7">
        <w:t xml:space="preserve"> </w:t>
      </w:r>
      <w:r w:rsidR="00D357BD">
        <w:t xml:space="preserve"> </w:t>
      </w:r>
    </w:p>
    <w:p w14:paraId="51293436" w14:textId="77777777" w:rsidR="00080A50" w:rsidRDefault="00080A50" w:rsidP="00080A50">
      <w:pPr>
        <w:pStyle w:val="ListParagraph"/>
        <w:tabs>
          <w:tab w:val="left" w:pos="709"/>
        </w:tabs>
      </w:pPr>
    </w:p>
    <w:p w14:paraId="520416F2" w14:textId="6A282410" w:rsidR="00104355" w:rsidRDefault="00D357BD" w:rsidP="00104355">
      <w:pPr>
        <w:pStyle w:val="ListParagraph"/>
        <w:numPr>
          <w:ilvl w:val="0"/>
          <w:numId w:val="4"/>
        </w:numPr>
        <w:tabs>
          <w:tab w:val="left" w:pos="709"/>
        </w:tabs>
      </w:pPr>
      <w:r>
        <w:lastRenderedPageBreak/>
        <w:t>Adoption and use of inclusive approaches</w:t>
      </w:r>
      <w:r w:rsidR="007D11F7">
        <w:t xml:space="preserve"> and engagement in disability inclusion training</w:t>
      </w:r>
      <w:r>
        <w:t xml:space="preserve"> need to be integral to institutional </w:t>
      </w:r>
      <w:r w:rsidRPr="007D11F7">
        <w:rPr>
          <w:b/>
          <w:bCs/>
        </w:rPr>
        <w:t>performance review cycles</w:t>
      </w:r>
      <w:r w:rsidR="00080A50">
        <w:rPr>
          <w:b/>
          <w:bCs/>
        </w:rPr>
        <w:t xml:space="preserve"> for </w:t>
      </w:r>
      <w:proofErr w:type="gramStart"/>
      <w:r w:rsidR="00080A50">
        <w:rPr>
          <w:b/>
          <w:bCs/>
        </w:rPr>
        <w:t xml:space="preserve">staff </w:t>
      </w:r>
      <w:r w:rsidRPr="007D11F7">
        <w:rPr>
          <w:b/>
          <w:bCs/>
        </w:rPr>
        <w:t xml:space="preserve"> in</w:t>
      </w:r>
      <w:proofErr w:type="gramEnd"/>
      <w:r w:rsidRPr="007D11F7">
        <w:rPr>
          <w:b/>
          <w:bCs/>
        </w:rPr>
        <w:t xml:space="preserve"> education and research.</w:t>
      </w:r>
      <w:r>
        <w:t xml:space="preserve"> </w:t>
      </w:r>
    </w:p>
    <w:p w14:paraId="2DA5F21F" w14:textId="77777777" w:rsidR="00080A50" w:rsidRDefault="00080A50" w:rsidP="00080A50">
      <w:pPr>
        <w:pStyle w:val="ListParagraph"/>
      </w:pPr>
    </w:p>
    <w:p w14:paraId="0F6EEDD0" w14:textId="60DC355C" w:rsidR="00080A50" w:rsidRDefault="00080A50" w:rsidP="00104355">
      <w:pPr>
        <w:pStyle w:val="ListParagraph"/>
        <w:numPr>
          <w:ilvl w:val="0"/>
          <w:numId w:val="4"/>
        </w:numPr>
        <w:tabs>
          <w:tab w:val="left" w:pos="709"/>
        </w:tabs>
      </w:pPr>
      <w:r w:rsidRPr="00080A50">
        <w:rPr>
          <w:b/>
          <w:bCs/>
        </w:rPr>
        <w:t>Training also for students</w:t>
      </w:r>
      <w:r>
        <w:t xml:space="preserve"> to enhance awareness and understanding of disability. </w:t>
      </w:r>
    </w:p>
    <w:p w14:paraId="7E773896" w14:textId="77777777" w:rsidR="00080A50" w:rsidRPr="00080A50" w:rsidRDefault="00080A50" w:rsidP="00080A50">
      <w:pPr>
        <w:pStyle w:val="ListParagraph"/>
        <w:tabs>
          <w:tab w:val="left" w:pos="709"/>
        </w:tabs>
      </w:pPr>
    </w:p>
    <w:p w14:paraId="5E4A4151" w14:textId="02E8DCB4" w:rsidR="0045767E" w:rsidRDefault="0045767E" w:rsidP="00104355">
      <w:pPr>
        <w:pStyle w:val="ListParagraph"/>
        <w:numPr>
          <w:ilvl w:val="0"/>
          <w:numId w:val="4"/>
        </w:numPr>
        <w:tabs>
          <w:tab w:val="left" w:pos="709"/>
        </w:tabs>
      </w:pPr>
      <w:r w:rsidRPr="0045767E">
        <w:rPr>
          <w:b/>
          <w:bCs/>
        </w:rPr>
        <w:t>Recognition and reward</w:t>
      </w:r>
      <w:r>
        <w:t xml:space="preserve"> for institutional inclusive cultures</w:t>
      </w:r>
      <w:r w:rsidR="00080A50">
        <w:t xml:space="preserve"> </w:t>
      </w:r>
      <w:r w:rsidR="00997DA8">
        <w:t>and</w:t>
      </w:r>
      <w:r w:rsidR="00080A50">
        <w:t xml:space="preserve"> connectivity in developing effective disability inclusion networks with all stakeholders and partners. </w:t>
      </w:r>
    </w:p>
    <w:p w14:paraId="06C704C3" w14:textId="77777777" w:rsidR="00080A50" w:rsidRDefault="00080A50" w:rsidP="00080A50">
      <w:pPr>
        <w:pStyle w:val="ListParagraph"/>
      </w:pPr>
    </w:p>
    <w:p w14:paraId="13CBA6B4" w14:textId="61FECF04" w:rsidR="00080A50" w:rsidRDefault="00080A50" w:rsidP="00104355">
      <w:pPr>
        <w:pStyle w:val="ListParagraph"/>
        <w:numPr>
          <w:ilvl w:val="0"/>
          <w:numId w:val="4"/>
        </w:numPr>
        <w:tabs>
          <w:tab w:val="left" w:pos="709"/>
        </w:tabs>
      </w:pPr>
      <w:r>
        <w:t xml:space="preserve">Providing clear frameworks to support high quality disability inclusion research </w:t>
      </w:r>
    </w:p>
    <w:p w14:paraId="1762AF91" w14:textId="30154578" w:rsidR="00C47E54" w:rsidRDefault="00C47E54" w:rsidP="00C47E54"/>
    <w:p w14:paraId="2E1A8E2F" w14:textId="77777777" w:rsidR="00C47E54" w:rsidRDefault="00C47E54" w:rsidP="00C47E54"/>
    <w:p w14:paraId="23F71FEF" w14:textId="77777777" w:rsidR="00C47E54" w:rsidRDefault="00C47E54" w:rsidP="00C47E54"/>
    <w:p w14:paraId="01263089" w14:textId="77777777" w:rsidR="00C47E54" w:rsidRDefault="00C47E54" w:rsidP="00C47E54"/>
    <w:p w14:paraId="4B25DAC7" w14:textId="77777777" w:rsidR="00C47E54" w:rsidRDefault="00C47E54" w:rsidP="00C47E54"/>
    <w:p w14:paraId="691EF066" w14:textId="77777777" w:rsidR="00C47E54" w:rsidRDefault="00C47E54" w:rsidP="00C47E54"/>
    <w:p w14:paraId="1768ADC1" w14:textId="77777777" w:rsidR="00C47E54" w:rsidRDefault="00C47E54" w:rsidP="00C47E54"/>
    <w:p w14:paraId="6606A505" w14:textId="77777777" w:rsidR="00C47E54" w:rsidRDefault="00C47E54" w:rsidP="00C47E54"/>
    <w:p w14:paraId="16A3695B" w14:textId="77777777" w:rsidR="00C47E54" w:rsidRDefault="00C47E54" w:rsidP="00C47E54"/>
    <w:p w14:paraId="427CF24E" w14:textId="77777777" w:rsidR="00C47E54" w:rsidRPr="00C47E54" w:rsidRDefault="00C47E54" w:rsidP="00C47E54"/>
    <w:tbl>
      <w:tblPr>
        <w:tblW w:w="9923" w:type="dxa"/>
        <w:tblBorders>
          <w:top w:val="single" w:sz="12" w:space="0" w:color="D20A11"/>
          <w:bottom w:val="single" w:sz="12" w:space="0" w:color="D20A11"/>
        </w:tblBorders>
        <w:tblCellMar>
          <w:left w:w="0" w:type="dxa"/>
          <w:right w:w="0" w:type="dxa"/>
        </w:tblCellMar>
        <w:tblLook w:val="04A0" w:firstRow="1" w:lastRow="0" w:firstColumn="1" w:lastColumn="0" w:noHBand="0" w:noVBand="1"/>
      </w:tblPr>
      <w:tblGrid>
        <w:gridCol w:w="3838"/>
        <w:gridCol w:w="6085"/>
      </w:tblGrid>
      <w:tr w:rsidR="00C47E54" w:rsidRPr="00C47E54" w14:paraId="1411B4B4" w14:textId="77777777" w:rsidTr="00C47E54">
        <w:tc>
          <w:tcPr>
            <w:tcW w:w="3838" w:type="dxa"/>
            <w:tcMar>
              <w:top w:w="120" w:type="dxa"/>
              <w:left w:w="0" w:type="dxa"/>
              <w:bottom w:w="120" w:type="dxa"/>
              <w:right w:w="120" w:type="dxa"/>
            </w:tcMar>
            <w:vAlign w:val="center"/>
            <w:hideMark/>
          </w:tcPr>
          <w:p w14:paraId="3FF61682" w14:textId="276E8F53" w:rsidR="00C47E54" w:rsidRPr="00C47E54" w:rsidRDefault="00C47E54" w:rsidP="00C47E54">
            <w:r w:rsidRPr="00C47E54">
              <w:rPr>
                <w:noProof/>
              </w:rPr>
              <w:drawing>
                <wp:inline distT="0" distB="0" distL="0" distR="0" wp14:anchorId="257A016E" wp14:editId="31085340">
                  <wp:extent cx="2308860" cy="838200"/>
                  <wp:effectExtent l="0" t="0" r="0" b="0"/>
                  <wp:docPr id="2017835943" name="Picture 2" descr="University of Sal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iversity of Salfor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08860" cy="838200"/>
                          </a:xfrm>
                          <a:prstGeom prst="rect">
                            <a:avLst/>
                          </a:prstGeom>
                          <a:noFill/>
                          <a:ln>
                            <a:noFill/>
                          </a:ln>
                        </pic:spPr>
                      </pic:pic>
                    </a:graphicData>
                  </a:graphic>
                </wp:inline>
              </w:drawing>
            </w:r>
          </w:p>
        </w:tc>
        <w:tc>
          <w:tcPr>
            <w:tcW w:w="6085" w:type="dxa"/>
            <w:tcMar>
              <w:top w:w="120" w:type="dxa"/>
              <w:left w:w="120" w:type="dxa"/>
              <w:bottom w:w="120" w:type="dxa"/>
              <w:right w:w="120" w:type="dxa"/>
            </w:tcMar>
            <w:vAlign w:val="center"/>
            <w:hideMark/>
          </w:tcPr>
          <w:p w14:paraId="5ECA41FB" w14:textId="77777777" w:rsidR="00C47E54" w:rsidRPr="00C47E54" w:rsidRDefault="00C47E54" w:rsidP="00C47E54">
            <w:r w:rsidRPr="00C47E54">
              <w:rPr>
                <w:b/>
                <w:bCs/>
              </w:rPr>
              <w:t>PROFESSOR CAROL EVANS</w:t>
            </w:r>
            <w:r w:rsidRPr="00C47E54">
              <w:br/>
              <w:t>PVC Education and Student Experience  </w:t>
            </w:r>
            <w:r w:rsidRPr="00C47E54">
              <w:br/>
              <w:t>Professor of Higher Education</w:t>
            </w:r>
          </w:p>
          <w:p w14:paraId="10522256" w14:textId="77777777" w:rsidR="00C47E54" w:rsidRPr="00C47E54" w:rsidRDefault="00C47E54" w:rsidP="00C47E54">
            <w:r w:rsidRPr="00C47E54">
              <w:t>Offices of the Vice Chancellor, G15, The Old Fire Station, University of Salford, 45 The Crescent, Salford, M5 4WT</w:t>
            </w:r>
          </w:p>
          <w:p w14:paraId="39FC0327" w14:textId="4013E8FF" w:rsidR="00C47E54" w:rsidRPr="00C47E54" w:rsidRDefault="00C47E54" w:rsidP="00C47E54">
            <w:pPr>
              <w:rPr>
                <w:lang w:val="de-DE"/>
              </w:rPr>
            </w:pPr>
            <w:hyperlink r:id="rId9" w:tgtFrame="_blank" w:tooltip="http://www.salford.ac.uk/" w:history="1">
              <w:r w:rsidRPr="00C47E54">
                <w:rPr>
                  <w:rStyle w:val="Hyperlink"/>
                  <w:lang w:val="de-DE"/>
                </w:rPr>
                <w:t>www.salford.ac.uk</w:t>
              </w:r>
            </w:hyperlink>
          </w:p>
        </w:tc>
      </w:tr>
    </w:tbl>
    <w:p w14:paraId="6FE1C8F6" w14:textId="77777777" w:rsidR="00104355" w:rsidRPr="00C47E54" w:rsidRDefault="00104355" w:rsidP="00104355">
      <w:pPr>
        <w:rPr>
          <w:lang w:val="de-DE"/>
        </w:rPr>
      </w:pPr>
    </w:p>
    <w:sectPr w:rsidR="00104355" w:rsidRPr="00C47E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inionPro-Regular">
    <w:altName w:val="Times New Roman"/>
    <w:panose1 w:val="00000000000000000000"/>
    <w:charset w:val="EE"/>
    <w:family w:val="roman"/>
    <w:notTrueType/>
    <w:pitch w:val="default"/>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725DC3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1475C60"/>
    <w:multiLevelType w:val="hybridMultilevel"/>
    <w:tmpl w:val="33EA19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E2C15AB"/>
    <w:multiLevelType w:val="multilevel"/>
    <w:tmpl w:val="FEB65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17465EA"/>
    <w:multiLevelType w:val="hybridMultilevel"/>
    <w:tmpl w:val="313AC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E6293C"/>
    <w:multiLevelType w:val="hybridMultilevel"/>
    <w:tmpl w:val="5EE608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170FFB"/>
    <w:multiLevelType w:val="hybridMultilevel"/>
    <w:tmpl w:val="DF205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245FE7"/>
    <w:multiLevelType w:val="hybridMultilevel"/>
    <w:tmpl w:val="CCFC6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641589">
    <w:abstractNumId w:val="6"/>
  </w:num>
  <w:num w:numId="2" w16cid:durableId="823087595">
    <w:abstractNumId w:val="0"/>
  </w:num>
  <w:num w:numId="3" w16cid:durableId="142892666">
    <w:abstractNumId w:val="3"/>
  </w:num>
  <w:num w:numId="4" w16cid:durableId="1727952908">
    <w:abstractNumId w:val="5"/>
  </w:num>
  <w:num w:numId="5" w16cid:durableId="301349431">
    <w:abstractNumId w:val="1"/>
  </w:num>
  <w:num w:numId="6" w16cid:durableId="1873301120">
    <w:abstractNumId w:val="4"/>
  </w:num>
  <w:num w:numId="7" w16cid:durableId="6075454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355"/>
    <w:rsid w:val="00080A50"/>
    <w:rsid w:val="00104355"/>
    <w:rsid w:val="001277E1"/>
    <w:rsid w:val="0045767E"/>
    <w:rsid w:val="00787E07"/>
    <w:rsid w:val="007B19D1"/>
    <w:rsid w:val="007D11F7"/>
    <w:rsid w:val="008878B1"/>
    <w:rsid w:val="00997DA8"/>
    <w:rsid w:val="00C47E54"/>
    <w:rsid w:val="00C564FD"/>
    <w:rsid w:val="00D357BD"/>
    <w:rsid w:val="00D74D98"/>
    <w:rsid w:val="00DE1B47"/>
    <w:rsid w:val="00E23795"/>
    <w:rsid w:val="00E36652"/>
    <w:rsid w:val="00E93590"/>
    <w:rsid w:val="00F83A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38B8F"/>
  <w15:chartTrackingRefBased/>
  <w15:docId w15:val="{58DEF8E3-28F0-4D0D-BE83-39294AF7F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43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43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43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43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43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43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43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43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43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43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43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43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43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43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43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43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43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4355"/>
    <w:rPr>
      <w:rFonts w:eastAsiaTheme="majorEastAsia" w:cstheme="majorBidi"/>
      <w:color w:val="272727" w:themeColor="text1" w:themeTint="D8"/>
    </w:rPr>
  </w:style>
  <w:style w:type="paragraph" w:styleId="Title">
    <w:name w:val="Title"/>
    <w:basedOn w:val="Normal"/>
    <w:next w:val="Normal"/>
    <w:link w:val="TitleChar"/>
    <w:uiPriority w:val="10"/>
    <w:qFormat/>
    <w:rsid w:val="001043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43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43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43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4355"/>
    <w:pPr>
      <w:spacing w:before="160"/>
      <w:jc w:val="center"/>
    </w:pPr>
    <w:rPr>
      <w:i/>
      <w:iCs/>
      <w:color w:val="404040" w:themeColor="text1" w:themeTint="BF"/>
    </w:rPr>
  </w:style>
  <w:style w:type="character" w:customStyle="1" w:styleId="QuoteChar">
    <w:name w:val="Quote Char"/>
    <w:basedOn w:val="DefaultParagraphFont"/>
    <w:link w:val="Quote"/>
    <w:uiPriority w:val="29"/>
    <w:rsid w:val="00104355"/>
    <w:rPr>
      <w:i/>
      <w:iCs/>
      <w:color w:val="404040" w:themeColor="text1" w:themeTint="BF"/>
    </w:rPr>
  </w:style>
  <w:style w:type="paragraph" w:styleId="ListParagraph">
    <w:name w:val="List Paragraph"/>
    <w:basedOn w:val="Normal"/>
    <w:uiPriority w:val="34"/>
    <w:qFormat/>
    <w:rsid w:val="00104355"/>
    <w:pPr>
      <w:ind w:left="720"/>
      <w:contextualSpacing/>
    </w:pPr>
  </w:style>
  <w:style w:type="character" w:styleId="IntenseEmphasis">
    <w:name w:val="Intense Emphasis"/>
    <w:basedOn w:val="DefaultParagraphFont"/>
    <w:uiPriority w:val="21"/>
    <w:qFormat/>
    <w:rsid w:val="00104355"/>
    <w:rPr>
      <w:i/>
      <w:iCs/>
      <w:color w:val="0F4761" w:themeColor="accent1" w:themeShade="BF"/>
    </w:rPr>
  </w:style>
  <w:style w:type="paragraph" w:styleId="IntenseQuote">
    <w:name w:val="Intense Quote"/>
    <w:basedOn w:val="Normal"/>
    <w:next w:val="Normal"/>
    <w:link w:val="IntenseQuoteChar"/>
    <w:uiPriority w:val="30"/>
    <w:qFormat/>
    <w:rsid w:val="001043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4355"/>
    <w:rPr>
      <w:i/>
      <w:iCs/>
      <w:color w:val="0F4761" w:themeColor="accent1" w:themeShade="BF"/>
    </w:rPr>
  </w:style>
  <w:style w:type="character" w:styleId="IntenseReference">
    <w:name w:val="Intense Reference"/>
    <w:basedOn w:val="DefaultParagraphFont"/>
    <w:uiPriority w:val="32"/>
    <w:qFormat/>
    <w:rsid w:val="00104355"/>
    <w:rPr>
      <w:b/>
      <w:bCs/>
      <w:smallCaps/>
      <w:color w:val="0F4761" w:themeColor="accent1" w:themeShade="BF"/>
      <w:spacing w:val="5"/>
    </w:rPr>
  </w:style>
  <w:style w:type="character" w:styleId="Hyperlink">
    <w:name w:val="Hyperlink"/>
    <w:basedOn w:val="DefaultParagraphFont"/>
    <w:uiPriority w:val="99"/>
    <w:unhideWhenUsed/>
    <w:rsid w:val="00DE1B47"/>
    <w:rPr>
      <w:color w:val="467886" w:themeColor="hyperlink"/>
      <w:u w:val="single"/>
    </w:rPr>
  </w:style>
  <w:style w:type="character" w:styleId="UnresolvedMention">
    <w:name w:val="Unresolved Mention"/>
    <w:basedOn w:val="DefaultParagraphFont"/>
    <w:uiPriority w:val="99"/>
    <w:semiHidden/>
    <w:unhideWhenUsed/>
    <w:rsid w:val="00DE1B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hyperlink" Target="file:///E:\00000_25_folder\00%20NDSS\Australia\researchgate.net\publication\366635201_What_works_to_reduce_equality_gaps_for_disabled_students_in_higher_education" TargetMode="Externa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dn.taso.org.uk/wp-content/uploads/2023-02-16_What-works-reduce-equality-gaps-disabled-students_TASO.pdf"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alford.ac.uk/" TargetMode="Externa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098083483EAF54BBE19C56BE4F7D597" ma:contentTypeVersion="21" ma:contentTypeDescription="Create a new document." ma:contentTypeScope="" ma:versionID="50bc1c2aacae335ff79e0cd643d50306">
  <xsd:schema xmlns:xsd="http://www.w3.org/2001/XMLSchema" xmlns:xs="http://www.w3.org/2001/XMLSchema" xmlns:p="http://schemas.microsoft.com/office/2006/metadata/properties" xmlns:ns2="4a9c6c2e-cc90-47c0-be42-0b97b97642c0" xmlns:ns3="150ed607-d011-45d5-8216-b1990882b9c0" targetNamespace="http://schemas.microsoft.com/office/2006/metadata/properties" ma:root="true" ma:fieldsID="8eb6476fa37a5b11c60279e660b351c8" ns2:_="" ns3:_="">
    <xsd:import namespace="4a9c6c2e-cc90-47c0-be42-0b97b97642c0"/>
    <xsd:import namespace="150ed607-d011-45d5-8216-b1990882b9c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Notes" minOccurs="0"/>
                <xsd:element ref="ns2:MediaServiceSearchProperties" minOccurs="0"/>
                <xsd:element ref="ns2:MediaLengthInSeconds" minOccurs="0"/>
                <xsd:element ref="ns2:MediaServiceLocation" minOccurs="0"/>
                <xsd:element ref="ns2:Comments" minOccurs="0"/>
                <xsd:element ref="ns2:Content"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9c6c2e-cc90-47c0-be42-0b97b97642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Notes" ma:index="20" nillable="true" ma:displayName="Notes" ma:format="Dropdown" ma:internalName="Notes">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Comments" ma:index="24" nillable="true" ma:displayName="Comments" ma:format="Dropdown" ma:internalName="Comments">
      <xsd:simpleType>
        <xsd:restriction base="dms:Note">
          <xsd:maxLength value="255"/>
        </xsd:restriction>
      </xsd:simpleType>
    </xsd:element>
    <xsd:element name="Content" ma:index="25" nillable="true" ma:displayName="Content" ma:internalName="Content">
      <xsd:simpleType>
        <xsd:restriction base="dms:Note">
          <xsd:maxLength value="255"/>
        </xsd:restriction>
      </xsd:simpleType>
    </xsd:element>
    <xsd:element name="Order0" ma:index="26" nillable="true" ma:displayName="Order" ma:format="Dropdown" ma:internalName="Order0"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150ed607-d011-45d5-8216-b1990882b9c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8c6cb8d-386b-40f8-891a-4611800468b4}" ma:internalName="TaxCatchAll" ma:showField="CatchAllData" ma:web="150ed607-d011-45d5-8216-b1990882b9c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a9c6c2e-cc90-47c0-be42-0b97b97642c0">
      <Terms xmlns="http://schemas.microsoft.com/office/infopath/2007/PartnerControls"/>
    </lcf76f155ced4ddcb4097134ff3c332f>
    <Comments xmlns="4a9c6c2e-cc90-47c0-be42-0b97b97642c0" xsi:nil="true"/>
    <Notes xmlns="4a9c6c2e-cc90-47c0-be42-0b97b97642c0" xsi:nil="true"/>
    <Content xmlns="4a9c6c2e-cc90-47c0-be42-0b97b97642c0" xsi:nil="true"/>
    <Order0 xmlns="4a9c6c2e-cc90-47c0-be42-0b97b97642c0" xsi:nil="true"/>
    <TaxCatchAll xmlns="150ed607-d011-45d5-8216-b1990882b9c0" xsi:nil="true"/>
  </documentManagement>
</p:properties>
</file>

<file path=customXml/itemProps1.xml><?xml version="1.0" encoding="utf-8"?>
<ds:datastoreItem xmlns:ds="http://schemas.openxmlformats.org/officeDocument/2006/customXml" ds:itemID="{0D704409-5E97-44F7-8294-A46DD9E7A218}">
  <ds:schemaRefs>
    <ds:schemaRef ds:uri="http://schemas.openxmlformats.org/officeDocument/2006/bibliography"/>
  </ds:schemaRefs>
</ds:datastoreItem>
</file>

<file path=customXml/itemProps2.xml><?xml version="1.0" encoding="utf-8"?>
<ds:datastoreItem xmlns:ds="http://schemas.openxmlformats.org/officeDocument/2006/customXml" ds:itemID="{F86E9E5D-DF79-42C5-A059-A5E66D5C5A2A}"/>
</file>

<file path=customXml/itemProps3.xml><?xml version="1.0" encoding="utf-8"?>
<ds:datastoreItem xmlns:ds="http://schemas.openxmlformats.org/officeDocument/2006/customXml" ds:itemID="{354910A5-050F-4887-9CCF-3927FF24B90F}"/>
</file>

<file path=customXml/itemProps4.xml><?xml version="1.0" encoding="utf-8"?>
<ds:datastoreItem xmlns:ds="http://schemas.openxmlformats.org/officeDocument/2006/customXml" ds:itemID="{F9C924D4-EE63-4B95-B600-39F16BA04C0E}"/>
</file>

<file path=docProps/app.xml><?xml version="1.0" encoding="utf-8"?>
<Properties xmlns="http://schemas.openxmlformats.org/officeDocument/2006/extended-properties" xmlns:vt="http://schemas.openxmlformats.org/officeDocument/2006/docPropsVTypes">
  <Template>Normal.dotm</Template>
  <TotalTime>40</TotalTime>
  <Pages>3</Pages>
  <Words>638</Words>
  <Characters>3904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Evans</dc:creator>
  <cp:keywords/>
  <dc:description/>
  <cp:lastModifiedBy>LEI, Melissa</cp:lastModifiedBy>
  <cp:revision>4</cp:revision>
  <cp:lastPrinted>2026-03-03T02:09:00Z</cp:lastPrinted>
  <dcterms:created xsi:type="dcterms:W3CDTF">2026-04-17T06:30:00Z</dcterms:created>
  <dcterms:modified xsi:type="dcterms:W3CDTF">2026-04-20T02:01:00Z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2026-04-17T06:30:22Z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21c58985-69bd-4971-b12e-48c3c934a924</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ContentTypeId">
    <vt:lpwstr>0x010100E098083483EAF54BBE19C56BE4F7D597</vt:lpwstr>
  </property>
</Properties>
</file>