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3228E" w14:textId="42A76CFD" w:rsidR="003F14B2" w:rsidRPr="00A15947" w:rsidRDefault="003F14B2" w:rsidP="003F14B2">
      <w:pPr>
        <w:pStyle w:val="Title"/>
        <w:spacing w:before="4400" w:after="100" w:afterAutospacing="1"/>
        <w:jc w:val="center"/>
        <w:rPr>
          <w:rFonts w:cstheme="majorHAnsi"/>
          <w:sz w:val="36"/>
          <w:szCs w:val="36"/>
        </w:rPr>
      </w:pPr>
      <w:r>
        <w:rPr>
          <w:rFonts w:cstheme="majorHAnsi"/>
        </w:rPr>
        <w:t>Disability Inclusion in Tertiary Education Issues Paper</w:t>
      </w:r>
    </w:p>
    <w:p w14:paraId="6247CC6B" w14:textId="50581704" w:rsidR="00D2184D" w:rsidRDefault="00D2184D">
      <w:r w:rsidRPr="00D2184D">
        <w:t>This submission has been prepared by David Swayn and Elicia Ford, who are employed as National Disability Coordination Officers. The NDCO Program is an Australian Government initiative which aims to drive change so that people with disability have equitable opportunity to access, participate and achieve their goals in tertiary education and subsequent employment. The views presented in this submission do not necessarily reflect the views of the Australian Government</w:t>
      </w:r>
      <w:r>
        <w:t>.</w:t>
      </w:r>
    </w:p>
    <w:p w14:paraId="38F3C082" w14:textId="77777777" w:rsidR="00D2184D" w:rsidRDefault="00D2184D"/>
    <w:p w14:paraId="66A7D6D0" w14:textId="66E9B421" w:rsidR="003F14B2" w:rsidRPr="00D2184D" w:rsidRDefault="00D2184D">
      <w:r>
        <w:t>We would like to acknowledge the contribution of the many colleagues within the tertiary education sector who worked with us to review and revise this paper.</w:t>
      </w:r>
      <w:r w:rsidRPr="00D2184D">
        <w:t xml:space="preserve"> </w:t>
      </w:r>
      <w:r w:rsidR="003F14B2" w:rsidRPr="00D2184D">
        <w:br w:type="page"/>
      </w:r>
    </w:p>
    <w:sdt>
      <w:sdtPr>
        <w:rPr>
          <w:rFonts w:ascii="Arial" w:eastAsia="Arial" w:hAnsi="Arial" w:cs="Arial"/>
          <w:b w:val="0"/>
          <w:bCs w:val="0"/>
          <w:color w:val="auto"/>
          <w:sz w:val="22"/>
          <w:szCs w:val="22"/>
          <w:lang w:val="en" w:eastAsia="en-AU"/>
        </w:rPr>
        <w:id w:val="-1312640145"/>
        <w:docPartObj>
          <w:docPartGallery w:val="Table of Contents"/>
          <w:docPartUnique/>
        </w:docPartObj>
      </w:sdtPr>
      <w:sdtEndPr>
        <w:rPr>
          <w:noProof/>
        </w:rPr>
      </w:sdtEndPr>
      <w:sdtContent>
        <w:p w14:paraId="1B18930C" w14:textId="4EE59712" w:rsidR="003F14B2" w:rsidRDefault="003F14B2">
          <w:pPr>
            <w:pStyle w:val="TOCHeading"/>
          </w:pPr>
          <w:r>
            <w:t>Table of Contents</w:t>
          </w:r>
        </w:p>
        <w:p w14:paraId="05808D8E" w14:textId="39F5AB28" w:rsidR="00855291" w:rsidRDefault="003F14B2">
          <w:pPr>
            <w:pStyle w:val="TOC1"/>
            <w:tabs>
              <w:tab w:val="right" w:leader="dot" w:pos="9350"/>
            </w:tabs>
            <w:rPr>
              <w:rFonts w:eastAsiaTheme="minorEastAsia" w:cstheme="minorBidi"/>
              <w:b w:val="0"/>
              <w:bCs w:val="0"/>
              <w:caps w:val="0"/>
              <w:noProof/>
              <w:sz w:val="24"/>
              <w:szCs w:val="24"/>
              <w:lang w:val="en-AU" w:eastAsia="en-GB"/>
            </w:rPr>
          </w:pPr>
          <w:r>
            <w:fldChar w:fldCharType="begin"/>
          </w:r>
          <w:r>
            <w:instrText xml:space="preserve"> TOC \o "1-3" \h \z \u </w:instrText>
          </w:r>
          <w:r>
            <w:fldChar w:fldCharType="separate"/>
          </w:r>
          <w:hyperlink w:anchor="_Toc131672428" w:history="1">
            <w:r w:rsidR="00855291" w:rsidRPr="005A47C8">
              <w:rPr>
                <w:rStyle w:val="Hyperlink"/>
                <w:noProof/>
              </w:rPr>
              <w:t>Background</w:t>
            </w:r>
            <w:r w:rsidR="00855291">
              <w:rPr>
                <w:noProof/>
                <w:webHidden/>
              </w:rPr>
              <w:tab/>
            </w:r>
            <w:r w:rsidR="00855291">
              <w:rPr>
                <w:noProof/>
                <w:webHidden/>
              </w:rPr>
              <w:fldChar w:fldCharType="begin"/>
            </w:r>
            <w:r w:rsidR="00855291">
              <w:rPr>
                <w:noProof/>
                <w:webHidden/>
              </w:rPr>
              <w:instrText xml:space="preserve"> PAGEREF _Toc131672428 \h </w:instrText>
            </w:r>
            <w:r w:rsidR="00855291">
              <w:rPr>
                <w:noProof/>
                <w:webHidden/>
              </w:rPr>
            </w:r>
            <w:r w:rsidR="00855291">
              <w:rPr>
                <w:noProof/>
                <w:webHidden/>
              </w:rPr>
              <w:fldChar w:fldCharType="separate"/>
            </w:r>
            <w:r w:rsidR="00855291">
              <w:rPr>
                <w:noProof/>
                <w:webHidden/>
              </w:rPr>
              <w:t>3</w:t>
            </w:r>
            <w:r w:rsidR="00855291">
              <w:rPr>
                <w:noProof/>
                <w:webHidden/>
              </w:rPr>
              <w:fldChar w:fldCharType="end"/>
            </w:r>
          </w:hyperlink>
        </w:p>
        <w:p w14:paraId="2FC32574" w14:textId="288E1491" w:rsidR="00855291" w:rsidRDefault="00B75B49">
          <w:pPr>
            <w:pStyle w:val="TOC2"/>
            <w:tabs>
              <w:tab w:val="right" w:leader="dot" w:pos="9350"/>
            </w:tabs>
            <w:rPr>
              <w:rFonts w:eastAsiaTheme="minorEastAsia" w:cstheme="minorBidi"/>
              <w:smallCaps w:val="0"/>
              <w:noProof/>
              <w:sz w:val="24"/>
              <w:szCs w:val="24"/>
              <w:lang w:val="en-AU" w:eastAsia="en-GB"/>
            </w:rPr>
          </w:pPr>
          <w:hyperlink w:anchor="_Toc131672429" w:history="1">
            <w:r w:rsidR="00855291" w:rsidRPr="005A47C8">
              <w:rPr>
                <w:rStyle w:val="Hyperlink"/>
                <w:i/>
                <w:iCs/>
                <w:noProof/>
              </w:rPr>
              <w:t>Completing tertiary education is critical because jobs for people without post-secondary qualifications are disappearing</w:t>
            </w:r>
            <w:r w:rsidR="00855291">
              <w:rPr>
                <w:noProof/>
                <w:webHidden/>
              </w:rPr>
              <w:tab/>
            </w:r>
            <w:r w:rsidR="00855291">
              <w:rPr>
                <w:noProof/>
                <w:webHidden/>
              </w:rPr>
              <w:fldChar w:fldCharType="begin"/>
            </w:r>
            <w:r w:rsidR="00855291">
              <w:rPr>
                <w:noProof/>
                <w:webHidden/>
              </w:rPr>
              <w:instrText xml:space="preserve"> PAGEREF _Toc131672429 \h </w:instrText>
            </w:r>
            <w:r w:rsidR="00855291">
              <w:rPr>
                <w:noProof/>
                <w:webHidden/>
              </w:rPr>
            </w:r>
            <w:r w:rsidR="00855291">
              <w:rPr>
                <w:noProof/>
                <w:webHidden/>
              </w:rPr>
              <w:fldChar w:fldCharType="separate"/>
            </w:r>
            <w:r w:rsidR="00855291">
              <w:rPr>
                <w:noProof/>
                <w:webHidden/>
              </w:rPr>
              <w:t>3</w:t>
            </w:r>
            <w:r w:rsidR="00855291">
              <w:rPr>
                <w:noProof/>
                <w:webHidden/>
              </w:rPr>
              <w:fldChar w:fldCharType="end"/>
            </w:r>
          </w:hyperlink>
        </w:p>
        <w:p w14:paraId="6C8094B3" w14:textId="7A1B4B28" w:rsidR="00855291" w:rsidRDefault="00B75B49">
          <w:pPr>
            <w:pStyle w:val="TOC2"/>
            <w:tabs>
              <w:tab w:val="right" w:leader="dot" w:pos="9350"/>
            </w:tabs>
            <w:rPr>
              <w:rFonts w:eastAsiaTheme="minorEastAsia" w:cstheme="minorBidi"/>
              <w:smallCaps w:val="0"/>
              <w:noProof/>
              <w:sz w:val="24"/>
              <w:szCs w:val="24"/>
              <w:lang w:val="en-AU" w:eastAsia="en-GB"/>
            </w:rPr>
          </w:pPr>
          <w:hyperlink w:anchor="_Toc131672430" w:history="1">
            <w:r w:rsidR="00855291" w:rsidRPr="005A47C8">
              <w:rPr>
                <w:rStyle w:val="Hyperlink"/>
                <w:i/>
                <w:iCs/>
                <w:noProof/>
              </w:rPr>
              <w:t>There is a disparity for people with disability – for participation in tertiary education and for graduate employment outcomes</w:t>
            </w:r>
            <w:r w:rsidR="00855291">
              <w:rPr>
                <w:noProof/>
                <w:webHidden/>
              </w:rPr>
              <w:tab/>
            </w:r>
            <w:r w:rsidR="00855291">
              <w:rPr>
                <w:noProof/>
                <w:webHidden/>
              </w:rPr>
              <w:fldChar w:fldCharType="begin"/>
            </w:r>
            <w:r w:rsidR="00855291">
              <w:rPr>
                <w:noProof/>
                <w:webHidden/>
              </w:rPr>
              <w:instrText xml:space="preserve"> PAGEREF _Toc131672430 \h </w:instrText>
            </w:r>
            <w:r w:rsidR="00855291">
              <w:rPr>
                <w:noProof/>
                <w:webHidden/>
              </w:rPr>
            </w:r>
            <w:r w:rsidR="00855291">
              <w:rPr>
                <w:noProof/>
                <w:webHidden/>
              </w:rPr>
              <w:fldChar w:fldCharType="separate"/>
            </w:r>
            <w:r w:rsidR="00855291">
              <w:rPr>
                <w:noProof/>
                <w:webHidden/>
              </w:rPr>
              <w:t>4</w:t>
            </w:r>
            <w:r w:rsidR="00855291">
              <w:rPr>
                <w:noProof/>
                <w:webHidden/>
              </w:rPr>
              <w:fldChar w:fldCharType="end"/>
            </w:r>
          </w:hyperlink>
        </w:p>
        <w:p w14:paraId="1BD594C2" w14:textId="018DA057" w:rsidR="00855291" w:rsidRDefault="00B75B49">
          <w:pPr>
            <w:pStyle w:val="TOC2"/>
            <w:tabs>
              <w:tab w:val="right" w:leader="dot" w:pos="9350"/>
            </w:tabs>
            <w:rPr>
              <w:rFonts w:eastAsiaTheme="minorEastAsia" w:cstheme="minorBidi"/>
              <w:smallCaps w:val="0"/>
              <w:noProof/>
              <w:sz w:val="24"/>
              <w:szCs w:val="24"/>
              <w:lang w:val="en-AU" w:eastAsia="en-GB"/>
            </w:rPr>
          </w:pPr>
          <w:hyperlink w:anchor="_Toc131672431" w:history="1">
            <w:r w:rsidR="00855291" w:rsidRPr="005A47C8">
              <w:rPr>
                <w:rStyle w:val="Hyperlink"/>
                <w:i/>
                <w:iCs/>
                <w:noProof/>
              </w:rPr>
              <w:t>Australia could do better</w:t>
            </w:r>
            <w:r w:rsidR="00855291">
              <w:rPr>
                <w:noProof/>
                <w:webHidden/>
              </w:rPr>
              <w:tab/>
            </w:r>
            <w:r w:rsidR="00855291">
              <w:rPr>
                <w:noProof/>
                <w:webHidden/>
              </w:rPr>
              <w:fldChar w:fldCharType="begin"/>
            </w:r>
            <w:r w:rsidR="00855291">
              <w:rPr>
                <w:noProof/>
                <w:webHidden/>
              </w:rPr>
              <w:instrText xml:space="preserve"> PAGEREF _Toc131672431 \h </w:instrText>
            </w:r>
            <w:r w:rsidR="00855291">
              <w:rPr>
                <w:noProof/>
                <w:webHidden/>
              </w:rPr>
            </w:r>
            <w:r w:rsidR="00855291">
              <w:rPr>
                <w:noProof/>
                <w:webHidden/>
              </w:rPr>
              <w:fldChar w:fldCharType="separate"/>
            </w:r>
            <w:r w:rsidR="00855291">
              <w:rPr>
                <w:noProof/>
                <w:webHidden/>
              </w:rPr>
              <w:t>5</w:t>
            </w:r>
            <w:r w:rsidR="00855291">
              <w:rPr>
                <w:noProof/>
                <w:webHidden/>
              </w:rPr>
              <w:fldChar w:fldCharType="end"/>
            </w:r>
          </w:hyperlink>
        </w:p>
        <w:p w14:paraId="6BB8A885" w14:textId="2FD25D66" w:rsidR="00855291" w:rsidRDefault="00B75B49">
          <w:pPr>
            <w:pStyle w:val="TOC2"/>
            <w:tabs>
              <w:tab w:val="right" w:leader="dot" w:pos="9350"/>
            </w:tabs>
            <w:rPr>
              <w:rFonts w:eastAsiaTheme="minorEastAsia" w:cstheme="minorBidi"/>
              <w:smallCaps w:val="0"/>
              <w:noProof/>
              <w:sz w:val="24"/>
              <w:szCs w:val="24"/>
              <w:lang w:val="en-AU" w:eastAsia="en-GB"/>
            </w:rPr>
          </w:pPr>
          <w:hyperlink w:anchor="_Toc131672432" w:history="1">
            <w:r w:rsidR="00855291" w:rsidRPr="005A47C8">
              <w:rPr>
                <w:rStyle w:val="Hyperlink"/>
                <w:i/>
                <w:iCs/>
                <w:noProof/>
              </w:rPr>
              <w:t>But we’re doing enough now – aren’t we?</w:t>
            </w:r>
            <w:r w:rsidR="00855291">
              <w:rPr>
                <w:noProof/>
                <w:webHidden/>
              </w:rPr>
              <w:tab/>
            </w:r>
            <w:r w:rsidR="00855291">
              <w:rPr>
                <w:noProof/>
                <w:webHidden/>
              </w:rPr>
              <w:fldChar w:fldCharType="begin"/>
            </w:r>
            <w:r w:rsidR="00855291">
              <w:rPr>
                <w:noProof/>
                <w:webHidden/>
              </w:rPr>
              <w:instrText xml:space="preserve"> PAGEREF _Toc131672432 \h </w:instrText>
            </w:r>
            <w:r w:rsidR="00855291">
              <w:rPr>
                <w:noProof/>
                <w:webHidden/>
              </w:rPr>
            </w:r>
            <w:r w:rsidR="00855291">
              <w:rPr>
                <w:noProof/>
                <w:webHidden/>
              </w:rPr>
              <w:fldChar w:fldCharType="separate"/>
            </w:r>
            <w:r w:rsidR="00855291">
              <w:rPr>
                <w:noProof/>
                <w:webHidden/>
              </w:rPr>
              <w:t>6</w:t>
            </w:r>
            <w:r w:rsidR="00855291">
              <w:rPr>
                <w:noProof/>
                <w:webHidden/>
              </w:rPr>
              <w:fldChar w:fldCharType="end"/>
            </w:r>
          </w:hyperlink>
        </w:p>
        <w:p w14:paraId="2625F28D" w14:textId="10CAD4BB" w:rsidR="00855291" w:rsidRDefault="00B75B49">
          <w:pPr>
            <w:pStyle w:val="TOC1"/>
            <w:tabs>
              <w:tab w:val="right" w:leader="dot" w:pos="9350"/>
            </w:tabs>
            <w:rPr>
              <w:rFonts w:eastAsiaTheme="minorEastAsia" w:cstheme="minorBidi"/>
              <w:b w:val="0"/>
              <w:bCs w:val="0"/>
              <w:caps w:val="0"/>
              <w:noProof/>
              <w:sz w:val="24"/>
              <w:szCs w:val="24"/>
              <w:lang w:val="en-AU" w:eastAsia="en-GB"/>
            </w:rPr>
          </w:pPr>
          <w:hyperlink w:anchor="_Toc131672433" w:history="1">
            <w:r w:rsidR="00855291" w:rsidRPr="005A47C8">
              <w:rPr>
                <w:rStyle w:val="Hyperlink"/>
                <w:noProof/>
              </w:rPr>
              <w:t>Issue 1: Legislative protections do not adequately enable people with disability to pursue tertiary studies</w:t>
            </w:r>
            <w:r w:rsidR="00855291">
              <w:rPr>
                <w:noProof/>
                <w:webHidden/>
              </w:rPr>
              <w:tab/>
            </w:r>
            <w:r w:rsidR="00855291">
              <w:rPr>
                <w:noProof/>
                <w:webHidden/>
              </w:rPr>
              <w:fldChar w:fldCharType="begin"/>
            </w:r>
            <w:r w:rsidR="00855291">
              <w:rPr>
                <w:noProof/>
                <w:webHidden/>
              </w:rPr>
              <w:instrText xml:space="preserve"> PAGEREF _Toc131672433 \h </w:instrText>
            </w:r>
            <w:r w:rsidR="00855291">
              <w:rPr>
                <w:noProof/>
                <w:webHidden/>
              </w:rPr>
            </w:r>
            <w:r w:rsidR="00855291">
              <w:rPr>
                <w:noProof/>
                <w:webHidden/>
              </w:rPr>
              <w:fldChar w:fldCharType="separate"/>
            </w:r>
            <w:r w:rsidR="00855291">
              <w:rPr>
                <w:noProof/>
                <w:webHidden/>
              </w:rPr>
              <w:t>7</w:t>
            </w:r>
            <w:r w:rsidR="00855291">
              <w:rPr>
                <w:noProof/>
                <w:webHidden/>
              </w:rPr>
              <w:fldChar w:fldCharType="end"/>
            </w:r>
          </w:hyperlink>
        </w:p>
        <w:p w14:paraId="18D6C4FF" w14:textId="2CE80498" w:rsidR="00855291" w:rsidRDefault="00B75B49">
          <w:pPr>
            <w:pStyle w:val="TOC1"/>
            <w:tabs>
              <w:tab w:val="right" w:leader="dot" w:pos="9350"/>
            </w:tabs>
            <w:rPr>
              <w:rFonts w:eastAsiaTheme="minorEastAsia" w:cstheme="minorBidi"/>
              <w:b w:val="0"/>
              <w:bCs w:val="0"/>
              <w:caps w:val="0"/>
              <w:noProof/>
              <w:sz w:val="24"/>
              <w:szCs w:val="24"/>
              <w:lang w:val="en-AU" w:eastAsia="en-GB"/>
            </w:rPr>
          </w:pPr>
          <w:hyperlink w:anchor="_Toc131672434" w:history="1">
            <w:r w:rsidR="00855291" w:rsidRPr="005A47C8">
              <w:rPr>
                <w:rStyle w:val="Hyperlink"/>
                <w:noProof/>
              </w:rPr>
              <w:t>Issue 2: Tertiary education providers are not adequately or consistently funded to make reasonable adjustments</w:t>
            </w:r>
            <w:r w:rsidR="00855291">
              <w:rPr>
                <w:noProof/>
                <w:webHidden/>
              </w:rPr>
              <w:tab/>
            </w:r>
            <w:r w:rsidR="00855291">
              <w:rPr>
                <w:noProof/>
                <w:webHidden/>
              </w:rPr>
              <w:fldChar w:fldCharType="begin"/>
            </w:r>
            <w:r w:rsidR="00855291">
              <w:rPr>
                <w:noProof/>
                <w:webHidden/>
              </w:rPr>
              <w:instrText xml:space="preserve"> PAGEREF _Toc131672434 \h </w:instrText>
            </w:r>
            <w:r w:rsidR="00855291">
              <w:rPr>
                <w:noProof/>
                <w:webHidden/>
              </w:rPr>
            </w:r>
            <w:r w:rsidR="00855291">
              <w:rPr>
                <w:noProof/>
                <w:webHidden/>
              </w:rPr>
              <w:fldChar w:fldCharType="separate"/>
            </w:r>
            <w:r w:rsidR="00855291">
              <w:rPr>
                <w:noProof/>
                <w:webHidden/>
              </w:rPr>
              <w:t>8</w:t>
            </w:r>
            <w:r w:rsidR="00855291">
              <w:rPr>
                <w:noProof/>
                <w:webHidden/>
              </w:rPr>
              <w:fldChar w:fldCharType="end"/>
            </w:r>
          </w:hyperlink>
        </w:p>
        <w:p w14:paraId="02501FD7" w14:textId="24E4DBEC" w:rsidR="00855291" w:rsidRDefault="00B75B49">
          <w:pPr>
            <w:pStyle w:val="TOC1"/>
            <w:tabs>
              <w:tab w:val="right" w:leader="dot" w:pos="9350"/>
            </w:tabs>
            <w:rPr>
              <w:rFonts w:eastAsiaTheme="minorEastAsia" w:cstheme="minorBidi"/>
              <w:b w:val="0"/>
              <w:bCs w:val="0"/>
              <w:caps w:val="0"/>
              <w:noProof/>
              <w:sz w:val="24"/>
              <w:szCs w:val="24"/>
              <w:lang w:val="en-AU" w:eastAsia="en-GB"/>
            </w:rPr>
          </w:pPr>
          <w:hyperlink w:anchor="_Toc131672435" w:history="1">
            <w:r w:rsidR="00855291" w:rsidRPr="005A47C8">
              <w:rPr>
                <w:rStyle w:val="Hyperlink"/>
                <w:noProof/>
              </w:rPr>
              <w:t>Issue 3: The National Disability Insurance Scheme (NDIS) alone cannot fix it</w:t>
            </w:r>
            <w:r w:rsidR="00855291">
              <w:rPr>
                <w:noProof/>
                <w:webHidden/>
              </w:rPr>
              <w:tab/>
            </w:r>
            <w:r w:rsidR="00855291">
              <w:rPr>
                <w:noProof/>
                <w:webHidden/>
              </w:rPr>
              <w:fldChar w:fldCharType="begin"/>
            </w:r>
            <w:r w:rsidR="00855291">
              <w:rPr>
                <w:noProof/>
                <w:webHidden/>
              </w:rPr>
              <w:instrText xml:space="preserve"> PAGEREF _Toc131672435 \h </w:instrText>
            </w:r>
            <w:r w:rsidR="00855291">
              <w:rPr>
                <w:noProof/>
                <w:webHidden/>
              </w:rPr>
            </w:r>
            <w:r w:rsidR="00855291">
              <w:rPr>
                <w:noProof/>
                <w:webHidden/>
              </w:rPr>
              <w:fldChar w:fldCharType="separate"/>
            </w:r>
            <w:r w:rsidR="00855291">
              <w:rPr>
                <w:noProof/>
                <w:webHidden/>
              </w:rPr>
              <w:t>9</w:t>
            </w:r>
            <w:r w:rsidR="00855291">
              <w:rPr>
                <w:noProof/>
                <w:webHidden/>
              </w:rPr>
              <w:fldChar w:fldCharType="end"/>
            </w:r>
          </w:hyperlink>
        </w:p>
        <w:p w14:paraId="56E22D3B" w14:textId="067AB8BA" w:rsidR="00855291" w:rsidRDefault="00B75B49">
          <w:pPr>
            <w:pStyle w:val="TOC1"/>
            <w:tabs>
              <w:tab w:val="right" w:leader="dot" w:pos="9350"/>
            </w:tabs>
            <w:rPr>
              <w:rFonts w:eastAsiaTheme="minorEastAsia" w:cstheme="minorBidi"/>
              <w:b w:val="0"/>
              <w:bCs w:val="0"/>
              <w:caps w:val="0"/>
              <w:noProof/>
              <w:sz w:val="24"/>
              <w:szCs w:val="24"/>
              <w:lang w:val="en-AU" w:eastAsia="en-GB"/>
            </w:rPr>
          </w:pPr>
          <w:hyperlink w:anchor="_Toc131672436" w:history="1">
            <w:r w:rsidR="00855291" w:rsidRPr="005A47C8">
              <w:rPr>
                <w:rStyle w:val="Hyperlink"/>
                <w:noProof/>
              </w:rPr>
              <w:t>Discussion</w:t>
            </w:r>
            <w:r w:rsidR="00855291">
              <w:rPr>
                <w:noProof/>
                <w:webHidden/>
              </w:rPr>
              <w:tab/>
            </w:r>
            <w:r w:rsidR="00855291">
              <w:rPr>
                <w:noProof/>
                <w:webHidden/>
              </w:rPr>
              <w:fldChar w:fldCharType="begin"/>
            </w:r>
            <w:r w:rsidR="00855291">
              <w:rPr>
                <w:noProof/>
                <w:webHidden/>
              </w:rPr>
              <w:instrText xml:space="preserve"> PAGEREF _Toc131672436 \h </w:instrText>
            </w:r>
            <w:r w:rsidR="00855291">
              <w:rPr>
                <w:noProof/>
                <w:webHidden/>
              </w:rPr>
            </w:r>
            <w:r w:rsidR="00855291">
              <w:rPr>
                <w:noProof/>
                <w:webHidden/>
              </w:rPr>
              <w:fldChar w:fldCharType="separate"/>
            </w:r>
            <w:r w:rsidR="00855291">
              <w:rPr>
                <w:noProof/>
                <w:webHidden/>
              </w:rPr>
              <w:t>10</w:t>
            </w:r>
            <w:r w:rsidR="00855291">
              <w:rPr>
                <w:noProof/>
                <w:webHidden/>
              </w:rPr>
              <w:fldChar w:fldCharType="end"/>
            </w:r>
          </w:hyperlink>
        </w:p>
        <w:p w14:paraId="3DEE1E22" w14:textId="7402AAC5" w:rsidR="00855291" w:rsidRDefault="00B75B49">
          <w:pPr>
            <w:pStyle w:val="TOC2"/>
            <w:tabs>
              <w:tab w:val="right" w:leader="dot" w:pos="9350"/>
            </w:tabs>
            <w:rPr>
              <w:rFonts w:eastAsiaTheme="minorEastAsia" w:cstheme="minorBidi"/>
              <w:smallCaps w:val="0"/>
              <w:noProof/>
              <w:sz w:val="24"/>
              <w:szCs w:val="24"/>
              <w:lang w:val="en-AU" w:eastAsia="en-GB"/>
            </w:rPr>
          </w:pPr>
          <w:hyperlink w:anchor="_Toc131672437" w:history="1">
            <w:r w:rsidR="00855291" w:rsidRPr="005A47C8">
              <w:rPr>
                <w:rStyle w:val="Hyperlink"/>
                <w:noProof/>
              </w:rPr>
              <w:t>How might we achieve parity?</w:t>
            </w:r>
            <w:r w:rsidR="00855291">
              <w:rPr>
                <w:noProof/>
                <w:webHidden/>
              </w:rPr>
              <w:tab/>
            </w:r>
            <w:r w:rsidR="00855291">
              <w:rPr>
                <w:noProof/>
                <w:webHidden/>
              </w:rPr>
              <w:fldChar w:fldCharType="begin"/>
            </w:r>
            <w:r w:rsidR="00855291">
              <w:rPr>
                <w:noProof/>
                <w:webHidden/>
              </w:rPr>
              <w:instrText xml:space="preserve"> PAGEREF _Toc131672437 \h </w:instrText>
            </w:r>
            <w:r w:rsidR="00855291">
              <w:rPr>
                <w:noProof/>
                <w:webHidden/>
              </w:rPr>
            </w:r>
            <w:r w:rsidR="00855291">
              <w:rPr>
                <w:noProof/>
                <w:webHidden/>
              </w:rPr>
              <w:fldChar w:fldCharType="separate"/>
            </w:r>
            <w:r w:rsidR="00855291">
              <w:rPr>
                <w:noProof/>
                <w:webHidden/>
              </w:rPr>
              <w:t>10</w:t>
            </w:r>
            <w:r w:rsidR="00855291">
              <w:rPr>
                <w:noProof/>
                <w:webHidden/>
              </w:rPr>
              <w:fldChar w:fldCharType="end"/>
            </w:r>
          </w:hyperlink>
        </w:p>
        <w:p w14:paraId="7306C5D5" w14:textId="6C1FFF9A" w:rsidR="00855291" w:rsidRDefault="00B75B49">
          <w:pPr>
            <w:pStyle w:val="TOC2"/>
            <w:tabs>
              <w:tab w:val="right" w:leader="dot" w:pos="9350"/>
            </w:tabs>
            <w:rPr>
              <w:rFonts w:eastAsiaTheme="minorEastAsia" w:cstheme="minorBidi"/>
              <w:smallCaps w:val="0"/>
              <w:noProof/>
              <w:sz w:val="24"/>
              <w:szCs w:val="24"/>
              <w:lang w:val="en-AU" w:eastAsia="en-GB"/>
            </w:rPr>
          </w:pPr>
          <w:hyperlink w:anchor="_Toc131672438" w:history="1">
            <w:r w:rsidR="00855291" w:rsidRPr="005A47C8">
              <w:rPr>
                <w:rStyle w:val="Hyperlink"/>
                <w:noProof/>
              </w:rPr>
              <w:t>Options for a national approach</w:t>
            </w:r>
            <w:r w:rsidR="00855291">
              <w:rPr>
                <w:noProof/>
                <w:webHidden/>
              </w:rPr>
              <w:tab/>
            </w:r>
            <w:r w:rsidR="00855291">
              <w:rPr>
                <w:noProof/>
                <w:webHidden/>
              </w:rPr>
              <w:fldChar w:fldCharType="begin"/>
            </w:r>
            <w:r w:rsidR="00855291">
              <w:rPr>
                <w:noProof/>
                <w:webHidden/>
              </w:rPr>
              <w:instrText xml:space="preserve"> PAGEREF _Toc131672438 \h </w:instrText>
            </w:r>
            <w:r w:rsidR="00855291">
              <w:rPr>
                <w:noProof/>
                <w:webHidden/>
              </w:rPr>
            </w:r>
            <w:r w:rsidR="00855291">
              <w:rPr>
                <w:noProof/>
                <w:webHidden/>
              </w:rPr>
              <w:fldChar w:fldCharType="separate"/>
            </w:r>
            <w:r w:rsidR="00855291">
              <w:rPr>
                <w:noProof/>
                <w:webHidden/>
              </w:rPr>
              <w:t>11</w:t>
            </w:r>
            <w:r w:rsidR="00855291">
              <w:rPr>
                <w:noProof/>
                <w:webHidden/>
              </w:rPr>
              <w:fldChar w:fldCharType="end"/>
            </w:r>
          </w:hyperlink>
        </w:p>
        <w:p w14:paraId="65E06128" w14:textId="2AC41B79" w:rsidR="00855291" w:rsidRDefault="00B75B49">
          <w:pPr>
            <w:pStyle w:val="TOC1"/>
            <w:tabs>
              <w:tab w:val="right" w:leader="dot" w:pos="9350"/>
            </w:tabs>
            <w:rPr>
              <w:rFonts w:eastAsiaTheme="minorEastAsia" w:cstheme="minorBidi"/>
              <w:b w:val="0"/>
              <w:bCs w:val="0"/>
              <w:caps w:val="0"/>
              <w:noProof/>
              <w:sz w:val="24"/>
              <w:szCs w:val="24"/>
              <w:lang w:val="en-AU" w:eastAsia="en-GB"/>
            </w:rPr>
          </w:pPr>
          <w:hyperlink w:anchor="_Toc131672439" w:history="1">
            <w:r w:rsidR="00855291" w:rsidRPr="005A47C8">
              <w:rPr>
                <w:rStyle w:val="Hyperlink"/>
                <w:noProof/>
              </w:rPr>
              <w:t>APPENDIX 1</w:t>
            </w:r>
            <w:r w:rsidR="00855291">
              <w:rPr>
                <w:noProof/>
                <w:webHidden/>
              </w:rPr>
              <w:tab/>
            </w:r>
            <w:r w:rsidR="00855291">
              <w:rPr>
                <w:noProof/>
                <w:webHidden/>
              </w:rPr>
              <w:fldChar w:fldCharType="begin"/>
            </w:r>
            <w:r w:rsidR="00855291">
              <w:rPr>
                <w:noProof/>
                <w:webHidden/>
              </w:rPr>
              <w:instrText xml:space="preserve"> PAGEREF _Toc131672439 \h </w:instrText>
            </w:r>
            <w:r w:rsidR="00855291">
              <w:rPr>
                <w:noProof/>
                <w:webHidden/>
              </w:rPr>
            </w:r>
            <w:r w:rsidR="00855291">
              <w:rPr>
                <w:noProof/>
                <w:webHidden/>
              </w:rPr>
              <w:fldChar w:fldCharType="separate"/>
            </w:r>
            <w:r w:rsidR="00855291">
              <w:rPr>
                <w:noProof/>
                <w:webHidden/>
              </w:rPr>
              <w:t>14</w:t>
            </w:r>
            <w:r w:rsidR="00855291">
              <w:rPr>
                <w:noProof/>
                <w:webHidden/>
              </w:rPr>
              <w:fldChar w:fldCharType="end"/>
            </w:r>
          </w:hyperlink>
        </w:p>
        <w:p w14:paraId="6BFC2135" w14:textId="055CC989" w:rsidR="00855291" w:rsidRDefault="00B75B49">
          <w:pPr>
            <w:pStyle w:val="TOC2"/>
            <w:tabs>
              <w:tab w:val="right" w:leader="dot" w:pos="9350"/>
            </w:tabs>
            <w:rPr>
              <w:rFonts w:eastAsiaTheme="minorEastAsia" w:cstheme="minorBidi"/>
              <w:smallCaps w:val="0"/>
              <w:noProof/>
              <w:sz w:val="24"/>
              <w:szCs w:val="24"/>
              <w:lang w:val="en-AU" w:eastAsia="en-GB"/>
            </w:rPr>
          </w:pPr>
          <w:hyperlink w:anchor="_Toc131672440" w:history="1">
            <w:r w:rsidR="00855291" w:rsidRPr="005A47C8">
              <w:rPr>
                <w:rStyle w:val="Hyperlink"/>
                <w:noProof/>
              </w:rPr>
              <w:t>Issues – IN DETAIL</w:t>
            </w:r>
            <w:r w:rsidR="00855291">
              <w:rPr>
                <w:noProof/>
                <w:webHidden/>
              </w:rPr>
              <w:tab/>
            </w:r>
            <w:r w:rsidR="00855291">
              <w:rPr>
                <w:noProof/>
                <w:webHidden/>
              </w:rPr>
              <w:fldChar w:fldCharType="begin"/>
            </w:r>
            <w:r w:rsidR="00855291">
              <w:rPr>
                <w:noProof/>
                <w:webHidden/>
              </w:rPr>
              <w:instrText xml:space="preserve"> PAGEREF _Toc131672440 \h </w:instrText>
            </w:r>
            <w:r w:rsidR="00855291">
              <w:rPr>
                <w:noProof/>
                <w:webHidden/>
              </w:rPr>
            </w:r>
            <w:r w:rsidR="00855291">
              <w:rPr>
                <w:noProof/>
                <w:webHidden/>
              </w:rPr>
              <w:fldChar w:fldCharType="separate"/>
            </w:r>
            <w:r w:rsidR="00855291">
              <w:rPr>
                <w:noProof/>
                <w:webHidden/>
              </w:rPr>
              <w:t>14</w:t>
            </w:r>
            <w:r w:rsidR="00855291">
              <w:rPr>
                <w:noProof/>
                <w:webHidden/>
              </w:rPr>
              <w:fldChar w:fldCharType="end"/>
            </w:r>
          </w:hyperlink>
        </w:p>
        <w:p w14:paraId="4292DAC0" w14:textId="281784CC" w:rsidR="00855291" w:rsidRDefault="00B75B49">
          <w:pPr>
            <w:pStyle w:val="TOC3"/>
            <w:tabs>
              <w:tab w:val="right" w:leader="dot" w:pos="9350"/>
            </w:tabs>
            <w:rPr>
              <w:rFonts w:eastAsiaTheme="minorEastAsia" w:cstheme="minorBidi"/>
              <w:i w:val="0"/>
              <w:iCs w:val="0"/>
              <w:noProof/>
              <w:sz w:val="24"/>
              <w:szCs w:val="24"/>
              <w:lang w:val="en-AU" w:eastAsia="en-GB"/>
            </w:rPr>
          </w:pPr>
          <w:hyperlink w:anchor="_Toc131672441" w:history="1">
            <w:r w:rsidR="00855291" w:rsidRPr="005A47C8">
              <w:rPr>
                <w:rStyle w:val="Hyperlink"/>
                <w:noProof/>
              </w:rPr>
              <w:t>Issue 1: Legislative protections do not adequately enable people with disability to pursue tertiary studies</w:t>
            </w:r>
            <w:r w:rsidR="00855291">
              <w:rPr>
                <w:noProof/>
                <w:webHidden/>
              </w:rPr>
              <w:tab/>
            </w:r>
            <w:r w:rsidR="00855291">
              <w:rPr>
                <w:noProof/>
                <w:webHidden/>
              </w:rPr>
              <w:fldChar w:fldCharType="begin"/>
            </w:r>
            <w:r w:rsidR="00855291">
              <w:rPr>
                <w:noProof/>
                <w:webHidden/>
              </w:rPr>
              <w:instrText xml:space="preserve"> PAGEREF _Toc131672441 \h </w:instrText>
            </w:r>
            <w:r w:rsidR="00855291">
              <w:rPr>
                <w:noProof/>
                <w:webHidden/>
              </w:rPr>
            </w:r>
            <w:r w:rsidR="00855291">
              <w:rPr>
                <w:noProof/>
                <w:webHidden/>
              </w:rPr>
              <w:fldChar w:fldCharType="separate"/>
            </w:r>
            <w:r w:rsidR="00855291">
              <w:rPr>
                <w:noProof/>
                <w:webHidden/>
              </w:rPr>
              <w:t>14</w:t>
            </w:r>
            <w:r w:rsidR="00855291">
              <w:rPr>
                <w:noProof/>
                <w:webHidden/>
              </w:rPr>
              <w:fldChar w:fldCharType="end"/>
            </w:r>
          </w:hyperlink>
        </w:p>
        <w:p w14:paraId="16DED231" w14:textId="19F475E3" w:rsidR="00855291" w:rsidRDefault="00B75B49">
          <w:pPr>
            <w:pStyle w:val="TOC3"/>
            <w:tabs>
              <w:tab w:val="right" w:leader="dot" w:pos="9350"/>
            </w:tabs>
            <w:rPr>
              <w:rFonts w:eastAsiaTheme="minorEastAsia" w:cstheme="minorBidi"/>
              <w:i w:val="0"/>
              <w:iCs w:val="0"/>
              <w:noProof/>
              <w:sz w:val="24"/>
              <w:szCs w:val="24"/>
              <w:lang w:val="en-AU" w:eastAsia="en-GB"/>
            </w:rPr>
          </w:pPr>
          <w:hyperlink w:anchor="_Toc131672442" w:history="1">
            <w:r w:rsidR="00855291" w:rsidRPr="005A47C8">
              <w:rPr>
                <w:rStyle w:val="Hyperlink"/>
                <w:noProof/>
              </w:rPr>
              <w:t>Issue 2: Tertiary education providers are not adequately or consistently funded to make reasonable adjustments</w:t>
            </w:r>
            <w:r w:rsidR="00855291">
              <w:rPr>
                <w:noProof/>
                <w:webHidden/>
              </w:rPr>
              <w:tab/>
            </w:r>
            <w:r w:rsidR="00855291">
              <w:rPr>
                <w:noProof/>
                <w:webHidden/>
              </w:rPr>
              <w:fldChar w:fldCharType="begin"/>
            </w:r>
            <w:r w:rsidR="00855291">
              <w:rPr>
                <w:noProof/>
                <w:webHidden/>
              </w:rPr>
              <w:instrText xml:space="preserve"> PAGEREF _Toc131672442 \h </w:instrText>
            </w:r>
            <w:r w:rsidR="00855291">
              <w:rPr>
                <w:noProof/>
                <w:webHidden/>
              </w:rPr>
            </w:r>
            <w:r w:rsidR="00855291">
              <w:rPr>
                <w:noProof/>
                <w:webHidden/>
              </w:rPr>
              <w:fldChar w:fldCharType="separate"/>
            </w:r>
            <w:r w:rsidR="00855291">
              <w:rPr>
                <w:noProof/>
                <w:webHidden/>
              </w:rPr>
              <w:t>16</w:t>
            </w:r>
            <w:r w:rsidR="00855291">
              <w:rPr>
                <w:noProof/>
                <w:webHidden/>
              </w:rPr>
              <w:fldChar w:fldCharType="end"/>
            </w:r>
          </w:hyperlink>
        </w:p>
        <w:p w14:paraId="7D325E7D" w14:textId="02BEB729" w:rsidR="00855291" w:rsidRDefault="00B75B49">
          <w:pPr>
            <w:pStyle w:val="TOC3"/>
            <w:tabs>
              <w:tab w:val="right" w:leader="dot" w:pos="9350"/>
            </w:tabs>
            <w:rPr>
              <w:rFonts w:eastAsiaTheme="minorEastAsia" w:cstheme="minorBidi"/>
              <w:i w:val="0"/>
              <w:iCs w:val="0"/>
              <w:noProof/>
              <w:sz w:val="24"/>
              <w:szCs w:val="24"/>
              <w:lang w:val="en-AU" w:eastAsia="en-GB"/>
            </w:rPr>
          </w:pPr>
          <w:hyperlink w:anchor="_Toc131672443" w:history="1">
            <w:r w:rsidR="00855291" w:rsidRPr="005A47C8">
              <w:rPr>
                <w:rStyle w:val="Hyperlink"/>
                <w:noProof/>
              </w:rPr>
              <w:t>Issue 3: The National Disability Insurance Scheme (NDIS) alone cannot fix it</w:t>
            </w:r>
            <w:r w:rsidR="00855291">
              <w:rPr>
                <w:noProof/>
                <w:webHidden/>
              </w:rPr>
              <w:tab/>
            </w:r>
            <w:r w:rsidR="00855291">
              <w:rPr>
                <w:noProof/>
                <w:webHidden/>
              </w:rPr>
              <w:fldChar w:fldCharType="begin"/>
            </w:r>
            <w:r w:rsidR="00855291">
              <w:rPr>
                <w:noProof/>
                <w:webHidden/>
              </w:rPr>
              <w:instrText xml:space="preserve"> PAGEREF _Toc131672443 \h </w:instrText>
            </w:r>
            <w:r w:rsidR="00855291">
              <w:rPr>
                <w:noProof/>
                <w:webHidden/>
              </w:rPr>
            </w:r>
            <w:r w:rsidR="00855291">
              <w:rPr>
                <w:noProof/>
                <w:webHidden/>
              </w:rPr>
              <w:fldChar w:fldCharType="separate"/>
            </w:r>
            <w:r w:rsidR="00855291">
              <w:rPr>
                <w:noProof/>
                <w:webHidden/>
              </w:rPr>
              <w:t>18</w:t>
            </w:r>
            <w:r w:rsidR="00855291">
              <w:rPr>
                <w:noProof/>
                <w:webHidden/>
              </w:rPr>
              <w:fldChar w:fldCharType="end"/>
            </w:r>
          </w:hyperlink>
        </w:p>
        <w:p w14:paraId="105FE690" w14:textId="210B6FA8" w:rsidR="00855291" w:rsidRDefault="00B75B49">
          <w:pPr>
            <w:pStyle w:val="TOC1"/>
            <w:tabs>
              <w:tab w:val="right" w:leader="dot" w:pos="9350"/>
            </w:tabs>
            <w:rPr>
              <w:rFonts w:eastAsiaTheme="minorEastAsia" w:cstheme="minorBidi"/>
              <w:b w:val="0"/>
              <w:bCs w:val="0"/>
              <w:caps w:val="0"/>
              <w:noProof/>
              <w:sz w:val="24"/>
              <w:szCs w:val="24"/>
              <w:lang w:val="en-AU" w:eastAsia="en-GB"/>
            </w:rPr>
          </w:pPr>
          <w:hyperlink w:anchor="_Toc131672444" w:history="1">
            <w:r w:rsidR="00855291" w:rsidRPr="005A47C8">
              <w:rPr>
                <w:rStyle w:val="Hyperlink"/>
                <w:noProof/>
              </w:rPr>
              <w:t>References</w:t>
            </w:r>
            <w:r w:rsidR="00855291">
              <w:rPr>
                <w:noProof/>
                <w:webHidden/>
              </w:rPr>
              <w:tab/>
            </w:r>
            <w:r w:rsidR="00855291">
              <w:rPr>
                <w:noProof/>
                <w:webHidden/>
              </w:rPr>
              <w:fldChar w:fldCharType="begin"/>
            </w:r>
            <w:r w:rsidR="00855291">
              <w:rPr>
                <w:noProof/>
                <w:webHidden/>
              </w:rPr>
              <w:instrText xml:space="preserve"> PAGEREF _Toc131672444 \h </w:instrText>
            </w:r>
            <w:r w:rsidR="00855291">
              <w:rPr>
                <w:noProof/>
                <w:webHidden/>
              </w:rPr>
            </w:r>
            <w:r w:rsidR="00855291">
              <w:rPr>
                <w:noProof/>
                <w:webHidden/>
              </w:rPr>
              <w:fldChar w:fldCharType="separate"/>
            </w:r>
            <w:r w:rsidR="00855291">
              <w:rPr>
                <w:noProof/>
                <w:webHidden/>
              </w:rPr>
              <w:t>21</w:t>
            </w:r>
            <w:r w:rsidR="00855291">
              <w:rPr>
                <w:noProof/>
                <w:webHidden/>
              </w:rPr>
              <w:fldChar w:fldCharType="end"/>
            </w:r>
          </w:hyperlink>
        </w:p>
        <w:p w14:paraId="18CE0170" w14:textId="4A1CCD3F" w:rsidR="003F14B2" w:rsidRDefault="003F14B2">
          <w:r>
            <w:rPr>
              <w:b/>
              <w:bCs/>
              <w:noProof/>
            </w:rPr>
            <w:fldChar w:fldCharType="end"/>
          </w:r>
        </w:p>
      </w:sdtContent>
    </w:sdt>
    <w:p w14:paraId="3D50435A" w14:textId="48C8AE12" w:rsidR="00AF73E6" w:rsidRPr="00275FC7" w:rsidRDefault="00AF73E6">
      <w:r w:rsidRPr="00275FC7">
        <w:br w:type="page"/>
      </w:r>
    </w:p>
    <w:p w14:paraId="1607E878" w14:textId="77512D82" w:rsidR="00476E6B" w:rsidRPr="00275FC7" w:rsidRDefault="00476E6B" w:rsidP="00925F9F">
      <w:pPr>
        <w:pStyle w:val="Heading1"/>
      </w:pPr>
      <w:bookmarkStart w:id="0" w:name="_Toc131672428"/>
      <w:r w:rsidRPr="00275FC7">
        <w:lastRenderedPageBreak/>
        <w:t>Background</w:t>
      </w:r>
      <w:bookmarkEnd w:id="0"/>
    </w:p>
    <w:p w14:paraId="274C4C81" w14:textId="5C7A48F4" w:rsidR="00FB580D" w:rsidRPr="00275FC7" w:rsidRDefault="0023019B" w:rsidP="00925F9F">
      <w:pPr>
        <w:pStyle w:val="Heading2"/>
        <w:rPr>
          <w:rStyle w:val="IntenseEmphasis"/>
        </w:rPr>
      </w:pPr>
      <w:bookmarkStart w:id="1" w:name="_Toc131672429"/>
      <w:r w:rsidRPr="00275FC7">
        <w:rPr>
          <w:rStyle w:val="IntenseEmphasis"/>
        </w:rPr>
        <w:t>Completing tertiary education is critical because j</w:t>
      </w:r>
      <w:r w:rsidR="001128DA" w:rsidRPr="00275FC7">
        <w:rPr>
          <w:rStyle w:val="IntenseEmphasis"/>
        </w:rPr>
        <w:t xml:space="preserve">obs for </w:t>
      </w:r>
      <w:r w:rsidR="00C52D17" w:rsidRPr="00275FC7">
        <w:rPr>
          <w:rStyle w:val="IntenseEmphasis"/>
        </w:rPr>
        <w:t xml:space="preserve">people </w:t>
      </w:r>
      <w:r w:rsidR="001128DA" w:rsidRPr="00275FC7">
        <w:rPr>
          <w:rStyle w:val="IntenseEmphasis"/>
        </w:rPr>
        <w:t xml:space="preserve">without post-secondary </w:t>
      </w:r>
      <w:r w:rsidR="005E60C4">
        <w:rPr>
          <w:rStyle w:val="IntenseEmphasis"/>
        </w:rPr>
        <w:t>qualifications</w:t>
      </w:r>
      <w:r w:rsidR="005E60C4" w:rsidRPr="00275FC7">
        <w:rPr>
          <w:rStyle w:val="IntenseEmphasis"/>
        </w:rPr>
        <w:t xml:space="preserve"> </w:t>
      </w:r>
      <w:r w:rsidRPr="00275FC7">
        <w:rPr>
          <w:rStyle w:val="IntenseEmphasis"/>
        </w:rPr>
        <w:t>are disappearing</w:t>
      </w:r>
      <w:bookmarkEnd w:id="1"/>
      <w:r w:rsidRPr="00275FC7">
        <w:rPr>
          <w:rStyle w:val="IntenseEmphasis"/>
        </w:rPr>
        <w:t xml:space="preserve"> </w:t>
      </w:r>
    </w:p>
    <w:p w14:paraId="052533CF" w14:textId="7B22E855" w:rsidR="000F6C9D" w:rsidRPr="00275FC7" w:rsidRDefault="00160720" w:rsidP="00F27AF2">
      <w:pPr>
        <w:pStyle w:val="paratext"/>
      </w:pPr>
      <w:r w:rsidRPr="00275FC7">
        <w:t>T</w:t>
      </w:r>
      <w:r w:rsidR="00497B4D" w:rsidRPr="00275FC7">
        <w:t>he Australian labour market has changed significantly</w:t>
      </w:r>
      <w:r w:rsidRPr="00275FC7">
        <w:t xml:space="preserve">, with fewer </w:t>
      </w:r>
      <w:r w:rsidR="00497B4D" w:rsidRPr="00275FC7">
        <w:t xml:space="preserve">jobs that don’t require post-school education and training (refer Graph 1). </w:t>
      </w:r>
      <w:r w:rsidR="00F27AF2" w:rsidRPr="00275FC7">
        <w:t>T</w:t>
      </w:r>
      <w:r w:rsidR="00497B4D" w:rsidRPr="00275FC7">
        <w:t xml:space="preserve">hese trends are only set to continue (Department of Prime Minister and Cabinet, 2019), making it </w:t>
      </w:r>
      <w:r w:rsidR="003C2426" w:rsidRPr="00275FC7">
        <w:t>even more</w:t>
      </w:r>
      <w:r w:rsidR="00497B4D" w:rsidRPr="00275FC7">
        <w:t xml:space="preserve"> important that all Australian</w:t>
      </w:r>
      <w:r w:rsidR="00200ACB" w:rsidRPr="00275FC7">
        <w:t>s</w:t>
      </w:r>
      <w:r w:rsidR="00497B4D" w:rsidRPr="00275FC7">
        <w:t xml:space="preserve"> </w:t>
      </w:r>
      <w:r w:rsidR="00F66DCB" w:rsidRPr="00275FC7">
        <w:t>can</w:t>
      </w:r>
      <w:r w:rsidR="00497B4D" w:rsidRPr="00275FC7">
        <w:t xml:space="preserve"> participate in education and training beyond Year 12.</w:t>
      </w:r>
      <w:r w:rsidR="00AC516A" w:rsidRPr="00275FC7">
        <w:t xml:space="preserve"> </w:t>
      </w:r>
    </w:p>
    <w:p w14:paraId="5D470295" w14:textId="77777777" w:rsidR="00ED0D2E" w:rsidRPr="00275FC7" w:rsidRDefault="00ED0D2E" w:rsidP="00F27AF2">
      <w:pPr>
        <w:pStyle w:val="paratext"/>
        <w:rPr>
          <w:bCs/>
        </w:rPr>
      </w:pPr>
    </w:p>
    <w:p w14:paraId="238180B4" w14:textId="25908928" w:rsidR="00ED0D2E" w:rsidRPr="00275FC7" w:rsidRDefault="00AC516A" w:rsidP="00ED0D2E">
      <w:pPr>
        <w:pStyle w:val="Tableheader"/>
        <w:rPr>
          <w:rStyle w:val="SubtleEmphasis"/>
        </w:rPr>
      </w:pPr>
      <w:r w:rsidRPr="00275FC7">
        <w:rPr>
          <w:bCs/>
        </w:rPr>
        <w:t>“</w:t>
      </w:r>
      <w:r w:rsidR="0084254D" w:rsidRPr="00275FC7">
        <w:t>Australian economy requires more high skilled workers than ever</w:t>
      </w:r>
      <w:r w:rsidR="008F6CA7" w:rsidRPr="00275FC7">
        <w:t xml:space="preserve">. </w:t>
      </w:r>
      <w:r w:rsidR="0084254D" w:rsidRPr="00275FC7">
        <w:t xml:space="preserve">Prior to the covid-19 pandemic, projections from the Department of Education, </w:t>
      </w:r>
      <w:r w:rsidR="00F66DCB" w:rsidRPr="00275FC7">
        <w:t>Skills,</w:t>
      </w:r>
      <w:r w:rsidR="0084254D" w:rsidRPr="00275FC7">
        <w:t xml:space="preserve"> and Employment show that the 1.1. million jobs forecast to be created between 2019 and 2024 or 45% will require a bachelor or higher-level qualification.”  </w:t>
      </w:r>
    </w:p>
    <w:p w14:paraId="07E27896" w14:textId="271EF480" w:rsidR="00497B4D" w:rsidRPr="00275FC7" w:rsidRDefault="00497B4D" w:rsidP="007A4C3D">
      <w:pPr>
        <w:pStyle w:val="Tableheader"/>
        <w:rPr>
          <w:rStyle w:val="SubtleEmphasis"/>
        </w:rPr>
      </w:pPr>
      <w:r w:rsidRPr="00275FC7">
        <w:rPr>
          <w:rStyle w:val="SubtleEmphasis"/>
        </w:rPr>
        <w:t>Graph 1: Change in employment share by skill level, 1998 to 2018 (source: ABS 2018)</w:t>
      </w:r>
    </w:p>
    <w:p w14:paraId="1638C526" w14:textId="32540B2B" w:rsidR="00497B4D" w:rsidRPr="00275FC7" w:rsidRDefault="00497B4D" w:rsidP="00497B4D">
      <w:pPr>
        <w:spacing w:before="240" w:after="240"/>
        <w:ind w:left="6"/>
        <w:jc w:val="center"/>
        <w:rPr>
          <w:bCs/>
        </w:rPr>
      </w:pPr>
      <w:r w:rsidRPr="00275FC7">
        <w:rPr>
          <w:bCs/>
          <w:noProof/>
        </w:rPr>
        <w:drawing>
          <wp:inline distT="0" distB="0" distL="0" distR="0" wp14:anchorId="4E6B751C" wp14:editId="30CB473C">
            <wp:extent cx="4059555" cy="2758440"/>
            <wp:effectExtent l="0" t="0" r="17145" b="3810"/>
            <wp:docPr id="5" name="Chart 5" descr="Bar chart shows change in employment share by skill level between 1998 and 2018.  In 1998, the employment share for higher skilled level 5 occupations was 23% and the employment share for lower skilled, level 1 occupations was 21%. &#10;&#10;In 2018, the employment share for higher skilled level 5 occupations was 32% and the employment share for level 1 occupations was 17%.&#10;&#10;Chart shows a demonstrable shift towards a need for higher skill levels."/>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D15BA3B" w14:textId="77777777" w:rsidR="0047237D" w:rsidRPr="00275FC7" w:rsidRDefault="0047237D" w:rsidP="0047237D"/>
    <w:p w14:paraId="5D3D4E21" w14:textId="5CC1ACF9" w:rsidR="0084254D" w:rsidRPr="00275FC7" w:rsidRDefault="0084254D" w:rsidP="007A4C3D">
      <w:r w:rsidRPr="00275FC7">
        <w:t>And was further depicted in the Job Ready Higher Education reforms package 2020, showing a dramatic increase in the likelihood that people in the labour market will need a tertiary qualification to gain work:</w:t>
      </w:r>
    </w:p>
    <w:p w14:paraId="7E0802A9" w14:textId="145B12EB" w:rsidR="0084254D" w:rsidRPr="00275FC7" w:rsidRDefault="0084254D" w:rsidP="00497B4D">
      <w:pPr>
        <w:spacing w:before="240" w:after="240"/>
        <w:ind w:left="6"/>
        <w:jc w:val="center"/>
        <w:rPr>
          <w:bCs/>
        </w:rPr>
      </w:pPr>
    </w:p>
    <w:p w14:paraId="436462A7" w14:textId="4C2A985A" w:rsidR="0084254D" w:rsidRPr="00275FC7" w:rsidRDefault="0E95C1B2" w:rsidP="00497B4D">
      <w:pPr>
        <w:spacing w:before="240" w:after="240"/>
        <w:ind w:left="6"/>
        <w:jc w:val="center"/>
      </w:pPr>
      <w:r w:rsidRPr="00275FC7">
        <w:rPr>
          <w:rStyle w:val="A4"/>
          <w:rFonts w:cs="Arial"/>
          <w:sz w:val="23"/>
          <w:szCs w:val="23"/>
        </w:rPr>
        <w:lastRenderedPageBreak/>
        <w:t>Projected change in employment by qualification to 2024 (thousands)</w:t>
      </w:r>
      <w:r w:rsidR="0084254D" w:rsidRPr="00275FC7">
        <w:rPr>
          <w:bCs/>
          <w:noProof/>
        </w:rPr>
        <w:drawing>
          <wp:inline distT="0" distB="0" distL="0" distR="0" wp14:anchorId="0967149B" wp14:editId="62E874D2">
            <wp:extent cx="5422900" cy="2557338"/>
            <wp:effectExtent l="0" t="0" r="6350" b="0"/>
            <wp:docPr id="1" name="Picture 1" descr="Projected change in employment by qualification 2019 to 2024. Bachelor degree or higher increase by approximately 500,000; Advanced Diploma or Diploma increase by approximately 100,000; Certificate IV or III (including at least 2 years on-the-job training) increase by approximately 80,000; Certificate II or II increase by approximately 280,000; and Certificate I or secondary education increase by approximately 1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ojected change in employment by qualification 2019 to 2024. Bachelor degree or higher increase by approximately 500,000; Advanced Diploma or Diploma increase by approximately 100,000; Certificate IV or III (including at least 2 years on-the-job training) increase by approximately 80,000; Certificate II or II increase by approximately 280,000; and Certificate I or secondary education increase by approximately 100,0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8717" cy="2560081"/>
                    </a:xfrm>
                    <a:prstGeom prst="rect">
                      <a:avLst/>
                    </a:prstGeom>
                    <a:noFill/>
                    <a:ln>
                      <a:noFill/>
                    </a:ln>
                  </pic:spPr>
                </pic:pic>
              </a:graphicData>
            </a:graphic>
          </wp:inline>
        </w:drawing>
      </w:r>
    </w:p>
    <w:p w14:paraId="1AEFEE31" w14:textId="5756AA97" w:rsidR="00497B4D" w:rsidRDefault="0084254D" w:rsidP="007A4C3D">
      <w:pPr>
        <w:pStyle w:val="Footnote"/>
        <w:rPr>
          <w:rFonts w:cs="Arial"/>
        </w:rPr>
      </w:pPr>
      <w:r w:rsidRPr="00275FC7">
        <w:rPr>
          <w:rFonts w:cs="Arial"/>
        </w:rPr>
        <w:t xml:space="preserve">Source: Department of Education, </w:t>
      </w:r>
      <w:r w:rsidR="00F66DCB" w:rsidRPr="00275FC7">
        <w:rPr>
          <w:rFonts w:cs="Arial"/>
        </w:rPr>
        <w:t>Skills,</w:t>
      </w:r>
      <w:r w:rsidRPr="00275FC7">
        <w:rPr>
          <w:rFonts w:cs="Arial"/>
        </w:rPr>
        <w:t xml:space="preserve"> and Employment. (2020). 2019 Skill Level Projections five years to May 2024.</w:t>
      </w:r>
    </w:p>
    <w:p w14:paraId="7F9AEEAB" w14:textId="77777777" w:rsidR="009E1A18" w:rsidRDefault="009E1A18" w:rsidP="007A4C3D">
      <w:pPr>
        <w:pStyle w:val="Footnote"/>
        <w:rPr>
          <w:rFonts w:cs="Arial"/>
          <w:i w:val="0"/>
          <w:iCs/>
          <w:sz w:val="22"/>
          <w:szCs w:val="22"/>
        </w:rPr>
      </w:pPr>
    </w:p>
    <w:p w14:paraId="0D359088" w14:textId="3746DB01" w:rsidR="009E1A18" w:rsidRPr="00855291" w:rsidRDefault="009E1A18" w:rsidP="007A4C3D">
      <w:pPr>
        <w:pStyle w:val="Footnote"/>
        <w:rPr>
          <w:rFonts w:cs="Arial"/>
          <w:i w:val="0"/>
          <w:iCs/>
          <w:sz w:val="22"/>
          <w:szCs w:val="22"/>
        </w:rPr>
      </w:pPr>
      <w:r>
        <w:rPr>
          <w:rFonts w:cs="Arial"/>
          <w:i w:val="0"/>
          <w:iCs/>
          <w:sz w:val="22"/>
          <w:szCs w:val="22"/>
        </w:rPr>
        <w:t xml:space="preserve">More recently, the National Skills Commission projected that </w:t>
      </w:r>
      <w:r>
        <w:rPr>
          <w:rFonts w:cs="Arial"/>
          <w:sz w:val="22"/>
          <w:szCs w:val="22"/>
        </w:rPr>
        <w:t>“</w:t>
      </w:r>
      <w:r w:rsidRPr="009E1A18">
        <w:rPr>
          <w:rFonts w:cs="Arial"/>
          <w:sz w:val="22"/>
          <w:szCs w:val="22"/>
        </w:rPr>
        <w:t>More than nine out of 10 new jobs to be created in the next five years will require post-secondary qualifications</w:t>
      </w:r>
      <w:r>
        <w:rPr>
          <w:rFonts w:cs="Arial"/>
          <w:sz w:val="22"/>
          <w:szCs w:val="22"/>
        </w:rPr>
        <w:t xml:space="preserve">” </w:t>
      </w:r>
      <w:r w:rsidR="0009384F">
        <w:rPr>
          <w:rFonts w:cs="Arial"/>
          <w:i w:val="0"/>
          <w:iCs/>
          <w:sz w:val="22"/>
          <w:szCs w:val="22"/>
        </w:rPr>
        <w:t>(NSC, 2022)</w:t>
      </w:r>
    </w:p>
    <w:p w14:paraId="3067A047" w14:textId="577EABA9" w:rsidR="00497B4D" w:rsidRPr="00275FC7" w:rsidRDefault="000A1B39" w:rsidP="00925F9F">
      <w:pPr>
        <w:pStyle w:val="Heading2"/>
        <w:rPr>
          <w:rStyle w:val="IntenseEmphasis"/>
        </w:rPr>
      </w:pPr>
      <w:bookmarkStart w:id="2" w:name="_Toc131672430"/>
      <w:r w:rsidRPr="00275FC7">
        <w:rPr>
          <w:rStyle w:val="IntenseEmphasis"/>
        </w:rPr>
        <w:t>T</w:t>
      </w:r>
      <w:r w:rsidR="00497B4D" w:rsidRPr="00275FC7">
        <w:rPr>
          <w:rStyle w:val="IntenseEmphasis"/>
        </w:rPr>
        <w:t xml:space="preserve">here is a disparity for people with disability </w:t>
      </w:r>
      <w:r w:rsidR="00225EE1" w:rsidRPr="00275FC7">
        <w:rPr>
          <w:rStyle w:val="IntenseEmphasis"/>
        </w:rPr>
        <w:t>–</w:t>
      </w:r>
      <w:r w:rsidRPr="00275FC7">
        <w:rPr>
          <w:rStyle w:val="IntenseEmphasis"/>
        </w:rPr>
        <w:t xml:space="preserve"> </w:t>
      </w:r>
      <w:r w:rsidR="00384B70" w:rsidRPr="00275FC7">
        <w:rPr>
          <w:rStyle w:val="IntenseEmphasis"/>
        </w:rPr>
        <w:t xml:space="preserve">for participation in </w:t>
      </w:r>
      <w:r w:rsidR="00497B4D" w:rsidRPr="00275FC7">
        <w:rPr>
          <w:rStyle w:val="IntenseEmphasis"/>
        </w:rPr>
        <w:t xml:space="preserve">tertiary education and </w:t>
      </w:r>
      <w:r w:rsidR="00416AA6" w:rsidRPr="00275FC7">
        <w:rPr>
          <w:rStyle w:val="IntenseEmphasis"/>
        </w:rPr>
        <w:t xml:space="preserve">for </w:t>
      </w:r>
      <w:r w:rsidR="00497B4D" w:rsidRPr="00275FC7">
        <w:rPr>
          <w:rStyle w:val="IntenseEmphasis"/>
        </w:rPr>
        <w:t xml:space="preserve">graduate </w:t>
      </w:r>
      <w:r w:rsidR="00225EE1" w:rsidRPr="00275FC7">
        <w:rPr>
          <w:rStyle w:val="IntenseEmphasis"/>
        </w:rPr>
        <w:t xml:space="preserve">employment </w:t>
      </w:r>
      <w:r w:rsidR="00497B4D" w:rsidRPr="00275FC7">
        <w:rPr>
          <w:rStyle w:val="IntenseEmphasis"/>
        </w:rPr>
        <w:t>outcomes</w:t>
      </w:r>
      <w:bookmarkEnd w:id="2"/>
      <w:r w:rsidR="00497B4D" w:rsidRPr="00275FC7">
        <w:rPr>
          <w:rStyle w:val="IntenseEmphasis"/>
        </w:rPr>
        <w:t xml:space="preserve"> </w:t>
      </w:r>
    </w:p>
    <w:p w14:paraId="6C182C2C" w14:textId="7E40531B" w:rsidR="002B5D54" w:rsidRPr="00275FC7" w:rsidRDefault="000F6598" w:rsidP="00C359C6">
      <w:pPr>
        <w:pStyle w:val="paratext"/>
      </w:pPr>
      <w:r w:rsidRPr="00275FC7">
        <w:t xml:space="preserve">Education reforms in the 1990s advocated for a composition of the student population to reflect the broader </w:t>
      </w:r>
      <w:r w:rsidRPr="00275FC7">
        <w:rPr>
          <w:lang w:val="en-AU"/>
        </w:rPr>
        <w:t>population (DEET</w:t>
      </w:r>
      <w:r w:rsidR="00C45955" w:rsidRPr="00275FC7">
        <w:rPr>
          <w:lang w:val="en-AU"/>
        </w:rPr>
        <w:t>,</w:t>
      </w:r>
      <w:r w:rsidRPr="00275FC7">
        <w:rPr>
          <w:lang w:val="en-AU"/>
        </w:rPr>
        <w:t xml:space="preserve"> 1990)</w:t>
      </w:r>
      <w:r w:rsidR="00790B87" w:rsidRPr="00275FC7">
        <w:rPr>
          <w:lang w:val="en-AU"/>
        </w:rPr>
        <w:t>, a goal which continues to this day (</w:t>
      </w:r>
      <w:r w:rsidR="006D22ED" w:rsidRPr="00275FC7">
        <w:rPr>
          <w:lang w:val="en-AU"/>
        </w:rPr>
        <w:t xml:space="preserve">National Disability Strategy </w:t>
      </w:r>
      <w:r w:rsidR="00C45955" w:rsidRPr="00275FC7">
        <w:rPr>
          <w:lang w:val="en-AU"/>
        </w:rPr>
        <w:t>2020</w:t>
      </w:r>
      <w:r w:rsidR="006D22ED" w:rsidRPr="00275FC7">
        <w:rPr>
          <w:lang w:val="en-AU"/>
        </w:rPr>
        <w:t>-</w:t>
      </w:r>
      <w:r w:rsidR="00C45955" w:rsidRPr="00275FC7">
        <w:rPr>
          <w:lang w:val="en-AU"/>
        </w:rPr>
        <w:t>2031</w:t>
      </w:r>
      <w:r w:rsidR="006D22ED" w:rsidRPr="00275FC7">
        <w:rPr>
          <w:lang w:val="en-AU"/>
        </w:rPr>
        <w:t xml:space="preserve">; </w:t>
      </w:r>
      <w:r w:rsidR="00790B87" w:rsidRPr="00275FC7">
        <w:rPr>
          <w:lang w:val="en-AU"/>
        </w:rPr>
        <w:t>NDCO</w:t>
      </w:r>
      <w:r w:rsidR="00C45955" w:rsidRPr="00275FC7">
        <w:rPr>
          <w:lang w:val="en-AU"/>
        </w:rPr>
        <w:t>,</w:t>
      </w:r>
      <w:r w:rsidR="00790B87" w:rsidRPr="00275FC7">
        <w:rPr>
          <w:lang w:val="en-AU"/>
        </w:rPr>
        <w:t xml:space="preserve"> 2019</w:t>
      </w:r>
      <w:r w:rsidR="00073021" w:rsidRPr="00275FC7">
        <w:rPr>
          <w:lang w:val="en-AU"/>
        </w:rPr>
        <w:t>) but</w:t>
      </w:r>
      <w:r w:rsidR="00790B87" w:rsidRPr="00275FC7">
        <w:rPr>
          <w:lang w:val="en-AU"/>
        </w:rPr>
        <w:t xml:space="preserve"> has not yet been </w:t>
      </w:r>
      <w:r w:rsidRPr="00275FC7">
        <w:rPr>
          <w:lang w:val="en-AU"/>
        </w:rPr>
        <w:t xml:space="preserve">achieved for people with disability. </w:t>
      </w:r>
      <w:r w:rsidR="006374A9" w:rsidRPr="00275FC7">
        <w:t xml:space="preserve">While participation rates for students </w:t>
      </w:r>
      <w:r w:rsidR="00037F7F" w:rsidRPr="00275FC7">
        <w:t xml:space="preserve">disclosing </w:t>
      </w:r>
      <w:r w:rsidR="006374A9" w:rsidRPr="00275FC7">
        <w:t xml:space="preserve">disability in tertiary education </w:t>
      </w:r>
      <w:r w:rsidR="00B51873" w:rsidRPr="00275FC7">
        <w:t xml:space="preserve">have grown </w:t>
      </w:r>
      <w:r w:rsidR="006374A9" w:rsidRPr="00275FC7">
        <w:t>year on year (ADCET</w:t>
      </w:r>
      <w:r w:rsidR="00AA59AC" w:rsidRPr="00275FC7">
        <w:t>,</w:t>
      </w:r>
      <w:r w:rsidR="006374A9" w:rsidRPr="00275FC7">
        <w:t xml:space="preserve"> 2018</w:t>
      </w:r>
      <w:r w:rsidR="00B51873" w:rsidRPr="00275FC7">
        <w:t>)</w:t>
      </w:r>
      <w:r w:rsidR="006374A9" w:rsidRPr="00275FC7">
        <w:t xml:space="preserve">, this group remains </w:t>
      </w:r>
      <w:r w:rsidR="00497B4D" w:rsidRPr="00275FC7">
        <w:t xml:space="preserve">underrepresented </w:t>
      </w:r>
      <w:r w:rsidR="00F930D0" w:rsidRPr="00275FC7">
        <w:t xml:space="preserve">when </w:t>
      </w:r>
      <w:r w:rsidR="00497B4D" w:rsidRPr="00275FC7">
        <w:t xml:space="preserve">compared </w:t>
      </w:r>
      <w:r w:rsidR="00F971AA" w:rsidRPr="00275FC7">
        <w:t xml:space="preserve">with representation of students with disability in </w:t>
      </w:r>
      <w:r w:rsidR="0043695E" w:rsidRPr="00275FC7">
        <w:t xml:space="preserve">Australian </w:t>
      </w:r>
      <w:r w:rsidR="00F971AA" w:rsidRPr="00275FC7">
        <w:t xml:space="preserve">schools and </w:t>
      </w:r>
      <w:r w:rsidR="00C359C6" w:rsidRPr="00275FC7">
        <w:t xml:space="preserve">in </w:t>
      </w:r>
      <w:r w:rsidR="00497B4D" w:rsidRPr="00275FC7">
        <w:t xml:space="preserve">the </w:t>
      </w:r>
      <w:r w:rsidR="0043695E" w:rsidRPr="00275FC7">
        <w:t xml:space="preserve">general </w:t>
      </w:r>
      <w:r w:rsidR="00497B4D" w:rsidRPr="00275FC7">
        <w:t xml:space="preserve">population (see Graph </w:t>
      </w:r>
      <w:r w:rsidR="00EF5FB4" w:rsidRPr="00275FC7">
        <w:t>2</w:t>
      </w:r>
      <w:r w:rsidR="006374A9" w:rsidRPr="00275FC7">
        <w:t>).</w:t>
      </w:r>
      <w:r w:rsidR="008472D5" w:rsidRPr="00275FC7">
        <w:t xml:space="preserve"> </w:t>
      </w:r>
      <w:r w:rsidR="00416AA6" w:rsidRPr="00275FC7">
        <w:t>In fact,</w:t>
      </w:r>
      <w:r w:rsidR="009F1D8B" w:rsidRPr="00275FC7">
        <w:t xml:space="preserve"> in tertiary education</w:t>
      </w:r>
      <w:r w:rsidR="00416AA6" w:rsidRPr="00275FC7">
        <w:t xml:space="preserve"> it would require more than doubling the number of students with disability </w:t>
      </w:r>
      <w:r w:rsidR="009F1D8B" w:rsidRPr="00275FC7">
        <w:t>t</w:t>
      </w:r>
      <w:r w:rsidR="00416AA6" w:rsidRPr="00275FC7">
        <w:t xml:space="preserve">o reach parity. </w:t>
      </w:r>
      <w:r w:rsidR="00754733" w:rsidRPr="00275FC7">
        <w:rPr>
          <w:lang w:val="en-AU"/>
        </w:rPr>
        <w:t xml:space="preserve">Even when Australian </w:t>
      </w:r>
      <w:r w:rsidR="00754733" w:rsidRPr="00275FC7">
        <w:t xml:space="preserve">students with </w:t>
      </w:r>
      <w:r w:rsidR="003556A3" w:rsidRPr="00275FC7">
        <w:t xml:space="preserve">disability </w:t>
      </w:r>
      <w:r w:rsidR="00754733" w:rsidRPr="00275FC7">
        <w:t xml:space="preserve">successfully graduate from tertiary education, </w:t>
      </w:r>
      <w:r w:rsidR="00416AA6" w:rsidRPr="00275FC7">
        <w:t>their</w:t>
      </w:r>
      <w:r w:rsidR="00754733" w:rsidRPr="00275FC7">
        <w:t xml:space="preserve"> employment outcomes </w:t>
      </w:r>
      <w:r w:rsidR="00416AA6" w:rsidRPr="00275FC7">
        <w:t xml:space="preserve">are 10%-25% lower </w:t>
      </w:r>
      <w:r w:rsidR="00754733" w:rsidRPr="00275FC7">
        <w:t xml:space="preserve">(see Graph 3). </w:t>
      </w:r>
    </w:p>
    <w:p w14:paraId="469815D6" w14:textId="77777777" w:rsidR="00536A51" w:rsidRPr="00275FC7" w:rsidRDefault="00536A51" w:rsidP="00C359C6">
      <w:pPr>
        <w:pStyle w:val="paratext"/>
      </w:pPr>
    </w:p>
    <w:p w14:paraId="253DF9BC" w14:textId="4DB9A7CA" w:rsidR="00EF5FB4" w:rsidRPr="00275FC7" w:rsidRDefault="00EF5FB4" w:rsidP="0043695E">
      <w:pPr>
        <w:pStyle w:val="paratext"/>
        <w:sectPr w:rsidR="00EF5FB4" w:rsidRPr="00275FC7" w:rsidSect="00AF73E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titlePg/>
        </w:sectPr>
      </w:pPr>
    </w:p>
    <w:p w14:paraId="3325D116" w14:textId="77777777" w:rsidR="00AC516A" w:rsidRPr="00275FC7" w:rsidRDefault="00AC516A">
      <w:pPr>
        <w:rPr>
          <w:rStyle w:val="SubtleEmphasis"/>
          <w:color w:val="auto"/>
          <w:sz w:val="20"/>
          <w:szCs w:val="20"/>
        </w:rPr>
      </w:pPr>
      <w:r w:rsidRPr="00275FC7">
        <w:rPr>
          <w:rStyle w:val="SubtleEmphasis"/>
          <w:color w:val="auto"/>
          <w:sz w:val="20"/>
          <w:szCs w:val="20"/>
        </w:rPr>
        <w:br w:type="page"/>
      </w:r>
    </w:p>
    <w:p w14:paraId="542DD919" w14:textId="77777777" w:rsidR="00AC516A" w:rsidRPr="00275FC7" w:rsidRDefault="00497B4D" w:rsidP="00DE22E6">
      <w:pPr>
        <w:pStyle w:val="Tableheader"/>
        <w:rPr>
          <w:rStyle w:val="SubtleEmphasis"/>
          <w:i/>
          <w:iCs/>
          <w:color w:val="auto"/>
        </w:rPr>
      </w:pPr>
      <w:r w:rsidRPr="00275FC7">
        <w:rPr>
          <w:rStyle w:val="SubtleEmphasis"/>
          <w:i/>
          <w:iCs/>
          <w:color w:val="auto"/>
        </w:rPr>
        <w:lastRenderedPageBreak/>
        <w:t xml:space="preserve">Graph </w:t>
      </w:r>
      <w:r w:rsidR="00EF5FB4" w:rsidRPr="00275FC7">
        <w:rPr>
          <w:rStyle w:val="SubtleEmphasis"/>
          <w:i/>
          <w:iCs/>
          <w:color w:val="auto"/>
        </w:rPr>
        <w:t>2</w:t>
      </w:r>
      <w:r w:rsidRPr="00275FC7">
        <w:rPr>
          <w:rStyle w:val="SubtleEmphasis"/>
          <w:i/>
          <w:iCs/>
          <w:color w:val="auto"/>
        </w:rPr>
        <w:t xml:space="preserve">: </w:t>
      </w:r>
      <w:r w:rsidR="00B51873" w:rsidRPr="00275FC7">
        <w:rPr>
          <w:rStyle w:val="SubtleEmphasis"/>
          <w:i/>
          <w:iCs/>
          <w:color w:val="auto"/>
        </w:rPr>
        <w:t>Percentage of p</w:t>
      </w:r>
      <w:r w:rsidRPr="00275FC7">
        <w:rPr>
          <w:rStyle w:val="SubtleEmphasis"/>
          <w:i/>
          <w:iCs/>
          <w:color w:val="auto"/>
        </w:rPr>
        <w:t xml:space="preserve">eople with disability in </w:t>
      </w:r>
      <w:r w:rsidR="00225EE1" w:rsidRPr="00275FC7">
        <w:rPr>
          <w:rStyle w:val="SubtleEmphasis"/>
          <w:i/>
          <w:iCs/>
          <w:color w:val="auto"/>
        </w:rPr>
        <w:t xml:space="preserve">higher education, </w:t>
      </w:r>
      <w:r w:rsidR="00EF5FB4" w:rsidRPr="00275FC7">
        <w:rPr>
          <w:rStyle w:val="SubtleEmphasis"/>
          <w:i/>
          <w:iCs/>
          <w:color w:val="auto"/>
        </w:rPr>
        <w:t xml:space="preserve">VET, </w:t>
      </w:r>
      <w:r w:rsidR="00225EE1" w:rsidRPr="00275FC7">
        <w:rPr>
          <w:rStyle w:val="SubtleEmphasis"/>
          <w:i/>
          <w:iCs/>
          <w:color w:val="auto"/>
        </w:rPr>
        <w:t xml:space="preserve">schools and the </w:t>
      </w:r>
      <w:r w:rsidR="00EF5FB4" w:rsidRPr="00275FC7">
        <w:rPr>
          <w:rStyle w:val="SubtleEmphasis"/>
          <w:i/>
          <w:iCs/>
          <w:color w:val="auto"/>
        </w:rPr>
        <w:t xml:space="preserve">general </w:t>
      </w:r>
      <w:r w:rsidR="00225EE1" w:rsidRPr="00275FC7">
        <w:rPr>
          <w:rStyle w:val="SubtleEmphasis"/>
          <w:i/>
          <w:iCs/>
          <w:color w:val="auto"/>
        </w:rPr>
        <w:t>population as at 2018</w:t>
      </w:r>
    </w:p>
    <w:p w14:paraId="75D3A969" w14:textId="4CD2F5D5" w:rsidR="00EF5FB4" w:rsidRPr="00275FC7" w:rsidRDefault="00497B4D" w:rsidP="006D22ED">
      <w:pPr>
        <w:spacing w:before="120"/>
        <w:rPr>
          <w:rStyle w:val="SubtleEmphasis"/>
          <w:color w:val="auto"/>
          <w:sz w:val="20"/>
          <w:szCs w:val="20"/>
        </w:rPr>
      </w:pPr>
      <w:r w:rsidRPr="00275FC7">
        <w:rPr>
          <w:rStyle w:val="SubtleEmphasis"/>
        </w:rPr>
        <w:br/>
      </w:r>
      <w:r w:rsidRPr="00275FC7">
        <w:rPr>
          <w:noProof/>
        </w:rPr>
        <w:drawing>
          <wp:inline distT="0" distB="0" distL="0" distR="0" wp14:anchorId="63FA48B1" wp14:editId="53F09053">
            <wp:extent cx="2768600" cy="2146300"/>
            <wp:effectExtent l="0" t="0" r="12700" b="6350"/>
            <wp:docPr id="6" name="Chart 6" descr="Percentage of people with disability (in Australia) in higher education, vocational education and training, schools and the general population as at 2018.&#10;&#10;Higher education = 7.0%&#10;Vocational education and training = 6.6%&#10;Schools = 19.3%&#10;General population = 18.0%&#10;&#10;Chart is used to demonstrate disparity in education participation across types of educ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79A22FF" w14:textId="41C73108" w:rsidR="00497B4D" w:rsidRDefault="00EF5FB4" w:rsidP="007A4C3D">
      <w:pPr>
        <w:pStyle w:val="Footnote"/>
        <w:rPr>
          <w:rStyle w:val="SubtleEmphasis"/>
          <w:rFonts w:cs="Arial"/>
          <w:i/>
          <w:iCs w:val="0"/>
          <w:color w:val="000000"/>
        </w:rPr>
      </w:pPr>
      <w:r w:rsidRPr="00275FC7">
        <w:rPr>
          <w:rStyle w:val="SubtleEmphasis"/>
          <w:rFonts w:cs="Arial"/>
          <w:i/>
          <w:iCs w:val="0"/>
          <w:color w:val="000000"/>
        </w:rPr>
        <w:t>S</w:t>
      </w:r>
      <w:r w:rsidR="00497B4D" w:rsidRPr="00275FC7">
        <w:rPr>
          <w:rStyle w:val="SubtleEmphasis"/>
          <w:rFonts w:cs="Arial"/>
          <w:i/>
          <w:iCs w:val="0"/>
          <w:color w:val="000000"/>
        </w:rPr>
        <w:t xml:space="preserve">ources: </w:t>
      </w:r>
      <w:r w:rsidR="00866AD9" w:rsidRPr="00275FC7">
        <w:rPr>
          <w:rStyle w:val="SubtleEmphasis"/>
          <w:rFonts w:cs="Arial"/>
          <w:i/>
          <w:iCs w:val="0"/>
          <w:color w:val="000000"/>
        </w:rPr>
        <w:t xml:space="preserve">Department of Education, </w:t>
      </w:r>
      <w:r w:rsidR="00F66DCB" w:rsidRPr="00275FC7">
        <w:rPr>
          <w:rStyle w:val="SubtleEmphasis"/>
          <w:rFonts w:cs="Arial"/>
          <w:i/>
          <w:iCs w:val="0"/>
          <w:color w:val="000000"/>
        </w:rPr>
        <w:t>Skills,</w:t>
      </w:r>
      <w:r w:rsidR="00866AD9" w:rsidRPr="00275FC7">
        <w:rPr>
          <w:rStyle w:val="SubtleEmphasis"/>
          <w:rFonts w:cs="Arial"/>
          <w:i/>
          <w:iCs w:val="0"/>
          <w:color w:val="000000"/>
        </w:rPr>
        <w:t xml:space="preserve"> and Employment 2018; </w:t>
      </w:r>
      <w:r w:rsidR="006374A9" w:rsidRPr="00275FC7">
        <w:rPr>
          <w:rStyle w:val="SubtleEmphasis"/>
          <w:rFonts w:cs="Arial"/>
          <w:i/>
          <w:iCs w:val="0"/>
          <w:color w:val="000000"/>
        </w:rPr>
        <w:t>ADCET VET Statistics</w:t>
      </w:r>
      <w:r w:rsidR="00225EE1" w:rsidRPr="00275FC7">
        <w:rPr>
          <w:rStyle w:val="SubtleEmphasis"/>
          <w:rFonts w:cs="Arial"/>
          <w:i/>
          <w:iCs w:val="0"/>
          <w:color w:val="000000"/>
        </w:rPr>
        <w:t xml:space="preserve"> </w:t>
      </w:r>
      <w:r w:rsidR="006374A9" w:rsidRPr="00275FC7">
        <w:rPr>
          <w:rStyle w:val="SubtleEmphasis"/>
          <w:rFonts w:cs="Arial"/>
          <w:i/>
          <w:iCs w:val="0"/>
          <w:color w:val="000000"/>
        </w:rPr>
        <w:t xml:space="preserve">2018; </w:t>
      </w:r>
      <w:r w:rsidR="00225EE1" w:rsidRPr="00275FC7">
        <w:rPr>
          <w:rStyle w:val="SubtleEmphasis"/>
          <w:rFonts w:cs="Arial"/>
          <w:i/>
          <w:iCs w:val="0"/>
          <w:color w:val="000000"/>
        </w:rPr>
        <w:t xml:space="preserve">NCCD 2018; </w:t>
      </w:r>
      <w:r w:rsidR="00497B4D" w:rsidRPr="00275FC7">
        <w:rPr>
          <w:rStyle w:val="SubtleEmphasis"/>
          <w:rFonts w:cs="Arial"/>
          <w:i/>
          <w:iCs w:val="0"/>
          <w:color w:val="000000"/>
        </w:rPr>
        <w:t>Australian Bureau of Statistics 2018</w:t>
      </w:r>
    </w:p>
    <w:p w14:paraId="11B0DCBF" w14:textId="77777777" w:rsidR="002637F0" w:rsidRPr="00275FC7" w:rsidRDefault="002637F0" w:rsidP="007A4C3D">
      <w:pPr>
        <w:pStyle w:val="Footnote"/>
        <w:rPr>
          <w:rStyle w:val="SubtleEmphasis"/>
          <w:rFonts w:cs="Arial"/>
          <w:i/>
          <w:iCs w:val="0"/>
          <w:color w:val="000000"/>
        </w:rPr>
      </w:pPr>
    </w:p>
    <w:p w14:paraId="4234C34A" w14:textId="77777777" w:rsidR="00AC516A" w:rsidRPr="00275FC7" w:rsidRDefault="00F971AA" w:rsidP="00DE22E6">
      <w:pPr>
        <w:pStyle w:val="Tableheader"/>
      </w:pPr>
      <w:r w:rsidRPr="00275FC7">
        <w:t xml:space="preserve">Graph </w:t>
      </w:r>
      <w:r w:rsidR="00EF5FB4" w:rsidRPr="00275FC7">
        <w:t>3</w:t>
      </w:r>
      <w:r w:rsidRPr="00275FC7">
        <w:t>: Graduate employment outcomes – reported disability compared with no reported disability</w:t>
      </w:r>
    </w:p>
    <w:p w14:paraId="635288A4" w14:textId="7DEE836C" w:rsidR="008472D5" w:rsidRPr="00275FC7" w:rsidRDefault="006F5730" w:rsidP="007A4C3D">
      <w:pPr>
        <w:spacing w:before="360"/>
        <w:ind w:right="-641"/>
        <w:rPr>
          <w:i/>
          <w:iCs/>
        </w:rPr>
      </w:pPr>
      <w:r w:rsidRPr="00275FC7">
        <w:rPr>
          <w:i/>
          <w:iCs/>
          <w:noProof/>
        </w:rPr>
        <w:drawing>
          <wp:inline distT="0" distB="0" distL="0" distR="0" wp14:anchorId="225F80FB" wp14:editId="2A0EEECC">
            <wp:extent cx="2943225" cy="2219325"/>
            <wp:effectExtent l="0" t="0" r="9525" b="9525"/>
            <wp:docPr id="8" name="Chart 8" descr="Graduate employment outcomes - reported disability compared with no reported disability.&#10;&#10;Higher education students with disability in full-time employment 2020 = 59%&#10;Vocational education and training students with disability employed after completion in 2019 = 52.60%&#10;&#10;Higher education students with no disability in full-time employment 2020 = 69%&#10;Vocational education and training students with no disability employed after completion in 2019 = 78.80%&#10;&#10;The chart shows demonstrable difference in employment outcomes between people with disability and people with no disability."/>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7ECE7A6" w14:textId="10AF3E31" w:rsidR="00497B4D" w:rsidRPr="00275FC7" w:rsidRDefault="00497B4D" w:rsidP="007A4C3D">
      <w:pPr>
        <w:pStyle w:val="Footnote"/>
        <w:rPr>
          <w:rFonts w:cs="Arial"/>
        </w:rPr>
      </w:pPr>
      <w:r w:rsidRPr="00275FC7">
        <w:rPr>
          <w:rFonts w:cs="Arial"/>
        </w:rPr>
        <w:t>Source</w:t>
      </w:r>
      <w:r w:rsidR="00EF5FB4" w:rsidRPr="00275FC7">
        <w:rPr>
          <w:rFonts w:cs="Arial"/>
        </w:rPr>
        <w:t>s</w:t>
      </w:r>
      <w:r w:rsidRPr="00275FC7">
        <w:rPr>
          <w:rFonts w:cs="Arial"/>
        </w:rPr>
        <w:t xml:space="preserve">: </w:t>
      </w:r>
      <w:r w:rsidR="00F971AA" w:rsidRPr="00275FC7">
        <w:rPr>
          <w:rFonts w:cs="Arial"/>
        </w:rPr>
        <w:t xml:space="preserve">QILT Higher Education </w:t>
      </w:r>
      <w:r w:rsidRPr="00275FC7">
        <w:rPr>
          <w:rFonts w:cs="Arial"/>
        </w:rPr>
        <w:t>Graduate Outcome Survey 2020</w:t>
      </w:r>
      <w:r w:rsidR="00F971AA" w:rsidRPr="00275FC7">
        <w:rPr>
          <w:rFonts w:cs="Arial"/>
        </w:rPr>
        <w:t xml:space="preserve"> and ADCET VET Statistics 2019</w:t>
      </w:r>
    </w:p>
    <w:p w14:paraId="622A964B" w14:textId="77777777" w:rsidR="00EF5FB4" w:rsidRPr="00275FC7" w:rsidRDefault="00EF5FB4" w:rsidP="007469E4">
      <w:pPr>
        <w:spacing w:before="240" w:after="240"/>
        <w:rPr>
          <w:i/>
          <w:iCs/>
          <w:sz w:val="16"/>
          <w:szCs w:val="16"/>
        </w:rPr>
        <w:sectPr w:rsidR="00EF5FB4" w:rsidRPr="00275FC7" w:rsidSect="00AF73E6">
          <w:type w:val="continuous"/>
          <w:pgSz w:w="12240" w:h="15840"/>
          <w:pgMar w:top="1440" w:right="1440" w:bottom="1440" w:left="1440" w:header="720" w:footer="720" w:gutter="0"/>
          <w:cols w:num="2" w:space="720"/>
        </w:sectPr>
      </w:pPr>
    </w:p>
    <w:p w14:paraId="1263D8B8" w14:textId="3D1735C9" w:rsidR="002B5D54" w:rsidRPr="00275FC7" w:rsidRDefault="002B5D54" w:rsidP="007469E4">
      <w:pPr>
        <w:pStyle w:val="Heading2"/>
        <w:spacing w:before="120" w:after="120"/>
        <w:rPr>
          <w:rStyle w:val="IntenseEmphasis"/>
        </w:rPr>
      </w:pPr>
      <w:bookmarkStart w:id="3" w:name="_Toc131672431"/>
      <w:r w:rsidRPr="00275FC7">
        <w:rPr>
          <w:rStyle w:val="IntenseEmphasis"/>
        </w:rPr>
        <w:t>Australia could do better</w:t>
      </w:r>
      <w:bookmarkEnd w:id="3"/>
    </w:p>
    <w:p w14:paraId="7A09A714" w14:textId="34B16010" w:rsidR="002F5138" w:rsidRPr="00275FC7" w:rsidRDefault="000A1B39" w:rsidP="006D22ED">
      <w:pPr>
        <w:pStyle w:val="paratext"/>
        <w:spacing w:before="0"/>
      </w:pPr>
      <w:r w:rsidRPr="00275FC7">
        <w:t xml:space="preserve">We lag </w:t>
      </w:r>
      <w:r w:rsidR="002F5138" w:rsidRPr="00275FC7">
        <w:t xml:space="preserve">significantly </w:t>
      </w:r>
      <w:r w:rsidR="002B5D54" w:rsidRPr="00275FC7">
        <w:t>behind other countries</w:t>
      </w:r>
      <w:r w:rsidR="002F5138" w:rsidRPr="00275FC7">
        <w:t xml:space="preserve"> in </w:t>
      </w:r>
      <w:r w:rsidR="003C73A0" w:rsidRPr="00275FC7">
        <w:t xml:space="preserve">tertiary education </w:t>
      </w:r>
      <w:r w:rsidR="002F5138" w:rsidRPr="00275FC7">
        <w:t xml:space="preserve">participation rates for students with </w:t>
      </w:r>
      <w:r w:rsidR="003556A3" w:rsidRPr="00275FC7">
        <w:t>disability</w:t>
      </w:r>
      <w:r w:rsidR="008F6CA7" w:rsidRPr="00275FC7">
        <w:t xml:space="preserve">. </w:t>
      </w:r>
      <w:r w:rsidR="002F5138" w:rsidRPr="00275FC7">
        <w:t xml:space="preserve">At around 7%, Australia’s participation rate is markedly lower than 19.4% for postsecondary </w:t>
      </w:r>
      <w:r w:rsidRPr="00275FC7">
        <w:t xml:space="preserve">education </w:t>
      </w:r>
      <w:r w:rsidR="002F5138" w:rsidRPr="00275FC7">
        <w:t xml:space="preserve">in the United States and 17.3% for higher education in England (see Graph 4). </w:t>
      </w:r>
    </w:p>
    <w:p w14:paraId="44E4D3DF" w14:textId="0AC14348" w:rsidR="000A1B39" w:rsidRPr="00275FC7" w:rsidRDefault="000A1B39" w:rsidP="007A4C3D">
      <w:pPr>
        <w:pStyle w:val="Tableheader"/>
      </w:pPr>
      <w:r w:rsidRPr="00275FC7">
        <w:rPr>
          <w:rStyle w:val="SubtleEmphasis"/>
          <w:i/>
          <w:iCs/>
          <w:color w:val="auto"/>
        </w:rPr>
        <w:t xml:space="preserve">Graph 4: Participation rates by country </w:t>
      </w:r>
    </w:p>
    <w:p w14:paraId="2EEF343F" w14:textId="2D97A64A" w:rsidR="002F5138" w:rsidRPr="00275FC7" w:rsidRDefault="002F5138" w:rsidP="007A4C3D">
      <w:pPr>
        <w:pStyle w:val="paratext"/>
      </w:pPr>
      <w:r w:rsidRPr="00275FC7">
        <w:rPr>
          <w:i/>
          <w:iCs/>
          <w:noProof/>
        </w:rPr>
        <w:drawing>
          <wp:inline distT="0" distB="0" distL="0" distR="0" wp14:anchorId="7E68126A" wp14:editId="2F4F2D42">
            <wp:extent cx="3956050" cy="2219325"/>
            <wp:effectExtent l="0" t="0" r="6350" b="9525"/>
            <wp:docPr id="3" name="Chart 3" descr="Participation rates by country.&#10;&#10;Australia (tertiary education) = 7%&#10;England (higher education only) = 17%&#10;United States (tertiary education) = 19%&#10;&#10;The chart shows Australia lagging significantly behind England and the United States.&#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DD31F67" w14:textId="23EA61C0" w:rsidR="000A1B39" w:rsidRPr="00275FC7" w:rsidRDefault="000A1B39" w:rsidP="007A4C3D">
      <w:pPr>
        <w:pStyle w:val="Footnote"/>
        <w:rPr>
          <w:rFonts w:cs="Arial"/>
        </w:rPr>
      </w:pPr>
      <w:r w:rsidRPr="00275FC7">
        <w:rPr>
          <w:rFonts w:cs="Arial"/>
        </w:rPr>
        <w:t xml:space="preserve">Sources: </w:t>
      </w:r>
      <w:r w:rsidRPr="00275FC7">
        <w:rPr>
          <w:rStyle w:val="SubtleEmphasis"/>
          <w:rFonts w:cs="Arial"/>
          <w:i/>
          <w:iCs w:val="0"/>
          <w:color w:val="000000"/>
        </w:rPr>
        <w:t xml:space="preserve">Department of Education, </w:t>
      </w:r>
      <w:r w:rsidR="00F66DCB" w:rsidRPr="00275FC7">
        <w:rPr>
          <w:rStyle w:val="SubtleEmphasis"/>
          <w:rFonts w:cs="Arial"/>
          <w:i/>
          <w:iCs w:val="0"/>
          <w:color w:val="000000"/>
        </w:rPr>
        <w:t>Skills,</w:t>
      </w:r>
      <w:r w:rsidRPr="00275FC7">
        <w:rPr>
          <w:rStyle w:val="SubtleEmphasis"/>
          <w:rFonts w:cs="Arial"/>
          <w:i/>
          <w:iCs w:val="0"/>
          <w:color w:val="000000"/>
        </w:rPr>
        <w:t xml:space="preserve"> and Employment 2018; ADCET VET Statistics 2018; UK Parliament 2019-20; NCES 2015-16</w:t>
      </w:r>
    </w:p>
    <w:p w14:paraId="3A58E828" w14:textId="0B9692B1" w:rsidR="00EF5FB4" w:rsidRPr="00275FC7" w:rsidRDefault="00200ACB" w:rsidP="00925F9F">
      <w:pPr>
        <w:pStyle w:val="Heading2"/>
        <w:rPr>
          <w:rStyle w:val="IntenseEmphasis"/>
        </w:rPr>
      </w:pPr>
      <w:bookmarkStart w:id="4" w:name="_Toc131672432"/>
      <w:r w:rsidRPr="00275FC7">
        <w:rPr>
          <w:rStyle w:val="IntenseEmphasis"/>
        </w:rPr>
        <w:lastRenderedPageBreak/>
        <w:t>But we’re doing enough now – aren’t we?</w:t>
      </w:r>
      <w:bookmarkEnd w:id="4"/>
      <w:r w:rsidRPr="00275FC7">
        <w:rPr>
          <w:rStyle w:val="IntenseEmphasis"/>
        </w:rPr>
        <w:t xml:space="preserve"> </w:t>
      </w:r>
    </w:p>
    <w:p w14:paraId="6ECBA816" w14:textId="4C65460B" w:rsidR="00EF5DD0" w:rsidRPr="00275FC7" w:rsidRDefault="002B5D54" w:rsidP="0031250E">
      <w:pPr>
        <w:pStyle w:val="paratext"/>
      </w:pPr>
      <w:r w:rsidRPr="00275FC7">
        <w:t xml:space="preserve">It’s true that policy and legislative changes over the last few decades have </w:t>
      </w:r>
      <w:r w:rsidR="00F27AF2" w:rsidRPr="00275FC7">
        <w:t xml:space="preserve">supported </w:t>
      </w:r>
      <w:r w:rsidRPr="00275FC7">
        <w:t xml:space="preserve">more people with disability </w:t>
      </w:r>
      <w:r w:rsidR="0031250E" w:rsidRPr="00275FC7">
        <w:t xml:space="preserve">to achieve their full potential through participation in tertiary education (in line with Outcome 5 of the National Disability Strategy). </w:t>
      </w:r>
      <w:r w:rsidRPr="00275FC7">
        <w:rPr>
          <w:lang w:val="en-AU"/>
        </w:rPr>
        <w:t xml:space="preserve">But </w:t>
      </w:r>
      <w:r w:rsidR="00267B43" w:rsidRPr="00275FC7">
        <w:rPr>
          <w:lang w:val="en-AU"/>
        </w:rPr>
        <w:t xml:space="preserve">there are some misconceptions about the adequacy of </w:t>
      </w:r>
      <w:r w:rsidR="00754733" w:rsidRPr="00275FC7">
        <w:rPr>
          <w:lang w:val="en-AU"/>
        </w:rPr>
        <w:t xml:space="preserve">policy reforms in Australia </w:t>
      </w:r>
      <w:r w:rsidR="00267B43" w:rsidRPr="00275FC7">
        <w:rPr>
          <w:lang w:val="en-AU"/>
        </w:rPr>
        <w:t xml:space="preserve">to </w:t>
      </w:r>
      <w:r w:rsidR="00F4304C" w:rsidRPr="00275FC7">
        <w:rPr>
          <w:lang w:val="en-AU"/>
        </w:rPr>
        <w:t xml:space="preserve">close the participation and outcome gaps. </w:t>
      </w:r>
      <w:r w:rsidR="006F4C64" w:rsidRPr="00275FC7">
        <w:rPr>
          <w:lang w:val="en-AU"/>
        </w:rPr>
        <w:t>For m</w:t>
      </w:r>
      <w:r w:rsidR="00EF5DD0" w:rsidRPr="00275FC7">
        <w:t xml:space="preserve">ore detail about </w:t>
      </w:r>
      <w:r w:rsidR="006F4C64" w:rsidRPr="00275FC7">
        <w:t xml:space="preserve">the </w:t>
      </w:r>
      <w:r w:rsidR="00021C16" w:rsidRPr="00275FC7">
        <w:t>issues</w:t>
      </w:r>
      <w:r w:rsidR="00EF5DD0" w:rsidRPr="00275FC7">
        <w:t xml:space="preserve"> </w:t>
      </w:r>
      <w:r w:rsidR="006F4C64" w:rsidRPr="00275FC7">
        <w:t>described below see</w:t>
      </w:r>
      <w:r w:rsidR="00EF5DD0" w:rsidRPr="00275FC7">
        <w:t xml:space="preserve"> Appendix 1.</w:t>
      </w:r>
    </w:p>
    <w:p w14:paraId="0EF550EB" w14:textId="77777777" w:rsidR="00BE229C" w:rsidRPr="00275FC7" w:rsidRDefault="00BE229C">
      <w:pPr>
        <w:rPr>
          <w:sz w:val="40"/>
          <w:szCs w:val="40"/>
        </w:rPr>
      </w:pPr>
      <w:r w:rsidRPr="00275FC7">
        <w:br w:type="page"/>
      </w:r>
    </w:p>
    <w:p w14:paraId="01004BC1" w14:textId="78166A34" w:rsidR="00A115CF" w:rsidRPr="00275FC7" w:rsidRDefault="00021C16" w:rsidP="00925F9F">
      <w:pPr>
        <w:pStyle w:val="Heading1"/>
        <w:rPr>
          <w:lang w:val="en-AU"/>
        </w:rPr>
      </w:pPr>
      <w:bookmarkStart w:id="5" w:name="_Toc131672433"/>
      <w:r w:rsidRPr="00275FC7">
        <w:lastRenderedPageBreak/>
        <w:t>Issue</w:t>
      </w:r>
      <w:r w:rsidR="006D5AEC" w:rsidRPr="00275FC7">
        <w:t xml:space="preserve"> </w:t>
      </w:r>
      <w:r w:rsidR="00B211E6" w:rsidRPr="00275FC7">
        <w:t>1</w:t>
      </w:r>
      <w:r w:rsidR="0023019B" w:rsidRPr="00275FC7">
        <w:t xml:space="preserve">: </w:t>
      </w:r>
      <w:r w:rsidRPr="00275FC7">
        <w:t>L</w:t>
      </w:r>
      <w:r w:rsidR="006D5AEC" w:rsidRPr="00275FC7">
        <w:t xml:space="preserve">egislative </w:t>
      </w:r>
      <w:r w:rsidR="00DE029F" w:rsidRPr="00275FC7">
        <w:t xml:space="preserve">protections </w:t>
      </w:r>
      <w:r w:rsidRPr="00275FC7">
        <w:t xml:space="preserve">do not adequately </w:t>
      </w:r>
      <w:r w:rsidR="00D137DA" w:rsidRPr="00275FC7">
        <w:t xml:space="preserve">enable </w:t>
      </w:r>
      <w:r w:rsidR="00DE029F" w:rsidRPr="00275FC7">
        <w:t xml:space="preserve">people with disability </w:t>
      </w:r>
      <w:r w:rsidR="00D137DA" w:rsidRPr="00275FC7">
        <w:t xml:space="preserve">to </w:t>
      </w:r>
      <w:r w:rsidR="00DE029F" w:rsidRPr="00275FC7">
        <w:t>pursue tertiary studies</w:t>
      </w:r>
      <w:bookmarkEnd w:id="5"/>
    </w:p>
    <w:p w14:paraId="0C188BEF" w14:textId="2B46B9A6" w:rsidR="004E3FAB" w:rsidRPr="00275FC7" w:rsidRDefault="00021C16" w:rsidP="004E3FAB">
      <w:pPr>
        <w:pStyle w:val="numberedpara"/>
        <w:numPr>
          <w:ilvl w:val="0"/>
          <w:numId w:val="0"/>
        </w:numPr>
        <w:rPr>
          <w:b w:val="0"/>
          <w:bCs/>
        </w:rPr>
      </w:pPr>
      <w:r w:rsidRPr="00275FC7">
        <w:rPr>
          <w:b w:val="0"/>
          <w:bCs/>
        </w:rPr>
        <w:t>P</w:t>
      </w:r>
      <w:r w:rsidR="0031250E" w:rsidRPr="00275FC7">
        <w:rPr>
          <w:b w:val="0"/>
          <w:bCs/>
        </w:rPr>
        <w:t>eople with disability</w:t>
      </w:r>
      <w:r w:rsidR="004E3FAB" w:rsidRPr="00275FC7">
        <w:rPr>
          <w:b w:val="0"/>
          <w:bCs/>
        </w:rPr>
        <w:t xml:space="preserve"> </w:t>
      </w:r>
      <w:r w:rsidR="004E3FAB" w:rsidRPr="00275FC7">
        <w:rPr>
          <w:b w:val="0"/>
          <w:bCs/>
          <w:i/>
          <w:iCs/>
        </w:rPr>
        <w:t>do</w:t>
      </w:r>
      <w:r w:rsidR="004E3FAB" w:rsidRPr="00275FC7">
        <w:rPr>
          <w:b w:val="0"/>
          <w:bCs/>
        </w:rPr>
        <w:t xml:space="preserve"> have legislative rights to access tertiary education </w:t>
      </w:r>
      <w:r w:rsidR="004E3FAB" w:rsidRPr="00275FC7">
        <w:rPr>
          <w:b w:val="0"/>
          <w:bCs/>
          <w:u w:val="single"/>
        </w:rPr>
        <w:t>but</w:t>
      </w:r>
      <w:r w:rsidR="004E3FAB" w:rsidRPr="00275FC7">
        <w:rPr>
          <w:b w:val="0"/>
          <w:bCs/>
        </w:rPr>
        <w:t>:</w:t>
      </w:r>
    </w:p>
    <w:p w14:paraId="1BDFD192" w14:textId="6639D760" w:rsidR="004E3FAB" w:rsidRPr="00275FC7" w:rsidRDefault="004E3FAB" w:rsidP="007A4C3D">
      <w:pPr>
        <w:pStyle w:val="dotpoint"/>
      </w:pPr>
      <w:r w:rsidRPr="00275FC7">
        <w:t xml:space="preserve">the </w:t>
      </w:r>
      <w:r w:rsidR="00EE2ADD" w:rsidRPr="00275FC7">
        <w:t xml:space="preserve">complaints-based compliance mechanism places the </w:t>
      </w:r>
      <w:r w:rsidRPr="00275FC7">
        <w:t xml:space="preserve">onus on students to know and pursue their rights </w:t>
      </w:r>
    </w:p>
    <w:p w14:paraId="54086F3E" w14:textId="650CD2F1" w:rsidR="009846B1" w:rsidRPr="00275FC7" w:rsidRDefault="009846B1" w:rsidP="007A4C3D">
      <w:pPr>
        <w:pStyle w:val="dotpoint"/>
      </w:pPr>
      <w:r w:rsidRPr="00275FC7">
        <w:t xml:space="preserve">Complaints-based compliance frameworks disadvantages those who </w:t>
      </w:r>
      <w:r w:rsidR="004E0C57" w:rsidRPr="00275FC7">
        <w:t>may be</w:t>
      </w:r>
      <w:r w:rsidRPr="00275FC7">
        <w:t xml:space="preserve"> less able to initiate and pursue a complaint. This </w:t>
      </w:r>
      <w:r w:rsidR="004E0C57" w:rsidRPr="00275FC7">
        <w:t xml:space="preserve">may </w:t>
      </w:r>
      <w:r w:rsidRPr="00275FC7">
        <w:t>include</w:t>
      </w:r>
      <w:r w:rsidR="004E0C57" w:rsidRPr="00275FC7">
        <w:t xml:space="preserve"> issues relating to culture, socio-economic status, regionality and availability of advocates and supports to do so.</w:t>
      </w:r>
      <w:r w:rsidRPr="00275FC7">
        <w:t xml:space="preserve"> </w:t>
      </w:r>
    </w:p>
    <w:p w14:paraId="242916F9" w14:textId="43D48A94" w:rsidR="00EE2ADD" w:rsidRPr="00275FC7" w:rsidRDefault="00EE2ADD" w:rsidP="007A4C3D">
      <w:pPr>
        <w:pStyle w:val="dotpoint"/>
      </w:pPr>
      <w:r w:rsidRPr="00275FC7">
        <w:t xml:space="preserve">there is </w:t>
      </w:r>
      <w:r w:rsidR="00796B9F" w:rsidRPr="00275FC7">
        <w:t xml:space="preserve">limited </w:t>
      </w:r>
      <w:r w:rsidRPr="00275FC7">
        <w:t xml:space="preserve">publicly available data about provider compliance with the </w:t>
      </w:r>
      <w:r w:rsidR="00934B5F" w:rsidRPr="00275FC7">
        <w:t>legislation,</w:t>
      </w:r>
      <w:r w:rsidRPr="00275FC7">
        <w:t xml:space="preserve"> </w:t>
      </w:r>
      <w:r w:rsidR="006F4C64" w:rsidRPr="00275FC7">
        <w:t>so we don’t know how many providers are in breach of the legislation</w:t>
      </w:r>
      <w:r w:rsidR="00DB3BCF" w:rsidRPr="00275FC7">
        <w:rPr>
          <w:rStyle w:val="FootnoteReference"/>
        </w:rPr>
        <w:footnoteReference w:id="2"/>
      </w:r>
      <w:r w:rsidR="00210E18" w:rsidRPr="00275FC7">
        <w:t xml:space="preserve">. </w:t>
      </w:r>
    </w:p>
    <w:p w14:paraId="15408A7E" w14:textId="7545CDF3" w:rsidR="00E86626" w:rsidRPr="00275FC7" w:rsidRDefault="00E86626" w:rsidP="007A4C3D">
      <w:pPr>
        <w:pStyle w:val="dotpoint"/>
      </w:pPr>
      <w:r w:rsidRPr="00275FC7">
        <w:t xml:space="preserve">students may be reluctant to </w:t>
      </w:r>
      <w:r w:rsidR="00970750" w:rsidRPr="00275FC7">
        <w:t xml:space="preserve">share information about </w:t>
      </w:r>
      <w:r w:rsidRPr="00275FC7">
        <w:t xml:space="preserve">their disability </w:t>
      </w:r>
      <w:r w:rsidR="006F4C64" w:rsidRPr="00275FC7">
        <w:t xml:space="preserve">to a provider </w:t>
      </w:r>
      <w:r w:rsidRPr="00275FC7">
        <w:t>and/or</w:t>
      </w:r>
      <w:r w:rsidR="006F4C64" w:rsidRPr="00275FC7">
        <w:t xml:space="preserve"> </w:t>
      </w:r>
      <w:r w:rsidR="00970750" w:rsidRPr="00275FC7">
        <w:t xml:space="preserve">be </w:t>
      </w:r>
      <w:r w:rsidRPr="00275FC7">
        <w:t xml:space="preserve">unable to </w:t>
      </w:r>
      <w:r w:rsidR="00970750" w:rsidRPr="00275FC7">
        <w:t xml:space="preserve">access or </w:t>
      </w:r>
      <w:r w:rsidRPr="00275FC7">
        <w:t>afford an assessment to verify it</w:t>
      </w:r>
      <w:r w:rsidR="009B4267" w:rsidRPr="00275FC7">
        <w:t xml:space="preserve"> – and the requirement for clinical verification of disability (a medical model) is at odds with longstanding national policy settings </w:t>
      </w:r>
      <w:r w:rsidR="00CF2D73" w:rsidRPr="00275FC7">
        <w:t>(</w:t>
      </w:r>
      <w:r w:rsidR="009B4267" w:rsidRPr="00275FC7">
        <w:t>which recognise a social model of disability</w:t>
      </w:r>
      <w:r w:rsidR="00CF2D73" w:rsidRPr="00275FC7">
        <w:t>)</w:t>
      </w:r>
    </w:p>
    <w:p w14:paraId="71BF7975" w14:textId="511481C4" w:rsidR="004E3FAB" w:rsidRPr="00275FC7" w:rsidRDefault="004E3FAB" w:rsidP="007A4C3D">
      <w:pPr>
        <w:pStyle w:val="dotpoint"/>
      </w:pPr>
      <w:r w:rsidRPr="00275FC7">
        <w:t xml:space="preserve">institutions can </w:t>
      </w:r>
      <w:r w:rsidR="009B4267" w:rsidRPr="00275FC7">
        <w:t xml:space="preserve">decline to make a reasonable adjustment </w:t>
      </w:r>
      <w:r w:rsidRPr="00275FC7">
        <w:t xml:space="preserve">if they deem </w:t>
      </w:r>
      <w:r w:rsidR="009B4267" w:rsidRPr="00275FC7">
        <w:t xml:space="preserve">the </w:t>
      </w:r>
      <w:r w:rsidR="00D137DA" w:rsidRPr="00275FC7">
        <w:t xml:space="preserve">needed </w:t>
      </w:r>
      <w:r w:rsidRPr="00275FC7">
        <w:t>adjustments</w:t>
      </w:r>
      <w:r w:rsidR="009B4267" w:rsidRPr="00275FC7">
        <w:t xml:space="preserve"> cause unjustifiable hardship</w:t>
      </w:r>
      <w:r w:rsidR="006F4C64" w:rsidRPr="00275FC7">
        <w:t>,</w:t>
      </w:r>
      <w:r w:rsidR="009B4267" w:rsidRPr="00275FC7">
        <w:t xml:space="preserve"> even if the adjustment itself is deemed reasonable </w:t>
      </w:r>
      <w:r w:rsidR="00CF2D73" w:rsidRPr="00275FC7">
        <w:t>– placing the onus back on students to start again with another institution</w:t>
      </w:r>
      <w:r w:rsidR="00FA7D76" w:rsidRPr="00275FC7">
        <w:t xml:space="preserve"> (</w:t>
      </w:r>
      <w:r w:rsidR="00CF2D73" w:rsidRPr="00275FC7">
        <w:t>if there is an alternative option where they live</w:t>
      </w:r>
      <w:r w:rsidR="00FA7D76" w:rsidRPr="00275FC7">
        <w:t>)</w:t>
      </w:r>
      <w:r w:rsidR="00CF2D73" w:rsidRPr="00275FC7">
        <w:t xml:space="preserve"> or pursue a discrimination complaint </w:t>
      </w:r>
      <w:r w:rsidR="00200ACB" w:rsidRPr="00275FC7">
        <w:t>and</w:t>
      </w:r>
    </w:p>
    <w:p w14:paraId="3D7B3CAB" w14:textId="660C356F" w:rsidR="00EE2ADD" w:rsidRPr="00275FC7" w:rsidRDefault="00D137DA" w:rsidP="007A4C3D">
      <w:pPr>
        <w:pStyle w:val="dotpoint"/>
      </w:pPr>
      <w:r w:rsidRPr="00275FC7">
        <w:t xml:space="preserve">there are </w:t>
      </w:r>
      <w:r w:rsidR="000A1B39" w:rsidRPr="00275FC7">
        <w:t xml:space="preserve">additional </w:t>
      </w:r>
      <w:r w:rsidR="00B76C7C" w:rsidRPr="00275FC7">
        <w:t xml:space="preserve">barriers to access arising from </w:t>
      </w:r>
      <w:r w:rsidRPr="00275FC7">
        <w:t xml:space="preserve">building </w:t>
      </w:r>
      <w:r w:rsidR="00B76C7C" w:rsidRPr="00275FC7">
        <w:t xml:space="preserve">design </w:t>
      </w:r>
      <w:r w:rsidRPr="00275FC7">
        <w:t xml:space="preserve">and publishing standards </w:t>
      </w:r>
      <w:r w:rsidR="00B76C7C" w:rsidRPr="00275FC7">
        <w:t xml:space="preserve">which are not </w:t>
      </w:r>
      <w:r w:rsidR="005C63B5" w:rsidRPr="00275FC7">
        <w:t xml:space="preserve">specifically </w:t>
      </w:r>
      <w:r w:rsidR="00B76C7C" w:rsidRPr="00275FC7">
        <w:t xml:space="preserve">addressed </w:t>
      </w:r>
      <w:r w:rsidR="005C63B5" w:rsidRPr="00275FC7">
        <w:t>by the Disability Standards for Education (2005)</w:t>
      </w:r>
      <w:r w:rsidR="00EE2ADD" w:rsidRPr="00275FC7">
        <w:t xml:space="preserve">. </w:t>
      </w:r>
    </w:p>
    <w:p w14:paraId="01FA0947" w14:textId="77777777" w:rsidR="007469E4" w:rsidRPr="00275FC7" w:rsidRDefault="007469E4" w:rsidP="3D2AE5C1">
      <w:pPr>
        <w:rPr>
          <w:lang w:val="en-AU"/>
        </w:rPr>
      </w:pPr>
    </w:p>
    <w:p w14:paraId="793AC877" w14:textId="63926358" w:rsidR="009846B1" w:rsidRPr="00275FC7" w:rsidRDefault="00190D5D" w:rsidP="007469E4">
      <w:pPr>
        <w:spacing w:before="240"/>
      </w:pPr>
      <w:r w:rsidRPr="00275FC7">
        <w:rPr>
          <w:lang w:val="en-AU"/>
        </w:rPr>
        <w:t xml:space="preserve">In </w:t>
      </w:r>
      <w:r w:rsidR="00F66DCB" w:rsidRPr="00275FC7">
        <w:rPr>
          <w:lang w:val="en-AU"/>
        </w:rPr>
        <w:t>August 2020,</w:t>
      </w:r>
      <w:r w:rsidR="009846B1" w:rsidRPr="00275FC7">
        <w:rPr>
          <w:lang w:val="en-AU"/>
        </w:rPr>
        <w:t xml:space="preserve"> the NDCO Program surveyed 131 people with disability, disability practitioners, families and supporters to inform the NDCO submission into the </w:t>
      </w:r>
      <w:r w:rsidR="009846B1" w:rsidRPr="00275FC7">
        <w:rPr>
          <w:i/>
          <w:iCs/>
          <w:lang w:val="en-AU"/>
        </w:rPr>
        <w:t>2020 Review of the Disability Standards for Education (2005)</w:t>
      </w:r>
      <w:r w:rsidR="009846B1" w:rsidRPr="00275FC7">
        <w:rPr>
          <w:lang w:val="en-AU"/>
        </w:rPr>
        <w:t>. Survey respondents described the complaints process as long and drawn out, result</w:t>
      </w:r>
      <w:r w:rsidR="009C11EF" w:rsidRPr="00275FC7">
        <w:rPr>
          <w:lang w:val="en-AU"/>
        </w:rPr>
        <w:t>s</w:t>
      </w:r>
      <w:r w:rsidR="009846B1" w:rsidRPr="00275FC7">
        <w:rPr>
          <w:lang w:val="en-AU"/>
        </w:rPr>
        <w:t xml:space="preserve"> in a lot of education being missed, causes a lot of stress, is </w:t>
      </w:r>
      <w:r w:rsidR="00F66DCB" w:rsidRPr="00275FC7">
        <w:rPr>
          <w:lang w:val="en-AU"/>
        </w:rPr>
        <w:t>hard</w:t>
      </w:r>
      <w:r w:rsidR="009846B1" w:rsidRPr="00275FC7">
        <w:rPr>
          <w:lang w:val="en-AU"/>
        </w:rPr>
        <w:t xml:space="preserve"> to understand, often not satisfactorily resolved, and recommendations that may have come from conciliation were not implemented consistently.</w:t>
      </w:r>
    </w:p>
    <w:p w14:paraId="5F29812D" w14:textId="77777777" w:rsidR="009846B1" w:rsidRPr="00275FC7" w:rsidRDefault="009846B1" w:rsidP="009846B1">
      <w:pPr>
        <w:rPr>
          <w:lang w:val="en-AU"/>
        </w:rPr>
      </w:pPr>
    </w:p>
    <w:p w14:paraId="564D969B" w14:textId="1FA1ECAF" w:rsidR="009846B1" w:rsidRPr="00275FC7" w:rsidRDefault="00FD594A" w:rsidP="009846B1">
      <w:pPr>
        <w:autoSpaceDE w:val="0"/>
        <w:autoSpaceDN w:val="0"/>
        <w:adjustRightInd w:val="0"/>
        <w:spacing w:line="240" w:lineRule="auto"/>
        <w:jc w:val="both"/>
        <w:rPr>
          <w:lang w:val="en-AU"/>
        </w:rPr>
      </w:pPr>
      <w:r w:rsidRPr="00275FC7">
        <w:rPr>
          <w:lang w:val="en-AU"/>
        </w:rPr>
        <w:t xml:space="preserve">Satisfaction levels when making complaints was very low and in </w:t>
      </w:r>
      <w:r w:rsidR="009846B1" w:rsidRPr="00275FC7">
        <w:rPr>
          <w:lang w:val="en-AU"/>
        </w:rPr>
        <w:t xml:space="preserve">one instance the impact of this process resulted in a complete withdrawal from current education, and an indication that the individual would not consider education again in the future due to the trauma caused by the education provider (humiliation and bullying). </w:t>
      </w:r>
    </w:p>
    <w:p w14:paraId="79978A6D" w14:textId="77777777" w:rsidR="009846B1" w:rsidRPr="00275FC7" w:rsidRDefault="009846B1" w:rsidP="009846B1">
      <w:pPr>
        <w:autoSpaceDE w:val="0"/>
        <w:autoSpaceDN w:val="0"/>
        <w:adjustRightInd w:val="0"/>
        <w:spacing w:line="240" w:lineRule="auto"/>
        <w:jc w:val="both"/>
        <w:rPr>
          <w:lang w:val="en-AU"/>
        </w:rPr>
      </w:pPr>
    </w:p>
    <w:p w14:paraId="45A67ACC" w14:textId="5DAFD862" w:rsidR="009846B1" w:rsidRPr="00275FC7" w:rsidRDefault="009846B1" w:rsidP="009846B1">
      <w:pPr>
        <w:autoSpaceDE w:val="0"/>
        <w:autoSpaceDN w:val="0"/>
        <w:adjustRightInd w:val="0"/>
        <w:jc w:val="both"/>
        <w:rPr>
          <w:lang w:val="en-AU"/>
        </w:rPr>
      </w:pPr>
      <w:r w:rsidRPr="00275FC7">
        <w:rPr>
          <w:lang w:val="en-AU"/>
        </w:rPr>
        <w:t>In addition, 54 people responded that they felt they should have made a complaint. A variety of reasons were provided as to why they did not</w:t>
      </w:r>
      <w:r w:rsidR="3E5A45CA" w:rsidRPr="00275FC7">
        <w:rPr>
          <w:lang w:val="en-AU"/>
        </w:rPr>
        <w:t>,</w:t>
      </w:r>
      <w:r w:rsidRPr="00275FC7">
        <w:rPr>
          <w:lang w:val="en-AU"/>
        </w:rPr>
        <w:t xml:space="preserve"> including:</w:t>
      </w:r>
    </w:p>
    <w:p w14:paraId="1EC1C00C" w14:textId="77777777" w:rsidR="009846B1" w:rsidRPr="00275FC7" w:rsidRDefault="009846B1" w:rsidP="009846B1">
      <w:pPr>
        <w:autoSpaceDE w:val="0"/>
        <w:autoSpaceDN w:val="0"/>
        <w:adjustRightInd w:val="0"/>
        <w:jc w:val="both"/>
        <w:rPr>
          <w:lang w:val="en-AU"/>
        </w:rPr>
      </w:pPr>
    </w:p>
    <w:p w14:paraId="09F16155" w14:textId="77777777" w:rsidR="009846B1" w:rsidRPr="00275FC7" w:rsidRDefault="009846B1" w:rsidP="007A4C3D">
      <w:pPr>
        <w:pStyle w:val="dotpoint"/>
      </w:pPr>
      <w:r w:rsidRPr="00275FC7">
        <w:lastRenderedPageBreak/>
        <w:t>“Time constraints”</w:t>
      </w:r>
    </w:p>
    <w:p w14:paraId="0C2FAC9C" w14:textId="77777777" w:rsidR="009846B1" w:rsidRPr="00275FC7" w:rsidRDefault="009846B1" w:rsidP="007A4C3D">
      <w:pPr>
        <w:pStyle w:val="dotpoint"/>
      </w:pPr>
      <w:r w:rsidRPr="00275FC7">
        <w:t>“Work family commitments”</w:t>
      </w:r>
    </w:p>
    <w:p w14:paraId="1BFD8F07" w14:textId="77777777" w:rsidR="009846B1" w:rsidRPr="00275FC7" w:rsidRDefault="009846B1" w:rsidP="007A4C3D">
      <w:pPr>
        <w:pStyle w:val="dotpoint"/>
      </w:pPr>
      <w:r w:rsidRPr="00275FC7">
        <w:t>“Feelings of powerlessness and the DDA having no impact”</w:t>
      </w:r>
    </w:p>
    <w:p w14:paraId="6964B56A" w14:textId="77777777" w:rsidR="009846B1" w:rsidRPr="00275FC7" w:rsidRDefault="009846B1" w:rsidP="007A4C3D">
      <w:pPr>
        <w:pStyle w:val="dotpoint"/>
      </w:pPr>
      <w:r w:rsidRPr="00275FC7">
        <w:t xml:space="preserve">“Discrimination happened. But disabled person did not wish to cause trouble” </w:t>
      </w:r>
    </w:p>
    <w:p w14:paraId="57909459" w14:textId="77777777" w:rsidR="009846B1" w:rsidRPr="00275FC7" w:rsidRDefault="009846B1" w:rsidP="007A4C3D">
      <w:pPr>
        <w:pStyle w:val="dotpoint"/>
      </w:pPr>
      <w:r w:rsidRPr="00275FC7">
        <w:t>“Didn’t know how to engage the complaints process”</w:t>
      </w:r>
    </w:p>
    <w:p w14:paraId="6098094D" w14:textId="77777777" w:rsidR="009846B1" w:rsidRPr="00275FC7" w:rsidRDefault="009846B1" w:rsidP="007A4C3D">
      <w:pPr>
        <w:pStyle w:val="dotpoint"/>
      </w:pPr>
      <w:r w:rsidRPr="00275FC7">
        <w:t>“No training or information provided about discrimination and how to make a complaint”</w:t>
      </w:r>
    </w:p>
    <w:p w14:paraId="43A9A930" w14:textId="77777777" w:rsidR="009846B1" w:rsidRPr="00275FC7" w:rsidRDefault="009846B1" w:rsidP="007A4C3D">
      <w:pPr>
        <w:pStyle w:val="dotpoint"/>
      </w:pPr>
      <w:r w:rsidRPr="00275FC7">
        <w:t>“Access should not have to rely on a complaint, it should be mandated”</w:t>
      </w:r>
    </w:p>
    <w:p w14:paraId="5ECC6496" w14:textId="77777777" w:rsidR="009846B1" w:rsidRPr="00275FC7" w:rsidRDefault="009846B1" w:rsidP="007A4C3D">
      <w:pPr>
        <w:pStyle w:val="dotpoint"/>
      </w:pPr>
      <w:r w:rsidRPr="00275FC7">
        <w:t>“Not feeling safe to complain”</w:t>
      </w:r>
    </w:p>
    <w:p w14:paraId="623BB9A3" w14:textId="77777777" w:rsidR="009846B1" w:rsidRPr="00275FC7" w:rsidRDefault="009846B1" w:rsidP="007A4C3D">
      <w:pPr>
        <w:pStyle w:val="dotpoint"/>
      </w:pPr>
      <w:r w:rsidRPr="00275FC7">
        <w:t>“Lack of emotional capacity to deal with the process”</w:t>
      </w:r>
    </w:p>
    <w:p w14:paraId="284D98AE" w14:textId="77777777" w:rsidR="009846B1" w:rsidRPr="00275FC7" w:rsidRDefault="009846B1" w:rsidP="007A4C3D">
      <w:pPr>
        <w:pStyle w:val="dotpoint"/>
      </w:pPr>
      <w:r w:rsidRPr="00275FC7">
        <w:t>“Education providers actually discouraging people from making complaints”</w:t>
      </w:r>
    </w:p>
    <w:p w14:paraId="43E7055B" w14:textId="77777777" w:rsidR="009846B1" w:rsidRPr="00275FC7" w:rsidRDefault="009846B1" w:rsidP="007A4C3D">
      <w:pPr>
        <w:pStyle w:val="dotpoint"/>
      </w:pPr>
      <w:r w:rsidRPr="00275FC7">
        <w:t>“No support to make the complaint”</w:t>
      </w:r>
    </w:p>
    <w:p w14:paraId="10C54C1A" w14:textId="77777777" w:rsidR="009846B1" w:rsidRPr="00275FC7" w:rsidRDefault="009846B1" w:rsidP="007A4C3D">
      <w:pPr>
        <w:pStyle w:val="dotpoint"/>
      </w:pPr>
      <w:r w:rsidRPr="00275FC7">
        <w:t>“Cuts in advocacy services”</w:t>
      </w:r>
    </w:p>
    <w:p w14:paraId="7C054554" w14:textId="77777777" w:rsidR="009846B1" w:rsidRPr="00275FC7" w:rsidRDefault="009846B1" w:rsidP="007A4C3D">
      <w:pPr>
        <w:pStyle w:val="dotpoint"/>
      </w:pPr>
      <w:r w:rsidRPr="00275FC7">
        <w:t>“Inadequate support and expertise”</w:t>
      </w:r>
    </w:p>
    <w:p w14:paraId="0E840183" w14:textId="77777777" w:rsidR="009846B1" w:rsidRPr="00275FC7" w:rsidRDefault="009846B1" w:rsidP="00F00615">
      <w:pPr>
        <w:pStyle w:val="numberedpara"/>
        <w:numPr>
          <w:ilvl w:val="0"/>
          <w:numId w:val="0"/>
        </w:numPr>
      </w:pPr>
    </w:p>
    <w:p w14:paraId="43891394" w14:textId="2D96A98F" w:rsidR="003909A9" w:rsidRPr="00275FC7" w:rsidRDefault="009C11EF" w:rsidP="007469E4">
      <w:pPr>
        <w:pStyle w:val="Heading1"/>
      </w:pPr>
      <w:bookmarkStart w:id="6" w:name="_Toc131672434"/>
      <w:r w:rsidRPr="00275FC7">
        <w:t>Issue</w:t>
      </w:r>
      <w:r w:rsidR="006D5AEC" w:rsidRPr="00275FC7">
        <w:t xml:space="preserve"> </w:t>
      </w:r>
      <w:r w:rsidR="00B211E6" w:rsidRPr="00275FC7">
        <w:t>2</w:t>
      </w:r>
      <w:r w:rsidR="00906C89" w:rsidRPr="00275FC7">
        <w:t xml:space="preserve">: </w:t>
      </w:r>
      <w:r w:rsidR="00B76C7C" w:rsidRPr="00275FC7">
        <w:t xml:space="preserve">Tertiary </w:t>
      </w:r>
      <w:r w:rsidR="002A2666" w:rsidRPr="00275FC7">
        <w:t xml:space="preserve">education </w:t>
      </w:r>
      <w:r w:rsidR="0023019B" w:rsidRPr="00275FC7">
        <w:t>providers</w:t>
      </w:r>
      <w:r w:rsidR="00906C89" w:rsidRPr="00275FC7">
        <w:t xml:space="preserve"> </w:t>
      </w:r>
      <w:r w:rsidR="002A2666" w:rsidRPr="00275FC7">
        <w:t xml:space="preserve">are not adequately or consistently </w:t>
      </w:r>
      <w:r w:rsidR="001F73B7" w:rsidRPr="00275FC7">
        <w:t>fund</w:t>
      </w:r>
      <w:r w:rsidR="002A2666" w:rsidRPr="00275FC7">
        <w:t>ed to make</w:t>
      </w:r>
      <w:r w:rsidR="001F73B7" w:rsidRPr="00275FC7">
        <w:t xml:space="preserve"> r</w:t>
      </w:r>
      <w:r w:rsidR="0023019B" w:rsidRPr="00275FC7">
        <w:t>easonable adjustments</w:t>
      </w:r>
      <w:bookmarkEnd w:id="6"/>
    </w:p>
    <w:p w14:paraId="2CBF9A3F" w14:textId="08AAE135" w:rsidR="00B76C7C" w:rsidRPr="00275FC7" w:rsidRDefault="00B76C7C" w:rsidP="0043695E">
      <w:pPr>
        <w:pStyle w:val="paratext"/>
      </w:pPr>
      <w:r w:rsidRPr="00275FC7">
        <w:t xml:space="preserve">Whilst it’s true that tertiary providers are required to fund reasonable adjustments, the same is true of schools </w:t>
      </w:r>
      <w:r w:rsidRPr="00275FC7">
        <w:rPr>
          <w:u w:val="single"/>
        </w:rPr>
        <w:t>and yet</w:t>
      </w:r>
      <w:r w:rsidR="006F4C64" w:rsidRPr="00275FC7">
        <w:rPr>
          <w:u w:val="single"/>
        </w:rPr>
        <w:t>:</w:t>
      </w:r>
    </w:p>
    <w:p w14:paraId="4D8D1B15" w14:textId="50885DC6" w:rsidR="00B76C7C" w:rsidRPr="00275FC7" w:rsidRDefault="00B76C7C" w:rsidP="007A4C3D">
      <w:pPr>
        <w:pStyle w:val="dotpoint"/>
      </w:pPr>
      <w:r w:rsidRPr="00275FC7">
        <w:t xml:space="preserve">Australian Government funding for reasonable adjustments in schools </w:t>
      </w:r>
      <w:r w:rsidR="00200ACB" w:rsidRPr="00275FC7">
        <w:t>total</w:t>
      </w:r>
      <w:r w:rsidR="00B329EE" w:rsidRPr="00275FC7">
        <w:t>l</w:t>
      </w:r>
      <w:r w:rsidR="00200ACB" w:rsidRPr="00275FC7">
        <w:t>ed</w:t>
      </w:r>
      <w:r w:rsidRPr="00275FC7">
        <w:t xml:space="preserve"> $28.8 billion in 2018-19, ranging from $4,704 through to $35,350 per student</w:t>
      </w:r>
      <w:r w:rsidR="00C968C0" w:rsidRPr="00275FC7">
        <w:t>.</w:t>
      </w:r>
    </w:p>
    <w:p w14:paraId="239DA799" w14:textId="3DEBB828" w:rsidR="00790B87" w:rsidRPr="00275FC7" w:rsidRDefault="00B76C7C" w:rsidP="007A4C3D">
      <w:pPr>
        <w:pStyle w:val="dotpoint"/>
      </w:pPr>
      <w:r w:rsidRPr="00275FC7">
        <w:t xml:space="preserve">Australian Government funding for reasonable adjustments in higher education </w:t>
      </w:r>
      <w:r w:rsidR="00200ACB" w:rsidRPr="00275FC7">
        <w:t>total</w:t>
      </w:r>
      <w:r w:rsidR="006F4C64" w:rsidRPr="00275FC7">
        <w:t>l</w:t>
      </w:r>
      <w:r w:rsidR="00200ACB" w:rsidRPr="00275FC7">
        <w:t>ed</w:t>
      </w:r>
      <w:r w:rsidRPr="00275FC7">
        <w:t xml:space="preserve"> </w:t>
      </w:r>
      <w:r w:rsidR="00EF5DD0" w:rsidRPr="00275FC7">
        <w:t>approximately $7</w:t>
      </w:r>
      <w:r w:rsidR="00CF2D73" w:rsidRPr="00275FC7">
        <w:t>.78</w:t>
      </w:r>
      <w:r w:rsidR="00EF5DD0" w:rsidRPr="00275FC7">
        <w:t xml:space="preserve"> million through the </w:t>
      </w:r>
      <w:r w:rsidR="00CF2D73" w:rsidRPr="00275FC7">
        <w:t xml:space="preserve">2020 </w:t>
      </w:r>
      <w:r w:rsidR="00EF5DD0" w:rsidRPr="00275FC7">
        <w:t xml:space="preserve">Disability Support Program. </w:t>
      </w:r>
    </w:p>
    <w:p w14:paraId="76CA1ADA" w14:textId="58E1E929" w:rsidR="00E86626" w:rsidRPr="00275FC7" w:rsidRDefault="00EF5DD0" w:rsidP="007A4C3D">
      <w:pPr>
        <w:pStyle w:val="dotpoint"/>
      </w:pPr>
      <w:r w:rsidRPr="00275FC7">
        <w:t xml:space="preserve">This equates </w:t>
      </w:r>
      <w:r w:rsidR="00B76C7C" w:rsidRPr="00275FC7">
        <w:t xml:space="preserve">to </w:t>
      </w:r>
      <w:r w:rsidR="002C51DB" w:rsidRPr="00275FC7">
        <w:t xml:space="preserve">an average of </w:t>
      </w:r>
      <w:r w:rsidR="00B76C7C" w:rsidRPr="00275FC7">
        <w:t>$110 per student</w:t>
      </w:r>
      <w:r w:rsidR="004058F4" w:rsidRPr="00275FC7">
        <w:t xml:space="preserve">, </w:t>
      </w:r>
      <w:r w:rsidRPr="00275FC7">
        <w:t xml:space="preserve">in sharp contrast </w:t>
      </w:r>
      <w:r w:rsidR="004058F4" w:rsidRPr="00275FC7">
        <w:t>with the Disabled Students Allowance in the United Kingdom which provides up to</w:t>
      </w:r>
      <w:r w:rsidRPr="00275FC7">
        <w:t xml:space="preserve"> $45,000 (</w:t>
      </w:r>
      <w:r w:rsidR="004058F4" w:rsidRPr="00275FC7">
        <w:t>£25,000</w:t>
      </w:r>
      <w:r w:rsidRPr="00275FC7">
        <w:t>)</w:t>
      </w:r>
      <w:r w:rsidR="004058F4" w:rsidRPr="00275FC7">
        <w:t xml:space="preserve"> a year per student</w:t>
      </w:r>
      <w:r w:rsidR="006F4C64" w:rsidRPr="00275FC7">
        <w:t>.</w:t>
      </w:r>
      <w:r w:rsidRPr="00275FC7">
        <w:t xml:space="preserve"> </w:t>
      </w:r>
    </w:p>
    <w:p w14:paraId="42E614C6" w14:textId="1919C2B9" w:rsidR="00C968C0" w:rsidRPr="00275FC7" w:rsidRDefault="00C968C0" w:rsidP="007A4C3D">
      <w:pPr>
        <w:pStyle w:val="dotpoint"/>
      </w:pPr>
      <w:r w:rsidRPr="00275FC7">
        <w:t>This funding per student has more than halved in real terms since 2008 – down from $265 per student.</w:t>
      </w:r>
    </w:p>
    <w:p w14:paraId="0C4FEC88" w14:textId="5FA29AA9" w:rsidR="001F6BBF" w:rsidRPr="00275FC7" w:rsidRDefault="001F6BBF" w:rsidP="007A4C3D">
      <w:pPr>
        <w:pStyle w:val="dotpoint"/>
      </w:pPr>
      <w:r w:rsidRPr="00275FC7">
        <w:t xml:space="preserve">We do not know the actual real cost Universities in Australia spend on students with disability overall, as this is not measured or quantified nationally beyond the small subsidy amount from the Disability Support Program. </w:t>
      </w:r>
    </w:p>
    <w:p w14:paraId="5057FBBF" w14:textId="53B5654F" w:rsidR="000F1095" w:rsidRPr="00275FC7" w:rsidRDefault="00B1088D" w:rsidP="007A4C3D">
      <w:pPr>
        <w:pStyle w:val="dotpoint"/>
      </w:pPr>
      <w:r w:rsidRPr="00275FC7">
        <w:t>While there is a</w:t>
      </w:r>
      <w:r w:rsidR="000F1095" w:rsidRPr="00275FC7">
        <w:t xml:space="preserve">n employer incentive program for </w:t>
      </w:r>
      <w:r w:rsidRPr="00275FC7">
        <w:t xml:space="preserve">businesses </w:t>
      </w:r>
      <w:r w:rsidR="000F1095" w:rsidRPr="00275FC7">
        <w:t>engaging people with disability in apprenticeships or traineeships</w:t>
      </w:r>
      <w:r w:rsidR="009F1D8B" w:rsidRPr="00275FC7">
        <w:t xml:space="preserve"> (</w:t>
      </w:r>
      <w:r w:rsidR="002E00BB" w:rsidRPr="00275FC7">
        <w:t>Disabled Australian Apprentice Wage Support)</w:t>
      </w:r>
      <w:r w:rsidRPr="00275FC7">
        <w:t>,</w:t>
      </w:r>
      <w:r w:rsidR="00F27AF2" w:rsidRPr="00275FC7">
        <w:t xml:space="preserve"> only 3% of trainees or apprentices </w:t>
      </w:r>
      <w:r w:rsidR="00934B5F" w:rsidRPr="00275FC7">
        <w:t>shared information about having</w:t>
      </w:r>
      <w:r w:rsidR="00476FAA" w:rsidRPr="00275FC7">
        <w:t xml:space="preserve"> </w:t>
      </w:r>
      <w:r w:rsidR="00F27AF2" w:rsidRPr="00275FC7">
        <w:t xml:space="preserve">a disability, suggesting that this pathway is particularly difficult to access for students with </w:t>
      </w:r>
      <w:r w:rsidR="00934B5F" w:rsidRPr="00275FC7">
        <w:t>disability (</w:t>
      </w:r>
      <w:r w:rsidR="00D3141F" w:rsidRPr="00275FC7">
        <w:t>NCVER 2021)</w:t>
      </w:r>
      <w:r w:rsidR="00E67C38" w:rsidRPr="00275FC7">
        <w:t>.</w:t>
      </w:r>
    </w:p>
    <w:p w14:paraId="162A6015" w14:textId="04E80AFF" w:rsidR="00E86626" w:rsidRPr="00275FC7" w:rsidRDefault="00E86626" w:rsidP="007A4C3D">
      <w:pPr>
        <w:pStyle w:val="dotpoint"/>
      </w:pPr>
      <w:r w:rsidRPr="00275FC7">
        <w:lastRenderedPageBreak/>
        <w:t>There is no equivalent systematic funding program from State and Territory Governments for reasonable adjustments in vocational education and training</w:t>
      </w:r>
      <w:r w:rsidR="00CF2D73" w:rsidRPr="00275FC7">
        <w:t xml:space="preserve"> unless the tertiary qualification is a traineeship or apprenticeship</w:t>
      </w:r>
      <w:r w:rsidR="006F4C64" w:rsidRPr="00275FC7">
        <w:t>.</w:t>
      </w:r>
    </w:p>
    <w:p w14:paraId="67074CD3" w14:textId="0A21EDAB" w:rsidR="004058F4" w:rsidRPr="00275FC7" w:rsidRDefault="00EE2ADD" w:rsidP="007469E4">
      <w:pPr>
        <w:pStyle w:val="dotpoint"/>
        <w:spacing w:after="120"/>
      </w:pPr>
      <w:r w:rsidRPr="00275FC7">
        <w:t>T</w:t>
      </w:r>
      <w:r w:rsidR="00B76C7C" w:rsidRPr="00275FC7">
        <w:t xml:space="preserve">here is no </w:t>
      </w:r>
      <w:r w:rsidR="000F1095" w:rsidRPr="00275FC7">
        <w:t xml:space="preserve">publicly available </w:t>
      </w:r>
      <w:r w:rsidR="00B76C7C" w:rsidRPr="00275FC7">
        <w:t>data on reasonable adjustments made by providers, the location where this occurs, the cost</w:t>
      </w:r>
      <w:r w:rsidR="00FA7D76" w:rsidRPr="00275FC7">
        <w:t>,</w:t>
      </w:r>
      <w:r w:rsidR="00B76C7C" w:rsidRPr="00275FC7">
        <w:t xml:space="preserve"> nor </w:t>
      </w:r>
      <w:r w:rsidR="00AB5251" w:rsidRPr="00275FC7">
        <w:t xml:space="preserve">the </w:t>
      </w:r>
      <w:r w:rsidR="00B76C7C" w:rsidRPr="00275FC7">
        <w:t>outcome</w:t>
      </w:r>
      <w:r w:rsidR="002C51DB" w:rsidRPr="00275FC7">
        <w:t xml:space="preserve"> achieved</w:t>
      </w:r>
      <w:r w:rsidR="0031250E" w:rsidRPr="00275FC7">
        <w:t xml:space="preserve"> - including whether the adjustments were applied in ways that influenced the future inclusiveness of the course or program</w:t>
      </w:r>
      <w:r w:rsidR="00B76C7C" w:rsidRPr="00275FC7">
        <w:t xml:space="preserve">. </w:t>
      </w:r>
    </w:p>
    <w:p w14:paraId="378C2F2C" w14:textId="4D21C9A7" w:rsidR="00B211E6" w:rsidRPr="00275FC7" w:rsidRDefault="00B76C7C" w:rsidP="007469E4">
      <w:pPr>
        <w:pStyle w:val="paratext"/>
        <w:spacing w:before="360"/>
      </w:pPr>
      <w:r w:rsidRPr="00275FC7">
        <w:t>In short – we don’t know how well the system is working</w:t>
      </w:r>
      <w:r w:rsidR="00AB5251" w:rsidRPr="00275FC7">
        <w:t>, but anecdotal evidence suggests it can be challenging for students to know and pursue their rights</w:t>
      </w:r>
      <w:r w:rsidR="00EB3610" w:rsidRPr="00275FC7">
        <w:t xml:space="preserve">. In addition, </w:t>
      </w:r>
      <w:r w:rsidR="00160720" w:rsidRPr="00275FC7">
        <w:t xml:space="preserve">public funding </w:t>
      </w:r>
      <w:r w:rsidR="00831365" w:rsidRPr="00275FC7">
        <w:t xml:space="preserve">support </w:t>
      </w:r>
      <w:r w:rsidR="00160720" w:rsidRPr="00275FC7">
        <w:t>for reasonable</w:t>
      </w:r>
      <w:r w:rsidR="00831365" w:rsidRPr="00275FC7">
        <w:t xml:space="preserve"> adjustments is well below funding </w:t>
      </w:r>
      <w:r w:rsidR="00160720" w:rsidRPr="00275FC7">
        <w:t>for</w:t>
      </w:r>
      <w:r w:rsidR="00831365" w:rsidRPr="00275FC7">
        <w:t xml:space="preserve"> Australian schools or higher education </w:t>
      </w:r>
      <w:r w:rsidR="00160720" w:rsidRPr="00275FC7">
        <w:t xml:space="preserve">students </w:t>
      </w:r>
      <w:r w:rsidR="00831365" w:rsidRPr="00275FC7">
        <w:t>in the United Kingdom</w:t>
      </w:r>
      <w:r w:rsidR="00934B5F" w:rsidRPr="00275FC7">
        <w:t xml:space="preserve">. </w:t>
      </w:r>
    </w:p>
    <w:p w14:paraId="54A10133" w14:textId="63792761" w:rsidR="00BF6D11" w:rsidRPr="00275FC7" w:rsidRDefault="00BF6D11" w:rsidP="00BF6D11">
      <w:pPr>
        <w:pStyle w:val="paratext"/>
      </w:pPr>
      <w:r w:rsidRPr="00275FC7">
        <w:t>Additionally, students cannot always access the supports they need. While supports are available, the system assumes that students know what supports and reasonable adjustments they can ask for and can access them. Yet people with lived experience</w:t>
      </w:r>
      <w:r w:rsidR="008E19EE">
        <w:t xml:space="preserve"> of disability</w:t>
      </w:r>
      <w:r w:rsidRPr="00275FC7">
        <w:t xml:space="preserve"> have reflected that they don’t necessarily know what supports are available nor what they can ask for. </w:t>
      </w:r>
    </w:p>
    <w:p w14:paraId="3FB7E63B" w14:textId="77777777" w:rsidR="00BF6D11" w:rsidRPr="00275FC7" w:rsidRDefault="00BF6D11" w:rsidP="00BF6D11">
      <w:pPr>
        <w:pStyle w:val="paratext"/>
      </w:pPr>
      <w:r w:rsidRPr="00275FC7">
        <w:t xml:space="preserve">Where school students may have parents and teachers advocating and assisting them to access supports, this can be more challenging in the transition to tertiary education and associated need for more independence and self-advocacy. Compounding this challenge is a lack of nationally consistent funding or programs for directly supporting transitions from school to tertiary education, as compared with programs that do exist to support transitions to employment. </w:t>
      </w:r>
    </w:p>
    <w:p w14:paraId="0D084412" w14:textId="71C6EFFC" w:rsidR="00BF6D11" w:rsidRPr="00275FC7" w:rsidRDefault="00BF6D11" w:rsidP="00BF6D11">
      <w:pPr>
        <w:pStyle w:val="paratext"/>
      </w:pPr>
      <w:r w:rsidRPr="00275FC7">
        <w:t xml:space="preserve">Furthermore, disabilities aren’t all visible, meaning that students may struggle to even be recognised as having a disability. As an example, one in four (23%) have a mental </w:t>
      </w:r>
      <w:r w:rsidR="00143951">
        <w:t xml:space="preserve">health </w:t>
      </w:r>
      <w:r w:rsidRPr="00275FC7">
        <w:t>or behavioral condition as their primary disability</w:t>
      </w:r>
      <w:sdt>
        <w:sdtPr>
          <w:id w:val="-1477599111"/>
          <w:citation/>
        </w:sdtPr>
        <w:sdtEndPr/>
        <w:sdtContent>
          <w:r w:rsidRPr="00275FC7">
            <w:fldChar w:fldCharType="begin"/>
          </w:r>
          <w:r w:rsidRPr="00275FC7">
            <w:rPr>
              <w:lang w:val="en-US"/>
            </w:rPr>
            <w:instrText xml:space="preserve"> CITATION Aus201 \l 1033 </w:instrText>
          </w:r>
          <w:r w:rsidRPr="00275FC7">
            <w:fldChar w:fldCharType="separate"/>
          </w:r>
          <w:r w:rsidRPr="00275FC7">
            <w:rPr>
              <w:noProof/>
              <w:lang w:val="en-US"/>
            </w:rPr>
            <w:t xml:space="preserve"> (Australian Institute of Health and Welfare, 2020)</w:t>
          </w:r>
          <w:r w:rsidRPr="00275FC7">
            <w:fldChar w:fldCharType="end"/>
          </w:r>
        </w:sdtContent>
      </w:sdt>
      <w:r w:rsidRPr="00275FC7">
        <w:t>.</w:t>
      </w:r>
    </w:p>
    <w:p w14:paraId="3E146BEB" w14:textId="77777777" w:rsidR="007469E4" w:rsidRPr="00275FC7" w:rsidRDefault="007469E4" w:rsidP="007469E4"/>
    <w:p w14:paraId="42FEF46A" w14:textId="5CC2F3EB" w:rsidR="00B211E6" w:rsidRPr="00275FC7" w:rsidRDefault="002A2666" w:rsidP="007469E4">
      <w:pPr>
        <w:pStyle w:val="Heading1"/>
        <w:rPr>
          <w:sz w:val="40"/>
          <w:szCs w:val="40"/>
        </w:rPr>
      </w:pPr>
      <w:bookmarkStart w:id="7" w:name="_Toc131672435"/>
      <w:r w:rsidRPr="00275FC7">
        <w:t>Issue</w:t>
      </w:r>
      <w:r w:rsidR="006D5AEC" w:rsidRPr="00275FC7">
        <w:t xml:space="preserve"> </w:t>
      </w:r>
      <w:r w:rsidR="00B211E6" w:rsidRPr="00275FC7">
        <w:t xml:space="preserve">3: </w:t>
      </w:r>
      <w:r w:rsidRPr="00275FC7">
        <w:t>T</w:t>
      </w:r>
      <w:r w:rsidR="006D5AEC" w:rsidRPr="00275FC7">
        <w:t xml:space="preserve">he </w:t>
      </w:r>
      <w:r w:rsidR="00B211E6" w:rsidRPr="00275FC7">
        <w:t xml:space="preserve">National Disability Insurance Scheme (NDIS) </w:t>
      </w:r>
      <w:r w:rsidRPr="00275FC7">
        <w:t xml:space="preserve">alone cannot </w:t>
      </w:r>
      <w:r w:rsidR="00B211E6" w:rsidRPr="00275FC7">
        <w:t>fix it</w:t>
      </w:r>
      <w:bookmarkEnd w:id="7"/>
    </w:p>
    <w:p w14:paraId="49F35C86" w14:textId="07D4DBBE" w:rsidR="00B211E6" w:rsidRPr="00275FC7" w:rsidRDefault="00037F7F" w:rsidP="00B211E6">
      <w:pPr>
        <w:pStyle w:val="numberedpara"/>
        <w:numPr>
          <w:ilvl w:val="0"/>
          <w:numId w:val="0"/>
        </w:numPr>
        <w:rPr>
          <w:b w:val="0"/>
          <w:bCs/>
        </w:rPr>
      </w:pPr>
      <w:r w:rsidRPr="00275FC7">
        <w:rPr>
          <w:b w:val="0"/>
          <w:bCs/>
        </w:rPr>
        <w:t>T</w:t>
      </w:r>
      <w:r w:rsidR="00B211E6" w:rsidRPr="00275FC7">
        <w:rPr>
          <w:b w:val="0"/>
          <w:bCs/>
        </w:rPr>
        <w:t xml:space="preserve">he NDIS is a once in a generation human service reform, </w:t>
      </w:r>
      <w:r w:rsidRPr="00275FC7">
        <w:rPr>
          <w:b w:val="0"/>
          <w:bCs/>
        </w:rPr>
        <w:t xml:space="preserve">which has proven to be </w:t>
      </w:r>
      <w:r w:rsidR="00B211E6" w:rsidRPr="00275FC7">
        <w:rPr>
          <w:b w:val="0"/>
          <w:bCs/>
        </w:rPr>
        <w:t xml:space="preserve">life changing for </w:t>
      </w:r>
      <w:r w:rsidRPr="00275FC7">
        <w:rPr>
          <w:b w:val="0"/>
          <w:bCs/>
        </w:rPr>
        <w:t xml:space="preserve">some </w:t>
      </w:r>
      <w:r w:rsidR="00B211E6" w:rsidRPr="00275FC7">
        <w:rPr>
          <w:b w:val="0"/>
          <w:bCs/>
        </w:rPr>
        <w:t xml:space="preserve">who access it, </w:t>
      </w:r>
      <w:r w:rsidR="00B211E6" w:rsidRPr="00275FC7">
        <w:rPr>
          <w:b w:val="0"/>
          <w:bCs/>
          <w:u w:val="single"/>
        </w:rPr>
        <w:t>but</w:t>
      </w:r>
      <w:r w:rsidR="00B211E6" w:rsidRPr="00275FC7">
        <w:rPr>
          <w:b w:val="0"/>
          <w:bCs/>
        </w:rPr>
        <w:t>:</w:t>
      </w:r>
    </w:p>
    <w:p w14:paraId="18316E9A" w14:textId="22B25535" w:rsidR="00B211E6" w:rsidRPr="00275FC7" w:rsidRDefault="00B211E6" w:rsidP="007A4C3D">
      <w:pPr>
        <w:pStyle w:val="dotpoint"/>
      </w:pPr>
      <w:r w:rsidRPr="00275FC7">
        <w:t xml:space="preserve">only </w:t>
      </w:r>
      <w:r w:rsidR="00D6694F" w:rsidRPr="00275FC7">
        <w:t xml:space="preserve">about </w:t>
      </w:r>
      <w:r w:rsidRPr="00275FC7">
        <w:t xml:space="preserve">10% of people with </w:t>
      </w:r>
      <w:r w:rsidR="00581AD7" w:rsidRPr="00275FC7">
        <w:t xml:space="preserve">disability will be eligible to access individual funding through </w:t>
      </w:r>
      <w:r w:rsidR="002A2666" w:rsidRPr="00275FC7">
        <w:t>the NDIS</w:t>
      </w:r>
      <w:r w:rsidR="00581AD7" w:rsidRPr="00275FC7">
        <w:t xml:space="preserve"> </w:t>
      </w:r>
    </w:p>
    <w:p w14:paraId="3B6CCF54" w14:textId="543650BB" w:rsidR="00B211E6" w:rsidRPr="00275FC7" w:rsidRDefault="002A2666" w:rsidP="007A4C3D">
      <w:pPr>
        <w:pStyle w:val="dotpoint"/>
      </w:pPr>
      <w:r w:rsidRPr="00275FC7">
        <w:t xml:space="preserve">there is a lack of publicly available data to determine whether the NDIS is </w:t>
      </w:r>
      <w:r w:rsidR="00B211E6" w:rsidRPr="00275FC7">
        <w:t>improving access to tertiary education</w:t>
      </w:r>
      <w:r w:rsidR="006F4C64" w:rsidRPr="00275FC7">
        <w:t>,</w:t>
      </w:r>
      <w:r w:rsidR="00B211E6" w:rsidRPr="00275FC7">
        <w:t xml:space="preserve"> and </w:t>
      </w:r>
    </w:p>
    <w:p w14:paraId="18187BE5" w14:textId="4C8911B0" w:rsidR="00986C8D" w:rsidRPr="00275FC7" w:rsidRDefault="00B211E6" w:rsidP="007A4C3D">
      <w:pPr>
        <w:pStyle w:val="dotpoint"/>
      </w:pPr>
      <w:r w:rsidRPr="00275FC7">
        <w:t xml:space="preserve">in any case, </w:t>
      </w:r>
      <w:r w:rsidR="00ED165A" w:rsidRPr="00275FC7">
        <w:t xml:space="preserve">the NDIS </w:t>
      </w:r>
      <w:r w:rsidRPr="00275FC7">
        <w:t>won’t fund educational supports</w:t>
      </w:r>
      <w:r w:rsidR="00ED165A" w:rsidRPr="00275FC7">
        <w:t>,</w:t>
      </w:r>
      <w:r w:rsidR="00DE5204" w:rsidRPr="00275FC7">
        <w:t xml:space="preserve"> </w:t>
      </w:r>
      <w:r w:rsidR="00ED165A" w:rsidRPr="00275FC7">
        <w:t xml:space="preserve">which </w:t>
      </w:r>
      <w:r w:rsidR="006D5AEC" w:rsidRPr="00275FC7">
        <w:t xml:space="preserve">may </w:t>
      </w:r>
      <w:r w:rsidR="00ED165A" w:rsidRPr="00275FC7">
        <w:t>discourage collaborative planning between the NDIS and education services</w:t>
      </w:r>
      <w:r w:rsidR="00D6694F" w:rsidRPr="00275FC7">
        <w:t xml:space="preserve"> to deliver coordinated supports for people with disability</w:t>
      </w:r>
      <w:r w:rsidR="00ED165A" w:rsidRPr="00275FC7">
        <w:t xml:space="preserve"> (Whitburn et. al. 2017)</w:t>
      </w:r>
      <w:r w:rsidRPr="00275FC7">
        <w:t>.</w:t>
      </w:r>
    </w:p>
    <w:p w14:paraId="50462F42" w14:textId="77777777" w:rsidR="00BE229C" w:rsidRPr="00275FC7" w:rsidRDefault="00BE229C">
      <w:pPr>
        <w:rPr>
          <w:sz w:val="40"/>
          <w:szCs w:val="40"/>
        </w:rPr>
      </w:pPr>
      <w:r w:rsidRPr="00275FC7">
        <w:br w:type="page"/>
      </w:r>
    </w:p>
    <w:p w14:paraId="5471CB13" w14:textId="74BB4B57" w:rsidR="00085064" w:rsidRPr="00275FC7" w:rsidRDefault="00085064" w:rsidP="00925F9F">
      <w:pPr>
        <w:pStyle w:val="Heading1"/>
      </w:pPr>
      <w:bookmarkStart w:id="8" w:name="_Toc131672436"/>
      <w:r w:rsidRPr="00275FC7">
        <w:lastRenderedPageBreak/>
        <w:t>Discussion</w:t>
      </w:r>
      <w:bookmarkEnd w:id="8"/>
    </w:p>
    <w:p w14:paraId="00000025" w14:textId="048A9B3B" w:rsidR="008D3456" w:rsidRPr="00275FC7" w:rsidRDefault="00D137DA" w:rsidP="00925F9F">
      <w:pPr>
        <w:pStyle w:val="Heading2"/>
      </w:pPr>
      <w:bookmarkStart w:id="9" w:name="_Toc131672437"/>
      <w:r w:rsidRPr="00275FC7">
        <w:t>How might we</w:t>
      </w:r>
      <w:r w:rsidR="00524E51" w:rsidRPr="00275FC7">
        <w:t xml:space="preserve"> achieve parity</w:t>
      </w:r>
      <w:r w:rsidRPr="00275FC7">
        <w:t>?</w:t>
      </w:r>
      <w:bookmarkEnd w:id="9"/>
    </w:p>
    <w:p w14:paraId="37F7BF99" w14:textId="2C1BA514" w:rsidR="002C7C74" w:rsidRPr="00275FC7" w:rsidRDefault="005175BD" w:rsidP="00D137DA">
      <w:pPr>
        <w:spacing w:before="240" w:after="240"/>
        <w:ind w:left="6"/>
        <w:rPr>
          <w:iCs/>
        </w:rPr>
      </w:pPr>
      <w:r w:rsidRPr="00275FC7">
        <w:rPr>
          <w:iCs/>
        </w:rPr>
        <w:t xml:space="preserve">Many stakeholders have </w:t>
      </w:r>
      <w:r w:rsidR="002C7C74" w:rsidRPr="00275FC7">
        <w:rPr>
          <w:iCs/>
        </w:rPr>
        <w:t xml:space="preserve">a role to play </w:t>
      </w:r>
      <w:r w:rsidRPr="00275FC7">
        <w:rPr>
          <w:iCs/>
        </w:rPr>
        <w:t xml:space="preserve">in </w:t>
      </w:r>
      <w:r w:rsidR="00524E51" w:rsidRPr="00275FC7">
        <w:rPr>
          <w:iCs/>
        </w:rPr>
        <w:t xml:space="preserve">achieving parity for people with disability </w:t>
      </w:r>
      <w:r w:rsidRPr="00275FC7">
        <w:rPr>
          <w:iCs/>
        </w:rPr>
        <w:t xml:space="preserve">in tertiary </w:t>
      </w:r>
      <w:r w:rsidR="00143951">
        <w:rPr>
          <w:iCs/>
        </w:rPr>
        <w:t xml:space="preserve">education </w:t>
      </w:r>
      <w:r w:rsidRPr="00275FC7">
        <w:rPr>
          <w:iCs/>
        </w:rPr>
        <w:t xml:space="preserve">participation, </w:t>
      </w:r>
      <w:r w:rsidR="005334F1" w:rsidRPr="00275FC7">
        <w:rPr>
          <w:iCs/>
        </w:rPr>
        <w:t>completions,</w:t>
      </w:r>
      <w:r w:rsidRPr="00275FC7">
        <w:rPr>
          <w:iCs/>
        </w:rPr>
        <w:t xml:space="preserve"> and employment outcomes</w:t>
      </w:r>
      <w:r w:rsidR="00524E51" w:rsidRPr="00275FC7">
        <w:rPr>
          <w:iCs/>
        </w:rPr>
        <w:t xml:space="preserve"> </w:t>
      </w:r>
      <w:r w:rsidR="00CC03AE" w:rsidRPr="00275FC7">
        <w:rPr>
          <w:iCs/>
        </w:rPr>
        <w:t xml:space="preserve">(including self-employment and business start-ups). Potential stakeholders include </w:t>
      </w:r>
      <w:r w:rsidRPr="00275FC7">
        <w:rPr>
          <w:iCs/>
        </w:rPr>
        <w:t xml:space="preserve">higher education and VET providers, teaching professionals, </w:t>
      </w:r>
      <w:r w:rsidR="002C51DB" w:rsidRPr="00275FC7">
        <w:rPr>
          <w:iCs/>
        </w:rPr>
        <w:t>the Australian, State and Territory governments, students, the NDIA, employers</w:t>
      </w:r>
      <w:r w:rsidR="00D6694F" w:rsidRPr="00275FC7">
        <w:rPr>
          <w:iCs/>
        </w:rPr>
        <w:t>,</w:t>
      </w:r>
      <w:r w:rsidR="002C51DB" w:rsidRPr="00275FC7">
        <w:rPr>
          <w:iCs/>
        </w:rPr>
        <w:t xml:space="preserve"> </w:t>
      </w:r>
      <w:r w:rsidR="00476FAA" w:rsidRPr="00275FC7">
        <w:rPr>
          <w:iCs/>
        </w:rPr>
        <w:t xml:space="preserve">Group Training Organisations, Australian Apprenticeship Support Network </w:t>
      </w:r>
      <w:r w:rsidR="006D5AEC" w:rsidRPr="00275FC7">
        <w:rPr>
          <w:iCs/>
        </w:rPr>
        <w:t>providers</w:t>
      </w:r>
      <w:r w:rsidR="00476FAA" w:rsidRPr="00275FC7">
        <w:rPr>
          <w:iCs/>
        </w:rPr>
        <w:t xml:space="preserve">, </w:t>
      </w:r>
      <w:r w:rsidRPr="00275FC7">
        <w:rPr>
          <w:iCs/>
        </w:rPr>
        <w:t>advocacy groups</w:t>
      </w:r>
      <w:r w:rsidR="00CC03AE" w:rsidRPr="00275FC7">
        <w:rPr>
          <w:iCs/>
        </w:rPr>
        <w:t xml:space="preserve">, small business </w:t>
      </w:r>
      <w:r w:rsidR="00812D4C" w:rsidRPr="00275FC7">
        <w:rPr>
          <w:iCs/>
        </w:rPr>
        <w:t xml:space="preserve">groups </w:t>
      </w:r>
      <w:r w:rsidR="00CC03AE" w:rsidRPr="00275FC7">
        <w:rPr>
          <w:iCs/>
        </w:rPr>
        <w:t xml:space="preserve">and start-up incubators, </w:t>
      </w:r>
      <w:r w:rsidR="002C51DB" w:rsidRPr="00275FC7">
        <w:rPr>
          <w:iCs/>
        </w:rPr>
        <w:t>and</w:t>
      </w:r>
      <w:r w:rsidRPr="00275FC7">
        <w:rPr>
          <w:iCs/>
        </w:rPr>
        <w:t xml:space="preserve"> the publishing industry.</w:t>
      </w:r>
      <w:r w:rsidR="002C7C74" w:rsidRPr="00275FC7">
        <w:rPr>
          <w:iCs/>
        </w:rPr>
        <w:t xml:space="preserve"> </w:t>
      </w:r>
    </w:p>
    <w:p w14:paraId="41F4529F" w14:textId="5DA69B7A" w:rsidR="00DE22E6" w:rsidRPr="00275FC7" w:rsidRDefault="002954C5" w:rsidP="3D2AE5C1">
      <w:r w:rsidRPr="00275FC7">
        <w:t>While the previous Government has made some attempts at a renewed focus on improving learning experiences for domestic students (Tudge 2021a) and for Australia to be among the world’s top group of education nations (Tudge 2021b)</w:t>
      </w:r>
      <w:r w:rsidR="004F7FA0" w:rsidRPr="00275FC7">
        <w:t xml:space="preserve"> </w:t>
      </w:r>
      <w:r w:rsidR="00910946" w:rsidRPr="00275FC7">
        <w:t>t</w:t>
      </w:r>
      <w:r w:rsidR="004F7FA0" w:rsidRPr="00275FC7">
        <w:t>hese have been piecemeal</w:t>
      </w:r>
      <w:r w:rsidR="00A962ED" w:rsidRPr="00275FC7">
        <w:t xml:space="preserve">. While rightly </w:t>
      </w:r>
      <w:r w:rsidR="008963C7" w:rsidRPr="00275FC7">
        <w:t>focusing</w:t>
      </w:r>
      <w:r w:rsidR="00A962ED" w:rsidRPr="00275FC7">
        <w:t xml:space="preserve"> on closing the gap</w:t>
      </w:r>
      <w:r w:rsidR="00910946" w:rsidRPr="00275FC7">
        <w:t>,</w:t>
      </w:r>
      <w:r w:rsidR="00A962ED" w:rsidRPr="00275FC7">
        <w:t xml:space="preserve"> </w:t>
      </w:r>
      <w:r w:rsidR="005C63B5" w:rsidRPr="00275FC7">
        <w:t>the resourcing</w:t>
      </w:r>
      <w:r w:rsidR="00A962ED" w:rsidRPr="00275FC7">
        <w:t xml:space="preserve"> </w:t>
      </w:r>
      <w:r w:rsidR="004721CA" w:rsidRPr="00275FC7">
        <w:t xml:space="preserve">for students </w:t>
      </w:r>
      <w:r w:rsidR="00930B1E" w:rsidRPr="00275FC7">
        <w:t xml:space="preserve">from </w:t>
      </w:r>
      <w:r w:rsidR="00927552" w:rsidRPr="00275FC7">
        <w:t>disadvantaged</w:t>
      </w:r>
      <w:r w:rsidR="00930B1E" w:rsidRPr="00275FC7">
        <w:t xml:space="preserve"> backgrounds </w:t>
      </w:r>
      <w:r w:rsidR="00F603D8" w:rsidRPr="00275FC7">
        <w:t>ha</w:t>
      </w:r>
      <w:r w:rsidR="005C63B5" w:rsidRPr="00275FC7">
        <w:t>s</w:t>
      </w:r>
      <w:r w:rsidR="00F603D8" w:rsidRPr="00275FC7">
        <w:t xml:space="preserve"> been </w:t>
      </w:r>
      <w:r w:rsidR="00143951">
        <w:t>fragmented,</w:t>
      </w:r>
      <w:r w:rsidR="00143951" w:rsidRPr="00275FC7">
        <w:t xml:space="preserve"> </w:t>
      </w:r>
      <w:r w:rsidR="00930B1E" w:rsidRPr="00275FC7">
        <w:t xml:space="preserve">with </w:t>
      </w:r>
      <w:r w:rsidR="00927552" w:rsidRPr="00275FC7">
        <w:t xml:space="preserve">support for Indigenous, LSES and regional and remote students </w:t>
      </w:r>
      <w:r w:rsidR="005C63B5" w:rsidRPr="00275FC7">
        <w:t xml:space="preserve">but </w:t>
      </w:r>
      <w:r w:rsidR="00A962ED" w:rsidRPr="00275FC7">
        <w:t xml:space="preserve">limited consideration of </w:t>
      </w:r>
      <w:r w:rsidR="00927552" w:rsidRPr="00275FC7">
        <w:t xml:space="preserve">students with disability. </w:t>
      </w:r>
    </w:p>
    <w:p w14:paraId="46D31DDB" w14:textId="77777777" w:rsidR="00DE22E6" w:rsidRPr="00275FC7" w:rsidRDefault="00DE22E6" w:rsidP="007A4C3D"/>
    <w:p w14:paraId="3BF736C8" w14:textId="125D23D8" w:rsidR="00DF6956" w:rsidRPr="00275FC7" w:rsidRDefault="002A7F5A" w:rsidP="007A4C3D">
      <w:r w:rsidRPr="00275FC7">
        <w:t>Research shows</w:t>
      </w:r>
      <w:r w:rsidR="004738C1" w:rsidRPr="00275FC7">
        <w:t xml:space="preserve"> that many domestic undergraduate</w:t>
      </w:r>
      <w:r w:rsidR="00317C8B" w:rsidRPr="00275FC7">
        <w:t xml:space="preserve"> </w:t>
      </w:r>
      <w:r w:rsidR="008F6CA7" w:rsidRPr="00275FC7">
        <w:t>students</w:t>
      </w:r>
      <w:r w:rsidR="00317C8B" w:rsidRPr="00275FC7">
        <w:t xml:space="preserve"> are classified across </w:t>
      </w:r>
      <w:r w:rsidRPr="00275FC7">
        <w:t>multiple</w:t>
      </w:r>
      <w:r w:rsidR="00317C8B" w:rsidRPr="00275FC7">
        <w:t xml:space="preserve"> equity groups and are therefore impacted by the effects of compounding disadvantage (</w:t>
      </w:r>
      <w:r w:rsidR="002663B3" w:rsidRPr="00275FC7">
        <w:t>Consi</w:t>
      </w:r>
      <w:r w:rsidRPr="00275FC7">
        <w:t xml:space="preserve">dine, Watson &amp; Hall, 2005; </w:t>
      </w:r>
      <w:r w:rsidR="00317C8B" w:rsidRPr="00275FC7">
        <w:t xml:space="preserve">Pitman, </w:t>
      </w:r>
      <w:r w:rsidR="002F4A4E" w:rsidRPr="00275FC7">
        <w:t xml:space="preserve">2022). </w:t>
      </w:r>
    </w:p>
    <w:p w14:paraId="723C9807" w14:textId="77777777" w:rsidR="00413A39" w:rsidRPr="00275FC7" w:rsidRDefault="000E001E" w:rsidP="3D2AE5C1">
      <w:pPr>
        <w:spacing w:before="240" w:after="240"/>
        <w:ind w:left="6"/>
      </w:pPr>
      <w:r w:rsidRPr="00275FC7">
        <w:t>Labor Governments have consistently undertake</w:t>
      </w:r>
      <w:r w:rsidR="00122D8F" w:rsidRPr="00275FC7">
        <w:t>n</w:t>
      </w:r>
      <w:r w:rsidRPr="00275FC7">
        <w:t xml:space="preserve"> whole-of-sector reform (</w:t>
      </w:r>
      <w:r w:rsidR="0023584A" w:rsidRPr="00275FC7">
        <w:t xml:space="preserve">Dawkins, 1990; </w:t>
      </w:r>
      <w:r w:rsidR="00495BE9" w:rsidRPr="00275FC7">
        <w:t>Bradley et al, 2008</w:t>
      </w:r>
      <w:r w:rsidR="001A2BC8" w:rsidRPr="00275FC7">
        <w:t>)</w:t>
      </w:r>
      <w:r w:rsidR="00495BE9" w:rsidRPr="00275FC7">
        <w:t xml:space="preserve"> </w:t>
      </w:r>
      <w:r w:rsidRPr="00275FC7">
        <w:t>which is inclusive of all equity groups and provides the flexibility the sector needs to address intersectionality</w:t>
      </w:r>
      <w:r w:rsidR="00413A39" w:rsidRPr="00275FC7">
        <w:t xml:space="preserve"> and for them to make choices about what type of post-secondary education best suits them.</w:t>
      </w:r>
    </w:p>
    <w:p w14:paraId="0F6641A9" w14:textId="77777777" w:rsidR="00143951" w:rsidRDefault="003D79E2" w:rsidP="00275FC7">
      <w:pPr>
        <w:spacing w:before="240" w:after="240"/>
        <w:ind w:left="357" w:hanging="357"/>
      </w:pPr>
      <w:r w:rsidRPr="00275FC7">
        <w:t>It’s time again for the sort of educational reform that is more inclusive.</w:t>
      </w:r>
      <w:r w:rsidR="000E001E" w:rsidRPr="00275FC7">
        <w:t xml:space="preserve"> </w:t>
      </w:r>
    </w:p>
    <w:p w14:paraId="01B675C6" w14:textId="77777777" w:rsidR="00855291" w:rsidRDefault="005175BD" w:rsidP="00855291">
      <w:pPr>
        <w:spacing w:line="240" w:lineRule="auto"/>
        <w:ind w:left="357" w:hanging="357"/>
      </w:pPr>
      <w:r w:rsidRPr="00275FC7">
        <w:t xml:space="preserve">A </w:t>
      </w:r>
      <w:r w:rsidR="00592171" w:rsidRPr="00855291">
        <w:rPr>
          <w:b/>
          <w:bCs/>
        </w:rPr>
        <w:t>N</w:t>
      </w:r>
      <w:r w:rsidRPr="00855291">
        <w:rPr>
          <w:b/>
          <w:bCs/>
        </w:rPr>
        <w:t xml:space="preserve">ational </w:t>
      </w:r>
      <w:r w:rsidR="00592171" w:rsidRPr="00855291">
        <w:rPr>
          <w:b/>
          <w:bCs/>
        </w:rPr>
        <w:t>T</w:t>
      </w:r>
      <w:r w:rsidRPr="00855291">
        <w:rPr>
          <w:b/>
          <w:bCs/>
        </w:rPr>
        <w:t>ertiary</w:t>
      </w:r>
      <w:r w:rsidR="00275FC7" w:rsidRPr="00855291">
        <w:rPr>
          <w:b/>
          <w:bCs/>
        </w:rPr>
        <w:t xml:space="preserve"> </w:t>
      </w:r>
      <w:r w:rsidR="00592171" w:rsidRPr="00855291">
        <w:rPr>
          <w:b/>
          <w:bCs/>
        </w:rPr>
        <w:t>E</w:t>
      </w:r>
      <w:r w:rsidRPr="00855291">
        <w:rPr>
          <w:b/>
          <w:bCs/>
        </w:rPr>
        <w:t xml:space="preserve">ducation </w:t>
      </w:r>
      <w:r w:rsidR="00592171" w:rsidRPr="00855291">
        <w:rPr>
          <w:b/>
          <w:bCs/>
        </w:rPr>
        <w:t>S</w:t>
      </w:r>
      <w:r w:rsidRPr="00855291">
        <w:rPr>
          <w:b/>
          <w:bCs/>
        </w:rPr>
        <w:t xml:space="preserve">trategy for </w:t>
      </w:r>
      <w:r w:rsidR="00592171" w:rsidRPr="00855291">
        <w:rPr>
          <w:b/>
          <w:bCs/>
        </w:rPr>
        <w:t>P</w:t>
      </w:r>
      <w:r w:rsidRPr="00855291">
        <w:rPr>
          <w:b/>
          <w:bCs/>
        </w:rPr>
        <w:t>eople with</w:t>
      </w:r>
      <w:r w:rsidRPr="00275FC7">
        <w:t xml:space="preserve"> </w:t>
      </w:r>
      <w:r w:rsidR="00592171">
        <w:t>D</w:t>
      </w:r>
      <w:r w:rsidRPr="00275FC7">
        <w:t>isability would be a</w:t>
      </w:r>
      <w:r w:rsidR="00D03CB5" w:rsidRPr="00275FC7">
        <w:t xml:space="preserve"> reasonable</w:t>
      </w:r>
      <w:r w:rsidR="00855291">
        <w:t xml:space="preserve"> </w:t>
      </w:r>
    </w:p>
    <w:p w14:paraId="49F73AAB" w14:textId="77777777" w:rsidR="00855291" w:rsidRDefault="005175BD" w:rsidP="00855291">
      <w:pPr>
        <w:spacing w:line="240" w:lineRule="auto"/>
        <w:ind w:left="357" w:hanging="357"/>
      </w:pPr>
      <w:r w:rsidRPr="00275FC7">
        <w:t>starting point for driving</w:t>
      </w:r>
      <w:r w:rsidR="00275FC7">
        <w:t xml:space="preserve"> </w:t>
      </w:r>
      <w:r w:rsidRPr="00275FC7">
        <w:t>leadership and coordination</w:t>
      </w:r>
      <w:r w:rsidR="002C51DB" w:rsidRPr="00275FC7">
        <w:t xml:space="preserve"> given the complexity of the </w:t>
      </w:r>
      <w:r w:rsidR="009D5669" w:rsidRPr="00275FC7">
        <w:t xml:space="preserve">barriers </w:t>
      </w:r>
      <w:r w:rsidR="002C51DB" w:rsidRPr="00275FC7">
        <w:t xml:space="preserve">and </w:t>
      </w:r>
    </w:p>
    <w:p w14:paraId="0BD486E9" w14:textId="77777777" w:rsidR="00855291" w:rsidRDefault="002C51DB" w:rsidP="00855291">
      <w:pPr>
        <w:spacing w:line="240" w:lineRule="auto"/>
        <w:ind w:left="357" w:hanging="357"/>
      </w:pPr>
      <w:r w:rsidRPr="00275FC7">
        <w:t>possible solutions</w:t>
      </w:r>
      <w:r w:rsidR="008F6CA7" w:rsidRPr="00275FC7">
        <w:t xml:space="preserve">. </w:t>
      </w:r>
      <w:r w:rsidR="00D6694F" w:rsidRPr="00275FC7">
        <w:t xml:space="preserve">A natural ‘policy home’ for such work </w:t>
      </w:r>
      <w:r w:rsidR="00110E97" w:rsidRPr="00275FC7">
        <w:t>c</w:t>
      </w:r>
      <w:r w:rsidR="00D6694F" w:rsidRPr="00275FC7">
        <w:t xml:space="preserve">ould be </w:t>
      </w:r>
      <w:r w:rsidR="2C2EE6E2" w:rsidRPr="00275FC7">
        <w:t xml:space="preserve">the current </w:t>
      </w:r>
      <w:r w:rsidR="00D6694F" w:rsidRPr="00275FC7">
        <w:t xml:space="preserve">National Disability </w:t>
      </w:r>
    </w:p>
    <w:p w14:paraId="6C48FEA0" w14:textId="77777777" w:rsidR="00855291" w:rsidRDefault="00D6694F" w:rsidP="00855291">
      <w:pPr>
        <w:spacing w:line="240" w:lineRule="auto"/>
        <w:ind w:left="357" w:hanging="357"/>
      </w:pPr>
      <w:r w:rsidRPr="00275FC7">
        <w:t xml:space="preserve">Strategy, which </w:t>
      </w:r>
      <w:r w:rsidR="006D22ED" w:rsidRPr="00275FC7">
        <w:t xml:space="preserve">will </w:t>
      </w:r>
      <w:r w:rsidRPr="00275FC7">
        <w:t xml:space="preserve">drive a coordinated approach across levels of government and portfolios. </w:t>
      </w:r>
    </w:p>
    <w:p w14:paraId="7F307418" w14:textId="475D3FA7" w:rsidR="00EF5DD0" w:rsidRPr="00275FC7" w:rsidRDefault="00D6694F" w:rsidP="00855291">
      <w:pPr>
        <w:spacing w:after="240" w:line="240" w:lineRule="auto"/>
        <w:ind w:left="357" w:hanging="357"/>
      </w:pPr>
      <w:r w:rsidRPr="00275FC7">
        <w:t xml:space="preserve">Further avenues to pursue a coordinated approach might be: </w:t>
      </w:r>
    </w:p>
    <w:p w14:paraId="1953CA2F" w14:textId="6AA49B1A" w:rsidR="00EF5DD0" w:rsidRPr="00275FC7" w:rsidRDefault="00EE2ADD" w:rsidP="00855291">
      <w:pPr>
        <w:pStyle w:val="dotpoint"/>
        <w:spacing w:after="240"/>
      </w:pPr>
      <w:r w:rsidRPr="00275FC7">
        <w:rPr>
          <w:b/>
          <w:bCs/>
        </w:rPr>
        <w:t>For higher education</w:t>
      </w:r>
      <w:r w:rsidRPr="00275FC7">
        <w:t xml:space="preserve">, </w:t>
      </w:r>
      <w:r w:rsidR="00EF5DD0" w:rsidRPr="00275FC7">
        <w:t xml:space="preserve">efforts could </w:t>
      </w:r>
      <w:r w:rsidRPr="00275FC7">
        <w:t xml:space="preserve">be pursued </w:t>
      </w:r>
      <w:r w:rsidR="005E60C4">
        <w:t>through the Australian Universities Accord, and</w:t>
      </w:r>
      <w:r w:rsidR="00EF5DD0" w:rsidRPr="00275FC7">
        <w:t xml:space="preserve"> </w:t>
      </w:r>
      <w:r w:rsidR="009D5669" w:rsidRPr="00275FC7">
        <w:t xml:space="preserve">aligned with recommendation 6 of the </w:t>
      </w:r>
      <w:r w:rsidR="009D5669" w:rsidRPr="00275FC7">
        <w:rPr>
          <w:i/>
        </w:rPr>
        <w:t xml:space="preserve">2020 Review of the </w:t>
      </w:r>
      <w:r w:rsidR="00D03CB5" w:rsidRPr="00275FC7">
        <w:rPr>
          <w:i/>
        </w:rPr>
        <w:t>Disability</w:t>
      </w:r>
      <w:r w:rsidR="009D5669" w:rsidRPr="00275FC7">
        <w:rPr>
          <w:i/>
        </w:rPr>
        <w:t xml:space="preserve"> Standards for Education Final Report</w:t>
      </w:r>
      <w:r w:rsidR="009D5669" w:rsidRPr="00275FC7">
        <w:t xml:space="preserve"> </w:t>
      </w:r>
      <w:r w:rsidR="00387AD5" w:rsidRPr="00275FC7">
        <w:t>and</w:t>
      </w:r>
      <w:r w:rsidR="00D03CB5" w:rsidRPr="00275FC7">
        <w:t xml:space="preserve"> in alignment with </w:t>
      </w:r>
      <w:r w:rsidR="00A55E96" w:rsidRPr="00275FC7">
        <w:t xml:space="preserve">former Education </w:t>
      </w:r>
      <w:r w:rsidR="00D03CB5" w:rsidRPr="00275FC7">
        <w:t>Minister Tudge’s objective of “</w:t>
      </w:r>
      <w:r w:rsidR="00D03CB5" w:rsidRPr="00275FC7">
        <w:rPr>
          <w:i/>
          <w:color w:val="212529"/>
          <w:shd w:val="clear" w:color="auto" w:fill="FFFFFF"/>
        </w:rPr>
        <w:t>ensure</w:t>
      </w:r>
      <w:r w:rsidR="006E49F7" w:rsidRPr="00275FC7">
        <w:rPr>
          <w:color w:val="212529"/>
          <w:shd w:val="clear" w:color="auto" w:fill="FFFFFF"/>
        </w:rPr>
        <w:t>[</w:t>
      </w:r>
      <w:r w:rsidR="00D03CB5" w:rsidRPr="00275FC7">
        <w:rPr>
          <w:color w:val="212529"/>
          <w:shd w:val="clear" w:color="auto" w:fill="FFFFFF"/>
        </w:rPr>
        <w:t>ing</w:t>
      </w:r>
      <w:r w:rsidR="006E49F7" w:rsidRPr="00275FC7">
        <w:rPr>
          <w:color w:val="212529"/>
          <w:shd w:val="clear" w:color="auto" w:fill="FFFFFF"/>
        </w:rPr>
        <w:t>]</w:t>
      </w:r>
      <w:r w:rsidR="00D03CB5" w:rsidRPr="00275FC7">
        <w:rPr>
          <w:color w:val="212529"/>
          <w:shd w:val="clear" w:color="auto" w:fill="FFFFFF"/>
        </w:rPr>
        <w:t xml:space="preserve"> </w:t>
      </w:r>
      <w:r w:rsidR="00D03CB5" w:rsidRPr="00275FC7">
        <w:rPr>
          <w:i/>
          <w:color w:val="212529"/>
          <w:shd w:val="clear" w:color="auto" w:fill="FFFFFF"/>
        </w:rPr>
        <w:t xml:space="preserve">that we have appropriate standards in place to support student mental health and wellbeing and to meet the needs of students with a disability” </w:t>
      </w:r>
      <w:r w:rsidR="00D03CB5" w:rsidRPr="00275FC7">
        <w:rPr>
          <w:color w:val="212529"/>
          <w:shd w:val="clear" w:color="auto" w:fill="FFFFFF"/>
        </w:rPr>
        <w:t>relating to the Higher Education Standards (Threshold Standards) (Tudge 2021c).</w:t>
      </w:r>
    </w:p>
    <w:p w14:paraId="1B54EF6A" w14:textId="0CA1CEEE" w:rsidR="009B6F8A" w:rsidRPr="00275FC7" w:rsidRDefault="00EF5DD0" w:rsidP="006B377F">
      <w:pPr>
        <w:pStyle w:val="dotpoint"/>
      </w:pPr>
      <w:r w:rsidRPr="00275FC7">
        <w:rPr>
          <w:b/>
          <w:bCs/>
        </w:rPr>
        <w:t>For VET</w:t>
      </w:r>
      <w:r w:rsidR="00F27AF2" w:rsidRPr="00275FC7">
        <w:t xml:space="preserve">, </w:t>
      </w:r>
      <w:r w:rsidRPr="00275FC7">
        <w:t>avenue</w:t>
      </w:r>
      <w:r w:rsidR="009B6F8A" w:rsidRPr="00275FC7">
        <w:t>s</w:t>
      </w:r>
      <w:r w:rsidRPr="00275FC7">
        <w:t xml:space="preserve"> to pursue this work could be</w:t>
      </w:r>
      <w:r w:rsidR="00B40DE7" w:rsidRPr="00275FC7">
        <w:t>:</w:t>
      </w:r>
    </w:p>
    <w:p w14:paraId="468C8872" w14:textId="07120806" w:rsidR="009B6F8A" w:rsidRPr="00275FC7" w:rsidRDefault="00EF5DD0" w:rsidP="006B377F">
      <w:pPr>
        <w:pStyle w:val="dotpoint2"/>
      </w:pPr>
      <w:r w:rsidRPr="00275FC7">
        <w:t xml:space="preserve">implementation of Recommendation 8 of the </w:t>
      </w:r>
      <w:r w:rsidR="00316A53" w:rsidRPr="00275FC7">
        <w:rPr>
          <w:i/>
          <w:iCs/>
        </w:rPr>
        <w:t xml:space="preserve">2020 Review of </w:t>
      </w:r>
      <w:r w:rsidRPr="00275FC7">
        <w:rPr>
          <w:i/>
          <w:iCs/>
        </w:rPr>
        <w:t>Disability Standards for Education 2005</w:t>
      </w:r>
      <w:r w:rsidR="0073245D" w:rsidRPr="00275FC7">
        <w:t xml:space="preserve">, which recommended </w:t>
      </w:r>
      <w:r w:rsidRPr="00275FC7">
        <w:t xml:space="preserve">that the Australian Minister for Skills work with </w:t>
      </w:r>
      <w:r w:rsidRPr="00275FC7">
        <w:lastRenderedPageBreak/>
        <w:t>skills ministers ‘to identify opportunities to strengthen the delivery of vocational education and training for students with disability</w:t>
      </w:r>
      <w:r w:rsidR="00387AD5" w:rsidRPr="00275FC7">
        <w:t>.</w:t>
      </w:r>
      <w:r w:rsidRPr="00275FC7">
        <w:t xml:space="preserve">’ </w:t>
      </w:r>
    </w:p>
    <w:p w14:paraId="78820F14" w14:textId="548CC8AC" w:rsidR="00A605A4" w:rsidRPr="00275FC7" w:rsidRDefault="009B6F8A" w:rsidP="001A3332">
      <w:pPr>
        <w:pStyle w:val="dotpoint2"/>
      </w:pPr>
      <w:r w:rsidRPr="00275FC7">
        <w:t xml:space="preserve">the </w:t>
      </w:r>
      <w:r w:rsidR="005E60C4">
        <w:t>N</w:t>
      </w:r>
      <w:r w:rsidRPr="00275FC7">
        <w:t>ational</w:t>
      </w:r>
      <w:r w:rsidR="005E60C4">
        <w:t xml:space="preserve"> Skills</w:t>
      </w:r>
      <w:r w:rsidRPr="00275FC7">
        <w:t xml:space="preserve"> </w:t>
      </w:r>
      <w:r w:rsidR="005E60C4">
        <w:t>F</w:t>
      </w:r>
      <w:r w:rsidRPr="00275FC7">
        <w:t xml:space="preserve">unding agreement for the VET sector, currently under negotiation, </w:t>
      </w:r>
      <w:r w:rsidR="00F27AF2" w:rsidRPr="00275FC7">
        <w:t xml:space="preserve">which </w:t>
      </w:r>
      <w:r w:rsidRPr="00275FC7">
        <w:t xml:space="preserve">will require increasing real investment in VET and strengthening quality standards to ensure ‘all school leavers have access to training’ to take on the </w:t>
      </w:r>
      <w:r w:rsidR="00A605A4" w:rsidRPr="00275FC7">
        <w:t>jobs that emerge through the next decade.</w:t>
      </w:r>
    </w:p>
    <w:p w14:paraId="102AA521" w14:textId="596527B3" w:rsidR="00BB5E30" w:rsidRPr="00275FC7" w:rsidRDefault="00BB5E30" w:rsidP="00925F9F">
      <w:pPr>
        <w:pStyle w:val="Heading2"/>
      </w:pPr>
      <w:bookmarkStart w:id="10" w:name="_Toc131672438"/>
      <w:r w:rsidRPr="00275FC7">
        <w:t>Options for a national approach</w:t>
      </w:r>
      <w:bookmarkEnd w:id="10"/>
    </w:p>
    <w:p w14:paraId="068D9BEE" w14:textId="07C79EFB" w:rsidR="00A605A4" w:rsidRPr="00275FC7" w:rsidRDefault="00A605A4" w:rsidP="006B377F">
      <w:pPr>
        <w:spacing w:before="240" w:after="240"/>
        <w:rPr>
          <w:iCs/>
        </w:rPr>
      </w:pPr>
      <w:r w:rsidRPr="00275FC7">
        <w:rPr>
          <w:iCs/>
        </w:rPr>
        <w:t>Three possible elements of a national approach are outlined below.</w:t>
      </w:r>
    </w:p>
    <w:p w14:paraId="04024525" w14:textId="533780A4" w:rsidR="00CE3B6A" w:rsidRPr="00275FC7" w:rsidRDefault="00CE3B6A" w:rsidP="006B377F">
      <w:pPr>
        <w:pStyle w:val="numberedpara"/>
      </w:pPr>
      <w:r w:rsidRPr="00275FC7">
        <w:t xml:space="preserve">Setting targets, supported by data </w:t>
      </w:r>
    </w:p>
    <w:p w14:paraId="1CB8596E" w14:textId="7F428444" w:rsidR="007B17ED" w:rsidRPr="00275FC7" w:rsidRDefault="007B17ED" w:rsidP="00CC03AE">
      <w:pPr>
        <w:spacing w:after="240"/>
        <w:ind w:left="6"/>
      </w:pPr>
      <w:r w:rsidRPr="00275FC7">
        <w:t xml:space="preserve">Right now, there is no </w:t>
      </w:r>
      <w:r w:rsidR="005E60C4">
        <w:t xml:space="preserve">publicly explicit and </w:t>
      </w:r>
      <w:r w:rsidRPr="00275FC7">
        <w:t>specific target for enrolments, completions nor employment outcomes of people with disability</w:t>
      </w:r>
      <w:r w:rsidR="00077902" w:rsidRPr="00275FC7">
        <w:t xml:space="preserve"> (because of their absence from performance-based funding)</w:t>
      </w:r>
      <w:r w:rsidR="00CE64A5" w:rsidRPr="00275FC7">
        <w:t>.</w:t>
      </w:r>
      <w:r w:rsidR="00077902" w:rsidRPr="00275FC7">
        <w:t xml:space="preserve"> T</w:t>
      </w:r>
      <w:r w:rsidRPr="00275FC7">
        <w:t xml:space="preserve">here is no reliable tracking of students across </w:t>
      </w:r>
      <w:r w:rsidR="009B6F8A" w:rsidRPr="00275FC7">
        <w:t>education</w:t>
      </w:r>
      <w:r w:rsidRPr="00275FC7">
        <w:t xml:space="preserve"> </w:t>
      </w:r>
      <w:r w:rsidR="00DE22E6" w:rsidRPr="00275FC7">
        <w:t>sectors,</w:t>
      </w:r>
      <w:r w:rsidRPr="00275FC7">
        <w:t xml:space="preserve"> and we don’t have data on adjustments </w:t>
      </w:r>
      <w:r w:rsidR="002C51DB" w:rsidRPr="00275FC7">
        <w:t xml:space="preserve">that </w:t>
      </w:r>
      <w:r w:rsidRPr="00275FC7">
        <w:t>are made by tertiary providers. A strategy could</w:t>
      </w:r>
      <w:r w:rsidR="000B68C3" w:rsidRPr="00275FC7">
        <w:t>:</w:t>
      </w:r>
    </w:p>
    <w:p w14:paraId="49347100" w14:textId="6EFC6278" w:rsidR="005175BD" w:rsidRPr="00275FC7" w:rsidRDefault="00160720" w:rsidP="006B377F">
      <w:pPr>
        <w:pStyle w:val="dotpoint"/>
      </w:pPr>
      <w:r w:rsidRPr="00275FC7">
        <w:t xml:space="preserve">Reconfirm the parity targets set in the 1990s </w:t>
      </w:r>
      <w:r w:rsidR="005175BD" w:rsidRPr="00275FC7">
        <w:t xml:space="preserve">for enrolment, </w:t>
      </w:r>
      <w:r w:rsidR="00F66DCB" w:rsidRPr="00275FC7">
        <w:t>completion,</w:t>
      </w:r>
      <w:r w:rsidR="005175BD" w:rsidRPr="00275FC7">
        <w:t xml:space="preserve"> and employment outcomes of people with disability</w:t>
      </w:r>
    </w:p>
    <w:p w14:paraId="6492CFF4" w14:textId="635A950C" w:rsidR="00CE3B6A" w:rsidRPr="00275FC7" w:rsidRDefault="00CE3B6A" w:rsidP="006B377F">
      <w:pPr>
        <w:pStyle w:val="dotpoint"/>
      </w:pPr>
      <w:r w:rsidRPr="00275FC7">
        <w:t>Invest in nationally consistent data collections to monitor outcomes and costs, including tracking provider compliance with legislation and the cost</w:t>
      </w:r>
      <w:r w:rsidR="002C51DB" w:rsidRPr="00275FC7">
        <w:t xml:space="preserve">, nature, </w:t>
      </w:r>
      <w:r w:rsidR="00F66DCB" w:rsidRPr="00275FC7">
        <w:t>location,</w:t>
      </w:r>
      <w:r w:rsidR="002C51DB" w:rsidRPr="00275FC7">
        <w:t xml:space="preserve"> and outcomes</w:t>
      </w:r>
      <w:r w:rsidRPr="00275FC7">
        <w:t xml:space="preserve"> of reasonable adjustments </w:t>
      </w:r>
    </w:p>
    <w:p w14:paraId="1BD83EA3" w14:textId="18C1398E" w:rsidR="004D30A3" w:rsidRPr="00275FC7" w:rsidRDefault="004D30A3" w:rsidP="006B377F">
      <w:pPr>
        <w:pStyle w:val="dotpoint"/>
      </w:pPr>
      <w:r w:rsidRPr="00275FC7">
        <w:t xml:space="preserve">Track and promote inclusive education initiatives of institutions </w:t>
      </w:r>
    </w:p>
    <w:p w14:paraId="440335FA" w14:textId="7272CC99" w:rsidR="00CE3B6A" w:rsidRPr="00275FC7" w:rsidRDefault="00CE3B6A" w:rsidP="006B377F">
      <w:pPr>
        <w:pStyle w:val="dotpoint"/>
      </w:pPr>
      <w:r w:rsidRPr="00275FC7">
        <w:t xml:space="preserve">Track </w:t>
      </w:r>
      <w:r w:rsidR="004D30A3" w:rsidRPr="00275FC7">
        <w:t xml:space="preserve">and promote </w:t>
      </w:r>
      <w:r w:rsidR="006E3F72" w:rsidRPr="00275FC7">
        <w:t xml:space="preserve">student </w:t>
      </w:r>
      <w:r w:rsidRPr="00275FC7">
        <w:t xml:space="preserve">progress across educational sectors via </w:t>
      </w:r>
      <w:r w:rsidR="006E49F7" w:rsidRPr="00275FC7">
        <w:t>the existing</w:t>
      </w:r>
      <w:r w:rsidRPr="00275FC7">
        <w:t xml:space="preserve"> Unique Student Identifier</w:t>
      </w:r>
    </w:p>
    <w:p w14:paraId="516E2F80" w14:textId="0F674AE4" w:rsidR="006E49F7" w:rsidRPr="00275FC7" w:rsidRDefault="007B17ED" w:rsidP="006B377F">
      <w:pPr>
        <w:pStyle w:val="dotpoint"/>
      </w:pPr>
      <w:r w:rsidRPr="00275FC7">
        <w:t xml:space="preserve">Set performance targets for </w:t>
      </w:r>
      <w:r w:rsidR="00F0732B" w:rsidRPr="00275FC7">
        <w:t xml:space="preserve">all </w:t>
      </w:r>
      <w:r w:rsidR="006E49F7" w:rsidRPr="00275FC7">
        <w:t xml:space="preserve">tertiary </w:t>
      </w:r>
      <w:r w:rsidR="00F0732B" w:rsidRPr="00275FC7">
        <w:t xml:space="preserve">education providers </w:t>
      </w:r>
      <w:r w:rsidR="006E49F7" w:rsidRPr="00275FC7">
        <w:t>across the student life cycle (access, participation, retention, and completion)</w:t>
      </w:r>
    </w:p>
    <w:p w14:paraId="70447701" w14:textId="57A1B574" w:rsidR="00222A18" w:rsidRPr="00275FC7" w:rsidRDefault="007B17ED" w:rsidP="006B377F">
      <w:pPr>
        <w:pStyle w:val="dotpoint"/>
      </w:pPr>
      <w:r w:rsidRPr="00275FC7">
        <w:t xml:space="preserve">Include </w:t>
      </w:r>
      <w:r w:rsidR="006E49F7" w:rsidRPr="00275FC7">
        <w:t xml:space="preserve">ongoing </w:t>
      </w:r>
      <w:r w:rsidRPr="00275FC7">
        <w:t xml:space="preserve">evaluation </w:t>
      </w:r>
      <w:r w:rsidR="006E49F7" w:rsidRPr="00275FC7">
        <w:t xml:space="preserve">of the strategy itself and any goals, </w:t>
      </w:r>
      <w:r w:rsidR="00F66DCB" w:rsidRPr="00275FC7">
        <w:t>objectives,</w:t>
      </w:r>
      <w:r w:rsidR="006E49F7" w:rsidRPr="00275FC7">
        <w:t xml:space="preserve"> or initiatives </w:t>
      </w:r>
      <w:r w:rsidR="00222A18" w:rsidRPr="00275FC7">
        <w:t>to drive evidence-informed decision making and policy change</w:t>
      </w:r>
    </w:p>
    <w:p w14:paraId="0942A0B2" w14:textId="2E72FE79" w:rsidR="00CE3B6A" w:rsidRPr="00275FC7" w:rsidRDefault="00CE3B6A" w:rsidP="006B377F">
      <w:pPr>
        <w:pStyle w:val="numberedpara"/>
      </w:pPr>
      <w:r w:rsidRPr="00275FC7">
        <w:t xml:space="preserve">Investing in inclusive design </w:t>
      </w:r>
    </w:p>
    <w:p w14:paraId="29DB4A21" w14:textId="6BD9E3DA" w:rsidR="007B17ED" w:rsidRPr="00275FC7" w:rsidRDefault="007B17ED" w:rsidP="00CC03AE">
      <w:pPr>
        <w:spacing w:after="240"/>
      </w:pPr>
      <w:r w:rsidRPr="00275FC7">
        <w:t xml:space="preserve">Some of the adjustments made by tertiary providers are being done on an </w:t>
      </w:r>
      <w:r w:rsidRPr="00275FC7">
        <w:rPr>
          <w:i/>
          <w:iCs/>
        </w:rPr>
        <w:t>ad hoc</w:t>
      </w:r>
      <w:r w:rsidRPr="00275FC7">
        <w:t xml:space="preserve">, case by case basis.  </w:t>
      </w:r>
      <w:r w:rsidR="00D67928">
        <w:t>These could be mitigated</w:t>
      </w:r>
      <w:r w:rsidRPr="00275FC7">
        <w:t xml:space="preserve"> </w:t>
      </w:r>
      <w:r w:rsidR="00D67928" w:rsidRPr="004E0C57">
        <w:rPr>
          <w:iCs/>
        </w:rPr>
        <w:t xml:space="preserve">if </w:t>
      </w:r>
      <w:r w:rsidR="00D67928" w:rsidRPr="00A3474A">
        <w:rPr>
          <w:iCs/>
        </w:rPr>
        <w:t>inclusive design principles</w:t>
      </w:r>
      <w:r w:rsidR="00D67928" w:rsidRPr="004E0C57">
        <w:rPr>
          <w:iCs/>
        </w:rPr>
        <w:t xml:space="preserve"> were implemented</w:t>
      </w:r>
      <w:r w:rsidR="00D67928" w:rsidRPr="00275FC7" w:rsidDel="00D67928">
        <w:t xml:space="preserve"> </w:t>
      </w:r>
      <w:r w:rsidR="00992627" w:rsidRPr="00275FC7">
        <w:t xml:space="preserve">, </w:t>
      </w:r>
      <w:r w:rsidR="00B60CD7" w:rsidRPr="00275FC7">
        <w:t>along with other measures to promote inclusive institutions and reverse the onus on students to pursue individual adjustments</w:t>
      </w:r>
      <w:r w:rsidR="001C48EE" w:rsidRPr="00275FC7">
        <w:t xml:space="preserve"> or retrofits</w:t>
      </w:r>
      <w:r w:rsidRPr="00275FC7">
        <w:t>. A strategy could:</w:t>
      </w:r>
      <w:r w:rsidR="001C72D7" w:rsidRPr="00275FC7">
        <w:t xml:space="preserve"> </w:t>
      </w:r>
    </w:p>
    <w:p w14:paraId="199A88D1" w14:textId="03BAD40A" w:rsidR="00CE3B6A" w:rsidRPr="00275FC7" w:rsidRDefault="00AF1FF0" w:rsidP="006B377F">
      <w:pPr>
        <w:pStyle w:val="dotpoint"/>
      </w:pPr>
      <w:r w:rsidRPr="00275FC7">
        <w:t>Incentivi</w:t>
      </w:r>
      <w:r>
        <w:t>z</w:t>
      </w:r>
      <w:r w:rsidRPr="00275FC7">
        <w:t>e</w:t>
      </w:r>
      <w:r w:rsidR="00992627" w:rsidRPr="00275FC7">
        <w:t xml:space="preserve"> </w:t>
      </w:r>
      <w:r w:rsidR="004D30A3" w:rsidRPr="00275FC7">
        <w:t xml:space="preserve">inclusive </w:t>
      </w:r>
      <w:r w:rsidR="003322E6" w:rsidRPr="00275FC7">
        <w:t>learning design, i</w:t>
      </w:r>
      <w:r w:rsidR="00CE3B6A" w:rsidRPr="00275FC7">
        <w:t xml:space="preserve">n line with </w:t>
      </w:r>
      <w:r w:rsidR="003322E6" w:rsidRPr="00275FC7">
        <w:t xml:space="preserve">recommendations from the </w:t>
      </w:r>
      <w:r w:rsidR="006E3F72" w:rsidRPr="00275FC7">
        <w:t xml:space="preserve">2015 </w:t>
      </w:r>
      <w:r w:rsidR="00CE3B6A" w:rsidRPr="00275FC7">
        <w:t xml:space="preserve">evaluation of the </w:t>
      </w:r>
      <w:r w:rsidR="006E3F72" w:rsidRPr="00275FC7">
        <w:t xml:space="preserve">Australian </w:t>
      </w:r>
      <w:r w:rsidR="00CE3B6A" w:rsidRPr="00275FC7">
        <w:t>Disability Support Program</w:t>
      </w:r>
      <w:r w:rsidR="001C48EE" w:rsidRPr="00275FC7">
        <w:t xml:space="preserve"> (KPMG 2015)</w:t>
      </w:r>
      <w:r w:rsidR="00CE3B6A" w:rsidRPr="00275FC7">
        <w:t xml:space="preserve">, </w:t>
      </w:r>
      <w:r w:rsidR="006E49F7" w:rsidRPr="00275FC7">
        <w:t>which was strongly supported by submissions to the Disability Standards for Education Review (2020). As an example, the Office for Students in the United Kingdom</w:t>
      </w:r>
      <w:r w:rsidR="00CE3B6A" w:rsidRPr="00275FC7">
        <w:t xml:space="preserve"> </w:t>
      </w:r>
      <w:r w:rsidR="006E49F7" w:rsidRPr="00275FC7">
        <w:t>has made</w:t>
      </w:r>
      <w:r w:rsidR="003322E6" w:rsidRPr="00275FC7">
        <w:t xml:space="preserve"> a</w:t>
      </w:r>
      <w:r w:rsidR="0073245D" w:rsidRPr="00275FC7">
        <w:t xml:space="preserve"> $73 million (</w:t>
      </w:r>
      <w:r w:rsidR="00CE3B6A" w:rsidRPr="00275FC7">
        <w:t>£40 million</w:t>
      </w:r>
      <w:r w:rsidR="0073245D" w:rsidRPr="00275FC7">
        <w:t>)</w:t>
      </w:r>
      <w:r w:rsidR="00CE3B6A" w:rsidRPr="00275FC7">
        <w:t xml:space="preserve"> annual commitment to support providers to develop inclusive teaching practices and further adopt the social model of disability</w:t>
      </w:r>
      <w:r w:rsidR="002C51DB" w:rsidRPr="00275FC7">
        <w:t xml:space="preserve">. </w:t>
      </w:r>
    </w:p>
    <w:p w14:paraId="0D5330A3" w14:textId="1DC0FC0F" w:rsidR="006A6C15" w:rsidRPr="00275FC7" w:rsidRDefault="00110E97" w:rsidP="006B377F">
      <w:pPr>
        <w:pStyle w:val="dotpoint"/>
      </w:pPr>
      <w:r w:rsidRPr="00275FC7">
        <w:lastRenderedPageBreak/>
        <w:t>R</w:t>
      </w:r>
      <w:r w:rsidR="005175BD" w:rsidRPr="00275FC7">
        <w:t xml:space="preserve">educe </w:t>
      </w:r>
      <w:r w:rsidR="00CE3B6A" w:rsidRPr="00275FC7">
        <w:t xml:space="preserve">the onus on students to pursue </w:t>
      </w:r>
      <w:r w:rsidR="00992627" w:rsidRPr="00275FC7">
        <w:t xml:space="preserve">physical modifications to </w:t>
      </w:r>
      <w:r w:rsidR="00CE3B6A" w:rsidRPr="00275FC7">
        <w:t>facilities</w:t>
      </w:r>
      <w:r w:rsidR="006A6C15" w:rsidRPr="00275FC7">
        <w:t xml:space="preserve"> </w:t>
      </w:r>
      <w:r w:rsidR="005175BD" w:rsidRPr="00275FC7">
        <w:t>(</w:t>
      </w:r>
      <w:r w:rsidR="008F6CA7" w:rsidRPr="00275FC7">
        <w:t>e.g.</w:t>
      </w:r>
      <w:r w:rsidR="005175BD" w:rsidRPr="00275FC7">
        <w:t xml:space="preserve"> </w:t>
      </w:r>
      <w:r w:rsidR="006A6C15" w:rsidRPr="00275FC7">
        <w:t xml:space="preserve">by </w:t>
      </w:r>
      <w:r w:rsidR="00592171">
        <w:t>removing the Class 9B building exemption for education facilities and aligning them with other Class 9B buildings which are required to install accessible adult change facilities</w:t>
      </w:r>
      <w:r w:rsidR="006A6C15" w:rsidRPr="00275FC7">
        <w:t>)</w:t>
      </w:r>
      <w:r w:rsidR="00321CD8" w:rsidRPr="00275FC7">
        <w:t>.</w:t>
      </w:r>
    </w:p>
    <w:p w14:paraId="08761C3F" w14:textId="1867EBF9" w:rsidR="0039394F" w:rsidRPr="00275FC7" w:rsidRDefault="006A6C15" w:rsidP="006B377F">
      <w:pPr>
        <w:pStyle w:val="dotpoint"/>
      </w:pPr>
      <w:r w:rsidRPr="00275FC7">
        <w:t xml:space="preserve">Reduce the onus on students to pursue accessible texts and technology through </w:t>
      </w:r>
      <w:r w:rsidR="0039394F" w:rsidRPr="00275FC7">
        <w:t xml:space="preserve">encouraging </w:t>
      </w:r>
      <w:r w:rsidR="00B60CD7" w:rsidRPr="00275FC7">
        <w:t>inclusive publishin</w:t>
      </w:r>
      <w:r w:rsidR="004D30A3" w:rsidRPr="00275FC7">
        <w:t>g</w:t>
      </w:r>
      <w:r w:rsidR="00B60CD7" w:rsidRPr="00275FC7">
        <w:t xml:space="preserve"> (APA 2020)</w:t>
      </w:r>
      <w:r w:rsidR="0039394F" w:rsidRPr="00275FC7">
        <w:t xml:space="preserve"> and/or </w:t>
      </w:r>
      <w:r w:rsidR="00B60CD7" w:rsidRPr="00275FC7">
        <w:t xml:space="preserve">through the creation of </w:t>
      </w:r>
      <w:r w:rsidR="00110E97" w:rsidRPr="00275FC7">
        <w:t>legal</w:t>
      </w:r>
      <w:r w:rsidRPr="00275FC7">
        <w:t>ly</w:t>
      </w:r>
      <w:r w:rsidR="00110E97" w:rsidRPr="00275FC7">
        <w:t xml:space="preserve"> enforceable national standards and rights to accessible technology</w:t>
      </w:r>
      <w:r w:rsidR="00992627" w:rsidRPr="00275FC7">
        <w:t xml:space="preserve"> (AHRC 2021)</w:t>
      </w:r>
      <w:r w:rsidR="0039394F" w:rsidRPr="00275FC7">
        <w:t>.</w:t>
      </w:r>
    </w:p>
    <w:p w14:paraId="65D46481" w14:textId="57A75301" w:rsidR="0032141C" w:rsidRPr="00275FC7" w:rsidRDefault="0032141C" w:rsidP="006B377F">
      <w:pPr>
        <w:pStyle w:val="dotpoint"/>
      </w:pPr>
      <w:r w:rsidRPr="00275FC7">
        <w:t>Invest in</w:t>
      </w:r>
      <w:r w:rsidR="00321CD8" w:rsidRPr="00275FC7">
        <w:t xml:space="preserve"> nationally consistent</w:t>
      </w:r>
      <w:r w:rsidRPr="00275FC7">
        <w:t xml:space="preserve"> </w:t>
      </w:r>
      <w:r w:rsidR="00812D4C" w:rsidRPr="00275FC7">
        <w:t xml:space="preserve">transition support services for students with disability </w:t>
      </w:r>
      <w:r w:rsidRPr="00275FC7">
        <w:t>transition</w:t>
      </w:r>
      <w:r w:rsidR="00812D4C" w:rsidRPr="00275FC7">
        <w:t>ing</w:t>
      </w:r>
      <w:r w:rsidRPr="00275FC7">
        <w:t xml:space="preserve"> from high school to tertiary education</w:t>
      </w:r>
      <w:r w:rsidR="00321CD8" w:rsidRPr="00275FC7">
        <w:t>.</w:t>
      </w:r>
      <w:r w:rsidR="00FA507A" w:rsidRPr="00275FC7">
        <w:t xml:space="preserve"> </w:t>
      </w:r>
    </w:p>
    <w:p w14:paraId="5E35C577" w14:textId="4A07EF4E" w:rsidR="00A605A4" w:rsidRPr="00275FC7" w:rsidRDefault="00632394" w:rsidP="006B377F">
      <w:pPr>
        <w:pStyle w:val="dotpoint"/>
      </w:pPr>
      <w:r w:rsidRPr="00275FC7">
        <w:t>Monitor performance of providers against relevant quality standards for diversity and inclusion, and publish results</w:t>
      </w:r>
      <w:r w:rsidR="006E49F7" w:rsidRPr="00275FC7">
        <w:t>, potentially monitored, or administered by existing regulatory bodies like TEQSA and ASQA.</w:t>
      </w:r>
    </w:p>
    <w:p w14:paraId="21C666ED" w14:textId="78F2A230" w:rsidR="00500826" w:rsidRPr="00275FC7" w:rsidRDefault="00AF1FF0" w:rsidP="006B377F">
      <w:pPr>
        <w:pStyle w:val="dotpoint"/>
      </w:pPr>
      <w:r>
        <w:t xml:space="preserve">Support the </w:t>
      </w:r>
      <w:r w:rsidR="00D67928">
        <w:t xml:space="preserve">upskilling of the tertiary education sector workforce in areas such as disability awareness, accessible ICT procurement, and Universal Design for Learning. </w:t>
      </w:r>
      <w:r>
        <w:t>T</w:t>
      </w:r>
      <w:r w:rsidR="00A517D4" w:rsidRPr="00275FC7">
        <w:t xml:space="preserve">his </w:t>
      </w:r>
      <w:r w:rsidR="00D67928">
        <w:t>is readily acheivable by increasing investment in and leveraging existing assets such as the Australian Disability Clearinghouse on Education and Training</w:t>
      </w:r>
      <w:r w:rsidR="00A517D4" w:rsidRPr="00275FC7">
        <w:t>.</w:t>
      </w:r>
    </w:p>
    <w:p w14:paraId="214CC83D" w14:textId="77777777" w:rsidR="003322E6" w:rsidRPr="00275FC7" w:rsidRDefault="00CE3B6A" w:rsidP="006B377F">
      <w:pPr>
        <w:pStyle w:val="numberedpara"/>
        <w:rPr>
          <w:iCs/>
        </w:rPr>
      </w:pPr>
      <w:r w:rsidRPr="00275FC7">
        <w:t xml:space="preserve">Recognising and increasing funding for reasonable adjustments </w:t>
      </w:r>
    </w:p>
    <w:p w14:paraId="341C1657" w14:textId="6D5A610C" w:rsidR="005175BD" w:rsidRPr="00275FC7" w:rsidRDefault="007B17ED" w:rsidP="004D3224">
      <w:pPr>
        <w:spacing w:after="120"/>
        <w:ind w:left="6"/>
        <w:rPr>
          <w:iCs/>
        </w:rPr>
      </w:pPr>
      <w:r w:rsidRPr="00275FC7">
        <w:rPr>
          <w:iCs/>
        </w:rPr>
        <w:t>S</w:t>
      </w:r>
      <w:r w:rsidR="00CE3B6A" w:rsidRPr="00275FC7">
        <w:rPr>
          <w:iCs/>
        </w:rPr>
        <w:t xml:space="preserve">tudents </w:t>
      </w:r>
      <w:r w:rsidRPr="00275FC7">
        <w:rPr>
          <w:iCs/>
        </w:rPr>
        <w:t xml:space="preserve">with </w:t>
      </w:r>
      <w:r w:rsidR="00CE3B6A" w:rsidRPr="00275FC7">
        <w:rPr>
          <w:iCs/>
        </w:rPr>
        <w:t xml:space="preserve">more complex </w:t>
      </w:r>
      <w:r w:rsidR="003322E6" w:rsidRPr="00275FC7">
        <w:rPr>
          <w:iCs/>
        </w:rPr>
        <w:t xml:space="preserve">disabilities </w:t>
      </w:r>
      <w:r w:rsidRPr="00275FC7">
        <w:rPr>
          <w:iCs/>
        </w:rPr>
        <w:t xml:space="preserve">may have needs that </w:t>
      </w:r>
      <w:r w:rsidR="00CE3B6A" w:rsidRPr="00275FC7">
        <w:rPr>
          <w:iCs/>
        </w:rPr>
        <w:t xml:space="preserve">can’t be </w:t>
      </w:r>
      <w:r w:rsidRPr="00275FC7">
        <w:rPr>
          <w:iCs/>
        </w:rPr>
        <w:t xml:space="preserve">fully </w:t>
      </w:r>
      <w:r w:rsidR="00CE3B6A" w:rsidRPr="00275FC7">
        <w:rPr>
          <w:iCs/>
        </w:rPr>
        <w:t xml:space="preserve">met </w:t>
      </w:r>
      <w:r w:rsidRPr="00275FC7">
        <w:rPr>
          <w:iCs/>
        </w:rPr>
        <w:t xml:space="preserve">even </w:t>
      </w:r>
      <w:r w:rsidR="00CE3B6A" w:rsidRPr="00275FC7">
        <w:rPr>
          <w:iCs/>
        </w:rPr>
        <w:t>with universal design</w:t>
      </w:r>
      <w:r w:rsidRPr="00275FC7">
        <w:rPr>
          <w:iCs/>
        </w:rPr>
        <w:t xml:space="preserve">. For these students </w:t>
      </w:r>
      <w:r w:rsidR="003322E6" w:rsidRPr="00275FC7">
        <w:rPr>
          <w:iCs/>
        </w:rPr>
        <w:t>a strategy could</w:t>
      </w:r>
      <w:r w:rsidRPr="00275FC7">
        <w:rPr>
          <w:iCs/>
        </w:rPr>
        <w:t>:</w:t>
      </w:r>
    </w:p>
    <w:p w14:paraId="0529C490" w14:textId="19F849BF" w:rsidR="00CE3B6A" w:rsidRPr="00275FC7" w:rsidRDefault="007B17ED" w:rsidP="006B377F">
      <w:pPr>
        <w:pStyle w:val="dotpoint"/>
      </w:pPr>
      <w:r w:rsidRPr="00275FC7">
        <w:t>I</w:t>
      </w:r>
      <w:r w:rsidR="00CE3B6A" w:rsidRPr="00275FC7">
        <w:t>ncreas</w:t>
      </w:r>
      <w:r w:rsidR="003322E6" w:rsidRPr="00275FC7">
        <w:t>e</w:t>
      </w:r>
      <w:r w:rsidR="00CE3B6A" w:rsidRPr="00275FC7">
        <w:t xml:space="preserve"> the Disability Support Program to better reflect the cost of </w:t>
      </w:r>
      <w:r w:rsidR="00794998" w:rsidRPr="00275FC7">
        <w:t xml:space="preserve">managing and </w:t>
      </w:r>
      <w:r w:rsidR="00CE3B6A" w:rsidRPr="00275FC7">
        <w:t>making adjustments for students</w:t>
      </w:r>
      <w:r w:rsidR="00160720" w:rsidRPr="00275FC7">
        <w:t xml:space="preserve">, in line with the vastly higher payments for students with </w:t>
      </w:r>
      <w:r w:rsidR="00015E2D" w:rsidRPr="00275FC7">
        <w:t xml:space="preserve">disability </w:t>
      </w:r>
      <w:r w:rsidR="00160720" w:rsidRPr="00275FC7">
        <w:t xml:space="preserve">in Australian schools and for students with </w:t>
      </w:r>
      <w:r w:rsidR="00015E2D" w:rsidRPr="00275FC7">
        <w:t xml:space="preserve">disability </w:t>
      </w:r>
      <w:r w:rsidR="00160720" w:rsidRPr="00275FC7">
        <w:t>in higher education in the United Kingdom</w:t>
      </w:r>
    </w:p>
    <w:p w14:paraId="094F5B7E" w14:textId="77777777" w:rsidR="00CE3B6A" w:rsidRPr="00275FC7" w:rsidRDefault="00CE3B6A" w:rsidP="006B377F">
      <w:pPr>
        <w:pStyle w:val="dotpoint"/>
      </w:pPr>
      <w:r w:rsidRPr="00275FC7">
        <w:t>Consider mechanisms to replicate a Disability Support Program for VET providers</w:t>
      </w:r>
    </w:p>
    <w:p w14:paraId="4FE51EBE" w14:textId="58B78CB4" w:rsidR="00476FAA" w:rsidRPr="00275FC7" w:rsidRDefault="00476FAA" w:rsidP="006B377F">
      <w:pPr>
        <w:pStyle w:val="dotpoint"/>
      </w:pPr>
      <w:r w:rsidRPr="00275FC7">
        <w:t xml:space="preserve">Transfer responsibility for “Tutorial” support under the Disabled Australian Apprentice Wage Support incentives program to a Disability Support Program for VET providers to allow apprentices to access support in training without the need to disclose disability to employers </w:t>
      </w:r>
    </w:p>
    <w:p w14:paraId="55F2967D" w14:textId="5A9186AE" w:rsidR="00222A18" w:rsidRPr="00275FC7" w:rsidRDefault="00D86F80" w:rsidP="006B377F">
      <w:pPr>
        <w:pStyle w:val="dotpoint"/>
      </w:pPr>
      <w:r w:rsidRPr="00275FC7">
        <w:t>Facilitate a universal</w:t>
      </w:r>
      <w:r w:rsidR="00160720" w:rsidRPr="00275FC7">
        <w:t xml:space="preserve"> </w:t>
      </w:r>
      <w:r w:rsidR="001C48EE" w:rsidRPr="00275FC7">
        <w:t xml:space="preserve">demand-driven </w:t>
      </w:r>
      <w:r w:rsidR="00160720" w:rsidRPr="00275FC7">
        <w:t xml:space="preserve">funding </w:t>
      </w:r>
      <w:r w:rsidR="001C48EE" w:rsidRPr="00275FC7">
        <w:t xml:space="preserve">for </w:t>
      </w:r>
      <w:r w:rsidRPr="00275FC7">
        <w:t>students with disability</w:t>
      </w:r>
      <w:r w:rsidR="00160720" w:rsidRPr="00275FC7">
        <w:t xml:space="preserve">, in line with the support for </w:t>
      </w:r>
      <w:r w:rsidR="006E3F72" w:rsidRPr="00275FC7">
        <w:t>user choice and control</w:t>
      </w:r>
      <w:r w:rsidR="00160720" w:rsidRPr="00275FC7">
        <w:t xml:space="preserve"> evident in </w:t>
      </w:r>
      <w:r w:rsidR="002C51DB" w:rsidRPr="00275FC7">
        <w:t>recent Australian reforms in disability and aged care</w:t>
      </w:r>
    </w:p>
    <w:p w14:paraId="7596E185" w14:textId="658C7316" w:rsidR="00710D64" w:rsidRPr="00275FC7" w:rsidRDefault="00222A18" w:rsidP="006B377F">
      <w:pPr>
        <w:pStyle w:val="dotpoint"/>
      </w:pPr>
      <w:r w:rsidRPr="00275FC7">
        <w:t xml:space="preserve">Coordinate with the NDIA to optimise transition planning </w:t>
      </w:r>
      <w:r w:rsidR="000B68C3" w:rsidRPr="00275FC7">
        <w:t xml:space="preserve">for those students who have NDIS packages, </w:t>
      </w:r>
      <w:r w:rsidRPr="00275FC7">
        <w:t xml:space="preserve">and </w:t>
      </w:r>
      <w:r w:rsidR="003322E6" w:rsidRPr="00275FC7">
        <w:t xml:space="preserve">fund </w:t>
      </w:r>
      <w:r w:rsidRPr="00275FC7">
        <w:t xml:space="preserve">reasonable and necessary NDIS supports to enable participants to access and complete tertiary </w:t>
      </w:r>
      <w:r w:rsidR="002C51DB" w:rsidRPr="00275FC7">
        <w:t>education and transition to employment.</w:t>
      </w:r>
    </w:p>
    <w:p w14:paraId="0DE6F985" w14:textId="1A041F28" w:rsidR="0032141C" w:rsidRPr="00275FC7" w:rsidRDefault="0032141C" w:rsidP="00BC7558">
      <w:pPr>
        <w:spacing w:before="240" w:after="240"/>
      </w:pPr>
      <w:r w:rsidRPr="00275FC7">
        <w:rPr>
          <w:iCs/>
        </w:rPr>
        <w:t>Alongside increased funding for reasonable adjustments is a need to proactively make students aware of the potential supports they can access, to empower them to be proactive in seeking reasonable adjustments</w:t>
      </w:r>
      <w:r w:rsidR="008F6CA7" w:rsidRPr="00275FC7">
        <w:rPr>
          <w:iCs/>
        </w:rPr>
        <w:t xml:space="preserve">. </w:t>
      </w:r>
      <w:r w:rsidRPr="00275FC7">
        <w:t xml:space="preserve"> </w:t>
      </w:r>
    </w:p>
    <w:p w14:paraId="0E8069B3" w14:textId="211BB8D4" w:rsidR="00BC7558" w:rsidRPr="00275FC7" w:rsidRDefault="00BC7558" w:rsidP="00BC7558">
      <w:pPr>
        <w:spacing w:before="240" w:after="240"/>
      </w:pPr>
      <w:r w:rsidRPr="00275FC7">
        <w:t>The suggested strategy is mapped to the pyramid below, highlighting that broad investment in lower cost universal design will benefit the largest number of students, with more targeted and intensive resources prioritised for those with more complex needs, all underpinned by reliable data and evidence</w:t>
      </w:r>
      <w:r w:rsidR="008F6CA7" w:rsidRPr="00275FC7">
        <w:t xml:space="preserve">. </w:t>
      </w:r>
    </w:p>
    <w:p w14:paraId="2D88362B" w14:textId="3C54859F" w:rsidR="00BC7558" w:rsidRPr="00275FC7" w:rsidRDefault="00C129C4" w:rsidP="00BC7558">
      <w:pPr>
        <w:spacing w:before="240" w:after="240"/>
      </w:pPr>
      <w:r w:rsidRPr="00275FC7">
        <w:rPr>
          <w:noProof/>
        </w:rPr>
        <w:lastRenderedPageBreak/>
        <w:drawing>
          <wp:inline distT="0" distB="0" distL="0" distR="0" wp14:anchorId="11970892" wp14:editId="3B97FFB8">
            <wp:extent cx="5518150" cy="3103959"/>
            <wp:effectExtent l="0" t="0" r="6350" b="1270"/>
            <wp:docPr id="2" name="Graphic 2" descr="Depicts a pyramid with three segments relating to Universal Design for Learning.  At the top, smaller, is Intensive supports for students with high or complex needs.  &#10;&#10;In the middle is targeted supports, for students with additional needs.  &#10;&#10;At the bottom as the largest component is Universal Design - successful learning for the majority of students.  &#10;&#10;There are a number of interactions with the pyramid.  Intensive supports is linked to Individualised personal supports (NDIS) plus intensive learning supports for high or complex needs.&#10;&#10;Targeted supports is linked to portable funding based on intensity of need for students who require reasonable adjustments.&#10;&#10;Universal design is linked to Universal design for learning, accessible buildings and texts. &#10;&#10;There are also two large up and down arrows showing an inverse relationship between resources need and number of people assisted.  It depicts that intensive supports may require more resources on a per person basis, universal design may require less resources on a per person basis.&#10;&#10;The model is underpinned by reliable data tracked across educational se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epicts a pyramid with three segments relating to Universal Design for Learning.  At the top, smaller, is Intensive supports for students with high or complex needs.  &#10;&#10;In the middle is targeted supports, for students with additional needs.  &#10;&#10;At the bottom as the largest component is Universal Design - successful learning for the majority of students.  &#10;&#10;There are a number of interactions with the pyramid.  Intensive supports is linked to Individualised personal supports (NDIS) plus intensive learning supports for high or complex needs.&#10;&#10;Targeted supports is linked to portable funding based on intensity of need for students who require reasonable adjustments.&#10;&#10;Universal design is linked to Universal design for learning, accessible buildings and texts. &#10;&#10;There are also two large up and down arrows showing an inverse relationship between resources need and number of people assisted.  It depicts that intensive supports may require more resources on a per person basis, universal design may require less resources on a per person basis.&#10;&#10;The model is underpinned by reliable data tracked across educational sectors."/>
                    <pic:cNvPicPr/>
                  </pic:nvPicPr>
                  <pic:blipFill>
                    <a:blip r:embed="rId22">
                      <a:extLst>
                        <a:ext uri="{96DAC541-7B7A-43D3-8B79-37D633B846F1}">
                          <asvg:svgBlip xmlns:asvg="http://schemas.microsoft.com/office/drawing/2016/SVG/main" r:embed="rId23"/>
                        </a:ext>
                      </a:extLst>
                    </a:blip>
                    <a:stretch>
                      <a:fillRect/>
                    </a:stretch>
                  </pic:blipFill>
                  <pic:spPr>
                    <a:xfrm>
                      <a:off x="0" y="0"/>
                      <a:ext cx="5519544" cy="3104743"/>
                    </a:xfrm>
                    <a:prstGeom prst="rect">
                      <a:avLst/>
                    </a:prstGeom>
                  </pic:spPr>
                </pic:pic>
              </a:graphicData>
            </a:graphic>
          </wp:inline>
        </w:drawing>
      </w:r>
    </w:p>
    <w:p w14:paraId="6691758A" w14:textId="5947B827" w:rsidR="00BC7558" w:rsidRPr="00275FC7" w:rsidRDefault="00C129C4" w:rsidP="006B377F">
      <w:pPr>
        <w:pStyle w:val="Footnote"/>
        <w:rPr>
          <w:rFonts w:cs="Arial"/>
        </w:rPr>
      </w:pPr>
      <w:r w:rsidRPr="00275FC7">
        <w:rPr>
          <w:rFonts w:cs="Arial"/>
          <w:noProof/>
        </w:rPr>
        <w:t>Adapted from Universal Design for Learning and the Continuum of Supports</w:t>
      </w:r>
    </w:p>
    <w:p w14:paraId="1AEDD603" w14:textId="4999F903" w:rsidR="00B76C7C" w:rsidRPr="00275FC7" w:rsidRDefault="00710D64" w:rsidP="00925F9F">
      <w:pPr>
        <w:pStyle w:val="Heading1"/>
      </w:pPr>
      <w:r w:rsidRPr="00275FC7">
        <w:rPr>
          <w:b/>
        </w:rPr>
        <w:br w:type="page"/>
      </w:r>
      <w:bookmarkStart w:id="11" w:name="_Toc131672439"/>
      <w:r w:rsidR="00B76C7C" w:rsidRPr="00275FC7">
        <w:lastRenderedPageBreak/>
        <w:t>APPENDIX 1</w:t>
      </w:r>
      <w:bookmarkEnd w:id="11"/>
    </w:p>
    <w:p w14:paraId="7CA4DE6E" w14:textId="50C16948" w:rsidR="00B76C7C" w:rsidRPr="00275FC7" w:rsidRDefault="00AF5444" w:rsidP="007469E4">
      <w:pPr>
        <w:pStyle w:val="Heading2"/>
      </w:pPr>
      <w:bookmarkStart w:id="12" w:name="_Toc131672440"/>
      <w:r w:rsidRPr="00275FC7">
        <w:t>Issues</w:t>
      </w:r>
      <w:r w:rsidR="00B76C7C" w:rsidRPr="00275FC7">
        <w:t xml:space="preserve"> – IN DETAIL</w:t>
      </w:r>
      <w:bookmarkEnd w:id="12"/>
    </w:p>
    <w:p w14:paraId="67732CAE" w14:textId="77777777" w:rsidR="00AF5444" w:rsidRPr="00275FC7" w:rsidRDefault="00AF5444" w:rsidP="007469E4">
      <w:pPr>
        <w:pStyle w:val="Heading3"/>
      </w:pPr>
      <w:bookmarkStart w:id="13" w:name="_Toc131672441"/>
      <w:r w:rsidRPr="00275FC7">
        <w:t>Issue 1: Legislative protections do not adequately enable people with disability to pursue tertiary studies</w:t>
      </w:r>
      <w:bookmarkEnd w:id="13"/>
    </w:p>
    <w:p w14:paraId="385ECAD8" w14:textId="0696EF9E" w:rsidR="00B76C7C" w:rsidRPr="00275FC7" w:rsidRDefault="00B76C7C" w:rsidP="0043695E">
      <w:pPr>
        <w:pStyle w:val="paratext"/>
        <w:rPr>
          <w:i/>
          <w:iCs/>
          <w:u w:val="single"/>
        </w:rPr>
      </w:pPr>
      <w:r w:rsidRPr="00275FC7">
        <w:rPr>
          <w:i/>
          <w:iCs/>
          <w:u w:val="single"/>
        </w:rPr>
        <w:t>Access to learning is not guaranteed</w:t>
      </w:r>
    </w:p>
    <w:p w14:paraId="279898A9" w14:textId="755286BE" w:rsidR="00B76C7C" w:rsidRPr="00275FC7" w:rsidRDefault="00B76C7C" w:rsidP="0043695E">
      <w:pPr>
        <w:pStyle w:val="paratext"/>
        <w:rPr>
          <w:lang w:val="en-AU"/>
        </w:rPr>
      </w:pPr>
      <w:r w:rsidRPr="00275FC7">
        <w:t xml:space="preserve">The </w:t>
      </w:r>
      <w:r w:rsidRPr="00275FC7">
        <w:rPr>
          <w:i/>
          <w:iCs/>
          <w:lang w:val="en-AU"/>
        </w:rPr>
        <w:t>Disability Discrimination Act of 1992 (the Act)</w:t>
      </w:r>
      <w:r w:rsidRPr="00275FC7">
        <w:rPr>
          <w:lang w:val="en-AU"/>
        </w:rPr>
        <w:t> and the </w:t>
      </w:r>
      <w:r w:rsidRPr="00275FC7">
        <w:rPr>
          <w:i/>
          <w:iCs/>
          <w:lang w:val="en-AU"/>
        </w:rPr>
        <w:t xml:space="preserve">Disability Standards for Education Act of 2005 (the standards) </w:t>
      </w:r>
      <w:r w:rsidRPr="00275FC7">
        <w:t xml:space="preserve">aim to give all </w:t>
      </w:r>
      <w:r w:rsidRPr="00275FC7">
        <w:rPr>
          <w:lang w:val="en-AU"/>
        </w:rPr>
        <w:t>Australians with disability the opportunity to realise their potential through participation in education and training on the same basis as other students</w:t>
      </w:r>
      <w:r w:rsidR="004D30A3" w:rsidRPr="00275FC7">
        <w:rPr>
          <w:lang w:val="en-AU"/>
        </w:rPr>
        <w:t>, by legally enforcing enrolment and reasonable adjustment</w:t>
      </w:r>
      <w:r w:rsidRPr="00275FC7">
        <w:rPr>
          <w:lang w:val="en-AU"/>
        </w:rPr>
        <w:t xml:space="preserve"> (Department of Education and Training 2005). </w:t>
      </w:r>
    </w:p>
    <w:p w14:paraId="24255D38" w14:textId="24C5841A" w:rsidR="00B76C7C" w:rsidRPr="00275FC7" w:rsidRDefault="00CD325B" w:rsidP="0043695E">
      <w:pPr>
        <w:pStyle w:val="paratext"/>
        <w:rPr>
          <w:lang w:val="en-AU"/>
        </w:rPr>
      </w:pPr>
      <w:r w:rsidRPr="00275FC7">
        <w:rPr>
          <w:lang w:val="en-AU"/>
        </w:rPr>
        <w:t xml:space="preserve">Tertiary education providers </w:t>
      </w:r>
      <w:r w:rsidR="00B76C7C" w:rsidRPr="00275FC7">
        <w:rPr>
          <w:lang w:val="en-AU"/>
        </w:rPr>
        <w:t xml:space="preserve">meet their obligations according to the standards when they </w:t>
      </w:r>
      <w:r w:rsidR="00CD220E" w:rsidRPr="00275FC7">
        <w:rPr>
          <w:lang w:val="en-AU"/>
        </w:rPr>
        <w:t xml:space="preserve">encourage enrolment of, and then </w:t>
      </w:r>
      <w:r w:rsidR="00B76C7C" w:rsidRPr="00275FC7">
        <w:rPr>
          <w:lang w:val="en-AU"/>
        </w:rPr>
        <w:t xml:space="preserve">consult with individual students, consider whether an adjustment is needed and what the adjustment will be, and then provide that adjustment. If the </w:t>
      </w:r>
      <w:r w:rsidRPr="00275FC7">
        <w:rPr>
          <w:lang w:val="en-AU"/>
        </w:rPr>
        <w:t xml:space="preserve">tertiary education provider </w:t>
      </w:r>
      <w:r w:rsidR="00B76C7C" w:rsidRPr="00275FC7">
        <w:rPr>
          <w:lang w:val="en-AU"/>
        </w:rPr>
        <w:t xml:space="preserve">adheres to this process, they have not discriminated (Department of Education and Training 2005). But if the </w:t>
      </w:r>
      <w:r w:rsidRPr="00275FC7">
        <w:rPr>
          <w:lang w:val="en-AU"/>
        </w:rPr>
        <w:t xml:space="preserve">provider </w:t>
      </w:r>
      <w:r w:rsidR="00B76C7C" w:rsidRPr="00275FC7">
        <w:rPr>
          <w:lang w:val="en-AU"/>
        </w:rPr>
        <w:t xml:space="preserve">considers an adjustment unreasonable, taking account of the interests of all parties involved, including other students, the lecturer and tutors, then it can </w:t>
      </w:r>
      <w:r w:rsidR="0039394F" w:rsidRPr="00275FC7">
        <w:rPr>
          <w:lang w:val="en-AU"/>
        </w:rPr>
        <w:t>refuse the adjustment. This places the onus on a student to start again with another institution (if an alternative is available locally) or pursue a complaint via the Australian Human Rights Commission.</w:t>
      </w:r>
      <w:r w:rsidR="00B76C7C" w:rsidRPr="00275FC7">
        <w:rPr>
          <w:lang w:val="en-AU"/>
        </w:rPr>
        <w:t xml:space="preserve"> </w:t>
      </w:r>
    </w:p>
    <w:p w14:paraId="4875EE4E" w14:textId="1D212A09" w:rsidR="00B76C7C" w:rsidRPr="00275FC7" w:rsidRDefault="00B76C7C" w:rsidP="0043695E">
      <w:pPr>
        <w:pStyle w:val="paratext"/>
        <w:rPr>
          <w:lang w:val="en-AU"/>
        </w:rPr>
      </w:pPr>
      <w:r w:rsidRPr="00275FC7">
        <w:rPr>
          <w:lang w:val="en-AU"/>
        </w:rPr>
        <w:t>Where provide</w:t>
      </w:r>
      <w:r w:rsidR="00015E2D" w:rsidRPr="00275FC7">
        <w:rPr>
          <w:lang w:val="en-AU"/>
        </w:rPr>
        <w:t>r</w:t>
      </w:r>
      <w:r w:rsidRPr="00275FC7">
        <w:rPr>
          <w:lang w:val="en-AU"/>
        </w:rPr>
        <w:t xml:space="preserve">s do make </w:t>
      </w:r>
      <w:r w:rsidRPr="00275FC7">
        <w:t xml:space="preserve">reasonable adjustments, research shows there’s considerable </w:t>
      </w:r>
      <w:r w:rsidR="008F6CA7" w:rsidRPr="00275FC7">
        <w:rPr>
          <w:lang w:val="en-AU"/>
        </w:rPr>
        <w:t>inconsistency</w:t>
      </w:r>
      <w:r w:rsidRPr="00275FC7">
        <w:rPr>
          <w:lang w:val="en-AU"/>
        </w:rPr>
        <w:t xml:space="preserve"> in the types of adjustments they provide, and the quality and nature of the support services they offer (Fo</w:t>
      </w:r>
      <w:r w:rsidR="008F6CA7" w:rsidRPr="00275FC7">
        <w:rPr>
          <w:lang w:val="en-AU"/>
        </w:rPr>
        <w:t>s</w:t>
      </w:r>
      <w:r w:rsidRPr="00275FC7">
        <w:rPr>
          <w:lang w:val="en-AU"/>
        </w:rPr>
        <w:t>sey et al., 2015). Individual lecturers don’t always have the skills and understanding to make adjustments or to help students access appropriate support (Gulliver, Farrer, Bennett &amp; Griffiths, 2019).</w:t>
      </w:r>
      <w:r w:rsidR="00CD220E" w:rsidRPr="00275FC7">
        <w:rPr>
          <w:lang w:val="en-AU"/>
        </w:rPr>
        <w:t xml:space="preserve"> Competing priorities of teaching staff, combined with the increasing casualisation of the teaching workforce, add to the complexity of the situation. </w:t>
      </w:r>
      <w:r w:rsidR="004A343A" w:rsidRPr="00275FC7">
        <w:rPr>
          <w:lang w:val="en-AU"/>
        </w:rPr>
        <w:t>This</w:t>
      </w:r>
      <w:r w:rsidR="005D0B80" w:rsidRPr="00275FC7">
        <w:rPr>
          <w:lang w:val="en-AU"/>
        </w:rPr>
        <w:t xml:space="preserve"> is why it is necessary to have a professional and specialised workforce of disability practitioners who have the appropriate </w:t>
      </w:r>
      <w:r w:rsidR="00B8563C" w:rsidRPr="00275FC7">
        <w:rPr>
          <w:lang w:val="en-AU"/>
        </w:rPr>
        <w:t>expertise and frameworks to</w:t>
      </w:r>
      <w:r w:rsidR="008B32EC" w:rsidRPr="00275FC7">
        <w:rPr>
          <w:lang w:val="en-AU"/>
        </w:rPr>
        <w:t xml:space="preserve"> foster </w:t>
      </w:r>
      <w:r w:rsidR="00A41B26" w:rsidRPr="00275FC7">
        <w:rPr>
          <w:lang w:val="en-AU"/>
        </w:rPr>
        <w:t xml:space="preserve">increased awareness and </w:t>
      </w:r>
      <w:r w:rsidR="00BC07D2" w:rsidRPr="00275FC7">
        <w:rPr>
          <w:lang w:val="en-AU"/>
        </w:rPr>
        <w:t xml:space="preserve">cultural change, bridge the gap in knowledge of </w:t>
      </w:r>
      <w:r w:rsidR="005752DF" w:rsidRPr="00275FC7">
        <w:rPr>
          <w:lang w:val="en-AU"/>
        </w:rPr>
        <w:t>teaching staff, negotiate reasonable adjustments</w:t>
      </w:r>
      <w:r w:rsidR="00F1754A" w:rsidRPr="00275FC7">
        <w:rPr>
          <w:lang w:val="en-AU"/>
        </w:rPr>
        <w:t xml:space="preserve"> in consultation with students</w:t>
      </w:r>
      <w:r w:rsidR="005752DF" w:rsidRPr="00275FC7">
        <w:rPr>
          <w:lang w:val="en-AU"/>
        </w:rPr>
        <w:t xml:space="preserve">, and support </w:t>
      </w:r>
      <w:r w:rsidR="005A4B9D" w:rsidRPr="00275FC7">
        <w:rPr>
          <w:lang w:val="en-AU"/>
        </w:rPr>
        <w:t xml:space="preserve">student-centred supports and </w:t>
      </w:r>
      <w:r w:rsidR="005752DF" w:rsidRPr="00275FC7">
        <w:rPr>
          <w:lang w:val="en-AU"/>
        </w:rPr>
        <w:t>student self-advocacy</w:t>
      </w:r>
      <w:r w:rsidR="005202CC" w:rsidRPr="00275FC7">
        <w:rPr>
          <w:lang w:val="en-AU"/>
        </w:rPr>
        <w:t xml:space="preserve"> (</w:t>
      </w:r>
      <w:r w:rsidR="006659E7" w:rsidRPr="00275FC7">
        <w:rPr>
          <w:lang w:val="en-AU"/>
        </w:rPr>
        <w:t>Fossey et al, 201</w:t>
      </w:r>
      <w:r w:rsidR="00F76B68" w:rsidRPr="00275FC7">
        <w:rPr>
          <w:lang w:val="en-AU"/>
        </w:rPr>
        <w:t>7</w:t>
      </w:r>
      <w:r w:rsidR="006659E7" w:rsidRPr="00275FC7">
        <w:rPr>
          <w:lang w:val="en-AU"/>
        </w:rPr>
        <w:t xml:space="preserve">; Hitches, 2021; </w:t>
      </w:r>
      <w:r w:rsidR="005202CC" w:rsidRPr="00275FC7">
        <w:rPr>
          <w:lang w:val="en-AU"/>
        </w:rPr>
        <w:t>Pitman, 2022</w:t>
      </w:r>
      <w:r w:rsidR="00A4492A" w:rsidRPr="00275FC7">
        <w:rPr>
          <w:lang w:val="en-AU"/>
        </w:rPr>
        <w:t>)</w:t>
      </w:r>
      <w:r w:rsidR="005752DF" w:rsidRPr="00275FC7">
        <w:rPr>
          <w:lang w:val="en-AU"/>
        </w:rPr>
        <w:t>.</w:t>
      </w:r>
    </w:p>
    <w:p w14:paraId="6F4412AE" w14:textId="5E8717F9" w:rsidR="00B76C7C" w:rsidRPr="00275FC7" w:rsidRDefault="00B76C7C" w:rsidP="0043695E">
      <w:pPr>
        <w:pStyle w:val="paratext"/>
        <w:rPr>
          <w:lang w:val="en-AU"/>
        </w:rPr>
      </w:pPr>
      <w:r w:rsidRPr="00275FC7">
        <w:rPr>
          <w:lang w:val="en-AU"/>
        </w:rPr>
        <w:t xml:space="preserve">Also, students usually </w:t>
      </w:r>
      <w:r w:rsidR="00E12160" w:rsidRPr="00275FC7">
        <w:rPr>
          <w:lang w:val="en-AU"/>
        </w:rPr>
        <w:t>must</w:t>
      </w:r>
      <w:r w:rsidRPr="00275FC7">
        <w:rPr>
          <w:lang w:val="en-AU"/>
        </w:rPr>
        <w:t xml:space="preserve"> </w:t>
      </w:r>
      <w:r w:rsidR="008D6EF1" w:rsidRPr="00275FC7">
        <w:rPr>
          <w:lang w:val="en-AU"/>
        </w:rPr>
        <w:t xml:space="preserve">self-identify as having disability and </w:t>
      </w:r>
      <w:r w:rsidRPr="00275FC7">
        <w:rPr>
          <w:lang w:val="en-AU"/>
        </w:rPr>
        <w:t xml:space="preserve">disclose their illness or disability to </w:t>
      </w:r>
      <w:r w:rsidRPr="00275FC7">
        <w:t>access reasonable adjustment supports, which they’re often reluctant to do</w:t>
      </w:r>
      <w:r w:rsidR="00CD220E" w:rsidRPr="00275FC7">
        <w:t xml:space="preserve"> for a host of reasons pertaining to discriminatory practices that persist in </w:t>
      </w:r>
      <w:r w:rsidR="00BA3880" w:rsidRPr="00275FC7">
        <w:t xml:space="preserve">tertiary </w:t>
      </w:r>
      <w:r w:rsidR="00CD220E" w:rsidRPr="00275FC7">
        <w:t>education</w:t>
      </w:r>
      <w:r w:rsidRPr="00275FC7">
        <w:t xml:space="preserve">. In </w:t>
      </w:r>
      <w:r w:rsidR="008D6EF1" w:rsidRPr="00275FC7">
        <w:t xml:space="preserve">2018 in </w:t>
      </w:r>
      <w:r w:rsidRPr="00275FC7">
        <w:t>Australia, only</w:t>
      </w:r>
      <w:r w:rsidRPr="00275FC7">
        <w:rPr>
          <w:lang w:val="en-AU"/>
        </w:rPr>
        <w:t xml:space="preserve"> 5.2% of domestic students </w:t>
      </w:r>
      <w:r w:rsidR="008D6EF1" w:rsidRPr="00275FC7">
        <w:rPr>
          <w:lang w:val="en-AU"/>
        </w:rPr>
        <w:t>we</w:t>
      </w:r>
      <w:r w:rsidRPr="00275FC7">
        <w:rPr>
          <w:lang w:val="en-AU"/>
        </w:rPr>
        <w:t>re known to have a disability, yet evidence suggests this is a gross underestimat</w:t>
      </w:r>
      <w:r w:rsidR="00415734" w:rsidRPr="00275FC7">
        <w:rPr>
          <w:lang w:val="en-AU"/>
        </w:rPr>
        <w:t>ion</w:t>
      </w:r>
      <w:r w:rsidRPr="00275FC7">
        <w:rPr>
          <w:lang w:val="en-AU"/>
        </w:rPr>
        <w:t xml:space="preserve"> of the number of students with a disability, indicating that many students aren’t identifying their disability or presenting to disability services (Spencer, Lewis &amp; Reid, 2018).</w:t>
      </w:r>
    </w:p>
    <w:p w14:paraId="39AC1759" w14:textId="77777777" w:rsidR="00FB09C5" w:rsidRPr="00275FC7" w:rsidRDefault="00FB09C5" w:rsidP="00FB09C5">
      <w:pPr>
        <w:pStyle w:val="NormalWeb"/>
        <w:rPr>
          <w:rFonts w:ascii="Arial" w:hAnsi="Arial" w:cs="Arial"/>
          <w:sz w:val="22"/>
          <w:szCs w:val="22"/>
          <w:lang w:val="en-AU"/>
        </w:rPr>
      </w:pPr>
    </w:p>
    <w:p w14:paraId="1FD7EC9F" w14:textId="0786698C" w:rsidR="00FB09C5" w:rsidRPr="00275FC7" w:rsidRDefault="00970750" w:rsidP="00FB09C5">
      <w:pPr>
        <w:pStyle w:val="NormalWeb"/>
        <w:rPr>
          <w:rFonts w:ascii="Arial" w:eastAsia="Times New Roman" w:hAnsi="Arial" w:cs="Arial"/>
          <w:sz w:val="22"/>
          <w:szCs w:val="22"/>
          <w:lang w:val="en-AU"/>
        </w:rPr>
      </w:pPr>
      <w:r w:rsidRPr="00275FC7">
        <w:rPr>
          <w:rFonts w:ascii="Arial" w:hAnsi="Arial" w:cs="Arial"/>
          <w:sz w:val="22"/>
          <w:szCs w:val="22"/>
          <w:lang w:val="en-AU"/>
        </w:rPr>
        <w:lastRenderedPageBreak/>
        <w:t xml:space="preserve">The requirement for students to obtain clinical verification of their </w:t>
      </w:r>
      <w:r w:rsidR="006D46A3" w:rsidRPr="00275FC7">
        <w:rPr>
          <w:rFonts w:ascii="Arial" w:hAnsi="Arial" w:cs="Arial"/>
          <w:sz w:val="22"/>
          <w:szCs w:val="22"/>
          <w:lang w:val="en-AU"/>
        </w:rPr>
        <w:t xml:space="preserve">disability </w:t>
      </w:r>
      <w:r w:rsidRPr="00275FC7">
        <w:rPr>
          <w:rFonts w:ascii="Arial" w:hAnsi="Arial" w:cs="Arial"/>
          <w:sz w:val="22"/>
          <w:szCs w:val="22"/>
          <w:lang w:val="en-AU"/>
        </w:rPr>
        <w:t>further places the onus on students with disability to enforce their rights</w:t>
      </w:r>
      <w:r w:rsidR="00F66DCB" w:rsidRPr="00275FC7">
        <w:rPr>
          <w:rFonts w:ascii="Arial" w:hAnsi="Arial" w:cs="Arial"/>
          <w:sz w:val="22"/>
          <w:szCs w:val="22"/>
          <w:lang w:val="en-AU"/>
        </w:rPr>
        <w:t xml:space="preserve">. </w:t>
      </w:r>
      <w:r w:rsidRPr="00275FC7">
        <w:rPr>
          <w:rFonts w:ascii="Arial" w:hAnsi="Arial" w:cs="Arial"/>
          <w:sz w:val="22"/>
          <w:szCs w:val="22"/>
          <w:lang w:val="en-AU"/>
        </w:rPr>
        <w:t xml:space="preserve">Some students may be reluctant to share information about their </w:t>
      </w:r>
      <w:r w:rsidR="00FB09C5" w:rsidRPr="00275FC7">
        <w:rPr>
          <w:rFonts w:ascii="Arial" w:hAnsi="Arial" w:cs="Arial"/>
          <w:sz w:val="22"/>
          <w:szCs w:val="22"/>
          <w:lang w:val="en-AU"/>
        </w:rPr>
        <w:t>disability or</w:t>
      </w:r>
      <w:r w:rsidRPr="00275FC7">
        <w:rPr>
          <w:rFonts w:ascii="Arial" w:hAnsi="Arial" w:cs="Arial"/>
          <w:sz w:val="22"/>
          <w:szCs w:val="22"/>
          <w:lang w:val="en-AU"/>
        </w:rPr>
        <w:t xml:space="preserve"> be unable to afford or access an assessment</w:t>
      </w:r>
      <w:r w:rsidR="00AC1A68" w:rsidRPr="00275FC7">
        <w:rPr>
          <w:rFonts w:ascii="Arial" w:hAnsi="Arial" w:cs="Arial"/>
          <w:sz w:val="22"/>
          <w:szCs w:val="22"/>
          <w:lang w:val="en-AU"/>
        </w:rPr>
        <w:t>. T</w:t>
      </w:r>
      <w:r w:rsidR="00A86173" w:rsidRPr="00275FC7">
        <w:rPr>
          <w:rFonts w:ascii="Arial" w:hAnsi="Arial" w:cs="Arial"/>
          <w:sz w:val="22"/>
          <w:szCs w:val="22"/>
          <w:lang w:val="en-AU"/>
        </w:rPr>
        <w:t xml:space="preserve">hese assessments </w:t>
      </w:r>
      <w:r w:rsidR="05CEA4E3" w:rsidRPr="00275FC7">
        <w:rPr>
          <w:rFonts w:ascii="Arial" w:hAnsi="Arial" w:cs="Arial"/>
          <w:sz w:val="22"/>
          <w:szCs w:val="22"/>
          <w:lang w:val="en-AU"/>
        </w:rPr>
        <w:t xml:space="preserve">on average </w:t>
      </w:r>
      <w:r w:rsidR="00A86173" w:rsidRPr="00275FC7">
        <w:rPr>
          <w:rFonts w:ascii="Arial" w:hAnsi="Arial" w:cs="Arial"/>
          <w:sz w:val="22"/>
          <w:szCs w:val="22"/>
          <w:lang w:val="en-AU"/>
        </w:rPr>
        <w:t>can range from between $700 and $1500</w:t>
      </w:r>
      <w:r w:rsidR="00AC1A68" w:rsidRPr="00275FC7">
        <w:rPr>
          <w:rFonts w:ascii="Arial" w:hAnsi="Arial" w:cs="Arial"/>
          <w:sz w:val="22"/>
          <w:szCs w:val="22"/>
          <w:lang w:val="en-AU"/>
        </w:rPr>
        <w:t xml:space="preserve"> and institutions usually require</w:t>
      </w:r>
      <w:r w:rsidR="00FD23BF" w:rsidRPr="00275FC7">
        <w:rPr>
          <w:rFonts w:ascii="Arial" w:hAnsi="Arial" w:cs="Arial"/>
          <w:sz w:val="22"/>
          <w:szCs w:val="22"/>
          <w:lang w:val="en-AU"/>
        </w:rPr>
        <w:t xml:space="preserve"> an assessment that is no more than 3 to 5 years old. These costs are </w:t>
      </w:r>
      <w:r w:rsidR="008738FF" w:rsidRPr="00275FC7">
        <w:rPr>
          <w:rFonts w:ascii="Arial" w:hAnsi="Arial" w:cs="Arial"/>
          <w:sz w:val="22"/>
          <w:szCs w:val="22"/>
          <w:lang w:val="en-AU"/>
        </w:rPr>
        <w:t xml:space="preserve">often </w:t>
      </w:r>
      <w:r w:rsidR="00FD23BF" w:rsidRPr="00275FC7">
        <w:rPr>
          <w:rFonts w:ascii="Arial" w:hAnsi="Arial" w:cs="Arial"/>
          <w:sz w:val="22"/>
          <w:szCs w:val="22"/>
          <w:lang w:val="en-AU"/>
        </w:rPr>
        <w:t xml:space="preserve">prohibitive for </w:t>
      </w:r>
      <w:r w:rsidR="008738FF" w:rsidRPr="00275FC7">
        <w:rPr>
          <w:rFonts w:ascii="Arial" w:hAnsi="Arial" w:cs="Arial"/>
          <w:sz w:val="22"/>
          <w:szCs w:val="22"/>
          <w:lang w:val="en-AU"/>
        </w:rPr>
        <w:t>individuals and their families</w:t>
      </w:r>
      <w:r w:rsidR="00942571">
        <w:rPr>
          <w:rFonts w:ascii="Arial" w:hAnsi="Arial" w:cs="Arial"/>
          <w:sz w:val="22"/>
          <w:szCs w:val="22"/>
          <w:lang w:val="en-AU"/>
        </w:rPr>
        <w:t>.</w:t>
      </w:r>
      <w:r w:rsidR="008F6CA7" w:rsidRPr="00275FC7">
        <w:rPr>
          <w:rFonts w:ascii="Arial" w:hAnsi="Arial" w:cs="Arial"/>
          <w:sz w:val="22"/>
          <w:szCs w:val="22"/>
          <w:lang w:val="en-AU"/>
        </w:rPr>
        <w:t xml:space="preserve"> </w:t>
      </w:r>
      <w:r w:rsidR="00FB09C5" w:rsidRPr="00275FC7">
        <w:rPr>
          <w:rFonts w:ascii="Arial" w:hAnsi="Arial" w:cs="Arial"/>
          <w:sz w:val="22"/>
          <w:szCs w:val="22"/>
          <w:lang w:val="en-AU"/>
        </w:rPr>
        <w:t xml:space="preserve">Additionally, while health professionals can make a clinical assessment or diagnosis, their skill set </w:t>
      </w:r>
      <w:r w:rsidR="001C48EE" w:rsidRPr="00275FC7">
        <w:rPr>
          <w:rFonts w:ascii="Arial" w:hAnsi="Arial" w:cs="Arial"/>
          <w:sz w:val="22"/>
          <w:szCs w:val="22"/>
          <w:lang w:val="en-AU"/>
        </w:rPr>
        <w:t xml:space="preserve">may </w:t>
      </w:r>
      <w:r w:rsidR="00FB09C5" w:rsidRPr="00275FC7">
        <w:rPr>
          <w:rFonts w:ascii="Arial" w:hAnsi="Arial" w:cs="Arial"/>
          <w:sz w:val="22"/>
          <w:szCs w:val="22"/>
          <w:lang w:val="en-AU"/>
        </w:rPr>
        <w:t xml:space="preserve">not extend to identifying the </w:t>
      </w:r>
      <w:r w:rsidR="00FB09C5" w:rsidRPr="00275FC7">
        <w:rPr>
          <w:rFonts w:ascii="Arial" w:eastAsia="Times New Roman" w:hAnsi="Arial" w:cs="Arial"/>
          <w:sz w:val="22"/>
          <w:szCs w:val="22"/>
          <w:lang w:val="en-AU"/>
        </w:rPr>
        <w:t>impact of a person’s disability on their learning or what appropriate reasonable adjustments and supports might be needed in a</w:t>
      </w:r>
      <w:r w:rsidR="00FA492F" w:rsidRPr="00275FC7">
        <w:rPr>
          <w:rFonts w:ascii="Arial" w:eastAsia="Times New Roman" w:hAnsi="Arial" w:cs="Arial"/>
          <w:sz w:val="22"/>
          <w:szCs w:val="22"/>
          <w:lang w:val="en-AU"/>
        </w:rPr>
        <w:t xml:space="preserve"> </w:t>
      </w:r>
      <w:r w:rsidR="008F6CA7" w:rsidRPr="00275FC7">
        <w:rPr>
          <w:rFonts w:ascii="Arial" w:eastAsia="Times New Roman" w:hAnsi="Arial" w:cs="Arial"/>
          <w:sz w:val="22"/>
          <w:szCs w:val="22"/>
          <w:lang w:val="en-AU"/>
        </w:rPr>
        <w:t>specific</w:t>
      </w:r>
      <w:r w:rsidR="00FB09C5" w:rsidRPr="00275FC7">
        <w:rPr>
          <w:rFonts w:ascii="Arial" w:eastAsia="Times New Roman" w:hAnsi="Arial" w:cs="Arial"/>
          <w:sz w:val="22"/>
          <w:szCs w:val="22"/>
          <w:lang w:val="en-AU"/>
        </w:rPr>
        <w:t xml:space="preserve"> learning context</w:t>
      </w:r>
      <w:r w:rsidR="00CD325B" w:rsidRPr="00275FC7">
        <w:rPr>
          <w:rFonts w:ascii="Arial" w:eastAsia="Times New Roman" w:hAnsi="Arial" w:cs="Arial"/>
          <w:sz w:val="22"/>
          <w:szCs w:val="22"/>
          <w:lang w:val="en-AU"/>
        </w:rPr>
        <w:t xml:space="preserve">. </w:t>
      </w:r>
      <w:r w:rsidR="00A86173" w:rsidRPr="00275FC7">
        <w:rPr>
          <w:rFonts w:ascii="Arial" w:hAnsi="Arial" w:cs="Arial"/>
          <w:sz w:val="22"/>
          <w:szCs w:val="22"/>
          <w:lang w:val="en-AU"/>
        </w:rPr>
        <w:t>Children and young adults may have assessments for the purposes of primary and secondary education but not for post-secondary education.</w:t>
      </w:r>
      <w:r w:rsidR="00CD325B" w:rsidRPr="00275FC7">
        <w:rPr>
          <w:rFonts w:ascii="Arial" w:eastAsia="Times New Roman" w:hAnsi="Arial" w:cs="Arial"/>
          <w:sz w:val="22"/>
          <w:szCs w:val="22"/>
          <w:lang w:val="en-AU"/>
        </w:rPr>
        <w:t xml:space="preserve"> In addition, </w:t>
      </w:r>
      <w:r w:rsidR="00EC497E" w:rsidRPr="00275FC7">
        <w:rPr>
          <w:rFonts w:ascii="Arial" w:eastAsia="Times New Roman" w:hAnsi="Arial" w:cs="Arial"/>
          <w:sz w:val="22"/>
          <w:szCs w:val="22"/>
          <w:lang w:val="en-AU"/>
        </w:rPr>
        <w:t xml:space="preserve">while most </w:t>
      </w:r>
      <w:r w:rsidR="00CD325B" w:rsidRPr="00275FC7">
        <w:rPr>
          <w:rFonts w:ascii="Arial" w:eastAsia="Times New Roman" w:hAnsi="Arial" w:cs="Arial"/>
          <w:sz w:val="22"/>
          <w:szCs w:val="22"/>
          <w:lang w:val="en-AU"/>
        </w:rPr>
        <w:t>students are best placed to know what works for them based on their individual experiences and learning needs</w:t>
      </w:r>
      <w:r w:rsidR="00EC497E" w:rsidRPr="00275FC7">
        <w:rPr>
          <w:rFonts w:ascii="Arial" w:eastAsia="Times New Roman" w:hAnsi="Arial" w:cs="Arial"/>
          <w:sz w:val="22"/>
          <w:szCs w:val="22"/>
          <w:lang w:val="en-AU"/>
        </w:rPr>
        <w:t xml:space="preserve"> this is not always the case for adult students with a recent diagnosis</w:t>
      </w:r>
      <w:r w:rsidR="00CD325B" w:rsidRPr="00275FC7">
        <w:rPr>
          <w:rFonts w:ascii="Arial" w:eastAsia="Times New Roman" w:hAnsi="Arial" w:cs="Arial"/>
          <w:sz w:val="22"/>
          <w:szCs w:val="22"/>
          <w:lang w:val="en-AU"/>
        </w:rPr>
        <w:t>.</w:t>
      </w:r>
    </w:p>
    <w:p w14:paraId="3B59CD14" w14:textId="75024301" w:rsidR="00970750" w:rsidRPr="00275FC7" w:rsidRDefault="00FB09C5" w:rsidP="0043695E">
      <w:pPr>
        <w:pStyle w:val="paratext"/>
        <w:rPr>
          <w:lang w:val="en-AU"/>
        </w:rPr>
      </w:pPr>
      <w:r w:rsidRPr="00275FC7">
        <w:rPr>
          <w:lang w:val="en-AU"/>
        </w:rPr>
        <w:t>Further, t</w:t>
      </w:r>
      <w:r w:rsidR="00970750" w:rsidRPr="00275FC7">
        <w:rPr>
          <w:lang w:val="en-AU"/>
        </w:rPr>
        <w:t xml:space="preserve">his ‘verification’ approach </w:t>
      </w:r>
      <w:r w:rsidRPr="00275FC7">
        <w:rPr>
          <w:lang w:val="en-AU"/>
        </w:rPr>
        <w:t xml:space="preserve">perpetuates </w:t>
      </w:r>
      <w:r w:rsidR="00970750" w:rsidRPr="00275FC7">
        <w:rPr>
          <w:lang w:val="en-AU"/>
        </w:rPr>
        <w:t xml:space="preserve">a medicalised model of disability, </w:t>
      </w:r>
      <w:r w:rsidR="00417C70" w:rsidRPr="00275FC7">
        <w:rPr>
          <w:lang w:val="en-AU"/>
        </w:rPr>
        <w:t xml:space="preserve">and is </w:t>
      </w:r>
      <w:r w:rsidR="00970750" w:rsidRPr="00275FC7">
        <w:rPr>
          <w:lang w:val="en-AU"/>
        </w:rPr>
        <w:t xml:space="preserve">at odds with </w:t>
      </w:r>
      <w:r w:rsidRPr="00275FC7">
        <w:rPr>
          <w:lang w:val="en-AU"/>
        </w:rPr>
        <w:t>the National Disability Strategy, which explicitly recognises the social model of disability</w:t>
      </w:r>
      <w:r w:rsidR="001C48EE" w:rsidRPr="00275FC7">
        <w:rPr>
          <w:rStyle w:val="FootnoteReference"/>
          <w:lang w:val="en-AU"/>
        </w:rPr>
        <w:footnoteReference w:id="3"/>
      </w:r>
      <w:r w:rsidR="008F6CA7" w:rsidRPr="00275FC7">
        <w:rPr>
          <w:lang w:val="en-AU"/>
        </w:rPr>
        <w:t>.</w:t>
      </w:r>
      <w:r w:rsidR="009B4267" w:rsidRPr="00275FC7">
        <w:rPr>
          <w:lang w:val="en-AU"/>
        </w:rPr>
        <w:t xml:space="preserve"> </w:t>
      </w:r>
    </w:p>
    <w:p w14:paraId="218D9014" w14:textId="6608C2D9" w:rsidR="00B76C7C" w:rsidRPr="00275FC7" w:rsidRDefault="00B76C7C" w:rsidP="0043695E">
      <w:pPr>
        <w:pStyle w:val="paratext"/>
        <w:rPr>
          <w:lang w:val="en-AU"/>
        </w:rPr>
      </w:pPr>
      <w:r w:rsidRPr="00275FC7">
        <w:rPr>
          <w:lang w:val="en-AU"/>
        </w:rPr>
        <w:t xml:space="preserve">Although online tertiary study options can be attractive to students with a disability, and are becoming increasingly available, studies have shown that online materials often aren’t accessible or designed according to Universal Design Principles </w:t>
      </w:r>
      <w:r w:rsidR="006F118F" w:rsidRPr="00275FC7">
        <w:rPr>
          <w:lang w:val="en-AU"/>
        </w:rPr>
        <w:t>(</w:t>
      </w:r>
      <w:r w:rsidRPr="00275FC7">
        <w:rPr>
          <w:lang w:val="en-AU"/>
        </w:rPr>
        <w:t>Edwards, 2019). Additionally, lecturers need to have the knowledge and skills to deliver online learning in an accessible and supportive way (Burgstahler, 2015), which isn’t always the case</w:t>
      </w:r>
      <w:r w:rsidR="008F6CA7" w:rsidRPr="00275FC7">
        <w:rPr>
          <w:lang w:val="en-AU"/>
        </w:rPr>
        <w:t xml:space="preserve">. </w:t>
      </w:r>
    </w:p>
    <w:p w14:paraId="07E992EB" w14:textId="0334B4E3" w:rsidR="00EE2ADD" w:rsidRPr="00275FC7" w:rsidRDefault="00B76C7C" w:rsidP="0043695E">
      <w:pPr>
        <w:pStyle w:val="paratext"/>
        <w:rPr>
          <w:lang w:val="en-AU"/>
        </w:rPr>
      </w:pPr>
      <w:r w:rsidRPr="00275FC7">
        <w:rPr>
          <w:lang w:val="en-AU"/>
        </w:rPr>
        <w:t xml:space="preserve">In summary – the legislation places the onus on students to know their rights, to register with a support service, to </w:t>
      </w:r>
      <w:r w:rsidR="00FB09C5" w:rsidRPr="00275FC7">
        <w:rPr>
          <w:lang w:val="en-AU"/>
        </w:rPr>
        <w:t xml:space="preserve">share information about </w:t>
      </w:r>
      <w:r w:rsidRPr="00275FC7">
        <w:rPr>
          <w:lang w:val="en-AU"/>
        </w:rPr>
        <w:t>their disability and demonstrate their need for support</w:t>
      </w:r>
      <w:r w:rsidR="00CD220E" w:rsidRPr="00275FC7">
        <w:rPr>
          <w:lang w:val="en-AU"/>
        </w:rPr>
        <w:t>, while teaching staff face competing priorities and pressures</w:t>
      </w:r>
      <w:r w:rsidRPr="00275FC7">
        <w:rPr>
          <w:lang w:val="en-AU"/>
        </w:rPr>
        <w:t xml:space="preserve">. </w:t>
      </w:r>
      <w:r w:rsidR="00EE2ADD" w:rsidRPr="00275FC7">
        <w:rPr>
          <w:lang w:val="en-AU"/>
        </w:rPr>
        <w:t>There is no publicly available data about provider compliance and few consequences when providers are not compliant (DESE</w:t>
      </w:r>
      <w:r w:rsidR="00CE64A5" w:rsidRPr="00275FC7">
        <w:rPr>
          <w:lang w:val="en-AU"/>
        </w:rPr>
        <w:t>,</w:t>
      </w:r>
      <w:r w:rsidR="00EE2ADD" w:rsidRPr="00275FC7">
        <w:rPr>
          <w:lang w:val="en-AU"/>
        </w:rPr>
        <w:t xml:space="preserve"> 2020)</w:t>
      </w:r>
      <w:r w:rsidR="008F6CA7" w:rsidRPr="00275FC7">
        <w:rPr>
          <w:lang w:val="en-AU"/>
        </w:rPr>
        <w:t xml:space="preserve">. </w:t>
      </w:r>
    </w:p>
    <w:p w14:paraId="4EDD1446" w14:textId="623AE17E" w:rsidR="00B76C7C" w:rsidRPr="00275FC7" w:rsidRDefault="00B76C7C" w:rsidP="0043695E">
      <w:pPr>
        <w:pStyle w:val="paratext"/>
        <w:rPr>
          <w:lang w:val="en-AU"/>
        </w:rPr>
      </w:pPr>
      <w:r w:rsidRPr="00275FC7">
        <w:rPr>
          <w:lang w:val="en-AU"/>
        </w:rPr>
        <w:t xml:space="preserve">The processes are complex to navigate (Fossey et al 2015) and it’s a reactive, case by case model, rather than an all-encompassing inclusive approach. Because there’s no way of capturing data or sharing best practice about the adjustments universities make and how effective they are, there’s also no way of knowing how effective the legislation is in achieving its aim. </w:t>
      </w:r>
    </w:p>
    <w:p w14:paraId="7A80C477" w14:textId="77777777" w:rsidR="00B76C7C" w:rsidRPr="00275FC7" w:rsidRDefault="00B76C7C" w:rsidP="0043695E">
      <w:pPr>
        <w:pStyle w:val="paratext"/>
        <w:rPr>
          <w:i/>
          <w:iCs/>
          <w:u w:val="single"/>
          <w:lang w:val="en-AU"/>
        </w:rPr>
      </w:pPr>
      <w:r w:rsidRPr="00275FC7">
        <w:rPr>
          <w:i/>
          <w:iCs/>
          <w:u w:val="single"/>
          <w:lang w:val="en-AU"/>
        </w:rPr>
        <w:t>Accessible buildings are not mandated</w:t>
      </w:r>
    </w:p>
    <w:p w14:paraId="38FE08C2" w14:textId="0F44F0F8" w:rsidR="00B76C7C" w:rsidRPr="00275FC7" w:rsidRDefault="00B76C7C" w:rsidP="0043695E">
      <w:pPr>
        <w:pStyle w:val="paratext"/>
        <w:rPr>
          <w:lang w:val="en-AU"/>
        </w:rPr>
      </w:pPr>
      <w:r w:rsidRPr="00275FC7">
        <w:t xml:space="preserve">The lack of access to adequate sanitary facilities can also be a barrier to participation in education (and employment) for people with disability – and again puts the onus on students to pursue modifications by an institution. Currently, </w:t>
      </w:r>
      <w:r w:rsidRPr="00275FC7">
        <w:rPr>
          <w:lang w:val="en-AU"/>
        </w:rPr>
        <w:t>TAFE and university buildings are specifically ex</w:t>
      </w:r>
      <w:r w:rsidR="00942571">
        <w:rPr>
          <w:lang w:val="en-AU"/>
        </w:rPr>
        <w:t>empt</w:t>
      </w:r>
      <w:r w:rsidRPr="00275FC7">
        <w:rPr>
          <w:lang w:val="en-AU"/>
        </w:rPr>
        <w:t>ed from the requirement to provide accessible amenities – a requirement which applies to other public buildings, such as shopping centres, sports venues, museums, art galleries and airports via the 2019 National Construction Code Volume One.</w:t>
      </w:r>
      <w:r w:rsidRPr="00275FC7">
        <w:rPr>
          <w:i/>
          <w:iCs/>
          <w:lang w:val="en-AU"/>
        </w:rPr>
        <w:t xml:space="preserve"> </w:t>
      </w:r>
      <w:r w:rsidRPr="00275FC7">
        <w:rPr>
          <w:lang w:val="en-AU"/>
        </w:rPr>
        <w:t xml:space="preserve">This situation allows providers to </w:t>
      </w:r>
      <w:r w:rsidRPr="00275FC7">
        <w:rPr>
          <w:lang w:val="en-AU"/>
        </w:rPr>
        <w:lastRenderedPageBreak/>
        <w:t xml:space="preserve">decline to make building modifications if they are seen as out of scope, too expensive or difficult. </w:t>
      </w:r>
    </w:p>
    <w:p w14:paraId="33345E47" w14:textId="3CE37835" w:rsidR="00D877F3" w:rsidRPr="00275FC7" w:rsidRDefault="00D877F3" w:rsidP="0043695E">
      <w:pPr>
        <w:pStyle w:val="paratext"/>
        <w:rPr>
          <w:lang w:val="en-AU"/>
        </w:rPr>
      </w:pPr>
      <w:r w:rsidRPr="00275FC7">
        <w:rPr>
          <w:lang w:val="en-AU"/>
        </w:rPr>
        <w:t xml:space="preserve">People with lived experience of disability have shared stories of the challenges of finding accessible toilets on campus, and of not having undercover accessible walkways to offer protection from rain, a particular challenge if someone is relying on a motorised wheelchair and/or </w:t>
      </w:r>
      <w:r w:rsidR="006D46A3" w:rsidRPr="00275FC7">
        <w:rPr>
          <w:lang w:val="en-AU"/>
        </w:rPr>
        <w:t xml:space="preserve">is unable to </w:t>
      </w:r>
      <w:r w:rsidRPr="00275FC7">
        <w:rPr>
          <w:lang w:val="en-AU"/>
        </w:rPr>
        <w:t>hold an umbrella.</w:t>
      </w:r>
    </w:p>
    <w:p w14:paraId="04A2DA50" w14:textId="2A4B2AB7" w:rsidR="00B76C7C" w:rsidRPr="00275FC7" w:rsidRDefault="00B76C7C" w:rsidP="0043695E">
      <w:pPr>
        <w:pStyle w:val="paratext"/>
        <w:rPr>
          <w:lang w:val="en-AU"/>
        </w:rPr>
      </w:pPr>
      <w:r w:rsidRPr="00275FC7">
        <w:t xml:space="preserve">In the absence of a legislative requirement, </w:t>
      </w:r>
      <w:r w:rsidRPr="00275FC7">
        <w:rPr>
          <w:iCs/>
        </w:rPr>
        <w:t>voluntary</w:t>
      </w:r>
      <w:r w:rsidRPr="00275FC7">
        <w:t xml:space="preserve"> efforts to increase accessible public toilet and change rooms for </w:t>
      </w:r>
      <w:r w:rsidR="006D46A3" w:rsidRPr="00275FC7">
        <w:t xml:space="preserve">individuals </w:t>
      </w:r>
      <w:r w:rsidRPr="00275FC7">
        <w:t>with high support needs are not resulting in widespread change</w:t>
      </w:r>
      <w:r w:rsidR="008F6CA7" w:rsidRPr="00275FC7">
        <w:t xml:space="preserve">. </w:t>
      </w:r>
      <w:r w:rsidRPr="00275FC7">
        <w:t>Changing Places</w:t>
      </w:r>
      <w:r w:rsidR="00491E2F" w:rsidRPr="00275FC7">
        <w:rPr>
          <w:rStyle w:val="FootnoteReference"/>
        </w:rPr>
        <w:footnoteReference w:id="4"/>
      </w:r>
      <w:r w:rsidRPr="00275FC7">
        <w:t xml:space="preserve">, a voluntary initiative, has resulted in four tertiary institutions across the whole of Australia offering bathroom facilities for people with high level physical assistance needs. </w:t>
      </w:r>
      <w:r w:rsidR="00CD220E" w:rsidRPr="00275FC7">
        <w:t xml:space="preserve">This has tended to be thanks to champions associated with those </w:t>
      </w:r>
      <w:r w:rsidR="00F66DCB" w:rsidRPr="00275FC7">
        <w:t>institutions</w:t>
      </w:r>
      <w:r w:rsidR="008F6CA7" w:rsidRPr="00275FC7">
        <w:t xml:space="preserve">. </w:t>
      </w:r>
      <w:r w:rsidRPr="00275FC7">
        <w:t xml:space="preserve">To our knowledge no </w:t>
      </w:r>
      <w:r w:rsidR="00FB09C5" w:rsidRPr="00275FC7">
        <w:t xml:space="preserve">stand-alone </w:t>
      </w:r>
      <w:r w:rsidRPr="00275FC7">
        <w:t>TAFEs anywhere in Australia have implemented the Changing Places initiative</w:t>
      </w:r>
      <w:r w:rsidR="008F6CA7" w:rsidRPr="00275FC7">
        <w:t xml:space="preserve">. </w:t>
      </w:r>
    </w:p>
    <w:p w14:paraId="769DEEC0" w14:textId="77777777" w:rsidR="00B76C7C" w:rsidRPr="00275FC7" w:rsidRDefault="00B76C7C" w:rsidP="0043695E">
      <w:pPr>
        <w:pStyle w:val="paratext"/>
        <w:rPr>
          <w:i/>
          <w:iCs/>
          <w:u w:val="single"/>
          <w:lang w:val="en-AU"/>
        </w:rPr>
      </w:pPr>
      <w:r w:rsidRPr="00275FC7">
        <w:rPr>
          <w:i/>
          <w:iCs/>
          <w:u w:val="single"/>
          <w:lang w:val="en-AU"/>
        </w:rPr>
        <w:t>Accessible learning content is not a given</w:t>
      </w:r>
    </w:p>
    <w:p w14:paraId="23DD24BA" w14:textId="2C9667A1" w:rsidR="00B76C7C" w:rsidRPr="00275FC7" w:rsidRDefault="00B76C7C" w:rsidP="0043695E">
      <w:pPr>
        <w:pStyle w:val="paratext"/>
        <w:rPr>
          <w:lang w:val="en-AU"/>
        </w:rPr>
      </w:pPr>
      <w:r w:rsidRPr="00275FC7">
        <w:rPr>
          <w:lang w:val="en-AU"/>
        </w:rPr>
        <w:t>Inaccessible learning content can be a further barrier to tertiary education, with the onus again on students to pursue accessible options and the creation of downstream costs for institutions</w:t>
      </w:r>
      <w:r w:rsidR="008F6CA7" w:rsidRPr="00275FC7">
        <w:rPr>
          <w:lang w:val="en-AU"/>
        </w:rPr>
        <w:t xml:space="preserve">. </w:t>
      </w:r>
    </w:p>
    <w:p w14:paraId="75D6B97A" w14:textId="61FB9FE5" w:rsidR="00B76C7C" w:rsidRPr="00275FC7" w:rsidRDefault="00B76C7C" w:rsidP="0043695E">
      <w:pPr>
        <w:pStyle w:val="paratext"/>
        <w:rPr>
          <w:lang w:val="en-AU"/>
        </w:rPr>
      </w:pPr>
      <w:r w:rsidRPr="00275FC7">
        <w:rPr>
          <w:lang w:val="en-AU"/>
        </w:rPr>
        <w:t xml:space="preserve">For example, a prescribed text might not be available in an accessible digital format, meaning that the book </w:t>
      </w:r>
      <w:r w:rsidR="00A91511" w:rsidRPr="00275FC7">
        <w:rPr>
          <w:lang w:val="en-AU"/>
        </w:rPr>
        <w:t>must</w:t>
      </w:r>
      <w:r w:rsidRPr="00275FC7">
        <w:rPr>
          <w:lang w:val="en-AU"/>
        </w:rPr>
        <w:t xml:space="preserve"> be manually scanned page by page and retro converted from a PDF into a Word document then corrected for mistakes generated by the scanning and conversion process. This can cost $3-4 per page</w:t>
      </w:r>
      <w:r w:rsidR="00CC7DE5" w:rsidRPr="00275FC7">
        <w:rPr>
          <w:lang w:val="en-AU"/>
        </w:rPr>
        <w:t xml:space="preserve"> (ATEND</w:t>
      </w:r>
      <w:r w:rsidR="00264734" w:rsidRPr="00275FC7">
        <w:rPr>
          <w:lang w:val="en-AU"/>
        </w:rPr>
        <w:t>,</w:t>
      </w:r>
      <w:r w:rsidR="00CC7DE5" w:rsidRPr="00275FC7">
        <w:rPr>
          <w:lang w:val="en-AU"/>
        </w:rPr>
        <w:t xml:space="preserve"> 2020)</w:t>
      </w:r>
      <w:r w:rsidRPr="00275FC7">
        <w:rPr>
          <w:lang w:val="en-AU"/>
        </w:rPr>
        <w:t xml:space="preserve">. </w:t>
      </w:r>
      <w:r w:rsidR="00CC7DE5" w:rsidRPr="00275FC7">
        <w:rPr>
          <w:lang w:val="en-AU"/>
        </w:rPr>
        <w:t xml:space="preserve">This is an onerous solution </w:t>
      </w:r>
      <w:r w:rsidR="00264734" w:rsidRPr="00275FC7">
        <w:rPr>
          <w:lang w:val="en-AU"/>
        </w:rPr>
        <w:t>and</w:t>
      </w:r>
      <w:r w:rsidR="00CC7DE5" w:rsidRPr="00275FC7">
        <w:rPr>
          <w:lang w:val="en-AU"/>
        </w:rPr>
        <w:t xml:space="preserve"> potentially a duplication of resources if multiple institutions manually scan and convert the same texts. </w:t>
      </w:r>
    </w:p>
    <w:p w14:paraId="49966937" w14:textId="7EF402BE" w:rsidR="00B76C7C" w:rsidRPr="00275FC7" w:rsidRDefault="00B76C7C" w:rsidP="0043695E">
      <w:pPr>
        <w:pStyle w:val="paratext"/>
        <w:rPr>
          <w:lang w:val="en-AU"/>
        </w:rPr>
      </w:pPr>
      <w:r w:rsidRPr="00275FC7">
        <w:rPr>
          <w:lang w:val="en-AU"/>
        </w:rPr>
        <w:t>If the text was available from the publisher in an accessible digital format this process would be unnecessary</w:t>
      </w:r>
      <w:r w:rsidR="008F6CA7" w:rsidRPr="00275FC7">
        <w:rPr>
          <w:lang w:val="en-AU"/>
        </w:rPr>
        <w:t>.</w:t>
      </w:r>
      <w:r w:rsidR="00F66DCB" w:rsidRPr="00275FC7">
        <w:rPr>
          <w:lang w:val="en-AU"/>
        </w:rPr>
        <w:t xml:space="preserve"> </w:t>
      </w:r>
      <w:r w:rsidRPr="00275FC7">
        <w:rPr>
          <w:lang w:val="en-AU"/>
        </w:rPr>
        <w:t>This would also mean that the text was accessible to all future students across institutions</w:t>
      </w:r>
      <w:r w:rsidR="008F6CA7" w:rsidRPr="00275FC7">
        <w:rPr>
          <w:lang w:val="en-AU"/>
        </w:rPr>
        <w:t xml:space="preserve">. </w:t>
      </w:r>
      <w:r w:rsidRPr="00275FC7">
        <w:rPr>
          <w:lang w:val="en-AU"/>
        </w:rPr>
        <w:t xml:space="preserve">A proactive solution would be the introduction of parallel Disability Standards for Publishing, to sit alongside the Disability Standards for Education, to require publishers to produce content in accessible formats. </w:t>
      </w:r>
    </w:p>
    <w:p w14:paraId="4CC6A90E" w14:textId="1971F660" w:rsidR="00B76C7C" w:rsidRPr="00275FC7" w:rsidRDefault="002D604F" w:rsidP="0043695E">
      <w:pPr>
        <w:pStyle w:val="paratext"/>
      </w:pPr>
      <w:r w:rsidRPr="00275FC7">
        <w:rPr>
          <w:lang w:val="en-AU"/>
        </w:rPr>
        <w:t xml:space="preserve">People with lived experience </w:t>
      </w:r>
      <w:r w:rsidR="006D46A3" w:rsidRPr="00275FC7">
        <w:rPr>
          <w:lang w:val="en-AU"/>
        </w:rPr>
        <w:t xml:space="preserve">of disability </w:t>
      </w:r>
      <w:r w:rsidRPr="00275FC7">
        <w:rPr>
          <w:lang w:val="en-AU"/>
        </w:rPr>
        <w:t>report that even when e-texts are readily available, there is disparity in the cost as compared with textbooks</w:t>
      </w:r>
      <w:r w:rsidR="008F6CA7" w:rsidRPr="00275FC7">
        <w:rPr>
          <w:lang w:val="en-AU"/>
        </w:rPr>
        <w:t xml:space="preserve">. </w:t>
      </w:r>
      <w:r w:rsidRPr="00275FC7">
        <w:rPr>
          <w:lang w:val="en-AU"/>
        </w:rPr>
        <w:t>For example</w:t>
      </w:r>
      <w:r w:rsidR="00A771B7" w:rsidRPr="00275FC7">
        <w:rPr>
          <w:lang w:val="en-AU"/>
        </w:rPr>
        <w:t>,</w:t>
      </w:r>
      <w:r w:rsidRPr="00275FC7">
        <w:rPr>
          <w:lang w:val="en-AU"/>
        </w:rPr>
        <w:t xml:space="preserve"> an e-text may be available for free through a publisher if </w:t>
      </w:r>
      <w:r w:rsidR="00CE64A5" w:rsidRPr="00275FC7">
        <w:rPr>
          <w:lang w:val="en-AU"/>
        </w:rPr>
        <w:t xml:space="preserve">a new </w:t>
      </w:r>
      <w:r w:rsidRPr="00275FC7">
        <w:rPr>
          <w:lang w:val="en-AU"/>
        </w:rPr>
        <w:t>textbook is purchase</w:t>
      </w:r>
      <w:r w:rsidR="00A771B7" w:rsidRPr="00275FC7">
        <w:rPr>
          <w:lang w:val="en-AU"/>
        </w:rPr>
        <w:t>d</w:t>
      </w:r>
      <w:r w:rsidRPr="00275FC7">
        <w:rPr>
          <w:lang w:val="en-AU"/>
        </w:rPr>
        <w:t xml:space="preserve">, </w:t>
      </w:r>
      <w:r w:rsidR="00A771B7" w:rsidRPr="00275FC7">
        <w:rPr>
          <w:lang w:val="en-AU"/>
        </w:rPr>
        <w:t xml:space="preserve">but this precludes </w:t>
      </w:r>
      <w:r w:rsidRPr="00275FC7">
        <w:rPr>
          <w:lang w:val="en-AU"/>
        </w:rPr>
        <w:t xml:space="preserve">a </w:t>
      </w:r>
      <w:r w:rsidR="00A771B7" w:rsidRPr="00275FC7">
        <w:rPr>
          <w:lang w:val="en-AU"/>
        </w:rPr>
        <w:t xml:space="preserve">lower-cost, </w:t>
      </w:r>
      <w:r w:rsidRPr="00275FC7">
        <w:rPr>
          <w:lang w:val="en-AU"/>
        </w:rPr>
        <w:t>second-hand purchase</w:t>
      </w:r>
      <w:r w:rsidR="00A771B7" w:rsidRPr="00275FC7">
        <w:rPr>
          <w:lang w:val="en-AU"/>
        </w:rPr>
        <w:t xml:space="preserve"> which would be available to other students</w:t>
      </w:r>
      <w:r w:rsidR="008F6CA7" w:rsidRPr="00275FC7">
        <w:rPr>
          <w:lang w:val="en-AU"/>
        </w:rPr>
        <w:t xml:space="preserve">. </w:t>
      </w:r>
    </w:p>
    <w:p w14:paraId="4B667444" w14:textId="77777777" w:rsidR="00AF5444" w:rsidRPr="00275FC7" w:rsidRDefault="00AF5444" w:rsidP="007469E4">
      <w:pPr>
        <w:pStyle w:val="Heading3"/>
      </w:pPr>
      <w:bookmarkStart w:id="14" w:name="_Toc131672442"/>
      <w:r w:rsidRPr="00275FC7">
        <w:t>Issue 2: Tertiary education providers are not adequately or consistently funded to make reasonable adjustments</w:t>
      </w:r>
      <w:bookmarkEnd w:id="14"/>
    </w:p>
    <w:p w14:paraId="41A53FAC" w14:textId="5EDFD11F" w:rsidR="00B76C7C" w:rsidRPr="00275FC7" w:rsidRDefault="00B76C7C" w:rsidP="0043695E">
      <w:pPr>
        <w:pStyle w:val="paratext"/>
      </w:pPr>
      <w:r w:rsidRPr="00275FC7">
        <w:t>Whilst it’s true that tertiary providers are required to fund reasonable adjustments, the same is true of schools and yet</w:t>
      </w:r>
      <w:r w:rsidR="006E3F72" w:rsidRPr="00275FC7">
        <w:t xml:space="preserve"> </w:t>
      </w:r>
      <w:r w:rsidRPr="00275FC7">
        <w:t>the Australian Government has stepped in to provide</w:t>
      </w:r>
      <w:r w:rsidR="7C04FFD1" w:rsidRPr="00275FC7">
        <w:t xml:space="preserve"> </w:t>
      </w:r>
      <w:r w:rsidRPr="00275FC7">
        <w:t>considerable funding to schools to enable them to meet their legislative requirements, recognising that reasonable adjustments come at a cost</w:t>
      </w:r>
      <w:r w:rsidR="008F6CA7" w:rsidRPr="00275FC7">
        <w:t xml:space="preserve">. </w:t>
      </w:r>
      <w:r w:rsidR="00CD220E" w:rsidRPr="00275FC7">
        <w:t xml:space="preserve">Efforts have also been made to track the effect of reasonable adjustments in schools across the country. </w:t>
      </w:r>
    </w:p>
    <w:p w14:paraId="7B888904" w14:textId="3129B483" w:rsidR="00B76C7C" w:rsidRPr="00275FC7" w:rsidRDefault="00B76C7C" w:rsidP="0043695E">
      <w:pPr>
        <w:pStyle w:val="paratext"/>
        <w:rPr>
          <w:i/>
          <w:iCs/>
          <w:u w:val="single"/>
        </w:rPr>
      </w:pPr>
      <w:r w:rsidRPr="00275FC7">
        <w:rPr>
          <w:i/>
          <w:iCs/>
          <w:u w:val="single"/>
        </w:rPr>
        <w:lastRenderedPageBreak/>
        <w:t>Schools – a large investment supported by good data</w:t>
      </w:r>
    </w:p>
    <w:p w14:paraId="3FFD4EFF" w14:textId="4505711B" w:rsidR="00B76C7C" w:rsidRPr="00275FC7" w:rsidRDefault="00B76C7C" w:rsidP="00261675">
      <w:pPr>
        <w:pStyle w:val="paratext"/>
        <w:spacing w:after="240"/>
      </w:pPr>
      <w:r w:rsidRPr="00275FC7">
        <w:t>Australia invests significantly in supporting schools to make the adjustments needed for a student with disability to receive a quality education. Funding per student can range from $4,704 through to $35,350 for a student with extensive support needs (National School Resourcing Board</w:t>
      </w:r>
      <w:r w:rsidR="00CB634F" w:rsidRPr="00275FC7">
        <w:t>,</w:t>
      </w:r>
      <w:r w:rsidRPr="00275FC7">
        <w:t xml:space="preserve"> 2019). As at 2018-</w:t>
      </w:r>
      <w:r w:rsidR="00CB634F" w:rsidRPr="00275FC7">
        <w:t>20</w:t>
      </w:r>
      <w:r w:rsidRPr="00275FC7">
        <w:t>19, this equated to a total of $28.8 billion available nationally (Department of Education</w:t>
      </w:r>
      <w:r w:rsidR="00CB634F" w:rsidRPr="00275FC7">
        <w:t>,</w:t>
      </w:r>
      <w:r w:rsidRPr="00275FC7">
        <w:t xml:space="preserve"> 2019). A further $20 million package was provided to improve the Nationally Consistent Collection of Data on School Students with Disability (NCCD), enabling transparency and evidence-based decision making for students with </w:t>
      </w:r>
      <w:r w:rsidR="00194A7B" w:rsidRPr="00275FC7">
        <w:t>disability</w:t>
      </w:r>
      <w:r w:rsidRPr="00275FC7">
        <w:t>.</w:t>
      </w:r>
    </w:p>
    <w:p w14:paraId="17CAAE70" w14:textId="29682A10" w:rsidR="00B76C7C" w:rsidRPr="00275FC7" w:rsidRDefault="00B76C7C" w:rsidP="0043695E">
      <w:pPr>
        <w:pStyle w:val="paratext"/>
        <w:rPr>
          <w:i/>
          <w:iCs/>
          <w:u w:val="single"/>
        </w:rPr>
      </w:pPr>
      <w:r w:rsidRPr="00275FC7">
        <w:rPr>
          <w:i/>
          <w:iCs/>
          <w:u w:val="single"/>
        </w:rPr>
        <w:t>Tertiary education – a patchy investment with limited data</w:t>
      </w:r>
    </w:p>
    <w:p w14:paraId="5592B9E2" w14:textId="09752509" w:rsidR="00B76C7C" w:rsidRPr="00275FC7" w:rsidRDefault="00B76C7C" w:rsidP="0043695E">
      <w:pPr>
        <w:pStyle w:val="paratext"/>
      </w:pPr>
      <w:r w:rsidRPr="00275FC7">
        <w:t>In contrast, funding available to the tertiary education sector is vastly less per student, not available to all providers at all education levels and with limited and inconsistent data collection</w:t>
      </w:r>
      <w:r w:rsidR="008F6CA7" w:rsidRPr="00275FC7">
        <w:t xml:space="preserve">. </w:t>
      </w:r>
    </w:p>
    <w:p w14:paraId="78F1F09C" w14:textId="654AA330" w:rsidR="00B76C7C" w:rsidRPr="00275FC7" w:rsidRDefault="00B76C7C" w:rsidP="0043695E">
      <w:pPr>
        <w:pStyle w:val="paratext"/>
        <w:rPr>
          <w:lang w:val="en-AU"/>
        </w:rPr>
      </w:pPr>
      <w:r w:rsidRPr="00275FC7">
        <w:t>In the higher education</w:t>
      </w:r>
      <w:r w:rsidR="00CD220E" w:rsidRPr="00275FC7">
        <w:t xml:space="preserve"> sector</w:t>
      </w:r>
      <w:r w:rsidRPr="00275FC7">
        <w:t>, the Australian Government funds t</w:t>
      </w:r>
      <w:r w:rsidRPr="00275FC7">
        <w:rPr>
          <w:lang w:val="en-AU"/>
        </w:rPr>
        <w:t>he Higher Education</w:t>
      </w:r>
      <w:r w:rsidRPr="00275FC7">
        <w:rPr>
          <w:b/>
          <w:bCs/>
          <w:lang w:val="en-AU"/>
        </w:rPr>
        <w:t xml:space="preserve"> </w:t>
      </w:r>
      <w:r w:rsidRPr="00275FC7">
        <w:rPr>
          <w:i/>
          <w:iCs/>
          <w:lang w:val="en-AU"/>
        </w:rPr>
        <w:t>Disability Support Program</w:t>
      </w:r>
      <w:r w:rsidRPr="00275FC7">
        <w:rPr>
          <w:i/>
          <w:iCs/>
        </w:rPr>
        <w:t>,</w:t>
      </w:r>
      <w:r w:rsidRPr="00275FC7">
        <w:rPr>
          <w:b/>
          <w:bCs/>
        </w:rPr>
        <w:t xml:space="preserve"> </w:t>
      </w:r>
      <w:r w:rsidRPr="00275FC7">
        <w:t>providing</w:t>
      </w:r>
      <w:r w:rsidRPr="00275FC7">
        <w:rPr>
          <w:lang w:val="en-AU"/>
        </w:rPr>
        <w:t xml:space="preserve"> funding to eligible higher education providers, to support students with disability to access, participate and succeed in higher education. Funding can be used for staff training to better support students with disability, and to modify course content, teaching materials and delivery methods to better meet the needs of students with disability. </w:t>
      </w:r>
    </w:p>
    <w:p w14:paraId="74A884E2" w14:textId="24F40EBE" w:rsidR="00B76C7C" w:rsidRPr="00275FC7" w:rsidRDefault="00B76C7C" w:rsidP="0043695E">
      <w:pPr>
        <w:pStyle w:val="paratext"/>
      </w:pPr>
      <w:r w:rsidRPr="00275FC7">
        <w:t xml:space="preserve">Although </w:t>
      </w:r>
      <w:r w:rsidRPr="00275FC7">
        <w:rPr>
          <w:lang w:val="en-AU"/>
        </w:rPr>
        <w:t>funding for the program grew 17.6</w:t>
      </w:r>
      <w:r w:rsidR="000B68C3" w:rsidRPr="00275FC7">
        <w:rPr>
          <w:lang w:val="en-AU"/>
        </w:rPr>
        <w:t>%</w:t>
      </w:r>
      <w:r w:rsidRPr="00275FC7">
        <w:rPr>
          <w:lang w:val="en-AU"/>
        </w:rPr>
        <w:t xml:space="preserve"> in nominal terms between 2008 and 2018, funding has declined by 4.8</w:t>
      </w:r>
      <w:r w:rsidR="000B68C3" w:rsidRPr="00275FC7">
        <w:rPr>
          <w:lang w:val="en-AU"/>
        </w:rPr>
        <w:t>%</w:t>
      </w:r>
      <w:r w:rsidRPr="00275FC7">
        <w:rPr>
          <w:lang w:val="en-AU"/>
        </w:rPr>
        <w:t xml:space="preserve"> over the period in real terms. </w:t>
      </w:r>
      <w:r w:rsidRPr="00275FC7">
        <w:t xml:space="preserve">An increase in the number of students with disability means that between 2008 and 2018, the amount of funding per student has declined from $265 to $110 (Universities Australia, 2020). </w:t>
      </w:r>
    </w:p>
    <w:p w14:paraId="7FFEC7CF" w14:textId="28A174B7" w:rsidR="00B76C7C" w:rsidRPr="00275FC7" w:rsidRDefault="00B76C7C" w:rsidP="0043695E">
      <w:pPr>
        <w:pStyle w:val="paratext"/>
      </w:pPr>
      <w:r w:rsidRPr="00275FC7">
        <w:t>Historically, the program has supported individual curriculum adjustments, whereas an independent evaluation recommended a shift towards application of universal design for learning principles that would make mainstream curricula accessible to all students (KPMG</w:t>
      </w:r>
      <w:r w:rsidR="00CB634F" w:rsidRPr="00275FC7">
        <w:t>,</w:t>
      </w:r>
      <w:r w:rsidRPr="00275FC7">
        <w:t xml:space="preserve"> 2015) – reducing the need for students to disclose a disability and saving downstream costs associated with individual adjustments. </w:t>
      </w:r>
    </w:p>
    <w:p w14:paraId="755F834A" w14:textId="7519D246" w:rsidR="0073245D" w:rsidRPr="00275FC7" w:rsidRDefault="0073245D" w:rsidP="0073245D">
      <w:pPr>
        <w:pStyle w:val="paratext"/>
      </w:pPr>
      <w:r w:rsidRPr="00275FC7">
        <w:t xml:space="preserve">The quantum of funding for the </w:t>
      </w:r>
      <w:r w:rsidR="0064534B">
        <w:t xml:space="preserve">Higher Education </w:t>
      </w:r>
      <w:r w:rsidRPr="00275FC7">
        <w:t xml:space="preserve">Disability Support Program </w:t>
      </w:r>
      <w:r w:rsidR="0064534B">
        <w:t xml:space="preserve">in Australia </w:t>
      </w:r>
      <w:r w:rsidRPr="00275FC7">
        <w:t>stands in sharp contrast to the two major funding initiatives in the United Kingdom:</w:t>
      </w:r>
    </w:p>
    <w:p w14:paraId="6C3C914F" w14:textId="79338037" w:rsidR="0073245D" w:rsidRPr="00275FC7" w:rsidRDefault="0073245D" w:rsidP="006B377F">
      <w:pPr>
        <w:pStyle w:val="dotpoint"/>
      </w:pPr>
      <w:r w:rsidRPr="00275FC7">
        <w:t xml:space="preserve">The Disabled Students Allowance, which is available for higher education students with disabilities and provides up to $40,000 (£25,000) a year for students to meet the study-related costs of a mental health </w:t>
      </w:r>
      <w:r w:rsidR="006D46A3" w:rsidRPr="00275FC7">
        <w:t>diagnosis</w:t>
      </w:r>
      <w:r w:rsidRPr="00275FC7">
        <w:t xml:space="preserve">, long term illness or any other disability </w:t>
      </w:r>
      <w:r w:rsidR="008F6CA7" w:rsidRPr="00275FC7">
        <w:t>e.g.,</w:t>
      </w:r>
      <w:r w:rsidRPr="00275FC7">
        <w:t xml:space="preserve"> for specialist equipment, a non-medical helper or general support (</w:t>
      </w:r>
      <w:r w:rsidR="00CB634F" w:rsidRPr="00275FC7">
        <w:t xml:space="preserve">UK </w:t>
      </w:r>
      <w:r w:rsidRPr="00275FC7">
        <w:t>Government</w:t>
      </w:r>
      <w:r w:rsidR="00CB634F" w:rsidRPr="00275FC7">
        <w:t>,</w:t>
      </w:r>
      <w:r w:rsidRPr="00275FC7">
        <w:t xml:space="preserve"> 2021); and</w:t>
      </w:r>
    </w:p>
    <w:p w14:paraId="6A9F8566" w14:textId="2A3BB260" w:rsidR="0073245D" w:rsidRPr="00275FC7" w:rsidRDefault="0073245D" w:rsidP="006B377F">
      <w:pPr>
        <w:pStyle w:val="dotpoint"/>
      </w:pPr>
      <w:r w:rsidRPr="00275FC7">
        <w:t>Funding of $73 million (£40 million) annually from the UK Office for Students to support providers to develop inclusive teaching practices and further adopt the social model of disability</w:t>
      </w:r>
      <w:r w:rsidR="008F6CA7" w:rsidRPr="00275FC7">
        <w:t xml:space="preserve">. </w:t>
      </w:r>
      <w:r w:rsidR="00261675" w:rsidRPr="00275FC7">
        <w:t xml:space="preserve">This approach creates incentives for a </w:t>
      </w:r>
      <w:r w:rsidR="00CB634F" w:rsidRPr="00275FC7">
        <w:t>whole-of-</w:t>
      </w:r>
      <w:r w:rsidR="00261675" w:rsidRPr="00275FC7">
        <w:t>institution commitment to implementation of inclusive design. Such an approach is essential given that disability services within Australian tertiary institutions do not control all the levers necessary to achieve inclusion at an institutional level (</w:t>
      </w:r>
      <w:r w:rsidR="008F6CA7" w:rsidRPr="00275FC7">
        <w:t>e.g.,</w:t>
      </w:r>
      <w:r w:rsidR="00261675" w:rsidRPr="00275FC7">
        <w:t xml:space="preserve"> staff training, procurement of learning management systems or setting course readings).</w:t>
      </w:r>
    </w:p>
    <w:p w14:paraId="6C445E30" w14:textId="6A719559" w:rsidR="00B76C7C" w:rsidRPr="00275FC7" w:rsidRDefault="00B76C7C" w:rsidP="0073245D">
      <w:pPr>
        <w:pStyle w:val="dotpoint"/>
        <w:numPr>
          <w:ilvl w:val="0"/>
          <w:numId w:val="0"/>
        </w:numPr>
      </w:pPr>
      <w:r w:rsidRPr="00275FC7">
        <w:t>In the VET</w:t>
      </w:r>
      <w:r w:rsidR="00CD220E" w:rsidRPr="00275FC7">
        <w:t xml:space="preserve"> sector</w:t>
      </w:r>
      <w:r w:rsidRPr="00275FC7">
        <w:t>, there are limited and varie</w:t>
      </w:r>
      <w:r w:rsidR="00263FBD" w:rsidRPr="00275FC7">
        <w:t>d</w:t>
      </w:r>
      <w:r w:rsidRPr="00275FC7">
        <w:t>, State and Territory funded programs:</w:t>
      </w:r>
    </w:p>
    <w:p w14:paraId="583ABB2A" w14:textId="5616636F" w:rsidR="000F1095" w:rsidRPr="00275FC7" w:rsidRDefault="000F1095" w:rsidP="006B377F">
      <w:pPr>
        <w:pStyle w:val="dotpoint"/>
        <w:rPr>
          <w:lang w:val="en-AU"/>
        </w:rPr>
      </w:pPr>
      <w:r w:rsidRPr="00275FC7">
        <w:t>Employer incentive funding is availab</w:t>
      </w:r>
      <w:r w:rsidR="002026F7" w:rsidRPr="00275FC7">
        <w:t>le</w:t>
      </w:r>
      <w:r w:rsidRPr="00275FC7">
        <w:t xml:space="preserve"> nationally via the Disabled Australian Apprentice Wage Support. The scheme is for employers who engage people with disability in an </w:t>
      </w:r>
      <w:r w:rsidRPr="00275FC7">
        <w:lastRenderedPageBreak/>
        <w:t>apprenticeship or traineeship and funding is paid to employers rather than apprentices</w:t>
      </w:r>
      <w:r w:rsidR="003C5842" w:rsidRPr="00275FC7">
        <w:t>. Eligibility for D</w:t>
      </w:r>
      <w:r w:rsidR="00491E2F" w:rsidRPr="00275FC7">
        <w:t>A</w:t>
      </w:r>
      <w:r w:rsidR="003C5842" w:rsidRPr="00275FC7">
        <w:t>AWS comes with funding provided to the apprentice’s RTO to provide extra help such as tutorial services</w:t>
      </w:r>
      <w:r w:rsidR="008F6CA7" w:rsidRPr="00275FC7">
        <w:t xml:space="preserve">. </w:t>
      </w:r>
      <w:r w:rsidR="00CB634F" w:rsidRPr="00275FC7">
        <w:br/>
      </w:r>
      <w:r w:rsidR="00CB634F" w:rsidRPr="00275FC7">
        <w:br/>
      </w:r>
      <w:r w:rsidR="003C5842" w:rsidRPr="00275FC7">
        <w:t>A</w:t>
      </w:r>
      <w:r w:rsidRPr="00275FC7">
        <w:t>necdotal feedback is that the scheme is underused with complex eligibility guidelines</w:t>
      </w:r>
      <w:r w:rsidR="008F6CA7" w:rsidRPr="00275FC7">
        <w:t xml:space="preserve">. </w:t>
      </w:r>
      <w:r w:rsidR="00476FAA" w:rsidRPr="00275FC7">
        <w:t xml:space="preserve">Poor accessibility to RTO supports is exacerbated by the requirement that employers and medical professionals understand and complete the documentation correctly; a concern given stigma </w:t>
      </w:r>
      <w:r w:rsidR="004D79D9" w:rsidRPr="00275FC7">
        <w:t xml:space="preserve">may </w:t>
      </w:r>
      <w:r w:rsidR="00476FAA" w:rsidRPr="00275FC7">
        <w:t xml:space="preserve">prevent apprentices from </w:t>
      </w:r>
      <w:r w:rsidR="004D79D9" w:rsidRPr="00275FC7">
        <w:t>sharing information about their</w:t>
      </w:r>
      <w:r w:rsidR="00476FAA" w:rsidRPr="00275FC7">
        <w:t xml:space="preserve"> disability </w:t>
      </w:r>
      <w:r w:rsidR="004D79D9" w:rsidRPr="00275FC7">
        <w:t>with</w:t>
      </w:r>
      <w:r w:rsidR="00476FAA" w:rsidRPr="00275FC7">
        <w:t xml:space="preserve"> employers. </w:t>
      </w:r>
      <w:r w:rsidRPr="00275FC7">
        <w:t>The scheme is paid at $104.30 per week for a full-time apprentice, equivalent to $5,424 per annum</w:t>
      </w:r>
      <w:r w:rsidR="008F6CA7" w:rsidRPr="00275FC7">
        <w:t xml:space="preserve">. </w:t>
      </w:r>
      <w:r w:rsidR="00B15EC9" w:rsidRPr="00275FC7">
        <w:t xml:space="preserve">Only 3% of trainees or apprentices </w:t>
      </w:r>
      <w:r w:rsidR="0064534B">
        <w:t>are documented as having</w:t>
      </w:r>
      <w:r w:rsidR="00B15EC9" w:rsidRPr="00275FC7">
        <w:t xml:space="preserve"> a disability</w:t>
      </w:r>
      <w:r w:rsidR="0064534B">
        <w:t>,</w:t>
      </w:r>
      <w:r w:rsidR="00B15EC9" w:rsidRPr="00275FC7">
        <w:t xml:space="preserve"> showing that this pathway is particularly difficult to access for students with disability</w:t>
      </w:r>
      <w:r w:rsidR="00D3141F" w:rsidRPr="00275FC7">
        <w:t xml:space="preserve"> </w:t>
      </w:r>
      <w:r w:rsidR="00B15EC9" w:rsidRPr="00275FC7">
        <w:t>(</w:t>
      </w:r>
      <w:r w:rsidR="00D3141F" w:rsidRPr="00275FC7">
        <w:t>NCVER</w:t>
      </w:r>
      <w:r w:rsidR="00131BA4" w:rsidRPr="00275FC7">
        <w:t>,</w:t>
      </w:r>
      <w:r w:rsidR="00D3141F" w:rsidRPr="00275FC7">
        <w:t xml:space="preserve"> 2021</w:t>
      </w:r>
      <w:r w:rsidR="00B15EC9" w:rsidRPr="00275FC7">
        <w:t>)</w:t>
      </w:r>
      <w:r w:rsidR="00131BA4" w:rsidRPr="00275FC7">
        <w:t>.</w:t>
      </w:r>
    </w:p>
    <w:p w14:paraId="4EF69CE7" w14:textId="56C60391" w:rsidR="00955637" w:rsidRPr="00275FC7" w:rsidRDefault="00B76C7C" w:rsidP="006B377F">
      <w:pPr>
        <w:pStyle w:val="dotpoint"/>
      </w:pPr>
      <w:r w:rsidRPr="00275FC7">
        <w:t xml:space="preserve">The </w:t>
      </w:r>
      <w:r w:rsidRPr="00275FC7">
        <w:rPr>
          <w:i/>
          <w:iCs/>
        </w:rPr>
        <w:t>NSW Smart and Skilled</w:t>
      </w:r>
      <w:r w:rsidRPr="00275FC7">
        <w:t xml:space="preserve"> program supports </w:t>
      </w:r>
      <w:r w:rsidR="0031250E" w:rsidRPr="00275FC7">
        <w:t>people with disability</w:t>
      </w:r>
      <w:r w:rsidRPr="00275FC7">
        <w:t xml:space="preserve"> to access training. Eligible students are exempt from fees for any </w:t>
      </w:r>
      <w:r w:rsidRPr="00275FC7">
        <w:rPr>
          <w:i/>
          <w:iCs/>
        </w:rPr>
        <w:t>Smart and Skilled</w:t>
      </w:r>
      <w:r w:rsidRPr="00275FC7">
        <w:t xml:space="preserve"> training they undertake. </w:t>
      </w:r>
    </w:p>
    <w:p w14:paraId="15DE395F" w14:textId="285A2386" w:rsidR="00B76C7C" w:rsidRPr="00275FC7" w:rsidRDefault="00B76C7C" w:rsidP="006B377F">
      <w:pPr>
        <w:pStyle w:val="dotpoint"/>
      </w:pPr>
      <w:r w:rsidRPr="00275FC7">
        <w:t>TAFE</w:t>
      </w:r>
      <w:r w:rsidR="00194A7B" w:rsidRPr="00275FC7">
        <w:t xml:space="preserve"> NSW</w:t>
      </w:r>
      <w:r w:rsidR="004D5E3F" w:rsidRPr="00275FC7">
        <w:t xml:space="preserve"> </w:t>
      </w:r>
      <w:r w:rsidRPr="00275FC7">
        <w:t>employ</w:t>
      </w:r>
      <w:r w:rsidR="00194A7B" w:rsidRPr="00275FC7">
        <w:t>s</w:t>
      </w:r>
      <w:r w:rsidRPr="00275FC7">
        <w:t xml:space="preserve"> </w:t>
      </w:r>
      <w:r w:rsidR="00194A7B" w:rsidRPr="00275FC7">
        <w:t>teacher consultants</w:t>
      </w:r>
      <w:r w:rsidRPr="00275FC7">
        <w:t xml:space="preserve"> who help to arrange support and adjustments for individual students. </w:t>
      </w:r>
      <w:r w:rsidR="00261675" w:rsidRPr="00275FC7">
        <w:t>Teacher consultants are typically funded by</w:t>
      </w:r>
      <w:r w:rsidR="004D79D9" w:rsidRPr="00275FC7">
        <w:t xml:space="preserve"> State provided</w:t>
      </w:r>
      <w:r w:rsidR="00261675" w:rsidRPr="00275FC7">
        <w:t xml:space="preserve"> Community Service Obligation funding and available only to TAFE NSW or Adult Community Education </w:t>
      </w:r>
      <w:r w:rsidR="00955637" w:rsidRPr="00275FC7">
        <w:t xml:space="preserve">(ACE) </w:t>
      </w:r>
      <w:r w:rsidR="00261675" w:rsidRPr="00275FC7">
        <w:t>providers</w:t>
      </w:r>
      <w:r w:rsidR="00955637" w:rsidRPr="00275FC7">
        <w:t>. In ACE settings, the scope of support may be limited to foundation or partial qualifications only</w:t>
      </w:r>
      <w:r w:rsidR="008F6CA7" w:rsidRPr="00275FC7">
        <w:t xml:space="preserve">. </w:t>
      </w:r>
      <w:r w:rsidR="00955637" w:rsidRPr="00275FC7">
        <w:t>The teacher consultants do not c</w:t>
      </w:r>
      <w:r w:rsidR="00261675" w:rsidRPr="00275FC7">
        <w:t xml:space="preserve">over private registered training organisations. </w:t>
      </w:r>
    </w:p>
    <w:p w14:paraId="094BB494" w14:textId="6FD5C363" w:rsidR="00B76C7C" w:rsidRPr="00275FC7" w:rsidRDefault="00955637" w:rsidP="006B377F">
      <w:pPr>
        <w:pStyle w:val="dotpoint"/>
        <w:rPr>
          <w:lang w:val="en-AU"/>
        </w:rPr>
      </w:pPr>
      <w:r w:rsidRPr="00275FC7">
        <w:t>T</w:t>
      </w:r>
      <w:r w:rsidR="00B76C7C" w:rsidRPr="00275FC7">
        <w:t xml:space="preserve">he Queensland Government </w:t>
      </w:r>
      <w:r w:rsidR="00B76C7C" w:rsidRPr="00275FC7">
        <w:rPr>
          <w:i/>
          <w:iCs/>
        </w:rPr>
        <w:t>Skills Disability Support</w:t>
      </w:r>
      <w:r w:rsidR="00B76C7C" w:rsidRPr="00275FC7">
        <w:t xml:space="preserve"> program</w:t>
      </w:r>
      <w:r w:rsidRPr="00275FC7">
        <w:t xml:space="preserve"> provides</w:t>
      </w:r>
      <w:r w:rsidR="00B76C7C" w:rsidRPr="00275FC7">
        <w:t xml:space="preserve"> specialised technology and support services to </w:t>
      </w:r>
      <w:r w:rsidR="00B76C7C" w:rsidRPr="00275FC7">
        <w:rPr>
          <w:i/>
          <w:iCs/>
        </w:rPr>
        <w:t>Skills Assure</w:t>
      </w:r>
      <w:r w:rsidR="00B76C7C" w:rsidRPr="00275FC7">
        <w:t xml:space="preserve"> suppliers to assist students with disability to gain nationally</w:t>
      </w:r>
      <w:r w:rsidR="00B76C7C" w:rsidRPr="00275FC7">
        <w:rPr>
          <w:lang w:val="en-AU"/>
        </w:rPr>
        <w:t xml:space="preserve"> recognised skills and qualifications.</w:t>
      </w:r>
      <w:r w:rsidR="00B76C7C" w:rsidRPr="00275FC7">
        <w:t xml:space="preserve"> </w:t>
      </w:r>
      <w:r w:rsidRPr="00275FC7">
        <w:t xml:space="preserve">Demand for this program outstrips supply, </w:t>
      </w:r>
      <w:r w:rsidR="0064534B">
        <w:t xml:space="preserve">historically </w:t>
      </w:r>
      <w:r w:rsidRPr="00275FC7">
        <w:t xml:space="preserve">with no funding available </w:t>
      </w:r>
      <w:r w:rsidR="0064534B">
        <w:t>for</w:t>
      </w:r>
      <w:r w:rsidRPr="00275FC7">
        <w:t xml:space="preserve"> period</w:t>
      </w:r>
      <w:r w:rsidR="0064534B">
        <w:t>s of up to half a year at a time</w:t>
      </w:r>
      <w:r w:rsidRPr="00275FC7">
        <w:t>.</w:t>
      </w:r>
      <w:r w:rsidR="00535B5E" w:rsidRPr="00275FC7">
        <w:t xml:space="preserve"> Anecdotally this cause</w:t>
      </w:r>
      <w:r w:rsidR="0064534B">
        <w:t>s</w:t>
      </w:r>
      <w:r w:rsidR="00535B5E" w:rsidRPr="00275FC7">
        <w:t xml:space="preserve"> confusion and disruption, with some practitioners not being aware the funding had run out. Additionally,</w:t>
      </w:r>
      <w:r w:rsidR="00FC36F5" w:rsidRPr="00275FC7">
        <w:t xml:space="preserve"> </w:t>
      </w:r>
      <w:r w:rsidR="00535B5E" w:rsidRPr="00275FC7">
        <w:t>m</w:t>
      </w:r>
      <w:r w:rsidR="00FC36F5" w:rsidRPr="00275FC7">
        <w:t xml:space="preserve">any private registered training organisations would not be eligible for this funding as it is limited to </w:t>
      </w:r>
      <w:r w:rsidR="00FC36F5" w:rsidRPr="00275FC7">
        <w:rPr>
          <w:i/>
          <w:iCs/>
        </w:rPr>
        <w:t>Skills Assure</w:t>
      </w:r>
      <w:r w:rsidR="00FC36F5" w:rsidRPr="00275FC7">
        <w:t xml:space="preserve"> suppliers only. </w:t>
      </w:r>
    </w:p>
    <w:p w14:paraId="385B34AF" w14:textId="76B5B21C" w:rsidR="00B76C7C" w:rsidRPr="00275FC7" w:rsidRDefault="004D79D9" w:rsidP="006B377F">
      <w:pPr>
        <w:pStyle w:val="dotpoint"/>
      </w:pPr>
      <w:r w:rsidRPr="00275FC7">
        <w:t xml:space="preserve">Apart from these, there </w:t>
      </w:r>
      <w:r w:rsidR="00B76C7C" w:rsidRPr="00275FC7">
        <w:t>are no specific funding programs in other Australian States and Territories with a focus on supporting access</w:t>
      </w:r>
      <w:r w:rsidR="00CD220E" w:rsidRPr="00275FC7">
        <w:t xml:space="preserve"> to </w:t>
      </w:r>
      <w:r w:rsidR="0064534B">
        <w:t>enable</w:t>
      </w:r>
      <w:r w:rsidR="0064534B" w:rsidRPr="00275FC7">
        <w:t xml:space="preserve"> </w:t>
      </w:r>
      <w:r w:rsidR="00CD220E" w:rsidRPr="00275FC7">
        <w:t>equitable participation of</w:t>
      </w:r>
      <w:r w:rsidR="00B76C7C" w:rsidRPr="00275FC7">
        <w:t xml:space="preserve"> students with </w:t>
      </w:r>
      <w:r w:rsidR="00194A7B" w:rsidRPr="00275FC7">
        <w:t>disability</w:t>
      </w:r>
      <w:r w:rsidR="00B76C7C" w:rsidRPr="00275FC7">
        <w:t>.</w:t>
      </w:r>
    </w:p>
    <w:p w14:paraId="481D35A7" w14:textId="11E843EE" w:rsidR="004058F4" w:rsidRPr="00275FC7" w:rsidRDefault="00B76C7C" w:rsidP="004058F4">
      <w:pPr>
        <w:spacing w:before="240" w:after="240"/>
      </w:pPr>
      <w:r w:rsidRPr="00275FC7">
        <w:t xml:space="preserve">The </w:t>
      </w:r>
      <w:r w:rsidRPr="00275FC7">
        <w:rPr>
          <w:b/>
          <w:bCs/>
        </w:rPr>
        <w:t xml:space="preserve">National Disability Coordination Officer (NDCO) Program </w:t>
      </w:r>
      <w:r w:rsidRPr="00275FC7">
        <w:t xml:space="preserve">funds host provider organisations such as universities, TAFEs, and employment and training service providers to employ a national network of NDCOs who work with stakeholders to reduce systemic barriers, facilitate smooth transitions, build </w:t>
      </w:r>
      <w:r w:rsidR="00F66DCB" w:rsidRPr="00275FC7">
        <w:t>links,</w:t>
      </w:r>
      <w:r w:rsidRPr="00275FC7">
        <w:t xml:space="preserve"> and coordinate services for people with disability between the education, </w:t>
      </w:r>
      <w:r w:rsidR="00F66DCB" w:rsidRPr="00275FC7">
        <w:t>training,</w:t>
      </w:r>
      <w:r w:rsidRPr="00275FC7">
        <w:t xml:space="preserve"> and employment sectors</w:t>
      </w:r>
      <w:r w:rsidR="008F6CA7" w:rsidRPr="00275FC7">
        <w:t xml:space="preserve">. </w:t>
      </w:r>
      <w:r w:rsidRPr="00275FC7">
        <w:t xml:space="preserve">Whilst this network plays an important role, it cannot </w:t>
      </w:r>
      <w:r w:rsidR="0073245D" w:rsidRPr="00275FC7">
        <w:t>drive</w:t>
      </w:r>
      <w:r w:rsidR="00955637" w:rsidRPr="00275FC7">
        <w:t>, nor was it designed to drive,</w:t>
      </w:r>
      <w:r w:rsidR="0073245D" w:rsidRPr="00275FC7">
        <w:t xml:space="preserve"> large-scale, systematic change nor </w:t>
      </w:r>
      <w:r w:rsidRPr="00275FC7">
        <w:t xml:space="preserve">replicate the range of individual adjustments that could be made if tertiary institutions had access to funding of a similar scale to schools </w:t>
      </w:r>
      <w:r w:rsidR="0073245D" w:rsidRPr="00275FC7">
        <w:t>or the United Kingdom funding models.</w:t>
      </w:r>
      <w:r w:rsidR="0064534B">
        <w:t xml:space="preserve"> The NDCO Program has also been under review, and subject to short-term contract extensions since 2021. It is</w:t>
      </w:r>
      <w:r w:rsidR="00CD567C">
        <w:t xml:space="preserve"> </w:t>
      </w:r>
      <w:r w:rsidR="0064534B">
        <w:t>currently operating at around 50% of budgeted staffing capacity</w:t>
      </w:r>
      <w:r w:rsidR="00CD567C">
        <w:t>, which further limits this Program’s capacity for strategic impact.</w:t>
      </w:r>
    </w:p>
    <w:p w14:paraId="28F7A0B1" w14:textId="77777777" w:rsidR="00AF5444" w:rsidRPr="00275FC7" w:rsidRDefault="00AF5444" w:rsidP="007469E4">
      <w:pPr>
        <w:pStyle w:val="Heading3"/>
      </w:pPr>
      <w:bookmarkStart w:id="15" w:name="_Toc131672443"/>
      <w:r w:rsidRPr="00275FC7">
        <w:t>Issue 3: The National Disability Insurance Scheme (NDIS) alone cannot fix it</w:t>
      </w:r>
      <w:bookmarkEnd w:id="15"/>
    </w:p>
    <w:p w14:paraId="6471AF95" w14:textId="788F352B" w:rsidR="0073245D" w:rsidRPr="00275FC7" w:rsidRDefault="0073245D" w:rsidP="0073245D">
      <w:pPr>
        <w:pStyle w:val="paratext"/>
      </w:pPr>
      <w:r w:rsidRPr="00275FC7">
        <w:t xml:space="preserve">About </w:t>
      </w:r>
      <w:r w:rsidR="00FE5B35" w:rsidRPr="00275FC7">
        <w:t>10%</w:t>
      </w:r>
      <w:r w:rsidRPr="00275FC7">
        <w:t xml:space="preserve"> of Australians with disability are eligible for </w:t>
      </w:r>
      <w:r w:rsidR="00955637" w:rsidRPr="00275FC7">
        <w:t xml:space="preserve">individualised funding through </w:t>
      </w:r>
      <w:r w:rsidRPr="00275FC7">
        <w:t xml:space="preserve">the NDIS (based on NDIS data that 500,000 out of 4.3 million Australians with disability will be eligible for NDIS supports). </w:t>
      </w:r>
      <w:r w:rsidRPr="00275FC7">
        <w:rPr>
          <w:bCs/>
        </w:rPr>
        <w:t xml:space="preserve">For the </w:t>
      </w:r>
      <w:r w:rsidR="00FE5B35" w:rsidRPr="00275FC7">
        <w:rPr>
          <w:bCs/>
        </w:rPr>
        <w:t>90%</w:t>
      </w:r>
      <w:r w:rsidRPr="00275FC7">
        <w:rPr>
          <w:bCs/>
        </w:rPr>
        <w:t xml:space="preserve"> o</w:t>
      </w:r>
      <w:r w:rsidRPr="00275FC7">
        <w:t xml:space="preserve">f Australians with disability </w:t>
      </w:r>
      <w:r w:rsidR="00955637" w:rsidRPr="00275FC7">
        <w:t xml:space="preserve">who </w:t>
      </w:r>
      <w:r w:rsidRPr="00275FC7">
        <w:t xml:space="preserve">are </w:t>
      </w:r>
      <w:r w:rsidRPr="00275FC7">
        <w:rPr>
          <w:i/>
          <w:iCs/>
        </w:rPr>
        <w:t>not</w:t>
      </w:r>
      <w:r w:rsidRPr="00275FC7">
        <w:t xml:space="preserve"> eligible for </w:t>
      </w:r>
      <w:r w:rsidR="00955637" w:rsidRPr="00275FC7">
        <w:t xml:space="preserve">individualised </w:t>
      </w:r>
      <w:r w:rsidR="00955637" w:rsidRPr="00275FC7">
        <w:lastRenderedPageBreak/>
        <w:t>funding</w:t>
      </w:r>
      <w:r w:rsidR="00B15EC9" w:rsidRPr="00275FC7">
        <w:t xml:space="preserve"> through</w:t>
      </w:r>
      <w:r w:rsidR="00955637" w:rsidRPr="00275FC7">
        <w:t xml:space="preserve"> </w:t>
      </w:r>
      <w:r w:rsidRPr="00275FC7">
        <w:t>the NDIS, the onus will be on them to find an institution that can offer the type of support they require and to proactively seek support once there.</w:t>
      </w:r>
    </w:p>
    <w:p w14:paraId="7869E082" w14:textId="122595FB" w:rsidR="0073245D" w:rsidRPr="00275FC7" w:rsidRDefault="0073245D" w:rsidP="0073245D">
      <w:pPr>
        <w:pStyle w:val="paratext"/>
      </w:pPr>
      <w:r w:rsidRPr="00275FC7">
        <w:t xml:space="preserve">For the </w:t>
      </w:r>
      <w:r w:rsidR="00FE5B35" w:rsidRPr="00275FC7">
        <w:t>10%</w:t>
      </w:r>
      <w:r w:rsidRPr="00275FC7">
        <w:t xml:space="preserve"> of Australians with disabilities who are eligible, the NDIS investment is predicated on increased economic participation for </w:t>
      </w:r>
      <w:r w:rsidR="0031250E" w:rsidRPr="00275FC7">
        <w:t>people with disability</w:t>
      </w:r>
      <w:r w:rsidRPr="00275FC7">
        <w:t xml:space="preserve"> – an area where Australia has performed poorly compared with most other developed economies (Productivity Commission</w:t>
      </w:r>
      <w:r w:rsidR="00FE5B35" w:rsidRPr="00275FC7">
        <w:t>,</w:t>
      </w:r>
      <w:r w:rsidRPr="00275FC7">
        <w:t xml:space="preserve"> 2011)</w:t>
      </w:r>
      <w:r w:rsidR="008F6CA7" w:rsidRPr="00275FC7">
        <w:t xml:space="preserve">. </w:t>
      </w:r>
    </w:p>
    <w:p w14:paraId="10D6E553" w14:textId="50CAEDE2" w:rsidR="0073245D" w:rsidRPr="00275FC7" w:rsidRDefault="0073245D" w:rsidP="0073245D">
      <w:pPr>
        <w:pStyle w:val="paratext"/>
      </w:pPr>
      <w:r w:rsidRPr="00275FC7">
        <w:t>However, participation in tertiary education by NDIS participants is not currently measured</w:t>
      </w:r>
      <w:r w:rsidR="002D604F" w:rsidRPr="00275FC7">
        <w:t xml:space="preserve"> and therefore lacks visibility, despite this being central to achieving the NDIS vision of economic participation</w:t>
      </w:r>
      <w:r w:rsidRPr="00275FC7">
        <w:t xml:space="preserve">. Data published by the National Disability Insurance Agency (NDIA) conflates all learning outside of school under the term ‘lifelong learning,’ so it’s impossible to analyse the impact of the NDIS on access to tertiary education. </w:t>
      </w:r>
      <w:r w:rsidR="004D79D9" w:rsidRPr="00275FC7">
        <w:t xml:space="preserve">The minimal data that is available does not paint an </w:t>
      </w:r>
      <w:r w:rsidR="00E7138E" w:rsidRPr="00275FC7">
        <w:t>encouraging picture</w:t>
      </w:r>
      <w:r w:rsidRPr="00275FC7">
        <w:t>:</w:t>
      </w:r>
    </w:p>
    <w:p w14:paraId="1F284BA4" w14:textId="02EFBD8E" w:rsidR="0073245D" w:rsidRPr="00275FC7" w:rsidRDefault="0073245D" w:rsidP="00B40DE7">
      <w:pPr>
        <w:pStyle w:val="dotpoint"/>
      </w:pPr>
      <w:r w:rsidRPr="00275FC7">
        <w:t xml:space="preserve">only </w:t>
      </w:r>
      <w:r w:rsidR="00FE5B35" w:rsidRPr="00275FC7">
        <w:t>10%</w:t>
      </w:r>
      <w:r w:rsidRPr="00275FC7">
        <w:t xml:space="preserve"> of NDIS participants aged over 25 reported participating in education, </w:t>
      </w:r>
      <w:r w:rsidR="00F66DCB" w:rsidRPr="00275FC7">
        <w:t>training,</w:t>
      </w:r>
      <w:r w:rsidRPr="00275FC7">
        <w:t xml:space="preserve"> or skill development as at 31 December 2020</w:t>
      </w:r>
      <w:r w:rsidR="007C2FC2" w:rsidRPr="00275FC7">
        <w:t>, down from 14% as at June 2018</w:t>
      </w:r>
      <w:r w:rsidRPr="00275FC7">
        <w:t>, and</w:t>
      </w:r>
    </w:p>
    <w:p w14:paraId="67EA85AD" w14:textId="5B661A9D" w:rsidR="0073245D" w:rsidRPr="00275FC7" w:rsidRDefault="0073245D" w:rsidP="00B40DE7">
      <w:pPr>
        <w:pStyle w:val="dotpoint"/>
      </w:pPr>
      <w:r w:rsidRPr="00275FC7">
        <w:t>over one third of participants (36%) aged over 25 were unable to do a course or training they wanted to do in the last 12 months</w:t>
      </w:r>
      <w:r w:rsidR="007C2FC2" w:rsidRPr="00275FC7">
        <w:t>, comparable to the 35% who reported being unable to do so as at June 2018</w:t>
      </w:r>
      <w:r w:rsidRPr="00275FC7">
        <w:t xml:space="preserve"> (NDIA</w:t>
      </w:r>
      <w:r w:rsidR="00FE5B35" w:rsidRPr="00275FC7">
        <w:t>,</w:t>
      </w:r>
      <w:r w:rsidRPr="00275FC7">
        <w:t xml:space="preserve"> </w:t>
      </w:r>
      <w:r w:rsidR="007C2FC2" w:rsidRPr="00275FC7">
        <w:t>2018 and NDIA</w:t>
      </w:r>
      <w:r w:rsidR="00FE5B35" w:rsidRPr="00275FC7">
        <w:t>,</w:t>
      </w:r>
      <w:r w:rsidR="007C2FC2" w:rsidRPr="00275FC7">
        <w:t xml:space="preserve"> </w:t>
      </w:r>
      <w:r w:rsidRPr="00275FC7">
        <w:t>2020)</w:t>
      </w:r>
      <w:r w:rsidR="008F6CA7" w:rsidRPr="00275FC7">
        <w:t xml:space="preserve">. </w:t>
      </w:r>
    </w:p>
    <w:p w14:paraId="2B173968" w14:textId="061AD751" w:rsidR="0073245D" w:rsidRPr="00275FC7" w:rsidRDefault="0073245D" w:rsidP="0073245D">
      <w:pPr>
        <w:pStyle w:val="paratext"/>
      </w:pPr>
      <w:r w:rsidRPr="00275FC7">
        <w:t>The Australian Government Joint Standing Committee on the NDIS expressed concern that “the educational needs of participants—particularly tertiary education—seem to have been neglected in workforce planning” and recommended that a national education strategy for participants be developed (Joint Standing Committee on the NDIS 2020)</w:t>
      </w:r>
      <w:r w:rsidR="008F6CA7" w:rsidRPr="00275FC7">
        <w:t xml:space="preserve">. </w:t>
      </w:r>
      <w:r w:rsidRPr="00275FC7">
        <w:t xml:space="preserve">The focus of such a strategy would be to support participants to engage in education and training, and support transitions from education to employment. </w:t>
      </w:r>
    </w:p>
    <w:p w14:paraId="3502126A" w14:textId="1455AEC0" w:rsidR="0073245D" w:rsidRPr="00275FC7" w:rsidRDefault="0073245D" w:rsidP="0073245D">
      <w:pPr>
        <w:pStyle w:val="paratext"/>
      </w:pPr>
      <w:r w:rsidRPr="00275FC7">
        <w:t xml:space="preserve">This will be an important next step to maximise tertiary education participation and employment outcomes for those Australians with disabilities who are eligible for the scheme. However, even if this opportunity is fully realised, the NDIS will still only fund </w:t>
      </w:r>
      <w:r w:rsidR="00E7138E" w:rsidRPr="00275FC7">
        <w:t>personal care</w:t>
      </w:r>
      <w:r w:rsidRPr="00275FC7">
        <w:t xml:space="preserve"> or specialised supports</w:t>
      </w:r>
      <w:r w:rsidR="008F6CA7" w:rsidRPr="00275FC7">
        <w:t xml:space="preserve">. </w:t>
      </w:r>
      <w:r w:rsidRPr="00275FC7">
        <w:t xml:space="preserve">The tertiary education system will still be expected to fund educational supports such as learning support, </w:t>
      </w:r>
      <w:r w:rsidR="00F66DCB" w:rsidRPr="00275FC7">
        <w:t>aids,</w:t>
      </w:r>
      <w:r w:rsidRPr="00275FC7">
        <w:t xml:space="preserve"> and equipment to make curriculums accessible, or adjustments to buildings. </w:t>
      </w:r>
    </w:p>
    <w:p w14:paraId="3F10714F" w14:textId="46CAE898" w:rsidR="00D877F3" w:rsidRPr="00275FC7" w:rsidRDefault="00D877F3" w:rsidP="0073245D">
      <w:pPr>
        <w:pStyle w:val="paratext"/>
      </w:pPr>
      <w:r w:rsidRPr="00275FC7">
        <w:t>Additionally, the siloed approach to funding educational versus disability supports can have the perverse effect of people ‘falling through the cracks’ entirely</w:t>
      </w:r>
      <w:r w:rsidR="008F6CA7" w:rsidRPr="00275FC7">
        <w:t xml:space="preserve">. </w:t>
      </w:r>
      <w:r w:rsidRPr="00275FC7">
        <w:t xml:space="preserve">People with lived experience </w:t>
      </w:r>
      <w:r w:rsidR="00855291">
        <w:t xml:space="preserve">of disability </w:t>
      </w:r>
      <w:r w:rsidRPr="00275FC7">
        <w:t>have shared stories of neither their education provider nor the NDIS</w:t>
      </w:r>
      <w:r w:rsidR="006D46A3" w:rsidRPr="00275FC7">
        <w:t xml:space="preserve"> </w:t>
      </w:r>
      <w:r w:rsidRPr="00275FC7">
        <w:t>willing to fund on-campus personal care support, while also not being willing to provide educational supports for study at home, where the student’s personal care needs can be met</w:t>
      </w:r>
      <w:r w:rsidR="006D46A3" w:rsidRPr="00275FC7">
        <w:t>, and results in</w:t>
      </w:r>
      <w:r w:rsidRPr="00275FC7">
        <w:t xml:space="preserve"> a barrier to in person or remote learning. </w:t>
      </w:r>
    </w:p>
    <w:p w14:paraId="4415298F" w14:textId="11E383DA" w:rsidR="00FC36F5" w:rsidRPr="00275FC7" w:rsidRDefault="00FC36F5" w:rsidP="00FC36F5">
      <w:pPr>
        <w:pStyle w:val="paratext"/>
      </w:pPr>
      <w:r w:rsidRPr="00275FC7">
        <w:t xml:space="preserve">For those Australians with disability not eligible for individualised NDIS supports, the </w:t>
      </w:r>
      <w:r w:rsidRPr="00275FC7">
        <w:rPr>
          <w:i/>
          <w:iCs/>
        </w:rPr>
        <w:t xml:space="preserve">Information, Linkages and Capacity-Building (ILC) </w:t>
      </w:r>
      <w:r w:rsidRPr="00275FC7">
        <w:t xml:space="preserve">funding </w:t>
      </w:r>
      <w:r w:rsidR="00417C70" w:rsidRPr="00275FC7">
        <w:t xml:space="preserve">stream of the NDIS </w:t>
      </w:r>
      <w:r w:rsidRPr="00275FC7">
        <w:t xml:space="preserve">is designed to increase accessibility of mainstream services. However, this is a demand-driven, </w:t>
      </w:r>
      <w:r w:rsidR="008F6CA7" w:rsidRPr="00275FC7">
        <w:t>ad hoc</w:t>
      </w:r>
      <w:r w:rsidR="00CD220E" w:rsidRPr="00275FC7">
        <w:t xml:space="preserve">, </w:t>
      </w:r>
      <w:r w:rsidRPr="00275FC7">
        <w:t>submission</w:t>
      </w:r>
      <w:r w:rsidR="006066E6" w:rsidRPr="00275FC7">
        <w:t>-</w:t>
      </w:r>
      <w:r w:rsidRPr="00275FC7">
        <w:t>based and non-recurrent funding program</w:t>
      </w:r>
      <w:r w:rsidR="008F6CA7" w:rsidRPr="00275FC7">
        <w:t xml:space="preserve">. </w:t>
      </w:r>
      <w:r w:rsidRPr="00275FC7">
        <w:t>Whilst it allow</w:t>
      </w:r>
      <w:r w:rsidR="001F4080" w:rsidRPr="00275FC7">
        <w:t>s</w:t>
      </w:r>
      <w:r w:rsidRPr="00275FC7">
        <w:t xml:space="preserve"> for new models and approaches to be trialed and evaluated, it cannot, on its own, drive widespread system</w:t>
      </w:r>
      <w:r w:rsidR="00855291">
        <w:t>s</w:t>
      </w:r>
      <w:r w:rsidRPr="00275FC7">
        <w:t xml:space="preserve"> change</w:t>
      </w:r>
      <w:r w:rsidR="00CD220E" w:rsidRPr="00275FC7">
        <w:t>, although it is expected to do so</w:t>
      </w:r>
      <w:r w:rsidR="008F6CA7" w:rsidRPr="00275FC7">
        <w:t xml:space="preserve">. </w:t>
      </w:r>
      <w:r w:rsidR="00E7138E" w:rsidRPr="00275FC7">
        <w:t xml:space="preserve">Further, once the funding is withdrawn there is not an </w:t>
      </w:r>
      <w:r w:rsidR="00E7138E" w:rsidRPr="00275FC7">
        <w:lastRenderedPageBreak/>
        <w:t xml:space="preserve">obvious link to any ongoing change or systemic output from the short-term intervention funded during the grant, meaning the impact is arguably not sustained. </w:t>
      </w:r>
    </w:p>
    <w:p w14:paraId="602489E2" w14:textId="745D6D86" w:rsidR="00FC36F5" w:rsidRPr="00275FC7" w:rsidRDefault="001F4080" w:rsidP="00FC36F5">
      <w:pPr>
        <w:pStyle w:val="paratext"/>
      </w:pPr>
      <w:r w:rsidRPr="00275FC7">
        <w:t xml:space="preserve">Further, the program has not delivered a strong focus on tertiary education to date. </w:t>
      </w:r>
      <w:r w:rsidR="00FC36F5" w:rsidRPr="00275FC7">
        <w:t xml:space="preserve">A review of ILC grants in the </w:t>
      </w:r>
      <w:r w:rsidR="00FC36F5" w:rsidRPr="00275FC7">
        <w:rPr>
          <w:i/>
          <w:iCs/>
        </w:rPr>
        <w:t>Individual Capacity Building</w:t>
      </w:r>
      <w:r w:rsidR="00FC36F5" w:rsidRPr="00275FC7">
        <w:t xml:space="preserve"> </w:t>
      </w:r>
      <w:r w:rsidR="00550C5B" w:rsidRPr="00275FC7">
        <w:t xml:space="preserve">category </w:t>
      </w:r>
      <w:r w:rsidR="00FC36F5" w:rsidRPr="00275FC7">
        <w:t>did not identify any relevant projects (NDIS</w:t>
      </w:r>
      <w:r w:rsidR="006066E6" w:rsidRPr="00275FC7">
        <w:t>,</w:t>
      </w:r>
      <w:r w:rsidR="00FC36F5" w:rsidRPr="00275FC7">
        <w:t xml:space="preserve"> n.d</w:t>
      </w:r>
      <w:r w:rsidR="006066E6" w:rsidRPr="00275FC7">
        <w:t>;</w:t>
      </w:r>
      <w:r w:rsidR="00550C5B" w:rsidRPr="00275FC7">
        <w:t xml:space="preserve"> Department of Social Services</w:t>
      </w:r>
      <w:r w:rsidR="006066E6" w:rsidRPr="00275FC7">
        <w:t>,</w:t>
      </w:r>
      <w:r w:rsidR="00550C5B" w:rsidRPr="00275FC7">
        <w:t xml:space="preserve"> n.d.</w:t>
      </w:r>
      <w:r w:rsidR="00FC36F5" w:rsidRPr="00275FC7">
        <w:t>)</w:t>
      </w:r>
      <w:r w:rsidR="00FC36F5" w:rsidRPr="00275FC7">
        <w:rPr>
          <w:rStyle w:val="FootnoteReference"/>
        </w:rPr>
        <w:footnoteReference w:id="5"/>
      </w:r>
      <w:r w:rsidR="00FC36F5" w:rsidRPr="00275FC7">
        <w:t xml:space="preserve">. Review of the </w:t>
      </w:r>
      <w:r w:rsidR="00FC36F5" w:rsidRPr="00275FC7">
        <w:rPr>
          <w:i/>
          <w:iCs/>
        </w:rPr>
        <w:t>Economic Participation</w:t>
      </w:r>
      <w:r w:rsidR="00FC36F5" w:rsidRPr="00275FC7">
        <w:t xml:space="preserve"> </w:t>
      </w:r>
      <w:r w:rsidR="006066E6" w:rsidRPr="00275FC7">
        <w:rPr>
          <w:i/>
          <w:iCs/>
        </w:rPr>
        <w:t>F</w:t>
      </w:r>
      <w:r w:rsidR="00550C5B" w:rsidRPr="00275FC7">
        <w:rPr>
          <w:i/>
          <w:iCs/>
        </w:rPr>
        <w:t>unding</w:t>
      </w:r>
      <w:r w:rsidR="00550C5B" w:rsidRPr="00275FC7">
        <w:t xml:space="preserve"> category </w:t>
      </w:r>
      <w:r w:rsidR="00FC36F5" w:rsidRPr="00275FC7">
        <w:t xml:space="preserve">identified </w:t>
      </w:r>
      <w:r w:rsidR="006066E6" w:rsidRPr="00275FC7">
        <w:t xml:space="preserve">14 </w:t>
      </w:r>
      <w:r w:rsidR="00FC36F5" w:rsidRPr="00275FC7">
        <w:t xml:space="preserve">projects with a training, </w:t>
      </w:r>
      <w:r w:rsidR="00F66DCB" w:rsidRPr="00275FC7">
        <w:t>employer,</w:t>
      </w:r>
      <w:r w:rsidR="00FC36F5" w:rsidRPr="00275FC7">
        <w:t xml:space="preserve"> or vocational focus, although it was unclear whether </w:t>
      </w:r>
      <w:r w:rsidR="00550C5B" w:rsidRPr="00275FC7">
        <w:t xml:space="preserve">the scope </w:t>
      </w:r>
      <w:r w:rsidR="00FC36F5" w:rsidRPr="00275FC7">
        <w:t>included formal tertiary education</w:t>
      </w:r>
      <w:r w:rsidR="00550C5B" w:rsidRPr="00275FC7">
        <w:t xml:space="preserve"> (Department of Social Services</w:t>
      </w:r>
      <w:r w:rsidR="006066E6" w:rsidRPr="00275FC7">
        <w:t>,</w:t>
      </w:r>
      <w:r w:rsidR="00550C5B" w:rsidRPr="00275FC7">
        <w:t xml:space="preserve"> n.d)</w:t>
      </w:r>
      <w:r w:rsidR="008F6CA7" w:rsidRPr="00275FC7">
        <w:t xml:space="preserve">. </w:t>
      </w:r>
      <w:r w:rsidR="00FC36F5" w:rsidRPr="00275FC7">
        <w:t xml:space="preserve">Three projects are </w:t>
      </w:r>
      <w:r w:rsidR="00550C5B" w:rsidRPr="00275FC7">
        <w:t xml:space="preserve">clearly </w:t>
      </w:r>
      <w:r w:rsidR="00FC36F5" w:rsidRPr="00275FC7">
        <w:t xml:space="preserve">operating in the tertiary education </w:t>
      </w:r>
      <w:r w:rsidR="008F6CA7" w:rsidRPr="00275FC7">
        <w:t>sector,</w:t>
      </w:r>
      <w:r w:rsidR="00CD220E" w:rsidRPr="00275FC7">
        <w:t xml:space="preserve"> </w:t>
      </w:r>
      <w:r w:rsidR="00FC36F5" w:rsidRPr="00275FC7">
        <w:t xml:space="preserve">and it would be useful to understand evaluation outcomes from these projects and, if positive, to understand how they might be replicated or </w:t>
      </w:r>
      <w:r w:rsidR="00550C5B" w:rsidRPr="00275FC7">
        <w:t xml:space="preserve">inform </w:t>
      </w:r>
      <w:r w:rsidR="00FC36F5" w:rsidRPr="00275FC7">
        <w:t>a national tertiary education strategy</w:t>
      </w:r>
      <w:r w:rsidR="00AD12EE" w:rsidRPr="00275FC7">
        <w:t>. These three projects are</w:t>
      </w:r>
      <w:r w:rsidR="00FC36F5" w:rsidRPr="00275FC7">
        <w:t>:</w:t>
      </w:r>
    </w:p>
    <w:p w14:paraId="74CA7AFD" w14:textId="77777777" w:rsidR="00FC36F5" w:rsidRPr="00275FC7" w:rsidRDefault="00FC36F5" w:rsidP="006B377F">
      <w:pPr>
        <w:pStyle w:val="ListParagraph"/>
      </w:pPr>
      <w:r w:rsidRPr="00275FC7">
        <w:t xml:space="preserve">a program at Holmesglen Institute of TAFE to provide young adults with disability the opportunity to complete a course in work education whilst being immersed in a work-based environment </w:t>
      </w:r>
    </w:p>
    <w:p w14:paraId="16DD3E97" w14:textId="77777777" w:rsidR="00FC36F5" w:rsidRPr="00275FC7" w:rsidRDefault="00FC36F5" w:rsidP="006B377F">
      <w:pPr>
        <w:pStyle w:val="ListParagraph"/>
      </w:pPr>
      <w:r w:rsidRPr="00275FC7">
        <w:t xml:space="preserve">a collaboration between Sprout Cooking School and Flinders University in South Australia to increase employment in hospitality and inclusive dining through developing and delivering specialised training to young people with disability </w:t>
      </w:r>
    </w:p>
    <w:p w14:paraId="5DA48D95" w14:textId="6A040605" w:rsidR="0073245D" w:rsidRPr="00275FC7" w:rsidRDefault="00FC36F5" w:rsidP="006B377F">
      <w:pPr>
        <w:pStyle w:val="ListParagraph"/>
      </w:pPr>
      <w:r w:rsidRPr="00275FC7">
        <w:t>a project sponsored by Swinburne University of Technology working with Australia Disability Enterprise to implement the Work Integrated Social Enterprise model that supports the development of employment opportunities in the mainstream labour market for young people with disability</w:t>
      </w:r>
      <w:r w:rsidR="00550C5B" w:rsidRPr="00275FC7">
        <w:t xml:space="preserve"> (NDIA</w:t>
      </w:r>
      <w:r w:rsidR="00AD12EE" w:rsidRPr="00275FC7">
        <w:t>,</w:t>
      </w:r>
      <w:r w:rsidR="00550C5B" w:rsidRPr="00275FC7">
        <w:t xml:space="preserve"> n.d.)</w:t>
      </w:r>
    </w:p>
    <w:p w14:paraId="3AD860F4" w14:textId="77777777" w:rsidR="002A366F" w:rsidRPr="00275FC7" w:rsidRDefault="002A366F" w:rsidP="00F00615">
      <w:pPr>
        <w:spacing w:before="240" w:after="240"/>
      </w:pPr>
    </w:p>
    <w:p w14:paraId="5F4CE995" w14:textId="5081D363" w:rsidR="004058F4" w:rsidRPr="00275FC7" w:rsidRDefault="004058F4">
      <w:r w:rsidRPr="00275FC7">
        <w:br w:type="page"/>
      </w:r>
    </w:p>
    <w:p w14:paraId="25E66D42" w14:textId="04A6852B" w:rsidR="007E7958" w:rsidRPr="00275FC7" w:rsidRDefault="007E7958" w:rsidP="007469E4">
      <w:pPr>
        <w:pStyle w:val="Heading1"/>
      </w:pPr>
      <w:bookmarkStart w:id="16" w:name="_Toc131672444"/>
      <w:r w:rsidRPr="00275FC7">
        <w:lastRenderedPageBreak/>
        <w:t>References</w:t>
      </w:r>
      <w:bookmarkEnd w:id="16"/>
    </w:p>
    <w:p w14:paraId="3A6BE619" w14:textId="59EFD614" w:rsidR="0093455F" w:rsidRPr="00275FC7" w:rsidRDefault="0093455F" w:rsidP="007E7958">
      <w:pPr>
        <w:spacing w:after="240"/>
      </w:pPr>
      <w:r w:rsidRPr="00275FC7">
        <w:t>Australian Bureau of Statistics</w:t>
      </w:r>
      <w:r w:rsidR="003858DB" w:rsidRPr="00275FC7">
        <w:t xml:space="preserve"> [ABS]</w:t>
      </w:r>
      <w:r w:rsidR="007F6F6D" w:rsidRPr="00275FC7">
        <w:t>.</w:t>
      </w:r>
      <w:r w:rsidRPr="00275FC7">
        <w:t xml:space="preserve"> </w:t>
      </w:r>
      <w:r w:rsidR="00267B43" w:rsidRPr="00275FC7">
        <w:t>(</w:t>
      </w:r>
      <w:r w:rsidRPr="00275FC7">
        <w:t>2018</w:t>
      </w:r>
      <w:r w:rsidR="00267B43" w:rsidRPr="00275FC7">
        <w:t>)</w:t>
      </w:r>
      <w:r w:rsidR="007F6F6D" w:rsidRPr="00275FC7">
        <w:t>.</w:t>
      </w:r>
      <w:r w:rsidRPr="00275FC7">
        <w:rPr>
          <w:i/>
          <w:iCs/>
        </w:rPr>
        <w:t xml:space="preserve"> Labour Force Australia – Quarterly, November 2018</w:t>
      </w:r>
      <w:r w:rsidRPr="00275FC7">
        <w:t>.</w:t>
      </w:r>
    </w:p>
    <w:p w14:paraId="3CC56A0B" w14:textId="1F2D8CF0" w:rsidR="006403A9" w:rsidRPr="00275FC7" w:rsidRDefault="003858DB" w:rsidP="006403A9">
      <w:pPr>
        <w:spacing w:after="240"/>
      </w:pPr>
      <w:r w:rsidRPr="00275FC7">
        <w:t>ABS</w:t>
      </w:r>
      <w:r w:rsidR="007F6F6D" w:rsidRPr="00275FC7">
        <w:t>.</w:t>
      </w:r>
      <w:r w:rsidR="006403A9" w:rsidRPr="00275FC7">
        <w:t xml:space="preserve"> (2018)</w:t>
      </w:r>
      <w:r w:rsidR="007F6F6D" w:rsidRPr="00275FC7">
        <w:t>.</w:t>
      </w:r>
      <w:r w:rsidR="006403A9" w:rsidRPr="00275FC7">
        <w:t xml:space="preserve"> Disability, Ageing and Carers Australia: Summary of Findings, 2018 retrieved 28 May 2021 from </w:t>
      </w:r>
      <w:hyperlink r:id="rId24" w:history="1">
        <w:r w:rsidR="006403A9" w:rsidRPr="00275FC7">
          <w:rPr>
            <w:rStyle w:val="Hyperlink"/>
          </w:rPr>
          <w:t>https://www.abs.gov.au/statistics/health/disability/disability-ageing-and-carers-australia-summary-findings</w:t>
        </w:r>
      </w:hyperlink>
      <w:r w:rsidR="006403A9" w:rsidRPr="00275FC7">
        <w:t xml:space="preserve"> </w:t>
      </w:r>
    </w:p>
    <w:p w14:paraId="7447365E" w14:textId="4B8BB936" w:rsidR="00B51873" w:rsidRPr="00275FC7" w:rsidRDefault="00B51873" w:rsidP="007E7958">
      <w:pPr>
        <w:spacing w:after="240"/>
      </w:pPr>
      <w:r w:rsidRPr="00275FC7">
        <w:t>Australian Disability Clearinghouse on Education and Training</w:t>
      </w:r>
      <w:r w:rsidR="004B3CAF" w:rsidRPr="00275FC7">
        <w:t xml:space="preserve"> [ADCET]</w:t>
      </w:r>
      <w:r w:rsidR="007F6F6D" w:rsidRPr="00275FC7">
        <w:t>.</w:t>
      </w:r>
      <w:r w:rsidRPr="00275FC7">
        <w:t xml:space="preserve"> (2021)</w:t>
      </w:r>
      <w:r w:rsidR="007F6F6D" w:rsidRPr="00275FC7">
        <w:t>.</w:t>
      </w:r>
      <w:r w:rsidRPr="00275FC7">
        <w:t xml:space="preserve"> </w:t>
      </w:r>
      <w:r w:rsidRPr="00275FC7">
        <w:rPr>
          <w:i/>
          <w:iCs/>
        </w:rPr>
        <w:t xml:space="preserve">Higher Education Statistics </w:t>
      </w:r>
      <w:r w:rsidRPr="00275FC7">
        <w:t xml:space="preserve">retrieved 31 May 2021 from </w:t>
      </w:r>
      <w:hyperlink r:id="rId25" w:history="1">
        <w:r w:rsidRPr="00275FC7">
          <w:rPr>
            <w:rStyle w:val="Hyperlink"/>
          </w:rPr>
          <w:t>https://www.adcet.edu.au/inclusive-teaching/understanding-disability/higher-education-statistics</w:t>
        </w:r>
      </w:hyperlink>
      <w:r w:rsidRPr="00275FC7">
        <w:t xml:space="preserve"> </w:t>
      </w:r>
    </w:p>
    <w:p w14:paraId="0CAC1B0D" w14:textId="43AABF61" w:rsidR="00B51873" w:rsidRPr="00275FC7" w:rsidRDefault="003858DB" w:rsidP="007E7958">
      <w:pPr>
        <w:spacing w:after="240"/>
      </w:pPr>
      <w:r w:rsidRPr="00275FC7">
        <w:t>ADCET</w:t>
      </w:r>
      <w:r w:rsidR="004B3CAF" w:rsidRPr="00275FC7">
        <w:t>.</w:t>
      </w:r>
      <w:r w:rsidR="00B51873" w:rsidRPr="00275FC7">
        <w:t xml:space="preserve"> (2021)</w:t>
      </w:r>
      <w:r w:rsidR="004B3CAF" w:rsidRPr="00275FC7">
        <w:t>.</w:t>
      </w:r>
      <w:r w:rsidR="00B51873" w:rsidRPr="00275FC7">
        <w:t xml:space="preserve"> </w:t>
      </w:r>
      <w:r w:rsidR="00B51873" w:rsidRPr="00275FC7">
        <w:rPr>
          <w:i/>
          <w:iCs/>
        </w:rPr>
        <w:t xml:space="preserve">Vocational Education and Training Statistics </w:t>
      </w:r>
      <w:r w:rsidR="00B51873" w:rsidRPr="00275FC7">
        <w:t xml:space="preserve">retrieved 31 May 2021 from </w:t>
      </w:r>
      <w:hyperlink r:id="rId26" w:history="1">
        <w:r w:rsidR="00B51873" w:rsidRPr="00275FC7">
          <w:rPr>
            <w:rStyle w:val="Hyperlink"/>
          </w:rPr>
          <w:t>https://www.adcet.edu.au/inclusive-teaching/understanding-disability/vet-statistics</w:t>
        </w:r>
      </w:hyperlink>
      <w:r w:rsidR="00B51873" w:rsidRPr="00275FC7">
        <w:t xml:space="preserve"> </w:t>
      </w:r>
    </w:p>
    <w:p w14:paraId="577448AB" w14:textId="50802441" w:rsidR="00992627" w:rsidRPr="00275FC7" w:rsidRDefault="00992627" w:rsidP="00790B87">
      <w:pPr>
        <w:spacing w:after="240"/>
        <w:rPr>
          <w:lang w:val="en-AU"/>
        </w:rPr>
      </w:pPr>
      <w:r w:rsidRPr="00275FC7">
        <w:rPr>
          <w:lang w:val="en-AU"/>
        </w:rPr>
        <w:t>Australian Human Rights Commission [AHRC]</w:t>
      </w:r>
      <w:r w:rsidR="004B3CAF" w:rsidRPr="00275FC7">
        <w:rPr>
          <w:lang w:val="en-AU"/>
        </w:rPr>
        <w:t>.</w:t>
      </w:r>
      <w:r w:rsidRPr="00275FC7">
        <w:rPr>
          <w:lang w:val="en-AU"/>
        </w:rPr>
        <w:t xml:space="preserve"> (2021)</w:t>
      </w:r>
      <w:r w:rsidR="004B3CAF" w:rsidRPr="00275FC7">
        <w:rPr>
          <w:lang w:val="en-AU"/>
        </w:rPr>
        <w:t>.</w:t>
      </w:r>
      <w:r w:rsidRPr="00275FC7">
        <w:rPr>
          <w:lang w:val="en-AU"/>
        </w:rPr>
        <w:t xml:space="preserve"> </w:t>
      </w:r>
      <w:r w:rsidRPr="00275FC7">
        <w:rPr>
          <w:i/>
          <w:iCs/>
          <w:lang w:val="en-AU"/>
        </w:rPr>
        <w:t>Human Rights and Technology: Final Report</w:t>
      </w:r>
      <w:r w:rsidRPr="00275FC7">
        <w:rPr>
          <w:lang w:val="en-AU"/>
        </w:rPr>
        <w:t xml:space="preserve"> retrieved 22 July 2021 from </w:t>
      </w:r>
      <w:hyperlink r:id="rId27" w:history="1">
        <w:r w:rsidRPr="00275FC7">
          <w:rPr>
            <w:rStyle w:val="Hyperlink"/>
            <w:lang w:val="en-AU"/>
          </w:rPr>
          <w:t>https://tech.humanrights.gov.au/downloads?_ga=2.163991996.2034430662.1626908211-1288784926.1626908211</w:t>
        </w:r>
      </w:hyperlink>
      <w:r w:rsidRPr="00275FC7">
        <w:rPr>
          <w:lang w:val="en-AU"/>
        </w:rPr>
        <w:t xml:space="preserve"> </w:t>
      </w:r>
    </w:p>
    <w:p w14:paraId="7CCD0C0A" w14:textId="1A0E090F" w:rsidR="00992627" w:rsidRPr="00275FC7" w:rsidRDefault="00992627" w:rsidP="00790B87">
      <w:pPr>
        <w:spacing w:after="240"/>
        <w:rPr>
          <w:lang w:val="en-AU"/>
        </w:rPr>
      </w:pPr>
      <w:r w:rsidRPr="00275FC7">
        <w:rPr>
          <w:lang w:val="en-AU"/>
        </w:rPr>
        <w:t>AHRC</w:t>
      </w:r>
      <w:r w:rsidR="00AA40E2" w:rsidRPr="00275FC7">
        <w:rPr>
          <w:lang w:val="en-AU"/>
        </w:rPr>
        <w:t>.</w:t>
      </w:r>
      <w:r w:rsidRPr="00275FC7">
        <w:rPr>
          <w:lang w:val="en-AU"/>
        </w:rPr>
        <w:t xml:space="preserve"> (2020)</w:t>
      </w:r>
      <w:r w:rsidR="00AA40E2" w:rsidRPr="00275FC7">
        <w:rPr>
          <w:lang w:val="en-AU"/>
        </w:rPr>
        <w:t>.</w:t>
      </w:r>
      <w:r w:rsidRPr="00275FC7">
        <w:rPr>
          <w:lang w:val="en-AU"/>
        </w:rPr>
        <w:t xml:space="preserve"> </w:t>
      </w:r>
      <w:r w:rsidRPr="00275FC7">
        <w:rPr>
          <w:i/>
          <w:iCs/>
          <w:lang w:val="en-AU"/>
        </w:rPr>
        <w:t xml:space="preserve">Australian Human Rights Commission 2019-20 Complaint Statistics </w:t>
      </w:r>
      <w:r w:rsidRPr="00275FC7">
        <w:rPr>
          <w:lang w:val="en-AU"/>
        </w:rPr>
        <w:t xml:space="preserve">retrieved 22 July 2021 from </w:t>
      </w:r>
      <w:hyperlink r:id="rId28" w:history="1">
        <w:r w:rsidRPr="00275FC7">
          <w:rPr>
            <w:rStyle w:val="Hyperlink"/>
            <w:lang w:val="en-AU"/>
          </w:rPr>
          <w:t>https://humanrights.gov.au/sites/default/files/2020-10/AHRC_AR_2019-20_Complaint_Stats_FINAL.pdf</w:t>
        </w:r>
      </w:hyperlink>
      <w:r w:rsidRPr="00275FC7">
        <w:rPr>
          <w:lang w:val="en-AU"/>
        </w:rPr>
        <w:t xml:space="preserve"> </w:t>
      </w:r>
    </w:p>
    <w:sdt>
      <w:sdtPr>
        <w:id w:val="-573587230"/>
        <w:bibliography/>
      </w:sdtPr>
      <w:sdtEndPr/>
      <w:sdtContent>
        <w:p w14:paraId="0608E636" w14:textId="5B1BBAD8" w:rsidR="00D03CB5" w:rsidRPr="00275FC7" w:rsidRDefault="00D03CB5" w:rsidP="00D03CB5">
          <w:pPr>
            <w:pStyle w:val="Bibliography"/>
            <w:ind w:left="720" w:hanging="720"/>
            <w:rPr>
              <w:noProof/>
              <w:sz w:val="24"/>
              <w:szCs w:val="24"/>
            </w:rPr>
          </w:pPr>
          <w:r w:rsidRPr="00275FC7">
            <w:fldChar w:fldCharType="begin"/>
          </w:r>
          <w:r w:rsidRPr="00275FC7">
            <w:instrText xml:space="preserve"> BIBLIOGRAPHY </w:instrText>
          </w:r>
          <w:r w:rsidRPr="00275FC7">
            <w:fldChar w:fldCharType="separate"/>
          </w:r>
          <w:r w:rsidRPr="00275FC7">
            <w:rPr>
              <w:noProof/>
            </w:rPr>
            <w:t>Australian Institute of Health and Welfare</w:t>
          </w:r>
          <w:r w:rsidR="00AA40E2" w:rsidRPr="00275FC7">
            <w:rPr>
              <w:noProof/>
            </w:rPr>
            <w:t xml:space="preserve"> [AIHW]</w:t>
          </w:r>
          <w:r w:rsidRPr="00275FC7">
            <w:rPr>
              <w:noProof/>
            </w:rPr>
            <w:t xml:space="preserve">. (2020). </w:t>
          </w:r>
          <w:r w:rsidRPr="00275FC7">
            <w:rPr>
              <w:i/>
              <w:iCs/>
              <w:noProof/>
            </w:rPr>
            <w:t>People with disability in Australia.</w:t>
          </w:r>
          <w:r w:rsidRPr="00275FC7">
            <w:rPr>
              <w:noProof/>
            </w:rPr>
            <w:t xml:space="preserve"> Canberra: Australian Government.</w:t>
          </w:r>
        </w:p>
        <w:p w14:paraId="20CD831F" w14:textId="77777777" w:rsidR="00D03CB5" w:rsidRPr="00275FC7" w:rsidRDefault="00D03CB5" w:rsidP="00D03CB5">
          <w:r w:rsidRPr="00275FC7">
            <w:rPr>
              <w:b/>
              <w:bCs/>
              <w:noProof/>
            </w:rPr>
            <w:fldChar w:fldCharType="end"/>
          </w:r>
        </w:p>
      </w:sdtContent>
    </w:sdt>
    <w:p w14:paraId="53089B7B" w14:textId="73A72BDC" w:rsidR="00CC7DE5" w:rsidRPr="00275FC7" w:rsidRDefault="00CC7DE5" w:rsidP="00790B87">
      <w:pPr>
        <w:spacing w:after="240"/>
        <w:rPr>
          <w:lang w:val="en-AU"/>
        </w:rPr>
      </w:pPr>
      <w:r w:rsidRPr="00275FC7">
        <w:rPr>
          <w:lang w:val="en-AU"/>
        </w:rPr>
        <w:t>Australian Tertiary Education Network on Disability [ATEND]</w:t>
      </w:r>
      <w:r w:rsidR="00AA40E2" w:rsidRPr="00275FC7">
        <w:rPr>
          <w:lang w:val="en-AU"/>
        </w:rPr>
        <w:t>.</w:t>
      </w:r>
      <w:r w:rsidRPr="00275FC7">
        <w:rPr>
          <w:lang w:val="en-AU"/>
        </w:rPr>
        <w:t xml:space="preserve"> (2020)</w:t>
      </w:r>
      <w:r w:rsidR="00AA40E2" w:rsidRPr="00275FC7">
        <w:rPr>
          <w:lang w:val="en-AU"/>
        </w:rPr>
        <w:t>.</w:t>
      </w:r>
      <w:r w:rsidRPr="00275FC7">
        <w:rPr>
          <w:lang w:val="en-AU"/>
        </w:rPr>
        <w:t xml:space="preserve"> </w:t>
      </w:r>
      <w:r w:rsidRPr="00275FC7">
        <w:rPr>
          <w:i/>
          <w:iCs/>
          <w:lang w:val="en-AU"/>
        </w:rPr>
        <w:t xml:space="preserve">Submission to 2020 National Disability Strategy Consultations </w:t>
      </w:r>
      <w:r w:rsidRPr="00275FC7">
        <w:rPr>
          <w:lang w:val="en-AU"/>
        </w:rPr>
        <w:t xml:space="preserve">retrieved 22 July 2021 from </w:t>
      </w:r>
      <w:hyperlink r:id="rId29" w:history="1">
        <w:r w:rsidRPr="00275FC7">
          <w:rPr>
            <w:rStyle w:val="Hyperlink"/>
            <w:lang w:val="en-AU"/>
          </w:rPr>
          <w:t>https://engage.dss.gov.au/nds-stage-2-2020-submissions/anthony-gartner-bsw-msw-president-australian-tertiary-education-network-on-disability/</w:t>
        </w:r>
      </w:hyperlink>
      <w:r w:rsidRPr="00275FC7">
        <w:rPr>
          <w:lang w:val="en-AU"/>
        </w:rPr>
        <w:t xml:space="preserve"> </w:t>
      </w:r>
    </w:p>
    <w:p w14:paraId="11588F95" w14:textId="692A58D0" w:rsidR="00790B87" w:rsidRPr="00275FC7" w:rsidRDefault="00790B87" w:rsidP="00790B87">
      <w:pPr>
        <w:spacing w:after="240"/>
        <w:rPr>
          <w:lang w:val="en-AU"/>
        </w:rPr>
      </w:pPr>
      <w:r w:rsidRPr="00275FC7">
        <w:rPr>
          <w:lang w:val="en-AU"/>
        </w:rPr>
        <w:t>Bradley, D., Noonan, P., Nugent, H., &amp; Scales, B. (2008)</w:t>
      </w:r>
      <w:r w:rsidR="00AA40E2" w:rsidRPr="00275FC7">
        <w:rPr>
          <w:lang w:val="en-AU"/>
        </w:rPr>
        <w:t>.</w:t>
      </w:r>
      <w:r w:rsidRPr="00275FC7">
        <w:rPr>
          <w:lang w:val="en-AU"/>
        </w:rPr>
        <w:t xml:space="preserve"> </w:t>
      </w:r>
      <w:r w:rsidRPr="00275FC7">
        <w:rPr>
          <w:i/>
          <w:iCs/>
          <w:lang w:val="en-AU"/>
        </w:rPr>
        <w:t>Review of Australian higher education final report.</w:t>
      </w:r>
      <w:r w:rsidRPr="00275FC7">
        <w:rPr>
          <w:lang w:val="en-AU"/>
        </w:rPr>
        <w:t xml:space="preserve"> Canberra: Australian Government.</w:t>
      </w:r>
    </w:p>
    <w:p w14:paraId="3808BFB7" w14:textId="060AB88D" w:rsidR="00B57D7C" w:rsidRPr="00275FC7" w:rsidRDefault="00B57D7C" w:rsidP="00B57D7C">
      <w:pPr>
        <w:spacing w:after="240"/>
        <w:rPr>
          <w:lang w:val="en-AU"/>
        </w:rPr>
      </w:pPr>
      <w:r w:rsidRPr="00275FC7">
        <w:rPr>
          <w:lang w:val="en-AU"/>
        </w:rPr>
        <w:t>Burgstahler, S. </w:t>
      </w:r>
      <w:r w:rsidR="00AA40E2" w:rsidRPr="00275FC7">
        <w:rPr>
          <w:lang w:val="en-AU"/>
        </w:rPr>
        <w:t>(</w:t>
      </w:r>
      <w:r w:rsidRPr="00275FC7">
        <w:rPr>
          <w:lang w:val="en-AU"/>
        </w:rPr>
        <w:t>2015</w:t>
      </w:r>
      <w:r w:rsidR="00AA40E2" w:rsidRPr="00275FC7">
        <w:rPr>
          <w:lang w:val="en-AU"/>
        </w:rPr>
        <w:t>)</w:t>
      </w:r>
      <w:r w:rsidRPr="00275FC7">
        <w:rPr>
          <w:lang w:val="en-AU"/>
        </w:rPr>
        <w:t>. “Opening Doors or Slamming Them Shut? Online Learning Practices and Students with Disabilities.” </w:t>
      </w:r>
      <w:r w:rsidRPr="00275FC7">
        <w:rPr>
          <w:i/>
          <w:iCs/>
          <w:lang w:val="en-AU"/>
        </w:rPr>
        <w:t>Social Inclusion</w:t>
      </w:r>
      <w:r w:rsidRPr="00275FC7">
        <w:rPr>
          <w:lang w:val="en-AU"/>
        </w:rPr>
        <w:t> 3 (6): 69–79. </w:t>
      </w:r>
    </w:p>
    <w:p w14:paraId="1DE6FACE" w14:textId="77417E09" w:rsidR="006403A9" w:rsidRPr="00275FC7" w:rsidRDefault="006403A9" w:rsidP="006403A9">
      <w:pPr>
        <w:spacing w:after="240"/>
      </w:pPr>
      <w:r w:rsidRPr="00275FC7">
        <w:t>Commonwealth of Australia Joint Standing Committee on the NDIS</w:t>
      </w:r>
      <w:r w:rsidR="00AA40E2" w:rsidRPr="00275FC7">
        <w:t>.</w:t>
      </w:r>
      <w:r w:rsidRPr="00275FC7">
        <w:t xml:space="preserve"> (2020)</w:t>
      </w:r>
      <w:r w:rsidR="00AA40E2" w:rsidRPr="00275FC7">
        <w:t>.</w:t>
      </w:r>
      <w:r w:rsidRPr="00275FC7">
        <w:t xml:space="preserve"> </w:t>
      </w:r>
      <w:r w:rsidRPr="00275FC7">
        <w:rPr>
          <w:i/>
          <w:iCs/>
        </w:rPr>
        <w:t>NDIS Workforce Interim Report</w:t>
      </w:r>
      <w:r w:rsidRPr="00275FC7">
        <w:t xml:space="preserve"> retrieved on 28 May 2021 from </w:t>
      </w:r>
      <w:hyperlink r:id="rId30" w:history="1">
        <w:r w:rsidRPr="00275FC7">
          <w:rPr>
            <w:rStyle w:val="Hyperlink"/>
          </w:rPr>
          <w:t>https://parlinfo.aph.gov.au/parlInfo/download/committees/reportjnt/024501/toc_pdf/NDISWorkforceInterimReport.pdf;fileType=application%2Fpdf</w:t>
        </w:r>
      </w:hyperlink>
      <w:r w:rsidRPr="00275FC7">
        <w:t xml:space="preserve"> </w:t>
      </w:r>
    </w:p>
    <w:p w14:paraId="16F2D65B" w14:textId="773AACBC" w:rsidR="00083987" w:rsidRPr="00275FC7" w:rsidRDefault="00083987" w:rsidP="3D2AE5C1">
      <w:pPr>
        <w:rPr>
          <w:rStyle w:val="Hyperlink"/>
        </w:rPr>
      </w:pPr>
      <w:r w:rsidRPr="00275FC7">
        <w:t xml:space="preserve">Considine, G., Watson, R. and Hall, R. (2005). Who's missing out? Access and equity in vocational education and training Research report. 21 November 2005. </w:t>
      </w:r>
      <w:r w:rsidR="005F50D2" w:rsidRPr="00275FC7">
        <w:t>Retrieved</w:t>
      </w:r>
      <w:r w:rsidRPr="00275FC7">
        <w:t xml:space="preserve"> from </w:t>
      </w:r>
      <w:hyperlink r:id="rId31" w:history="1">
        <w:r w:rsidR="005F50D2" w:rsidRPr="00275FC7">
          <w:rPr>
            <w:rStyle w:val="Hyperlink"/>
          </w:rPr>
          <w:t>https://www.ncver.edu.au/research-and-statistics/publications/all-publications/whos-missing-out-access-and-equity-in-vocational-education-and-training</w:t>
        </w:r>
      </w:hyperlink>
    </w:p>
    <w:p w14:paraId="11A5CC98" w14:textId="77777777" w:rsidR="00083987" w:rsidRPr="00275FC7" w:rsidRDefault="00083987" w:rsidP="005F50D2">
      <w:pPr>
        <w:rPr>
          <w:rStyle w:val="page-headerdate"/>
          <w:color w:val="707070"/>
          <w:shd w:val="clear" w:color="auto" w:fill="F5F5F5"/>
        </w:rPr>
      </w:pPr>
    </w:p>
    <w:p w14:paraId="32C3F628" w14:textId="143D83B8" w:rsidR="00790B87" w:rsidRPr="00275FC7" w:rsidRDefault="00790B87" w:rsidP="00083987">
      <w:pPr>
        <w:spacing w:after="240"/>
        <w:rPr>
          <w:lang w:val="en-AU"/>
        </w:rPr>
      </w:pPr>
      <w:r w:rsidRPr="00275FC7">
        <w:rPr>
          <w:lang w:val="en-AU"/>
        </w:rPr>
        <w:t>Department of Education</w:t>
      </w:r>
      <w:r w:rsidR="00AA40E2" w:rsidRPr="00275FC7">
        <w:rPr>
          <w:lang w:val="en-AU"/>
        </w:rPr>
        <w:t>.</w:t>
      </w:r>
      <w:r w:rsidRPr="00275FC7">
        <w:rPr>
          <w:lang w:val="en-AU"/>
        </w:rPr>
        <w:t xml:space="preserve"> (2019)</w:t>
      </w:r>
      <w:r w:rsidR="00AA40E2" w:rsidRPr="00275FC7">
        <w:rPr>
          <w:lang w:val="en-AU"/>
        </w:rPr>
        <w:t>.</w:t>
      </w:r>
      <w:r w:rsidRPr="00275FC7">
        <w:rPr>
          <w:lang w:val="en-AU"/>
        </w:rPr>
        <w:t xml:space="preserve"> </w:t>
      </w:r>
      <w:r w:rsidRPr="00275FC7">
        <w:rPr>
          <w:i/>
          <w:iCs/>
          <w:lang w:val="en-AU"/>
        </w:rPr>
        <w:t>Review of the loading for students with disability 2019 – public submission</w:t>
      </w:r>
      <w:r w:rsidRPr="00275FC7">
        <w:rPr>
          <w:lang w:val="en-AU"/>
        </w:rPr>
        <w:t xml:space="preserve">. Retrieved May 2021 from </w:t>
      </w:r>
      <w:hyperlink r:id="rId32" w:history="1">
        <w:r w:rsidRPr="00275FC7">
          <w:rPr>
            <w:rStyle w:val="Hyperlink"/>
            <w:lang w:val="en-AU"/>
          </w:rPr>
          <w:t>https://www.dese.gov.au/system/files/documents/document-file/2020-12/australian_government_department_of_education_0.pdf</w:t>
        </w:r>
      </w:hyperlink>
      <w:r w:rsidRPr="00275FC7">
        <w:rPr>
          <w:lang w:val="en-AU"/>
        </w:rPr>
        <w:t xml:space="preserve"> </w:t>
      </w:r>
    </w:p>
    <w:p w14:paraId="22C7304E" w14:textId="30A39DE0" w:rsidR="00790B87" w:rsidRPr="00275FC7" w:rsidRDefault="00790B87" w:rsidP="00790B87">
      <w:pPr>
        <w:spacing w:after="240"/>
        <w:rPr>
          <w:lang w:val="en-AU"/>
        </w:rPr>
      </w:pPr>
      <w:r w:rsidRPr="00275FC7">
        <w:rPr>
          <w:lang w:val="en-AU"/>
        </w:rPr>
        <w:t>Department of Education, Skills and Employment</w:t>
      </w:r>
      <w:r w:rsidR="000C6B73" w:rsidRPr="00275FC7">
        <w:rPr>
          <w:lang w:val="en-AU"/>
        </w:rPr>
        <w:t>.</w:t>
      </w:r>
      <w:r w:rsidRPr="00275FC7">
        <w:rPr>
          <w:lang w:val="en-AU"/>
        </w:rPr>
        <w:t xml:space="preserve"> </w:t>
      </w:r>
      <w:r w:rsidR="000C6B73" w:rsidRPr="00275FC7">
        <w:rPr>
          <w:lang w:val="en-AU"/>
        </w:rPr>
        <w:t>[</w:t>
      </w:r>
      <w:r w:rsidRPr="00275FC7">
        <w:rPr>
          <w:lang w:val="en-AU"/>
        </w:rPr>
        <w:t>DESE</w:t>
      </w:r>
      <w:r w:rsidR="000C6B73" w:rsidRPr="00275FC7">
        <w:rPr>
          <w:lang w:val="en-AU"/>
        </w:rPr>
        <w:t>].</w:t>
      </w:r>
      <w:r w:rsidRPr="00275FC7">
        <w:rPr>
          <w:i/>
          <w:iCs/>
          <w:lang w:val="en-AU"/>
        </w:rPr>
        <w:t xml:space="preserve"> </w:t>
      </w:r>
      <w:r w:rsidRPr="00275FC7">
        <w:rPr>
          <w:lang w:val="en-AU"/>
        </w:rPr>
        <w:t>(2021)</w:t>
      </w:r>
      <w:r w:rsidR="000C6B73" w:rsidRPr="00275FC7">
        <w:rPr>
          <w:lang w:val="en-AU"/>
        </w:rPr>
        <w:t>.</w:t>
      </w:r>
      <w:r w:rsidRPr="00275FC7">
        <w:rPr>
          <w:lang w:val="en-AU"/>
        </w:rPr>
        <w:t xml:space="preserve"> </w:t>
      </w:r>
      <w:r w:rsidRPr="00275FC7">
        <w:rPr>
          <w:i/>
          <w:iCs/>
          <w:lang w:val="en-AU"/>
        </w:rPr>
        <w:t>Equity Performance Data—Power BI Tool</w:t>
      </w:r>
      <w:r w:rsidRPr="00275FC7">
        <w:rPr>
          <w:lang w:val="en-AU"/>
        </w:rPr>
        <w:t xml:space="preserve">, retrieved May 2021 from </w:t>
      </w:r>
      <w:hyperlink r:id="rId33" w:history="1">
        <w:r w:rsidRPr="00275FC7">
          <w:rPr>
            <w:rStyle w:val="Hyperlink"/>
            <w:lang w:val="en-AU"/>
          </w:rPr>
          <w:t>https://app.powerbi.com/view?r=eyJrIjoiOTljMTY5YzYtYzYwNS00YjFlLWE1YTEtZTg2ZmMwNWU0MzRiIiwidCI6ImRkMGNmZDE1LTQ1NTgtNGIxMi04YmFkLWVhMjY5ODRmYzQxNyJ9</w:t>
        </w:r>
      </w:hyperlink>
      <w:r w:rsidRPr="00275FC7">
        <w:rPr>
          <w:lang w:val="en-AU"/>
        </w:rPr>
        <w:t xml:space="preserve"> </w:t>
      </w:r>
    </w:p>
    <w:p w14:paraId="4E94D6A9" w14:textId="068B9EC0" w:rsidR="00790B87" w:rsidRPr="00275FC7" w:rsidRDefault="00790B87" w:rsidP="00790B87">
      <w:pPr>
        <w:spacing w:after="240"/>
      </w:pPr>
      <w:r w:rsidRPr="00275FC7">
        <w:rPr>
          <w:lang w:val="en-AU"/>
        </w:rPr>
        <w:t>Department of Education, Skills and Employment</w:t>
      </w:r>
      <w:r w:rsidR="000C6B73" w:rsidRPr="00275FC7">
        <w:rPr>
          <w:lang w:val="en-AU"/>
        </w:rPr>
        <w:t>.</w:t>
      </w:r>
      <w:r w:rsidRPr="00275FC7">
        <w:rPr>
          <w:i/>
          <w:iCs/>
          <w:lang w:val="en-AU"/>
        </w:rPr>
        <w:t xml:space="preserve"> </w:t>
      </w:r>
      <w:r w:rsidRPr="00275FC7">
        <w:rPr>
          <w:lang w:val="en-AU"/>
        </w:rPr>
        <w:t>(2020)</w:t>
      </w:r>
      <w:r w:rsidR="000C6B73" w:rsidRPr="00275FC7">
        <w:rPr>
          <w:lang w:val="en-AU"/>
        </w:rPr>
        <w:t>.</w:t>
      </w:r>
      <w:r w:rsidRPr="00275FC7">
        <w:rPr>
          <w:i/>
          <w:iCs/>
          <w:lang w:val="en-AU"/>
        </w:rPr>
        <w:t xml:space="preserve"> Disability Standards for Education 2005 – 2020 Review – Final Report. </w:t>
      </w:r>
      <w:r w:rsidRPr="00275FC7">
        <w:rPr>
          <w:lang w:val="en-AU"/>
        </w:rPr>
        <w:t>Commonwealth of Australia, Canberra.</w:t>
      </w:r>
      <w:r w:rsidRPr="00275FC7">
        <w:rPr>
          <w:i/>
          <w:iCs/>
          <w:lang w:val="en-AU"/>
        </w:rPr>
        <w:t xml:space="preserve"> </w:t>
      </w:r>
    </w:p>
    <w:p w14:paraId="3EFBDF52" w14:textId="0E10B15A" w:rsidR="00790B87" w:rsidRPr="00275FC7" w:rsidRDefault="00790B87" w:rsidP="00790B87">
      <w:pPr>
        <w:spacing w:after="240"/>
      </w:pPr>
      <w:r w:rsidRPr="00275FC7">
        <w:rPr>
          <w:lang w:val="en-AU"/>
        </w:rPr>
        <w:t>Department of Education, Skills and Employment</w:t>
      </w:r>
      <w:r w:rsidR="000C6B73" w:rsidRPr="00275FC7">
        <w:rPr>
          <w:lang w:val="en-AU"/>
        </w:rPr>
        <w:t>.</w:t>
      </w:r>
      <w:r w:rsidRPr="00275FC7">
        <w:rPr>
          <w:i/>
          <w:iCs/>
          <w:lang w:val="en-AU"/>
        </w:rPr>
        <w:t xml:space="preserve"> </w:t>
      </w:r>
      <w:r w:rsidRPr="00275FC7">
        <w:rPr>
          <w:lang w:val="en-AU"/>
        </w:rPr>
        <w:t>(2018)</w:t>
      </w:r>
      <w:r w:rsidR="000C6B73" w:rsidRPr="00275FC7">
        <w:rPr>
          <w:lang w:val="en-AU"/>
        </w:rPr>
        <w:t>.</w:t>
      </w:r>
      <w:r w:rsidRPr="00275FC7">
        <w:rPr>
          <w:i/>
          <w:iCs/>
          <w:lang w:val="en-AU"/>
        </w:rPr>
        <w:t xml:space="preserve"> </w:t>
      </w:r>
      <w:r w:rsidRPr="00275FC7">
        <w:rPr>
          <w:i/>
          <w:iCs/>
        </w:rPr>
        <w:t>Nationally Consistent Collection of Data on School Students with Disability (NCCD)</w:t>
      </w:r>
      <w:r w:rsidR="000C6B73" w:rsidRPr="00275FC7">
        <w:rPr>
          <w:i/>
          <w:iCs/>
        </w:rPr>
        <w:t>.</w:t>
      </w:r>
      <w:r w:rsidRPr="00275FC7">
        <w:t xml:space="preserve"> </w:t>
      </w:r>
    </w:p>
    <w:p w14:paraId="66D15AB1" w14:textId="474F5E60" w:rsidR="00906696" w:rsidRPr="00275FC7" w:rsidRDefault="00906696" w:rsidP="00906696">
      <w:pPr>
        <w:spacing w:after="240"/>
        <w:rPr>
          <w:lang w:val="en-AU"/>
        </w:rPr>
      </w:pPr>
      <w:r w:rsidRPr="00275FC7">
        <w:rPr>
          <w:lang w:val="en-AU"/>
        </w:rPr>
        <w:t>Department of Education and Training</w:t>
      </w:r>
      <w:r w:rsidR="00790B87" w:rsidRPr="00275FC7">
        <w:rPr>
          <w:lang w:val="en-AU"/>
        </w:rPr>
        <w:t xml:space="preserve"> (DET)</w:t>
      </w:r>
      <w:r w:rsidR="00267B43" w:rsidRPr="00275FC7">
        <w:rPr>
          <w:lang w:val="en-AU"/>
        </w:rPr>
        <w:t xml:space="preserve"> (</w:t>
      </w:r>
      <w:r w:rsidRPr="00275FC7">
        <w:rPr>
          <w:lang w:val="en-AU"/>
        </w:rPr>
        <w:t>2005</w:t>
      </w:r>
      <w:r w:rsidR="00267B43" w:rsidRPr="00275FC7">
        <w:rPr>
          <w:lang w:val="en-AU"/>
        </w:rPr>
        <w:t>)</w:t>
      </w:r>
      <w:r w:rsidRPr="00275FC7">
        <w:rPr>
          <w:lang w:val="en-AU"/>
        </w:rPr>
        <w:t> </w:t>
      </w:r>
      <w:r w:rsidRPr="00275FC7">
        <w:rPr>
          <w:i/>
          <w:iCs/>
          <w:lang w:val="en-AU"/>
        </w:rPr>
        <w:t>Disability Standards for Education 2005 Plus Guidance Notes</w:t>
      </w:r>
      <w:r w:rsidR="000C6B73" w:rsidRPr="00275FC7">
        <w:rPr>
          <w:i/>
          <w:iCs/>
          <w:lang w:val="en-AU"/>
        </w:rPr>
        <w:t>.</w:t>
      </w:r>
    </w:p>
    <w:p w14:paraId="5AB2769D" w14:textId="4CDB1CE7" w:rsidR="00CD2C72" w:rsidRPr="00275FC7" w:rsidRDefault="00CA248B" w:rsidP="007E7958">
      <w:pPr>
        <w:spacing w:after="240"/>
        <w:rPr>
          <w:i/>
          <w:iCs/>
        </w:rPr>
      </w:pPr>
      <w:r w:rsidRPr="00275FC7">
        <w:t>D</w:t>
      </w:r>
      <w:r w:rsidR="00CD2C72" w:rsidRPr="00275FC7">
        <w:t>epartment of Prime Minister and Cabinet</w:t>
      </w:r>
      <w:r w:rsidR="0093455F" w:rsidRPr="00275FC7">
        <w:t xml:space="preserve"> </w:t>
      </w:r>
      <w:r w:rsidR="00267B43" w:rsidRPr="00275FC7">
        <w:t>(</w:t>
      </w:r>
      <w:r w:rsidR="00CD2C72" w:rsidRPr="00275FC7">
        <w:t>2019</w:t>
      </w:r>
      <w:r w:rsidR="00267B43" w:rsidRPr="00275FC7">
        <w:t>)</w:t>
      </w:r>
      <w:r w:rsidR="00CD2C72" w:rsidRPr="00275FC7">
        <w:t xml:space="preserve"> </w:t>
      </w:r>
      <w:r w:rsidR="002B3B8D" w:rsidRPr="00275FC7">
        <w:rPr>
          <w:i/>
          <w:iCs/>
        </w:rPr>
        <w:t>Strengthening Skills: Expert Review of Australia’s Vocational Education and Training System</w:t>
      </w:r>
      <w:r w:rsidR="000C6B73" w:rsidRPr="00275FC7">
        <w:rPr>
          <w:i/>
          <w:iCs/>
        </w:rPr>
        <w:t>.</w:t>
      </w:r>
    </w:p>
    <w:p w14:paraId="3F802B24" w14:textId="74973E47" w:rsidR="006432D1" w:rsidRPr="00275FC7" w:rsidRDefault="006432D1" w:rsidP="00CA248B">
      <w:pPr>
        <w:spacing w:after="240"/>
      </w:pPr>
      <w:r w:rsidRPr="00275FC7">
        <w:t>Department of Social Services</w:t>
      </w:r>
      <w:r w:rsidR="0068700A" w:rsidRPr="00275FC7">
        <w:t>.</w:t>
      </w:r>
      <w:r w:rsidRPr="00275FC7">
        <w:t xml:space="preserve"> (</w:t>
      </w:r>
      <w:r w:rsidR="00FC36F5" w:rsidRPr="00275FC7">
        <w:t>n.d.</w:t>
      </w:r>
      <w:r w:rsidRPr="00275FC7">
        <w:t xml:space="preserve">) </w:t>
      </w:r>
      <w:r w:rsidRPr="00275FC7">
        <w:rPr>
          <w:i/>
          <w:iCs/>
        </w:rPr>
        <w:t>Information, Linkages and Capacity Building – Individual Capacity Building – Successful Applicants</w:t>
      </w:r>
      <w:r w:rsidRPr="00275FC7">
        <w:t xml:space="preserve">. Retrieved 22 July 2021 from </w:t>
      </w:r>
      <w:hyperlink r:id="rId34" w:history="1">
        <w:r w:rsidR="00E933B4" w:rsidRPr="00275FC7">
          <w:rPr>
            <w:rStyle w:val="Hyperlink"/>
          </w:rPr>
          <w:t>file:///C:/Users/Rachel/My%20Tresors/NDCO%20research%20team%20folder/Policy%20background%20papers/31082020-individual-capacity-building-program-2020-2021-successful-applicants.pdf</w:t>
        </w:r>
      </w:hyperlink>
    </w:p>
    <w:p w14:paraId="0F851167" w14:textId="1724CD04" w:rsidR="00E933B4" w:rsidRPr="00275FC7" w:rsidRDefault="00FC36F5" w:rsidP="00CA248B">
      <w:pPr>
        <w:spacing w:after="240"/>
      </w:pPr>
      <w:r w:rsidRPr="00275FC7">
        <w:t>Department of Social Services</w:t>
      </w:r>
      <w:r w:rsidR="0068700A" w:rsidRPr="00275FC7">
        <w:t>.</w:t>
      </w:r>
      <w:r w:rsidRPr="00275FC7">
        <w:t xml:space="preserve"> (n.d.) </w:t>
      </w:r>
      <w:r w:rsidRPr="00275FC7">
        <w:rPr>
          <w:i/>
          <w:iCs/>
        </w:rPr>
        <w:t>Information, Linkages and Capacity Building –</w:t>
      </w:r>
      <w:r w:rsidR="008F6CA7" w:rsidRPr="00275FC7">
        <w:rPr>
          <w:i/>
          <w:iCs/>
        </w:rPr>
        <w:t>Economic</w:t>
      </w:r>
      <w:r w:rsidRPr="00275FC7">
        <w:rPr>
          <w:i/>
          <w:iCs/>
        </w:rPr>
        <w:t xml:space="preserve"> Participation – Successful Applicants 2020-21</w:t>
      </w:r>
      <w:r w:rsidRPr="00275FC7">
        <w:t xml:space="preserve">. Retrieved 22 July 2021 from </w:t>
      </w:r>
      <w:hyperlink r:id="rId35" w:history="1">
        <w:r w:rsidRPr="00275FC7">
          <w:rPr>
            <w:rStyle w:val="Hyperlink"/>
          </w:rPr>
          <w:t>https://www.communitygrants.gov.au/grants/economic-participation-grant-opportunity-2020-21</w:t>
        </w:r>
      </w:hyperlink>
      <w:r w:rsidRPr="00275FC7">
        <w:t xml:space="preserve"> </w:t>
      </w:r>
    </w:p>
    <w:p w14:paraId="158E75C5" w14:textId="2584E6E3" w:rsidR="00CA248B" w:rsidRPr="00275FC7" w:rsidRDefault="00CA248B" w:rsidP="00CA248B">
      <w:pPr>
        <w:spacing w:after="240"/>
      </w:pPr>
      <w:r w:rsidRPr="00275FC7">
        <w:t xml:space="preserve">Edwards, M. </w:t>
      </w:r>
      <w:r w:rsidR="00267B43" w:rsidRPr="00275FC7">
        <w:t>(</w:t>
      </w:r>
      <w:r w:rsidRPr="00275FC7">
        <w:t>2019</w:t>
      </w:r>
      <w:r w:rsidR="00267B43" w:rsidRPr="00275FC7">
        <w:t>)</w:t>
      </w:r>
      <w:r w:rsidR="0068700A" w:rsidRPr="00275FC7">
        <w:t>.</w:t>
      </w:r>
      <w:r w:rsidRPr="00275FC7">
        <w:t xml:space="preserve"> Inclusive learning and teaching for Australian online university students with disability: a literature review. </w:t>
      </w:r>
      <w:r w:rsidRPr="00275FC7">
        <w:rPr>
          <w:i/>
          <w:iCs/>
        </w:rPr>
        <w:t xml:space="preserve">International Journal of Inclusive Education. </w:t>
      </w:r>
      <w:r w:rsidRPr="00275FC7">
        <w:t>doi:10.1080/13603116.2019.1698066</w:t>
      </w:r>
    </w:p>
    <w:p w14:paraId="0ED5167B" w14:textId="6B162535" w:rsidR="00F0295D" w:rsidRPr="00275FC7" w:rsidRDefault="00F0295D" w:rsidP="00F0295D">
      <w:pPr>
        <w:spacing w:after="240"/>
        <w:rPr>
          <w:lang w:val="en-AU"/>
        </w:rPr>
      </w:pPr>
      <w:r w:rsidRPr="00275FC7">
        <w:rPr>
          <w:lang w:val="en-AU"/>
        </w:rPr>
        <w:t>Fossey, E, Chaffey, L, Venville, A, Ennals, P, Douglas, J &amp; Bigby, C</w:t>
      </w:r>
      <w:r w:rsidR="0068700A" w:rsidRPr="00275FC7">
        <w:rPr>
          <w:lang w:val="en-AU"/>
        </w:rPr>
        <w:t>.</w:t>
      </w:r>
      <w:r w:rsidRPr="00275FC7">
        <w:rPr>
          <w:lang w:val="en-AU"/>
        </w:rPr>
        <w:t xml:space="preserve"> </w:t>
      </w:r>
      <w:r w:rsidR="00267B43" w:rsidRPr="00275FC7">
        <w:rPr>
          <w:lang w:val="en-AU"/>
        </w:rPr>
        <w:t>(</w:t>
      </w:r>
      <w:r w:rsidRPr="00275FC7">
        <w:rPr>
          <w:lang w:val="en-AU"/>
        </w:rPr>
        <w:t>2015</w:t>
      </w:r>
      <w:r w:rsidR="00267B43" w:rsidRPr="00275FC7">
        <w:rPr>
          <w:lang w:val="en-AU"/>
        </w:rPr>
        <w:t>)</w:t>
      </w:r>
      <w:r w:rsidR="0068700A" w:rsidRPr="00275FC7">
        <w:rPr>
          <w:lang w:val="en-AU"/>
        </w:rPr>
        <w:t>.</w:t>
      </w:r>
      <w:r w:rsidRPr="00275FC7">
        <w:rPr>
          <w:lang w:val="en-AU"/>
        </w:rPr>
        <w:t xml:space="preserve"> </w:t>
      </w:r>
      <w:r w:rsidRPr="00275FC7">
        <w:rPr>
          <w:i/>
          <w:iCs/>
          <w:lang w:val="en-AU"/>
        </w:rPr>
        <w:t>Supporting tertiary students with disabilities: individualised and institution-level approaches in practice,</w:t>
      </w:r>
      <w:r w:rsidRPr="00275FC7">
        <w:rPr>
          <w:lang w:val="en-AU"/>
        </w:rPr>
        <w:t xml:space="preserve"> NCVER, Adelaide.</w:t>
      </w:r>
    </w:p>
    <w:p w14:paraId="17903EC5" w14:textId="3A84784A" w:rsidR="00CC373A" w:rsidRPr="00275FC7" w:rsidRDefault="00CC373A" w:rsidP="3D2AE5C1">
      <w:pPr>
        <w:rPr>
          <w:rStyle w:val="Hyperlink"/>
        </w:rPr>
      </w:pPr>
      <w:r w:rsidRPr="00275FC7">
        <w:rPr>
          <w:lang w:val="en-AU"/>
        </w:rPr>
        <w:t xml:space="preserve">Fossey, E, Chaffey, L, Venville, A, Ennals, P, Douglas, J &amp; Bigby, C. (2017). Navigating the complexity of disability support in tertiary education: perspectives of students and disability </w:t>
      </w:r>
      <w:r w:rsidRPr="00275FC7">
        <w:rPr>
          <w:lang w:val="en-AU"/>
        </w:rPr>
        <w:lastRenderedPageBreak/>
        <w:t>service staff.</w:t>
      </w:r>
      <w:r w:rsidR="00A72641" w:rsidRPr="00275FC7">
        <w:rPr>
          <w:lang w:val="en-AU"/>
        </w:rPr>
        <w:t xml:space="preserve"> International Journal of Inclusive Education, 21:8, 822-832, </w:t>
      </w:r>
      <w:hyperlink r:id="rId36" w:history="1">
        <w:r w:rsidR="007B3EC5" w:rsidRPr="00275FC7">
          <w:rPr>
            <w:rStyle w:val="Hyperlink"/>
          </w:rPr>
          <w:t>https://doi.org/10.1080/13603116.2017.1278798</w:t>
        </w:r>
      </w:hyperlink>
    </w:p>
    <w:p w14:paraId="3D432F11" w14:textId="77777777" w:rsidR="007B3EC5" w:rsidRPr="00275FC7" w:rsidRDefault="007B3EC5" w:rsidP="001A3332"/>
    <w:p w14:paraId="3D7C6285" w14:textId="6E060EE9" w:rsidR="00AB5251" w:rsidRPr="00275FC7" w:rsidRDefault="00AB5251" w:rsidP="00DC2523">
      <w:pPr>
        <w:spacing w:after="240"/>
      </w:pPr>
      <w:r w:rsidRPr="00275FC7">
        <w:t>Government of the United Kingdom</w:t>
      </w:r>
      <w:r w:rsidR="0068700A" w:rsidRPr="00275FC7">
        <w:t>.</w:t>
      </w:r>
      <w:r w:rsidRPr="00275FC7">
        <w:t xml:space="preserve"> (2021). </w:t>
      </w:r>
      <w:r w:rsidRPr="00275FC7">
        <w:rPr>
          <w:i/>
          <w:iCs/>
        </w:rPr>
        <w:t>Get undergraduate student finance: step by step</w:t>
      </w:r>
      <w:r w:rsidRPr="00275FC7">
        <w:t xml:space="preserve"> retrieved May 2021 from </w:t>
      </w:r>
      <w:hyperlink r:id="rId37" w:history="1">
        <w:r w:rsidRPr="00275FC7">
          <w:rPr>
            <w:rStyle w:val="Hyperlink"/>
          </w:rPr>
          <w:t>Help if you're a student with a learning difficulty, health problem or disability - GOV.UK (www.gov.uk)</w:t>
        </w:r>
      </w:hyperlink>
    </w:p>
    <w:p w14:paraId="405A8379" w14:textId="6227F1AD" w:rsidR="00DC2523" w:rsidRPr="00275FC7" w:rsidRDefault="00DC2523" w:rsidP="00DC2523">
      <w:pPr>
        <w:spacing w:after="240"/>
      </w:pPr>
      <w:r w:rsidRPr="00275FC7">
        <w:t xml:space="preserve">Gulliver, A., Farrer, L., Bennett, K., &amp; Griffiths, K. M. </w:t>
      </w:r>
      <w:r w:rsidR="00267B43" w:rsidRPr="00275FC7">
        <w:t>(</w:t>
      </w:r>
      <w:r w:rsidRPr="00275FC7">
        <w:t>2019</w:t>
      </w:r>
      <w:r w:rsidR="00267B43" w:rsidRPr="00275FC7">
        <w:t>)</w:t>
      </w:r>
      <w:r w:rsidR="0068700A" w:rsidRPr="00275FC7">
        <w:t>.</w:t>
      </w:r>
      <w:r w:rsidRPr="00275FC7">
        <w:t xml:space="preserve"> University Staff Mental Health Literacy, Stigma and Their Experience of Students with Mental Health Problems. </w:t>
      </w:r>
      <w:r w:rsidRPr="00275FC7">
        <w:rPr>
          <w:i/>
          <w:iCs/>
        </w:rPr>
        <w:t>Journal of Further and Higher Education, 43(3)</w:t>
      </w:r>
      <w:r w:rsidRPr="00275FC7">
        <w:t xml:space="preserve">, 434-442. Retrieved from </w:t>
      </w:r>
      <w:hyperlink r:id="rId38" w:history="1">
        <w:r w:rsidR="00225EE1" w:rsidRPr="00275FC7">
          <w:rPr>
            <w:rStyle w:val="Hyperlink"/>
          </w:rPr>
          <w:t>http://dx.doi.org/10.1080/0309877X.2017.1367370</w:t>
        </w:r>
      </w:hyperlink>
    </w:p>
    <w:p w14:paraId="40F9395F" w14:textId="77CD1E2D" w:rsidR="00FD560E" w:rsidRPr="00275FC7" w:rsidRDefault="00FD560E" w:rsidP="3D2AE5C1">
      <w:pPr>
        <w:rPr>
          <w:rStyle w:val="Hyperlink"/>
        </w:rPr>
      </w:pPr>
      <w:r w:rsidRPr="00275FC7">
        <w:t>Hitches, Elizabeth (2021). </w:t>
      </w:r>
      <w:r w:rsidRPr="00275FC7">
        <w:rPr>
          <w:i/>
          <w:iCs/>
        </w:rPr>
        <w:t>Be in my corner: The students' voice on university support services' accommodation of their needs.</w:t>
      </w:r>
      <w:r w:rsidR="005116D5" w:rsidRPr="00275FC7">
        <w:rPr>
          <w:i/>
          <w:iCs/>
        </w:rPr>
        <w:t xml:space="preserve"> </w:t>
      </w:r>
      <w:r w:rsidRPr="00275FC7">
        <w:t>Macquarie University.</w:t>
      </w:r>
      <w:r w:rsidR="002835A9" w:rsidRPr="00275FC7">
        <w:t xml:space="preserve"> Retrieved from </w:t>
      </w:r>
      <w:hyperlink r:id="rId39" w:history="1">
        <w:r w:rsidR="005116D5" w:rsidRPr="00275FC7">
          <w:rPr>
            <w:rStyle w:val="Hyperlink"/>
          </w:rPr>
          <w:t>http://hdl.handle.net/1959.14/1282424</w:t>
        </w:r>
      </w:hyperlink>
    </w:p>
    <w:p w14:paraId="5C68F16F" w14:textId="77777777" w:rsidR="005116D5" w:rsidRPr="00275FC7" w:rsidRDefault="005116D5" w:rsidP="004E77FA"/>
    <w:p w14:paraId="5586CDEE" w14:textId="7C0B52E6" w:rsidR="00EB126A" w:rsidRPr="00275FC7" w:rsidRDefault="00EB126A" w:rsidP="007E7958">
      <w:pPr>
        <w:spacing w:after="240"/>
      </w:pPr>
      <w:r w:rsidRPr="00275FC7">
        <w:t>KPMG</w:t>
      </w:r>
      <w:r w:rsidR="0068700A" w:rsidRPr="00275FC7">
        <w:t>.</w:t>
      </w:r>
      <w:r w:rsidRPr="00275FC7">
        <w:t xml:space="preserve"> (2015)</w:t>
      </w:r>
      <w:r w:rsidR="0068700A" w:rsidRPr="00275FC7">
        <w:t>.</w:t>
      </w:r>
      <w:r w:rsidRPr="00275FC7">
        <w:t xml:space="preserve"> </w:t>
      </w:r>
      <w:r w:rsidRPr="00275FC7">
        <w:rPr>
          <w:i/>
          <w:iCs/>
        </w:rPr>
        <w:t>Department of Education and Training Evaluation of Disability Support Program</w:t>
      </w:r>
      <w:r w:rsidR="0068700A" w:rsidRPr="00275FC7">
        <w:rPr>
          <w:i/>
          <w:iCs/>
        </w:rPr>
        <w:t>.</w:t>
      </w:r>
      <w:r w:rsidRPr="00275FC7">
        <w:t xml:space="preserve"> </w:t>
      </w:r>
    </w:p>
    <w:p w14:paraId="37C1F994" w14:textId="29F5143F" w:rsidR="000A1B39" w:rsidRPr="00275FC7" w:rsidRDefault="000A1B39" w:rsidP="007E7958">
      <w:pPr>
        <w:spacing w:after="240"/>
      </w:pPr>
      <w:r w:rsidRPr="00275FC7">
        <w:t>National Center for Education Statistics</w:t>
      </w:r>
      <w:r w:rsidR="0068700A" w:rsidRPr="00275FC7">
        <w:t>.</w:t>
      </w:r>
      <w:r w:rsidRPr="00275FC7">
        <w:t xml:space="preserve"> (2019)</w:t>
      </w:r>
      <w:r w:rsidR="0068700A" w:rsidRPr="00275FC7">
        <w:t>.</w:t>
      </w:r>
      <w:r w:rsidRPr="00275FC7">
        <w:t xml:space="preserve"> </w:t>
      </w:r>
      <w:r w:rsidRPr="00275FC7">
        <w:rPr>
          <w:i/>
          <w:iCs/>
        </w:rPr>
        <w:t>Fast Facts: Students with Disabilities 2015-16</w:t>
      </w:r>
      <w:r w:rsidRPr="00275FC7">
        <w:t xml:space="preserve"> retrieved May 2021 from </w:t>
      </w:r>
      <w:hyperlink r:id="rId40" w:history="1">
        <w:r w:rsidRPr="00275FC7">
          <w:rPr>
            <w:rStyle w:val="Hyperlink"/>
          </w:rPr>
          <w:t>https://nces.ed.gov/fastfacts/display.asp?id=60</w:t>
        </w:r>
      </w:hyperlink>
      <w:r w:rsidRPr="00275FC7">
        <w:t xml:space="preserve"> </w:t>
      </w:r>
    </w:p>
    <w:p w14:paraId="366F3069" w14:textId="77777777" w:rsidR="0009384F" w:rsidRDefault="0009384F" w:rsidP="0009384F">
      <w:r w:rsidRPr="00275FC7">
        <w:t xml:space="preserve">National Centre for Vocational Education Research [NCVER]. (2021). </w:t>
      </w:r>
      <w:r w:rsidRPr="00275FC7">
        <w:rPr>
          <w:i/>
          <w:iCs/>
        </w:rPr>
        <w:t xml:space="preserve">Apprentices and trainees 2020: December quarter – Australia. </w:t>
      </w:r>
      <w:r w:rsidRPr="00275FC7">
        <w:t xml:space="preserve">Accessed August 2021 through vocstats.ncver.edu.au </w:t>
      </w:r>
    </w:p>
    <w:p w14:paraId="035A1398" w14:textId="77777777" w:rsidR="0009384F" w:rsidRPr="00275FC7" w:rsidRDefault="0009384F" w:rsidP="0009384F"/>
    <w:p w14:paraId="6264C959" w14:textId="62AFB47E" w:rsidR="007C2FC2" w:rsidRPr="00275FC7" w:rsidRDefault="007C2FC2" w:rsidP="007E7958">
      <w:pPr>
        <w:spacing w:after="240"/>
      </w:pPr>
      <w:r w:rsidRPr="00275FC7">
        <w:t>National Disability Insurance Agency</w:t>
      </w:r>
      <w:r w:rsidR="00F97F9E" w:rsidRPr="00275FC7">
        <w:t xml:space="preserve"> [NDIA]</w:t>
      </w:r>
      <w:r w:rsidR="0068700A" w:rsidRPr="00275FC7">
        <w:t>.</w:t>
      </w:r>
      <w:r w:rsidRPr="00275FC7">
        <w:t xml:space="preserve"> (2018)</w:t>
      </w:r>
      <w:r w:rsidR="0068700A" w:rsidRPr="00275FC7">
        <w:t>.</w:t>
      </w:r>
      <w:r w:rsidRPr="00275FC7">
        <w:t xml:space="preserve"> NDIS Report to the COAG Disability Reform Council</w:t>
      </w:r>
      <w:r w:rsidR="00F97F9E" w:rsidRPr="00275FC7">
        <w:t>.</w:t>
      </w:r>
      <w:r w:rsidRPr="00275FC7">
        <w:t xml:space="preserve"> </w:t>
      </w:r>
      <w:r w:rsidR="009A2BBE" w:rsidRPr="00275FC7">
        <w:t>30 June 2018</w:t>
      </w:r>
      <w:r w:rsidR="00F97F9E" w:rsidRPr="00275FC7">
        <w:t>.</w:t>
      </w:r>
      <w:r w:rsidR="009A2BBE" w:rsidRPr="00275FC7">
        <w:t xml:space="preserve"> retrieved 22 July 2021 from </w:t>
      </w:r>
      <w:hyperlink r:id="rId41" w:history="1">
        <w:r w:rsidR="009A2BBE" w:rsidRPr="00275FC7">
          <w:rPr>
            <w:rStyle w:val="Hyperlink"/>
          </w:rPr>
          <w:t>file:///C:/Users/Rachel/Downloads/QR%20Q4%20201718%20COAG-report-Full%20PDF%20(1).pdf</w:t>
        </w:r>
      </w:hyperlink>
      <w:r w:rsidR="009A2BBE" w:rsidRPr="00275FC7">
        <w:t xml:space="preserve"> </w:t>
      </w:r>
    </w:p>
    <w:p w14:paraId="39142932" w14:textId="6C1954D4" w:rsidR="009E4D5F" w:rsidRPr="00275FC7" w:rsidRDefault="00F97F9E" w:rsidP="007E7958">
      <w:pPr>
        <w:spacing w:after="240"/>
      </w:pPr>
      <w:r w:rsidRPr="00275FC7">
        <w:t>NDIA.</w:t>
      </w:r>
      <w:r w:rsidR="009E4D5F" w:rsidRPr="00275FC7">
        <w:t xml:space="preserve"> </w:t>
      </w:r>
      <w:r w:rsidR="00EB126A" w:rsidRPr="00275FC7">
        <w:t>(</w:t>
      </w:r>
      <w:r w:rsidR="009E4D5F" w:rsidRPr="00275FC7">
        <w:t>20</w:t>
      </w:r>
      <w:r w:rsidR="002347DF" w:rsidRPr="00275FC7">
        <w:t>19</w:t>
      </w:r>
      <w:r w:rsidR="00EB126A" w:rsidRPr="00275FC7">
        <w:t>)</w:t>
      </w:r>
      <w:r w:rsidRPr="00275FC7">
        <w:t>.</w:t>
      </w:r>
      <w:r w:rsidR="009E4D5F" w:rsidRPr="00275FC7">
        <w:t xml:space="preserve"> </w:t>
      </w:r>
      <w:r w:rsidR="009E4D5F" w:rsidRPr="00275FC7">
        <w:rPr>
          <w:i/>
          <w:iCs/>
        </w:rPr>
        <w:t xml:space="preserve">NDIS Quarterly Report to </w:t>
      </w:r>
      <w:r w:rsidR="002347DF" w:rsidRPr="00275FC7">
        <w:rPr>
          <w:i/>
          <w:iCs/>
        </w:rPr>
        <w:t>the COAG Disability Reform Council</w:t>
      </w:r>
      <w:r w:rsidR="00B32DD5" w:rsidRPr="00275FC7">
        <w:rPr>
          <w:i/>
          <w:iCs/>
        </w:rPr>
        <w:t>.</w:t>
      </w:r>
      <w:r w:rsidR="002347DF" w:rsidRPr="00275FC7">
        <w:t xml:space="preserve"> </w:t>
      </w:r>
      <w:r w:rsidR="009E4D5F" w:rsidRPr="00275FC7">
        <w:t>31 December 20</w:t>
      </w:r>
      <w:r w:rsidR="002347DF" w:rsidRPr="00275FC7">
        <w:t>19</w:t>
      </w:r>
      <w:r w:rsidR="009E4D5F" w:rsidRPr="00275FC7">
        <w:t>.</w:t>
      </w:r>
    </w:p>
    <w:p w14:paraId="75A6A1F6" w14:textId="22D8428D" w:rsidR="002347DF" w:rsidRPr="00275FC7" w:rsidRDefault="00B32DD5" w:rsidP="002347DF">
      <w:pPr>
        <w:spacing w:after="240"/>
      </w:pPr>
      <w:r w:rsidRPr="00275FC7">
        <w:t>NDIA.</w:t>
      </w:r>
      <w:r w:rsidR="002347DF" w:rsidRPr="00275FC7">
        <w:t xml:space="preserve"> </w:t>
      </w:r>
      <w:r w:rsidR="00EB126A" w:rsidRPr="00275FC7">
        <w:t>(</w:t>
      </w:r>
      <w:r w:rsidR="00E933B4" w:rsidRPr="00275FC7">
        <w:t>2020</w:t>
      </w:r>
      <w:r w:rsidR="00EB126A" w:rsidRPr="00275FC7">
        <w:t>)</w:t>
      </w:r>
      <w:r w:rsidRPr="00275FC7">
        <w:t>.</w:t>
      </w:r>
      <w:r w:rsidR="002347DF" w:rsidRPr="00275FC7">
        <w:t xml:space="preserve"> </w:t>
      </w:r>
      <w:r w:rsidR="002347DF" w:rsidRPr="00275FC7">
        <w:rPr>
          <w:i/>
          <w:iCs/>
        </w:rPr>
        <w:t xml:space="preserve">NDIS Quarterly Report to </w:t>
      </w:r>
      <w:r w:rsidR="006403A9" w:rsidRPr="00275FC7">
        <w:rPr>
          <w:i/>
          <w:iCs/>
        </w:rPr>
        <w:t>D</w:t>
      </w:r>
      <w:r w:rsidR="002347DF" w:rsidRPr="00275FC7">
        <w:rPr>
          <w:i/>
          <w:iCs/>
        </w:rPr>
        <w:t xml:space="preserve">isability </w:t>
      </w:r>
      <w:r w:rsidR="006403A9" w:rsidRPr="00275FC7">
        <w:rPr>
          <w:i/>
          <w:iCs/>
        </w:rPr>
        <w:t>M</w:t>
      </w:r>
      <w:r w:rsidR="002347DF" w:rsidRPr="00275FC7">
        <w:rPr>
          <w:i/>
          <w:iCs/>
        </w:rPr>
        <w:t>inisters</w:t>
      </w:r>
      <w:r w:rsidR="002347DF" w:rsidRPr="00275FC7">
        <w:t xml:space="preserve"> 31 December 2020.</w:t>
      </w:r>
    </w:p>
    <w:p w14:paraId="431BA906" w14:textId="5D7DE6AD" w:rsidR="00E933B4" w:rsidRPr="00275FC7" w:rsidRDefault="00B32DD5" w:rsidP="002347DF">
      <w:pPr>
        <w:spacing w:after="240"/>
      </w:pPr>
      <w:r w:rsidRPr="00275FC7">
        <w:t>NDIA.</w:t>
      </w:r>
      <w:r w:rsidR="00E933B4" w:rsidRPr="00275FC7">
        <w:t xml:space="preserve"> (n.d.)</w:t>
      </w:r>
      <w:r w:rsidRPr="00275FC7">
        <w:t>.</w:t>
      </w:r>
      <w:r w:rsidR="00E933B4" w:rsidRPr="00275FC7">
        <w:t xml:space="preserve"> </w:t>
      </w:r>
      <w:r w:rsidR="00E933B4" w:rsidRPr="00275FC7">
        <w:rPr>
          <w:i/>
          <w:iCs/>
        </w:rPr>
        <w:t xml:space="preserve">Information, Linkages and Capacity Building Economic and Community Capacity Building Program: Summary of Funded Activities 2020-23 </w:t>
      </w:r>
      <w:r w:rsidR="00E933B4" w:rsidRPr="00275FC7">
        <w:t>retrieved 22 July 2021 from https://www.dss.gov.au/sites/default/files/documents/12_2020/ndia-website-ecp-successful-grant-recipients.pdf</w:t>
      </w:r>
    </w:p>
    <w:p w14:paraId="1CCE1ECA" w14:textId="235C7F37" w:rsidR="00E933B4" w:rsidRPr="00275FC7" w:rsidRDefault="00E933B4" w:rsidP="002347DF">
      <w:pPr>
        <w:spacing w:after="240"/>
      </w:pPr>
      <w:r w:rsidRPr="00275FC7">
        <w:t>National Disability Insurance Scheme</w:t>
      </w:r>
      <w:r w:rsidR="00B32DD5" w:rsidRPr="00275FC7">
        <w:t xml:space="preserve"> [NDIS].</w:t>
      </w:r>
      <w:r w:rsidRPr="00275FC7">
        <w:t xml:space="preserve"> (n.d.)</w:t>
      </w:r>
      <w:r w:rsidR="00B32DD5" w:rsidRPr="00275FC7">
        <w:t>.</w:t>
      </w:r>
      <w:r w:rsidRPr="00275FC7">
        <w:t xml:space="preserve"> </w:t>
      </w:r>
      <w:r w:rsidRPr="00275FC7">
        <w:rPr>
          <w:i/>
          <w:iCs/>
        </w:rPr>
        <w:t>Information, Linkages and Capacity Building Individual Capacity Building Program Grant Round: Summary of Funded Activities 2020-23</w:t>
      </w:r>
      <w:r w:rsidR="00B32DD5" w:rsidRPr="00275FC7">
        <w:rPr>
          <w:i/>
          <w:iCs/>
        </w:rPr>
        <w:t>.</w:t>
      </w:r>
      <w:r w:rsidRPr="00275FC7">
        <w:rPr>
          <w:i/>
          <w:iCs/>
        </w:rPr>
        <w:t xml:space="preserve"> </w:t>
      </w:r>
      <w:r w:rsidRPr="00275FC7">
        <w:t xml:space="preserve">retrieved 22 July 2021 from </w:t>
      </w:r>
      <w:hyperlink r:id="rId42" w:history="1">
        <w:r w:rsidRPr="00275FC7">
          <w:rPr>
            <w:rStyle w:val="Hyperlink"/>
          </w:rPr>
          <w:t>https://www.dss.gov.au/sites/default/files/documents/12_2020/pb-icb-successful-applications-docx-32.pdf</w:t>
        </w:r>
      </w:hyperlink>
      <w:r w:rsidRPr="00275FC7">
        <w:t xml:space="preserve"> </w:t>
      </w:r>
    </w:p>
    <w:p w14:paraId="7EC7FFEE" w14:textId="42075151" w:rsidR="00550C5B" w:rsidRPr="00275FC7" w:rsidRDefault="00B32DD5" w:rsidP="002347DF">
      <w:pPr>
        <w:spacing w:after="240"/>
      </w:pPr>
      <w:r w:rsidRPr="00275FC7">
        <w:lastRenderedPageBreak/>
        <w:t>NDIS.</w:t>
      </w:r>
      <w:r w:rsidR="00550C5B" w:rsidRPr="00275FC7">
        <w:t xml:space="preserve"> (2019)</w:t>
      </w:r>
      <w:r w:rsidRPr="00275FC7">
        <w:t>.</w:t>
      </w:r>
      <w:r w:rsidR="00550C5B" w:rsidRPr="00275FC7">
        <w:t xml:space="preserve"> </w:t>
      </w:r>
      <w:r w:rsidR="00550C5B" w:rsidRPr="00275FC7">
        <w:rPr>
          <w:i/>
          <w:iCs/>
        </w:rPr>
        <w:t xml:space="preserve">Individual Capacity Building Program Grant Opportunity 2019-2020 Grant Opportunity </w:t>
      </w:r>
      <w:r w:rsidR="00550C5B" w:rsidRPr="00275FC7">
        <w:t>retrieved 22 July 2021 from https://www.communitygrants.gov.au/sites/default/files/documents/09_2019/icb-2019-20-grant-opportunity-guidelines-250919_1.pdf</w:t>
      </w:r>
      <w:hyperlink r:id="rId43" w:history="1">
        <w:r w:rsidR="00102D10" w:rsidRPr="00275FC7">
          <w:rPr>
            <w:rStyle w:val="Hyperlink"/>
          </w:rPr>
          <w:t>https://www.dss.gov.au/sites/default/files/documents/12_2020/pb-icb-successful-applications-docx-32.pdf</w:t>
        </w:r>
      </w:hyperlink>
    </w:p>
    <w:p w14:paraId="2FE28377" w14:textId="5132CC68" w:rsidR="00790B87" w:rsidRPr="00275FC7" w:rsidRDefault="00790B87" w:rsidP="002347DF">
      <w:pPr>
        <w:spacing w:after="240"/>
        <w:rPr>
          <w:i/>
          <w:iCs/>
        </w:rPr>
      </w:pPr>
      <w:r w:rsidRPr="00275FC7">
        <w:t>National Disability Coordination Officer (NDCO) Program</w:t>
      </w:r>
      <w:r w:rsidR="00B32DD5" w:rsidRPr="00275FC7">
        <w:t>.</w:t>
      </w:r>
      <w:r w:rsidRPr="00275FC7">
        <w:t xml:space="preserve"> (2019)</w:t>
      </w:r>
      <w:r w:rsidR="00B32DD5" w:rsidRPr="00275FC7">
        <w:t>.</w:t>
      </w:r>
      <w:r w:rsidRPr="00275FC7">
        <w:t xml:space="preserve"> </w:t>
      </w:r>
      <w:r w:rsidRPr="00275FC7">
        <w:rPr>
          <w:i/>
          <w:iCs/>
        </w:rPr>
        <w:t xml:space="preserve">National Disability Coordination Officer Program - National Strategic Plan 2019-22 </w:t>
      </w:r>
      <w:r w:rsidRPr="00275FC7">
        <w:t xml:space="preserve">Canberra: Department of Education, </w:t>
      </w:r>
      <w:r w:rsidR="00F66DCB" w:rsidRPr="00275FC7">
        <w:t>Skills,</w:t>
      </w:r>
      <w:r w:rsidRPr="00275FC7">
        <w:t xml:space="preserve"> and Employment.</w:t>
      </w:r>
    </w:p>
    <w:p w14:paraId="547D12E1" w14:textId="45B4CC79" w:rsidR="007F322B" w:rsidRPr="00275FC7" w:rsidRDefault="007F322B" w:rsidP="002347DF">
      <w:pPr>
        <w:spacing w:after="240"/>
      </w:pPr>
      <w:r w:rsidRPr="00275FC7">
        <w:t>National School Resourcing Board</w:t>
      </w:r>
      <w:r w:rsidR="0075164C" w:rsidRPr="00275FC7">
        <w:t>.</w:t>
      </w:r>
      <w:r w:rsidRPr="00275FC7">
        <w:t xml:space="preserve"> (2019)</w:t>
      </w:r>
      <w:r w:rsidR="0075164C" w:rsidRPr="00275FC7">
        <w:t>.</w:t>
      </w:r>
      <w:r w:rsidRPr="00275FC7">
        <w:t xml:space="preserve"> </w:t>
      </w:r>
      <w:r w:rsidRPr="00275FC7">
        <w:rPr>
          <w:i/>
          <w:iCs/>
        </w:rPr>
        <w:t>Review of the loading for students with disability: Final report</w:t>
      </w:r>
      <w:r w:rsidRPr="00275FC7">
        <w:t xml:space="preserve">, Canberra: Commonwealth of Australia </w:t>
      </w:r>
    </w:p>
    <w:p w14:paraId="7922E831" w14:textId="77777777" w:rsidR="0009384F" w:rsidRPr="00855291" w:rsidRDefault="0009384F" w:rsidP="0009384F">
      <w:pPr>
        <w:rPr>
          <w:i/>
          <w:iCs/>
        </w:rPr>
      </w:pPr>
      <w:r>
        <w:t xml:space="preserve">National Skills Commission (2022) </w:t>
      </w:r>
      <w:r w:rsidRPr="00855291">
        <w:rPr>
          <w:i/>
          <w:iCs/>
        </w:rPr>
        <w:t>Employment outlook – Industry and occupation trends</w:t>
      </w:r>
    </w:p>
    <w:p w14:paraId="664674DD" w14:textId="393956DD" w:rsidR="00CE64A5" w:rsidRDefault="0009384F" w:rsidP="0009384F">
      <w:pPr>
        <w:rPr>
          <w:i/>
          <w:iCs/>
        </w:rPr>
      </w:pPr>
      <w:r w:rsidRPr="00855291">
        <w:rPr>
          <w:i/>
          <w:iCs/>
        </w:rPr>
        <w:t>over the five years to November 2026</w:t>
      </w:r>
      <w:r>
        <w:rPr>
          <w:i/>
          <w:iCs/>
        </w:rPr>
        <w:t xml:space="preserve"> </w:t>
      </w:r>
      <w:hyperlink r:id="rId44" w:history="1">
        <w:r w:rsidRPr="00672D64">
          <w:rPr>
            <w:rStyle w:val="Hyperlink"/>
            <w:i/>
            <w:iCs/>
          </w:rPr>
          <w:t>https://www.nationalskillscommission.gov.au/insights/projecting-employment-2026</w:t>
        </w:r>
      </w:hyperlink>
    </w:p>
    <w:p w14:paraId="62833658" w14:textId="77777777" w:rsidR="0009384F" w:rsidRPr="0009384F" w:rsidRDefault="0009384F" w:rsidP="0009384F"/>
    <w:p w14:paraId="54DD8C41" w14:textId="77777777" w:rsidR="00082E91" w:rsidRPr="00275FC7" w:rsidRDefault="00082E91" w:rsidP="00082E91">
      <w:r w:rsidRPr="00275FC7">
        <w:t xml:space="preserve">Pitman, T. (2022). </w:t>
      </w:r>
      <w:r w:rsidRPr="00275FC7">
        <w:rPr>
          <w:i/>
          <w:iCs/>
        </w:rPr>
        <w:t>Supporting persons with disabilities to succeed in higher education: Final report</w:t>
      </w:r>
      <w:r w:rsidRPr="00275FC7">
        <w:t xml:space="preserve">. Research Fellowship final report, Perth: National Centre for Student Equity in Higher Education, Curtin University. </w:t>
      </w:r>
    </w:p>
    <w:p w14:paraId="5F457DCA" w14:textId="77777777" w:rsidR="00082E91" w:rsidRPr="00275FC7" w:rsidRDefault="00082E91" w:rsidP="00A33140"/>
    <w:p w14:paraId="40B41DBE" w14:textId="75174EF0" w:rsidR="007E7958" w:rsidRPr="00275FC7" w:rsidRDefault="007E7958" w:rsidP="007E7958">
      <w:pPr>
        <w:spacing w:after="240"/>
      </w:pPr>
      <w:r w:rsidRPr="00275FC7">
        <w:t>Productivity Commission</w:t>
      </w:r>
      <w:r w:rsidR="00082E91" w:rsidRPr="00275FC7">
        <w:t>.</w:t>
      </w:r>
      <w:r w:rsidRPr="00275FC7">
        <w:t xml:space="preserve"> </w:t>
      </w:r>
      <w:r w:rsidR="00EB126A" w:rsidRPr="00275FC7">
        <w:t>(</w:t>
      </w:r>
      <w:r w:rsidRPr="00275FC7">
        <w:t>2011</w:t>
      </w:r>
      <w:r w:rsidR="00EB126A" w:rsidRPr="00275FC7">
        <w:t>)</w:t>
      </w:r>
      <w:r w:rsidR="00082E91" w:rsidRPr="00275FC7">
        <w:t>.</w:t>
      </w:r>
      <w:r w:rsidRPr="00275FC7">
        <w:t xml:space="preserve"> </w:t>
      </w:r>
      <w:r w:rsidRPr="00275FC7">
        <w:rPr>
          <w:i/>
          <w:iCs/>
        </w:rPr>
        <w:t>Disability Care and Support, Report no. 54</w:t>
      </w:r>
      <w:r w:rsidRPr="00275FC7">
        <w:t>, Canberra.</w:t>
      </w:r>
    </w:p>
    <w:p w14:paraId="205820E1" w14:textId="657993CE" w:rsidR="006403A9" w:rsidRPr="00275FC7" w:rsidRDefault="006403A9" w:rsidP="006403A9">
      <w:pPr>
        <w:spacing w:after="240"/>
      </w:pPr>
      <w:r w:rsidRPr="00275FC7">
        <w:t xml:space="preserve">Quality Indicators for Learning and Teaching </w:t>
      </w:r>
      <w:r w:rsidR="00F971AA" w:rsidRPr="00275FC7">
        <w:t>[QILT]</w:t>
      </w:r>
      <w:r w:rsidR="004E5F0C" w:rsidRPr="00275FC7">
        <w:t>.</w:t>
      </w:r>
      <w:r w:rsidR="00F971AA" w:rsidRPr="00275FC7">
        <w:t xml:space="preserve"> </w:t>
      </w:r>
      <w:r w:rsidRPr="00275FC7">
        <w:t>(2020)</w:t>
      </w:r>
      <w:r w:rsidR="004E5F0C" w:rsidRPr="00275FC7">
        <w:t>.</w:t>
      </w:r>
      <w:r w:rsidRPr="00275FC7">
        <w:t xml:space="preserve"> </w:t>
      </w:r>
      <w:r w:rsidRPr="00275FC7">
        <w:rPr>
          <w:i/>
          <w:iCs/>
        </w:rPr>
        <w:t xml:space="preserve">Graduate Outcome Survey 2020 </w:t>
      </w:r>
      <w:r w:rsidRPr="00275FC7">
        <w:t xml:space="preserve">retrieved 28 May from </w:t>
      </w:r>
      <w:hyperlink r:id="rId45" w:history="1">
        <w:r w:rsidRPr="00275FC7">
          <w:rPr>
            <w:rStyle w:val="Hyperlink"/>
          </w:rPr>
          <w:t>https://www.qilt.edu.au/qilt-surveys/graduate-employment</w:t>
        </w:r>
      </w:hyperlink>
    </w:p>
    <w:p w14:paraId="65DE0514" w14:textId="1F6684AD" w:rsidR="00267B43" w:rsidRPr="00275FC7" w:rsidRDefault="00267B43" w:rsidP="00267B43">
      <w:pPr>
        <w:spacing w:after="240"/>
      </w:pPr>
      <w:r w:rsidRPr="00275FC7">
        <w:t xml:space="preserve">Ryan, J. </w:t>
      </w:r>
      <w:r w:rsidR="00DA02BB" w:rsidRPr="00275FC7">
        <w:t>(</w:t>
      </w:r>
      <w:r w:rsidRPr="00275FC7">
        <w:t>2011</w:t>
      </w:r>
      <w:r w:rsidR="00DA02BB" w:rsidRPr="00275FC7">
        <w:t>)</w:t>
      </w:r>
      <w:r w:rsidR="00082E91" w:rsidRPr="00275FC7">
        <w:t>.</w:t>
      </w:r>
      <w:r w:rsidRPr="00275FC7">
        <w:t xml:space="preserve"> Access and participation in higher education of students with disabilities: access to what? </w:t>
      </w:r>
      <w:r w:rsidRPr="00275FC7">
        <w:rPr>
          <w:i/>
          <w:iCs/>
        </w:rPr>
        <w:t>Aust. Educ. Res. (2011) 38</w:t>
      </w:r>
      <w:r w:rsidRPr="00275FC7">
        <w:t xml:space="preserve">:73–93 </w:t>
      </w:r>
    </w:p>
    <w:p w14:paraId="1DDF88F8" w14:textId="7FE721F7" w:rsidR="00DA02BB" w:rsidRPr="00275FC7" w:rsidRDefault="00DA02BB" w:rsidP="00DA02BB">
      <w:pPr>
        <w:spacing w:after="240"/>
        <w:rPr>
          <w:b/>
          <w:bCs/>
          <w:lang w:val="en-AU"/>
        </w:rPr>
      </w:pPr>
      <w:r w:rsidRPr="00275FC7">
        <w:t>Sachs, D &amp; Schreur, N</w:t>
      </w:r>
      <w:r w:rsidR="00082E91" w:rsidRPr="00275FC7">
        <w:t>.</w:t>
      </w:r>
      <w:r w:rsidRPr="00275FC7">
        <w:t xml:space="preserve"> (2011)</w:t>
      </w:r>
      <w:r w:rsidR="00082E91" w:rsidRPr="00275FC7">
        <w:t>.</w:t>
      </w:r>
      <w:r w:rsidRPr="00275FC7">
        <w:t xml:space="preserve"> </w:t>
      </w:r>
      <w:r w:rsidRPr="00275FC7">
        <w:rPr>
          <w:lang w:val="en-AU"/>
        </w:rPr>
        <w:t>Inclusion of Students with Disabilities in Higher Education: Performance and participation in student's experiences</w:t>
      </w:r>
      <w:r w:rsidRPr="00275FC7">
        <w:rPr>
          <w:i/>
          <w:iCs/>
          <w:lang w:val="en-AU"/>
        </w:rPr>
        <w:t>, Disability Studies Quarterly Vol 31,</w:t>
      </w:r>
      <w:r w:rsidRPr="00275FC7">
        <w:rPr>
          <w:lang w:val="en-AU"/>
        </w:rPr>
        <w:t xml:space="preserve"> 2</w:t>
      </w:r>
      <w:r w:rsidR="007F6F6D" w:rsidRPr="00275FC7">
        <w:rPr>
          <w:lang w:val="en-AU"/>
        </w:rPr>
        <w:t>.</w:t>
      </w:r>
    </w:p>
    <w:p w14:paraId="2FF08746" w14:textId="3F27DD53" w:rsidR="00F0295D" w:rsidRPr="00275FC7" w:rsidRDefault="00F0295D" w:rsidP="00F0295D">
      <w:pPr>
        <w:spacing w:after="240"/>
      </w:pPr>
      <w:r w:rsidRPr="00275FC7">
        <w:t xml:space="preserve">Spencer, G., Lewis, S., &amp; Reid, M. </w:t>
      </w:r>
      <w:r w:rsidR="00DA02BB" w:rsidRPr="00275FC7">
        <w:t>(</w:t>
      </w:r>
      <w:r w:rsidRPr="00275FC7">
        <w:t>2018</w:t>
      </w:r>
      <w:r w:rsidR="00DA02BB" w:rsidRPr="00275FC7">
        <w:t>)</w:t>
      </w:r>
      <w:r w:rsidRPr="00275FC7">
        <w:t xml:space="preserve">. Living with a chronic health condition: Students’ health narratives and negotiations of (ill) health at university. </w:t>
      </w:r>
      <w:r w:rsidRPr="00275FC7">
        <w:rPr>
          <w:i/>
          <w:iCs/>
        </w:rPr>
        <w:t>Health Education Journal, 77(6)</w:t>
      </w:r>
      <w:r w:rsidRPr="00275FC7">
        <w:t>, 631-643. doi:10.1177/0017896917738120</w:t>
      </w:r>
    </w:p>
    <w:p w14:paraId="106982DD" w14:textId="2C060B58" w:rsidR="00DF6956" w:rsidRPr="00275FC7" w:rsidRDefault="00DF6956" w:rsidP="006403A9">
      <w:pPr>
        <w:spacing w:after="240"/>
      </w:pPr>
      <w:r w:rsidRPr="00275FC7">
        <w:t>Tudge, A</w:t>
      </w:r>
      <w:r w:rsidR="004721CA" w:rsidRPr="00275FC7">
        <w:t>.</w:t>
      </w:r>
      <w:r w:rsidRPr="00275FC7">
        <w:t xml:space="preserve"> (2021</w:t>
      </w:r>
      <w:r w:rsidR="004721CA" w:rsidRPr="00275FC7">
        <w:t>a</w:t>
      </w:r>
      <w:r w:rsidRPr="00275FC7">
        <w:t>)</w:t>
      </w:r>
      <w:r w:rsidR="00EB1916" w:rsidRPr="00275FC7">
        <w:t>.</w:t>
      </w:r>
      <w:r w:rsidRPr="00275FC7">
        <w:t xml:space="preserve"> </w:t>
      </w:r>
      <w:r w:rsidRPr="00275FC7">
        <w:rPr>
          <w:i/>
          <w:iCs/>
        </w:rPr>
        <w:t>Don’t forget Australian students in chase for internationals</w:t>
      </w:r>
      <w:r w:rsidRPr="00275FC7">
        <w:t xml:space="preserve"> [Press release]. 19 April 2021 retrieved May 2021 from </w:t>
      </w:r>
      <w:hyperlink r:id="rId46" w:history="1">
        <w:r w:rsidRPr="00275FC7">
          <w:rPr>
            <w:rStyle w:val="Hyperlink"/>
          </w:rPr>
          <w:t>https://ministers.dese.gov.au/tudge/dont-forget-australian-students-chase-internationals</w:t>
        </w:r>
      </w:hyperlink>
      <w:r w:rsidRPr="00275FC7">
        <w:t xml:space="preserve"> </w:t>
      </w:r>
    </w:p>
    <w:p w14:paraId="045DEA32" w14:textId="544D5008" w:rsidR="004721CA" w:rsidRPr="00275FC7" w:rsidRDefault="004721CA" w:rsidP="006403A9">
      <w:pPr>
        <w:spacing w:after="240"/>
      </w:pPr>
      <w:r w:rsidRPr="00275FC7">
        <w:t>Tudge, A. (2021b)</w:t>
      </w:r>
      <w:r w:rsidR="00EB1916" w:rsidRPr="00275FC7">
        <w:t>.</w:t>
      </w:r>
      <w:r w:rsidRPr="00275FC7">
        <w:t xml:space="preserve"> </w:t>
      </w:r>
      <w:r w:rsidRPr="00275FC7">
        <w:rPr>
          <w:i/>
          <w:iCs/>
        </w:rPr>
        <w:t xml:space="preserve">Record investment in Australian schools </w:t>
      </w:r>
      <w:r w:rsidRPr="00275FC7">
        <w:t xml:space="preserve">[Press release]. 18 May 2021 retrieved May 2021 from </w:t>
      </w:r>
      <w:hyperlink r:id="rId47" w:history="1">
        <w:r w:rsidR="00D03CB5" w:rsidRPr="00275FC7">
          <w:rPr>
            <w:rStyle w:val="Hyperlink"/>
          </w:rPr>
          <w:t>https://ministers.dese.gov.au/tudge/record-investment-australian-schools</w:t>
        </w:r>
      </w:hyperlink>
    </w:p>
    <w:p w14:paraId="152C6298" w14:textId="2A077ACD" w:rsidR="00D03CB5" w:rsidRPr="00275FC7" w:rsidRDefault="00D03CB5" w:rsidP="006403A9">
      <w:pPr>
        <w:spacing w:after="240"/>
      </w:pPr>
      <w:r w:rsidRPr="00275FC7">
        <w:lastRenderedPageBreak/>
        <w:t>Tudge, A. (2021c)</w:t>
      </w:r>
      <w:r w:rsidR="00EB1916" w:rsidRPr="00275FC7">
        <w:t>.</w:t>
      </w:r>
      <w:r w:rsidRPr="00275FC7">
        <w:t xml:space="preserve"> </w:t>
      </w:r>
      <w:r w:rsidRPr="00275FC7">
        <w:rPr>
          <w:i/>
          <w:iCs/>
        </w:rPr>
        <w:t xml:space="preserve">New Higher Education Standards Panel Appointed </w:t>
      </w:r>
      <w:r w:rsidRPr="00275FC7">
        <w:t xml:space="preserve">[Press release]. 23 June 2021 retrieved November 2021 from </w:t>
      </w:r>
      <w:hyperlink r:id="rId48" w:history="1">
        <w:r w:rsidRPr="00275FC7">
          <w:rPr>
            <w:rStyle w:val="Hyperlink"/>
          </w:rPr>
          <w:t>https://ministers.dese.gov.au/tudge/new-higher-education-standards-panel-appointed</w:t>
        </w:r>
      </w:hyperlink>
    </w:p>
    <w:p w14:paraId="380BDBF5" w14:textId="40AEE3E4" w:rsidR="006403A9" w:rsidRPr="00275FC7" w:rsidRDefault="006403A9" w:rsidP="006403A9">
      <w:pPr>
        <w:spacing w:after="240"/>
      </w:pPr>
      <w:r w:rsidRPr="00275FC7">
        <w:t xml:space="preserve">Universities Australia (2019) </w:t>
      </w:r>
      <w:r w:rsidRPr="00275FC7">
        <w:rPr>
          <w:i/>
          <w:iCs/>
        </w:rPr>
        <w:t>Higher Education: Facts and Figures July 2019</w:t>
      </w:r>
      <w:r w:rsidRPr="00275FC7">
        <w:t xml:space="preserve"> retrieved 28 May 2021 from </w:t>
      </w:r>
      <w:hyperlink r:id="rId49" w:history="1">
        <w:r w:rsidRPr="00275FC7">
          <w:rPr>
            <w:rStyle w:val="Hyperlink"/>
          </w:rPr>
          <w:t>https://www.universitiesaustralia.edu.au/wp-content/uploads/2019/08/190716-Facts-and-Figures-2019-Final-v2.pdf</w:t>
        </w:r>
      </w:hyperlink>
      <w:r w:rsidRPr="00275FC7">
        <w:t xml:space="preserve"> </w:t>
      </w:r>
    </w:p>
    <w:p w14:paraId="02A66BB6" w14:textId="5C4484BB" w:rsidR="002D2F07" w:rsidRPr="00275FC7" w:rsidRDefault="002D2F07" w:rsidP="00F0295D">
      <w:pPr>
        <w:spacing w:after="240"/>
      </w:pPr>
      <w:r w:rsidRPr="00275FC7">
        <w:t>Universities Australia</w:t>
      </w:r>
      <w:r w:rsidR="00EB1916" w:rsidRPr="00275FC7">
        <w:t>.</w:t>
      </w:r>
      <w:r w:rsidRPr="00275FC7">
        <w:t xml:space="preserve"> </w:t>
      </w:r>
      <w:r w:rsidR="00DA02BB" w:rsidRPr="00275FC7">
        <w:t>(</w:t>
      </w:r>
      <w:r w:rsidRPr="00275FC7">
        <w:t>2020</w:t>
      </w:r>
      <w:r w:rsidR="00DA02BB" w:rsidRPr="00275FC7">
        <w:t>)</w:t>
      </w:r>
      <w:r w:rsidR="00EB1916" w:rsidRPr="00275FC7">
        <w:t>.</w:t>
      </w:r>
      <w:r w:rsidRPr="00275FC7">
        <w:t xml:space="preserve"> </w:t>
      </w:r>
      <w:r w:rsidRPr="00275FC7">
        <w:rPr>
          <w:i/>
          <w:iCs/>
        </w:rPr>
        <w:t>Higher Education Facts and Figures 2020</w:t>
      </w:r>
      <w:r w:rsidRPr="00275FC7">
        <w:t xml:space="preserve">. </w:t>
      </w:r>
      <w:r w:rsidR="00330B1D" w:rsidRPr="00275FC7">
        <w:t xml:space="preserve">Retrieved from </w:t>
      </w:r>
      <w:hyperlink r:id="rId50" w:history="1">
        <w:r w:rsidR="00330B1D" w:rsidRPr="00275FC7">
          <w:rPr>
            <w:rStyle w:val="Hyperlink"/>
          </w:rPr>
          <w:t>Higher Education Facts and Figures 2020 – Universities Australia</w:t>
        </w:r>
      </w:hyperlink>
    </w:p>
    <w:p w14:paraId="616F2165" w14:textId="338E390C" w:rsidR="002F5138" w:rsidRPr="00275FC7" w:rsidRDefault="002F5138" w:rsidP="00F0295D">
      <w:pPr>
        <w:spacing w:after="240"/>
      </w:pPr>
      <w:r w:rsidRPr="00275FC7">
        <w:t>United Kingdom Parliament</w:t>
      </w:r>
      <w:r w:rsidR="00330B1D" w:rsidRPr="00275FC7">
        <w:t>.</w:t>
      </w:r>
      <w:r w:rsidRPr="00275FC7">
        <w:t xml:space="preserve"> (2021)</w:t>
      </w:r>
      <w:r w:rsidR="00330B1D" w:rsidRPr="00275FC7">
        <w:t>.</w:t>
      </w:r>
      <w:r w:rsidRPr="00275FC7">
        <w:t xml:space="preserve"> </w:t>
      </w:r>
      <w:r w:rsidRPr="00275FC7">
        <w:rPr>
          <w:i/>
          <w:iCs/>
        </w:rPr>
        <w:t>Support for disabled students in higher education in England</w:t>
      </w:r>
      <w:r w:rsidRPr="00275FC7">
        <w:t xml:space="preserve"> </w:t>
      </w:r>
      <w:r w:rsidR="000A1B39" w:rsidRPr="00275FC7">
        <w:rPr>
          <w:i/>
          <w:iCs/>
        </w:rPr>
        <w:t>2019-20</w:t>
      </w:r>
      <w:r w:rsidR="000A1B39" w:rsidRPr="00275FC7">
        <w:t xml:space="preserve"> </w:t>
      </w:r>
      <w:r w:rsidRPr="00275FC7">
        <w:t xml:space="preserve">retrieved May 2021 from </w:t>
      </w:r>
      <w:hyperlink r:id="rId51" w:anchor=":~:text=In%202019%2F20%20332%2C300%20UK,reporting%20a%20mental%20health%20condition" w:history="1">
        <w:r w:rsidRPr="00275FC7">
          <w:rPr>
            <w:rStyle w:val="Hyperlink"/>
          </w:rPr>
          <w:t>https://commonslibrary.parliament.uk/research-briefings/cbp-8716/#:~:text=In%202019%2F20%20332%2C300%20UK,reporting%20a%20mental%20health%20condition</w:t>
        </w:r>
      </w:hyperlink>
      <w:r w:rsidRPr="00275FC7">
        <w:t xml:space="preserve">. </w:t>
      </w:r>
    </w:p>
    <w:p w14:paraId="5A683E15" w14:textId="4B8B634B" w:rsidR="00F0295D" w:rsidRPr="00275FC7" w:rsidRDefault="00F0295D" w:rsidP="00F0295D">
      <w:pPr>
        <w:spacing w:after="240"/>
      </w:pPr>
      <w:r w:rsidRPr="00275FC7">
        <w:t>Vision Australia</w:t>
      </w:r>
      <w:r w:rsidR="00330B1D" w:rsidRPr="00275FC7">
        <w:t>.</w:t>
      </w:r>
      <w:r w:rsidRPr="00275FC7">
        <w:t xml:space="preserve"> (2018)</w:t>
      </w:r>
      <w:r w:rsidR="00330B1D" w:rsidRPr="00275FC7">
        <w:t>.</w:t>
      </w:r>
      <w:r w:rsidRPr="00275FC7">
        <w:t xml:space="preserve"> </w:t>
      </w:r>
      <w:r w:rsidRPr="00275FC7">
        <w:rPr>
          <w:i/>
          <w:iCs/>
        </w:rPr>
        <w:t>Online, but Offtrack</w:t>
      </w:r>
      <w:r w:rsidR="004A06CC" w:rsidRPr="00275FC7">
        <w:rPr>
          <w:i/>
          <w:iCs/>
        </w:rPr>
        <w:t>,</w:t>
      </w:r>
      <w:r w:rsidRPr="00275FC7">
        <w:rPr>
          <w:i/>
          <w:iCs/>
        </w:rPr>
        <w:t xml:space="preserve"> 2018 Vision Australia Report: Barriers to Online Learning Experienced by University Students who are blind or Have Low vision.</w:t>
      </w:r>
      <w:r w:rsidRPr="00275FC7">
        <w:t xml:space="preserve"> Retrieved </w:t>
      </w:r>
      <w:hyperlink r:id="rId52" w:history="1">
        <w:r w:rsidR="00F52723" w:rsidRPr="00275FC7">
          <w:rPr>
            <w:rStyle w:val="Hyperlink"/>
          </w:rPr>
          <w:t>https://visionaustralia.org/community/news/2019-08-23/online-track</w:t>
        </w:r>
      </w:hyperlink>
    </w:p>
    <w:p w14:paraId="78636AEF" w14:textId="5D034C1C" w:rsidR="00F52723" w:rsidRPr="00275FC7" w:rsidRDefault="00F52723" w:rsidP="00F0295D">
      <w:pPr>
        <w:spacing w:after="240"/>
      </w:pPr>
      <w:r w:rsidRPr="00275FC7">
        <w:t>Whitburn, B., Moss, J., &amp; O’Mara, J. (2017). The policy problem: the National Disability Insurance Scheme (NDIS) and implications for access to education,</w:t>
      </w:r>
      <w:r w:rsidRPr="00275FC7">
        <w:rPr>
          <w:i/>
          <w:iCs/>
        </w:rPr>
        <w:t xml:space="preserve"> Journal of Education Policy, </w:t>
      </w:r>
      <w:r w:rsidRPr="00275FC7">
        <w:t xml:space="preserve">32:4, 467-479, DOI: 10.1080/02680939.2017.1280185. </w:t>
      </w:r>
    </w:p>
    <w:p w14:paraId="7766E5D5" w14:textId="189EDE97" w:rsidR="00432DAE" w:rsidRPr="00275FC7" w:rsidRDefault="00432DAE" w:rsidP="007E7958">
      <w:pPr>
        <w:spacing w:after="240"/>
      </w:pPr>
      <w:r w:rsidRPr="00275FC7">
        <w:t>World Economic Forum</w:t>
      </w:r>
      <w:r w:rsidR="008757A3" w:rsidRPr="00275FC7">
        <w:t>.</w:t>
      </w:r>
      <w:r w:rsidRPr="00275FC7">
        <w:t xml:space="preserve"> </w:t>
      </w:r>
      <w:r w:rsidR="00DA02BB" w:rsidRPr="00275FC7">
        <w:t>(</w:t>
      </w:r>
      <w:r w:rsidRPr="00275FC7">
        <w:t>2018</w:t>
      </w:r>
      <w:r w:rsidR="00DA02BB" w:rsidRPr="00275FC7">
        <w:t>)</w:t>
      </w:r>
      <w:r w:rsidR="008757A3" w:rsidRPr="00275FC7">
        <w:t>.</w:t>
      </w:r>
      <w:r w:rsidRPr="00275FC7">
        <w:t xml:space="preserve"> </w:t>
      </w:r>
      <w:r w:rsidRPr="00275FC7">
        <w:rPr>
          <w:i/>
          <w:iCs/>
        </w:rPr>
        <w:t>Future of Jobs Report: 2018</w:t>
      </w:r>
      <w:r w:rsidRPr="00275FC7">
        <w:t>, Geneva.</w:t>
      </w:r>
    </w:p>
    <w:p w14:paraId="33AA5DFD" w14:textId="2A28DD85" w:rsidR="00D03CB5" w:rsidRPr="00275FC7" w:rsidRDefault="00D03CB5" w:rsidP="00F00615">
      <w:pPr>
        <w:spacing w:before="240" w:after="240"/>
      </w:pPr>
    </w:p>
    <w:p w14:paraId="00000043" w14:textId="7DBF2FED" w:rsidR="008D3456" w:rsidRPr="00275FC7" w:rsidRDefault="008D3456" w:rsidP="00E01B35">
      <w:pPr>
        <w:spacing w:before="240" w:after="240"/>
      </w:pPr>
    </w:p>
    <w:sectPr w:rsidR="008D3456" w:rsidRPr="00275FC7" w:rsidSect="00AF73E6">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0F051" w14:textId="77777777" w:rsidR="00013B97" w:rsidRDefault="00013B97" w:rsidP="0023019B">
      <w:pPr>
        <w:spacing w:line="240" w:lineRule="auto"/>
      </w:pPr>
      <w:r>
        <w:separator/>
      </w:r>
    </w:p>
  </w:endnote>
  <w:endnote w:type="continuationSeparator" w:id="0">
    <w:p w14:paraId="30AD33E4" w14:textId="77777777" w:rsidR="00013B97" w:rsidRDefault="00013B97" w:rsidP="0023019B">
      <w:pPr>
        <w:spacing w:line="240" w:lineRule="auto"/>
      </w:pPr>
      <w:r>
        <w:continuationSeparator/>
      </w:r>
    </w:p>
  </w:endnote>
  <w:endnote w:type="continuationNotice" w:id="1">
    <w:p w14:paraId="19125552" w14:textId="77777777" w:rsidR="00013B97" w:rsidRDefault="00013B9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0223670"/>
      <w:docPartObj>
        <w:docPartGallery w:val="Page Numbers (Bottom of Page)"/>
        <w:docPartUnique/>
      </w:docPartObj>
    </w:sdtPr>
    <w:sdtEndPr>
      <w:rPr>
        <w:rStyle w:val="PageNumber"/>
      </w:rPr>
    </w:sdtEndPr>
    <w:sdtContent>
      <w:p w14:paraId="380FC91A" w14:textId="0C853666" w:rsidR="00AF73E6" w:rsidRDefault="00AF73E6" w:rsidP="00A146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4F0F6F" w14:textId="77777777" w:rsidR="00AF73E6" w:rsidRDefault="00AF73E6" w:rsidP="00AF73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01348"/>
      <w:docPartObj>
        <w:docPartGallery w:val="Page Numbers (Bottom of Page)"/>
        <w:docPartUnique/>
      </w:docPartObj>
    </w:sdtPr>
    <w:sdtEndPr>
      <w:rPr>
        <w:rStyle w:val="PageNumber"/>
      </w:rPr>
    </w:sdtEndPr>
    <w:sdtContent>
      <w:p w14:paraId="283806CF" w14:textId="0BBEC616" w:rsidR="00AF73E6" w:rsidRDefault="00AF73E6" w:rsidP="00A146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35B14C2" w14:textId="77777777" w:rsidR="00AF73E6" w:rsidRDefault="00AF73E6" w:rsidP="00AF73E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633F" w14:textId="77777777" w:rsidR="00B75B49" w:rsidRDefault="00B75B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6CDB0" w14:textId="77777777" w:rsidR="00013B97" w:rsidRDefault="00013B97" w:rsidP="0023019B">
      <w:pPr>
        <w:spacing w:line="240" w:lineRule="auto"/>
      </w:pPr>
      <w:r>
        <w:separator/>
      </w:r>
    </w:p>
  </w:footnote>
  <w:footnote w:type="continuationSeparator" w:id="0">
    <w:p w14:paraId="681C0982" w14:textId="77777777" w:rsidR="00013B97" w:rsidRDefault="00013B97" w:rsidP="0023019B">
      <w:pPr>
        <w:spacing w:line="240" w:lineRule="auto"/>
      </w:pPr>
      <w:r>
        <w:continuationSeparator/>
      </w:r>
    </w:p>
  </w:footnote>
  <w:footnote w:type="continuationNotice" w:id="1">
    <w:p w14:paraId="6F13764C" w14:textId="77777777" w:rsidR="00013B97" w:rsidRDefault="00013B97">
      <w:pPr>
        <w:spacing w:line="240" w:lineRule="auto"/>
      </w:pPr>
    </w:p>
  </w:footnote>
  <w:footnote w:id="2">
    <w:p w14:paraId="4AF134DB" w14:textId="4939A44F" w:rsidR="00DB3BCF" w:rsidRDefault="00DB3BCF" w:rsidP="007A4C3D">
      <w:pPr>
        <w:pStyle w:val="Footnote"/>
      </w:pPr>
      <w:r>
        <w:rPr>
          <w:rStyle w:val="FootnoteReference"/>
        </w:rPr>
        <w:footnoteRef/>
      </w:r>
      <w:r>
        <w:t xml:space="preserve"> </w:t>
      </w:r>
      <w:r w:rsidR="00E7153E" w:rsidRPr="00FA7D76">
        <w:t>Limited data is published by</w:t>
      </w:r>
      <w:r w:rsidRPr="00FA7D76">
        <w:t xml:space="preserve"> the Australian Human Rights Commission </w:t>
      </w:r>
      <w:r w:rsidR="00E7153E" w:rsidRPr="00FA7D76">
        <w:t>about complaints made relating to disability discrimination in education, but the data is at a high level</w:t>
      </w:r>
      <w:r w:rsidR="00F905E2" w:rsidRPr="00FA7D76">
        <w:t>. For</w:t>
      </w:r>
      <w:r w:rsidR="00E7153E" w:rsidRPr="00FA7D76">
        <w:t xml:space="preserve"> example</w:t>
      </w:r>
      <w:r w:rsidR="00F905E2" w:rsidRPr="00FA7D76">
        <w:t>,</w:t>
      </w:r>
      <w:r w:rsidR="00E7153E" w:rsidRPr="00FA7D76">
        <w:t xml:space="preserve"> there is no data on the outcomes of disability complaints in education and therefore no conclusions can be drawn about provider compliance or the impact of the legislation for people with disability. Additionally, this data</w:t>
      </w:r>
      <w:r w:rsidRPr="00FA7D76">
        <w:t xml:space="preserve"> does not cover complaints pursued via other regulatory bodies nor compliance action</w:t>
      </w:r>
      <w:r w:rsidR="00F905E2" w:rsidRPr="00FA7D76">
        <w:t xml:space="preserve"> taken</w:t>
      </w:r>
      <w:r w:rsidRPr="00FA7D76">
        <w:t xml:space="preserve">, and </w:t>
      </w:r>
      <w:r w:rsidR="00F905E2" w:rsidRPr="00FA7D76">
        <w:t>what data is held is not</w:t>
      </w:r>
      <w:r w:rsidRPr="00FA7D76">
        <w:t xml:space="preserve"> used </w:t>
      </w:r>
      <w:r w:rsidR="00FA7D76">
        <w:t xml:space="preserve">publicly </w:t>
      </w:r>
      <w:r w:rsidRPr="00FA7D76">
        <w:t>to drive good practice</w:t>
      </w:r>
      <w:r w:rsidR="00F905E2" w:rsidRPr="00FA7D76">
        <w:t>.</w:t>
      </w:r>
      <w:r>
        <w:t xml:space="preserve"> </w:t>
      </w:r>
    </w:p>
  </w:footnote>
  <w:footnote w:id="3">
    <w:p w14:paraId="1A0ADBF8" w14:textId="15E0AB35" w:rsidR="001C48EE" w:rsidRPr="004D5E3F" w:rsidRDefault="001C48EE" w:rsidP="007A4C3D">
      <w:pPr>
        <w:pStyle w:val="Footnote"/>
      </w:pPr>
      <w:r>
        <w:rPr>
          <w:rStyle w:val="FootnoteReference"/>
        </w:rPr>
        <w:footnoteRef/>
      </w:r>
      <w:r>
        <w:t xml:space="preserve"> </w:t>
      </w:r>
      <w:r w:rsidRPr="004D5E3F">
        <w:t xml:space="preserve">A medical model puts the onus on people with disability to ‘prove’ what’s ‘wrong’ with them and then respond on a </w:t>
      </w:r>
      <w:r w:rsidR="00BA4AFB" w:rsidRPr="004D5E3F">
        <w:t>case-by-case</w:t>
      </w:r>
      <w:r w:rsidRPr="004D5E3F">
        <w:t xml:space="preserve"> basis, whereas a social model recognises that barriers to participation are due to the way society is organised, and puts the onus on communities and institutions to facilitate inclusion of people with disability</w:t>
      </w:r>
    </w:p>
  </w:footnote>
  <w:footnote w:id="4">
    <w:p w14:paraId="684777FA" w14:textId="1CDEBA39" w:rsidR="00491E2F" w:rsidRPr="00F00615" w:rsidRDefault="00491E2F" w:rsidP="007A4C3D">
      <w:pPr>
        <w:pStyle w:val="Footnote"/>
        <w:rPr>
          <w:lang w:val="en-US"/>
        </w:rPr>
      </w:pPr>
      <w:r>
        <w:rPr>
          <w:rStyle w:val="FootnoteReference"/>
        </w:rPr>
        <w:footnoteRef/>
      </w:r>
      <w:r>
        <w:t xml:space="preserve"> </w:t>
      </w:r>
      <w:hyperlink r:id="rId1" w:history="1">
        <w:r>
          <w:rPr>
            <w:rStyle w:val="Hyperlink"/>
          </w:rPr>
          <w:t>https://changingplaces.org.au/</w:t>
        </w:r>
      </w:hyperlink>
    </w:p>
  </w:footnote>
  <w:footnote w:id="5">
    <w:p w14:paraId="40A0CF09" w14:textId="3889863A" w:rsidR="00FC36F5" w:rsidRPr="00926F2D" w:rsidRDefault="00FC36F5" w:rsidP="007A4C3D">
      <w:pPr>
        <w:pStyle w:val="Footnote"/>
      </w:pPr>
      <w:r w:rsidRPr="00926F2D">
        <w:rPr>
          <w:rStyle w:val="FootnoteReference"/>
          <w:rFonts w:cs="Arial"/>
        </w:rPr>
        <w:footnoteRef/>
      </w:r>
      <w:r w:rsidRPr="00926F2D">
        <w:t xml:space="preserve"> All funding descriptions were searched using the following search terms: education, vocational, university, graduate, VET, training, TAFE, RTO, and apprentice, trainee, employer.</w:t>
      </w:r>
      <w:r>
        <w:t xml:space="preserve"> Projects were not counted if they obviously involved training in areas such as life skills, advocacy, staff training or governance training.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2ED2" w14:textId="77777777" w:rsidR="00B75B49" w:rsidRDefault="00B75B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CBB91" w14:textId="2224AF6C" w:rsidR="0023019B" w:rsidRDefault="0023019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1DA38" w14:textId="77777777" w:rsidR="00B75B49" w:rsidRDefault="00B75B49">
    <w:pPr>
      <w:pStyle w:val="Header"/>
    </w:pPr>
  </w:p>
</w:hdr>
</file>

<file path=word/intelligence2.xml><?xml version="1.0" encoding="utf-8"?>
<int2:intelligence xmlns:int2="http://schemas.microsoft.com/office/intelligence/2020/intelligence" xmlns:oel="http://schemas.microsoft.com/office/2019/extlst">
  <int2:observations>
    <int2:textHash int2:hashCode="QRzTRe2PnPjF0T" int2:id="ZnW6x046">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104"/>
    <w:multiLevelType w:val="multilevel"/>
    <w:tmpl w:val="E66E9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215C1"/>
    <w:multiLevelType w:val="hybridMultilevel"/>
    <w:tmpl w:val="6124117A"/>
    <w:lvl w:ilvl="0" w:tplc="0C090001">
      <w:start w:val="1"/>
      <w:numFmt w:val="bullet"/>
      <w:lvlText w:val=""/>
      <w:lvlJc w:val="left"/>
      <w:pPr>
        <w:ind w:left="726" w:hanging="360"/>
      </w:pPr>
      <w:rPr>
        <w:rFonts w:ascii="Symbol" w:hAnsi="Symbol" w:hint="default"/>
      </w:rPr>
    </w:lvl>
    <w:lvl w:ilvl="1" w:tplc="0C090003">
      <w:start w:val="1"/>
      <w:numFmt w:val="bullet"/>
      <w:lvlText w:val="o"/>
      <w:lvlJc w:val="left"/>
      <w:pPr>
        <w:ind w:left="1446" w:hanging="360"/>
      </w:pPr>
      <w:rPr>
        <w:rFonts w:ascii="Courier New" w:hAnsi="Courier New" w:cs="Courier New" w:hint="default"/>
      </w:rPr>
    </w:lvl>
    <w:lvl w:ilvl="2" w:tplc="0C090005">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2" w15:restartNumberingAfterBreak="0">
    <w:nsid w:val="0B451620"/>
    <w:multiLevelType w:val="hybridMultilevel"/>
    <w:tmpl w:val="ECF4113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0ED64826"/>
    <w:multiLevelType w:val="hybridMultilevel"/>
    <w:tmpl w:val="C97C35EA"/>
    <w:lvl w:ilvl="0" w:tplc="6ABE5448">
      <w:numFmt w:val="bullet"/>
      <w:lvlText w:val="·"/>
      <w:lvlJc w:val="left"/>
      <w:pPr>
        <w:ind w:left="1470" w:hanging="390"/>
      </w:pPr>
      <w:rPr>
        <w:rFonts w:ascii="Arial" w:eastAsia="Arial"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2613AE9"/>
    <w:multiLevelType w:val="hybridMultilevel"/>
    <w:tmpl w:val="F82408C4"/>
    <w:lvl w:ilvl="0" w:tplc="6ABE5448">
      <w:numFmt w:val="bullet"/>
      <w:lvlText w:val="·"/>
      <w:lvlJc w:val="left"/>
      <w:pPr>
        <w:ind w:left="1470" w:hanging="390"/>
      </w:pPr>
      <w:rPr>
        <w:rFonts w:ascii="Arial" w:eastAsia="Arial"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34E5877"/>
    <w:multiLevelType w:val="hybridMultilevel"/>
    <w:tmpl w:val="063EC4C2"/>
    <w:lvl w:ilvl="0" w:tplc="AC8A9D2C">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6" w15:restartNumberingAfterBreak="0">
    <w:nsid w:val="15FD33E2"/>
    <w:multiLevelType w:val="hybridMultilevel"/>
    <w:tmpl w:val="63AC27C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17321636"/>
    <w:multiLevelType w:val="hybridMultilevel"/>
    <w:tmpl w:val="F5CA0B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993B8E"/>
    <w:multiLevelType w:val="hybridMultilevel"/>
    <w:tmpl w:val="0C4870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AED0BBE"/>
    <w:multiLevelType w:val="hybridMultilevel"/>
    <w:tmpl w:val="59325C9E"/>
    <w:lvl w:ilvl="0" w:tplc="02B08A18">
      <w:start w:val="1"/>
      <w:numFmt w:val="bullet"/>
      <w:pStyle w:val="dotpoint2"/>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B6D2D57"/>
    <w:multiLevelType w:val="hybridMultilevel"/>
    <w:tmpl w:val="30A6DC8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2DC17DAA"/>
    <w:multiLevelType w:val="hybridMultilevel"/>
    <w:tmpl w:val="79309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575BD9"/>
    <w:multiLevelType w:val="hybridMultilevel"/>
    <w:tmpl w:val="D72EA41A"/>
    <w:lvl w:ilvl="0" w:tplc="0C090001">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13" w15:restartNumberingAfterBreak="0">
    <w:nsid w:val="40A95547"/>
    <w:multiLevelType w:val="multilevel"/>
    <w:tmpl w:val="73C6D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982601"/>
    <w:multiLevelType w:val="multilevel"/>
    <w:tmpl w:val="4532E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B51F25"/>
    <w:multiLevelType w:val="hybridMultilevel"/>
    <w:tmpl w:val="F2FC3FC6"/>
    <w:lvl w:ilvl="0" w:tplc="2DE2951A">
      <w:numFmt w:val="bullet"/>
      <w:lvlText w:val="·"/>
      <w:lvlJc w:val="left"/>
      <w:pPr>
        <w:ind w:left="3260" w:hanging="380"/>
      </w:pPr>
      <w:rPr>
        <w:rFonts w:ascii="Arial" w:eastAsia="Arial"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4C897653"/>
    <w:multiLevelType w:val="multilevel"/>
    <w:tmpl w:val="6204D0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4E485436"/>
    <w:multiLevelType w:val="hybridMultilevel"/>
    <w:tmpl w:val="A3906240"/>
    <w:lvl w:ilvl="0" w:tplc="2DE2951A">
      <w:numFmt w:val="bullet"/>
      <w:lvlText w:val="·"/>
      <w:lvlJc w:val="left"/>
      <w:pPr>
        <w:ind w:left="1820" w:hanging="380"/>
      </w:pPr>
      <w:rPr>
        <w:rFonts w:ascii="Arial" w:eastAsia="Arial"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13D647C"/>
    <w:multiLevelType w:val="hybridMultilevel"/>
    <w:tmpl w:val="8922885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513E7CDB"/>
    <w:multiLevelType w:val="hybridMultilevel"/>
    <w:tmpl w:val="34AAC6AC"/>
    <w:lvl w:ilvl="0" w:tplc="43E87C46">
      <w:start w:val="1"/>
      <w:numFmt w:val="decimal"/>
      <w:pStyle w:val="numberedpara"/>
      <w:lvlText w:val="%1."/>
      <w:lvlJc w:val="left"/>
      <w:pPr>
        <w:ind w:left="1129" w:hanging="420"/>
      </w:pPr>
      <w:rPr>
        <w:rFonts w:hint="default"/>
        <w:b/>
      </w:rPr>
    </w:lvl>
    <w:lvl w:ilvl="1" w:tplc="0C090001">
      <w:start w:val="1"/>
      <w:numFmt w:val="bullet"/>
      <w:lvlText w:val=""/>
      <w:lvlJc w:val="left"/>
      <w:pPr>
        <w:ind w:left="1789" w:hanging="360"/>
      </w:pPr>
      <w:rPr>
        <w:rFonts w:ascii="Symbol" w:hAnsi="Symbol" w:hint="default"/>
      </w:r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52B24178"/>
    <w:multiLevelType w:val="hybridMultilevel"/>
    <w:tmpl w:val="B29CA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D4571B1"/>
    <w:multiLevelType w:val="hybridMultilevel"/>
    <w:tmpl w:val="14160B3E"/>
    <w:lvl w:ilvl="0" w:tplc="2DE2951A">
      <w:numFmt w:val="bullet"/>
      <w:lvlText w:val="·"/>
      <w:lvlJc w:val="left"/>
      <w:pPr>
        <w:ind w:left="2900" w:hanging="380"/>
      </w:pPr>
      <w:rPr>
        <w:rFonts w:ascii="Arial" w:eastAsia="Arial" w:hAnsi="Arial" w:cs="Arial" w:hint="default"/>
      </w:rPr>
    </w:lvl>
    <w:lvl w:ilvl="1" w:tplc="B4A83AFE">
      <w:start w:val="1"/>
      <w:numFmt w:val="bullet"/>
      <w:lvlText w:val=""/>
      <w:lvlJc w:val="left"/>
      <w:pPr>
        <w:ind w:left="2520" w:hanging="360"/>
      </w:pPr>
      <w:rPr>
        <w:rFonts w:ascii="Symbol" w:hAnsi="Symbol"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63E516B3"/>
    <w:multiLevelType w:val="hybridMultilevel"/>
    <w:tmpl w:val="0F22EEB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2578C6"/>
    <w:multiLevelType w:val="multilevel"/>
    <w:tmpl w:val="3F8A1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BB7CF8"/>
    <w:multiLevelType w:val="hybridMultilevel"/>
    <w:tmpl w:val="FD2E8648"/>
    <w:lvl w:ilvl="0" w:tplc="A69AE272">
      <w:start w:val="1"/>
      <w:numFmt w:val="decimal"/>
      <w:pStyle w:val="ListParagraph"/>
      <w:lvlText w:val="%1."/>
      <w:lvlJc w:val="left"/>
      <w:pPr>
        <w:ind w:left="1440" w:hanging="360"/>
      </w:pPr>
      <w:rPr>
        <w:rFonts w:ascii="Calibri" w:hAnsi="Calibri" w:hint="default"/>
        <w:sz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74B938B5"/>
    <w:multiLevelType w:val="hybridMultilevel"/>
    <w:tmpl w:val="48C2C6EE"/>
    <w:lvl w:ilvl="0" w:tplc="6ABE5448">
      <w:numFmt w:val="bullet"/>
      <w:lvlText w:val="·"/>
      <w:lvlJc w:val="left"/>
      <w:pPr>
        <w:ind w:left="2550" w:hanging="390"/>
      </w:pPr>
      <w:rPr>
        <w:rFonts w:ascii="Arial" w:eastAsia="Arial"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6" w15:restartNumberingAfterBreak="0">
    <w:nsid w:val="767E17C7"/>
    <w:multiLevelType w:val="hybridMultilevel"/>
    <w:tmpl w:val="1C88D2A0"/>
    <w:lvl w:ilvl="0" w:tplc="02108FEC">
      <w:start w:val="1"/>
      <w:numFmt w:val="bullet"/>
      <w:pStyle w:val="dotpoin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15:restartNumberingAfterBreak="0">
    <w:nsid w:val="78791C0D"/>
    <w:multiLevelType w:val="hybridMultilevel"/>
    <w:tmpl w:val="BF0A8AE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DF5A9D"/>
    <w:multiLevelType w:val="hybridMultilevel"/>
    <w:tmpl w:val="1826D7A2"/>
    <w:lvl w:ilvl="0" w:tplc="0C090001">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num w:numId="1" w16cid:durableId="1214124511">
    <w:abstractNumId w:val="16"/>
  </w:num>
  <w:num w:numId="2" w16cid:durableId="1777091056">
    <w:abstractNumId w:val="2"/>
  </w:num>
  <w:num w:numId="3" w16cid:durableId="132915332">
    <w:abstractNumId w:val="3"/>
  </w:num>
  <w:num w:numId="4" w16cid:durableId="1169325685">
    <w:abstractNumId w:val="25"/>
  </w:num>
  <w:num w:numId="5" w16cid:durableId="1931815757">
    <w:abstractNumId w:val="4"/>
  </w:num>
  <w:num w:numId="6" w16cid:durableId="1786850605">
    <w:abstractNumId w:val="19"/>
  </w:num>
  <w:num w:numId="7" w16cid:durableId="479032399">
    <w:abstractNumId w:val="10"/>
  </w:num>
  <w:num w:numId="8" w16cid:durableId="1048841878">
    <w:abstractNumId w:val="17"/>
  </w:num>
  <w:num w:numId="9" w16cid:durableId="191577463">
    <w:abstractNumId w:val="15"/>
  </w:num>
  <w:num w:numId="10" w16cid:durableId="1832521491">
    <w:abstractNumId w:val="23"/>
  </w:num>
  <w:num w:numId="11" w16cid:durableId="1816725465">
    <w:abstractNumId w:val="21"/>
  </w:num>
  <w:num w:numId="12" w16cid:durableId="1221017996">
    <w:abstractNumId w:val="21"/>
  </w:num>
  <w:num w:numId="13" w16cid:durableId="556824485">
    <w:abstractNumId w:val="21"/>
  </w:num>
  <w:num w:numId="14" w16cid:durableId="1988363023">
    <w:abstractNumId w:val="21"/>
  </w:num>
  <w:num w:numId="15" w16cid:durableId="1131047994">
    <w:abstractNumId w:val="21"/>
  </w:num>
  <w:num w:numId="16" w16cid:durableId="768431000">
    <w:abstractNumId w:val="21"/>
  </w:num>
  <w:num w:numId="17" w16cid:durableId="734353538">
    <w:abstractNumId w:val="21"/>
  </w:num>
  <w:num w:numId="18" w16cid:durableId="649018552">
    <w:abstractNumId w:val="26"/>
  </w:num>
  <w:num w:numId="19" w16cid:durableId="1435318482">
    <w:abstractNumId w:val="14"/>
  </w:num>
  <w:num w:numId="20" w16cid:durableId="1632788330">
    <w:abstractNumId w:val="20"/>
  </w:num>
  <w:num w:numId="21" w16cid:durableId="1287155652">
    <w:abstractNumId w:val="27"/>
  </w:num>
  <w:num w:numId="22" w16cid:durableId="344291474">
    <w:abstractNumId w:val="28"/>
  </w:num>
  <w:num w:numId="23" w16cid:durableId="1789163222">
    <w:abstractNumId w:val="12"/>
  </w:num>
  <w:num w:numId="24" w16cid:durableId="1365011309">
    <w:abstractNumId w:val="5"/>
  </w:num>
  <w:num w:numId="25" w16cid:durableId="1990472953">
    <w:abstractNumId w:val="18"/>
  </w:num>
  <w:num w:numId="26" w16cid:durableId="1594823564">
    <w:abstractNumId w:val="11"/>
  </w:num>
  <w:num w:numId="27" w16cid:durableId="1305312993">
    <w:abstractNumId w:val="1"/>
  </w:num>
  <w:num w:numId="28" w16cid:durableId="66996382">
    <w:abstractNumId w:val="8"/>
  </w:num>
  <w:num w:numId="29" w16cid:durableId="1006708082">
    <w:abstractNumId w:val="6"/>
  </w:num>
  <w:num w:numId="30" w16cid:durableId="2065442622">
    <w:abstractNumId w:val="7"/>
  </w:num>
  <w:num w:numId="31" w16cid:durableId="555361915">
    <w:abstractNumId w:val="22"/>
  </w:num>
  <w:num w:numId="32" w16cid:durableId="1222407424">
    <w:abstractNumId w:val="0"/>
  </w:num>
  <w:num w:numId="33" w16cid:durableId="2147118592">
    <w:abstractNumId w:val="13"/>
  </w:num>
  <w:num w:numId="34" w16cid:durableId="438065932">
    <w:abstractNumId w:val="9"/>
  </w:num>
  <w:num w:numId="35" w16cid:durableId="162549919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456"/>
    <w:rsid w:val="00013B97"/>
    <w:rsid w:val="00015E2D"/>
    <w:rsid w:val="00021C16"/>
    <w:rsid w:val="00037F7F"/>
    <w:rsid w:val="00051E6A"/>
    <w:rsid w:val="000548CA"/>
    <w:rsid w:val="0005609C"/>
    <w:rsid w:val="00065B4F"/>
    <w:rsid w:val="00073021"/>
    <w:rsid w:val="000777D0"/>
    <w:rsid w:val="00077902"/>
    <w:rsid w:val="00082E91"/>
    <w:rsid w:val="00083987"/>
    <w:rsid w:val="00085064"/>
    <w:rsid w:val="00086F61"/>
    <w:rsid w:val="0009384F"/>
    <w:rsid w:val="00093AF3"/>
    <w:rsid w:val="000A1B39"/>
    <w:rsid w:val="000A21D2"/>
    <w:rsid w:val="000A29FF"/>
    <w:rsid w:val="000B68C3"/>
    <w:rsid w:val="000C0284"/>
    <w:rsid w:val="000C0409"/>
    <w:rsid w:val="000C6B73"/>
    <w:rsid w:val="000D674E"/>
    <w:rsid w:val="000E001E"/>
    <w:rsid w:val="000F1095"/>
    <w:rsid w:val="000F652C"/>
    <w:rsid w:val="000F6598"/>
    <w:rsid w:val="000F6C9D"/>
    <w:rsid w:val="00102D10"/>
    <w:rsid w:val="00110E97"/>
    <w:rsid w:val="001122DF"/>
    <w:rsid w:val="001128DA"/>
    <w:rsid w:val="00120533"/>
    <w:rsid w:val="00122D8F"/>
    <w:rsid w:val="00125C3D"/>
    <w:rsid w:val="00131BA4"/>
    <w:rsid w:val="00143951"/>
    <w:rsid w:val="00147FEA"/>
    <w:rsid w:val="00151062"/>
    <w:rsid w:val="00155709"/>
    <w:rsid w:val="00156583"/>
    <w:rsid w:val="00160720"/>
    <w:rsid w:val="001610D2"/>
    <w:rsid w:val="00163C76"/>
    <w:rsid w:val="00166CC6"/>
    <w:rsid w:val="00172D37"/>
    <w:rsid w:val="0017385F"/>
    <w:rsid w:val="00190D5D"/>
    <w:rsid w:val="00194A7B"/>
    <w:rsid w:val="00194AA0"/>
    <w:rsid w:val="001A2BC8"/>
    <w:rsid w:val="001A30C9"/>
    <w:rsid w:val="001A3332"/>
    <w:rsid w:val="001A74E0"/>
    <w:rsid w:val="001B02C8"/>
    <w:rsid w:val="001B68AB"/>
    <w:rsid w:val="001C2017"/>
    <w:rsid w:val="001C48EE"/>
    <w:rsid w:val="001C72D7"/>
    <w:rsid w:val="001D2779"/>
    <w:rsid w:val="001D3289"/>
    <w:rsid w:val="001D660F"/>
    <w:rsid w:val="001D690C"/>
    <w:rsid w:val="001F4080"/>
    <w:rsid w:val="001F6BBF"/>
    <w:rsid w:val="001F73B7"/>
    <w:rsid w:val="00200ACB"/>
    <w:rsid w:val="002026F7"/>
    <w:rsid w:val="00204D27"/>
    <w:rsid w:val="00210E18"/>
    <w:rsid w:val="00216550"/>
    <w:rsid w:val="00222A18"/>
    <w:rsid w:val="002241C1"/>
    <w:rsid w:val="00225EE1"/>
    <w:rsid w:val="0023019B"/>
    <w:rsid w:val="002347DF"/>
    <w:rsid w:val="0023584A"/>
    <w:rsid w:val="00236F77"/>
    <w:rsid w:val="002543AE"/>
    <w:rsid w:val="00261675"/>
    <w:rsid w:val="002637F0"/>
    <w:rsid w:val="00263FBD"/>
    <w:rsid w:val="00264734"/>
    <w:rsid w:val="002663B3"/>
    <w:rsid w:val="00266E6E"/>
    <w:rsid w:val="00267B43"/>
    <w:rsid w:val="00275482"/>
    <w:rsid w:val="00275FC7"/>
    <w:rsid w:val="00280E15"/>
    <w:rsid w:val="002835A9"/>
    <w:rsid w:val="0028747F"/>
    <w:rsid w:val="00292D6C"/>
    <w:rsid w:val="002954C5"/>
    <w:rsid w:val="002A0554"/>
    <w:rsid w:val="002A2666"/>
    <w:rsid w:val="002A366F"/>
    <w:rsid w:val="002A5FCB"/>
    <w:rsid w:val="002A7F5A"/>
    <w:rsid w:val="002B13E4"/>
    <w:rsid w:val="002B3B8D"/>
    <w:rsid w:val="002B5D54"/>
    <w:rsid w:val="002B7F10"/>
    <w:rsid w:val="002C51DB"/>
    <w:rsid w:val="002C7C74"/>
    <w:rsid w:val="002D2F07"/>
    <w:rsid w:val="002D604F"/>
    <w:rsid w:val="002E00BB"/>
    <w:rsid w:val="002E4929"/>
    <w:rsid w:val="002F14E0"/>
    <w:rsid w:val="002F4A4E"/>
    <w:rsid w:val="002F5138"/>
    <w:rsid w:val="002F5782"/>
    <w:rsid w:val="0030399A"/>
    <w:rsid w:val="0030564D"/>
    <w:rsid w:val="00307699"/>
    <w:rsid w:val="003102DB"/>
    <w:rsid w:val="00310A00"/>
    <w:rsid w:val="0031250E"/>
    <w:rsid w:val="00316A53"/>
    <w:rsid w:val="00317C8B"/>
    <w:rsid w:val="0032141C"/>
    <w:rsid w:val="00321CD8"/>
    <w:rsid w:val="003265B3"/>
    <w:rsid w:val="00330B1D"/>
    <w:rsid w:val="003322E6"/>
    <w:rsid w:val="00333547"/>
    <w:rsid w:val="0035090A"/>
    <w:rsid w:val="003556A3"/>
    <w:rsid w:val="00361326"/>
    <w:rsid w:val="00362C2A"/>
    <w:rsid w:val="00366535"/>
    <w:rsid w:val="0038249C"/>
    <w:rsid w:val="00384B70"/>
    <w:rsid w:val="003858DB"/>
    <w:rsid w:val="00385DA7"/>
    <w:rsid w:val="00387AD5"/>
    <w:rsid w:val="003909A9"/>
    <w:rsid w:val="00390DD9"/>
    <w:rsid w:val="0039394F"/>
    <w:rsid w:val="00396CF7"/>
    <w:rsid w:val="003B1290"/>
    <w:rsid w:val="003C2426"/>
    <w:rsid w:val="003C5842"/>
    <w:rsid w:val="003C73A0"/>
    <w:rsid w:val="003D79E2"/>
    <w:rsid w:val="003E0580"/>
    <w:rsid w:val="003E7DF1"/>
    <w:rsid w:val="003F14B2"/>
    <w:rsid w:val="004058F4"/>
    <w:rsid w:val="00410DFB"/>
    <w:rsid w:val="00413A39"/>
    <w:rsid w:val="00415734"/>
    <w:rsid w:val="00416AA6"/>
    <w:rsid w:val="00417C70"/>
    <w:rsid w:val="00432DAE"/>
    <w:rsid w:val="0043695E"/>
    <w:rsid w:val="0044264D"/>
    <w:rsid w:val="00452599"/>
    <w:rsid w:val="00471DEE"/>
    <w:rsid w:val="004721CA"/>
    <w:rsid w:val="0047237D"/>
    <w:rsid w:val="004738C1"/>
    <w:rsid w:val="00476E6B"/>
    <w:rsid w:val="00476FAA"/>
    <w:rsid w:val="004845F3"/>
    <w:rsid w:val="00491E2F"/>
    <w:rsid w:val="00495BE9"/>
    <w:rsid w:val="00497B4D"/>
    <w:rsid w:val="004A06CC"/>
    <w:rsid w:val="004A343A"/>
    <w:rsid w:val="004A76AE"/>
    <w:rsid w:val="004B3CAF"/>
    <w:rsid w:val="004B584E"/>
    <w:rsid w:val="004B5E6E"/>
    <w:rsid w:val="004C2468"/>
    <w:rsid w:val="004D30A3"/>
    <w:rsid w:val="004D3224"/>
    <w:rsid w:val="004D5E3F"/>
    <w:rsid w:val="004D79D9"/>
    <w:rsid w:val="004E0C57"/>
    <w:rsid w:val="004E27B5"/>
    <w:rsid w:val="004E3FAB"/>
    <w:rsid w:val="004E5F0C"/>
    <w:rsid w:val="004E77FA"/>
    <w:rsid w:val="004F0E12"/>
    <w:rsid w:val="004F7FA0"/>
    <w:rsid w:val="00500826"/>
    <w:rsid w:val="005116D5"/>
    <w:rsid w:val="005175BD"/>
    <w:rsid w:val="005202CC"/>
    <w:rsid w:val="00524E51"/>
    <w:rsid w:val="005334F1"/>
    <w:rsid w:val="0053357F"/>
    <w:rsid w:val="0053599F"/>
    <w:rsid w:val="00535B5E"/>
    <w:rsid w:val="00536A51"/>
    <w:rsid w:val="00543913"/>
    <w:rsid w:val="00550C5B"/>
    <w:rsid w:val="005674D7"/>
    <w:rsid w:val="005752DF"/>
    <w:rsid w:val="005817FD"/>
    <w:rsid w:val="00581AD7"/>
    <w:rsid w:val="00592171"/>
    <w:rsid w:val="005928F6"/>
    <w:rsid w:val="005A0764"/>
    <w:rsid w:val="005A4B9D"/>
    <w:rsid w:val="005A5193"/>
    <w:rsid w:val="005B56C6"/>
    <w:rsid w:val="005C2DB8"/>
    <w:rsid w:val="005C63B5"/>
    <w:rsid w:val="005D0B80"/>
    <w:rsid w:val="005D2EEE"/>
    <w:rsid w:val="005E4A64"/>
    <w:rsid w:val="005E60C4"/>
    <w:rsid w:val="005F50D2"/>
    <w:rsid w:val="006066E6"/>
    <w:rsid w:val="00617118"/>
    <w:rsid w:val="006257AC"/>
    <w:rsid w:val="00632394"/>
    <w:rsid w:val="00634776"/>
    <w:rsid w:val="006374A9"/>
    <w:rsid w:val="006403A9"/>
    <w:rsid w:val="00642CC4"/>
    <w:rsid w:val="006432D1"/>
    <w:rsid w:val="0064534B"/>
    <w:rsid w:val="00652B88"/>
    <w:rsid w:val="006659E7"/>
    <w:rsid w:val="0068700A"/>
    <w:rsid w:val="006A3231"/>
    <w:rsid w:val="006A6C15"/>
    <w:rsid w:val="006B0F43"/>
    <w:rsid w:val="006B377F"/>
    <w:rsid w:val="006B6CB8"/>
    <w:rsid w:val="006C589B"/>
    <w:rsid w:val="006D204B"/>
    <w:rsid w:val="006D22ED"/>
    <w:rsid w:val="006D2419"/>
    <w:rsid w:val="006D3A6A"/>
    <w:rsid w:val="006D46A3"/>
    <w:rsid w:val="006D5AEC"/>
    <w:rsid w:val="006E3728"/>
    <w:rsid w:val="006E3F72"/>
    <w:rsid w:val="006E49F7"/>
    <w:rsid w:val="006F118F"/>
    <w:rsid w:val="006F43E8"/>
    <w:rsid w:val="006F4C64"/>
    <w:rsid w:val="006F5730"/>
    <w:rsid w:val="0070186B"/>
    <w:rsid w:val="0070708A"/>
    <w:rsid w:val="00707468"/>
    <w:rsid w:val="00710D64"/>
    <w:rsid w:val="00713799"/>
    <w:rsid w:val="00725C33"/>
    <w:rsid w:val="0073245D"/>
    <w:rsid w:val="0074398E"/>
    <w:rsid w:val="007469E4"/>
    <w:rsid w:val="0075164C"/>
    <w:rsid w:val="00754733"/>
    <w:rsid w:val="00763909"/>
    <w:rsid w:val="00787098"/>
    <w:rsid w:val="00790B87"/>
    <w:rsid w:val="007937CF"/>
    <w:rsid w:val="00794998"/>
    <w:rsid w:val="00796B9F"/>
    <w:rsid w:val="007A44A4"/>
    <w:rsid w:val="007A4C3D"/>
    <w:rsid w:val="007B05C7"/>
    <w:rsid w:val="007B17ED"/>
    <w:rsid w:val="007B3EC5"/>
    <w:rsid w:val="007C2FC2"/>
    <w:rsid w:val="007D2779"/>
    <w:rsid w:val="007E7958"/>
    <w:rsid w:val="007F322B"/>
    <w:rsid w:val="007F4F2A"/>
    <w:rsid w:val="007F66B7"/>
    <w:rsid w:val="007F6F6D"/>
    <w:rsid w:val="00801B4B"/>
    <w:rsid w:val="00812D4C"/>
    <w:rsid w:val="00831365"/>
    <w:rsid w:val="00835447"/>
    <w:rsid w:val="00841A6C"/>
    <w:rsid w:val="0084254D"/>
    <w:rsid w:val="008470DC"/>
    <w:rsid w:val="008472D5"/>
    <w:rsid w:val="00855291"/>
    <w:rsid w:val="00862C63"/>
    <w:rsid w:val="008650F8"/>
    <w:rsid w:val="00866AD9"/>
    <w:rsid w:val="00870491"/>
    <w:rsid w:val="008738FF"/>
    <w:rsid w:val="008757A3"/>
    <w:rsid w:val="00875C12"/>
    <w:rsid w:val="00875C54"/>
    <w:rsid w:val="00876370"/>
    <w:rsid w:val="008816BB"/>
    <w:rsid w:val="00893341"/>
    <w:rsid w:val="008963C7"/>
    <w:rsid w:val="0089671D"/>
    <w:rsid w:val="00896C71"/>
    <w:rsid w:val="008971BD"/>
    <w:rsid w:val="008B32EC"/>
    <w:rsid w:val="008D07DD"/>
    <w:rsid w:val="008D3456"/>
    <w:rsid w:val="008D6EF1"/>
    <w:rsid w:val="008D76BC"/>
    <w:rsid w:val="008E19EE"/>
    <w:rsid w:val="008F0ACC"/>
    <w:rsid w:val="008F6CA7"/>
    <w:rsid w:val="00900054"/>
    <w:rsid w:val="00906696"/>
    <w:rsid w:val="00906C89"/>
    <w:rsid w:val="00910946"/>
    <w:rsid w:val="00916999"/>
    <w:rsid w:val="00925F9F"/>
    <w:rsid w:val="00927552"/>
    <w:rsid w:val="00927791"/>
    <w:rsid w:val="00930B1E"/>
    <w:rsid w:val="0093455F"/>
    <w:rsid w:val="00934B5F"/>
    <w:rsid w:val="00942571"/>
    <w:rsid w:val="00955637"/>
    <w:rsid w:val="009650D7"/>
    <w:rsid w:val="00970750"/>
    <w:rsid w:val="00973846"/>
    <w:rsid w:val="00983A96"/>
    <w:rsid w:val="009846B1"/>
    <w:rsid w:val="00986C8D"/>
    <w:rsid w:val="00992627"/>
    <w:rsid w:val="009A0FC4"/>
    <w:rsid w:val="009A2BBE"/>
    <w:rsid w:val="009A7A6B"/>
    <w:rsid w:val="009B413D"/>
    <w:rsid w:val="009B4267"/>
    <w:rsid w:val="009B6F8A"/>
    <w:rsid w:val="009C11EF"/>
    <w:rsid w:val="009D2FDA"/>
    <w:rsid w:val="009D5669"/>
    <w:rsid w:val="009E1A18"/>
    <w:rsid w:val="009E4D5F"/>
    <w:rsid w:val="009F1D8B"/>
    <w:rsid w:val="00A0033F"/>
    <w:rsid w:val="00A05BCD"/>
    <w:rsid w:val="00A06047"/>
    <w:rsid w:val="00A115CF"/>
    <w:rsid w:val="00A13AF9"/>
    <w:rsid w:val="00A23829"/>
    <w:rsid w:val="00A33140"/>
    <w:rsid w:val="00A36A32"/>
    <w:rsid w:val="00A41B26"/>
    <w:rsid w:val="00A43A8A"/>
    <w:rsid w:val="00A4492A"/>
    <w:rsid w:val="00A502E6"/>
    <w:rsid w:val="00A517D4"/>
    <w:rsid w:val="00A55E96"/>
    <w:rsid w:val="00A56099"/>
    <w:rsid w:val="00A605A4"/>
    <w:rsid w:val="00A72641"/>
    <w:rsid w:val="00A771B7"/>
    <w:rsid w:val="00A83AE3"/>
    <w:rsid w:val="00A8564C"/>
    <w:rsid w:val="00A86173"/>
    <w:rsid w:val="00A91511"/>
    <w:rsid w:val="00A962ED"/>
    <w:rsid w:val="00AA40E2"/>
    <w:rsid w:val="00AA59AC"/>
    <w:rsid w:val="00AB5251"/>
    <w:rsid w:val="00AB7E2D"/>
    <w:rsid w:val="00AC1A68"/>
    <w:rsid w:val="00AC516A"/>
    <w:rsid w:val="00AD12EE"/>
    <w:rsid w:val="00AD490B"/>
    <w:rsid w:val="00AD5243"/>
    <w:rsid w:val="00AE3EDB"/>
    <w:rsid w:val="00AE725A"/>
    <w:rsid w:val="00AF0AD4"/>
    <w:rsid w:val="00AF1FF0"/>
    <w:rsid w:val="00AF5444"/>
    <w:rsid w:val="00AF73E6"/>
    <w:rsid w:val="00B1088D"/>
    <w:rsid w:val="00B13ADD"/>
    <w:rsid w:val="00B15EC9"/>
    <w:rsid w:val="00B211E6"/>
    <w:rsid w:val="00B26930"/>
    <w:rsid w:val="00B329EE"/>
    <w:rsid w:val="00B32DD5"/>
    <w:rsid w:val="00B3477D"/>
    <w:rsid w:val="00B40DE7"/>
    <w:rsid w:val="00B41FB1"/>
    <w:rsid w:val="00B51873"/>
    <w:rsid w:val="00B557E0"/>
    <w:rsid w:val="00B5780A"/>
    <w:rsid w:val="00B57D7C"/>
    <w:rsid w:val="00B60218"/>
    <w:rsid w:val="00B60CD7"/>
    <w:rsid w:val="00B676D5"/>
    <w:rsid w:val="00B73CC8"/>
    <w:rsid w:val="00B75B49"/>
    <w:rsid w:val="00B76C7C"/>
    <w:rsid w:val="00B8563C"/>
    <w:rsid w:val="00B9316D"/>
    <w:rsid w:val="00B94CF9"/>
    <w:rsid w:val="00B97A9A"/>
    <w:rsid w:val="00BA3880"/>
    <w:rsid w:val="00BA4AFB"/>
    <w:rsid w:val="00BB4BA7"/>
    <w:rsid w:val="00BB5E30"/>
    <w:rsid w:val="00BC07D2"/>
    <w:rsid w:val="00BC7558"/>
    <w:rsid w:val="00BE229C"/>
    <w:rsid w:val="00BE77B6"/>
    <w:rsid w:val="00BF6D11"/>
    <w:rsid w:val="00C04E1F"/>
    <w:rsid w:val="00C055A4"/>
    <w:rsid w:val="00C129C4"/>
    <w:rsid w:val="00C129FF"/>
    <w:rsid w:val="00C232D4"/>
    <w:rsid w:val="00C2589D"/>
    <w:rsid w:val="00C359C6"/>
    <w:rsid w:val="00C37DE0"/>
    <w:rsid w:val="00C45955"/>
    <w:rsid w:val="00C52D17"/>
    <w:rsid w:val="00C968C0"/>
    <w:rsid w:val="00CA248B"/>
    <w:rsid w:val="00CA4908"/>
    <w:rsid w:val="00CA6103"/>
    <w:rsid w:val="00CB3D9B"/>
    <w:rsid w:val="00CB634F"/>
    <w:rsid w:val="00CC03AE"/>
    <w:rsid w:val="00CC373A"/>
    <w:rsid w:val="00CC7DE5"/>
    <w:rsid w:val="00CD220E"/>
    <w:rsid w:val="00CD2C72"/>
    <w:rsid w:val="00CD325B"/>
    <w:rsid w:val="00CD567C"/>
    <w:rsid w:val="00CD620E"/>
    <w:rsid w:val="00CD7A27"/>
    <w:rsid w:val="00CE3B6A"/>
    <w:rsid w:val="00CE64A5"/>
    <w:rsid w:val="00CF2D73"/>
    <w:rsid w:val="00CF4A88"/>
    <w:rsid w:val="00D03CB5"/>
    <w:rsid w:val="00D137DA"/>
    <w:rsid w:val="00D15B1C"/>
    <w:rsid w:val="00D17AAE"/>
    <w:rsid w:val="00D2174B"/>
    <w:rsid w:val="00D2184D"/>
    <w:rsid w:val="00D26BBC"/>
    <w:rsid w:val="00D3141F"/>
    <w:rsid w:val="00D3566D"/>
    <w:rsid w:val="00D6694F"/>
    <w:rsid w:val="00D67928"/>
    <w:rsid w:val="00D71A98"/>
    <w:rsid w:val="00D7272D"/>
    <w:rsid w:val="00D86F80"/>
    <w:rsid w:val="00D877F3"/>
    <w:rsid w:val="00D97FB6"/>
    <w:rsid w:val="00DA02BB"/>
    <w:rsid w:val="00DB3BCF"/>
    <w:rsid w:val="00DB5C89"/>
    <w:rsid w:val="00DC2523"/>
    <w:rsid w:val="00DC3CE8"/>
    <w:rsid w:val="00DC5337"/>
    <w:rsid w:val="00DE029F"/>
    <w:rsid w:val="00DE22E6"/>
    <w:rsid w:val="00DE49E3"/>
    <w:rsid w:val="00DE5204"/>
    <w:rsid w:val="00DE6791"/>
    <w:rsid w:val="00DF6956"/>
    <w:rsid w:val="00E0020C"/>
    <w:rsid w:val="00E01B35"/>
    <w:rsid w:val="00E04D8D"/>
    <w:rsid w:val="00E12160"/>
    <w:rsid w:val="00E236FC"/>
    <w:rsid w:val="00E30888"/>
    <w:rsid w:val="00E30EE6"/>
    <w:rsid w:val="00E32614"/>
    <w:rsid w:val="00E3441D"/>
    <w:rsid w:val="00E442DB"/>
    <w:rsid w:val="00E44D87"/>
    <w:rsid w:val="00E45BA6"/>
    <w:rsid w:val="00E460ED"/>
    <w:rsid w:val="00E65D31"/>
    <w:rsid w:val="00E67C38"/>
    <w:rsid w:val="00E7138E"/>
    <w:rsid w:val="00E7153E"/>
    <w:rsid w:val="00E750DD"/>
    <w:rsid w:val="00E86626"/>
    <w:rsid w:val="00E933B4"/>
    <w:rsid w:val="00E97A11"/>
    <w:rsid w:val="00EB126A"/>
    <w:rsid w:val="00EB1916"/>
    <w:rsid w:val="00EB3610"/>
    <w:rsid w:val="00EC202E"/>
    <w:rsid w:val="00EC497E"/>
    <w:rsid w:val="00ED0D2E"/>
    <w:rsid w:val="00ED165A"/>
    <w:rsid w:val="00EE0DC7"/>
    <w:rsid w:val="00EE19A9"/>
    <w:rsid w:val="00EE2ADD"/>
    <w:rsid w:val="00EF406C"/>
    <w:rsid w:val="00EF5DD0"/>
    <w:rsid w:val="00EF5FB4"/>
    <w:rsid w:val="00F00615"/>
    <w:rsid w:val="00F0295D"/>
    <w:rsid w:val="00F04F69"/>
    <w:rsid w:val="00F0732B"/>
    <w:rsid w:val="00F1754A"/>
    <w:rsid w:val="00F27AF2"/>
    <w:rsid w:val="00F36A54"/>
    <w:rsid w:val="00F4304C"/>
    <w:rsid w:val="00F43DF5"/>
    <w:rsid w:val="00F50F07"/>
    <w:rsid w:val="00F52723"/>
    <w:rsid w:val="00F56DC6"/>
    <w:rsid w:val="00F56FE3"/>
    <w:rsid w:val="00F603D8"/>
    <w:rsid w:val="00F66DCB"/>
    <w:rsid w:val="00F76B68"/>
    <w:rsid w:val="00F905E2"/>
    <w:rsid w:val="00F92B37"/>
    <w:rsid w:val="00F930D0"/>
    <w:rsid w:val="00F9440C"/>
    <w:rsid w:val="00F971AA"/>
    <w:rsid w:val="00F97F9E"/>
    <w:rsid w:val="00FA492F"/>
    <w:rsid w:val="00FA507A"/>
    <w:rsid w:val="00FA7D76"/>
    <w:rsid w:val="00FB09C5"/>
    <w:rsid w:val="00FB580D"/>
    <w:rsid w:val="00FC36F5"/>
    <w:rsid w:val="00FC7B14"/>
    <w:rsid w:val="00FD2344"/>
    <w:rsid w:val="00FD23BF"/>
    <w:rsid w:val="00FD560E"/>
    <w:rsid w:val="00FD594A"/>
    <w:rsid w:val="00FE5B35"/>
    <w:rsid w:val="03FAE062"/>
    <w:rsid w:val="05CEA4E3"/>
    <w:rsid w:val="0DA1C2A8"/>
    <w:rsid w:val="0E95859B"/>
    <w:rsid w:val="0E95C1B2"/>
    <w:rsid w:val="23E2854E"/>
    <w:rsid w:val="2C2EE6E2"/>
    <w:rsid w:val="30E3CC04"/>
    <w:rsid w:val="32195E81"/>
    <w:rsid w:val="35601006"/>
    <w:rsid w:val="36FF6C3C"/>
    <w:rsid w:val="3B062E39"/>
    <w:rsid w:val="3D2AE5C1"/>
    <w:rsid w:val="3E0C0C1C"/>
    <w:rsid w:val="3E5A45CA"/>
    <w:rsid w:val="3FD4C32D"/>
    <w:rsid w:val="41E52E87"/>
    <w:rsid w:val="45FDF5A4"/>
    <w:rsid w:val="4AD166C7"/>
    <w:rsid w:val="4C6D3728"/>
    <w:rsid w:val="5639C214"/>
    <w:rsid w:val="5C8B4878"/>
    <w:rsid w:val="60058249"/>
    <w:rsid w:val="61A152AA"/>
    <w:rsid w:val="633F6F2E"/>
    <w:rsid w:val="64ECFB0B"/>
    <w:rsid w:val="657BA405"/>
    <w:rsid w:val="67177466"/>
    <w:rsid w:val="699C0ADF"/>
    <w:rsid w:val="6A44016F"/>
    <w:rsid w:val="6A4F1528"/>
    <w:rsid w:val="6BEAE589"/>
    <w:rsid w:val="6C6EE9B2"/>
    <w:rsid w:val="6EB34401"/>
    <w:rsid w:val="7C04FF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81DB5"/>
  <w15:docId w15:val="{4849D6E4-33E2-4A3F-AB9A-3A35E5CC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5F9F"/>
    <w:pPr>
      <w:keepNext/>
      <w:keepLines/>
      <w:spacing w:before="400" w:after="120"/>
      <w:jc w:val="center"/>
      <w:outlineLvl w:val="0"/>
    </w:pPr>
    <w:rPr>
      <w:sz w:val="32"/>
      <w:szCs w:val="32"/>
    </w:rPr>
  </w:style>
  <w:style w:type="paragraph" w:styleId="Heading2">
    <w:name w:val="heading 2"/>
    <w:basedOn w:val="Normal"/>
    <w:next w:val="Normal"/>
    <w:uiPriority w:val="9"/>
    <w:unhideWhenUsed/>
    <w:qFormat/>
    <w:rsid w:val="00925F9F"/>
    <w:pPr>
      <w:keepNext/>
      <w:keepLines/>
      <w:spacing w:before="360" w:after="240"/>
      <w:outlineLvl w:val="1"/>
    </w:pPr>
    <w:rPr>
      <w:sz w:val="28"/>
      <w:szCs w:val="28"/>
    </w:rPr>
  </w:style>
  <w:style w:type="paragraph" w:styleId="Heading3">
    <w:name w:val="heading 3"/>
    <w:basedOn w:val="Normal"/>
    <w:next w:val="Normal"/>
    <w:uiPriority w:val="9"/>
    <w:unhideWhenUsed/>
    <w:qFormat/>
    <w:rsid w:val="00CA6103"/>
    <w:pPr>
      <w:keepNext/>
      <w:keepLines/>
      <w:spacing w:before="240" w:after="120" w:line="240" w:lineRule="auto"/>
      <w:outlineLvl w:val="2"/>
    </w:pPr>
    <w:rPr>
      <w:b/>
      <w:color w:val="434343"/>
      <w:sz w:val="24"/>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BE77B6"/>
    <w:rPr>
      <w:color w:val="0563C1"/>
      <w:u w:val="single"/>
    </w:rPr>
  </w:style>
  <w:style w:type="paragraph" w:styleId="CommentSubject">
    <w:name w:val="annotation subject"/>
    <w:basedOn w:val="CommentText"/>
    <w:next w:val="CommentText"/>
    <w:link w:val="CommentSubjectChar"/>
    <w:uiPriority w:val="99"/>
    <w:semiHidden/>
    <w:unhideWhenUsed/>
    <w:rsid w:val="00E236FC"/>
    <w:rPr>
      <w:b/>
      <w:bCs/>
    </w:rPr>
  </w:style>
  <w:style w:type="character" w:customStyle="1" w:styleId="CommentSubjectChar">
    <w:name w:val="Comment Subject Char"/>
    <w:basedOn w:val="CommentTextChar"/>
    <w:link w:val="CommentSubject"/>
    <w:uiPriority w:val="99"/>
    <w:semiHidden/>
    <w:rsid w:val="00E236FC"/>
    <w:rPr>
      <w:b/>
      <w:bCs/>
      <w:sz w:val="20"/>
      <w:szCs w:val="20"/>
    </w:rPr>
  </w:style>
  <w:style w:type="paragraph" w:styleId="ListParagraph">
    <w:name w:val="List Paragraph"/>
    <w:aliases w:val="numbered paragraph"/>
    <w:basedOn w:val="Normal"/>
    <w:link w:val="ListParagraphChar"/>
    <w:uiPriority w:val="34"/>
    <w:qFormat/>
    <w:rsid w:val="006D2419"/>
    <w:pPr>
      <w:numPr>
        <w:numId w:val="35"/>
      </w:numPr>
      <w:spacing w:before="120" w:after="120"/>
      <w:ind w:left="357" w:hanging="357"/>
    </w:pPr>
  </w:style>
  <w:style w:type="paragraph" w:styleId="Revision">
    <w:name w:val="Revision"/>
    <w:hidden/>
    <w:uiPriority w:val="99"/>
    <w:semiHidden/>
    <w:rsid w:val="00DE49E3"/>
    <w:pPr>
      <w:spacing w:line="240" w:lineRule="auto"/>
    </w:pPr>
  </w:style>
  <w:style w:type="paragraph" w:styleId="NormalWeb">
    <w:name w:val="Normal (Web)"/>
    <w:basedOn w:val="Normal"/>
    <w:uiPriority w:val="99"/>
    <w:semiHidden/>
    <w:unhideWhenUsed/>
    <w:rsid w:val="00125C3D"/>
    <w:rPr>
      <w:rFonts w:ascii="Times New Roman" w:hAnsi="Times New Roman" w:cs="Times New Roman"/>
      <w:sz w:val="24"/>
      <w:szCs w:val="24"/>
    </w:rPr>
  </w:style>
  <w:style w:type="paragraph" w:customStyle="1" w:styleId="dotpoint">
    <w:name w:val="dot point"/>
    <w:basedOn w:val="paratext"/>
    <w:qFormat/>
    <w:rsid w:val="00BA4AFB"/>
    <w:pPr>
      <w:numPr>
        <w:numId w:val="18"/>
      </w:numPr>
      <w:spacing w:line="240" w:lineRule="auto"/>
      <w:ind w:left="357" w:hanging="357"/>
    </w:pPr>
  </w:style>
  <w:style w:type="character" w:styleId="FollowedHyperlink">
    <w:name w:val="FollowedHyperlink"/>
    <w:basedOn w:val="DefaultParagraphFont"/>
    <w:uiPriority w:val="99"/>
    <w:semiHidden/>
    <w:unhideWhenUsed/>
    <w:rsid w:val="00C232D4"/>
    <w:rPr>
      <w:color w:val="800080" w:themeColor="followedHyperlink"/>
      <w:u w:val="single"/>
    </w:rPr>
  </w:style>
  <w:style w:type="character" w:styleId="SubtleEmphasis">
    <w:name w:val="Subtle Emphasis"/>
    <w:basedOn w:val="DefaultParagraphFont"/>
    <w:uiPriority w:val="19"/>
    <w:qFormat/>
    <w:rsid w:val="00497B4D"/>
    <w:rPr>
      <w:i/>
      <w:iCs/>
      <w:color w:val="404040" w:themeColor="text1" w:themeTint="BF"/>
    </w:rPr>
  </w:style>
  <w:style w:type="character" w:styleId="UnresolvedMention">
    <w:name w:val="Unresolved Mention"/>
    <w:basedOn w:val="DefaultParagraphFont"/>
    <w:uiPriority w:val="99"/>
    <w:semiHidden/>
    <w:unhideWhenUsed/>
    <w:rsid w:val="00906696"/>
    <w:rPr>
      <w:color w:val="605E5C"/>
      <w:shd w:val="clear" w:color="auto" w:fill="E1DFDD"/>
    </w:rPr>
  </w:style>
  <w:style w:type="paragraph" w:customStyle="1" w:styleId="numberedpara">
    <w:name w:val="numbered para"/>
    <w:basedOn w:val="ListParagraph"/>
    <w:qFormat/>
    <w:rsid w:val="00763909"/>
    <w:pPr>
      <w:numPr>
        <w:numId w:val="6"/>
      </w:numPr>
      <w:spacing w:before="240" w:after="240"/>
      <w:ind w:left="284" w:hanging="278"/>
    </w:pPr>
    <w:rPr>
      <w:b/>
    </w:rPr>
  </w:style>
  <w:style w:type="paragraph" w:customStyle="1" w:styleId="paratext">
    <w:name w:val="para text"/>
    <w:basedOn w:val="Normal"/>
    <w:qFormat/>
    <w:rsid w:val="0043695E"/>
    <w:pPr>
      <w:spacing w:before="120"/>
    </w:pPr>
  </w:style>
  <w:style w:type="paragraph" w:styleId="Header">
    <w:name w:val="header"/>
    <w:basedOn w:val="Normal"/>
    <w:link w:val="HeaderChar"/>
    <w:uiPriority w:val="99"/>
    <w:unhideWhenUsed/>
    <w:rsid w:val="0023019B"/>
    <w:pPr>
      <w:tabs>
        <w:tab w:val="center" w:pos="4513"/>
        <w:tab w:val="right" w:pos="9026"/>
      </w:tabs>
      <w:spacing w:line="240" w:lineRule="auto"/>
    </w:pPr>
  </w:style>
  <w:style w:type="character" w:customStyle="1" w:styleId="HeaderChar">
    <w:name w:val="Header Char"/>
    <w:basedOn w:val="DefaultParagraphFont"/>
    <w:link w:val="Header"/>
    <w:uiPriority w:val="99"/>
    <w:rsid w:val="0023019B"/>
  </w:style>
  <w:style w:type="paragraph" w:styleId="Footer">
    <w:name w:val="footer"/>
    <w:basedOn w:val="Normal"/>
    <w:link w:val="FooterChar"/>
    <w:uiPriority w:val="99"/>
    <w:unhideWhenUsed/>
    <w:rsid w:val="0023019B"/>
    <w:pPr>
      <w:tabs>
        <w:tab w:val="center" w:pos="4513"/>
        <w:tab w:val="right" w:pos="9026"/>
      </w:tabs>
      <w:spacing w:line="240" w:lineRule="auto"/>
    </w:pPr>
  </w:style>
  <w:style w:type="character" w:customStyle="1" w:styleId="FooterChar">
    <w:name w:val="Footer Char"/>
    <w:basedOn w:val="DefaultParagraphFont"/>
    <w:link w:val="Footer"/>
    <w:uiPriority w:val="99"/>
    <w:rsid w:val="0023019B"/>
  </w:style>
  <w:style w:type="character" w:customStyle="1" w:styleId="ListParagraphChar">
    <w:name w:val="List Paragraph Char"/>
    <w:aliases w:val="numbered paragraph Char"/>
    <w:basedOn w:val="DefaultParagraphFont"/>
    <w:link w:val="ListParagraph"/>
    <w:uiPriority w:val="34"/>
    <w:locked/>
    <w:rsid w:val="006D2419"/>
  </w:style>
  <w:style w:type="paragraph" w:styleId="FootnoteText">
    <w:name w:val="footnote text"/>
    <w:basedOn w:val="Normal"/>
    <w:link w:val="FootnoteTextChar"/>
    <w:uiPriority w:val="99"/>
    <w:semiHidden/>
    <w:unhideWhenUsed/>
    <w:rsid w:val="001F73B7"/>
    <w:pPr>
      <w:spacing w:line="240" w:lineRule="auto"/>
    </w:pPr>
    <w:rPr>
      <w:rFonts w:ascii="Times New Roman" w:eastAsia="Times New Roman" w:hAnsi="Times New Roman" w:cs="Times New Roman"/>
      <w:sz w:val="20"/>
      <w:szCs w:val="20"/>
      <w:lang w:val="en-AU" w:eastAsia="en-GB"/>
    </w:rPr>
  </w:style>
  <w:style w:type="character" w:customStyle="1" w:styleId="FootnoteTextChar">
    <w:name w:val="Footnote Text Char"/>
    <w:basedOn w:val="DefaultParagraphFont"/>
    <w:link w:val="FootnoteText"/>
    <w:uiPriority w:val="99"/>
    <w:semiHidden/>
    <w:rsid w:val="001F73B7"/>
    <w:rPr>
      <w:rFonts w:ascii="Times New Roman" w:eastAsia="Times New Roman" w:hAnsi="Times New Roman" w:cs="Times New Roman"/>
      <w:sz w:val="20"/>
      <w:szCs w:val="20"/>
      <w:lang w:val="en-AU" w:eastAsia="en-GB"/>
    </w:rPr>
  </w:style>
  <w:style w:type="character" w:styleId="FootnoteReference">
    <w:name w:val="footnote reference"/>
    <w:basedOn w:val="DefaultParagraphFont"/>
    <w:uiPriority w:val="99"/>
    <w:semiHidden/>
    <w:unhideWhenUsed/>
    <w:rsid w:val="001F73B7"/>
    <w:rPr>
      <w:vertAlign w:val="superscript"/>
    </w:rPr>
  </w:style>
  <w:style w:type="paragraph" w:styleId="BalloonText">
    <w:name w:val="Balloon Text"/>
    <w:basedOn w:val="Normal"/>
    <w:link w:val="BalloonTextChar"/>
    <w:uiPriority w:val="99"/>
    <w:semiHidden/>
    <w:unhideWhenUsed/>
    <w:rsid w:val="00416AA6"/>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16AA6"/>
    <w:rPr>
      <w:rFonts w:ascii="Times New Roman" w:hAnsi="Times New Roman" w:cs="Times New Roman"/>
      <w:sz w:val="18"/>
      <w:szCs w:val="18"/>
    </w:rPr>
  </w:style>
  <w:style w:type="character" w:customStyle="1" w:styleId="cf01">
    <w:name w:val="cf01"/>
    <w:basedOn w:val="DefaultParagraphFont"/>
    <w:rsid w:val="00FB09C5"/>
    <w:rPr>
      <w:rFonts w:ascii="Segoe UI" w:hAnsi="Segoe UI" w:cs="Segoe UI" w:hint="default"/>
      <w:sz w:val="18"/>
      <w:szCs w:val="18"/>
    </w:rPr>
  </w:style>
  <w:style w:type="character" w:customStyle="1" w:styleId="A4">
    <w:name w:val="A4"/>
    <w:uiPriority w:val="99"/>
    <w:rsid w:val="0084254D"/>
    <w:rPr>
      <w:rFonts w:cs="Myriad Pro Light"/>
      <w:color w:val="000000"/>
      <w:u w:val="single"/>
    </w:rPr>
  </w:style>
  <w:style w:type="character" w:customStyle="1" w:styleId="Heading1Char">
    <w:name w:val="Heading 1 Char"/>
    <w:basedOn w:val="DefaultParagraphFont"/>
    <w:link w:val="Heading1"/>
    <w:uiPriority w:val="9"/>
    <w:rsid w:val="00925F9F"/>
    <w:rPr>
      <w:sz w:val="32"/>
      <w:szCs w:val="32"/>
    </w:rPr>
  </w:style>
  <w:style w:type="paragraph" w:styleId="Bibliography">
    <w:name w:val="Bibliography"/>
    <w:basedOn w:val="Normal"/>
    <w:next w:val="Normal"/>
    <w:uiPriority w:val="37"/>
    <w:unhideWhenUsed/>
    <w:rsid w:val="00D03CB5"/>
  </w:style>
  <w:style w:type="paragraph" w:styleId="Quote">
    <w:name w:val="Quote"/>
    <w:basedOn w:val="Normal"/>
    <w:next w:val="Normal"/>
    <w:link w:val="QuoteChar"/>
    <w:uiPriority w:val="29"/>
    <w:qFormat/>
    <w:rsid w:val="00ED0D2E"/>
    <w:pPr>
      <w:pBdr>
        <w:left w:val="single" w:sz="4" w:space="4" w:color="auto"/>
      </w:pBdr>
      <w:spacing w:before="240" w:after="240" w:line="240" w:lineRule="auto"/>
      <w:ind w:left="862" w:right="862"/>
    </w:pPr>
    <w:rPr>
      <w:i/>
      <w:iCs/>
      <w:color w:val="404040" w:themeColor="text1" w:themeTint="BF"/>
    </w:rPr>
  </w:style>
  <w:style w:type="character" w:customStyle="1" w:styleId="QuoteChar">
    <w:name w:val="Quote Char"/>
    <w:basedOn w:val="DefaultParagraphFont"/>
    <w:link w:val="Quote"/>
    <w:uiPriority w:val="29"/>
    <w:rsid w:val="00ED0D2E"/>
    <w:rPr>
      <w:i/>
      <w:iCs/>
      <w:color w:val="404040" w:themeColor="text1" w:themeTint="BF"/>
    </w:rPr>
  </w:style>
  <w:style w:type="table" w:styleId="GridTable4-Accent1">
    <w:name w:val="Grid Table 4 Accent 1"/>
    <w:basedOn w:val="TableNormal"/>
    <w:uiPriority w:val="49"/>
    <w:rsid w:val="007B05C7"/>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otpoint2">
    <w:name w:val="dot point 2"/>
    <w:basedOn w:val="dotpoint"/>
    <w:qFormat/>
    <w:rsid w:val="00B40DE7"/>
    <w:pPr>
      <w:numPr>
        <w:numId w:val="34"/>
      </w:numPr>
      <w:ind w:left="1080"/>
    </w:pPr>
  </w:style>
  <w:style w:type="paragraph" w:customStyle="1" w:styleId="Footnote">
    <w:name w:val="Footnote"/>
    <w:basedOn w:val="Normal"/>
    <w:qFormat/>
    <w:rsid w:val="00AE725A"/>
    <w:pPr>
      <w:spacing w:after="120" w:line="240" w:lineRule="auto"/>
    </w:pPr>
    <w:rPr>
      <w:rFonts w:cs="Myriad Pro Light"/>
      <w:i/>
      <w:color w:val="000000"/>
      <w:sz w:val="16"/>
      <w:szCs w:val="20"/>
    </w:rPr>
  </w:style>
  <w:style w:type="paragraph" w:customStyle="1" w:styleId="Tableheader">
    <w:name w:val="Table header"/>
    <w:basedOn w:val="Normal"/>
    <w:qFormat/>
    <w:rsid w:val="00AE725A"/>
    <w:pPr>
      <w:spacing w:before="120" w:after="120" w:line="240" w:lineRule="auto"/>
    </w:pPr>
    <w:rPr>
      <w:i/>
      <w:iCs/>
      <w:lang w:val="en-AU"/>
    </w:rPr>
  </w:style>
  <w:style w:type="character" w:customStyle="1" w:styleId="page-headerauthors">
    <w:name w:val="page-header__authors"/>
    <w:basedOn w:val="DefaultParagraphFont"/>
    <w:rsid w:val="00083987"/>
  </w:style>
  <w:style w:type="character" w:customStyle="1" w:styleId="page-headerpublicationtype">
    <w:name w:val="page-header__publicationtype"/>
    <w:basedOn w:val="DefaultParagraphFont"/>
    <w:rsid w:val="00083987"/>
  </w:style>
  <w:style w:type="character" w:customStyle="1" w:styleId="page-headerdate">
    <w:name w:val="page-header__date"/>
    <w:basedOn w:val="DefaultParagraphFont"/>
    <w:rsid w:val="00083987"/>
  </w:style>
  <w:style w:type="character" w:customStyle="1" w:styleId="citationauthors">
    <w:name w:val="citationauthors"/>
    <w:basedOn w:val="DefaultParagraphFont"/>
    <w:rsid w:val="00FD560E"/>
  </w:style>
  <w:style w:type="character" w:customStyle="1" w:styleId="citationauthor">
    <w:name w:val="citationauthor"/>
    <w:basedOn w:val="DefaultParagraphFont"/>
    <w:rsid w:val="00FD560E"/>
  </w:style>
  <w:style w:type="character" w:customStyle="1" w:styleId="citationdate">
    <w:name w:val="citationdate"/>
    <w:basedOn w:val="DefaultParagraphFont"/>
    <w:rsid w:val="00FD560E"/>
  </w:style>
  <w:style w:type="character" w:customStyle="1" w:styleId="citationtitle">
    <w:name w:val="citationtitle"/>
    <w:basedOn w:val="DefaultParagraphFont"/>
    <w:rsid w:val="00FD560E"/>
  </w:style>
  <w:style w:type="character" w:customStyle="1" w:styleId="citationthesistype">
    <w:name w:val="citationthesistype"/>
    <w:basedOn w:val="DefaultParagraphFont"/>
    <w:rsid w:val="00FD560E"/>
  </w:style>
  <w:style w:type="character" w:customStyle="1" w:styleId="citationorgunit">
    <w:name w:val="citationorgunit"/>
    <w:basedOn w:val="DefaultParagraphFont"/>
    <w:rsid w:val="00FD560E"/>
  </w:style>
  <w:style w:type="character" w:customStyle="1" w:styleId="citationorgname">
    <w:name w:val="citationorgname"/>
    <w:basedOn w:val="DefaultParagraphFont"/>
    <w:rsid w:val="00FD560E"/>
  </w:style>
  <w:style w:type="character" w:customStyle="1" w:styleId="TitleChar">
    <w:name w:val="Title Char"/>
    <w:basedOn w:val="DefaultParagraphFont"/>
    <w:link w:val="Title"/>
    <w:uiPriority w:val="10"/>
    <w:rsid w:val="00476E6B"/>
    <w:rPr>
      <w:sz w:val="52"/>
      <w:szCs w:val="52"/>
    </w:rPr>
  </w:style>
  <w:style w:type="character" w:styleId="IntenseEmphasis">
    <w:name w:val="Intense Emphasis"/>
    <w:basedOn w:val="DefaultParagraphFont"/>
    <w:uiPriority w:val="21"/>
    <w:qFormat/>
    <w:rsid w:val="00B557E0"/>
    <w:rPr>
      <w:i/>
      <w:iCs/>
      <w:color w:val="0070C0"/>
      <w:sz w:val="24"/>
      <w:szCs w:val="24"/>
    </w:rPr>
  </w:style>
  <w:style w:type="character" w:styleId="PageNumber">
    <w:name w:val="page number"/>
    <w:basedOn w:val="DefaultParagraphFont"/>
    <w:uiPriority w:val="99"/>
    <w:semiHidden/>
    <w:unhideWhenUsed/>
    <w:rsid w:val="00AF73E6"/>
  </w:style>
  <w:style w:type="paragraph" w:styleId="TOCHeading">
    <w:name w:val="TOC Heading"/>
    <w:basedOn w:val="Heading1"/>
    <w:next w:val="Normal"/>
    <w:uiPriority w:val="39"/>
    <w:unhideWhenUsed/>
    <w:qFormat/>
    <w:rsid w:val="00AF73E6"/>
    <w:pPr>
      <w:spacing w:before="480" w:after="0"/>
      <w:jc w:val="left"/>
      <w:outlineLvl w:val="9"/>
    </w:pPr>
    <w:rPr>
      <w:rFonts w:asciiTheme="majorHAnsi" w:eastAsiaTheme="majorEastAsia" w:hAnsiTheme="majorHAnsi" w:cstheme="majorBidi"/>
      <w:b/>
      <w:bCs/>
      <w:color w:val="365F91" w:themeColor="accent1" w:themeShade="BF"/>
      <w:sz w:val="28"/>
      <w:szCs w:val="28"/>
      <w:lang w:val="en-US" w:eastAsia="en-US"/>
    </w:rPr>
  </w:style>
  <w:style w:type="paragraph" w:styleId="TOC1">
    <w:name w:val="toc 1"/>
    <w:basedOn w:val="Normal"/>
    <w:next w:val="Normal"/>
    <w:autoRedefine/>
    <w:uiPriority w:val="39"/>
    <w:unhideWhenUsed/>
    <w:rsid w:val="00AF73E6"/>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AF73E6"/>
    <w:pPr>
      <w:ind w:left="220"/>
    </w:pPr>
    <w:rPr>
      <w:rFonts w:asciiTheme="minorHAnsi" w:hAnsiTheme="minorHAnsi"/>
      <w:smallCaps/>
      <w:sz w:val="20"/>
      <w:szCs w:val="20"/>
    </w:rPr>
  </w:style>
  <w:style w:type="paragraph" w:styleId="TOC3">
    <w:name w:val="toc 3"/>
    <w:basedOn w:val="Normal"/>
    <w:next w:val="Normal"/>
    <w:autoRedefine/>
    <w:uiPriority w:val="39"/>
    <w:unhideWhenUsed/>
    <w:rsid w:val="00AF73E6"/>
    <w:pPr>
      <w:ind w:left="440"/>
    </w:pPr>
    <w:rPr>
      <w:rFonts w:asciiTheme="minorHAnsi" w:hAnsiTheme="minorHAnsi"/>
      <w:i/>
      <w:iCs/>
      <w:sz w:val="20"/>
      <w:szCs w:val="20"/>
    </w:rPr>
  </w:style>
  <w:style w:type="paragraph" w:styleId="TOC4">
    <w:name w:val="toc 4"/>
    <w:basedOn w:val="Normal"/>
    <w:next w:val="Normal"/>
    <w:autoRedefine/>
    <w:uiPriority w:val="39"/>
    <w:semiHidden/>
    <w:unhideWhenUsed/>
    <w:rsid w:val="00AF73E6"/>
    <w:pPr>
      <w:ind w:left="660"/>
    </w:pPr>
    <w:rPr>
      <w:rFonts w:asciiTheme="minorHAnsi" w:hAnsiTheme="minorHAnsi"/>
      <w:sz w:val="18"/>
      <w:szCs w:val="18"/>
    </w:rPr>
  </w:style>
  <w:style w:type="paragraph" w:styleId="TOC5">
    <w:name w:val="toc 5"/>
    <w:basedOn w:val="Normal"/>
    <w:next w:val="Normal"/>
    <w:autoRedefine/>
    <w:uiPriority w:val="39"/>
    <w:semiHidden/>
    <w:unhideWhenUsed/>
    <w:rsid w:val="00AF73E6"/>
    <w:pPr>
      <w:ind w:left="880"/>
    </w:pPr>
    <w:rPr>
      <w:rFonts w:asciiTheme="minorHAnsi" w:hAnsiTheme="minorHAnsi"/>
      <w:sz w:val="18"/>
      <w:szCs w:val="18"/>
    </w:rPr>
  </w:style>
  <w:style w:type="paragraph" w:styleId="TOC6">
    <w:name w:val="toc 6"/>
    <w:basedOn w:val="Normal"/>
    <w:next w:val="Normal"/>
    <w:autoRedefine/>
    <w:uiPriority w:val="39"/>
    <w:semiHidden/>
    <w:unhideWhenUsed/>
    <w:rsid w:val="00AF73E6"/>
    <w:pPr>
      <w:ind w:left="1100"/>
    </w:pPr>
    <w:rPr>
      <w:rFonts w:asciiTheme="minorHAnsi" w:hAnsiTheme="minorHAnsi"/>
      <w:sz w:val="18"/>
      <w:szCs w:val="18"/>
    </w:rPr>
  </w:style>
  <w:style w:type="paragraph" w:styleId="TOC7">
    <w:name w:val="toc 7"/>
    <w:basedOn w:val="Normal"/>
    <w:next w:val="Normal"/>
    <w:autoRedefine/>
    <w:uiPriority w:val="39"/>
    <w:semiHidden/>
    <w:unhideWhenUsed/>
    <w:rsid w:val="00AF73E6"/>
    <w:pPr>
      <w:ind w:left="1320"/>
    </w:pPr>
    <w:rPr>
      <w:rFonts w:asciiTheme="minorHAnsi" w:hAnsiTheme="minorHAnsi"/>
      <w:sz w:val="18"/>
      <w:szCs w:val="18"/>
    </w:rPr>
  </w:style>
  <w:style w:type="paragraph" w:styleId="TOC8">
    <w:name w:val="toc 8"/>
    <w:basedOn w:val="Normal"/>
    <w:next w:val="Normal"/>
    <w:autoRedefine/>
    <w:uiPriority w:val="39"/>
    <w:semiHidden/>
    <w:unhideWhenUsed/>
    <w:rsid w:val="00AF73E6"/>
    <w:pPr>
      <w:ind w:left="1540"/>
    </w:pPr>
    <w:rPr>
      <w:rFonts w:asciiTheme="minorHAnsi" w:hAnsiTheme="minorHAnsi"/>
      <w:sz w:val="18"/>
      <w:szCs w:val="18"/>
    </w:rPr>
  </w:style>
  <w:style w:type="paragraph" w:styleId="TOC9">
    <w:name w:val="toc 9"/>
    <w:basedOn w:val="Normal"/>
    <w:next w:val="Normal"/>
    <w:autoRedefine/>
    <w:uiPriority w:val="39"/>
    <w:semiHidden/>
    <w:unhideWhenUsed/>
    <w:rsid w:val="00AF73E6"/>
    <w:pPr>
      <w:ind w:left="176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73897">
      <w:bodyDiv w:val="1"/>
      <w:marLeft w:val="0"/>
      <w:marRight w:val="0"/>
      <w:marTop w:val="0"/>
      <w:marBottom w:val="0"/>
      <w:divBdr>
        <w:top w:val="none" w:sz="0" w:space="0" w:color="auto"/>
        <w:left w:val="none" w:sz="0" w:space="0" w:color="auto"/>
        <w:bottom w:val="none" w:sz="0" w:space="0" w:color="auto"/>
        <w:right w:val="none" w:sz="0" w:space="0" w:color="auto"/>
      </w:divBdr>
    </w:div>
    <w:div w:id="158424442">
      <w:bodyDiv w:val="1"/>
      <w:marLeft w:val="0"/>
      <w:marRight w:val="0"/>
      <w:marTop w:val="0"/>
      <w:marBottom w:val="0"/>
      <w:divBdr>
        <w:top w:val="none" w:sz="0" w:space="0" w:color="auto"/>
        <w:left w:val="none" w:sz="0" w:space="0" w:color="auto"/>
        <w:bottom w:val="none" w:sz="0" w:space="0" w:color="auto"/>
        <w:right w:val="none" w:sz="0" w:space="0" w:color="auto"/>
      </w:divBdr>
      <w:divsChild>
        <w:div w:id="1035619677">
          <w:marLeft w:val="0"/>
          <w:marRight w:val="0"/>
          <w:marTop w:val="0"/>
          <w:marBottom w:val="0"/>
          <w:divBdr>
            <w:top w:val="none" w:sz="0" w:space="0" w:color="auto"/>
            <w:left w:val="none" w:sz="0" w:space="0" w:color="auto"/>
            <w:bottom w:val="none" w:sz="0" w:space="0" w:color="auto"/>
            <w:right w:val="none" w:sz="0" w:space="0" w:color="auto"/>
          </w:divBdr>
          <w:divsChild>
            <w:div w:id="1139884792">
              <w:marLeft w:val="0"/>
              <w:marRight w:val="0"/>
              <w:marTop w:val="0"/>
              <w:marBottom w:val="0"/>
              <w:divBdr>
                <w:top w:val="none" w:sz="0" w:space="0" w:color="auto"/>
                <w:left w:val="none" w:sz="0" w:space="0" w:color="auto"/>
                <w:bottom w:val="none" w:sz="0" w:space="0" w:color="auto"/>
                <w:right w:val="none" w:sz="0" w:space="0" w:color="auto"/>
              </w:divBdr>
              <w:divsChild>
                <w:div w:id="69619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0096">
      <w:bodyDiv w:val="1"/>
      <w:marLeft w:val="0"/>
      <w:marRight w:val="0"/>
      <w:marTop w:val="0"/>
      <w:marBottom w:val="0"/>
      <w:divBdr>
        <w:top w:val="none" w:sz="0" w:space="0" w:color="auto"/>
        <w:left w:val="none" w:sz="0" w:space="0" w:color="auto"/>
        <w:bottom w:val="none" w:sz="0" w:space="0" w:color="auto"/>
        <w:right w:val="none" w:sz="0" w:space="0" w:color="auto"/>
      </w:divBdr>
      <w:divsChild>
        <w:div w:id="461459769">
          <w:marLeft w:val="0"/>
          <w:marRight w:val="0"/>
          <w:marTop w:val="0"/>
          <w:marBottom w:val="0"/>
          <w:divBdr>
            <w:top w:val="none" w:sz="0" w:space="0" w:color="auto"/>
            <w:left w:val="none" w:sz="0" w:space="0" w:color="auto"/>
            <w:bottom w:val="none" w:sz="0" w:space="0" w:color="auto"/>
            <w:right w:val="none" w:sz="0" w:space="0" w:color="auto"/>
          </w:divBdr>
          <w:divsChild>
            <w:div w:id="1683970835">
              <w:marLeft w:val="0"/>
              <w:marRight w:val="0"/>
              <w:marTop w:val="0"/>
              <w:marBottom w:val="0"/>
              <w:divBdr>
                <w:top w:val="none" w:sz="0" w:space="0" w:color="auto"/>
                <w:left w:val="none" w:sz="0" w:space="0" w:color="auto"/>
                <w:bottom w:val="none" w:sz="0" w:space="0" w:color="auto"/>
                <w:right w:val="none" w:sz="0" w:space="0" w:color="auto"/>
              </w:divBdr>
              <w:divsChild>
                <w:div w:id="16576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12141">
      <w:bodyDiv w:val="1"/>
      <w:marLeft w:val="0"/>
      <w:marRight w:val="0"/>
      <w:marTop w:val="0"/>
      <w:marBottom w:val="0"/>
      <w:divBdr>
        <w:top w:val="none" w:sz="0" w:space="0" w:color="auto"/>
        <w:left w:val="none" w:sz="0" w:space="0" w:color="auto"/>
        <w:bottom w:val="none" w:sz="0" w:space="0" w:color="auto"/>
        <w:right w:val="none" w:sz="0" w:space="0" w:color="auto"/>
      </w:divBdr>
      <w:divsChild>
        <w:div w:id="1385835960">
          <w:marLeft w:val="1200"/>
          <w:marRight w:val="0"/>
          <w:marTop w:val="240"/>
          <w:marBottom w:val="240"/>
          <w:divBdr>
            <w:top w:val="none" w:sz="0" w:space="0" w:color="auto"/>
            <w:left w:val="none" w:sz="0" w:space="0" w:color="auto"/>
            <w:bottom w:val="none" w:sz="0" w:space="0" w:color="auto"/>
            <w:right w:val="none" w:sz="0" w:space="0" w:color="auto"/>
          </w:divBdr>
        </w:div>
      </w:divsChild>
    </w:div>
    <w:div w:id="322465579">
      <w:bodyDiv w:val="1"/>
      <w:marLeft w:val="0"/>
      <w:marRight w:val="0"/>
      <w:marTop w:val="0"/>
      <w:marBottom w:val="0"/>
      <w:divBdr>
        <w:top w:val="none" w:sz="0" w:space="0" w:color="auto"/>
        <w:left w:val="none" w:sz="0" w:space="0" w:color="auto"/>
        <w:bottom w:val="none" w:sz="0" w:space="0" w:color="auto"/>
        <w:right w:val="none" w:sz="0" w:space="0" w:color="auto"/>
      </w:divBdr>
      <w:divsChild>
        <w:div w:id="81033455">
          <w:marLeft w:val="0"/>
          <w:marRight w:val="0"/>
          <w:marTop w:val="0"/>
          <w:marBottom w:val="0"/>
          <w:divBdr>
            <w:top w:val="none" w:sz="0" w:space="0" w:color="auto"/>
            <w:left w:val="none" w:sz="0" w:space="0" w:color="auto"/>
            <w:bottom w:val="none" w:sz="0" w:space="0" w:color="auto"/>
            <w:right w:val="none" w:sz="0" w:space="0" w:color="auto"/>
          </w:divBdr>
          <w:divsChild>
            <w:div w:id="468330565">
              <w:marLeft w:val="0"/>
              <w:marRight w:val="0"/>
              <w:marTop w:val="0"/>
              <w:marBottom w:val="0"/>
              <w:divBdr>
                <w:top w:val="none" w:sz="0" w:space="0" w:color="auto"/>
                <w:left w:val="none" w:sz="0" w:space="0" w:color="auto"/>
                <w:bottom w:val="none" w:sz="0" w:space="0" w:color="auto"/>
                <w:right w:val="none" w:sz="0" w:space="0" w:color="auto"/>
              </w:divBdr>
              <w:divsChild>
                <w:div w:id="201198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129442">
      <w:bodyDiv w:val="1"/>
      <w:marLeft w:val="0"/>
      <w:marRight w:val="0"/>
      <w:marTop w:val="0"/>
      <w:marBottom w:val="0"/>
      <w:divBdr>
        <w:top w:val="none" w:sz="0" w:space="0" w:color="auto"/>
        <w:left w:val="none" w:sz="0" w:space="0" w:color="auto"/>
        <w:bottom w:val="none" w:sz="0" w:space="0" w:color="auto"/>
        <w:right w:val="none" w:sz="0" w:space="0" w:color="auto"/>
      </w:divBdr>
    </w:div>
    <w:div w:id="333916687">
      <w:bodyDiv w:val="1"/>
      <w:marLeft w:val="0"/>
      <w:marRight w:val="0"/>
      <w:marTop w:val="0"/>
      <w:marBottom w:val="0"/>
      <w:divBdr>
        <w:top w:val="none" w:sz="0" w:space="0" w:color="auto"/>
        <w:left w:val="none" w:sz="0" w:space="0" w:color="auto"/>
        <w:bottom w:val="none" w:sz="0" w:space="0" w:color="auto"/>
        <w:right w:val="none" w:sz="0" w:space="0" w:color="auto"/>
      </w:divBdr>
      <w:divsChild>
        <w:div w:id="598292441">
          <w:marLeft w:val="0"/>
          <w:marRight w:val="0"/>
          <w:marTop w:val="0"/>
          <w:marBottom w:val="0"/>
          <w:divBdr>
            <w:top w:val="none" w:sz="0" w:space="0" w:color="auto"/>
            <w:left w:val="none" w:sz="0" w:space="0" w:color="auto"/>
            <w:bottom w:val="none" w:sz="0" w:space="0" w:color="auto"/>
            <w:right w:val="none" w:sz="0" w:space="0" w:color="auto"/>
          </w:divBdr>
          <w:divsChild>
            <w:div w:id="1012075171">
              <w:marLeft w:val="0"/>
              <w:marRight w:val="0"/>
              <w:marTop w:val="0"/>
              <w:marBottom w:val="0"/>
              <w:divBdr>
                <w:top w:val="none" w:sz="0" w:space="0" w:color="auto"/>
                <w:left w:val="none" w:sz="0" w:space="0" w:color="auto"/>
                <w:bottom w:val="none" w:sz="0" w:space="0" w:color="auto"/>
                <w:right w:val="none" w:sz="0" w:space="0" w:color="auto"/>
              </w:divBdr>
              <w:divsChild>
                <w:div w:id="13241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547865">
      <w:bodyDiv w:val="1"/>
      <w:marLeft w:val="0"/>
      <w:marRight w:val="0"/>
      <w:marTop w:val="0"/>
      <w:marBottom w:val="0"/>
      <w:divBdr>
        <w:top w:val="none" w:sz="0" w:space="0" w:color="auto"/>
        <w:left w:val="none" w:sz="0" w:space="0" w:color="auto"/>
        <w:bottom w:val="none" w:sz="0" w:space="0" w:color="auto"/>
        <w:right w:val="none" w:sz="0" w:space="0" w:color="auto"/>
      </w:divBdr>
      <w:divsChild>
        <w:div w:id="481309694">
          <w:marLeft w:val="0"/>
          <w:marRight w:val="0"/>
          <w:marTop w:val="0"/>
          <w:marBottom w:val="0"/>
          <w:divBdr>
            <w:top w:val="none" w:sz="0" w:space="0" w:color="auto"/>
            <w:left w:val="none" w:sz="0" w:space="0" w:color="auto"/>
            <w:bottom w:val="none" w:sz="0" w:space="0" w:color="auto"/>
            <w:right w:val="none" w:sz="0" w:space="0" w:color="auto"/>
          </w:divBdr>
          <w:divsChild>
            <w:div w:id="979455449">
              <w:marLeft w:val="0"/>
              <w:marRight w:val="0"/>
              <w:marTop w:val="0"/>
              <w:marBottom w:val="0"/>
              <w:divBdr>
                <w:top w:val="none" w:sz="0" w:space="0" w:color="auto"/>
                <w:left w:val="none" w:sz="0" w:space="0" w:color="auto"/>
                <w:bottom w:val="none" w:sz="0" w:space="0" w:color="auto"/>
                <w:right w:val="none" w:sz="0" w:space="0" w:color="auto"/>
              </w:divBdr>
              <w:divsChild>
                <w:div w:id="82794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5544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640817256">
      <w:bodyDiv w:val="1"/>
      <w:marLeft w:val="0"/>
      <w:marRight w:val="0"/>
      <w:marTop w:val="0"/>
      <w:marBottom w:val="0"/>
      <w:divBdr>
        <w:top w:val="none" w:sz="0" w:space="0" w:color="auto"/>
        <w:left w:val="none" w:sz="0" w:space="0" w:color="auto"/>
        <w:bottom w:val="none" w:sz="0" w:space="0" w:color="auto"/>
        <w:right w:val="none" w:sz="0" w:space="0" w:color="auto"/>
      </w:divBdr>
    </w:div>
    <w:div w:id="675034117">
      <w:bodyDiv w:val="1"/>
      <w:marLeft w:val="0"/>
      <w:marRight w:val="0"/>
      <w:marTop w:val="0"/>
      <w:marBottom w:val="0"/>
      <w:divBdr>
        <w:top w:val="none" w:sz="0" w:space="0" w:color="auto"/>
        <w:left w:val="none" w:sz="0" w:space="0" w:color="auto"/>
        <w:bottom w:val="none" w:sz="0" w:space="0" w:color="auto"/>
        <w:right w:val="none" w:sz="0" w:space="0" w:color="auto"/>
      </w:divBdr>
    </w:div>
    <w:div w:id="702823314">
      <w:bodyDiv w:val="1"/>
      <w:marLeft w:val="0"/>
      <w:marRight w:val="0"/>
      <w:marTop w:val="0"/>
      <w:marBottom w:val="0"/>
      <w:divBdr>
        <w:top w:val="none" w:sz="0" w:space="0" w:color="auto"/>
        <w:left w:val="none" w:sz="0" w:space="0" w:color="auto"/>
        <w:bottom w:val="none" w:sz="0" w:space="0" w:color="auto"/>
        <w:right w:val="none" w:sz="0" w:space="0" w:color="auto"/>
      </w:divBdr>
    </w:div>
    <w:div w:id="764346594">
      <w:bodyDiv w:val="1"/>
      <w:marLeft w:val="0"/>
      <w:marRight w:val="0"/>
      <w:marTop w:val="0"/>
      <w:marBottom w:val="0"/>
      <w:divBdr>
        <w:top w:val="none" w:sz="0" w:space="0" w:color="auto"/>
        <w:left w:val="none" w:sz="0" w:space="0" w:color="auto"/>
        <w:bottom w:val="none" w:sz="0" w:space="0" w:color="auto"/>
        <w:right w:val="none" w:sz="0" w:space="0" w:color="auto"/>
      </w:divBdr>
    </w:div>
    <w:div w:id="770396682">
      <w:bodyDiv w:val="1"/>
      <w:marLeft w:val="0"/>
      <w:marRight w:val="0"/>
      <w:marTop w:val="0"/>
      <w:marBottom w:val="0"/>
      <w:divBdr>
        <w:top w:val="none" w:sz="0" w:space="0" w:color="auto"/>
        <w:left w:val="none" w:sz="0" w:space="0" w:color="auto"/>
        <w:bottom w:val="none" w:sz="0" w:space="0" w:color="auto"/>
        <w:right w:val="none" w:sz="0" w:space="0" w:color="auto"/>
      </w:divBdr>
    </w:div>
    <w:div w:id="912736159">
      <w:bodyDiv w:val="1"/>
      <w:marLeft w:val="0"/>
      <w:marRight w:val="0"/>
      <w:marTop w:val="0"/>
      <w:marBottom w:val="0"/>
      <w:divBdr>
        <w:top w:val="none" w:sz="0" w:space="0" w:color="auto"/>
        <w:left w:val="none" w:sz="0" w:space="0" w:color="auto"/>
        <w:bottom w:val="none" w:sz="0" w:space="0" w:color="auto"/>
        <w:right w:val="none" w:sz="0" w:space="0" w:color="auto"/>
      </w:divBdr>
    </w:div>
    <w:div w:id="934828675">
      <w:bodyDiv w:val="1"/>
      <w:marLeft w:val="0"/>
      <w:marRight w:val="0"/>
      <w:marTop w:val="0"/>
      <w:marBottom w:val="0"/>
      <w:divBdr>
        <w:top w:val="none" w:sz="0" w:space="0" w:color="auto"/>
        <w:left w:val="none" w:sz="0" w:space="0" w:color="auto"/>
        <w:bottom w:val="none" w:sz="0" w:space="0" w:color="auto"/>
        <w:right w:val="none" w:sz="0" w:space="0" w:color="auto"/>
      </w:divBdr>
      <w:divsChild>
        <w:div w:id="956718405">
          <w:marLeft w:val="0"/>
          <w:marRight w:val="0"/>
          <w:marTop w:val="0"/>
          <w:marBottom w:val="0"/>
          <w:divBdr>
            <w:top w:val="none" w:sz="0" w:space="0" w:color="auto"/>
            <w:left w:val="none" w:sz="0" w:space="0" w:color="auto"/>
            <w:bottom w:val="none" w:sz="0" w:space="0" w:color="auto"/>
            <w:right w:val="none" w:sz="0" w:space="0" w:color="auto"/>
          </w:divBdr>
          <w:divsChild>
            <w:div w:id="1366902020">
              <w:marLeft w:val="0"/>
              <w:marRight w:val="0"/>
              <w:marTop w:val="0"/>
              <w:marBottom w:val="0"/>
              <w:divBdr>
                <w:top w:val="none" w:sz="0" w:space="0" w:color="auto"/>
                <w:left w:val="none" w:sz="0" w:space="0" w:color="auto"/>
                <w:bottom w:val="none" w:sz="0" w:space="0" w:color="auto"/>
                <w:right w:val="none" w:sz="0" w:space="0" w:color="auto"/>
              </w:divBdr>
              <w:divsChild>
                <w:div w:id="1264535529">
                  <w:marLeft w:val="0"/>
                  <w:marRight w:val="0"/>
                  <w:marTop w:val="0"/>
                  <w:marBottom w:val="0"/>
                  <w:divBdr>
                    <w:top w:val="none" w:sz="0" w:space="0" w:color="auto"/>
                    <w:left w:val="none" w:sz="0" w:space="0" w:color="auto"/>
                    <w:bottom w:val="none" w:sz="0" w:space="0" w:color="auto"/>
                    <w:right w:val="none" w:sz="0" w:space="0" w:color="auto"/>
                  </w:divBdr>
                  <w:divsChild>
                    <w:div w:id="206884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135356">
      <w:bodyDiv w:val="1"/>
      <w:marLeft w:val="0"/>
      <w:marRight w:val="0"/>
      <w:marTop w:val="0"/>
      <w:marBottom w:val="0"/>
      <w:divBdr>
        <w:top w:val="none" w:sz="0" w:space="0" w:color="auto"/>
        <w:left w:val="none" w:sz="0" w:space="0" w:color="auto"/>
        <w:bottom w:val="none" w:sz="0" w:space="0" w:color="auto"/>
        <w:right w:val="none" w:sz="0" w:space="0" w:color="auto"/>
      </w:divBdr>
    </w:div>
    <w:div w:id="1289050499">
      <w:bodyDiv w:val="1"/>
      <w:marLeft w:val="0"/>
      <w:marRight w:val="0"/>
      <w:marTop w:val="0"/>
      <w:marBottom w:val="0"/>
      <w:divBdr>
        <w:top w:val="none" w:sz="0" w:space="0" w:color="auto"/>
        <w:left w:val="none" w:sz="0" w:space="0" w:color="auto"/>
        <w:bottom w:val="none" w:sz="0" w:space="0" w:color="auto"/>
        <w:right w:val="none" w:sz="0" w:space="0" w:color="auto"/>
      </w:divBdr>
      <w:divsChild>
        <w:div w:id="1866097943">
          <w:marLeft w:val="0"/>
          <w:marRight w:val="0"/>
          <w:marTop w:val="0"/>
          <w:marBottom w:val="0"/>
          <w:divBdr>
            <w:top w:val="none" w:sz="0" w:space="0" w:color="auto"/>
            <w:left w:val="none" w:sz="0" w:space="0" w:color="auto"/>
            <w:bottom w:val="none" w:sz="0" w:space="0" w:color="auto"/>
            <w:right w:val="none" w:sz="0" w:space="0" w:color="auto"/>
          </w:divBdr>
          <w:divsChild>
            <w:div w:id="523785358">
              <w:marLeft w:val="0"/>
              <w:marRight w:val="0"/>
              <w:marTop w:val="0"/>
              <w:marBottom w:val="0"/>
              <w:divBdr>
                <w:top w:val="none" w:sz="0" w:space="0" w:color="auto"/>
                <w:left w:val="none" w:sz="0" w:space="0" w:color="auto"/>
                <w:bottom w:val="none" w:sz="0" w:space="0" w:color="auto"/>
                <w:right w:val="none" w:sz="0" w:space="0" w:color="auto"/>
              </w:divBdr>
              <w:divsChild>
                <w:div w:id="152339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376038">
      <w:bodyDiv w:val="1"/>
      <w:marLeft w:val="0"/>
      <w:marRight w:val="0"/>
      <w:marTop w:val="0"/>
      <w:marBottom w:val="0"/>
      <w:divBdr>
        <w:top w:val="none" w:sz="0" w:space="0" w:color="auto"/>
        <w:left w:val="none" w:sz="0" w:space="0" w:color="auto"/>
        <w:bottom w:val="none" w:sz="0" w:space="0" w:color="auto"/>
        <w:right w:val="none" w:sz="0" w:space="0" w:color="auto"/>
      </w:divBdr>
    </w:div>
    <w:div w:id="1505700596">
      <w:bodyDiv w:val="1"/>
      <w:marLeft w:val="0"/>
      <w:marRight w:val="0"/>
      <w:marTop w:val="0"/>
      <w:marBottom w:val="0"/>
      <w:divBdr>
        <w:top w:val="none" w:sz="0" w:space="0" w:color="auto"/>
        <w:left w:val="none" w:sz="0" w:space="0" w:color="auto"/>
        <w:bottom w:val="none" w:sz="0" w:space="0" w:color="auto"/>
        <w:right w:val="none" w:sz="0" w:space="0" w:color="auto"/>
      </w:divBdr>
    </w:div>
    <w:div w:id="1508641151">
      <w:bodyDiv w:val="1"/>
      <w:marLeft w:val="0"/>
      <w:marRight w:val="0"/>
      <w:marTop w:val="0"/>
      <w:marBottom w:val="0"/>
      <w:divBdr>
        <w:top w:val="none" w:sz="0" w:space="0" w:color="auto"/>
        <w:left w:val="none" w:sz="0" w:space="0" w:color="auto"/>
        <w:bottom w:val="none" w:sz="0" w:space="0" w:color="auto"/>
        <w:right w:val="none" w:sz="0" w:space="0" w:color="auto"/>
      </w:divBdr>
    </w:div>
    <w:div w:id="1509949555">
      <w:bodyDiv w:val="1"/>
      <w:marLeft w:val="0"/>
      <w:marRight w:val="0"/>
      <w:marTop w:val="0"/>
      <w:marBottom w:val="0"/>
      <w:divBdr>
        <w:top w:val="none" w:sz="0" w:space="0" w:color="auto"/>
        <w:left w:val="none" w:sz="0" w:space="0" w:color="auto"/>
        <w:bottom w:val="none" w:sz="0" w:space="0" w:color="auto"/>
        <w:right w:val="none" w:sz="0" w:space="0" w:color="auto"/>
      </w:divBdr>
      <w:divsChild>
        <w:div w:id="1289242701">
          <w:marLeft w:val="0"/>
          <w:marRight w:val="0"/>
          <w:marTop w:val="0"/>
          <w:marBottom w:val="0"/>
          <w:divBdr>
            <w:top w:val="none" w:sz="0" w:space="0" w:color="auto"/>
            <w:left w:val="none" w:sz="0" w:space="0" w:color="auto"/>
            <w:bottom w:val="none" w:sz="0" w:space="0" w:color="auto"/>
            <w:right w:val="none" w:sz="0" w:space="0" w:color="auto"/>
          </w:divBdr>
          <w:divsChild>
            <w:div w:id="92288259">
              <w:marLeft w:val="0"/>
              <w:marRight w:val="0"/>
              <w:marTop w:val="0"/>
              <w:marBottom w:val="0"/>
              <w:divBdr>
                <w:top w:val="none" w:sz="0" w:space="0" w:color="auto"/>
                <w:left w:val="none" w:sz="0" w:space="0" w:color="auto"/>
                <w:bottom w:val="none" w:sz="0" w:space="0" w:color="auto"/>
                <w:right w:val="none" w:sz="0" w:space="0" w:color="auto"/>
              </w:divBdr>
              <w:divsChild>
                <w:div w:id="11753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427786">
      <w:bodyDiv w:val="1"/>
      <w:marLeft w:val="0"/>
      <w:marRight w:val="0"/>
      <w:marTop w:val="0"/>
      <w:marBottom w:val="0"/>
      <w:divBdr>
        <w:top w:val="none" w:sz="0" w:space="0" w:color="auto"/>
        <w:left w:val="none" w:sz="0" w:space="0" w:color="auto"/>
        <w:bottom w:val="none" w:sz="0" w:space="0" w:color="auto"/>
        <w:right w:val="none" w:sz="0" w:space="0" w:color="auto"/>
      </w:divBdr>
    </w:div>
    <w:div w:id="1651908772">
      <w:bodyDiv w:val="1"/>
      <w:marLeft w:val="0"/>
      <w:marRight w:val="0"/>
      <w:marTop w:val="0"/>
      <w:marBottom w:val="0"/>
      <w:divBdr>
        <w:top w:val="none" w:sz="0" w:space="0" w:color="auto"/>
        <w:left w:val="none" w:sz="0" w:space="0" w:color="auto"/>
        <w:bottom w:val="none" w:sz="0" w:space="0" w:color="auto"/>
        <w:right w:val="none" w:sz="0" w:space="0" w:color="auto"/>
      </w:divBdr>
      <w:divsChild>
        <w:div w:id="1526554370">
          <w:marLeft w:val="0"/>
          <w:marRight w:val="0"/>
          <w:marTop w:val="0"/>
          <w:marBottom w:val="0"/>
          <w:divBdr>
            <w:top w:val="none" w:sz="0" w:space="0" w:color="auto"/>
            <w:left w:val="none" w:sz="0" w:space="0" w:color="auto"/>
            <w:bottom w:val="none" w:sz="0" w:space="0" w:color="auto"/>
            <w:right w:val="none" w:sz="0" w:space="0" w:color="auto"/>
          </w:divBdr>
          <w:divsChild>
            <w:div w:id="886338040">
              <w:marLeft w:val="0"/>
              <w:marRight w:val="0"/>
              <w:marTop w:val="0"/>
              <w:marBottom w:val="0"/>
              <w:divBdr>
                <w:top w:val="none" w:sz="0" w:space="0" w:color="auto"/>
                <w:left w:val="none" w:sz="0" w:space="0" w:color="auto"/>
                <w:bottom w:val="none" w:sz="0" w:space="0" w:color="auto"/>
                <w:right w:val="none" w:sz="0" w:space="0" w:color="auto"/>
              </w:divBdr>
              <w:divsChild>
                <w:div w:id="2556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41878">
      <w:bodyDiv w:val="1"/>
      <w:marLeft w:val="0"/>
      <w:marRight w:val="0"/>
      <w:marTop w:val="0"/>
      <w:marBottom w:val="0"/>
      <w:divBdr>
        <w:top w:val="none" w:sz="0" w:space="0" w:color="auto"/>
        <w:left w:val="none" w:sz="0" w:space="0" w:color="auto"/>
        <w:bottom w:val="none" w:sz="0" w:space="0" w:color="auto"/>
        <w:right w:val="none" w:sz="0" w:space="0" w:color="auto"/>
      </w:divBdr>
    </w:div>
    <w:div w:id="1837724011">
      <w:bodyDiv w:val="1"/>
      <w:marLeft w:val="0"/>
      <w:marRight w:val="0"/>
      <w:marTop w:val="0"/>
      <w:marBottom w:val="0"/>
      <w:divBdr>
        <w:top w:val="none" w:sz="0" w:space="0" w:color="auto"/>
        <w:left w:val="none" w:sz="0" w:space="0" w:color="auto"/>
        <w:bottom w:val="none" w:sz="0" w:space="0" w:color="auto"/>
        <w:right w:val="none" w:sz="0" w:space="0" w:color="auto"/>
      </w:divBdr>
      <w:divsChild>
        <w:div w:id="1140027743">
          <w:marLeft w:val="0"/>
          <w:marRight w:val="0"/>
          <w:marTop w:val="0"/>
          <w:marBottom w:val="0"/>
          <w:divBdr>
            <w:top w:val="none" w:sz="0" w:space="0" w:color="auto"/>
            <w:left w:val="none" w:sz="0" w:space="0" w:color="auto"/>
            <w:bottom w:val="none" w:sz="0" w:space="0" w:color="auto"/>
            <w:right w:val="none" w:sz="0" w:space="0" w:color="auto"/>
          </w:divBdr>
          <w:divsChild>
            <w:div w:id="1950694566">
              <w:marLeft w:val="0"/>
              <w:marRight w:val="0"/>
              <w:marTop w:val="0"/>
              <w:marBottom w:val="0"/>
              <w:divBdr>
                <w:top w:val="none" w:sz="0" w:space="0" w:color="auto"/>
                <w:left w:val="none" w:sz="0" w:space="0" w:color="auto"/>
                <w:bottom w:val="none" w:sz="0" w:space="0" w:color="auto"/>
                <w:right w:val="none" w:sz="0" w:space="0" w:color="auto"/>
              </w:divBdr>
              <w:divsChild>
                <w:div w:id="4383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756987">
      <w:bodyDiv w:val="1"/>
      <w:marLeft w:val="0"/>
      <w:marRight w:val="0"/>
      <w:marTop w:val="0"/>
      <w:marBottom w:val="0"/>
      <w:divBdr>
        <w:top w:val="none" w:sz="0" w:space="0" w:color="auto"/>
        <w:left w:val="none" w:sz="0" w:space="0" w:color="auto"/>
        <w:bottom w:val="none" w:sz="0" w:space="0" w:color="auto"/>
        <w:right w:val="none" w:sz="0" w:space="0" w:color="auto"/>
      </w:divBdr>
      <w:divsChild>
        <w:div w:id="53283290">
          <w:marLeft w:val="0"/>
          <w:marRight w:val="0"/>
          <w:marTop w:val="0"/>
          <w:marBottom w:val="0"/>
          <w:divBdr>
            <w:top w:val="none" w:sz="0" w:space="0" w:color="auto"/>
            <w:left w:val="none" w:sz="0" w:space="0" w:color="auto"/>
            <w:bottom w:val="none" w:sz="0" w:space="0" w:color="auto"/>
            <w:right w:val="none" w:sz="0" w:space="0" w:color="auto"/>
          </w:divBdr>
          <w:divsChild>
            <w:div w:id="2122721393">
              <w:marLeft w:val="0"/>
              <w:marRight w:val="0"/>
              <w:marTop w:val="0"/>
              <w:marBottom w:val="0"/>
              <w:divBdr>
                <w:top w:val="none" w:sz="0" w:space="0" w:color="auto"/>
                <w:left w:val="none" w:sz="0" w:space="0" w:color="auto"/>
                <w:bottom w:val="none" w:sz="0" w:space="0" w:color="auto"/>
                <w:right w:val="none" w:sz="0" w:space="0" w:color="auto"/>
              </w:divBdr>
              <w:divsChild>
                <w:div w:id="91967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561575">
      <w:bodyDiv w:val="1"/>
      <w:marLeft w:val="0"/>
      <w:marRight w:val="0"/>
      <w:marTop w:val="0"/>
      <w:marBottom w:val="0"/>
      <w:divBdr>
        <w:top w:val="none" w:sz="0" w:space="0" w:color="auto"/>
        <w:left w:val="none" w:sz="0" w:space="0" w:color="auto"/>
        <w:bottom w:val="none" w:sz="0" w:space="0" w:color="auto"/>
        <w:right w:val="none" w:sz="0" w:space="0" w:color="auto"/>
      </w:divBdr>
    </w:div>
    <w:div w:id="1904832581">
      <w:bodyDiv w:val="1"/>
      <w:marLeft w:val="0"/>
      <w:marRight w:val="0"/>
      <w:marTop w:val="0"/>
      <w:marBottom w:val="0"/>
      <w:divBdr>
        <w:top w:val="none" w:sz="0" w:space="0" w:color="auto"/>
        <w:left w:val="none" w:sz="0" w:space="0" w:color="auto"/>
        <w:bottom w:val="none" w:sz="0" w:space="0" w:color="auto"/>
        <w:right w:val="none" w:sz="0" w:space="0" w:color="auto"/>
      </w:divBdr>
    </w:div>
    <w:div w:id="1937319980">
      <w:bodyDiv w:val="1"/>
      <w:marLeft w:val="0"/>
      <w:marRight w:val="0"/>
      <w:marTop w:val="0"/>
      <w:marBottom w:val="0"/>
      <w:divBdr>
        <w:top w:val="none" w:sz="0" w:space="0" w:color="auto"/>
        <w:left w:val="none" w:sz="0" w:space="0" w:color="auto"/>
        <w:bottom w:val="none" w:sz="0" w:space="0" w:color="auto"/>
        <w:right w:val="none" w:sz="0" w:space="0" w:color="auto"/>
      </w:divBdr>
    </w:div>
    <w:div w:id="1938636067">
      <w:bodyDiv w:val="1"/>
      <w:marLeft w:val="0"/>
      <w:marRight w:val="0"/>
      <w:marTop w:val="0"/>
      <w:marBottom w:val="0"/>
      <w:divBdr>
        <w:top w:val="none" w:sz="0" w:space="0" w:color="auto"/>
        <w:left w:val="none" w:sz="0" w:space="0" w:color="auto"/>
        <w:bottom w:val="none" w:sz="0" w:space="0" w:color="auto"/>
        <w:right w:val="none" w:sz="0" w:space="0" w:color="auto"/>
      </w:divBdr>
    </w:div>
    <w:div w:id="1978484029">
      <w:bodyDiv w:val="1"/>
      <w:marLeft w:val="0"/>
      <w:marRight w:val="0"/>
      <w:marTop w:val="0"/>
      <w:marBottom w:val="0"/>
      <w:divBdr>
        <w:top w:val="none" w:sz="0" w:space="0" w:color="auto"/>
        <w:left w:val="none" w:sz="0" w:space="0" w:color="auto"/>
        <w:bottom w:val="none" w:sz="0" w:space="0" w:color="auto"/>
        <w:right w:val="none" w:sz="0" w:space="0" w:color="auto"/>
      </w:divBdr>
    </w:div>
    <w:div w:id="2015304262">
      <w:bodyDiv w:val="1"/>
      <w:marLeft w:val="0"/>
      <w:marRight w:val="0"/>
      <w:marTop w:val="0"/>
      <w:marBottom w:val="0"/>
      <w:divBdr>
        <w:top w:val="none" w:sz="0" w:space="0" w:color="auto"/>
        <w:left w:val="none" w:sz="0" w:space="0" w:color="auto"/>
        <w:bottom w:val="none" w:sz="0" w:space="0" w:color="auto"/>
        <w:right w:val="none" w:sz="0" w:space="0" w:color="auto"/>
      </w:divBdr>
    </w:div>
    <w:div w:id="2107075826">
      <w:bodyDiv w:val="1"/>
      <w:marLeft w:val="0"/>
      <w:marRight w:val="0"/>
      <w:marTop w:val="0"/>
      <w:marBottom w:val="0"/>
      <w:divBdr>
        <w:top w:val="none" w:sz="0" w:space="0" w:color="auto"/>
        <w:left w:val="none" w:sz="0" w:space="0" w:color="auto"/>
        <w:bottom w:val="none" w:sz="0" w:space="0" w:color="auto"/>
        <w:right w:val="none" w:sz="0" w:space="0" w:color="auto"/>
      </w:divBdr>
      <w:divsChild>
        <w:div w:id="1348560826">
          <w:marLeft w:val="0"/>
          <w:marRight w:val="0"/>
          <w:marTop w:val="0"/>
          <w:marBottom w:val="0"/>
          <w:divBdr>
            <w:top w:val="none" w:sz="0" w:space="0" w:color="auto"/>
            <w:left w:val="none" w:sz="0" w:space="0" w:color="auto"/>
            <w:bottom w:val="none" w:sz="0" w:space="0" w:color="auto"/>
            <w:right w:val="none" w:sz="0" w:space="0" w:color="auto"/>
          </w:divBdr>
          <w:divsChild>
            <w:div w:id="624966305">
              <w:marLeft w:val="0"/>
              <w:marRight w:val="0"/>
              <w:marTop w:val="0"/>
              <w:marBottom w:val="0"/>
              <w:divBdr>
                <w:top w:val="none" w:sz="0" w:space="0" w:color="auto"/>
                <w:left w:val="none" w:sz="0" w:space="0" w:color="auto"/>
                <w:bottom w:val="none" w:sz="0" w:space="0" w:color="auto"/>
                <w:right w:val="none" w:sz="0" w:space="0" w:color="auto"/>
              </w:divBdr>
              <w:divsChild>
                <w:div w:id="150681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adcet.edu.au/inclusive-teaching/understanding-disability/vet-statistics" TargetMode="External"/><Relationship Id="rId39" Type="http://schemas.openxmlformats.org/officeDocument/2006/relationships/hyperlink" Target="http://hdl.handle.net/1959.14/1282424" TargetMode="External"/><Relationship Id="rId21" Type="http://schemas.openxmlformats.org/officeDocument/2006/relationships/chart" Target="charts/chart4.xml"/><Relationship Id="rId34" Type="http://schemas.openxmlformats.org/officeDocument/2006/relationships/hyperlink" Target="file:///C:/Users/Rachel/My%20Tresors/NDCO%20research%20team%20folder/Policy%20background%20papers/31082020-individual-capacity-building-program-2020-2021-successful-applicants.pdf" TargetMode="External"/><Relationship Id="rId42" Type="http://schemas.openxmlformats.org/officeDocument/2006/relationships/hyperlink" Target="https://www.dss.gov.au/sites/default/files/documents/12_2020/pb-icb-successful-applications-docx-32.pdf" TargetMode="External"/><Relationship Id="rId47" Type="http://schemas.openxmlformats.org/officeDocument/2006/relationships/hyperlink" Target="https://ministers.dese.gov.au/tudge/record-investment-australian-schools" TargetMode="External"/><Relationship Id="rId50" Type="http://schemas.openxmlformats.org/officeDocument/2006/relationships/hyperlink" Target="https://www.universitiesaustralia.edu.au/publication/higher-education-facts-and-figures-2020/" TargetMode="External"/><Relationship Id="rId55"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engage.dss.gov.au/nds-stage-2-2020-submissions/anthony-gartner-bsw-msw-president-australian-tertiary-education-network-on-disability/" TargetMode="External"/><Relationship Id="rId11" Type="http://schemas.openxmlformats.org/officeDocument/2006/relationships/chart" Target="charts/chart1.xml"/><Relationship Id="rId24" Type="http://schemas.openxmlformats.org/officeDocument/2006/relationships/hyperlink" Target="https://www.abs.gov.au/statistics/health/disability/disability-ageing-and-carers-australia-summary-findings" TargetMode="External"/><Relationship Id="rId32" Type="http://schemas.openxmlformats.org/officeDocument/2006/relationships/hyperlink" Target="https://www.dese.gov.au/system/files/documents/document-file/2020-12/australian_government_department_of_education_0.pdf" TargetMode="External"/><Relationship Id="rId37" Type="http://schemas.openxmlformats.org/officeDocument/2006/relationships/hyperlink" Target="https://www.gov.uk/disabled-students-allowance-dsa" TargetMode="External"/><Relationship Id="rId40" Type="http://schemas.openxmlformats.org/officeDocument/2006/relationships/hyperlink" Target="https://nces.ed.gov/fastfacts/display.asp?id=60" TargetMode="External"/><Relationship Id="rId45" Type="http://schemas.openxmlformats.org/officeDocument/2006/relationships/hyperlink" Target="https://www.qilt.edu.au/qilt-surveys/graduate-employment"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chart" Target="charts/chart2.xml"/><Relationship Id="rId31" Type="http://schemas.openxmlformats.org/officeDocument/2006/relationships/hyperlink" Target="https://www.ncver.edu.au/research-and-statistics/publications/all-publications/whos-missing-out-access-and-equity-in-vocational-education-and-training" TargetMode="External"/><Relationship Id="rId44" Type="http://schemas.openxmlformats.org/officeDocument/2006/relationships/hyperlink" Target="https://www.nationalskillscommission.gov.au/insights/projecting-employment-2026" TargetMode="External"/><Relationship Id="rId52" Type="http://schemas.openxmlformats.org/officeDocument/2006/relationships/hyperlink" Target="https://visionaustralia.org/community/news/2019-08-23/online-trac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2.png"/><Relationship Id="rId27" Type="http://schemas.openxmlformats.org/officeDocument/2006/relationships/hyperlink" Target="https://tech.humanrights.gov.au/downloads?_ga=2.163991996.2034430662.1626908211-1288784926.1626908211" TargetMode="External"/><Relationship Id="rId30" Type="http://schemas.openxmlformats.org/officeDocument/2006/relationships/hyperlink" Target="https://parlinfo.aph.gov.au/parlInfo/download/committees/reportjnt/024501/toc_pdf/NDISWorkforceInterimReport.pdf;fileType=application%2Fpdf" TargetMode="External"/><Relationship Id="rId35" Type="http://schemas.openxmlformats.org/officeDocument/2006/relationships/hyperlink" Target="https://www.communitygrants.gov.au/grants/economic-participation-grant-opportunity-2020-21" TargetMode="External"/><Relationship Id="rId43" Type="http://schemas.openxmlformats.org/officeDocument/2006/relationships/hyperlink" Target="https://www.dss.gov.au/sites/default/files/documents/12_2020/pb-icb-successful-applications-docx-32.pdf" TargetMode="External"/><Relationship Id="rId48" Type="http://schemas.openxmlformats.org/officeDocument/2006/relationships/hyperlink" Target="https://ministers.dese.gov.au/tudge/new-higher-education-standards-panel-appointed" TargetMode="External"/><Relationship Id="rId8" Type="http://schemas.openxmlformats.org/officeDocument/2006/relationships/webSettings" Target="webSettings.xml"/><Relationship Id="rId51" Type="http://schemas.openxmlformats.org/officeDocument/2006/relationships/hyperlink" Target="https://commonslibrary.parliament.uk/research-briefings/cbp-8716/"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www.adcet.edu.au/inclusive-teaching/understanding-disability/higher-education-statistics" TargetMode="External"/><Relationship Id="rId33" Type="http://schemas.openxmlformats.org/officeDocument/2006/relationships/hyperlink" Target="https://app.powerbi.com/view?r=eyJrIjoiOTljMTY5YzYtYzYwNS00YjFlLWE1YTEtZTg2ZmMwNWU0MzRiIiwidCI6ImRkMGNmZDE1LTQ1NTgtNGIxMi04YmFkLWVhMjY5ODRmYzQxNyJ9" TargetMode="External"/><Relationship Id="rId38" Type="http://schemas.openxmlformats.org/officeDocument/2006/relationships/hyperlink" Target="http://dx.doi.org/10.1080/0309877X.2017.1367370" TargetMode="External"/><Relationship Id="rId46" Type="http://schemas.openxmlformats.org/officeDocument/2006/relationships/hyperlink" Target="https://ministers.dese.gov.au/tudge/dont-forget-australian-students-chase-internationals" TargetMode="External"/><Relationship Id="rId20" Type="http://schemas.openxmlformats.org/officeDocument/2006/relationships/chart" Target="charts/chart3.xml"/><Relationship Id="rId41" Type="http://schemas.openxmlformats.org/officeDocument/2006/relationships/hyperlink" Target="file:///C:/Users/Rachel/Downloads/QR%20Q4%20201718%20COAG-report-Full%20PDF%20(1).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image" Target="media/image3.svg"/><Relationship Id="rId28" Type="http://schemas.openxmlformats.org/officeDocument/2006/relationships/hyperlink" Target="https://humanrights.gov.au/sites/default/files/2020-10/AHRC_AR_2019-20_Complaint_Stats_FINAL.pdf" TargetMode="External"/><Relationship Id="rId36" Type="http://schemas.openxmlformats.org/officeDocument/2006/relationships/hyperlink" Target="https://doi.org/10.1080/13603116.2017.1278798" TargetMode="External"/><Relationship Id="rId49" Type="http://schemas.openxmlformats.org/officeDocument/2006/relationships/hyperlink" Target="https://www.universitiesaustralia.edu.au/wp-content/uploads/2019/08/190716-Facts-and-Figures-2019-Final-v2.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hangingplaces.org.au/"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AU" sz="1200">
                <a:latin typeface="+mj-lt"/>
              </a:rPr>
              <a:t>Change in employment share by </a:t>
            </a:r>
            <a:br>
              <a:rPr lang="en-AU" sz="1200">
                <a:latin typeface="+mj-lt"/>
              </a:rPr>
            </a:br>
            <a:r>
              <a:rPr lang="en-AU" sz="1200">
                <a:latin typeface="+mj-lt"/>
              </a:rPr>
              <a:t>skill level, 1998 to 2018</a:t>
            </a:r>
          </a:p>
        </c:rich>
      </c:tx>
      <c:layout>
        <c:manualLayout>
          <c:xMode val="edge"/>
          <c:yMode val="edge"/>
          <c:x val="0.21814709885830028"/>
          <c:y val="2.564102564102564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Employment share - higher skilled (Level 5) occupations</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Sheet1!$A$2:$A$3</c:f>
              <c:numCache>
                <c:formatCode>General</c:formatCode>
                <c:ptCount val="2"/>
                <c:pt idx="0">
                  <c:v>1998</c:v>
                </c:pt>
                <c:pt idx="1">
                  <c:v>2018</c:v>
                </c:pt>
              </c:numCache>
            </c:numRef>
          </c:cat>
          <c:val>
            <c:numRef>
              <c:f>Sheet1!$B$2:$B$3</c:f>
              <c:numCache>
                <c:formatCode>0%</c:formatCode>
                <c:ptCount val="2"/>
                <c:pt idx="0">
                  <c:v>0.23</c:v>
                </c:pt>
                <c:pt idx="1">
                  <c:v>0.32</c:v>
                </c:pt>
              </c:numCache>
            </c:numRef>
          </c:val>
          <c:extLst>
            <c:ext xmlns:c16="http://schemas.microsoft.com/office/drawing/2014/chart" uri="{C3380CC4-5D6E-409C-BE32-E72D297353CC}">
              <c16:uniqueId val="{00000000-8EEB-904B-B1EC-977CD67D6889}"/>
            </c:ext>
          </c:extLst>
        </c:ser>
        <c:ser>
          <c:idx val="1"/>
          <c:order val="1"/>
          <c:tx>
            <c:strRef>
              <c:f>Sheet1!$C$1</c:f>
              <c:strCache>
                <c:ptCount val="1"/>
                <c:pt idx="0">
                  <c:v>Employment share - lower skilled (Level 1) occupations</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Sheet1!$A$2:$A$3</c:f>
              <c:numCache>
                <c:formatCode>General</c:formatCode>
                <c:ptCount val="2"/>
                <c:pt idx="0">
                  <c:v>1998</c:v>
                </c:pt>
                <c:pt idx="1">
                  <c:v>2018</c:v>
                </c:pt>
              </c:numCache>
            </c:numRef>
          </c:cat>
          <c:val>
            <c:numRef>
              <c:f>Sheet1!$C$2:$C$3</c:f>
              <c:numCache>
                <c:formatCode>0%</c:formatCode>
                <c:ptCount val="2"/>
                <c:pt idx="0">
                  <c:v>0.21</c:v>
                </c:pt>
                <c:pt idx="1">
                  <c:v>0.17</c:v>
                </c:pt>
              </c:numCache>
            </c:numRef>
          </c:val>
          <c:extLst>
            <c:ext xmlns:c16="http://schemas.microsoft.com/office/drawing/2014/chart" uri="{C3380CC4-5D6E-409C-BE32-E72D297353CC}">
              <c16:uniqueId val="{00000001-8EEB-904B-B1EC-977CD67D6889}"/>
            </c:ext>
          </c:extLst>
        </c:ser>
        <c:dLbls>
          <c:dLblPos val="ctr"/>
          <c:showLegendKey val="0"/>
          <c:showVal val="1"/>
          <c:showCatName val="0"/>
          <c:showSerName val="0"/>
          <c:showPercent val="0"/>
          <c:showBubbleSize val="0"/>
        </c:dLbls>
        <c:gapWidth val="150"/>
        <c:axId val="746219375"/>
        <c:axId val="746223951"/>
      </c:barChart>
      <c:catAx>
        <c:axId val="746219375"/>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746223951"/>
        <c:crosses val="autoZero"/>
        <c:auto val="1"/>
        <c:lblAlgn val="ctr"/>
        <c:lblOffset val="100"/>
        <c:noMultiLvlLbl val="0"/>
      </c:catAx>
      <c:valAx>
        <c:axId val="746223951"/>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746219375"/>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Pt>
            <c:idx val="0"/>
            <c:invertIfNegative val="0"/>
            <c:bubble3D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1-AABE-4E4B-A3C2-62B193E7CE5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Students with disability in higher education</c:v>
                </c:pt>
                <c:pt idx="1">
                  <c:v>Students with disability in VET</c:v>
                </c:pt>
                <c:pt idx="2">
                  <c:v>Students with disability in Australian schools </c:v>
                </c:pt>
                <c:pt idx="3">
                  <c:v>People with disability in Australian population</c:v>
                </c:pt>
              </c:strCache>
            </c:strRef>
          </c:cat>
          <c:val>
            <c:numRef>
              <c:f>Sheet1!$B$2:$B$5</c:f>
              <c:numCache>
                <c:formatCode>0.0%</c:formatCode>
                <c:ptCount val="4"/>
                <c:pt idx="0">
                  <c:v>7.0000000000000007E-2</c:v>
                </c:pt>
                <c:pt idx="1">
                  <c:v>6.6000000000000003E-2</c:v>
                </c:pt>
                <c:pt idx="2">
                  <c:v>0.193</c:v>
                </c:pt>
                <c:pt idx="3">
                  <c:v>0.18</c:v>
                </c:pt>
              </c:numCache>
            </c:numRef>
          </c:val>
          <c:extLst>
            <c:ext xmlns:c16="http://schemas.microsoft.com/office/drawing/2014/chart" uri="{C3380CC4-5D6E-409C-BE32-E72D297353CC}">
              <c16:uniqueId val="{00000003-AABE-4E4B-A3C2-62B193E7CE5F}"/>
            </c:ext>
          </c:extLst>
        </c:ser>
        <c:dLbls>
          <c:dLblPos val="inEnd"/>
          <c:showLegendKey val="0"/>
          <c:showVal val="1"/>
          <c:showCatName val="0"/>
          <c:showSerName val="0"/>
          <c:showPercent val="0"/>
          <c:showBubbleSize val="0"/>
        </c:dLbls>
        <c:gapWidth val="41"/>
        <c:axId val="725435471"/>
        <c:axId val="725370191"/>
      </c:barChart>
      <c:catAx>
        <c:axId val="72543547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65000"/>
                    <a:lumOff val="35000"/>
                  </a:schemeClr>
                </a:solidFill>
                <a:effectLst/>
                <a:latin typeface="Arial" panose="020B0604020202020204" pitchFamily="34" charset="0"/>
                <a:ea typeface="+mn-ea"/>
                <a:cs typeface="Arial" panose="020B0604020202020204" pitchFamily="34" charset="0"/>
              </a:defRPr>
            </a:pPr>
            <a:endParaRPr lang="en-US"/>
          </a:p>
        </c:txPr>
        <c:crossAx val="725370191"/>
        <c:crosses val="autoZero"/>
        <c:auto val="1"/>
        <c:lblAlgn val="ctr"/>
        <c:lblOffset val="100"/>
        <c:noMultiLvlLbl val="0"/>
      </c:catAx>
      <c:valAx>
        <c:axId val="725370191"/>
        <c:scaling>
          <c:orientation val="minMax"/>
        </c:scaling>
        <c:delete val="1"/>
        <c:axPos val="l"/>
        <c:numFmt formatCode="0%" sourceLinked="0"/>
        <c:majorTickMark val="none"/>
        <c:minorTickMark val="none"/>
        <c:tickLblPos val="nextTo"/>
        <c:crossAx val="7254354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Higher education (2020 full-time employment)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Students who declared disability</c:v>
                </c:pt>
                <c:pt idx="1">
                  <c:v>Students with no declared disability</c:v>
                </c:pt>
              </c:strCache>
            </c:strRef>
          </c:cat>
          <c:val>
            <c:numRef>
              <c:f>Sheet1!$B$2:$B$3</c:f>
              <c:numCache>
                <c:formatCode>0%</c:formatCode>
                <c:ptCount val="2"/>
                <c:pt idx="0">
                  <c:v>0.59</c:v>
                </c:pt>
                <c:pt idx="1">
                  <c:v>0.69</c:v>
                </c:pt>
              </c:numCache>
            </c:numRef>
          </c:val>
          <c:extLst>
            <c:ext xmlns:c16="http://schemas.microsoft.com/office/drawing/2014/chart" uri="{C3380CC4-5D6E-409C-BE32-E72D297353CC}">
              <c16:uniqueId val="{00000000-EC58-477B-8E16-9C0041A3E28D}"/>
            </c:ext>
          </c:extLst>
        </c:ser>
        <c:ser>
          <c:idx val="1"/>
          <c:order val="1"/>
          <c:tx>
            <c:strRef>
              <c:f>Sheet1!$C$1</c:f>
              <c:strCache>
                <c:ptCount val="1"/>
                <c:pt idx="0">
                  <c:v>VET (2019 employed after completion)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Students who declared disability</c:v>
                </c:pt>
                <c:pt idx="1">
                  <c:v>Students with no declared disability</c:v>
                </c:pt>
              </c:strCache>
            </c:strRef>
          </c:cat>
          <c:val>
            <c:numRef>
              <c:f>Sheet1!$C$2:$C$3</c:f>
              <c:numCache>
                <c:formatCode>0.00%</c:formatCode>
                <c:ptCount val="2"/>
                <c:pt idx="0">
                  <c:v>0.52600000000000002</c:v>
                </c:pt>
                <c:pt idx="1">
                  <c:v>0.78800000000000003</c:v>
                </c:pt>
              </c:numCache>
            </c:numRef>
          </c:val>
          <c:extLst>
            <c:ext xmlns:c16="http://schemas.microsoft.com/office/drawing/2014/chart" uri="{C3380CC4-5D6E-409C-BE32-E72D297353CC}">
              <c16:uniqueId val="{00000001-EC58-477B-8E16-9C0041A3E28D}"/>
            </c:ext>
          </c:extLst>
        </c:ser>
        <c:dLbls>
          <c:showLegendKey val="0"/>
          <c:showVal val="0"/>
          <c:showCatName val="0"/>
          <c:showSerName val="0"/>
          <c:showPercent val="0"/>
          <c:showBubbleSize val="0"/>
        </c:dLbls>
        <c:gapWidth val="219"/>
        <c:overlap val="-27"/>
        <c:axId val="2090572271"/>
        <c:axId val="2090576431"/>
      </c:barChart>
      <c:catAx>
        <c:axId val="20905722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090576431"/>
        <c:crosses val="autoZero"/>
        <c:auto val="1"/>
        <c:lblAlgn val="ctr"/>
        <c:lblOffset val="100"/>
        <c:noMultiLvlLbl val="0"/>
      </c:catAx>
      <c:valAx>
        <c:axId val="209057643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0905722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Students with disability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Australia (tertiary education)</c:v>
                </c:pt>
                <c:pt idx="1">
                  <c:v>England (higher education only)</c:v>
                </c:pt>
                <c:pt idx="2">
                  <c:v>United States (tertiary education)</c:v>
                </c:pt>
              </c:strCache>
            </c:strRef>
          </c:cat>
          <c:val>
            <c:numRef>
              <c:f>Sheet1!$B$2:$B$4</c:f>
              <c:numCache>
                <c:formatCode>0%</c:formatCode>
                <c:ptCount val="3"/>
                <c:pt idx="0">
                  <c:v>7.0000000000000007E-2</c:v>
                </c:pt>
                <c:pt idx="1">
                  <c:v>0.17299999999999999</c:v>
                </c:pt>
                <c:pt idx="2">
                  <c:v>0.19400000000000001</c:v>
                </c:pt>
              </c:numCache>
            </c:numRef>
          </c:val>
          <c:extLst>
            <c:ext xmlns:c16="http://schemas.microsoft.com/office/drawing/2014/chart" uri="{C3380CC4-5D6E-409C-BE32-E72D297353CC}">
              <c16:uniqueId val="{00000000-7C4A-48E9-88B3-BA6396FD81A5}"/>
            </c:ext>
          </c:extLst>
        </c:ser>
        <c:dLbls>
          <c:showLegendKey val="0"/>
          <c:showVal val="0"/>
          <c:showCatName val="0"/>
          <c:showSerName val="0"/>
          <c:showPercent val="0"/>
          <c:showBubbleSize val="0"/>
        </c:dLbls>
        <c:gapWidth val="219"/>
        <c:overlap val="-27"/>
        <c:axId val="2090572271"/>
        <c:axId val="2090576431"/>
      </c:barChart>
      <c:catAx>
        <c:axId val="20905722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090576431"/>
        <c:crosses val="autoZero"/>
        <c:auto val="1"/>
        <c:lblAlgn val="ctr"/>
        <c:lblOffset val="100"/>
        <c:noMultiLvlLbl val="0"/>
      </c:catAx>
      <c:valAx>
        <c:axId val="209057643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0905722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3BD3F1AF6ADA448334D10C5CD314B2" ma:contentTypeVersion="14" ma:contentTypeDescription="Create a new document." ma:contentTypeScope="" ma:versionID="94b2eb6600213d51584586056a8c8882">
  <xsd:schema xmlns:xsd="http://www.w3.org/2001/XMLSchema" xmlns:xs="http://www.w3.org/2001/XMLSchema" xmlns:p="http://schemas.microsoft.com/office/2006/metadata/properties" xmlns:ns2="c2d6c0e6-fd6a-45a9-a4b1-c512eb672d92" xmlns:ns3="09b04498-f037-4aef-9cc1-070b789713e0" xmlns:ns4="2d221494-178b-4357-bea6-3a87c5967eb4" targetNamespace="http://schemas.microsoft.com/office/2006/metadata/properties" ma:root="true" ma:fieldsID="45856f5e188af10732dfb4a0fc2d9137" ns2:_="" ns3:_="" ns4:_="">
    <xsd:import namespace="c2d6c0e6-fd6a-45a9-a4b1-c512eb672d92"/>
    <xsd:import namespace="09b04498-f037-4aef-9cc1-070b789713e0"/>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6c0e6-fd6a-45a9-a4b1-c512eb672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04498-f037-4aef-9cc1-070b789713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9d151d6-4d0a-4561-9819-c67159153e14}" ma:internalName="TaxCatchAll" ma:showField="CatchAllData" ma:web="09b04498-f037-4aef-9cc1-070b789713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d6c0e6-fd6a-45a9-a4b1-c512eb672d92">
      <Terms xmlns="http://schemas.microsoft.com/office/infopath/2007/PartnerControls"/>
    </lcf76f155ced4ddcb4097134ff3c332f>
    <TaxCatchAll xmlns="2d221494-178b-4357-bea6-3a87c5967eb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Aus201</b:Tag>
    <b:SourceType>Report</b:SourceType>
    <b:Guid>{EF6B8775-87CB-41B8-9686-E20CA4D8DD88}</b:Guid>
    <b:Author>
      <b:Author>
        <b:Corporate>Australian Institute of Health and Welfare</b:Corporate>
      </b:Author>
    </b:Author>
    <b:Title>People with disability in Australia</b:Title>
    <b:Year>2020</b:Year>
    <b:Publisher>Australian Government</b:Publisher>
    <b:City>Canberra</b:City>
    <b:RefOrder>1</b:RefOrder>
  </b:Source>
</b:Sources>
</file>

<file path=customXml/itemProps1.xml><?xml version="1.0" encoding="utf-8"?>
<ds:datastoreItem xmlns:ds="http://schemas.openxmlformats.org/officeDocument/2006/customXml" ds:itemID="{AF30E124-D0C0-42FE-8A39-FE2EDFEC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6c0e6-fd6a-45a9-a4b1-c512eb672d92"/>
    <ds:schemaRef ds:uri="09b04498-f037-4aef-9cc1-070b789713e0"/>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080CD8-D094-4847-BED5-207CF87727F0}">
  <ds:schemaRefs>
    <ds:schemaRef ds:uri="http://schemas.microsoft.com/sharepoint/v3/contenttype/forms"/>
  </ds:schemaRefs>
</ds:datastoreItem>
</file>

<file path=customXml/itemProps3.xml><?xml version="1.0" encoding="utf-8"?>
<ds:datastoreItem xmlns:ds="http://schemas.openxmlformats.org/officeDocument/2006/customXml" ds:itemID="{EFDBBA55-CAD7-4BA7-A381-B2DD156943D9}">
  <ds:schemaRefs>
    <ds:schemaRef ds:uri="http://schemas.microsoft.com/office/2006/metadata/properties"/>
    <ds:schemaRef ds:uri="http://schemas.microsoft.com/office/infopath/2007/PartnerControls"/>
    <ds:schemaRef ds:uri="c2d6c0e6-fd6a-45a9-a4b1-c512eb672d92"/>
    <ds:schemaRef ds:uri="2d221494-178b-4357-bea6-3a87c5967eb4"/>
  </ds:schemaRefs>
</ds:datastoreItem>
</file>

<file path=customXml/itemProps4.xml><?xml version="1.0" encoding="utf-8"?>
<ds:datastoreItem xmlns:ds="http://schemas.openxmlformats.org/officeDocument/2006/customXml" ds:itemID="{D025717B-D439-4057-8C1F-199E75C70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8635</Words>
  <Characters>49223</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MACKEY,Drew</cp:lastModifiedBy>
  <cp:revision>2</cp:revision>
  <cp:lastPrinted>2021-05-31T03:07:00Z</cp:lastPrinted>
  <dcterms:created xsi:type="dcterms:W3CDTF">2023-04-06T01:59:00Z</dcterms:created>
  <dcterms:modified xsi:type="dcterms:W3CDTF">2023-04-06T01:59:00Z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0x010100A73BD3F1AF6ADA448334D10C5CD314B2</vt:lpwstr>
  </property>
  <property fmtid="{D5CDD505-2E9C-101B-9397-08002B2CF9AE}" pid="3" name="MediaServiceImageTags">
    <vt:lpwstr/>
  </property>
  <property fmtid="{D5CDD505-2E9C-101B-9397-08002B2CF9AE}" pid="4" name="MSIP_Label_79d889eb-932f-4752-8739-64d25806ef64_Enabled">
    <vt:lpwstr>true</vt:lpwstr>
  </property>
  <property fmtid="{D5CDD505-2E9C-101B-9397-08002B2CF9AE}" pid="5" name="MSIP_Label_79d889eb-932f-4752-8739-64d25806ef64_SetDate">
    <vt:lpwstr>2023-04-06T01:59:20Z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ae8b558d-111e-429c-8563-bef8c3854342</vt:lpwstr>
  </property>
  <property fmtid="{D5CDD505-2E9C-101B-9397-08002B2CF9AE}" pid="10" name="MSIP_Label_79d889eb-932f-4752-8739-64d25806ef64_ContentBits">
    <vt:lpwstr>0</vt:lpwstr>
  </property>
</Properties>
</file>