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7BE7B" w14:textId="77777777" w:rsidR="00132EA6" w:rsidRDefault="009B508A">
      <w:pPr>
        <w:spacing w:before="3" w:after="640"/>
        <w:ind w:right="7110"/>
        <w:textAlignment w:val="baseline"/>
      </w:pPr>
      <w:r>
        <w:rPr>
          <w:noProof/>
        </w:rPr>
        <w:drawing>
          <wp:inline distT="0" distB="0" distL="0" distR="0" wp14:anchorId="3AC862F2" wp14:editId="3488BD00">
            <wp:extent cx="2051050" cy="7683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051050" cy="768350"/>
                    </a:xfrm>
                    <a:prstGeom prst="rect">
                      <a:avLst/>
                    </a:prstGeom>
                  </pic:spPr>
                </pic:pic>
              </a:graphicData>
            </a:graphic>
          </wp:inline>
        </w:drawing>
      </w:r>
    </w:p>
    <w:p w14:paraId="005337AC" w14:textId="77777777" w:rsidR="00132EA6" w:rsidRDefault="009B508A">
      <w:pPr>
        <w:spacing w:before="26" w:line="227" w:lineRule="exact"/>
        <w:ind w:left="72"/>
        <w:textAlignment w:val="baseline"/>
        <w:rPr>
          <w:rFonts w:ascii="Calibri" w:eastAsia="Calibri" w:hAnsi="Calibri"/>
          <w:color w:val="000000"/>
          <w:spacing w:val="-1"/>
        </w:rPr>
      </w:pPr>
      <w:r>
        <w:rPr>
          <w:rFonts w:ascii="Calibri" w:eastAsia="Calibri" w:hAnsi="Calibri"/>
          <w:color w:val="000000"/>
          <w:spacing w:val="-1"/>
        </w:rPr>
        <w:t>2 August 2021</w:t>
      </w:r>
    </w:p>
    <w:p w14:paraId="138B83CD" w14:textId="77777777" w:rsidR="00132EA6" w:rsidRDefault="009B508A">
      <w:pPr>
        <w:spacing w:before="575" w:line="226" w:lineRule="exact"/>
        <w:ind w:left="72"/>
        <w:textAlignment w:val="baseline"/>
        <w:rPr>
          <w:rFonts w:ascii="Calibri" w:eastAsia="Calibri" w:hAnsi="Calibri"/>
          <w:color w:val="000000"/>
        </w:rPr>
      </w:pPr>
      <w:r>
        <w:rPr>
          <w:rFonts w:ascii="Calibri" w:eastAsia="Calibri" w:hAnsi="Calibri"/>
          <w:color w:val="000000"/>
        </w:rPr>
        <w:t>Quality Initial Teacher Education Review Secretariat</w:t>
      </w:r>
    </w:p>
    <w:p w14:paraId="6A4BF96F" w14:textId="77777777" w:rsidR="00132EA6" w:rsidRDefault="009B508A">
      <w:pPr>
        <w:spacing w:before="43" w:line="226" w:lineRule="exact"/>
        <w:ind w:left="72"/>
        <w:textAlignment w:val="baseline"/>
        <w:rPr>
          <w:rFonts w:ascii="Calibri" w:eastAsia="Calibri" w:hAnsi="Calibri"/>
          <w:color w:val="000000"/>
        </w:rPr>
      </w:pPr>
      <w:r>
        <w:rPr>
          <w:rFonts w:ascii="Calibri" w:eastAsia="Calibri" w:hAnsi="Calibri"/>
          <w:color w:val="000000"/>
        </w:rPr>
        <w:t>Department of Education, Skills and Employment</w:t>
      </w:r>
    </w:p>
    <w:p w14:paraId="7FACF4BD" w14:textId="77777777" w:rsidR="00132EA6" w:rsidRDefault="009B508A">
      <w:pPr>
        <w:spacing w:before="40" w:line="248" w:lineRule="exact"/>
        <w:ind w:left="72"/>
        <w:textAlignment w:val="baseline"/>
        <w:rPr>
          <w:rFonts w:ascii="Calibri" w:eastAsia="Calibri" w:hAnsi="Calibri"/>
          <w:color w:val="000000"/>
          <w:spacing w:val="-3"/>
        </w:rPr>
      </w:pPr>
      <w:r>
        <w:rPr>
          <w:rFonts w:ascii="Calibri" w:eastAsia="Calibri" w:hAnsi="Calibri"/>
          <w:color w:val="000000"/>
          <w:spacing w:val="-3"/>
        </w:rPr>
        <w:t>e:</w:t>
      </w:r>
      <w:hyperlink r:id="rId8">
        <w:r>
          <w:rPr>
            <w:rFonts w:ascii="Calibri" w:eastAsia="Calibri" w:hAnsi="Calibri"/>
            <w:color w:val="0000FF"/>
            <w:spacing w:val="-3"/>
            <w:sz w:val="23"/>
            <w:u w:val="single"/>
          </w:rPr>
          <w:t xml:space="preserve"> ITEReview@dese.gov.au</w:t>
        </w:r>
      </w:hyperlink>
      <w:r>
        <w:rPr>
          <w:rFonts w:ascii="Calibri" w:eastAsia="Calibri" w:hAnsi="Calibri"/>
          <w:color w:val="000000"/>
          <w:spacing w:val="-3"/>
        </w:rPr>
        <w:t xml:space="preserve"> </w:t>
      </w:r>
    </w:p>
    <w:p w14:paraId="2935EBC6" w14:textId="77777777" w:rsidR="00132EA6" w:rsidRDefault="009B508A">
      <w:pPr>
        <w:spacing w:before="561" w:line="245" w:lineRule="exact"/>
        <w:ind w:left="72"/>
        <w:jc w:val="center"/>
        <w:textAlignment w:val="baseline"/>
        <w:rPr>
          <w:rFonts w:ascii="Calibri" w:eastAsia="Calibri" w:hAnsi="Calibri"/>
          <w:b/>
          <w:color w:val="000000"/>
          <w:sz w:val="24"/>
        </w:rPr>
      </w:pPr>
      <w:r>
        <w:rPr>
          <w:rFonts w:ascii="Calibri" w:eastAsia="Calibri" w:hAnsi="Calibri"/>
          <w:b/>
          <w:color w:val="000000"/>
          <w:sz w:val="24"/>
        </w:rPr>
        <w:t>Go8 Submission to the Quality Initial Teacher Education Review</w:t>
      </w:r>
    </w:p>
    <w:p w14:paraId="14A2E12D" w14:textId="77777777" w:rsidR="00132EA6" w:rsidRDefault="009B508A">
      <w:pPr>
        <w:spacing w:before="633" w:line="227" w:lineRule="exact"/>
        <w:ind w:left="72"/>
        <w:textAlignment w:val="baseline"/>
        <w:rPr>
          <w:rFonts w:ascii="Calibri" w:eastAsia="Calibri" w:hAnsi="Calibri"/>
          <w:color w:val="000000"/>
        </w:rPr>
      </w:pPr>
      <w:r>
        <w:rPr>
          <w:rFonts w:ascii="Calibri" w:eastAsia="Calibri" w:hAnsi="Calibri"/>
          <w:color w:val="000000"/>
        </w:rPr>
        <w:t>The Group of Eight (Go8) is pleased to make this submission to the Quality Initial Teacher Education (ITE) Review.</w:t>
      </w:r>
    </w:p>
    <w:p w14:paraId="47A53172" w14:textId="77777777" w:rsidR="00132EA6" w:rsidRDefault="009B508A">
      <w:pPr>
        <w:spacing w:before="124" w:line="288" w:lineRule="exact"/>
        <w:ind w:left="72"/>
        <w:jc w:val="both"/>
        <w:textAlignment w:val="baseline"/>
        <w:rPr>
          <w:rFonts w:ascii="Calibri" w:eastAsia="Calibri" w:hAnsi="Calibri"/>
          <w:color w:val="000000"/>
        </w:rPr>
      </w:pPr>
      <w:r>
        <w:rPr>
          <w:rFonts w:ascii="Calibri" w:eastAsia="Calibri" w:hAnsi="Calibri"/>
          <w:color w:val="000000"/>
        </w:rPr>
        <w:t>The Go8 represents Australia’s leading research-intensive universities with se</w:t>
      </w:r>
      <w:r>
        <w:rPr>
          <w:rFonts w:ascii="Calibri" w:eastAsia="Calibri" w:hAnsi="Calibri"/>
          <w:color w:val="000000"/>
        </w:rPr>
        <w:t>ven of its members ranked consistently in the world’s top 100 universities. The Go8 carries out 70 per cent of Australia’s university research and spends some $6.5 billion on research each year.</w:t>
      </w:r>
    </w:p>
    <w:p w14:paraId="2766C1CD" w14:textId="77777777" w:rsidR="00132EA6" w:rsidRDefault="009B508A">
      <w:pPr>
        <w:spacing w:before="126" w:line="289" w:lineRule="exact"/>
        <w:ind w:left="72"/>
        <w:jc w:val="both"/>
        <w:textAlignment w:val="baseline"/>
        <w:rPr>
          <w:rFonts w:ascii="Calibri" w:eastAsia="Calibri" w:hAnsi="Calibri"/>
          <w:i/>
          <w:color w:val="000000"/>
        </w:rPr>
      </w:pPr>
      <w:r>
        <w:rPr>
          <w:rFonts w:ascii="Calibri" w:eastAsia="Calibri" w:hAnsi="Calibri"/>
          <w:i/>
          <w:color w:val="000000"/>
        </w:rPr>
        <w:t>The Go8 wishes to state at the outset that it totally supports the Federal Minister for Education’s views that excellence must occur in teacher training. We are, in effect ‘training the trainer’, and nothing could be more important than getting that right.</w:t>
      </w:r>
      <w:r>
        <w:rPr>
          <w:rFonts w:ascii="Calibri" w:eastAsia="Calibri" w:hAnsi="Calibri"/>
          <w:i/>
          <w:color w:val="000000"/>
        </w:rPr>
        <w:t xml:space="preserve"> Well-educated teachers who not only know their subject matter deeply but also know how to impart that knowledge to tomorrow’s generation are as invaluable as they are essential.</w:t>
      </w:r>
    </w:p>
    <w:p w14:paraId="2C2591B7" w14:textId="77777777" w:rsidR="00132EA6" w:rsidRDefault="009B508A">
      <w:pPr>
        <w:spacing w:before="182" w:line="226" w:lineRule="exact"/>
        <w:ind w:left="72"/>
        <w:textAlignment w:val="baseline"/>
        <w:rPr>
          <w:rFonts w:ascii="Calibri" w:eastAsia="Calibri" w:hAnsi="Calibri"/>
          <w:color w:val="000000"/>
        </w:rPr>
      </w:pPr>
      <w:r>
        <w:rPr>
          <w:rFonts w:ascii="Calibri" w:eastAsia="Calibri" w:hAnsi="Calibri"/>
          <w:color w:val="000000"/>
        </w:rPr>
        <w:t>Every point in this submission is derived from that Go8 belief and that Go8 c</w:t>
      </w:r>
      <w:r>
        <w:rPr>
          <w:rFonts w:ascii="Calibri" w:eastAsia="Calibri" w:hAnsi="Calibri"/>
          <w:color w:val="000000"/>
        </w:rPr>
        <w:t>ommitment.</w:t>
      </w:r>
    </w:p>
    <w:p w14:paraId="3853F4D2" w14:textId="77777777" w:rsidR="00132EA6" w:rsidRDefault="009B508A">
      <w:pPr>
        <w:spacing w:before="187" w:line="226" w:lineRule="exact"/>
        <w:ind w:left="72"/>
        <w:textAlignment w:val="baseline"/>
        <w:rPr>
          <w:rFonts w:ascii="Calibri" w:eastAsia="Calibri" w:hAnsi="Calibri"/>
          <w:color w:val="000000"/>
        </w:rPr>
      </w:pPr>
      <w:r>
        <w:rPr>
          <w:rFonts w:ascii="Calibri" w:eastAsia="Calibri" w:hAnsi="Calibri"/>
          <w:color w:val="000000"/>
        </w:rPr>
        <w:t>The Go8 has remained committed to having high entry standards for its undergraduate aspiring teachers.</w:t>
      </w:r>
    </w:p>
    <w:p w14:paraId="07E3DFE1" w14:textId="77777777" w:rsidR="00132EA6" w:rsidRDefault="009B508A">
      <w:pPr>
        <w:spacing w:before="120" w:line="288" w:lineRule="exact"/>
        <w:ind w:left="72"/>
        <w:jc w:val="both"/>
        <w:textAlignment w:val="baseline"/>
        <w:rPr>
          <w:rFonts w:ascii="Calibri" w:eastAsia="Calibri" w:hAnsi="Calibri"/>
          <w:color w:val="000000"/>
        </w:rPr>
      </w:pPr>
      <w:r>
        <w:rPr>
          <w:rFonts w:ascii="Calibri" w:eastAsia="Calibri" w:hAnsi="Calibri"/>
          <w:color w:val="000000"/>
        </w:rPr>
        <w:t>While the Go8 only enrolls 10.1 per cent of education undergraduates, we do educate 20.8 per cent of the nation’s post-graduate education students.</w:t>
      </w:r>
    </w:p>
    <w:p w14:paraId="4C106812" w14:textId="77777777" w:rsidR="00132EA6" w:rsidRDefault="009B508A">
      <w:pPr>
        <w:spacing w:before="125" w:line="289" w:lineRule="exact"/>
        <w:ind w:left="72"/>
        <w:jc w:val="both"/>
        <w:textAlignment w:val="baseline"/>
        <w:rPr>
          <w:rFonts w:ascii="Calibri" w:eastAsia="Calibri" w:hAnsi="Calibri"/>
          <w:color w:val="000000"/>
        </w:rPr>
      </w:pPr>
      <w:r>
        <w:rPr>
          <w:rFonts w:ascii="Calibri" w:eastAsia="Calibri" w:hAnsi="Calibri"/>
          <w:color w:val="000000"/>
        </w:rPr>
        <w:t>Go8 education graduates do have access to excellence in both their theory and in their practice skills and o</w:t>
      </w:r>
      <w:r>
        <w:rPr>
          <w:rFonts w:ascii="Calibri" w:eastAsia="Calibri" w:hAnsi="Calibri"/>
          <w:color w:val="000000"/>
        </w:rPr>
        <w:t>ur graduates are prized. However, the Go8 accepts readily that it is extremely open to change to improve quality. Conversely the Go8 would be unwilling to make change for change’s sake that would be detrimental to the success of our education graduates and</w:t>
      </w:r>
      <w:r>
        <w:rPr>
          <w:rFonts w:ascii="Calibri" w:eastAsia="Calibri" w:hAnsi="Calibri"/>
          <w:color w:val="000000"/>
        </w:rPr>
        <w:t xml:space="preserve"> their pupils.</w:t>
      </w:r>
    </w:p>
    <w:p w14:paraId="2C755042" w14:textId="77777777" w:rsidR="00132EA6" w:rsidRDefault="009B508A">
      <w:pPr>
        <w:spacing w:before="182" w:line="226" w:lineRule="exact"/>
        <w:ind w:left="72"/>
        <w:textAlignment w:val="baseline"/>
        <w:rPr>
          <w:rFonts w:ascii="Calibri" w:eastAsia="Calibri" w:hAnsi="Calibri"/>
          <w:i/>
          <w:color w:val="000000"/>
        </w:rPr>
      </w:pPr>
      <w:r>
        <w:rPr>
          <w:rFonts w:ascii="Calibri" w:eastAsia="Calibri" w:hAnsi="Calibri"/>
          <w:i/>
          <w:color w:val="000000"/>
        </w:rPr>
        <w:t>Please note the Go8 is happy for this submission to be published in full.</w:t>
      </w:r>
    </w:p>
    <w:p w14:paraId="2B94C606" w14:textId="77777777" w:rsidR="00132EA6" w:rsidRDefault="009B508A">
      <w:pPr>
        <w:spacing w:before="592" w:line="248" w:lineRule="exact"/>
        <w:ind w:left="72"/>
        <w:textAlignment w:val="baseline"/>
        <w:rPr>
          <w:rFonts w:ascii="Calibri" w:eastAsia="Calibri" w:hAnsi="Calibri"/>
          <w:b/>
          <w:color w:val="000000"/>
          <w:u w:val="single"/>
        </w:rPr>
      </w:pPr>
      <w:r>
        <w:rPr>
          <w:rFonts w:ascii="Calibri" w:eastAsia="Calibri" w:hAnsi="Calibri"/>
          <w:b/>
          <w:color w:val="000000"/>
          <w:u w:val="single"/>
        </w:rPr>
        <w:t xml:space="preserve">The Go8 has </w:t>
      </w:r>
      <w:proofErr w:type="gramStart"/>
      <w:r>
        <w:rPr>
          <w:rFonts w:ascii="Calibri" w:eastAsia="Calibri" w:hAnsi="Calibri"/>
          <w:b/>
          <w:color w:val="000000"/>
          <w:u w:val="single"/>
        </w:rPr>
        <w:t>a number of</w:t>
      </w:r>
      <w:proofErr w:type="gramEnd"/>
      <w:r>
        <w:rPr>
          <w:rFonts w:ascii="Calibri" w:eastAsia="Calibri" w:hAnsi="Calibri"/>
          <w:b/>
          <w:color w:val="000000"/>
          <w:u w:val="single"/>
        </w:rPr>
        <w:t xml:space="preserve"> recommendations set out below, and the reasoning behind them follows</w:t>
      </w:r>
      <w:r>
        <w:rPr>
          <w:rFonts w:ascii="Calibri" w:eastAsia="Calibri" w:hAnsi="Calibri"/>
          <w:color w:val="000000"/>
          <w:sz w:val="23"/>
          <w:u w:val="single"/>
        </w:rPr>
        <w:t>.</w:t>
      </w:r>
    </w:p>
    <w:p w14:paraId="057DAA0D" w14:textId="77777777" w:rsidR="00132EA6" w:rsidRDefault="009B508A">
      <w:pPr>
        <w:spacing w:before="163" w:line="240"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Recommendations:</w:t>
      </w:r>
    </w:p>
    <w:p w14:paraId="40F16E58" w14:textId="77777777" w:rsidR="00132EA6" w:rsidRDefault="009B508A">
      <w:pPr>
        <w:spacing w:before="194" w:line="248" w:lineRule="exact"/>
        <w:ind w:left="72"/>
        <w:textAlignment w:val="baseline"/>
        <w:rPr>
          <w:rFonts w:ascii="Calibri" w:eastAsia="Calibri" w:hAnsi="Calibri"/>
          <w:color w:val="000000"/>
          <w:spacing w:val="-3"/>
          <w:sz w:val="23"/>
          <w:u w:val="single"/>
        </w:rPr>
      </w:pPr>
      <w:r>
        <w:rPr>
          <w:rFonts w:ascii="Calibri" w:eastAsia="Calibri" w:hAnsi="Calibri"/>
          <w:color w:val="000000"/>
          <w:spacing w:val="-3"/>
          <w:sz w:val="23"/>
          <w:u w:val="single"/>
        </w:rPr>
        <w:t xml:space="preserve">ITE delivery models </w:t>
      </w:r>
    </w:p>
    <w:p w14:paraId="0922F399" w14:textId="77777777" w:rsidR="00132EA6" w:rsidRDefault="009B508A">
      <w:pPr>
        <w:numPr>
          <w:ilvl w:val="0"/>
          <w:numId w:val="1"/>
        </w:numPr>
        <w:tabs>
          <w:tab w:val="clear" w:pos="360"/>
          <w:tab w:val="left" w:pos="1152"/>
        </w:tabs>
        <w:spacing w:before="225" w:line="288" w:lineRule="exact"/>
        <w:ind w:left="1152" w:hanging="360"/>
        <w:jc w:val="both"/>
        <w:textAlignment w:val="baseline"/>
        <w:rPr>
          <w:rFonts w:ascii="Calibri" w:eastAsia="Calibri" w:hAnsi="Calibri"/>
          <w:color w:val="000000"/>
        </w:rPr>
      </w:pPr>
      <w:r>
        <w:rPr>
          <w:rFonts w:ascii="Calibri" w:eastAsia="Calibri" w:hAnsi="Calibri"/>
          <w:color w:val="000000"/>
        </w:rPr>
        <w:t xml:space="preserve">Continue to investigate the adoption of compressed postgraduate ITE to reduce the opportunity cost of study and study time for ITE postgraduate </w:t>
      </w:r>
      <w:proofErr w:type="gramStart"/>
      <w:r>
        <w:rPr>
          <w:rFonts w:ascii="Calibri" w:eastAsia="Calibri" w:hAnsi="Calibri"/>
          <w:color w:val="000000"/>
        </w:rPr>
        <w:t>candidates;</w:t>
      </w:r>
      <w:proofErr w:type="gramEnd"/>
      <w:r>
        <w:rPr>
          <w:rFonts w:ascii="Calibri" w:eastAsia="Calibri" w:hAnsi="Calibri"/>
          <w:color w:val="000000"/>
        </w:rPr>
        <w:t xml:space="preserve"> while maintaining the quantity and quality of tuition and content.</w:t>
      </w:r>
    </w:p>
    <w:p w14:paraId="1CE7EEF4" w14:textId="77777777" w:rsidR="00132EA6" w:rsidRDefault="009B508A">
      <w:pPr>
        <w:numPr>
          <w:ilvl w:val="0"/>
          <w:numId w:val="1"/>
        </w:numPr>
        <w:tabs>
          <w:tab w:val="clear" w:pos="360"/>
          <w:tab w:val="left" w:pos="1152"/>
        </w:tabs>
        <w:spacing w:before="6" w:line="288" w:lineRule="exact"/>
        <w:ind w:left="1152" w:hanging="360"/>
        <w:jc w:val="both"/>
        <w:textAlignment w:val="baseline"/>
        <w:rPr>
          <w:rFonts w:ascii="Calibri" w:eastAsia="Calibri" w:hAnsi="Calibri"/>
          <w:color w:val="000000"/>
        </w:rPr>
      </w:pPr>
      <w:r>
        <w:rPr>
          <w:rFonts w:ascii="Calibri" w:eastAsia="Calibri" w:hAnsi="Calibri"/>
          <w:color w:val="000000"/>
        </w:rPr>
        <w:t>AITSL should consider whether gra</w:t>
      </w:r>
      <w:r>
        <w:rPr>
          <w:rFonts w:ascii="Calibri" w:eastAsia="Calibri" w:hAnsi="Calibri"/>
          <w:color w:val="000000"/>
        </w:rPr>
        <w:t>duate standards can be streamlined, and whether some could be better taught under mentorship during a first year of employment.</w:t>
      </w:r>
    </w:p>
    <w:p w14:paraId="08C6CD3A" w14:textId="77777777" w:rsidR="00132EA6" w:rsidRDefault="009B508A">
      <w:pPr>
        <w:numPr>
          <w:ilvl w:val="0"/>
          <w:numId w:val="1"/>
        </w:numPr>
        <w:tabs>
          <w:tab w:val="clear" w:pos="360"/>
          <w:tab w:val="left" w:pos="1152"/>
          <w:tab w:val="right" w:pos="10296"/>
        </w:tabs>
        <w:spacing w:before="4" w:line="288" w:lineRule="exact"/>
        <w:ind w:left="1152" w:hanging="360"/>
        <w:jc w:val="both"/>
        <w:textAlignment w:val="baseline"/>
        <w:rPr>
          <w:rFonts w:ascii="Calibri" w:eastAsia="Calibri" w:hAnsi="Calibri"/>
          <w:color w:val="000000"/>
          <w:spacing w:val="-2"/>
        </w:rPr>
      </w:pPr>
      <w:r>
        <w:rPr>
          <w:rFonts w:ascii="Calibri" w:eastAsia="Calibri" w:hAnsi="Calibri"/>
          <w:color w:val="000000"/>
          <w:spacing w:val="-2"/>
        </w:rPr>
        <w:t xml:space="preserve">Ensure that a percentage of in-class experience is front-loaded in postgraduate ITE study to better assist </w:t>
      </w:r>
      <w:r>
        <w:rPr>
          <w:rFonts w:ascii="Calibri" w:eastAsia="Calibri" w:hAnsi="Calibri"/>
          <w:color w:val="000000"/>
          <w:spacing w:val="-2"/>
        </w:rPr>
        <w:br/>
        <w:t>students determine t</w:t>
      </w:r>
      <w:r>
        <w:rPr>
          <w:rFonts w:ascii="Calibri" w:eastAsia="Calibri" w:hAnsi="Calibri"/>
          <w:color w:val="000000"/>
          <w:spacing w:val="-2"/>
        </w:rPr>
        <w:t>heir teaching suitability when early in their studies.</w:t>
      </w:r>
    </w:p>
    <w:p w14:paraId="4DBBE197" w14:textId="77777777" w:rsidR="00132EA6" w:rsidRDefault="009B508A">
      <w:pPr>
        <w:spacing w:before="608" w:line="199" w:lineRule="exact"/>
        <w:ind w:left="72"/>
        <w:jc w:val="right"/>
        <w:textAlignment w:val="baseline"/>
        <w:rPr>
          <w:rFonts w:ascii="Calibri Light" w:eastAsia="Calibri Light" w:hAnsi="Calibri Light"/>
          <w:color w:val="000000"/>
          <w:sz w:val="18"/>
        </w:rPr>
      </w:pPr>
      <w:r>
        <w:rPr>
          <w:rFonts w:ascii="Calibri Light" w:eastAsia="Calibri Light" w:hAnsi="Calibri Light"/>
          <w:color w:val="000000"/>
          <w:sz w:val="18"/>
        </w:rPr>
        <w:lastRenderedPageBreak/>
        <w:t>1</w:t>
      </w:r>
    </w:p>
    <w:p w14:paraId="3BCA4E8C" w14:textId="77777777" w:rsidR="00132EA6" w:rsidRDefault="00132EA6">
      <w:pPr>
        <w:sectPr w:rsidR="00132EA6">
          <w:headerReference w:type="even" r:id="rId9"/>
          <w:headerReference w:type="default" r:id="rId10"/>
          <w:footerReference w:type="even" r:id="rId11"/>
          <w:footerReference w:type="default" r:id="rId12"/>
          <w:headerReference w:type="first" r:id="rId13"/>
          <w:footerReference w:type="first" r:id="rId14"/>
          <w:pgSz w:w="11899" w:h="16843"/>
          <w:pgMar w:top="760" w:right="791" w:bottom="327" w:left="768" w:header="720" w:footer="720" w:gutter="0"/>
          <w:cols w:space="720"/>
        </w:sectPr>
      </w:pPr>
    </w:p>
    <w:p w14:paraId="5B3431E4" w14:textId="77777777" w:rsidR="00132EA6" w:rsidRDefault="009B508A">
      <w:pPr>
        <w:spacing w:before="3" w:after="603"/>
        <w:ind w:left="17" w:right="7093"/>
        <w:textAlignment w:val="baseline"/>
      </w:pPr>
      <w:r>
        <w:rPr>
          <w:noProof/>
        </w:rPr>
        <w:lastRenderedPageBreak/>
        <w:drawing>
          <wp:inline distT="0" distB="0" distL="0" distR="0" wp14:anchorId="7CC76FBB" wp14:editId="0A1644C2">
            <wp:extent cx="2051050" cy="7683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051050" cy="768350"/>
                    </a:xfrm>
                    <a:prstGeom prst="rect">
                      <a:avLst/>
                    </a:prstGeom>
                  </pic:spPr>
                </pic:pic>
              </a:graphicData>
            </a:graphic>
          </wp:inline>
        </w:drawing>
      </w:r>
    </w:p>
    <w:p w14:paraId="7C6ADA48" w14:textId="77777777" w:rsidR="00132EA6" w:rsidRDefault="009B508A">
      <w:pPr>
        <w:numPr>
          <w:ilvl w:val="0"/>
          <w:numId w:val="1"/>
        </w:numPr>
        <w:tabs>
          <w:tab w:val="clear" w:pos="360"/>
          <w:tab w:val="left" w:pos="1224"/>
        </w:tabs>
        <w:spacing w:line="290" w:lineRule="exact"/>
        <w:ind w:left="1224" w:hanging="360"/>
        <w:jc w:val="both"/>
        <w:textAlignment w:val="baseline"/>
        <w:rPr>
          <w:rFonts w:ascii="Calibri" w:eastAsia="Calibri" w:hAnsi="Calibri"/>
          <w:color w:val="000000"/>
        </w:rPr>
      </w:pPr>
      <w:r>
        <w:rPr>
          <w:rFonts w:ascii="Calibri" w:eastAsia="Calibri" w:hAnsi="Calibri"/>
          <w:color w:val="000000"/>
        </w:rPr>
        <w:t xml:space="preserve">Provide additional flexibility in the recognition of prior study and workplace experience for postgraduate ITE for those students with relevant </w:t>
      </w:r>
      <w:r>
        <w:rPr>
          <w:rFonts w:ascii="Segoe UI" w:eastAsia="Segoe UI" w:hAnsi="Segoe UI"/>
          <w:color w:val="000000"/>
          <w:sz w:val="20"/>
        </w:rPr>
        <w:t>qualifications and/or industry experience</w:t>
      </w:r>
      <w:r>
        <w:rPr>
          <w:rFonts w:ascii="Calibri" w:eastAsia="Calibri" w:hAnsi="Calibri"/>
          <w:color w:val="000000"/>
        </w:rPr>
        <w:t>.</w:t>
      </w:r>
    </w:p>
    <w:p w14:paraId="2A44EFEC" w14:textId="77777777" w:rsidR="00132EA6" w:rsidRDefault="009B508A">
      <w:pPr>
        <w:spacing w:before="302" w:line="224" w:lineRule="exact"/>
        <w:ind w:left="72"/>
        <w:textAlignment w:val="baseline"/>
        <w:rPr>
          <w:rFonts w:ascii="Calibri" w:eastAsia="Calibri" w:hAnsi="Calibri"/>
          <w:color w:val="000000"/>
          <w:u w:val="single"/>
        </w:rPr>
      </w:pPr>
      <w:r>
        <w:rPr>
          <w:rFonts w:ascii="Calibri" w:eastAsia="Calibri" w:hAnsi="Calibri"/>
          <w:color w:val="000000"/>
          <w:u w:val="single"/>
        </w:rPr>
        <w:t>Financial support and security</w:t>
      </w:r>
    </w:p>
    <w:p w14:paraId="31B4FCA3" w14:textId="77777777" w:rsidR="00132EA6" w:rsidRDefault="009B508A">
      <w:pPr>
        <w:numPr>
          <w:ilvl w:val="0"/>
          <w:numId w:val="1"/>
        </w:numPr>
        <w:tabs>
          <w:tab w:val="clear" w:pos="360"/>
          <w:tab w:val="left" w:pos="1224"/>
        </w:tabs>
        <w:spacing w:before="238" w:line="290" w:lineRule="exact"/>
        <w:ind w:left="1224" w:hanging="360"/>
        <w:jc w:val="both"/>
        <w:textAlignment w:val="baseline"/>
        <w:rPr>
          <w:rFonts w:ascii="Calibri" w:eastAsia="Calibri" w:hAnsi="Calibri"/>
          <w:color w:val="000000"/>
        </w:rPr>
      </w:pPr>
      <w:r>
        <w:rPr>
          <w:rFonts w:ascii="Calibri" w:eastAsia="Calibri" w:hAnsi="Calibri"/>
          <w:color w:val="000000"/>
        </w:rPr>
        <w:t>Investigate financial support or incen</w:t>
      </w:r>
      <w:r>
        <w:rPr>
          <w:rFonts w:ascii="Calibri" w:eastAsia="Calibri" w:hAnsi="Calibri"/>
          <w:color w:val="000000"/>
        </w:rPr>
        <w:t>tives that can overcome financially disadvantaged or financially hesitant postgraduate ITE students. This should include a combination of tuition support and/or guarantees of paid employment and could also be conditional on teaching in locations of need, s</w:t>
      </w:r>
      <w:r>
        <w:rPr>
          <w:rFonts w:ascii="Calibri" w:eastAsia="Calibri" w:hAnsi="Calibri"/>
          <w:color w:val="000000"/>
        </w:rPr>
        <w:t>ubjects of need, or both.</w:t>
      </w:r>
    </w:p>
    <w:p w14:paraId="074CD322" w14:textId="77777777" w:rsidR="00132EA6" w:rsidRDefault="009B508A">
      <w:pPr>
        <w:numPr>
          <w:ilvl w:val="0"/>
          <w:numId w:val="1"/>
        </w:numPr>
        <w:tabs>
          <w:tab w:val="clear" w:pos="360"/>
          <w:tab w:val="left" w:pos="1224"/>
        </w:tabs>
        <w:spacing w:before="2" w:line="290" w:lineRule="exact"/>
        <w:ind w:left="1224" w:hanging="360"/>
        <w:jc w:val="both"/>
        <w:textAlignment w:val="baseline"/>
        <w:rPr>
          <w:rFonts w:ascii="Calibri" w:eastAsia="Calibri" w:hAnsi="Calibri"/>
          <w:color w:val="000000"/>
        </w:rPr>
      </w:pPr>
      <w:r>
        <w:rPr>
          <w:rFonts w:ascii="Calibri" w:eastAsia="Calibri" w:hAnsi="Calibri"/>
          <w:color w:val="000000"/>
        </w:rPr>
        <w:t>Consider whether in-class placements and training should attract a professional stipend or compensation for foregone employment income.</w:t>
      </w:r>
    </w:p>
    <w:p w14:paraId="294C71A1" w14:textId="77777777" w:rsidR="00132EA6" w:rsidRDefault="009B508A">
      <w:pPr>
        <w:numPr>
          <w:ilvl w:val="0"/>
          <w:numId w:val="1"/>
        </w:numPr>
        <w:tabs>
          <w:tab w:val="clear" w:pos="360"/>
          <w:tab w:val="left" w:pos="1224"/>
        </w:tabs>
        <w:spacing w:line="289" w:lineRule="exact"/>
        <w:ind w:left="1224" w:hanging="360"/>
        <w:jc w:val="both"/>
        <w:textAlignment w:val="baseline"/>
        <w:rPr>
          <w:rFonts w:ascii="Calibri" w:eastAsia="Calibri" w:hAnsi="Calibri"/>
          <w:color w:val="000000"/>
        </w:rPr>
      </w:pPr>
      <w:r>
        <w:rPr>
          <w:rFonts w:ascii="Calibri" w:eastAsia="Calibri" w:hAnsi="Calibri"/>
          <w:color w:val="000000"/>
        </w:rPr>
        <w:t xml:space="preserve">Commit to a timetable for the future review of Federal financial incentives that promote remote teaching, and which were enacted via the </w:t>
      </w:r>
      <w:r>
        <w:rPr>
          <w:rFonts w:ascii="Calibri" w:eastAsia="Calibri" w:hAnsi="Calibri"/>
          <w:i/>
          <w:color w:val="000000"/>
        </w:rPr>
        <w:t>Education Legislation Amendment (2019 Measures No. 1) Bill 2019</w:t>
      </w:r>
      <w:r>
        <w:rPr>
          <w:rFonts w:ascii="Calibri" w:eastAsia="Calibri" w:hAnsi="Calibri"/>
          <w:color w:val="000000"/>
        </w:rPr>
        <w:t>.</w:t>
      </w:r>
    </w:p>
    <w:p w14:paraId="74B002C1" w14:textId="77777777" w:rsidR="00132EA6" w:rsidRDefault="009B508A">
      <w:pPr>
        <w:numPr>
          <w:ilvl w:val="0"/>
          <w:numId w:val="1"/>
        </w:numPr>
        <w:tabs>
          <w:tab w:val="clear" w:pos="360"/>
          <w:tab w:val="left" w:pos="1224"/>
        </w:tabs>
        <w:spacing w:before="2" w:line="290" w:lineRule="exact"/>
        <w:ind w:left="1224" w:hanging="360"/>
        <w:jc w:val="both"/>
        <w:textAlignment w:val="baseline"/>
        <w:rPr>
          <w:rFonts w:ascii="Calibri" w:eastAsia="Calibri" w:hAnsi="Calibri"/>
          <w:color w:val="000000"/>
        </w:rPr>
      </w:pPr>
      <w:r>
        <w:rPr>
          <w:rFonts w:ascii="Calibri" w:eastAsia="Calibri" w:hAnsi="Calibri"/>
          <w:color w:val="000000"/>
        </w:rPr>
        <w:t>This review should also look at the benefits of provid</w:t>
      </w:r>
      <w:r>
        <w:rPr>
          <w:rFonts w:ascii="Calibri" w:eastAsia="Calibri" w:hAnsi="Calibri"/>
          <w:color w:val="000000"/>
        </w:rPr>
        <w:t>ing financial support to students undertaking student placements or training at a very remote school.</w:t>
      </w:r>
    </w:p>
    <w:p w14:paraId="1F669B14" w14:textId="77777777" w:rsidR="00132EA6" w:rsidRDefault="009B508A">
      <w:pPr>
        <w:numPr>
          <w:ilvl w:val="0"/>
          <w:numId w:val="1"/>
        </w:numPr>
        <w:tabs>
          <w:tab w:val="clear" w:pos="360"/>
          <w:tab w:val="left" w:pos="1224"/>
        </w:tabs>
        <w:spacing w:line="289" w:lineRule="exact"/>
        <w:ind w:left="1224" w:right="360" w:hanging="360"/>
        <w:textAlignment w:val="baseline"/>
        <w:rPr>
          <w:rFonts w:ascii="Calibri" w:eastAsia="Calibri" w:hAnsi="Calibri"/>
          <w:color w:val="000000"/>
        </w:rPr>
      </w:pPr>
      <w:r>
        <w:rPr>
          <w:rFonts w:ascii="Calibri" w:eastAsia="Calibri" w:hAnsi="Calibri"/>
          <w:color w:val="000000"/>
        </w:rPr>
        <w:t>To attract a more diverse cohort of candidates into both undergraduate and postgraduate ITE programs, the Go8 recommends a strong and continuing media campaign and financial incentives such as those outlined above. We also support early identification of t</w:t>
      </w:r>
      <w:r>
        <w:rPr>
          <w:rFonts w:ascii="Calibri" w:eastAsia="Calibri" w:hAnsi="Calibri"/>
          <w:color w:val="000000"/>
        </w:rPr>
        <w:t>hese potential candidates so that they may be provided with targeted assistance to support their enrolment, retention, and success.</w:t>
      </w:r>
    </w:p>
    <w:p w14:paraId="3E581692" w14:textId="77777777" w:rsidR="00132EA6" w:rsidRDefault="009B508A">
      <w:pPr>
        <w:spacing w:before="303" w:line="226" w:lineRule="exact"/>
        <w:ind w:left="72"/>
        <w:textAlignment w:val="baseline"/>
        <w:rPr>
          <w:rFonts w:ascii="Calibri" w:eastAsia="Calibri" w:hAnsi="Calibri"/>
          <w:color w:val="000000"/>
          <w:spacing w:val="-1"/>
          <w:u w:val="single"/>
        </w:rPr>
      </w:pPr>
      <w:r>
        <w:rPr>
          <w:rFonts w:ascii="Calibri" w:eastAsia="Calibri" w:hAnsi="Calibri"/>
          <w:color w:val="000000"/>
          <w:spacing w:val="-1"/>
          <w:u w:val="single"/>
        </w:rPr>
        <w:t>Mentoring</w:t>
      </w:r>
      <w:r>
        <w:rPr>
          <w:rFonts w:ascii="Calibri" w:eastAsia="Calibri" w:hAnsi="Calibri"/>
          <w:color w:val="000000"/>
          <w:spacing w:val="-1"/>
        </w:rPr>
        <w:t xml:space="preserve"> </w:t>
      </w:r>
    </w:p>
    <w:p w14:paraId="5466C3BE" w14:textId="77777777" w:rsidR="00132EA6" w:rsidRDefault="009B508A">
      <w:pPr>
        <w:numPr>
          <w:ilvl w:val="0"/>
          <w:numId w:val="1"/>
        </w:numPr>
        <w:tabs>
          <w:tab w:val="clear" w:pos="360"/>
          <w:tab w:val="left" w:pos="1224"/>
        </w:tabs>
        <w:spacing w:before="239" w:line="290" w:lineRule="exact"/>
        <w:ind w:left="1224" w:hanging="360"/>
        <w:jc w:val="both"/>
        <w:textAlignment w:val="baseline"/>
        <w:rPr>
          <w:rFonts w:ascii="Calibri" w:eastAsia="Calibri" w:hAnsi="Calibri"/>
          <w:color w:val="000000"/>
        </w:rPr>
      </w:pPr>
      <w:r>
        <w:rPr>
          <w:rFonts w:ascii="Calibri" w:eastAsia="Calibri" w:hAnsi="Calibri"/>
          <w:color w:val="000000"/>
        </w:rPr>
        <w:t>Implement a national and sustained formal mentoring program for newly qualified teachers to assist their transiti</w:t>
      </w:r>
      <w:r>
        <w:rPr>
          <w:rFonts w:ascii="Calibri" w:eastAsia="Calibri" w:hAnsi="Calibri"/>
          <w:color w:val="000000"/>
        </w:rPr>
        <w:t>on to the classroom; with consideration given to reduced teaching workloads during their mentorship</w:t>
      </w:r>
    </w:p>
    <w:p w14:paraId="05702EA9" w14:textId="77777777" w:rsidR="00132EA6" w:rsidRDefault="009B508A">
      <w:pPr>
        <w:numPr>
          <w:ilvl w:val="0"/>
          <w:numId w:val="1"/>
        </w:numPr>
        <w:tabs>
          <w:tab w:val="clear" w:pos="360"/>
          <w:tab w:val="left" w:pos="1224"/>
        </w:tabs>
        <w:spacing w:before="1" w:line="290" w:lineRule="exact"/>
        <w:ind w:left="1224" w:hanging="360"/>
        <w:jc w:val="both"/>
        <w:textAlignment w:val="baseline"/>
        <w:rPr>
          <w:rFonts w:ascii="Calibri" w:eastAsia="Calibri" w:hAnsi="Calibri"/>
          <w:color w:val="000000"/>
        </w:rPr>
      </w:pPr>
      <w:r>
        <w:rPr>
          <w:rFonts w:ascii="Calibri" w:eastAsia="Calibri" w:hAnsi="Calibri"/>
          <w:color w:val="000000"/>
        </w:rPr>
        <w:t xml:space="preserve">Adopt a clear standard for the education and training of teaching mentors, </w:t>
      </w:r>
      <w:proofErr w:type="gramStart"/>
      <w:r>
        <w:rPr>
          <w:rFonts w:ascii="Calibri" w:eastAsia="Calibri" w:hAnsi="Calibri"/>
          <w:color w:val="000000"/>
        </w:rPr>
        <w:t>i.e.</w:t>
      </w:r>
      <w:proofErr w:type="gramEnd"/>
      <w:r>
        <w:rPr>
          <w:rFonts w:ascii="Calibri" w:eastAsia="Calibri" w:hAnsi="Calibri"/>
          <w:color w:val="000000"/>
        </w:rPr>
        <w:t xml:space="preserve"> a graduate certificate in teacher mentoring.</w:t>
      </w:r>
    </w:p>
    <w:p w14:paraId="3BBACCAE" w14:textId="77777777" w:rsidR="00132EA6" w:rsidRDefault="009B508A">
      <w:pPr>
        <w:numPr>
          <w:ilvl w:val="0"/>
          <w:numId w:val="1"/>
        </w:numPr>
        <w:tabs>
          <w:tab w:val="clear" w:pos="360"/>
          <w:tab w:val="left" w:pos="1224"/>
        </w:tabs>
        <w:spacing w:line="289" w:lineRule="exact"/>
        <w:ind w:left="1224" w:hanging="360"/>
        <w:jc w:val="both"/>
        <w:textAlignment w:val="baseline"/>
        <w:rPr>
          <w:rFonts w:ascii="Calibri" w:eastAsia="Calibri" w:hAnsi="Calibri"/>
          <w:color w:val="000000"/>
        </w:rPr>
      </w:pPr>
      <w:r>
        <w:rPr>
          <w:rFonts w:ascii="Calibri" w:eastAsia="Calibri" w:hAnsi="Calibri"/>
          <w:color w:val="000000"/>
        </w:rPr>
        <w:t>Further investigate the benefit</w:t>
      </w:r>
      <w:r>
        <w:rPr>
          <w:rFonts w:ascii="Calibri" w:eastAsia="Calibri" w:hAnsi="Calibri"/>
          <w:color w:val="000000"/>
        </w:rPr>
        <w:t xml:space="preserve"> of sustained formal mentoring programs for in-need postgraduate ITE students.</w:t>
      </w:r>
    </w:p>
    <w:p w14:paraId="084B0D66" w14:textId="77777777" w:rsidR="00132EA6" w:rsidRDefault="009B508A">
      <w:pPr>
        <w:spacing w:before="303" w:line="226" w:lineRule="exact"/>
        <w:ind w:left="72"/>
        <w:textAlignment w:val="baseline"/>
        <w:rPr>
          <w:rFonts w:ascii="Calibri" w:eastAsia="Calibri" w:hAnsi="Calibri"/>
          <w:color w:val="000000"/>
          <w:u w:val="single"/>
        </w:rPr>
      </w:pPr>
      <w:r>
        <w:rPr>
          <w:rFonts w:ascii="Calibri" w:eastAsia="Calibri" w:hAnsi="Calibri"/>
          <w:color w:val="000000"/>
          <w:u w:val="single"/>
        </w:rPr>
        <w:t>Strengthening ITE connection with schools</w:t>
      </w:r>
    </w:p>
    <w:p w14:paraId="424DC1E5" w14:textId="77777777" w:rsidR="00132EA6" w:rsidRDefault="009B508A">
      <w:pPr>
        <w:numPr>
          <w:ilvl w:val="0"/>
          <w:numId w:val="1"/>
        </w:numPr>
        <w:tabs>
          <w:tab w:val="clear" w:pos="360"/>
          <w:tab w:val="left" w:pos="1224"/>
        </w:tabs>
        <w:spacing w:before="241" w:line="290" w:lineRule="exact"/>
        <w:ind w:left="1224" w:hanging="360"/>
        <w:jc w:val="both"/>
        <w:textAlignment w:val="baseline"/>
        <w:rPr>
          <w:rFonts w:ascii="Calibri" w:eastAsia="Calibri" w:hAnsi="Calibri"/>
          <w:color w:val="000000"/>
        </w:rPr>
      </w:pPr>
      <w:r>
        <w:rPr>
          <w:rFonts w:ascii="Calibri" w:eastAsia="Calibri" w:hAnsi="Calibri"/>
          <w:color w:val="000000"/>
        </w:rPr>
        <w:t>Establish a pilot scheme that further strengthens connections between ITE and schools and that specifically:</w:t>
      </w:r>
    </w:p>
    <w:p w14:paraId="3C143EBD" w14:textId="77777777" w:rsidR="00132EA6" w:rsidRDefault="009B508A">
      <w:pPr>
        <w:spacing w:before="1" w:line="290" w:lineRule="exact"/>
        <w:ind w:left="1512" w:hanging="288"/>
        <w:jc w:val="both"/>
        <w:textAlignment w:val="baseline"/>
        <w:rPr>
          <w:rFonts w:ascii="Calibri" w:eastAsia="Calibri" w:hAnsi="Calibri"/>
          <w:color w:val="000000"/>
        </w:rPr>
      </w:pPr>
      <w:r>
        <w:rPr>
          <w:rFonts w:ascii="Calibri" w:eastAsia="Calibri" w:hAnsi="Calibri"/>
          <w:color w:val="000000"/>
        </w:rPr>
        <w:t>- Provides opportunities f</w:t>
      </w:r>
      <w:r>
        <w:rPr>
          <w:rFonts w:ascii="Calibri" w:eastAsia="Calibri" w:hAnsi="Calibri"/>
          <w:color w:val="000000"/>
        </w:rPr>
        <w:t>or experienced teachers to have input into the ongoing process of ITE curriculum development.</w:t>
      </w:r>
    </w:p>
    <w:p w14:paraId="6FB7BC9D" w14:textId="77777777" w:rsidR="00132EA6" w:rsidRDefault="009B508A">
      <w:pPr>
        <w:spacing w:line="288" w:lineRule="exact"/>
        <w:ind w:left="1512" w:hanging="288"/>
        <w:jc w:val="both"/>
        <w:textAlignment w:val="baseline"/>
        <w:rPr>
          <w:rFonts w:ascii="Calibri" w:eastAsia="Calibri" w:hAnsi="Calibri"/>
          <w:color w:val="000000"/>
        </w:rPr>
      </w:pPr>
      <w:r>
        <w:rPr>
          <w:rFonts w:ascii="Calibri" w:eastAsia="Calibri" w:hAnsi="Calibri"/>
          <w:color w:val="000000"/>
        </w:rPr>
        <w:t>- Provides opportunities for teaching academics to have ‘classroom time’ to refresh their understanding of shifts in contemporary classroom practice.</w:t>
      </w:r>
    </w:p>
    <w:p w14:paraId="76CBB8B6" w14:textId="77777777" w:rsidR="00132EA6" w:rsidRDefault="009B508A">
      <w:pPr>
        <w:tabs>
          <w:tab w:val="left" w:pos="1512"/>
        </w:tabs>
        <w:spacing w:before="67" w:line="226" w:lineRule="exact"/>
        <w:ind w:left="1224"/>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Facilitates early employment offers, particularly from hard to place schools.</w:t>
      </w:r>
    </w:p>
    <w:p w14:paraId="007A0AB1" w14:textId="77777777" w:rsidR="00132EA6" w:rsidRDefault="009B508A">
      <w:pPr>
        <w:spacing w:before="302" w:line="224" w:lineRule="exact"/>
        <w:ind w:left="72"/>
        <w:textAlignment w:val="baseline"/>
        <w:rPr>
          <w:rFonts w:ascii="Calibri" w:eastAsia="Calibri" w:hAnsi="Calibri"/>
          <w:color w:val="000000"/>
          <w:u w:val="single"/>
        </w:rPr>
      </w:pPr>
      <w:r>
        <w:rPr>
          <w:rFonts w:ascii="Calibri" w:eastAsia="Calibri" w:hAnsi="Calibri"/>
          <w:color w:val="000000"/>
          <w:u w:val="single"/>
        </w:rPr>
        <w:t xml:space="preserve">Essential research </w:t>
      </w:r>
    </w:p>
    <w:p w14:paraId="64F8E36B" w14:textId="77777777" w:rsidR="00132EA6" w:rsidRDefault="009B508A">
      <w:pPr>
        <w:numPr>
          <w:ilvl w:val="0"/>
          <w:numId w:val="1"/>
        </w:numPr>
        <w:tabs>
          <w:tab w:val="clear" w:pos="360"/>
          <w:tab w:val="left" w:pos="1224"/>
        </w:tabs>
        <w:spacing w:before="241" w:line="290" w:lineRule="exact"/>
        <w:ind w:left="1224" w:hanging="360"/>
        <w:jc w:val="both"/>
        <w:textAlignment w:val="baseline"/>
        <w:rPr>
          <w:rFonts w:ascii="Calibri" w:eastAsia="Calibri" w:hAnsi="Calibri"/>
          <w:color w:val="000000"/>
        </w:rPr>
      </w:pPr>
      <w:r>
        <w:rPr>
          <w:rFonts w:ascii="Calibri" w:eastAsia="Calibri" w:hAnsi="Calibri"/>
          <w:color w:val="000000"/>
        </w:rPr>
        <w:lastRenderedPageBreak/>
        <w:t>Provid</w:t>
      </w:r>
      <w:r>
        <w:rPr>
          <w:rFonts w:ascii="Calibri" w:eastAsia="Calibri" w:hAnsi="Calibri"/>
          <w:color w:val="000000"/>
        </w:rPr>
        <w:t>e dedicated funding for much-needed longitudinal data collection and research into the impact of the quality of different ITE degrees – including postgraduate ITE degrees – on graduate preparedness, performance, career progression, attrition rates, and stu</w:t>
      </w:r>
      <w:r>
        <w:rPr>
          <w:rFonts w:ascii="Calibri" w:eastAsia="Calibri" w:hAnsi="Calibri"/>
          <w:color w:val="000000"/>
        </w:rPr>
        <w:t>dent learning outcomes.</w:t>
      </w:r>
    </w:p>
    <w:p w14:paraId="3B3965C6" w14:textId="77777777" w:rsidR="00132EA6" w:rsidRDefault="009B508A">
      <w:pPr>
        <w:spacing w:before="108" w:line="199" w:lineRule="exact"/>
        <w:ind w:left="72"/>
        <w:jc w:val="right"/>
        <w:textAlignment w:val="baseline"/>
        <w:rPr>
          <w:rFonts w:ascii="Calibri Light" w:eastAsia="Calibri Light" w:hAnsi="Calibri Light"/>
          <w:color w:val="000000"/>
          <w:sz w:val="18"/>
        </w:rPr>
      </w:pPr>
      <w:r>
        <w:rPr>
          <w:rFonts w:ascii="Calibri Light" w:eastAsia="Calibri Light" w:hAnsi="Calibri Light"/>
          <w:color w:val="000000"/>
          <w:sz w:val="18"/>
        </w:rPr>
        <w:t>2</w:t>
      </w:r>
    </w:p>
    <w:p w14:paraId="2402436F" w14:textId="77777777" w:rsidR="00132EA6" w:rsidRDefault="00132EA6">
      <w:pPr>
        <w:sectPr w:rsidR="00132EA6">
          <w:pgSz w:w="11899" w:h="16843"/>
          <w:pgMar w:top="760" w:right="808" w:bottom="327" w:left="751" w:header="720" w:footer="720" w:gutter="0"/>
          <w:cols w:space="720"/>
        </w:sectPr>
      </w:pPr>
    </w:p>
    <w:p w14:paraId="05E1BF63" w14:textId="77777777" w:rsidR="00132EA6" w:rsidRDefault="009B508A">
      <w:pPr>
        <w:spacing w:before="3" w:after="640"/>
        <w:ind w:left="19" w:right="7091"/>
        <w:textAlignment w:val="baseline"/>
      </w:pPr>
      <w:r>
        <w:rPr>
          <w:noProof/>
        </w:rPr>
        <w:lastRenderedPageBreak/>
        <w:drawing>
          <wp:inline distT="0" distB="0" distL="0" distR="0" wp14:anchorId="135888A4" wp14:editId="467EBDF7">
            <wp:extent cx="2051050" cy="7683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2051050" cy="768350"/>
                    </a:xfrm>
                    <a:prstGeom prst="rect">
                      <a:avLst/>
                    </a:prstGeom>
                  </pic:spPr>
                </pic:pic>
              </a:graphicData>
            </a:graphic>
          </wp:inline>
        </w:drawing>
      </w:r>
    </w:p>
    <w:p w14:paraId="4077E612" w14:textId="77777777" w:rsidR="00132EA6" w:rsidRDefault="009B508A">
      <w:pPr>
        <w:spacing w:before="27" w:line="266" w:lineRule="exact"/>
        <w:ind w:left="72"/>
        <w:textAlignment w:val="baseline"/>
        <w:rPr>
          <w:rFonts w:ascii="Calibri" w:eastAsia="Calibri" w:hAnsi="Calibri"/>
          <w:b/>
          <w:color w:val="000000"/>
          <w:sz w:val="24"/>
        </w:rPr>
      </w:pPr>
      <w:r>
        <w:rPr>
          <w:rFonts w:ascii="Calibri" w:eastAsia="Calibri" w:hAnsi="Calibri"/>
          <w:b/>
          <w:color w:val="000000"/>
          <w:sz w:val="24"/>
        </w:rPr>
        <w:t>ITE: The Go8 context</w:t>
      </w:r>
    </w:p>
    <w:p w14:paraId="52C227B7" w14:textId="77777777" w:rsidR="00132EA6" w:rsidRDefault="009B508A">
      <w:pPr>
        <w:spacing w:before="122" w:line="269" w:lineRule="exact"/>
        <w:ind w:left="72"/>
        <w:textAlignment w:val="baseline"/>
        <w:rPr>
          <w:rFonts w:ascii="Calibri" w:eastAsia="Calibri" w:hAnsi="Calibri"/>
          <w:color w:val="000000"/>
        </w:rPr>
      </w:pPr>
      <w:r>
        <w:rPr>
          <w:rFonts w:ascii="Calibri" w:eastAsia="Calibri" w:hAnsi="Calibri"/>
          <w:color w:val="000000"/>
        </w:rPr>
        <w:t>Go8 universities educate 12.5 per cent of Australia’s ITE enrolments.</w:t>
      </w:r>
      <w:r>
        <w:rPr>
          <w:rFonts w:ascii="Calibri" w:eastAsia="Calibri" w:hAnsi="Calibri"/>
          <w:color w:val="000000"/>
          <w:vertAlign w:val="superscript"/>
        </w:rPr>
        <w:t>1</w:t>
      </w:r>
      <w:r>
        <w:rPr>
          <w:rFonts w:ascii="Calibri" w:eastAsia="Calibri" w:hAnsi="Calibri"/>
          <w:color w:val="000000"/>
        </w:rPr>
        <w:t xml:space="preserve"> Apart from the Australian National University (ANU) which does not offer ITE at any level, all Go8 universities offer ITE courses at the postgraduate level, and most also at the undergraduate level:</w:t>
      </w:r>
    </w:p>
    <w:p w14:paraId="7D7A75E3" w14:textId="77777777" w:rsidR="00132EA6" w:rsidRDefault="009B508A">
      <w:pPr>
        <w:spacing w:before="453" w:after="127" w:line="221" w:lineRule="exact"/>
        <w:ind w:left="72"/>
        <w:jc w:val="center"/>
        <w:textAlignment w:val="baseline"/>
        <w:rPr>
          <w:rFonts w:ascii="Calibri" w:eastAsia="Calibri" w:hAnsi="Calibri"/>
          <w:b/>
          <w:color w:val="000000"/>
          <w:spacing w:val="-1"/>
        </w:rPr>
      </w:pPr>
      <w:r>
        <w:rPr>
          <w:rFonts w:ascii="Calibri" w:eastAsia="Calibri" w:hAnsi="Calibri"/>
          <w:b/>
          <w:color w:val="000000"/>
          <w:spacing w:val="-1"/>
        </w:rPr>
        <w:t>ITE enrolments at Go8 universities, 2019</w:t>
      </w:r>
      <w:r>
        <w:rPr>
          <w:rFonts w:ascii="Calibri" w:eastAsia="Calibri" w:hAnsi="Calibri"/>
          <w:color w:val="000000"/>
          <w:spacing w:val="-1"/>
          <w:vertAlign w:val="superscript"/>
        </w:rPr>
        <w:t>2</w:t>
      </w:r>
      <w:r>
        <w:rPr>
          <w:rFonts w:ascii="Calibri" w:eastAsia="Calibri" w:hAnsi="Calibri"/>
          <w:color w:val="000000"/>
          <w:spacing w:val="-1"/>
          <w:sz w:val="14"/>
        </w:rPr>
        <w:t xml:space="preserve"> </w:t>
      </w:r>
    </w:p>
    <w:tbl>
      <w:tblPr>
        <w:tblW w:w="0" w:type="auto"/>
        <w:tblInd w:w="1373" w:type="dxa"/>
        <w:tblLayout w:type="fixed"/>
        <w:tblCellMar>
          <w:left w:w="0" w:type="dxa"/>
          <w:right w:w="0" w:type="dxa"/>
        </w:tblCellMar>
        <w:tblLook w:val="04A0" w:firstRow="1" w:lastRow="0" w:firstColumn="1" w:lastColumn="0" w:noHBand="0" w:noVBand="1"/>
      </w:tblPr>
      <w:tblGrid>
        <w:gridCol w:w="3470"/>
        <w:gridCol w:w="1436"/>
        <w:gridCol w:w="1608"/>
        <w:gridCol w:w="1156"/>
      </w:tblGrid>
      <w:tr w:rsidR="00132EA6" w14:paraId="0E55577E" w14:textId="77777777">
        <w:tblPrEx>
          <w:tblCellMar>
            <w:top w:w="0" w:type="dxa"/>
            <w:bottom w:w="0" w:type="dxa"/>
          </w:tblCellMar>
        </w:tblPrEx>
        <w:trPr>
          <w:trHeight w:hRule="exact" w:val="346"/>
        </w:trPr>
        <w:tc>
          <w:tcPr>
            <w:tcW w:w="3470" w:type="dxa"/>
            <w:tcBorders>
              <w:top w:val="single" w:sz="7" w:space="0" w:color="000000"/>
              <w:left w:val="single" w:sz="7" w:space="0" w:color="000000"/>
              <w:bottom w:val="single" w:sz="7" w:space="0" w:color="000000"/>
              <w:right w:val="single" w:sz="7" w:space="0" w:color="000000"/>
            </w:tcBorders>
            <w:vAlign w:val="center"/>
          </w:tcPr>
          <w:p w14:paraId="5E098092" w14:textId="77777777" w:rsidR="00132EA6" w:rsidRDefault="009B508A">
            <w:pPr>
              <w:spacing w:before="48" w:after="67" w:line="226" w:lineRule="exact"/>
              <w:ind w:left="120"/>
              <w:textAlignment w:val="baseline"/>
              <w:rPr>
                <w:rFonts w:ascii="Calibri" w:eastAsia="Calibri" w:hAnsi="Calibri"/>
                <w:b/>
                <w:color w:val="000000"/>
              </w:rPr>
            </w:pPr>
            <w:r>
              <w:rPr>
                <w:rFonts w:ascii="Calibri" w:eastAsia="Calibri" w:hAnsi="Calibri"/>
                <w:b/>
                <w:color w:val="000000"/>
              </w:rPr>
              <w:t>Go8 University</w:t>
            </w:r>
          </w:p>
        </w:tc>
        <w:tc>
          <w:tcPr>
            <w:tcW w:w="1436" w:type="dxa"/>
            <w:tcBorders>
              <w:top w:val="single" w:sz="7" w:space="0" w:color="000000"/>
              <w:left w:val="single" w:sz="7" w:space="0" w:color="000000"/>
              <w:bottom w:val="single" w:sz="7" w:space="0" w:color="000000"/>
              <w:right w:val="single" w:sz="7" w:space="0" w:color="000000"/>
            </w:tcBorders>
            <w:vAlign w:val="center"/>
          </w:tcPr>
          <w:p w14:paraId="2D964BAA" w14:textId="77777777" w:rsidR="00132EA6" w:rsidRDefault="009B508A">
            <w:pPr>
              <w:spacing w:before="48" w:after="67" w:line="226" w:lineRule="exact"/>
              <w:jc w:val="center"/>
              <w:textAlignment w:val="baseline"/>
              <w:rPr>
                <w:rFonts w:ascii="Calibri" w:eastAsia="Calibri" w:hAnsi="Calibri"/>
                <w:b/>
                <w:color w:val="000000"/>
              </w:rPr>
            </w:pPr>
            <w:r>
              <w:rPr>
                <w:rFonts w:ascii="Calibri" w:eastAsia="Calibri" w:hAnsi="Calibri"/>
                <w:b/>
                <w:color w:val="000000"/>
              </w:rPr>
              <w:t>Postgraduate</w:t>
            </w:r>
          </w:p>
        </w:tc>
        <w:tc>
          <w:tcPr>
            <w:tcW w:w="1608" w:type="dxa"/>
            <w:tcBorders>
              <w:top w:val="single" w:sz="7" w:space="0" w:color="000000"/>
              <w:left w:val="single" w:sz="7" w:space="0" w:color="000000"/>
              <w:bottom w:val="single" w:sz="7" w:space="0" w:color="000000"/>
              <w:right w:val="single" w:sz="7" w:space="0" w:color="000000"/>
            </w:tcBorders>
            <w:vAlign w:val="center"/>
          </w:tcPr>
          <w:p w14:paraId="79E17E70" w14:textId="77777777" w:rsidR="00132EA6" w:rsidRDefault="009B508A">
            <w:pPr>
              <w:spacing w:before="48" w:after="67" w:line="226" w:lineRule="exact"/>
              <w:jc w:val="center"/>
              <w:textAlignment w:val="baseline"/>
              <w:rPr>
                <w:rFonts w:ascii="Calibri" w:eastAsia="Calibri" w:hAnsi="Calibri"/>
                <w:b/>
                <w:color w:val="000000"/>
              </w:rPr>
            </w:pPr>
            <w:r>
              <w:rPr>
                <w:rFonts w:ascii="Calibri" w:eastAsia="Calibri" w:hAnsi="Calibri"/>
                <w:b/>
                <w:color w:val="000000"/>
              </w:rPr>
              <w:t>Undergraduate</w:t>
            </w:r>
          </w:p>
        </w:tc>
        <w:tc>
          <w:tcPr>
            <w:tcW w:w="1156" w:type="dxa"/>
            <w:tcBorders>
              <w:top w:val="single" w:sz="7" w:space="0" w:color="000000"/>
              <w:left w:val="single" w:sz="7" w:space="0" w:color="000000"/>
              <w:bottom w:val="single" w:sz="7" w:space="0" w:color="000000"/>
              <w:right w:val="single" w:sz="7" w:space="0" w:color="000000"/>
            </w:tcBorders>
            <w:vAlign w:val="center"/>
          </w:tcPr>
          <w:p w14:paraId="5ABC8C0B" w14:textId="77777777" w:rsidR="00132EA6" w:rsidRDefault="009B508A">
            <w:pPr>
              <w:spacing w:before="48" w:after="75" w:line="218" w:lineRule="exact"/>
              <w:jc w:val="center"/>
              <w:textAlignment w:val="baseline"/>
              <w:rPr>
                <w:rFonts w:ascii="Calibri" w:eastAsia="Calibri" w:hAnsi="Calibri"/>
                <w:b/>
                <w:color w:val="000000"/>
              </w:rPr>
            </w:pPr>
            <w:r>
              <w:rPr>
                <w:rFonts w:ascii="Calibri" w:eastAsia="Calibri" w:hAnsi="Calibri"/>
                <w:b/>
                <w:color w:val="000000"/>
              </w:rPr>
              <w:t>Total</w:t>
            </w:r>
          </w:p>
        </w:tc>
      </w:tr>
      <w:tr w:rsidR="00132EA6" w14:paraId="1A626371" w14:textId="77777777">
        <w:tblPrEx>
          <w:tblCellMar>
            <w:top w:w="0" w:type="dxa"/>
            <w:bottom w:w="0" w:type="dxa"/>
          </w:tblCellMar>
        </w:tblPrEx>
        <w:trPr>
          <w:trHeight w:hRule="exact" w:val="316"/>
        </w:trPr>
        <w:tc>
          <w:tcPr>
            <w:tcW w:w="3470" w:type="dxa"/>
            <w:tcBorders>
              <w:top w:val="single" w:sz="7" w:space="0" w:color="000000"/>
              <w:left w:val="single" w:sz="7" w:space="0" w:color="000000"/>
              <w:bottom w:val="single" w:sz="7" w:space="0" w:color="000000"/>
              <w:right w:val="single" w:sz="7" w:space="0" w:color="000000"/>
            </w:tcBorders>
            <w:vAlign w:val="center"/>
          </w:tcPr>
          <w:p w14:paraId="7B0A39E9" w14:textId="77777777" w:rsidR="00132EA6" w:rsidRDefault="009B508A">
            <w:pPr>
              <w:spacing w:before="71" w:after="14" w:line="227" w:lineRule="exact"/>
              <w:ind w:left="120"/>
              <w:textAlignment w:val="baseline"/>
              <w:rPr>
                <w:rFonts w:ascii="Calibri" w:eastAsia="Calibri" w:hAnsi="Calibri"/>
                <w:color w:val="000000"/>
              </w:rPr>
            </w:pPr>
            <w:r>
              <w:rPr>
                <w:rFonts w:ascii="Calibri" w:eastAsia="Calibri" w:hAnsi="Calibri"/>
                <w:color w:val="000000"/>
              </w:rPr>
              <w:t>Monash University</w:t>
            </w:r>
          </w:p>
        </w:tc>
        <w:tc>
          <w:tcPr>
            <w:tcW w:w="1436" w:type="dxa"/>
            <w:tcBorders>
              <w:top w:val="single" w:sz="7" w:space="0" w:color="000000"/>
              <w:left w:val="single" w:sz="7" w:space="0" w:color="000000"/>
              <w:bottom w:val="single" w:sz="7" w:space="0" w:color="000000"/>
              <w:right w:val="single" w:sz="7" w:space="0" w:color="000000"/>
            </w:tcBorders>
            <w:vAlign w:val="center"/>
          </w:tcPr>
          <w:p w14:paraId="525CA83D" w14:textId="77777777" w:rsidR="00132EA6" w:rsidRDefault="009B508A">
            <w:pPr>
              <w:spacing w:before="71" w:after="17" w:line="224" w:lineRule="exact"/>
              <w:jc w:val="center"/>
              <w:textAlignment w:val="baseline"/>
              <w:rPr>
                <w:rFonts w:ascii="Calibri" w:eastAsia="Calibri" w:hAnsi="Calibri"/>
                <w:color w:val="000000"/>
              </w:rPr>
            </w:pPr>
            <w:r>
              <w:rPr>
                <w:rFonts w:ascii="Calibri" w:eastAsia="Calibri" w:hAnsi="Calibri"/>
                <w:color w:val="000000"/>
              </w:rPr>
              <w:t>1,151</w:t>
            </w:r>
          </w:p>
        </w:tc>
        <w:tc>
          <w:tcPr>
            <w:tcW w:w="1608" w:type="dxa"/>
            <w:tcBorders>
              <w:top w:val="single" w:sz="7" w:space="0" w:color="000000"/>
              <w:left w:val="single" w:sz="7" w:space="0" w:color="000000"/>
              <w:bottom w:val="single" w:sz="7" w:space="0" w:color="000000"/>
              <w:right w:val="single" w:sz="7" w:space="0" w:color="000000"/>
            </w:tcBorders>
            <w:vAlign w:val="center"/>
          </w:tcPr>
          <w:p w14:paraId="47AF0B18" w14:textId="77777777" w:rsidR="00132EA6" w:rsidRDefault="009B508A">
            <w:pPr>
              <w:spacing w:before="71" w:after="17" w:line="224" w:lineRule="exact"/>
              <w:jc w:val="center"/>
              <w:textAlignment w:val="baseline"/>
              <w:rPr>
                <w:rFonts w:ascii="Calibri" w:eastAsia="Calibri" w:hAnsi="Calibri"/>
                <w:color w:val="000000"/>
              </w:rPr>
            </w:pPr>
            <w:r>
              <w:rPr>
                <w:rFonts w:ascii="Calibri" w:eastAsia="Calibri" w:hAnsi="Calibri"/>
                <w:color w:val="000000"/>
              </w:rPr>
              <w:t>2,284</w:t>
            </w:r>
          </w:p>
        </w:tc>
        <w:tc>
          <w:tcPr>
            <w:tcW w:w="1156" w:type="dxa"/>
            <w:tcBorders>
              <w:top w:val="single" w:sz="7" w:space="0" w:color="000000"/>
              <w:left w:val="single" w:sz="7" w:space="0" w:color="000000"/>
              <w:bottom w:val="single" w:sz="7" w:space="0" w:color="000000"/>
              <w:right w:val="single" w:sz="7" w:space="0" w:color="000000"/>
            </w:tcBorders>
            <w:vAlign w:val="center"/>
          </w:tcPr>
          <w:p w14:paraId="214976E1" w14:textId="77777777" w:rsidR="00132EA6" w:rsidRDefault="009B508A">
            <w:pPr>
              <w:spacing w:before="71" w:after="23" w:line="218" w:lineRule="exact"/>
              <w:jc w:val="center"/>
              <w:textAlignment w:val="baseline"/>
              <w:rPr>
                <w:rFonts w:ascii="Calibri" w:eastAsia="Calibri" w:hAnsi="Calibri"/>
                <w:b/>
                <w:color w:val="000000"/>
              </w:rPr>
            </w:pPr>
            <w:r>
              <w:rPr>
                <w:rFonts w:ascii="Calibri" w:eastAsia="Calibri" w:hAnsi="Calibri"/>
                <w:b/>
                <w:color w:val="000000"/>
              </w:rPr>
              <w:t>3,435</w:t>
            </w:r>
          </w:p>
        </w:tc>
      </w:tr>
      <w:tr w:rsidR="00132EA6" w14:paraId="2E4F9A2E" w14:textId="77777777">
        <w:tblPrEx>
          <w:tblCellMar>
            <w:top w:w="0" w:type="dxa"/>
            <w:bottom w:w="0" w:type="dxa"/>
          </w:tblCellMar>
        </w:tblPrEx>
        <w:trPr>
          <w:trHeight w:hRule="exact" w:val="308"/>
        </w:trPr>
        <w:tc>
          <w:tcPr>
            <w:tcW w:w="3470" w:type="dxa"/>
            <w:tcBorders>
              <w:top w:val="single" w:sz="7" w:space="0" w:color="000000"/>
              <w:left w:val="single" w:sz="7" w:space="0" w:color="000000"/>
              <w:bottom w:val="single" w:sz="7" w:space="0" w:color="000000"/>
              <w:right w:val="single" w:sz="7" w:space="0" w:color="000000"/>
            </w:tcBorders>
            <w:vAlign w:val="center"/>
          </w:tcPr>
          <w:p w14:paraId="4B8DA763" w14:textId="77777777" w:rsidR="00132EA6" w:rsidRDefault="009B508A">
            <w:pPr>
              <w:spacing w:before="63" w:after="9" w:line="226" w:lineRule="exact"/>
              <w:ind w:left="120"/>
              <w:textAlignment w:val="baseline"/>
              <w:rPr>
                <w:rFonts w:ascii="Calibri" w:eastAsia="Calibri" w:hAnsi="Calibri"/>
                <w:color w:val="000000"/>
              </w:rPr>
            </w:pPr>
            <w:r>
              <w:rPr>
                <w:rFonts w:ascii="Calibri" w:eastAsia="Calibri" w:hAnsi="Calibri"/>
                <w:color w:val="000000"/>
              </w:rPr>
              <w:t>The University of Adelaide</w:t>
            </w:r>
          </w:p>
        </w:tc>
        <w:tc>
          <w:tcPr>
            <w:tcW w:w="1436" w:type="dxa"/>
            <w:tcBorders>
              <w:top w:val="single" w:sz="7" w:space="0" w:color="000000"/>
              <w:left w:val="single" w:sz="7" w:space="0" w:color="000000"/>
              <w:bottom w:val="single" w:sz="7" w:space="0" w:color="000000"/>
              <w:right w:val="single" w:sz="7" w:space="0" w:color="000000"/>
            </w:tcBorders>
            <w:vAlign w:val="center"/>
          </w:tcPr>
          <w:p w14:paraId="145B69CB" w14:textId="77777777" w:rsidR="00132EA6" w:rsidRDefault="009B508A">
            <w:pPr>
              <w:spacing w:before="63" w:after="11" w:line="224" w:lineRule="exact"/>
              <w:jc w:val="center"/>
              <w:textAlignment w:val="baseline"/>
              <w:rPr>
                <w:rFonts w:ascii="Calibri" w:eastAsia="Calibri" w:hAnsi="Calibri"/>
                <w:color w:val="000000"/>
              </w:rPr>
            </w:pPr>
            <w:r>
              <w:rPr>
                <w:rFonts w:ascii="Calibri" w:eastAsia="Calibri" w:hAnsi="Calibri"/>
                <w:color w:val="000000"/>
              </w:rPr>
              <w:t>156</w:t>
            </w:r>
          </w:p>
        </w:tc>
        <w:tc>
          <w:tcPr>
            <w:tcW w:w="1608" w:type="dxa"/>
            <w:tcBorders>
              <w:top w:val="single" w:sz="7" w:space="0" w:color="000000"/>
              <w:left w:val="single" w:sz="7" w:space="0" w:color="000000"/>
              <w:bottom w:val="single" w:sz="7" w:space="0" w:color="000000"/>
              <w:right w:val="single" w:sz="7" w:space="0" w:color="000000"/>
            </w:tcBorders>
            <w:vAlign w:val="center"/>
          </w:tcPr>
          <w:p w14:paraId="11F648A5" w14:textId="77777777" w:rsidR="00132EA6" w:rsidRDefault="009B508A">
            <w:pPr>
              <w:spacing w:before="63" w:after="11" w:line="224" w:lineRule="exact"/>
              <w:jc w:val="center"/>
              <w:textAlignment w:val="baseline"/>
              <w:rPr>
                <w:rFonts w:ascii="Calibri" w:eastAsia="Calibri" w:hAnsi="Calibri"/>
                <w:color w:val="000000"/>
              </w:rPr>
            </w:pPr>
            <w:r>
              <w:rPr>
                <w:rFonts w:ascii="Calibri" w:eastAsia="Calibri" w:hAnsi="Calibri"/>
                <w:color w:val="000000"/>
              </w:rPr>
              <w:t>699</w:t>
            </w:r>
          </w:p>
        </w:tc>
        <w:tc>
          <w:tcPr>
            <w:tcW w:w="1156" w:type="dxa"/>
            <w:tcBorders>
              <w:top w:val="single" w:sz="7" w:space="0" w:color="000000"/>
              <w:left w:val="single" w:sz="7" w:space="0" w:color="000000"/>
              <w:bottom w:val="single" w:sz="7" w:space="0" w:color="000000"/>
              <w:right w:val="single" w:sz="7" w:space="0" w:color="000000"/>
            </w:tcBorders>
            <w:vAlign w:val="center"/>
          </w:tcPr>
          <w:p w14:paraId="304DA8C0" w14:textId="77777777" w:rsidR="00132EA6" w:rsidRDefault="009B508A">
            <w:pPr>
              <w:spacing w:before="63" w:after="17" w:line="218" w:lineRule="exact"/>
              <w:jc w:val="center"/>
              <w:textAlignment w:val="baseline"/>
              <w:rPr>
                <w:rFonts w:ascii="Calibri" w:eastAsia="Calibri" w:hAnsi="Calibri"/>
                <w:b/>
                <w:color w:val="000000"/>
              </w:rPr>
            </w:pPr>
            <w:r>
              <w:rPr>
                <w:rFonts w:ascii="Calibri" w:eastAsia="Calibri" w:hAnsi="Calibri"/>
                <w:b/>
                <w:color w:val="000000"/>
              </w:rPr>
              <w:t>855</w:t>
            </w:r>
          </w:p>
        </w:tc>
      </w:tr>
      <w:tr w:rsidR="00132EA6" w14:paraId="5C4E378B" w14:textId="77777777">
        <w:tblPrEx>
          <w:tblCellMar>
            <w:top w:w="0" w:type="dxa"/>
            <w:bottom w:w="0" w:type="dxa"/>
          </w:tblCellMar>
        </w:tblPrEx>
        <w:trPr>
          <w:trHeight w:hRule="exact" w:val="312"/>
        </w:trPr>
        <w:tc>
          <w:tcPr>
            <w:tcW w:w="3470" w:type="dxa"/>
            <w:tcBorders>
              <w:top w:val="single" w:sz="7" w:space="0" w:color="000000"/>
              <w:left w:val="single" w:sz="7" w:space="0" w:color="000000"/>
              <w:bottom w:val="single" w:sz="7" w:space="0" w:color="000000"/>
              <w:right w:val="single" w:sz="7" w:space="0" w:color="000000"/>
            </w:tcBorders>
            <w:vAlign w:val="center"/>
          </w:tcPr>
          <w:p w14:paraId="3EDA94AD" w14:textId="77777777" w:rsidR="00132EA6" w:rsidRDefault="009B508A">
            <w:pPr>
              <w:spacing w:before="67" w:after="14" w:line="226" w:lineRule="exact"/>
              <w:ind w:left="120"/>
              <w:textAlignment w:val="baseline"/>
              <w:rPr>
                <w:rFonts w:ascii="Calibri" w:eastAsia="Calibri" w:hAnsi="Calibri"/>
                <w:color w:val="000000"/>
              </w:rPr>
            </w:pPr>
            <w:r>
              <w:rPr>
                <w:rFonts w:ascii="Calibri" w:eastAsia="Calibri" w:hAnsi="Calibri"/>
                <w:color w:val="000000"/>
              </w:rPr>
              <w:t>The University of Melbourne</w:t>
            </w:r>
          </w:p>
        </w:tc>
        <w:tc>
          <w:tcPr>
            <w:tcW w:w="1436" w:type="dxa"/>
            <w:tcBorders>
              <w:top w:val="single" w:sz="7" w:space="0" w:color="000000"/>
              <w:left w:val="single" w:sz="7" w:space="0" w:color="000000"/>
              <w:bottom w:val="single" w:sz="7" w:space="0" w:color="000000"/>
              <w:right w:val="single" w:sz="7" w:space="0" w:color="000000"/>
            </w:tcBorders>
            <w:vAlign w:val="center"/>
          </w:tcPr>
          <w:p w14:paraId="62869300" w14:textId="77777777" w:rsidR="00132EA6" w:rsidRDefault="009B508A">
            <w:pPr>
              <w:spacing w:before="67" w:after="16" w:line="224" w:lineRule="exact"/>
              <w:jc w:val="center"/>
              <w:textAlignment w:val="baseline"/>
              <w:rPr>
                <w:rFonts w:ascii="Calibri" w:eastAsia="Calibri" w:hAnsi="Calibri"/>
                <w:color w:val="000000"/>
              </w:rPr>
            </w:pPr>
            <w:r>
              <w:rPr>
                <w:rFonts w:ascii="Calibri" w:eastAsia="Calibri" w:hAnsi="Calibri"/>
                <w:color w:val="000000"/>
              </w:rPr>
              <w:t>1,468</w:t>
            </w:r>
          </w:p>
        </w:tc>
        <w:tc>
          <w:tcPr>
            <w:tcW w:w="1608" w:type="dxa"/>
            <w:tcBorders>
              <w:top w:val="single" w:sz="7" w:space="0" w:color="000000"/>
              <w:left w:val="single" w:sz="7" w:space="0" w:color="000000"/>
              <w:bottom w:val="single" w:sz="7" w:space="0" w:color="000000"/>
              <w:right w:val="single" w:sz="7" w:space="0" w:color="000000"/>
            </w:tcBorders>
            <w:vAlign w:val="center"/>
          </w:tcPr>
          <w:p w14:paraId="5FC26541" w14:textId="77777777" w:rsidR="00132EA6" w:rsidRDefault="009B508A">
            <w:pPr>
              <w:spacing w:before="67" w:after="24" w:line="216" w:lineRule="exact"/>
              <w:jc w:val="center"/>
              <w:textAlignment w:val="baseline"/>
              <w:rPr>
                <w:rFonts w:ascii="Calibri" w:eastAsia="Calibri" w:hAnsi="Calibri"/>
                <w:i/>
                <w:color w:val="000000"/>
              </w:rPr>
            </w:pPr>
            <w:r>
              <w:rPr>
                <w:rFonts w:ascii="Calibri" w:eastAsia="Calibri" w:hAnsi="Calibri"/>
                <w:i/>
                <w:color w:val="000000"/>
              </w:rPr>
              <w:t>n/a</w:t>
            </w:r>
          </w:p>
        </w:tc>
        <w:tc>
          <w:tcPr>
            <w:tcW w:w="1156" w:type="dxa"/>
            <w:tcBorders>
              <w:top w:val="single" w:sz="7" w:space="0" w:color="000000"/>
              <w:left w:val="single" w:sz="7" w:space="0" w:color="000000"/>
              <w:bottom w:val="single" w:sz="7" w:space="0" w:color="000000"/>
              <w:right w:val="single" w:sz="7" w:space="0" w:color="000000"/>
            </w:tcBorders>
            <w:vAlign w:val="center"/>
          </w:tcPr>
          <w:p w14:paraId="3FB34AED" w14:textId="77777777" w:rsidR="00132EA6" w:rsidRDefault="009B508A">
            <w:pPr>
              <w:spacing w:before="67" w:after="22" w:line="218" w:lineRule="exact"/>
              <w:jc w:val="center"/>
              <w:textAlignment w:val="baseline"/>
              <w:rPr>
                <w:rFonts w:ascii="Calibri" w:eastAsia="Calibri" w:hAnsi="Calibri"/>
                <w:b/>
                <w:color w:val="000000"/>
              </w:rPr>
            </w:pPr>
            <w:r>
              <w:rPr>
                <w:rFonts w:ascii="Calibri" w:eastAsia="Calibri" w:hAnsi="Calibri"/>
                <w:b/>
                <w:color w:val="000000"/>
              </w:rPr>
              <w:t>1,468</w:t>
            </w:r>
          </w:p>
        </w:tc>
      </w:tr>
      <w:tr w:rsidR="00132EA6" w14:paraId="012420AD" w14:textId="77777777">
        <w:tblPrEx>
          <w:tblCellMar>
            <w:top w:w="0" w:type="dxa"/>
            <w:bottom w:w="0" w:type="dxa"/>
          </w:tblCellMar>
        </w:tblPrEx>
        <w:trPr>
          <w:trHeight w:hRule="exact" w:val="307"/>
        </w:trPr>
        <w:tc>
          <w:tcPr>
            <w:tcW w:w="3470" w:type="dxa"/>
            <w:tcBorders>
              <w:top w:val="single" w:sz="7" w:space="0" w:color="000000"/>
              <w:left w:val="single" w:sz="7" w:space="0" w:color="000000"/>
              <w:bottom w:val="single" w:sz="7" w:space="0" w:color="000000"/>
              <w:right w:val="single" w:sz="7" w:space="0" w:color="000000"/>
            </w:tcBorders>
            <w:vAlign w:val="center"/>
          </w:tcPr>
          <w:p w14:paraId="3FB5BA58" w14:textId="77777777" w:rsidR="00132EA6" w:rsidRDefault="009B508A">
            <w:pPr>
              <w:spacing w:before="62" w:after="9" w:line="226" w:lineRule="exact"/>
              <w:ind w:left="120"/>
              <w:textAlignment w:val="baseline"/>
              <w:rPr>
                <w:rFonts w:ascii="Calibri" w:eastAsia="Calibri" w:hAnsi="Calibri"/>
                <w:color w:val="000000"/>
              </w:rPr>
            </w:pPr>
            <w:r>
              <w:rPr>
                <w:rFonts w:ascii="Calibri" w:eastAsia="Calibri" w:hAnsi="Calibri"/>
                <w:color w:val="000000"/>
              </w:rPr>
              <w:t>The University of Queensland</w:t>
            </w:r>
          </w:p>
        </w:tc>
        <w:tc>
          <w:tcPr>
            <w:tcW w:w="1436" w:type="dxa"/>
            <w:tcBorders>
              <w:top w:val="single" w:sz="7" w:space="0" w:color="000000"/>
              <w:left w:val="single" w:sz="7" w:space="0" w:color="000000"/>
              <w:bottom w:val="single" w:sz="7" w:space="0" w:color="000000"/>
              <w:right w:val="single" w:sz="7" w:space="0" w:color="000000"/>
            </w:tcBorders>
            <w:vAlign w:val="center"/>
          </w:tcPr>
          <w:p w14:paraId="39BA9C8F" w14:textId="77777777" w:rsidR="00132EA6" w:rsidRDefault="009B508A">
            <w:pPr>
              <w:spacing w:before="62" w:after="11" w:line="224" w:lineRule="exact"/>
              <w:jc w:val="center"/>
              <w:textAlignment w:val="baseline"/>
              <w:rPr>
                <w:rFonts w:ascii="Calibri" w:eastAsia="Calibri" w:hAnsi="Calibri"/>
                <w:color w:val="000000"/>
              </w:rPr>
            </w:pPr>
            <w:r>
              <w:rPr>
                <w:rFonts w:ascii="Calibri" w:eastAsia="Calibri" w:hAnsi="Calibri"/>
                <w:color w:val="000000"/>
              </w:rPr>
              <w:t>143</w:t>
            </w:r>
          </w:p>
        </w:tc>
        <w:tc>
          <w:tcPr>
            <w:tcW w:w="1608" w:type="dxa"/>
            <w:tcBorders>
              <w:top w:val="single" w:sz="7" w:space="0" w:color="000000"/>
              <w:left w:val="single" w:sz="7" w:space="0" w:color="000000"/>
              <w:bottom w:val="single" w:sz="7" w:space="0" w:color="000000"/>
              <w:right w:val="single" w:sz="7" w:space="0" w:color="000000"/>
            </w:tcBorders>
            <w:vAlign w:val="center"/>
          </w:tcPr>
          <w:p w14:paraId="4714E494" w14:textId="77777777" w:rsidR="00132EA6" w:rsidRDefault="009B508A">
            <w:pPr>
              <w:spacing w:before="62" w:after="11" w:line="224" w:lineRule="exact"/>
              <w:jc w:val="center"/>
              <w:textAlignment w:val="baseline"/>
              <w:rPr>
                <w:rFonts w:ascii="Calibri" w:eastAsia="Calibri" w:hAnsi="Calibri"/>
                <w:color w:val="000000"/>
              </w:rPr>
            </w:pPr>
            <w:r>
              <w:rPr>
                <w:rFonts w:ascii="Calibri" w:eastAsia="Calibri" w:hAnsi="Calibri"/>
                <w:color w:val="000000"/>
              </w:rPr>
              <w:t>1,399</w:t>
            </w:r>
          </w:p>
        </w:tc>
        <w:tc>
          <w:tcPr>
            <w:tcW w:w="1156" w:type="dxa"/>
            <w:tcBorders>
              <w:top w:val="single" w:sz="7" w:space="0" w:color="000000"/>
              <w:left w:val="single" w:sz="7" w:space="0" w:color="000000"/>
              <w:bottom w:val="single" w:sz="7" w:space="0" w:color="000000"/>
              <w:right w:val="single" w:sz="7" w:space="0" w:color="000000"/>
            </w:tcBorders>
            <w:vAlign w:val="center"/>
          </w:tcPr>
          <w:p w14:paraId="0791D850" w14:textId="77777777" w:rsidR="00132EA6" w:rsidRDefault="009B508A">
            <w:pPr>
              <w:spacing w:before="62" w:after="17" w:line="218" w:lineRule="exact"/>
              <w:jc w:val="center"/>
              <w:textAlignment w:val="baseline"/>
              <w:rPr>
                <w:rFonts w:ascii="Calibri" w:eastAsia="Calibri" w:hAnsi="Calibri"/>
                <w:b/>
                <w:color w:val="000000"/>
              </w:rPr>
            </w:pPr>
            <w:r>
              <w:rPr>
                <w:rFonts w:ascii="Calibri" w:eastAsia="Calibri" w:hAnsi="Calibri"/>
                <w:b/>
                <w:color w:val="000000"/>
              </w:rPr>
              <w:t>1,542</w:t>
            </w:r>
          </w:p>
        </w:tc>
      </w:tr>
      <w:tr w:rsidR="00132EA6" w14:paraId="478AACDC" w14:textId="77777777">
        <w:tblPrEx>
          <w:tblCellMar>
            <w:top w:w="0" w:type="dxa"/>
            <w:bottom w:w="0" w:type="dxa"/>
          </w:tblCellMar>
        </w:tblPrEx>
        <w:trPr>
          <w:trHeight w:hRule="exact" w:val="312"/>
        </w:trPr>
        <w:tc>
          <w:tcPr>
            <w:tcW w:w="3470" w:type="dxa"/>
            <w:tcBorders>
              <w:top w:val="single" w:sz="7" w:space="0" w:color="000000"/>
              <w:left w:val="single" w:sz="7" w:space="0" w:color="000000"/>
              <w:bottom w:val="single" w:sz="7" w:space="0" w:color="000000"/>
              <w:right w:val="single" w:sz="7" w:space="0" w:color="000000"/>
            </w:tcBorders>
            <w:vAlign w:val="center"/>
          </w:tcPr>
          <w:p w14:paraId="62063562" w14:textId="77777777" w:rsidR="00132EA6" w:rsidRDefault="009B508A">
            <w:pPr>
              <w:spacing w:before="67" w:after="14" w:line="226" w:lineRule="exact"/>
              <w:ind w:left="120"/>
              <w:textAlignment w:val="baseline"/>
              <w:rPr>
                <w:rFonts w:ascii="Calibri" w:eastAsia="Calibri" w:hAnsi="Calibri"/>
                <w:color w:val="000000"/>
              </w:rPr>
            </w:pPr>
            <w:r>
              <w:rPr>
                <w:rFonts w:ascii="Calibri" w:eastAsia="Calibri" w:hAnsi="Calibri"/>
                <w:color w:val="000000"/>
              </w:rPr>
              <w:t>The University of Sydney</w:t>
            </w:r>
          </w:p>
        </w:tc>
        <w:tc>
          <w:tcPr>
            <w:tcW w:w="1436" w:type="dxa"/>
            <w:tcBorders>
              <w:top w:val="single" w:sz="7" w:space="0" w:color="000000"/>
              <w:left w:val="single" w:sz="7" w:space="0" w:color="000000"/>
              <w:bottom w:val="single" w:sz="7" w:space="0" w:color="000000"/>
              <w:right w:val="single" w:sz="7" w:space="0" w:color="000000"/>
            </w:tcBorders>
            <w:vAlign w:val="center"/>
          </w:tcPr>
          <w:p w14:paraId="233AD4B6" w14:textId="77777777" w:rsidR="00132EA6" w:rsidRDefault="009B508A">
            <w:pPr>
              <w:spacing w:before="67" w:after="16" w:line="224" w:lineRule="exact"/>
              <w:jc w:val="center"/>
              <w:textAlignment w:val="baseline"/>
              <w:rPr>
                <w:rFonts w:ascii="Calibri" w:eastAsia="Calibri" w:hAnsi="Calibri"/>
                <w:color w:val="000000"/>
              </w:rPr>
            </w:pPr>
            <w:r>
              <w:rPr>
                <w:rFonts w:ascii="Calibri" w:eastAsia="Calibri" w:hAnsi="Calibri"/>
                <w:color w:val="000000"/>
              </w:rPr>
              <w:t>414</w:t>
            </w:r>
          </w:p>
        </w:tc>
        <w:tc>
          <w:tcPr>
            <w:tcW w:w="1608" w:type="dxa"/>
            <w:tcBorders>
              <w:top w:val="single" w:sz="7" w:space="0" w:color="000000"/>
              <w:left w:val="single" w:sz="7" w:space="0" w:color="000000"/>
              <w:bottom w:val="single" w:sz="7" w:space="0" w:color="000000"/>
              <w:right w:val="single" w:sz="7" w:space="0" w:color="000000"/>
            </w:tcBorders>
            <w:vAlign w:val="center"/>
          </w:tcPr>
          <w:p w14:paraId="22FEFC79" w14:textId="77777777" w:rsidR="00132EA6" w:rsidRDefault="009B508A">
            <w:pPr>
              <w:spacing w:before="67" w:after="16" w:line="224" w:lineRule="exact"/>
              <w:jc w:val="center"/>
              <w:textAlignment w:val="baseline"/>
              <w:rPr>
                <w:rFonts w:ascii="Calibri" w:eastAsia="Calibri" w:hAnsi="Calibri"/>
                <w:color w:val="000000"/>
              </w:rPr>
            </w:pPr>
            <w:r>
              <w:rPr>
                <w:rFonts w:ascii="Calibri" w:eastAsia="Calibri" w:hAnsi="Calibri"/>
                <w:color w:val="000000"/>
              </w:rPr>
              <w:t>1,547</w:t>
            </w:r>
          </w:p>
        </w:tc>
        <w:tc>
          <w:tcPr>
            <w:tcW w:w="1156" w:type="dxa"/>
            <w:tcBorders>
              <w:top w:val="single" w:sz="7" w:space="0" w:color="000000"/>
              <w:left w:val="single" w:sz="7" w:space="0" w:color="000000"/>
              <w:bottom w:val="single" w:sz="7" w:space="0" w:color="000000"/>
              <w:right w:val="single" w:sz="7" w:space="0" w:color="000000"/>
            </w:tcBorders>
            <w:vAlign w:val="center"/>
          </w:tcPr>
          <w:p w14:paraId="2B2863D5" w14:textId="77777777" w:rsidR="00132EA6" w:rsidRDefault="009B508A">
            <w:pPr>
              <w:spacing w:before="67" w:after="22" w:line="218" w:lineRule="exact"/>
              <w:jc w:val="center"/>
              <w:textAlignment w:val="baseline"/>
              <w:rPr>
                <w:rFonts w:ascii="Calibri" w:eastAsia="Calibri" w:hAnsi="Calibri"/>
                <w:b/>
                <w:color w:val="000000"/>
              </w:rPr>
            </w:pPr>
            <w:r>
              <w:rPr>
                <w:rFonts w:ascii="Calibri" w:eastAsia="Calibri" w:hAnsi="Calibri"/>
                <w:b/>
                <w:color w:val="000000"/>
              </w:rPr>
              <w:t>1,961</w:t>
            </w:r>
          </w:p>
        </w:tc>
      </w:tr>
      <w:tr w:rsidR="00132EA6" w14:paraId="2731C108" w14:textId="77777777">
        <w:tblPrEx>
          <w:tblCellMar>
            <w:top w:w="0" w:type="dxa"/>
            <w:bottom w:w="0" w:type="dxa"/>
          </w:tblCellMar>
        </w:tblPrEx>
        <w:trPr>
          <w:trHeight w:hRule="exact" w:val="307"/>
        </w:trPr>
        <w:tc>
          <w:tcPr>
            <w:tcW w:w="3470" w:type="dxa"/>
            <w:tcBorders>
              <w:top w:val="single" w:sz="7" w:space="0" w:color="000000"/>
              <w:left w:val="single" w:sz="7" w:space="0" w:color="000000"/>
              <w:bottom w:val="single" w:sz="7" w:space="0" w:color="000000"/>
              <w:right w:val="single" w:sz="7" w:space="0" w:color="000000"/>
            </w:tcBorders>
            <w:vAlign w:val="center"/>
          </w:tcPr>
          <w:p w14:paraId="2E163C87" w14:textId="77777777" w:rsidR="00132EA6" w:rsidRDefault="009B508A">
            <w:pPr>
              <w:spacing w:before="62" w:after="9" w:line="226" w:lineRule="exact"/>
              <w:ind w:left="120"/>
              <w:textAlignment w:val="baseline"/>
              <w:rPr>
                <w:rFonts w:ascii="Calibri" w:eastAsia="Calibri" w:hAnsi="Calibri"/>
                <w:color w:val="000000"/>
              </w:rPr>
            </w:pPr>
            <w:r>
              <w:rPr>
                <w:rFonts w:ascii="Calibri" w:eastAsia="Calibri" w:hAnsi="Calibri"/>
                <w:color w:val="000000"/>
              </w:rPr>
              <w:t>The University of Western Australia</w:t>
            </w:r>
          </w:p>
        </w:tc>
        <w:tc>
          <w:tcPr>
            <w:tcW w:w="1436" w:type="dxa"/>
            <w:tcBorders>
              <w:top w:val="single" w:sz="7" w:space="0" w:color="000000"/>
              <w:left w:val="single" w:sz="7" w:space="0" w:color="000000"/>
              <w:bottom w:val="single" w:sz="7" w:space="0" w:color="000000"/>
              <w:right w:val="single" w:sz="7" w:space="0" w:color="000000"/>
            </w:tcBorders>
            <w:vAlign w:val="center"/>
          </w:tcPr>
          <w:p w14:paraId="261CE142" w14:textId="77777777" w:rsidR="00132EA6" w:rsidRDefault="009B508A">
            <w:pPr>
              <w:spacing w:before="62" w:after="11" w:line="224" w:lineRule="exact"/>
              <w:jc w:val="center"/>
              <w:textAlignment w:val="baseline"/>
              <w:rPr>
                <w:rFonts w:ascii="Calibri" w:eastAsia="Calibri" w:hAnsi="Calibri"/>
                <w:color w:val="000000"/>
              </w:rPr>
            </w:pPr>
            <w:r>
              <w:rPr>
                <w:rFonts w:ascii="Calibri" w:eastAsia="Calibri" w:hAnsi="Calibri"/>
                <w:color w:val="000000"/>
              </w:rPr>
              <w:t>352</w:t>
            </w:r>
          </w:p>
        </w:tc>
        <w:tc>
          <w:tcPr>
            <w:tcW w:w="1608" w:type="dxa"/>
            <w:tcBorders>
              <w:top w:val="single" w:sz="7" w:space="0" w:color="000000"/>
              <w:left w:val="single" w:sz="7" w:space="0" w:color="000000"/>
              <w:bottom w:val="single" w:sz="7" w:space="0" w:color="000000"/>
              <w:right w:val="single" w:sz="7" w:space="0" w:color="000000"/>
            </w:tcBorders>
            <w:vAlign w:val="center"/>
          </w:tcPr>
          <w:p w14:paraId="3CFA6F21" w14:textId="77777777" w:rsidR="00132EA6" w:rsidRDefault="009B508A">
            <w:pPr>
              <w:spacing w:before="62" w:after="18" w:line="217" w:lineRule="exact"/>
              <w:jc w:val="center"/>
              <w:textAlignment w:val="baseline"/>
              <w:rPr>
                <w:rFonts w:ascii="Calibri" w:eastAsia="Calibri" w:hAnsi="Calibri"/>
                <w:i/>
                <w:color w:val="000000"/>
              </w:rPr>
            </w:pPr>
            <w:r>
              <w:rPr>
                <w:rFonts w:ascii="Calibri" w:eastAsia="Calibri" w:hAnsi="Calibri"/>
                <w:i/>
                <w:color w:val="000000"/>
              </w:rPr>
              <w:t>n/a</w:t>
            </w:r>
          </w:p>
        </w:tc>
        <w:tc>
          <w:tcPr>
            <w:tcW w:w="1156" w:type="dxa"/>
            <w:tcBorders>
              <w:top w:val="single" w:sz="7" w:space="0" w:color="000000"/>
              <w:left w:val="single" w:sz="7" w:space="0" w:color="000000"/>
              <w:bottom w:val="single" w:sz="7" w:space="0" w:color="000000"/>
              <w:right w:val="single" w:sz="7" w:space="0" w:color="000000"/>
            </w:tcBorders>
            <w:vAlign w:val="center"/>
          </w:tcPr>
          <w:p w14:paraId="6E8609C5" w14:textId="77777777" w:rsidR="00132EA6" w:rsidRDefault="009B508A">
            <w:pPr>
              <w:spacing w:before="62" w:after="17" w:line="218" w:lineRule="exact"/>
              <w:jc w:val="center"/>
              <w:textAlignment w:val="baseline"/>
              <w:rPr>
                <w:rFonts w:ascii="Calibri" w:eastAsia="Calibri" w:hAnsi="Calibri"/>
                <w:b/>
                <w:color w:val="000000"/>
              </w:rPr>
            </w:pPr>
            <w:r>
              <w:rPr>
                <w:rFonts w:ascii="Calibri" w:eastAsia="Calibri" w:hAnsi="Calibri"/>
                <w:b/>
                <w:color w:val="000000"/>
              </w:rPr>
              <w:t>352</w:t>
            </w:r>
          </w:p>
        </w:tc>
      </w:tr>
      <w:tr w:rsidR="00132EA6" w14:paraId="50F6426B" w14:textId="77777777">
        <w:tblPrEx>
          <w:tblCellMar>
            <w:top w:w="0" w:type="dxa"/>
            <w:bottom w:w="0" w:type="dxa"/>
          </w:tblCellMar>
        </w:tblPrEx>
        <w:trPr>
          <w:trHeight w:hRule="exact" w:val="331"/>
        </w:trPr>
        <w:tc>
          <w:tcPr>
            <w:tcW w:w="3470" w:type="dxa"/>
            <w:tcBorders>
              <w:top w:val="single" w:sz="7" w:space="0" w:color="000000"/>
              <w:left w:val="single" w:sz="7" w:space="0" w:color="000000"/>
              <w:bottom w:val="single" w:sz="7" w:space="0" w:color="000000"/>
              <w:right w:val="single" w:sz="7" w:space="0" w:color="000000"/>
            </w:tcBorders>
            <w:vAlign w:val="center"/>
          </w:tcPr>
          <w:p w14:paraId="3AC70A20" w14:textId="77777777" w:rsidR="00132EA6" w:rsidRDefault="009B508A">
            <w:pPr>
              <w:spacing w:before="81" w:after="14" w:line="227" w:lineRule="exact"/>
              <w:ind w:left="120"/>
              <w:textAlignment w:val="baseline"/>
              <w:rPr>
                <w:rFonts w:ascii="Calibri" w:eastAsia="Calibri" w:hAnsi="Calibri"/>
                <w:color w:val="000000"/>
              </w:rPr>
            </w:pPr>
            <w:r>
              <w:rPr>
                <w:rFonts w:ascii="Calibri" w:eastAsia="Calibri" w:hAnsi="Calibri"/>
                <w:color w:val="000000"/>
              </w:rPr>
              <w:t>University of New South Wales</w:t>
            </w:r>
          </w:p>
        </w:tc>
        <w:tc>
          <w:tcPr>
            <w:tcW w:w="1436" w:type="dxa"/>
            <w:tcBorders>
              <w:top w:val="single" w:sz="7" w:space="0" w:color="000000"/>
              <w:left w:val="single" w:sz="7" w:space="0" w:color="000000"/>
              <w:bottom w:val="single" w:sz="7" w:space="0" w:color="000000"/>
              <w:right w:val="single" w:sz="7" w:space="0" w:color="000000"/>
            </w:tcBorders>
            <w:vAlign w:val="center"/>
          </w:tcPr>
          <w:p w14:paraId="00DC4CA3" w14:textId="77777777" w:rsidR="00132EA6" w:rsidRDefault="009B508A">
            <w:pPr>
              <w:spacing w:before="81" w:after="17" w:line="224" w:lineRule="exact"/>
              <w:jc w:val="center"/>
              <w:textAlignment w:val="baseline"/>
              <w:rPr>
                <w:rFonts w:ascii="Calibri" w:eastAsia="Calibri" w:hAnsi="Calibri"/>
                <w:color w:val="000000"/>
              </w:rPr>
            </w:pPr>
            <w:r>
              <w:rPr>
                <w:rFonts w:ascii="Calibri" w:eastAsia="Calibri" w:hAnsi="Calibri"/>
                <w:color w:val="000000"/>
              </w:rPr>
              <w:t>244</w:t>
            </w:r>
          </w:p>
        </w:tc>
        <w:tc>
          <w:tcPr>
            <w:tcW w:w="1608" w:type="dxa"/>
            <w:tcBorders>
              <w:top w:val="single" w:sz="7" w:space="0" w:color="000000"/>
              <w:left w:val="single" w:sz="7" w:space="0" w:color="000000"/>
              <w:bottom w:val="single" w:sz="7" w:space="0" w:color="000000"/>
              <w:right w:val="single" w:sz="7" w:space="0" w:color="000000"/>
            </w:tcBorders>
            <w:vAlign w:val="center"/>
          </w:tcPr>
          <w:p w14:paraId="1E74C8FB" w14:textId="77777777" w:rsidR="00132EA6" w:rsidRDefault="009B508A">
            <w:pPr>
              <w:spacing w:before="81" w:after="17" w:line="224" w:lineRule="exact"/>
              <w:jc w:val="center"/>
              <w:textAlignment w:val="baseline"/>
              <w:rPr>
                <w:rFonts w:ascii="Calibri" w:eastAsia="Calibri" w:hAnsi="Calibri"/>
                <w:color w:val="000000"/>
              </w:rPr>
            </w:pPr>
            <w:r>
              <w:rPr>
                <w:rFonts w:ascii="Calibri" w:eastAsia="Calibri" w:hAnsi="Calibri"/>
                <w:color w:val="000000"/>
              </w:rPr>
              <w:t>957</w:t>
            </w:r>
          </w:p>
        </w:tc>
        <w:tc>
          <w:tcPr>
            <w:tcW w:w="1156" w:type="dxa"/>
            <w:tcBorders>
              <w:top w:val="single" w:sz="7" w:space="0" w:color="000000"/>
              <w:left w:val="single" w:sz="7" w:space="0" w:color="000000"/>
              <w:bottom w:val="single" w:sz="7" w:space="0" w:color="000000"/>
              <w:right w:val="single" w:sz="7" w:space="0" w:color="000000"/>
            </w:tcBorders>
            <w:vAlign w:val="center"/>
          </w:tcPr>
          <w:p w14:paraId="014F0EC5" w14:textId="77777777" w:rsidR="00132EA6" w:rsidRDefault="009B508A">
            <w:pPr>
              <w:spacing w:before="81" w:after="23" w:line="218" w:lineRule="exact"/>
              <w:jc w:val="center"/>
              <w:textAlignment w:val="baseline"/>
              <w:rPr>
                <w:rFonts w:ascii="Calibri" w:eastAsia="Calibri" w:hAnsi="Calibri"/>
                <w:b/>
                <w:color w:val="000000"/>
              </w:rPr>
            </w:pPr>
            <w:r>
              <w:rPr>
                <w:rFonts w:ascii="Calibri" w:eastAsia="Calibri" w:hAnsi="Calibri"/>
                <w:b/>
                <w:color w:val="000000"/>
              </w:rPr>
              <w:t>1,201</w:t>
            </w:r>
          </w:p>
        </w:tc>
      </w:tr>
      <w:tr w:rsidR="00132EA6" w14:paraId="4ADC4394" w14:textId="77777777">
        <w:tblPrEx>
          <w:tblCellMar>
            <w:top w:w="0" w:type="dxa"/>
            <w:bottom w:w="0" w:type="dxa"/>
          </w:tblCellMar>
        </w:tblPrEx>
        <w:trPr>
          <w:trHeight w:hRule="exact" w:val="351"/>
        </w:trPr>
        <w:tc>
          <w:tcPr>
            <w:tcW w:w="3470" w:type="dxa"/>
            <w:tcBorders>
              <w:top w:val="single" w:sz="7" w:space="0" w:color="000000"/>
              <w:left w:val="single" w:sz="7" w:space="0" w:color="000000"/>
              <w:bottom w:val="single" w:sz="7" w:space="0" w:color="000000"/>
              <w:right w:val="single" w:sz="7" w:space="0" w:color="000000"/>
            </w:tcBorders>
            <w:vAlign w:val="center"/>
          </w:tcPr>
          <w:p w14:paraId="125ED077" w14:textId="77777777" w:rsidR="00132EA6" w:rsidRDefault="009B508A">
            <w:pPr>
              <w:spacing w:before="86" w:after="47" w:line="218" w:lineRule="exact"/>
              <w:ind w:right="120"/>
              <w:jc w:val="right"/>
              <w:textAlignment w:val="baseline"/>
              <w:rPr>
                <w:rFonts w:ascii="Calibri" w:eastAsia="Calibri" w:hAnsi="Calibri"/>
                <w:b/>
                <w:color w:val="000000"/>
              </w:rPr>
            </w:pPr>
            <w:r>
              <w:rPr>
                <w:rFonts w:ascii="Calibri" w:eastAsia="Calibri" w:hAnsi="Calibri"/>
                <w:b/>
                <w:color w:val="000000"/>
              </w:rPr>
              <w:t>Total:</w:t>
            </w:r>
          </w:p>
        </w:tc>
        <w:tc>
          <w:tcPr>
            <w:tcW w:w="1436" w:type="dxa"/>
            <w:tcBorders>
              <w:top w:val="single" w:sz="7" w:space="0" w:color="000000"/>
              <w:left w:val="single" w:sz="7" w:space="0" w:color="000000"/>
              <w:bottom w:val="single" w:sz="7" w:space="0" w:color="000000"/>
              <w:right w:val="single" w:sz="7" w:space="0" w:color="000000"/>
            </w:tcBorders>
            <w:vAlign w:val="center"/>
          </w:tcPr>
          <w:p w14:paraId="5A70146F" w14:textId="77777777" w:rsidR="00132EA6" w:rsidRDefault="009B508A">
            <w:pPr>
              <w:spacing w:before="86" w:after="47" w:line="218" w:lineRule="exact"/>
              <w:jc w:val="center"/>
              <w:textAlignment w:val="baseline"/>
              <w:rPr>
                <w:rFonts w:ascii="Calibri" w:eastAsia="Calibri" w:hAnsi="Calibri"/>
                <w:b/>
                <w:color w:val="000000"/>
              </w:rPr>
            </w:pPr>
            <w:r>
              <w:rPr>
                <w:rFonts w:ascii="Calibri" w:eastAsia="Calibri" w:hAnsi="Calibri"/>
                <w:b/>
                <w:color w:val="000000"/>
              </w:rPr>
              <w:t>3,928</w:t>
            </w:r>
          </w:p>
        </w:tc>
        <w:tc>
          <w:tcPr>
            <w:tcW w:w="1608" w:type="dxa"/>
            <w:tcBorders>
              <w:top w:val="single" w:sz="7" w:space="0" w:color="000000"/>
              <w:left w:val="single" w:sz="7" w:space="0" w:color="000000"/>
              <w:bottom w:val="single" w:sz="7" w:space="0" w:color="000000"/>
              <w:right w:val="single" w:sz="7" w:space="0" w:color="000000"/>
            </w:tcBorders>
            <w:vAlign w:val="center"/>
          </w:tcPr>
          <w:p w14:paraId="18CCD0CD" w14:textId="77777777" w:rsidR="00132EA6" w:rsidRDefault="009B508A">
            <w:pPr>
              <w:spacing w:before="86" w:after="47" w:line="218" w:lineRule="exact"/>
              <w:jc w:val="center"/>
              <w:textAlignment w:val="baseline"/>
              <w:rPr>
                <w:rFonts w:ascii="Calibri" w:eastAsia="Calibri" w:hAnsi="Calibri"/>
                <w:b/>
                <w:color w:val="000000"/>
              </w:rPr>
            </w:pPr>
            <w:r>
              <w:rPr>
                <w:rFonts w:ascii="Calibri" w:eastAsia="Calibri" w:hAnsi="Calibri"/>
                <w:b/>
                <w:color w:val="000000"/>
              </w:rPr>
              <w:t>6,886</w:t>
            </w:r>
          </w:p>
        </w:tc>
        <w:tc>
          <w:tcPr>
            <w:tcW w:w="1156" w:type="dxa"/>
            <w:tcBorders>
              <w:top w:val="single" w:sz="7" w:space="0" w:color="000000"/>
              <w:left w:val="single" w:sz="7" w:space="0" w:color="000000"/>
              <w:bottom w:val="single" w:sz="7" w:space="0" w:color="000000"/>
              <w:right w:val="single" w:sz="7" w:space="0" w:color="000000"/>
            </w:tcBorders>
            <w:vAlign w:val="center"/>
          </w:tcPr>
          <w:p w14:paraId="04730039" w14:textId="77777777" w:rsidR="00132EA6" w:rsidRDefault="009B508A">
            <w:pPr>
              <w:spacing w:before="86" w:after="47" w:line="218" w:lineRule="exact"/>
              <w:jc w:val="center"/>
              <w:textAlignment w:val="baseline"/>
              <w:rPr>
                <w:rFonts w:ascii="Calibri" w:eastAsia="Calibri" w:hAnsi="Calibri"/>
                <w:b/>
                <w:color w:val="000000"/>
              </w:rPr>
            </w:pPr>
            <w:r>
              <w:rPr>
                <w:rFonts w:ascii="Calibri" w:eastAsia="Calibri" w:hAnsi="Calibri"/>
                <w:b/>
                <w:color w:val="000000"/>
              </w:rPr>
              <w:t>10,814</w:t>
            </w:r>
          </w:p>
        </w:tc>
      </w:tr>
    </w:tbl>
    <w:p w14:paraId="7F19596E" w14:textId="77777777" w:rsidR="00132EA6" w:rsidRDefault="00132EA6">
      <w:pPr>
        <w:spacing w:after="385" w:line="20" w:lineRule="exact"/>
      </w:pPr>
    </w:p>
    <w:p w14:paraId="0A88DAE8" w14:textId="77777777" w:rsidR="00132EA6" w:rsidRDefault="009B508A">
      <w:pPr>
        <w:spacing w:line="272" w:lineRule="exact"/>
        <w:ind w:left="72"/>
        <w:jc w:val="both"/>
        <w:textAlignment w:val="baseline"/>
        <w:rPr>
          <w:rFonts w:ascii="Calibri" w:eastAsia="Calibri" w:hAnsi="Calibri"/>
          <w:color w:val="000000"/>
        </w:rPr>
      </w:pPr>
      <w:r>
        <w:rPr>
          <w:rFonts w:ascii="Calibri" w:eastAsia="Calibri" w:hAnsi="Calibri"/>
          <w:color w:val="000000"/>
        </w:rPr>
        <w:t>Accordingly, the Go8 accounts for one fifth of all ITE postgraduate students, which is twice the percentage of its undergraduate students.</w:t>
      </w:r>
    </w:p>
    <w:p w14:paraId="3F42B931" w14:textId="77777777" w:rsidR="00132EA6" w:rsidRDefault="009B508A">
      <w:pPr>
        <w:spacing w:before="299" w:after="142" w:line="221" w:lineRule="exact"/>
        <w:ind w:left="72"/>
        <w:jc w:val="center"/>
        <w:textAlignment w:val="baseline"/>
        <w:rPr>
          <w:rFonts w:ascii="Calibri" w:eastAsia="Calibri" w:hAnsi="Calibri"/>
          <w:b/>
          <w:color w:val="000000"/>
          <w:spacing w:val="-1"/>
        </w:rPr>
      </w:pPr>
      <w:r>
        <w:rPr>
          <w:rFonts w:ascii="Calibri" w:eastAsia="Calibri" w:hAnsi="Calibri"/>
          <w:b/>
          <w:color w:val="000000"/>
          <w:spacing w:val="-1"/>
        </w:rPr>
        <w:t>Go8 share of ITE enrolments, 2019</w:t>
      </w:r>
      <w:r>
        <w:rPr>
          <w:rFonts w:ascii="Calibri" w:eastAsia="Calibri" w:hAnsi="Calibri"/>
          <w:color w:val="000000"/>
          <w:spacing w:val="-1"/>
          <w:vertAlign w:val="superscript"/>
        </w:rPr>
        <w:t>3</w:t>
      </w:r>
      <w:r>
        <w:rPr>
          <w:rFonts w:ascii="Calibri" w:eastAsia="Calibri" w:hAnsi="Calibri"/>
          <w:color w:val="000000"/>
          <w:spacing w:val="-1"/>
          <w:sz w:val="14"/>
        </w:rPr>
        <w:t xml:space="preserve"> </w:t>
      </w:r>
    </w:p>
    <w:tbl>
      <w:tblPr>
        <w:tblW w:w="0" w:type="auto"/>
        <w:tblInd w:w="3513" w:type="dxa"/>
        <w:tblLayout w:type="fixed"/>
        <w:tblCellMar>
          <w:left w:w="0" w:type="dxa"/>
          <w:right w:w="0" w:type="dxa"/>
        </w:tblCellMar>
        <w:tblLook w:val="04A0" w:firstRow="1" w:lastRow="0" w:firstColumn="1" w:lastColumn="0" w:noHBand="0" w:noVBand="1"/>
      </w:tblPr>
      <w:tblGrid>
        <w:gridCol w:w="1987"/>
        <w:gridCol w:w="1397"/>
      </w:tblGrid>
      <w:tr w:rsidR="00132EA6" w14:paraId="5168A63C" w14:textId="77777777">
        <w:tblPrEx>
          <w:tblCellMar>
            <w:top w:w="0" w:type="dxa"/>
            <w:bottom w:w="0" w:type="dxa"/>
          </w:tblCellMar>
        </w:tblPrEx>
        <w:trPr>
          <w:trHeight w:hRule="exact" w:val="643"/>
        </w:trPr>
        <w:tc>
          <w:tcPr>
            <w:tcW w:w="1987" w:type="dxa"/>
            <w:tcBorders>
              <w:top w:val="single" w:sz="7" w:space="0" w:color="000000"/>
              <w:left w:val="single" w:sz="7" w:space="0" w:color="000000"/>
              <w:bottom w:val="single" w:sz="7" w:space="0" w:color="000000"/>
              <w:right w:val="single" w:sz="7" w:space="0" w:color="000000"/>
            </w:tcBorders>
            <w:vAlign w:val="center"/>
          </w:tcPr>
          <w:p w14:paraId="7DC76E81" w14:textId="77777777" w:rsidR="00132EA6" w:rsidRDefault="009B508A">
            <w:pPr>
              <w:spacing w:before="220" w:after="192" w:line="226" w:lineRule="exact"/>
              <w:ind w:left="130"/>
              <w:textAlignment w:val="baseline"/>
              <w:rPr>
                <w:rFonts w:ascii="Calibri" w:eastAsia="Calibri" w:hAnsi="Calibri"/>
                <w:b/>
                <w:color w:val="000000"/>
              </w:rPr>
            </w:pPr>
            <w:r>
              <w:rPr>
                <w:rFonts w:ascii="Calibri" w:eastAsia="Calibri" w:hAnsi="Calibri"/>
                <w:b/>
                <w:color w:val="000000"/>
              </w:rPr>
              <w:t>Level of study</w:t>
            </w:r>
          </w:p>
        </w:tc>
        <w:tc>
          <w:tcPr>
            <w:tcW w:w="1397" w:type="dxa"/>
            <w:tcBorders>
              <w:top w:val="single" w:sz="7" w:space="0" w:color="000000"/>
              <w:left w:val="single" w:sz="7" w:space="0" w:color="000000"/>
              <w:bottom w:val="single" w:sz="7" w:space="0" w:color="000000"/>
              <w:right w:val="single" w:sz="7" w:space="0" w:color="000000"/>
            </w:tcBorders>
            <w:vAlign w:val="center"/>
          </w:tcPr>
          <w:p w14:paraId="66E745AB" w14:textId="77777777" w:rsidR="00132EA6" w:rsidRDefault="009B508A">
            <w:pPr>
              <w:spacing w:before="220" w:after="200" w:line="218" w:lineRule="exact"/>
              <w:jc w:val="center"/>
              <w:textAlignment w:val="baseline"/>
              <w:rPr>
                <w:rFonts w:ascii="Calibri" w:eastAsia="Calibri" w:hAnsi="Calibri"/>
                <w:b/>
                <w:color w:val="000000"/>
              </w:rPr>
            </w:pPr>
            <w:r>
              <w:rPr>
                <w:rFonts w:ascii="Calibri" w:eastAsia="Calibri" w:hAnsi="Calibri"/>
                <w:b/>
                <w:color w:val="000000"/>
              </w:rPr>
              <w:t>Go8 share</w:t>
            </w:r>
          </w:p>
        </w:tc>
      </w:tr>
      <w:tr w:rsidR="00132EA6" w14:paraId="5B0C2C36" w14:textId="77777777">
        <w:tblPrEx>
          <w:tblCellMar>
            <w:top w:w="0" w:type="dxa"/>
            <w:bottom w:w="0" w:type="dxa"/>
          </w:tblCellMar>
        </w:tblPrEx>
        <w:trPr>
          <w:trHeight w:hRule="exact" w:val="403"/>
        </w:trPr>
        <w:tc>
          <w:tcPr>
            <w:tcW w:w="1987" w:type="dxa"/>
            <w:tcBorders>
              <w:top w:val="single" w:sz="7" w:space="0" w:color="000000"/>
              <w:left w:val="single" w:sz="7" w:space="0" w:color="000000"/>
              <w:bottom w:val="single" w:sz="7" w:space="0" w:color="000000"/>
              <w:right w:val="single" w:sz="7" w:space="0" w:color="000000"/>
            </w:tcBorders>
          </w:tcPr>
          <w:p w14:paraId="36BE21F7" w14:textId="77777777" w:rsidR="00132EA6" w:rsidRDefault="009B508A">
            <w:pPr>
              <w:spacing w:before="38" w:after="134" w:line="226" w:lineRule="exact"/>
              <w:ind w:left="130"/>
              <w:textAlignment w:val="baseline"/>
              <w:rPr>
                <w:rFonts w:ascii="Calibri" w:eastAsia="Calibri" w:hAnsi="Calibri"/>
                <w:color w:val="000000"/>
              </w:rPr>
            </w:pPr>
            <w:r>
              <w:rPr>
                <w:rFonts w:ascii="Calibri" w:eastAsia="Calibri" w:hAnsi="Calibri"/>
                <w:color w:val="000000"/>
              </w:rPr>
              <w:t>Postgraduate</w:t>
            </w:r>
          </w:p>
        </w:tc>
        <w:tc>
          <w:tcPr>
            <w:tcW w:w="1397" w:type="dxa"/>
            <w:tcBorders>
              <w:top w:val="single" w:sz="7" w:space="0" w:color="000000"/>
              <w:left w:val="single" w:sz="7" w:space="0" w:color="000000"/>
              <w:bottom w:val="single" w:sz="7" w:space="0" w:color="000000"/>
              <w:right w:val="single" w:sz="7" w:space="0" w:color="000000"/>
            </w:tcBorders>
          </w:tcPr>
          <w:p w14:paraId="3729D639" w14:textId="77777777" w:rsidR="00132EA6" w:rsidRDefault="009B508A">
            <w:pPr>
              <w:tabs>
                <w:tab w:val="decimal" w:pos="648"/>
              </w:tabs>
              <w:spacing w:before="38" w:after="136" w:line="224" w:lineRule="exact"/>
              <w:textAlignment w:val="baseline"/>
              <w:rPr>
                <w:rFonts w:ascii="Calibri" w:eastAsia="Calibri" w:hAnsi="Calibri"/>
                <w:color w:val="000000"/>
              </w:rPr>
            </w:pPr>
            <w:r>
              <w:rPr>
                <w:rFonts w:ascii="Calibri" w:eastAsia="Calibri" w:hAnsi="Calibri"/>
                <w:color w:val="000000"/>
              </w:rPr>
              <w:t>20.8%</w:t>
            </w:r>
          </w:p>
        </w:tc>
      </w:tr>
      <w:tr w:rsidR="00132EA6" w14:paraId="4B3FB2A4" w14:textId="77777777">
        <w:tblPrEx>
          <w:tblCellMar>
            <w:top w:w="0" w:type="dxa"/>
            <w:bottom w:w="0" w:type="dxa"/>
          </w:tblCellMar>
        </w:tblPrEx>
        <w:trPr>
          <w:trHeight w:hRule="exact" w:val="399"/>
        </w:trPr>
        <w:tc>
          <w:tcPr>
            <w:tcW w:w="1987" w:type="dxa"/>
            <w:tcBorders>
              <w:top w:val="single" w:sz="7" w:space="0" w:color="000000"/>
              <w:left w:val="single" w:sz="7" w:space="0" w:color="000000"/>
              <w:bottom w:val="single" w:sz="7" w:space="0" w:color="000000"/>
              <w:right w:val="single" w:sz="7" w:space="0" w:color="000000"/>
            </w:tcBorders>
          </w:tcPr>
          <w:p w14:paraId="7D08F5D8" w14:textId="77777777" w:rsidR="00132EA6" w:rsidRDefault="009B508A">
            <w:pPr>
              <w:spacing w:before="33" w:after="139" w:line="226" w:lineRule="exact"/>
              <w:ind w:left="130"/>
              <w:textAlignment w:val="baseline"/>
              <w:rPr>
                <w:rFonts w:ascii="Calibri" w:eastAsia="Calibri" w:hAnsi="Calibri"/>
                <w:color w:val="000000"/>
              </w:rPr>
            </w:pPr>
            <w:r>
              <w:rPr>
                <w:rFonts w:ascii="Calibri" w:eastAsia="Calibri" w:hAnsi="Calibri"/>
                <w:color w:val="000000"/>
              </w:rPr>
              <w:t>Undergraduate</w:t>
            </w:r>
          </w:p>
        </w:tc>
        <w:tc>
          <w:tcPr>
            <w:tcW w:w="1397" w:type="dxa"/>
            <w:tcBorders>
              <w:top w:val="single" w:sz="7" w:space="0" w:color="000000"/>
              <w:left w:val="single" w:sz="7" w:space="0" w:color="000000"/>
              <w:bottom w:val="single" w:sz="7" w:space="0" w:color="000000"/>
              <w:right w:val="single" w:sz="7" w:space="0" w:color="000000"/>
            </w:tcBorders>
          </w:tcPr>
          <w:p w14:paraId="5BCC64B1" w14:textId="77777777" w:rsidR="00132EA6" w:rsidRDefault="009B508A">
            <w:pPr>
              <w:tabs>
                <w:tab w:val="decimal" w:pos="648"/>
              </w:tabs>
              <w:spacing w:before="33" w:after="141" w:line="224" w:lineRule="exact"/>
              <w:textAlignment w:val="baseline"/>
              <w:rPr>
                <w:rFonts w:ascii="Calibri" w:eastAsia="Calibri" w:hAnsi="Calibri"/>
                <w:color w:val="000000"/>
              </w:rPr>
            </w:pPr>
            <w:r>
              <w:rPr>
                <w:rFonts w:ascii="Calibri" w:eastAsia="Calibri" w:hAnsi="Calibri"/>
                <w:color w:val="000000"/>
              </w:rPr>
              <w:t>10.1%</w:t>
            </w:r>
          </w:p>
        </w:tc>
      </w:tr>
      <w:tr w:rsidR="00132EA6" w14:paraId="7ADD9C3F" w14:textId="77777777">
        <w:tblPrEx>
          <w:tblCellMar>
            <w:top w:w="0" w:type="dxa"/>
            <w:bottom w:w="0" w:type="dxa"/>
          </w:tblCellMar>
        </w:tblPrEx>
        <w:trPr>
          <w:trHeight w:hRule="exact" w:val="417"/>
        </w:trPr>
        <w:tc>
          <w:tcPr>
            <w:tcW w:w="1987" w:type="dxa"/>
            <w:tcBorders>
              <w:top w:val="single" w:sz="7" w:space="0" w:color="000000"/>
              <w:left w:val="single" w:sz="7" w:space="0" w:color="000000"/>
              <w:bottom w:val="single" w:sz="7" w:space="0" w:color="000000"/>
              <w:right w:val="single" w:sz="7" w:space="0" w:color="000000"/>
            </w:tcBorders>
          </w:tcPr>
          <w:p w14:paraId="65B51D56" w14:textId="77777777" w:rsidR="00132EA6" w:rsidRDefault="009B508A">
            <w:pPr>
              <w:spacing w:before="33" w:after="143" w:line="226" w:lineRule="exact"/>
              <w:ind w:left="130"/>
              <w:textAlignment w:val="baseline"/>
              <w:rPr>
                <w:rFonts w:ascii="Calibri" w:eastAsia="Calibri" w:hAnsi="Calibri"/>
                <w:color w:val="000000"/>
              </w:rPr>
            </w:pPr>
            <w:r>
              <w:rPr>
                <w:rFonts w:ascii="Calibri" w:eastAsia="Calibri" w:hAnsi="Calibri"/>
                <w:color w:val="000000"/>
              </w:rPr>
              <w:t>Overall average</w:t>
            </w:r>
          </w:p>
        </w:tc>
        <w:tc>
          <w:tcPr>
            <w:tcW w:w="1397" w:type="dxa"/>
            <w:tcBorders>
              <w:top w:val="single" w:sz="7" w:space="0" w:color="000000"/>
              <w:left w:val="single" w:sz="7" w:space="0" w:color="000000"/>
              <w:bottom w:val="single" w:sz="7" w:space="0" w:color="000000"/>
              <w:right w:val="single" w:sz="7" w:space="0" w:color="000000"/>
            </w:tcBorders>
          </w:tcPr>
          <w:p w14:paraId="70334B53" w14:textId="77777777" w:rsidR="00132EA6" w:rsidRDefault="009B508A">
            <w:pPr>
              <w:tabs>
                <w:tab w:val="decimal" w:pos="648"/>
              </w:tabs>
              <w:spacing w:before="33" w:after="145" w:line="224" w:lineRule="exact"/>
              <w:textAlignment w:val="baseline"/>
              <w:rPr>
                <w:rFonts w:ascii="Calibri" w:eastAsia="Calibri" w:hAnsi="Calibri"/>
                <w:color w:val="000000"/>
              </w:rPr>
            </w:pPr>
            <w:r>
              <w:rPr>
                <w:rFonts w:ascii="Calibri" w:eastAsia="Calibri" w:hAnsi="Calibri"/>
                <w:color w:val="000000"/>
              </w:rPr>
              <w:t>12.5%</w:t>
            </w:r>
          </w:p>
        </w:tc>
      </w:tr>
    </w:tbl>
    <w:p w14:paraId="22C008B6" w14:textId="77777777" w:rsidR="00132EA6" w:rsidRDefault="00132EA6">
      <w:pPr>
        <w:spacing w:after="390" w:line="20" w:lineRule="exact"/>
      </w:pPr>
    </w:p>
    <w:p w14:paraId="3C1AF048" w14:textId="77777777" w:rsidR="00132EA6" w:rsidRDefault="009B508A">
      <w:pPr>
        <w:spacing w:line="280" w:lineRule="exact"/>
        <w:ind w:left="72"/>
        <w:jc w:val="both"/>
        <w:textAlignment w:val="baseline"/>
        <w:rPr>
          <w:rFonts w:ascii="Calibri" w:eastAsia="Calibri" w:hAnsi="Calibri"/>
          <w:color w:val="000000"/>
        </w:rPr>
      </w:pPr>
      <w:r>
        <w:rPr>
          <w:rFonts w:ascii="Calibri" w:eastAsia="Calibri" w:hAnsi="Calibri"/>
          <w:color w:val="000000"/>
        </w:rPr>
        <w:t xml:space="preserve">With the Go8’s strong reputation and track record in educating at postgraduate level, </w:t>
      </w:r>
      <w:r>
        <w:rPr>
          <w:rFonts w:ascii="Calibri" w:eastAsia="Calibri" w:hAnsi="Calibri"/>
          <w:b/>
          <w:color w:val="000000"/>
        </w:rPr>
        <w:t>this submission focuses on recommendations to enhance and increase the attraction of Australia’s best teaching talent to Go8 postgraduate ITE cour</w:t>
      </w:r>
      <w:r>
        <w:rPr>
          <w:rFonts w:ascii="Calibri" w:eastAsia="Calibri" w:hAnsi="Calibri"/>
          <w:b/>
          <w:color w:val="000000"/>
        </w:rPr>
        <w:t>ses</w:t>
      </w:r>
      <w:r>
        <w:rPr>
          <w:rFonts w:ascii="Calibri" w:eastAsia="Calibri" w:hAnsi="Calibri"/>
          <w:color w:val="000000"/>
        </w:rPr>
        <w:t>. The Go8 has always stated that it has an ethos of enrolling quality students (with evidence such as a high ATAR level) and delivering Australia quality graduates.</w:t>
      </w:r>
    </w:p>
    <w:p w14:paraId="7080BC8A" w14:textId="77777777" w:rsidR="00132EA6" w:rsidRDefault="009B508A">
      <w:pPr>
        <w:spacing w:before="119" w:after="1195" w:line="290" w:lineRule="exact"/>
        <w:ind w:left="72"/>
        <w:jc w:val="both"/>
        <w:textAlignment w:val="baseline"/>
        <w:rPr>
          <w:rFonts w:ascii="Calibri" w:eastAsia="Calibri" w:hAnsi="Calibri"/>
          <w:color w:val="000000"/>
        </w:rPr>
      </w:pPr>
      <w:r>
        <w:rPr>
          <w:rFonts w:ascii="Calibri" w:eastAsia="Calibri" w:hAnsi="Calibri"/>
          <w:color w:val="000000"/>
        </w:rPr>
        <w:t>Two important areas which the Go8 is determined to advance, is national and regional dem</w:t>
      </w:r>
      <w:r>
        <w:rPr>
          <w:rFonts w:ascii="Calibri" w:eastAsia="Calibri" w:hAnsi="Calibri"/>
          <w:color w:val="000000"/>
        </w:rPr>
        <w:t xml:space="preserve">and for teaching excellence, </w:t>
      </w:r>
      <w:proofErr w:type="gramStart"/>
      <w:r>
        <w:rPr>
          <w:rFonts w:ascii="Calibri" w:eastAsia="Calibri" w:hAnsi="Calibri"/>
          <w:color w:val="000000"/>
        </w:rPr>
        <w:t>and also</w:t>
      </w:r>
      <w:proofErr w:type="gramEnd"/>
      <w:r>
        <w:rPr>
          <w:rFonts w:ascii="Calibri" w:eastAsia="Calibri" w:hAnsi="Calibri"/>
          <w:color w:val="000000"/>
        </w:rPr>
        <w:t xml:space="preserve"> how postgraduate ITE can be </w:t>
      </w:r>
      <w:proofErr w:type="spellStart"/>
      <w:r>
        <w:rPr>
          <w:rFonts w:ascii="Calibri" w:eastAsia="Calibri" w:hAnsi="Calibri"/>
          <w:color w:val="000000"/>
        </w:rPr>
        <w:t>utilised</w:t>
      </w:r>
      <w:proofErr w:type="spellEnd"/>
      <w:r>
        <w:rPr>
          <w:rFonts w:ascii="Calibri" w:eastAsia="Calibri" w:hAnsi="Calibri"/>
          <w:color w:val="000000"/>
        </w:rPr>
        <w:t xml:space="preserve"> as an option to upskill or reskill career-changers who are subject matter experts and who are the right fit to expertly impart that knowledge to school students.</w:t>
      </w:r>
    </w:p>
    <w:p w14:paraId="15CDF7CA" w14:textId="77777777" w:rsidR="00132EA6" w:rsidRDefault="009B508A">
      <w:pPr>
        <w:spacing w:before="111" w:line="246" w:lineRule="exact"/>
        <w:ind w:left="72"/>
        <w:textAlignment w:val="baseline"/>
        <w:rPr>
          <w:rFonts w:ascii="Calibri" w:eastAsia="Calibri" w:hAnsi="Calibri"/>
          <w:color w:val="000000"/>
          <w:sz w:val="13"/>
          <w:vertAlign w:val="superscript"/>
        </w:rPr>
      </w:pPr>
      <w:r>
        <w:pict w14:anchorId="074A8407">
          <v:line id="_x0000_s1028" style="position:absolute;left:0;text-align:left;z-index:251656704;mso-position-horizontal-relative:page;mso-position-vertical-relative:page" from="42.5pt,739.7pt" to="186.75pt,739.7pt" strokeweight="1.2pt">
            <w10:wrap anchorx="page" anchory="page"/>
          </v:line>
        </w:pict>
      </w:r>
      <w:r>
        <w:rPr>
          <w:rFonts w:ascii="Calibri" w:eastAsia="Calibri" w:hAnsi="Calibri"/>
          <w:color w:val="000000"/>
          <w:sz w:val="13"/>
          <w:vertAlign w:val="superscript"/>
        </w:rPr>
        <w:t>1</w:t>
      </w:r>
      <w:r>
        <w:rPr>
          <w:rFonts w:ascii="Calibri" w:eastAsia="Calibri" w:hAnsi="Calibri"/>
          <w:color w:val="000000"/>
          <w:sz w:val="20"/>
        </w:rPr>
        <w:t xml:space="preserve"> 10,814 of a </w:t>
      </w:r>
      <w:proofErr w:type="gramStart"/>
      <w:r>
        <w:rPr>
          <w:rFonts w:ascii="Calibri" w:eastAsia="Calibri" w:hAnsi="Calibri"/>
          <w:color w:val="000000"/>
          <w:sz w:val="20"/>
        </w:rPr>
        <w:t>total</w:t>
      </w:r>
      <w:proofErr w:type="gramEnd"/>
      <w:r>
        <w:rPr>
          <w:rFonts w:ascii="Calibri" w:eastAsia="Calibri" w:hAnsi="Calibri"/>
          <w:color w:val="000000"/>
          <w:sz w:val="20"/>
        </w:rPr>
        <w:t xml:space="preserve"> of 86,813 in 2019; Higher Education Data Cube (</w:t>
      </w:r>
      <w:proofErr w:type="spellStart"/>
      <w:r>
        <w:rPr>
          <w:rFonts w:ascii="Calibri" w:eastAsia="Calibri" w:hAnsi="Calibri"/>
          <w:color w:val="000000"/>
          <w:sz w:val="20"/>
        </w:rPr>
        <w:t>uCube</w:t>
      </w:r>
      <w:proofErr w:type="spellEnd"/>
      <w:r>
        <w:rPr>
          <w:rFonts w:ascii="Calibri" w:eastAsia="Calibri" w:hAnsi="Calibri"/>
          <w:color w:val="000000"/>
          <w:sz w:val="20"/>
        </w:rPr>
        <w:t xml:space="preserve">), July 2021; see: </w:t>
      </w:r>
      <w:r>
        <w:rPr>
          <w:rFonts w:ascii="Calibri" w:eastAsia="Calibri" w:hAnsi="Calibri"/>
          <w:color w:val="000000"/>
          <w:sz w:val="20"/>
        </w:rPr>
        <w:br/>
      </w:r>
      <w:hyperlink r:id="rId15">
        <w:r>
          <w:rPr>
            <w:rFonts w:ascii="Calibri" w:eastAsia="Calibri" w:hAnsi="Calibri"/>
            <w:color w:val="0000FF"/>
            <w:sz w:val="21"/>
            <w:u w:val="single"/>
          </w:rPr>
          <w:t>http://highereducationstatistics.education.gov.au/</w:t>
        </w:r>
      </w:hyperlink>
      <w:r>
        <w:rPr>
          <w:rFonts w:ascii="Calibri" w:eastAsia="Calibri" w:hAnsi="Calibri"/>
          <w:color w:val="000000"/>
          <w:sz w:val="20"/>
        </w:rPr>
        <w:t xml:space="preserve"> </w:t>
      </w:r>
    </w:p>
    <w:p w14:paraId="19A7CB64" w14:textId="77777777" w:rsidR="00132EA6" w:rsidRDefault="009B508A">
      <w:pPr>
        <w:spacing w:before="38" w:line="207" w:lineRule="exact"/>
        <w:ind w:left="72"/>
        <w:textAlignment w:val="baseline"/>
        <w:rPr>
          <w:rFonts w:ascii="Calibri" w:eastAsia="Calibri" w:hAnsi="Calibri"/>
          <w:color w:val="000000"/>
          <w:spacing w:val="-1"/>
          <w:sz w:val="13"/>
          <w:vertAlign w:val="superscript"/>
        </w:rPr>
      </w:pPr>
      <w:r>
        <w:rPr>
          <w:rFonts w:ascii="Calibri" w:eastAsia="Calibri" w:hAnsi="Calibri"/>
          <w:color w:val="000000"/>
          <w:spacing w:val="-1"/>
          <w:sz w:val="13"/>
          <w:vertAlign w:val="superscript"/>
        </w:rPr>
        <w:t>2</w:t>
      </w:r>
      <w:r>
        <w:rPr>
          <w:rFonts w:ascii="Calibri" w:eastAsia="Calibri" w:hAnsi="Calibri"/>
          <w:color w:val="000000"/>
          <w:spacing w:val="-1"/>
          <w:sz w:val="20"/>
        </w:rPr>
        <w:t xml:space="preserve"> Higher Education Data Cube (</w:t>
      </w:r>
      <w:proofErr w:type="spellStart"/>
      <w:r>
        <w:rPr>
          <w:rFonts w:ascii="Calibri" w:eastAsia="Calibri" w:hAnsi="Calibri"/>
          <w:color w:val="000000"/>
          <w:spacing w:val="-1"/>
          <w:sz w:val="20"/>
        </w:rPr>
        <w:t>uCube</w:t>
      </w:r>
      <w:proofErr w:type="spellEnd"/>
      <w:r>
        <w:rPr>
          <w:rFonts w:ascii="Calibri" w:eastAsia="Calibri" w:hAnsi="Calibri"/>
          <w:color w:val="000000"/>
          <w:spacing w:val="-1"/>
          <w:sz w:val="20"/>
        </w:rPr>
        <w:t>), as of</w:t>
      </w:r>
      <w:r>
        <w:rPr>
          <w:rFonts w:ascii="Calibri" w:eastAsia="Calibri" w:hAnsi="Calibri"/>
          <w:color w:val="000000"/>
          <w:spacing w:val="-1"/>
          <w:sz w:val="20"/>
        </w:rPr>
        <w:t xml:space="preserve"> July 2021; see:</w:t>
      </w:r>
      <w:hyperlink r:id="rId16">
        <w:r>
          <w:rPr>
            <w:rFonts w:ascii="Calibri" w:eastAsia="Calibri" w:hAnsi="Calibri"/>
            <w:color w:val="0000FF"/>
            <w:spacing w:val="-1"/>
            <w:sz w:val="21"/>
            <w:u w:val="single"/>
          </w:rPr>
          <w:t xml:space="preserve"> http://highereducationstatistics.education.gov.au/</w:t>
        </w:r>
      </w:hyperlink>
      <w:r>
        <w:rPr>
          <w:rFonts w:ascii="Calibri" w:eastAsia="Calibri" w:hAnsi="Calibri"/>
          <w:color w:val="0462C1"/>
          <w:spacing w:val="-1"/>
          <w:sz w:val="20"/>
        </w:rPr>
        <w:t xml:space="preserve"> </w:t>
      </w:r>
    </w:p>
    <w:p w14:paraId="553267FC" w14:textId="77777777" w:rsidR="00132EA6" w:rsidRDefault="009B508A">
      <w:pPr>
        <w:spacing w:before="43" w:after="19" w:line="206" w:lineRule="exact"/>
        <w:ind w:left="72"/>
        <w:textAlignment w:val="baseline"/>
        <w:rPr>
          <w:rFonts w:ascii="Calibri" w:eastAsia="Calibri" w:hAnsi="Calibri"/>
          <w:color w:val="000000"/>
          <w:spacing w:val="-1"/>
          <w:sz w:val="13"/>
          <w:vertAlign w:val="superscript"/>
        </w:rPr>
      </w:pPr>
      <w:r>
        <w:rPr>
          <w:rFonts w:ascii="Calibri" w:eastAsia="Calibri" w:hAnsi="Calibri"/>
          <w:color w:val="000000"/>
          <w:spacing w:val="-1"/>
          <w:sz w:val="13"/>
          <w:vertAlign w:val="superscript"/>
        </w:rPr>
        <w:lastRenderedPageBreak/>
        <w:t>3</w:t>
      </w:r>
      <w:r>
        <w:rPr>
          <w:rFonts w:ascii="Calibri" w:eastAsia="Calibri" w:hAnsi="Calibri"/>
          <w:color w:val="000000"/>
          <w:spacing w:val="-1"/>
          <w:sz w:val="20"/>
        </w:rPr>
        <w:t xml:space="preserve"> Higher Education Data Cube (</w:t>
      </w:r>
      <w:proofErr w:type="spellStart"/>
      <w:r>
        <w:rPr>
          <w:rFonts w:ascii="Calibri" w:eastAsia="Calibri" w:hAnsi="Calibri"/>
          <w:color w:val="000000"/>
          <w:spacing w:val="-1"/>
          <w:sz w:val="20"/>
        </w:rPr>
        <w:t>uCube</w:t>
      </w:r>
      <w:proofErr w:type="spellEnd"/>
      <w:r>
        <w:rPr>
          <w:rFonts w:ascii="Calibri" w:eastAsia="Calibri" w:hAnsi="Calibri"/>
          <w:color w:val="000000"/>
          <w:spacing w:val="-1"/>
          <w:sz w:val="20"/>
        </w:rPr>
        <w:t>), July 2021; see:</w:t>
      </w:r>
      <w:hyperlink r:id="rId17">
        <w:r>
          <w:rPr>
            <w:rFonts w:ascii="Calibri" w:eastAsia="Calibri" w:hAnsi="Calibri"/>
            <w:color w:val="0000FF"/>
            <w:spacing w:val="-1"/>
            <w:sz w:val="21"/>
            <w:u w:val="single"/>
          </w:rPr>
          <w:t xml:space="preserve"> http://highereducationstatistics.education.gov.au/</w:t>
        </w:r>
      </w:hyperlink>
      <w:r>
        <w:rPr>
          <w:rFonts w:ascii="Calibri" w:eastAsia="Calibri" w:hAnsi="Calibri"/>
          <w:color w:val="000000"/>
          <w:spacing w:val="-1"/>
          <w:sz w:val="20"/>
        </w:rPr>
        <w:t xml:space="preserve"> </w:t>
      </w:r>
    </w:p>
    <w:p w14:paraId="09CC1248" w14:textId="77777777" w:rsidR="00132EA6" w:rsidRDefault="009B508A">
      <w:pPr>
        <w:spacing w:line="198" w:lineRule="exact"/>
        <w:ind w:left="72"/>
        <w:jc w:val="right"/>
        <w:textAlignment w:val="baseline"/>
        <w:rPr>
          <w:rFonts w:ascii="Calibri Light" w:eastAsia="Calibri Light" w:hAnsi="Calibri Light"/>
          <w:color w:val="000000"/>
          <w:sz w:val="18"/>
        </w:rPr>
      </w:pPr>
      <w:r>
        <w:rPr>
          <w:rFonts w:ascii="Calibri Light" w:eastAsia="Calibri Light" w:hAnsi="Calibri Light"/>
          <w:color w:val="000000"/>
          <w:sz w:val="18"/>
        </w:rPr>
        <w:t>3</w:t>
      </w:r>
    </w:p>
    <w:p w14:paraId="74E5FE90" w14:textId="77777777" w:rsidR="00132EA6" w:rsidRDefault="00132EA6">
      <w:pPr>
        <w:sectPr w:rsidR="00132EA6">
          <w:pgSz w:w="11899" w:h="16843"/>
          <w:pgMar w:top="760" w:right="810" w:bottom="327" w:left="749" w:header="720" w:footer="720" w:gutter="0"/>
          <w:cols w:space="720"/>
        </w:sectPr>
      </w:pPr>
    </w:p>
    <w:p w14:paraId="3663D32C" w14:textId="77777777" w:rsidR="00132EA6" w:rsidRDefault="009B508A">
      <w:pPr>
        <w:spacing w:before="3" w:after="635"/>
        <w:ind w:left="2" w:right="7116"/>
        <w:textAlignment w:val="baseline"/>
      </w:pPr>
      <w:r>
        <w:rPr>
          <w:noProof/>
        </w:rPr>
        <w:lastRenderedPageBreak/>
        <w:drawing>
          <wp:inline distT="0" distB="0" distL="0" distR="0" wp14:anchorId="50B7A51B" wp14:editId="3045EF3A">
            <wp:extent cx="2051050" cy="76835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2051050" cy="768350"/>
                    </a:xfrm>
                    <a:prstGeom prst="rect">
                      <a:avLst/>
                    </a:prstGeom>
                  </pic:spPr>
                </pic:pic>
              </a:graphicData>
            </a:graphic>
          </wp:inline>
        </w:drawing>
      </w:r>
    </w:p>
    <w:p w14:paraId="2EA91860" w14:textId="77777777" w:rsidR="00132EA6" w:rsidRDefault="009B508A">
      <w:pPr>
        <w:spacing w:before="31" w:line="242" w:lineRule="exact"/>
        <w:ind w:left="72"/>
        <w:textAlignment w:val="baseline"/>
        <w:rPr>
          <w:rFonts w:ascii="Calibri" w:eastAsia="Calibri" w:hAnsi="Calibri"/>
          <w:b/>
          <w:color w:val="000000"/>
        </w:rPr>
      </w:pPr>
      <w:r>
        <w:rPr>
          <w:rFonts w:ascii="Calibri" w:eastAsia="Calibri" w:hAnsi="Calibri"/>
          <w:b/>
          <w:color w:val="000000"/>
        </w:rPr>
        <w:t xml:space="preserve">Quality </w:t>
      </w:r>
      <w:r>
        <w:rPr>
          <w:rFonts w:ascii="Calibri" w:eastAsia="Calibri" w:hAnsi="Calibri"/>
          <w:b/>
          <w:i/>
          <w:color w:val="000000"/>
        </w:rPr>
        <w:t xml:space="preserve">and </w:t>
      </w:r>
      <w:r>
        <w:rPr>
          <w:rFonts w:ascii="Calibri" w:eastAsia="Calibri" w:hAnsi="Calibri"/>
          <w:b/>
          <w:color w:val="000000"/>
        </w:rPr>
        <w:t>quantity</w:t>
      </w:r>
    </w:p>
    <w:p w14:paraId="2818E91A" w14:textId="77777777" w:rsidR="00132EA6" w:rsidRDefault="009B508A">
      <w:pPr>
        <w:spacing w:before="109" w:line="288" w:lineRule="exact"/>
        <w:ind w:left="72"/>
        <w:jc w:val="both"/>
        <w:textAlignment w:val="baseline"/>
        <w:rPr>
          <w:rFonts w:ascii="Calibri" w:eastAsia="Calibri" w:hAnsi="Calibri"/>
          <w:color w:val="000000"/>
        </w:rPr>
      </w:pPr>
      <w:r>
        <w:rPr>
          <w:rFonts w:ascii="Calibri" w:eastAsia="Calibri" w:hAnsi="Calibri"/>
          <w:color w:val="000000"/>
        </w:rPr>
        <w:t>Go8 universities attract the best national and international students, and academics, and are proud of maintaining their provision of excellent higher education. The case for ITE quality and its impact on the teaching quality are both well-known and persua</w:t>
      </w:r>
      <w:r>
        <w:rPr>
          <w:rFonts w:ascii="Calibri" w:eastAsia="Calibri" w:hAnsi="Calibri"/>
          <w:color w:val="000000"/>
        </w:rPr>
        <w:t>sive</w:t>
      </w:r>
      <w:r>
        <w:rPr>
          <w:rFonts w:ascii="Calibri" w:eastAsia="Calibri" w:hAnsi="Calibri"/>
          <w:color w:val="000000"/>
          <w:vertAlign w:val="superscript"/>
        </w:rPr>
        <w:t>4</w:t>
      </w:r>
      <w:r>
        <w:rPr>
          <w:rFonts w:ascii="Calibri" w:eastAsia="Calibri" w:hAnsi="Calibri"/>
          <w:color w:val="000000"/>
        </w:rPr>
        <w:t>.</w:t>
      </w:r>
    </w:p>
    <w:p w14:paraId="5EB35632" w14:textId="77777777" w:rsidR="00132EA6" w:rsidRDefault="009B508A">
      <w:pPr>
        <w:spacing w:before="120" w:line="288" w:lineRule="exact"/>
        <w:ind w:left="72"/>
        <w:jc w:val="both"/>
        <w:textAlignment w:val="baseline"/>
        <w:rPr>
          <w:rFonts w:ascii="Calibri" w:eastAsia="Calibri" w:hAnsi="Calibri"/>
          <w:color w:val="000000"/>
        </w:rPr>
      </w:pPr>
      <w:r>
        <w:rPr>
          <w:rFonts w:ascii="Calibri" w:eastAsia="Calibri" w:hAnsi="Calibri"/>
          <w:color w:val="000000"/>
        </w:rPr>
        <w:t xml:space="preserve">As it relates to teacher supply and demand – and potential shortages – the most recent Australian Institute for Teaching and School Leadership (AITSL) </w:t>
      </w:r>
      <w:r>
        <w:rPr>
          <w:rFonts w:ascii="Calibri" w:eastAsia="Calibri" w:hAnsi="Calibri"/>
          <w:i/>
          <w:color w:val="000000"/>
        </w:rPr>
        <w:t xml:space="preserve">National ITE Pipeline </w:t>
      </w:r>
      <w:r>
        <w:rPr>
          <w:rFonts w:ascii="Calibri" w:eastAsia="Calibri" w:hAnsi="Calibri"/>
          <w:color w:val="000000"/>
        </w:rPr>
        <w:t>report</w:t>
      </w:r>
      <w:r>
        <w:rPr>
          <w:rFonts w:ascii="Calibri" w:eastAsia="Calibri" w:hAnsi="Calibri"/>
          <w:color w:val="000000"/>
          <w:vertAlign w:val="superscript"/>
        </w:rPr>
        <w:t>5</w:t>
      </w:r>
      <w:r>
        <w:rPr>
          <w:rFonts w:ascii="Calibri" w:eastAsia="Calibri" w:hAnsi="Calibri"/>
          <w:color w:val="000000"/>
        </w:rPr>
        <w:t xml:space="preserve"> of 2020 notes that:</w:t>
      </w:r>
    </w:p>
    <w:p w14:paraId="20FEAE82" w14:textId="77777777" w:rsidR="00132EA6" w:rsidRDefault="009B508A">
      <w:pPr>
        <w:spacing w:before="130" w:line="288" w:lineRule="exact"/>
        <w:ind w:left="792"/>
        <w:jc w:val="both"/>
        <w:textAlignment w:val="baseline"/>
        <w:rPr>
          <w:rFonts w:ascii="Calibri" w:eastAsia="Calibri" w:hAnsi="Calibri"/>
          <w:color w:val="000000"/>
        </w:rPr>
      </w:pPr>
      <w:r>
        <w:rPr>
          <w:rFonts w:ascii="Calibri" w:eastAsia="Calibri" w:hAnsi="Calibri"/>
          <w:color w:val="000000"/>
        </w:rPr>
        <w:t>“...</w:t>
      </w:r>
      <w:r>
        <w:rPr>
          <w:rFonts w:ascii="Calibri" w:eastAsia="Calibri" w:hAnsi="Calibri"/>
          <w:i/>
          <w:color w:val="000000"/>
        </w:rPr>
        <w:t xml:space="preserve">the combination of plateauing growth in the </w:t>
      </w:r>
      <w:r>
        <w:rPr>
          <w:rFonts w:ascii="Calibri" w:eastAsia="Calibri" w:hAnsi="Calibri"/>
          <w:i/>
          <w:color w:val="000000"/>
        </w:rPr>
        <w:t xml:space="preserve">numbers of new ITE graduates overall, together with the mismatch between growth in fields of education and growth in the population of children aged between three and 18 years, deserves further longitudinal analysis for impact as there may be implications </w:t>
      </w:r>
      <w:r>
        <w:rPr>
          <w:rFonts w:ascii="Calibri" w:eastAsia="Calibri" w:hAnsi="Calibri"/>
          <w:i/>
          <w:color w:val="000000"/>
        </w:rPr>
        <w:t>for the ability of ITE to meet the demand for teachers, some types of teachers, or teacher demand in some regions both in the short and long term.</w:t>
      </w:r>
      <w:r>
        <w:rPr>
          <w:rFonts w:ascii="Calibri" w:eastAsia="Calibri" w:hAnsi="Calibri"/>
          <w:color w:val="000000"/>
        </w:rPr>
        <w:t>”</w:t>
      </w:r>
    </w:p>
    <w:p w14:paraId="65796BBE" w14:textId="77777777" w:rsidR="00132EA6" w:rsidRDefault="009B508A">
      <w:pPr>
        <w:spacing w:before="187" w:line="226" w:lineRule="exact"/>
        <w:ind w:left="72"/>
        <w:textAlignment w:val="baseline"/>
        <w:rPr>
          <w:rFonts w:ascii="Calibri" w:eastAsia="Calibri" w:hAnsi="Calibri"/>
          <w:color w:val="000000"/>
        </w:rPr>
      </w:pPr>
      <w:r>
        <w:rPr>
          <w:rFonts w:ascii="Calibri" w:eastAsia="Calibri" w:hAnsi="Calibri"/>
          <w:color w:val="000000"/>
        </w:rPr>
        <w:t>These national concerns dovetail with increasing shortages that are of varying concern in States and Territo</w:t>
      </w:r>
      <w:r>
        <w:rPr>
          <w:rFonts w:ascii="Calibri" w:eastAsia="Calibri" w:hAnsi="Calibri"/>
          <w:color w:val="000000"/>
        </w:rPr>
        <w:t>ries.</w:t>
      </w:r>
    </w:p>
    <w:p w14:paraId="7E2752E7" w14:textId="77777777" w:rsidR="00132EA6" w:rsidRDefault="009B508A">
      <w:pPr>
        <w:spacing w:before="125" w:line="288" w:lineRule="exact"/>
        <w:ind w:left="72"/>
        <w:jc w:val="both"/>
        <w:textAlignment w:val="baseline"/>
        <w:rPr>
          <w:rFonts w:ascii="Calibri" w:eastAsia="Calibri" w:hAnsi="Calibri"/>
          <w:color w:val="000000"/>
        </w:rPr>
      </w:pPr>
      <w:r>
        <w:rPr>
          <w:rFonts w:ascii="Calibri" w:eastAsia="Calibri" w:hAnsi="Calibri"/>
          <w:color w:val="000000"/>
        </w:rPr>
        <w:t xml:space="preserve">Expanding and enhancing Go8 postgraduate ITE courses does offer Australia an opportunity to address both teacher quality </w:t>
      </w:r>
      <w:r>
        <w:rPr>
          <w:rFonts w:ascii="Calibri" w:eastAsia="Calibri" w:hAnsi="Calibri"/>
          <w:i/>
          <w:color w:val="000000"/>
        </w:rPr>
        <w:t xml:space="preserve">and </w:t>
      </w:r>
      <w:r>
        <w:rPr>
          <w:rFonts w:ascii="Calibri" w:eastAsia="Calibri" w:hAnsi="Calibri"/>
          <w:color w:val="000000"/>
        </w:rPr>
        <w:t>quantity by providing the highest quality teacher education to a cohort beyond the annual undergraduate ITE student pool.</w:t>
      </w:r>
    </w:p>
    <w:p w14:paraId="45A463ED" w14:textId="77777777" w:rsidR="00132EA6" w:rsidRDefault="009B508A">
      <w:pPr>
        <w:spacing w:before="244" w:line="288" w:lineRule="exact"/>
        <w:ind w:left="72"/>
        <w:jc w:val="both"/>
        <w:textAlignment w:val="baseline"/>
        <w:rPr>
          <w:rFonts w:ascii="Calibri" w:eastAsia="Calibri" w:hAnsi="Calibri"/>
          <w:color w:val="000000"/>
        </w:rPr>
      </w:pPr>
      <w:r>
        <w:rPr>
          <w:rFonts w:ascii="Calibri" w:eastAsia="Calibri" w:hAnsi="Calibri"/>
          <w:color w:val="000000"/>
        </w:rPr>
        <w:t xml:space="preserve">As </w:t>
      </w:r>
      <w:r>
        <w:rPr>
          <w:rFonts w:ascii="Calibri" w:eastAsia="Calibri" w:hAnsi="Calibri"/>
          <w:color w:val="000000"/>
        </w:rPr>
        <w:t xml:space="preserve">demonstrated in postgraduate ITE study, there does not have to be a trade-off in quality </w:t>
      </w:r>
      <w:r>
        <w:rPr>
          <w:rFonts w:ascii="Calibri" w:eastAsia="Calibri" w:hAnsi="Calibri"/>
          <w:i/>
          <w:color w:val="000000"/>
        </w:rPr>
        <w:t xml:space="preserve">and </w:t>
      </w:r>
      <w:r>
        <w:rPr>
          <w:rFonts w:ascii="Calibri" w:eastAsia="Calibri" w:hAnsi="Calibri"/>
          <w:color w:val="000000"/>
        </w:rPr>
        <w:t xml:space="preserve">quantity and enhancing postgraduate ITE study offers an approach to improve both ITE quality </w:t>
      </w:r>
      <w:r>
        <w:rPr>
          <w:rFonts w:ascii="Calibri" w:eastAsia="Calibri" w:hAnsi="Calibri"/>
          <w:i/>
          <w:color w:val="000000"/>
        </w:rPr>
        <w:t xml:space="preserve">and </w:t>
      </w:r>
      <w:r>
        <w:rPr>
          <w:rFonts w:ascii="Calibri" w:eastAsia="Calibri" w:hAnsi="Calibri"/>
          <w:color w:val="000000"/>
        </w:rPr>
        <w:t>quantity.</w:t>
      </w:r>
    </w:p>
    <w:p w14:paraId="4E9A4640" w14:textId="77777777" w:rsidR="00132EA6" w:rsidRDefault="009B508A">
      <w:pPr>
        <w:spacing w:before="710" w:line="226" w:lineRule="exact"/>
        <w:ind w:left="72"/>
        <w:textAlignment w:val="baseline"/>
        <w:rPr>
          <w:rFonts w:ascii="Calibri" w:eastAsia="Calibri" w:hAnsi="Calibri"/>
          <w:b/>
          <w:color w:val="000000"/>
          <w:spacing w:val="-1"/>
        </w:rPr>
      </w:pPr>
      <w:r>
        <w:rPr>
          <w:rFonts w:ascii="Calibri" w:eastAsia="Calibri" w:hAnsi="Calibri"/>
          <w:b/>
          <w:color w:val="000000"/>
          <w:spacing w:val="-1"/>
        </w:rPr>
        <w:t>ITE delivery models</w:t>
      </w:r>
    </w:p>
    <w:p w14:paraId="0F85E636" w14:textId="77777777" w:rsidR="00132EA6" w:rsidRDefault="009B508A">
      <w:pPr>
        <w:spacing w:before="124" w:line="290" w:lineRule="exact"/>
        <w:ind w:left="72"/>
        <w:jc w:val="both"/>
        <w:textAlignment w:val="baseline"/>
        <w:rPr>
          <w:rFonts w:ascii="Calibri" w:eastAsia="Calibri" w:hAnsi="Calibri"/>
          <w:color w:val="000000"/>
        </w:rPr>
      </w:pPr>
      <w:r>
        <w:rPr>
          <w:rFonts w:ascii="Calibri" w:eastAsia="Calibri" w:hAnsi="Calibri"/>
          <w:color w:val="000000"/>
        </w:rPr>
        <w:t xml:space="preserve">The change from one-year postgraduate ITE study, to the two-year </w:t>
      </w:r>
      <w:proofErr w:type="gramStart"/>
      <w:r>
        <w:rPr>
          <w:rFonts w:ascii="Calibri" w:eastAsia="Calibri" w:hAnsi="Calibri"/>
          <w:color w:val="000000"/>
        </w:rPr>
        <w:t>Masters</w:t>
      </w:r>
      <w:proofErr w:type="gramEnd"/>
      <w:r>
        <w:rPr>
          <w:rFonts w:ascii="Calibri" w:eastAsia="Calibri" w:hAnsi="Calibri"/>
          <w:color w:val="000000"/>
        </w:rPr>
        <w:t xml:space="preserve"> model has seen an accompanying reduction in student demand for postgraduate ITE study. This is anecdotally due to the effect from foregone </w:t>
      </w:r>
      <w:proofErr w:type="gramStart"/>
      <w:r>
        <w:rPr>
          <w:rFonts w:ascii="Calibri" w:eastAsia="Calibri" w:hAnsi="Calibri"/>
          <w:color w:val="000000"/>
        </w:rPr>
        <w:t>income;</w:t>
      </w:r>
      <w:proofErr w:type="gramEnd"/>
      <w:r>
        <w:rPr>
          <w:rFonts w:ascii="Calibri" w:eastAsia="Calibri" w:hAnsi="Calibri"/>
          <w:color w:val="000000"/>
        </w:rPr>
        <w:t xml:space="preserve"> although declining demand for ITE ha</w:t>
      </w:r>
      <w:r>
        <w:rPr>
          <w:rFonts w:ascii="Calibri" w:eastAsia="Calibri" w:hAnsi="Calibri"/>
          <w:color w:val="000000"/>
        </w:rPr>
        <w:t>s been underway for some time.</w:t>
      </w:r>
    </w:p>
    <w:p w14:paraId="1EDD5ABE" w14:textId="77777777" w:rsidR="00132EA6" w:rsidRDefault="009B508A">
      <w:pPr>
        <w:spacing w:before="124" w:line="289" w:lineRule="exact"/>
        <w:ind w:left="72"/>
        <w:jc w:val="both"/>
        <w:textAlignment w:val="baseline"/>
        <w:rPr>
          <w:rFonts w:ascii="Calibri" w:eastAsia="Calibri" w:hAnsi="Calibri"/>
          <w:color w:val="000000"/>
        </w:rPr>
      </w:pPr>
      <w:r>
        <w:rPr>
          <w:rFonts w:ascii="Calibri" w:eastAsia="Calibri" w:hAnsi="Calibri"/>
          <w:color w:val="000000"/>
        </w:rPr>
        <w:t>However, compressed postgraduate ITE models – such as the Master of Teaching (Secondary) at UNSW, where two years of traditional semester-format study is compressed into 1.3 years of study, the University of Sydney’s Master o</w:t>
      </w:r>
      <w:r>
        <w:rPr>
          <w:rFonts w:ascii="Calibri" w:eastAsia="Calibri" w:hAnsi="Calibri"/>
          <w:color w:val="000000"/>
        </w:rPr>
        <w:t>f Teaching, which is compressed into 1.67 years (20 months) of study, or the University of Adelaide’s Master of Teaching which is compressed into 1.25 years of study and students do a prolonged placement of 9 weeks (one school term) in their final year – o</w:t>
      </w:r>
      <w:r>
        <w:rPr>
          <w:rFonts w:ascii="Calibri" w:eastAsia="Calibri" w:hAnsi="Calibri"/>
          <w:color w:val="000000"/>
        </w:rPr>
        <w:t>ffer an alternative approach that, for capable students, does not compromise quality.</w:t>
      </w:r>
    </w:p>
    <w:p w14:paraId="2CEEFC8C" w14:textId="77777777" w:rsidR="00132EA6" w:rsidRDefault="009B508A">
      <w:pPr>
        <w:spacing w:before="124" w:line="288" w:lineRule="exact"/>
        <w:ind w:left="72"/>
        <w:jc w:val="both"/>
        <w:textAlignment w:val="baseline"/>
        <w:rPr>
          <w:rFonts w:ascii="Calibri" w:eastAsia="Calibri" w:hAnsi="Calibri"/>
          <w:color w:val="000000"/>
        </w:rPr>
      </w:pPr>
      <w:r>
        <w:rPr>
          <w:rFonts w:ascii="Calibri" w:eastAsia="Calibri" w:hAnsi="Calibri"/>
          <w:color w:val="000000"/>
        </w:rPr>
        <w:t>Students in this UNSW degree are eligible to obtain provisional registration and engage in paid teaching from the start of the second year while completing the program, w</w:t>
      </w:r>
      <w:r>
        <w:rPr>
          <w:rFonts w:ascii="Calibri" w:eastAsia="Calibri" w:hAnsi="Calibri"/>
          <w:color w:val="000000"/>
        </w:rPr>
        <w:t>hich is “...</w:t>
      </w:r>
      <w:r>
        <w:rPr>
          <w:rFonts w:ascii="Calibri" w:eastAsia="Calibri" w:hAnsi="Calibri"/>
          <w:i/>
          <w:color w:val="000000"/>
        </w:rPr>
        <w:t>uniquely designed to provide a nationally accredited pre-service teaching qualification and, at the same time, support students in their transition to their first year of teaching.</w:t>
      </w:r>
      <w:r>
        <w:rPr>
          <w:rFonts w:ascii="Calibri" w:eastAsia="Calibri" w:hAnsi="Calibri"/>
          <w:color w:val="000000"/>
        </w:rPr>
        <w:t>”</w:t>
      </w:r>
      <w:r>
        <w:rPr>
          <w:rFonts w:ascii="Calibri" w:eastAsia="Calibri" w:hAnsi="Calibri"/>
          <w:color w:val="000000"/>
          <w:vertAlign w:val="superscript"/>
        </w:rPr>
        <w:t>6</w:t>
      </w:r>
      <w:r>
        <w:rPr>
          <w:rFonts w:ascii="Calibri" w:eastAsia="Calibri" w:hAnsi="Calibri"/>
          <w:color w:val="000000"/>
          <w:sz w:val="13"/>
        </w:rPr>
        <w:t xml:space="preserve"> </w:t>
      </w:r>
    </w:p>
    <w:p w14:paraId="675B524F" w14:textId="77777777" w:rsidR="00132EA6" w:rsidRDefault="009B508A">
      <w:pPr>
        <w:spacing w:before="125" w:after="379" w:line="288" w:lineRule="exact"/>
        <w:ind w:left="72"/>
        <w:jc w:val="both"/>
        <w:textAlignment w:val="baseline"/>
        <w:rPr>
          <w:rFonts w:ascii="Calibri" w:eastAsia="Calibri" w:hAnsi="Calibri"/>
          <w:color w:val="000000"/>
        </w:rPr>
      </w:pPr>
      <w:r>
        <w:rPr>
          <w:rFonts w:ascii="Calibri" w:eastAsia="Calibri" w:hAnsi="Calibri"/>
          <w:color w:val="000000"/>
        </w:rPr>
        <w:t>A related opportunity exists for the Australian Institute of</w:t>
      </w:r>
      <w:r>
        <w:rPr>
          <w:rFonts w:ascii="Calibri" w:eastAsia="Calibri" w:hAnsi="Calibri"/>
          <w:color w:val="000000"/>
        </w:rPr>
        <w:t xml:space="preserve"> Teaching and School Leadership (AITSL) to consider whether the number of graduate standards can be streamlined, including what may be better taught under mentorship in the first year of employment.</w:t>
      </w:r>
    </w:p>
    <w:p w14:paraId="35719D88" w14:textId="77777777" w:rsidR="00132EA6" w:rsidRDefault="009B508A">
      <w:pPr>
        <w:spacing w:before="155" w:line="203" w:lineRule="exact"/>
        <w:ind w:left="72"/>
        <w:textAlignment w:val="baseline"/>
        <w:rPr>
          <w:rFonts w:ascii="Calibri" w:eastAsia="Calibri" w:hAnsi="Calibri"/>
          <w:color w:val="000000"/>
          <w:sz w:val="13"/>
          <w:vertAlign w:val="superscript"/>
        </w:rPr>
      </w:pPr>
      <w:r>
        <w:pict w14:anchorId="05F74590">
          <v:line id="_x0000_s1027" style="position:absolute;left:0;text-align:left;z-index:251657728;mso-position-horizontal-relative:page;mso-position-vertical-relative:page" from="42.5pt,739.7pt" to="186.75pt,739.7pt" strokeweight="1.2pt">
            <w10:wrap anchorx="page" anchory="page"/>
          </v:line>
        </w:pict>
      </w:r>
      <w:r>
        <w:rPr>
          <w:rFonts w:ascii="Calibri" w:eastAsia="Calibri" w:hAnsi="Calibri"/>
          <w:color w:val="000000"/>
          <w:sz w:val="13"/>
          <w:vertAlign w:val="superscript"/>
        </w:rPr>
        <w:t>4</w:t>
      </w:r>
      <w:r>
        <w:rPr>
          <w:rFonts w:ascii="Calibri" w:eastAsia="Calibri" w:hAnsi="Calibri"/>
          <w:color w:val="000000"/>
          <w:sz w:val="20"/>
        </w:rPr>
        <w:t xml:space="preserve"> See: p3, Quality Initial Teacher Education Review Disc</w:t>
      </w:r>
      <w:r>
        <w:rPr>
          <w:rFonts w:ascii="Calibri" w:eastAsia="Calibri" w:hAnsi="Calibri"/>
          <w:color w:val="000000"/>
          <w:sz w:val="20"/>
        </w:rPr>
        <w:t>ussion Paper, June 2021</w:t>
      </w:r>
    </w:p>
    <w:p w14:paraId="62B53568" w14:textId="77777777" w:rsidR="00132EA6" w:rsidRDefault="009B508A">
      <w:pPr>
        <w:spacing w:line="245" w:lineRule="exact"/>
        <w:ind w:left="72" w:right="648"/>
        <w:textAlignment w:val="baseline"/>
        <w:rPr>
          <w:rFonts w:ascii="Calibri" w:eastAsia="Calibri" w:hAnsi="Calibri"/>
          <w:color w:val="000000"/>
          <w:spacing w:val="-5"/>
          <w:sz w:val="13"/>
          <w:vertAlign w:val="superscript"/>
        </w:rPr>
      </w:pPr>
      <w:r>
        <w:rPr>
          <w:rFonts w:ascii="Calibri" w:eastAsia="Calibri" w:hAnsi="Calibri"/>
          <w:color w:val="000000"/>
          <w:spacing w:val="-5"/>
          <w:sz w:val="13"/>
          <w:vertAlign w:val="superscript"/>
        </w:rPr>
        <w:t>5</w:t>
      </w:r>
      <w:r>
        <w:rPr>
          <w:rFonts w:ascii="Calibri" w:eastAsia="Calibri" w:hAnsi="Calibri"/>
          <w:i/>
          <w:color w:val="000000"/>
          <w:spacing w:val="-5"/>
          <w:sz w:val="20"/>
        </w:rPr>
        <w:t xml:space="preserve"> National Initial Teacher Education Pipeline: Australian Teacher Workforce Data Report 1</w:t>
      </w:r>
      <w:r>
        <w:rPr>
          <w:rFonts w:ascii="Calibri" w:eastAsia="Calibri" w:hAnsi="Calibri"/>
          <w:color w:val="000000"/>
          <w:spacing w:val="-5"/>
          <w:sz w:val="20"/>
        </w:rPr>
        <w:t xml:space="preserve">; </w:t>
      </w:r>
      <w:hyperlink r:id="rId18">
        <w:r>
          <w:rPr>
            <w:rFonts w:ascii="Calibri" w:eastAsia="Calibri" w:hAnsi="Calibri"/>
            <w:color w:val="0000FF"/>
            <w:spacing w:val="-5"/>
            <w:sz w:val="21"/>
            <w:u w:val="single"/>
          </w:rPr>
          <w:t>https://www.aitsl.edu.au/docs/default-source/atwd/reports/new-pipeline-report/2020_aitsl-atwd_pipelinereport.pdf</w:t>
        </w:r>
      </w:hyperlink>
      <w:r>
        <w:rPr>
          <w:rFonts w:ascii="Calibri" w:eastAsia="Calibri" w:hAnsi="Calibri"/>
          <w:color w:val="0462C1"/>
          <w:spacing w:val="-5"/>
          <w:sz w:val="20"/>
        </w:rPr>
        <w:t xml:space="preserve"> </w:t>
      </w:r>
    </w:p>
    <w:p w14:paraId="5CCED02A" w14:textId="77777777" w:rsidR="00132EA6" w:rsidRDefault="009B508A">
      <w:pPr>
        <w:spacing w:before="43" w:after="19" w:line="206" w:lineRule="exact"/>
        <w:ind w:left="72"/>
        <w:textAlignment w:val="baseline"/>
        <w:rPr>
          <w:rFonts w:ascii="Calibri" w:eastAsia="Calibri" w:hAnsi="Calibri"/>
          <w:color w:val="000000"/>
          <w:spacing w:val="-1"/>
          <w:sz w:val="13"/>
          <w:vertAlign w:val="superscript"/>
        </w:rPr>
      </w:pPr>
      <w:r>
        <w:rPr>
          <w:rFonts w:ascii="Calibri" w:eastAsia="Calibri" w:hAnsi="Calibri"/>
          <w:color w:val="000000"/>
          <w:spacing w:val="-1"/>
          <w:sz w:val="13"/>
          <w:vertAlign w:val="superscript"/>
        </w:rPr>
        <w:lastRenderedPageBreak/>
        <w:t>6</w:t>
      </w:r>
      <w:r>
        <w:rPr>
          <w:rFonts w:ascii="Calibri" w:eastAsia="Calibri" w:hAnsi="Calibri"/>
          <w:color w:val="000000"/>
          <w:spacing w:val="-1"/>
          <w:sz w:val="20"/>
        </w:rPr>
        <w:t xml:space="preserve"> See: </w:t>
      </w:r>
      <w:proofErr w:type="gramStart"/>
      <w:r>
        <w:rPr>
          <w:rFonts w:ascii="Calibri" w:eastAsia="Calibri" w:hAnsi="Calibri"/>
          <w:color w:val="000000"/>
          <w:spacing w:val="-1"/>
          <w:sz w:val="20"/>
        </w:rPr>
        <w:t>Maste</w:t>
      </w:r>
      <w:r>
        <w:rPr>
          <w:rFonts w:ascii="Calibri" w:eastAsia="Calibri" w:hAnsi="Calibri"/>
          <w:color w:val="000000"/>
          <w:spacing w:val="-1"/>
          <w:sz w:val="20"/>
        </w:rPr>
        <w:t>rs of Teaching</w:t>
      </w:r>
      <w:proofErr w:type="gramEnd"/>
      <w:r>
        <w:rPr>
          <w:rFonts w:ascii="Calibri" w:eastAsia="Calibri" w:hAnsi="Calibri"/>
          <w:color w:val="000000"/>
          <w:spacing w:val="-1"/>
          <w:sz w:val="20"/>
        </w:rPr>
        <w:t xml:space="preserve"> (Secondary) degree description,</w:t>
      </w:r>
      <w:hyperlink r:id="rId19">
        <w:r>
          <w:rPr>
            <w:rFonts w:ascii="Calibri" w:eastAsia="Calibri" w:hAnsi="Calibri"/>
            <w:color w:val="0000FF"/>
            <w:spacing w:val="-1"/>
            <w:sz w:val="21"/>
            <w:u w:val="single"/>
          </w:rPr>
          <w:t xml:space="preserve"> https://degrees.unsw.edu.au/master-of-teaching-secondary/</w:t>
        </w:r>
      </w:hyperlink>
      <w:r>
        <w:rPr>
          <w:rFonts w:ascii="Calibri" w:eastAsia="Calibri" w:hAnsi="Calibri"/>
          <w:color w:val="0462C1"/>
          <w:spacing w:val="-1"/>
          <w:sz w:val="20"/>
        </w:rPr>
        <w:t xml:space="preserve"> </w:t>
      </w:r>
    </w:p>
    <w:p w14:paraId="0514BEFE" w14:textId="77777777" w:rsidR="00132EA6" w:rsidRDefault="009B508A">
      <w:pPr>
        <w:spacing w:line="199" w:lineRule="exact"/>
        <w:ind w:left="72"/>
        <w:jc w:val="right"/>
        <w:textAlignment w:val="baseline"/>
        <w:rPr>
          <w:rFonts w:ascii="Calibri Light" w:eastAsia="Calibri Light" w:hAnsi="Calibri Light"/>
          <w:i/>
          <w:color w:val="000000"/>
          <w:sz w:val="18"/>
        </w:rPr>
      </w:pPr>
      <w:r>
        <w:rPr>
          <w:rFonts w:ascii="Calibri Light" w:eastAsia="Calibri Light" w:hAnsi="Calibri Light"/>
          <w:i/>
          <w:color w:val="000000"/>
          <w:sz w:val="18"/>
        </w:rPr>
        <w:t>4</w:t>
      </w:r>
    </w:p>
    <w:p w14:paraId="07EFC0B0" w14:textId="77777777" w:rsidR="00132EA6" w:rsidRDefault="00132EA6">
      <w:pPr>
        <w:sectPr w:rsidR="00132EA6">
          <w:pgSz w:w="11899" w:h="16843"/>
          <w:pgMar w:top="760" w:right="785" w:bottom="327" w:left="766" w:header="720" w:footer="720" w:gutter="0"/>
          <w:cols w:space="720"/>
        </w:sectPr>
      </w:pPr>
    </w:p>
    <w:p w14:paraId="13BFCC13" w14:textId="77777777" w:rsidR="00132EA6" w:rsidRDefault="009B508A">
      <w:pPr>
        <w:spacing w:before="3" w:after="640"/>
        <w:ind w:left="23" w:right="7095"/>
        <w:textAlignment w:val="baseline"/>
      </w:pPr>
      <w:r>
        <w:rPr>
          <w:noProof/>
        </w:rPr>
        <w:lastRenderedPageBreak/>
        <w:drawing>
          <wp:inline distT="0" distB="0" distL="0" distR="0" wp14:anchorId="7A344F58" wp14:editId="43D4DF5A">
            <wp:extent cx="2051050" cy="7683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7"/>
                    <a:stretch>
                      <a:fillRect/>
                    </a:stretch>
                  </pic:blipFill>
                  <pic:spPr>
                    <a:xfrm>
                      <a:off x="0" y="0"/>
                      <a:ext cx="2051050" cy="768350"/>
                    </a:xfrm>
                    <a:prstGeom prst="rect">
                      <a:avLst/>
                    </a:prstGeom>
                  </pic:spPr>
                </pic:pic>
              </a:graphicData>
            </a:graphic>
          </wp:inline>
        </w:drawing>
      </w:r>
    </w:p>
    <w:p w14:paraId="4004A7DB" w14:textId="77777777" w:rsidR="00132EA6" w:rsidRDefault="009B508A">
      <w:pPr>
        <w:spacing w:line="270" w:lineRule="exact"/>
        <w:ind w:left="72"/>
        <w:jc w:val="both"/>
        <w:textAlignment w:val="baseline"/>
        <w:rPr>
          <w:rFonts w:ascii="Calibri" w:eastAsia="Calibri" w:hAnsi="Calibri"/>
          <w:color w:val="000000"/>
        </w:rPr>
      </w:pPr>
      <w:r>
        <w:rPr>
          <w:rFonts w:ascii="Calibri" w:eastAsia="Calibri" w:hAnsi="Calibri"/>
          <w:color w:val="000000"/>
        </w:rPr>
        <w:t>In-class experiences – especially being required to take charge of a classroom – provides would-be teachers practical insights into whether they want to complete their ITE study.</w:t>
      </w:r>
    </w:p>
    <w:p w14:paraId="0DA843D2" w14:textId="77777777" w:rsidR="00132EA6" w:rsidRDefault="009B508A">
      <w:pPr>
        <w:spacing w:before="120" w:line="289" w:lineRule="exact"/>
        <w:ind w:left="72"/>
        <w:jc w:val="both"/>
        <w:textAlignment w:val="baseline"/>
        <w:rPr>
          <w:rFonts w:ascii="Calibri" w:eastAsia="Calibri" w:hAnsi="Calibri"/>
          <w:color w:val="000000"/>
        </w:rPr>
      </w:pPr>
      <w:r>
        <w:rPr>
          <w:rFonts w:ascii="Calibri" w:eastAsia="Calibri" w:hAnsi="Calibri"/>
          <w:color w:val="000000"/>
        </w:rPr>
        <w:t xml:space="preserve">Front-loading more – or at least some – of these experiences in postgraduate </w:t>
      </w:r>
      <w:r>
        <w:rPr>
          <w:rFonts w:ascii="Calibri" w:eastAsia="Calibri" w:hAnsi="Calibri"/>
          <w:color w:val="000000"/>
        </w:rPr>
        <w:t xml:space="preserve">ITE study can help </w:t>
      </w:r>
      <w:proofErr w:type="spellStart"/>
      <w:r>
        <w:rPr>
          <w:rFonts w:ascii="Calibri" w:eastAsia="Calibri" w:hAnsi="Calibri"/>
          <w:color w:val="000000"/>
        </w:rPr>
        <w:t>crystallise</w:t>
      </w:r>
      <w:proofErr w:type="spellEnd"/>
      <w:r>
        <w:rPr>
          <w:rFonts w:ascii="Calibri" w:eastAsia="Calibri" w:hAnsi="Calibri"/>
          <w:color w:val="000000"/>
        </w:rPr>
        <w:t xml:space="preserve"> study intentions earlier, ensuring that students who will discontinue their study when confronted with the reality of the classroom choose to make the decision to discontinue early, rather than finish their degrees and pursue</w:t>
      </w:r>
      <w:r>
        <w:rPr>
          <w:rFonts w:ascii="Calibri" w:eastAsia="Calibri" w:hAnsi="Calibri"/>
          <w:color w:val="000000"/>
        </w:rPr>
        <w:t xml:space="preserve"> a career that they are ultimately not committed to, whilst taking the study place of someone more committed.</w:t>
      </w:r>
    </w:p>
    <w:p w14:paraId="0B3E78CE" w14:textId="77777777" w:rsidR="00132EA6" w:rsidRDefault="009B508A">
      <w:pPr>
        <w:spacing w:before="128" w:line="289" w:lineRule="exact"/>
        <w:ind w:left="72"/>
        <w:jc w:val="both"/>
        <w:textAlignment w:val="baseline"/>
        <w:rPr>
          <w:rFonts w:ascii="Calibri" w:eastAsia="Calibri" w:hAnsi="Calibri"/>
          <w:color w:val="000000"/>
        </w:rPr>
      </w:pPr>
      <w:r>
        <w:rPr>
          <w:rFonts w:ascii="Calibri" w:eastAsia="Calibri" w:hAnsi="Calibri"/>
          <w:color w:val="000000"/>
        </w:rPr>
        <w:t xml:space="preserve">Another way of reducing study costs and income foregone of two-year </w:t>
      </w:r>
      <w:proofErr w:type="gramStart"/>
      <w:r>
        <w:rPr>
          <w:rFonts w:ascii="Calibri" w:eastAsia="Calibri" w:hAnsi="Calibri"/>
          <w:color w:val="000000"/>
        </w:rPr>
        <w:t>Masters</w:t>
      </w:r>
      <w:proofErr w:type="gramEnd"/>
      <w:r>
        <w:rPr>
          <w:rFonts w:ascii="Calibri" w:eastAsia="Calibri" w:hAnsi="Calibri"/>
          <w:color w:val="000000"/>
        </w:rPr>
        <w:t xml:space="preserve"> students, without compromising quality (which the Go8 would never agre</w:t>
      </w:r>
      <w:r>
        <w:rPr>
          <w:rFonts w:ascii="Calibri" w:eastAsia="Calibri" w:hAnsi="Calibri"/>
          <w:color w:val="000000"/>
        </w:rPr>
        <w:t xml:space="preserve">e to let occur) is to provide greater flexibility that </w:t>
      </w:r>
      <w:proofErr w:type="spellStart"/>
      <w:r>
        <w:rPr>
          <w:rFonts w:ascii="Calibri" w:eastAsia="Calibri" w:hAnsi="Calibri"/>
          <w:color w:val="000000"/>
        </w:rPr>
        <w:t>recognises</w:t>
      </w:r>
      <w:proofErr w:type="spellEnd"/>
      <w:r>
        <w:rPr>
          <w:rFonts w:ascii="Calibri" w:eastAsia="Calibri" w:hAnsi="Calibri"/>
          <w:color w:val="000000"/>
        </w:rPr>
        <w:t xml:space="preserve"> prior learning and experience, in particular how prior workplace learning will be treated for an experienced graduate on commencement as a teacher. For example, what does 20 years at a major</w:t>
      </w:r>
      <w:r>
        <w:rPr>
          <w:rFonts w:ascii="Calibri" w:eastAsia="Calibri" w:hAnsi="Calibri"/>
          <w:color w:val="000000"/>
        </w:rPr>
        <w:t xml:space="preserve"> bank mean for where a newly graduated </w:t>
      </w:r>
      <w:proofErr w:type="spellStart"/>
      <w:proofErr w:type="gramStart"/>
      <w:r>
        <w:rPr>
          <w:rFonts w:ascii="Calibri" w:eastAsia="Calibri" w:hAnsi="Calibri"/>
          <w:color w:val="000000"/>
        </w:rPr>
        <w:t>Maths</w:t>
      </w:r>
      <w:proofErr w:type="spellEnd"/>
      <w:proofErr w:type="gramEnd"/>
      <w:r>
        <w:rPr>
          <w:rFonts w:ascii="Calibri" w:eastAsia="Calibri" w:hAnsi="Calibri"/>
          <w:color w:val="000000"/>
        </w:rPr>
        <w:t xml:space="preserve"> teacher is placed on the scale? Clarity around this – and generosity around this – is a key to getting quality candidates into ITE graduate programs, particularly at the point of career transition and would enab</w:t>
      </w:r>
      <w:r>
        <w:rPr>
          <w:rFonts w:ascii="Calibri" w:eastAsia="Calibri" w:hAnsi="Calibri"/>
          <w:color w:val="000000"/>
        </w:rPr>
        <w:t>le postgraduate ITE degrees to admit students with a wider range of skills.</w:t>
      </w:r>
    </w:p>
    <w:p w14:paraId="76AD1C13" w14:textId="77777777" w:rsidR="00132EA6" w:rsidRDefault="009B508A">
      <w:pPr>
        <w:spacing w:before="594" w:line="227" w:lineRule="exact"/>
        <w:ind w:left="72"/>
        <w:textAlignment w:val="baseline"/>
        <w:rPr>
          <w:rFonts w:ascii="Calibri" w:eastAsia="Calibri" w:hAnsi="Calibri"/>
          <w:b/>
          <w:color w:val="000000"/>
        </w:rPr>
      </w:pPr>
      <w:r>
        <w:rPr>
          <w:rFonts w:ascii="Calibri" w:eastAsia="Calibri" w:hAnsi="Calibri"/>
          <w:b/>
          <w:color w:val="000000"/>
        </w:rPr>
        <w:t>Income support and security</w:t>
      </w:r>
    </w:p>
    <w:p w14:paraId="6A1AE94E" w14:textId="77777777" w:rsidR="00132EA6" w:rsidRDefault="009B508A">
      <w:pPr>
        <w:spacing w:before="114" w:line="293" w:lineRule="exact"/>
        <w:ind w:left="72"/>
        <w:jc w:val="both"/>
        <w:textAlignment w:val="baseline"/>
        <w:rPr>
          <w:rFonts w:ascii="Calibri" w:eastAsia="Calibri" w:hAnsi="Calibri"/>
          <w:color w:val="000000"/>
        </w:rPr>
      </w:pPr>
      <w:r>
        <w:rPr>
          <w:rFonts w:ascii="Calibri" w:eastAsia="Calibri" w:hAnsi="Calibri"/>
          <w:color w:val="000000"/>
        </w:rPr>
        <w:t>The potential for attaining a certain pay level and the financial security that postgraduate ITE study is gauged to deliver is important in attracting c</w:t>
      </w:r>
      <w:r>
        <w:rPr>
          <w:rFonts w:ascii="Calibri" w:eastAsia="Calibri" w:hAnsi="Calibri"/>
          <w:color w:val="000000"/>
        </w:rPr>
        <w:t>areer changers into teaching.</w:t>
      </w:r>
    </w:p>
    <w:p w14:paraId="25753E76" w14:textId="77777777" w:rsidR="00132EA6" w:rsidRDefault="009B508A">
      <w:pPr>
        <w:spacing w:before="121" w:line="289" w:lineRule="exact"/>
        <w:ind w:left="72"/>
        <w:jc w:val="both"/>
        <w:textAlignment w:val="baseline"/>
        <w:rPr>
          <w:rFonts w:ascii="Calibri" w:eastAsia="Calibri" w:hAnsi="Calibri"/>
          <w:color w:val="000000"/>
        </w:rPr>
      </w:pPr>
      <w:r>
        <w:rPr>
          <w:rFonts w:ascii="Calibri" w:eastAsia="Calibri" w:hAnsi="Calibri"/>
          <w:color w:val="000000"/>
        </w:rPr>
        <w:t>Long-term job security – and its financial security – are beyond the ability of ITE education providers to control. However, delivery models that can provide short to medium-term job security (paid training placements or job g</w:t>
      </w:r>
      <w:r>
        <w:rPr>
          <w:rFonts w:ascii="Calibri" w:eastAsia="Calibri" w:hAnsi="Calibri"/>
          <w:color w:val="000000"/>
        </w:rPr>
        <w:t>uarantees) can be twinned with financial study support (such as scholarships or bursaries). These would target cohorts that otherwise would be hesitant to consider postgraduate ITE study.</w:t>
      </w:r>
    </w:p>
    <w:p w14:paraId="1DEA08A4" w14:textId="77777777" w:rsidR="00132EA6" w:rsidRDefault="009B508A">
      <w:pPr>
        <w:spacing w:before="125" w:line="288" w:lineRule="exact"/>
        <w:ind w:left="72"/>
        <w:jc w:val="both"/>
        <w:textAlignment w:val="baseline"/>
        <w:rPr>
          <w:rFonts w:ascii="Calibri" w:eastAsia="Calibri" w:hAnsi="Calibri"/>
          <w:color w:val="000000"/>
        </w:rPr>
      </w:pPr>
      <w:r>
        <w:rPr>
          <w:rFonts w:ascii="Calibri" w:eastAsia="Calibri" w:hAnsi="Calibri"/>
          <w:color w:val="000000"/>
        </w:rPr>
        <w:t xml:space="preserve">One example of this is ‘bonded teacher training scholarships’, such </w:t>
      </w:r>
      <w:r>
        <w:rPr>
          <w:rFonts w:ascii="Calibri" w:eastAsia="Calibri" w:hAnsi="Calibri"/>
          <w:color w:val="000000"/>
        </w:rPr>
        <w:t>as those in Australia during the early 1970s and 1980s. Such enrolments should still be subject to the same stringent entry requirements to safeguard quality.</w:t>
      </w:r>
    </w:p>
    <w:p w14:paraId="365A31E7" w14:textId="77777777" w:rsidR="00132EA6" w:rsidRDefault="009B508A">
      <w:pPr>
        <w:spacing w:before="119" w:line="290" w:lineRule="exact"/>
        <w:ind w:left="72"/>
        <w:jc w:val="both"/>
        <w:textAlignment w:val="baseline"/>
        <w:rPr>
          <w:rFonts w:ascii="Calibri" w:eastAsia="Calibri" w:hAnsi="Calibri"/>
          <w:color w:val="000000"/>
        </w:rPr>
      </w:pPr>
      <w:r>
        <w:rPr>
          <w:rFonts w:ascii="Calibri" w:eastAsia="Calibri" w:hAnsi="Calibri"/>
          <w:color w:val="000000"/>
        </w:rPr>
        <w:t>Such arrangements can also be made conditional upon teaching in particular locations of need (mos</w:t>
      </w:r>
      <w:r>
        <w:rPr>
          <w:rFonts w:ascii="Calibri" w:eastAsia="Calibri" w:hAnsi="Calibri"/>
          <w:color w:val="000000"/>
        </w:rPr>
        <w:t xml:space="preserve">t apparently rural and remote schools), and </w:t>
      </w:r>
      <w:proofErr w:type="gramStart"/>
      <w:r>
        <w:rPr>
          <w:rFonts w:ascii="Calibri" w:eastAsia="Calibri" w:hAnsi="Calibri"/>
          <w:color w:val="000000"/>
        </w:rPr>
        <w:t>in particular subjects</w:t>
      </w:r>
      <w:proofErr w:type="gramEnd"/>
      <w:r>
        <w:rPr>
          <w:rFonts w:ascii="Calibri" w:eastAsia="Calibri" w:hAnsi="Calibri"/>
          <w:color w:val="000000"/>
        </w:rPr>
        <w:t xml:space="preserve"> of need, or both, and with sliding </w:t>
      </w:r>
      <w:proofErr w:type="spellStart"/>
      <w:r>
        <w:rPr>
          <w:rFonts w:ascii="Calibri" w:eastAsia="Calibri" w:hAnsi="Calibri"/>
          <w:color w:val="000000"/>
        </w:rPr>
        <w:t>clawback</w:t>
      </w:r>
      <w:proofErr w:type="spellEnd"/>
      <w:r>
        <w:rPr>
          <w:rFonts w:ascii="Calibri" w:eastAsia="Calibri" w:hAnsi="Calibri"/>
          <w:color w:val="000000"/>
        </w:rPr>
        <w:t xml:space="preserve"> arrangements if the arrangement is not completely fulfilled.</w:t>
      </w:r>
    </w:p>
    <w:p w14:paraId="3D3938D8" w14:textId="77777777" w:rsidR="00132EA6" w:rsidRDefault="009B508A">
      <w:pPr>
        <w:spacing w:before="119" w:line="290" w:lineRule="exact"/>
        <w:ind w:left="72"/>
        <w:jc w:val="both"/>
        <w:textAlignment w:val="baseline"/>
        <w:rPr>
          <w:rFonts w:ascii="Calibri" w:eastAsia="Calibri" w:hAnsi="Calibri"/>
          <w:color w:val="000000"/>
        </w:rPr>
      </w:pPr>
      <w:r>
        <w:rPr>
          <w:rFonts w:ascii="Calibri" w:eastAsia="Calibri" w:hAnsi="Calibri"/>
          <w:color w:val="000000"/>
        </w:rPr>
        <w:t>Another option is to consider providing professional stipends or compensation for fo</w:t>
      </w:r>
      <w:r>
        <w:rPr>
          <w:rFonts w:ascii="Calibri" w:eastAsia="Calibri" w:hAnsi="Calibri"/>
          <w:color w:val="000000"/>
        </w:rPr>
        <w:t>regone employment income for in-class placements and training which would help to ‘bridge the gap’ for career changers who, being more established, often have greater financial responsibilities and liabilities than undergraduate students.</w:t>
      </w:r>
    </w:p>
    <w:p w14:paraId="57468CB6" w14:textId="77777777" w:rsidR="00132EA6" w:rsidRDefault="009B508A">
      <w:pPr>
        <w:spacing w:before="124" w:line="288" w:lineRule="exact"/>
        <w:ind w:left="72"/>
        <w:jc w:val="both"/>
        <w:textAlignment w:val="baseline"/>
        <w:rPr>
          <w:rFonts w:ascii="Calibri" w:eastAsia="Calibri" w:hAnsi="Calibri"/>
          <w:color w:val="000000"/>
        </w:rPr>
      </w:pPr>
      <w:r>
        <w:rPr>
          <w:rFonts w:ascii="Calibri" w:eastAsia="Calibri" w:hAnsi="Calibri"/>
          <w:color w:val="000000"/>
        </w:rPr>
        <w:t xml:space="preserve">Whilst financial </w:t>
      </w:r>
      <w:r>
        <w:rPr>
          <w:rFonts w:ascii="Calibri" w:eastAsia="Calibri" w:hAnsi="Calibri"/>
          <w:color w:val="000000"/>
        </w:rPr>
        <w:t>support schemes need not necessarily extend to job security – Go8 universities are confident that their graduating students are attractive to employ – any measure that reduces uncertainty or frictional unemployment between study and work will be attractive</w:t>
      </w:r>
      <w:r>
        <w:rPr>
          <w:rFonts w:ascii="Calibri" w:eastAsia="Calibri" w:hAnsi="Calibri"/>
          <w:color w:val="000000"/>
        </w:rPr>
        <w:t xml:space="preserve"> to would-be students.</w:t>
      </w:r>
    </w:p>
    <w:p w14:paraId="4890FE94" w14:textId="77777777" w:rsidR="00132EA6" w:rsidRDefault="009B508A">
      <w:pPr>
        <w:spacing w:before="595" w:line="226" w:lineRule="exact"/>
        <w:ind w:left="72"/>
        <w:textAlignment w:val="baseline"/>
        <w:rPr>
          <w:rFonts w:ascii="Calibri" w:eastAsia="Calibri" w:hAnsi="Calibri"/>
          <w:b/>
          <w:color w:val="000000"/>
        </w:rPr>
      </w:pPr>
      <w:r>
        <w:rPr>
          <w:rFonts w:ascii="Calibri" w:eastAsia="Calibri" w:hAnsi="Calibri"/>
          <w:b/>
          <w:color w:val="000000"/>
        </w:rPr>
        <w:t>Financial incentives for very remote teaching</w:t>
      </w:r>
    </w:p>
    <w:p w14:paraId="7D835325" w14:textId="77777777" w:rsidR="00132EA6" w:rsidRDefault="009B508A">
      <w:pPr>
        <w:spacing w:before="118" w:line="291" w:lineRule="exact"/>
        <w:ind w:left="72"/>
        <w:jc w:val="both"/>
        <w:textAlignment w:val="baseline"/>
        <w:rPr>
          <w:rFonts w:ascii="Calibri" w:eastAsia="Calibri" w:hAnsi="Calibri"/>
          <w:color w:val="000000"/>
        </w:rPr>
      </w:pPr>
      <w:r>
        <w:rPr>
          <w:rFonts w:ascii="Calibri" w:eastAsia="Calibri" w:hAnsi="Calibri"/>
          <w:color w:val="000000"/>
        </w:rPr>
        <w:t xml:space="preserve">Existing financial incentives for very remote area teachers provided by the Federal Government – the waiving of indexation on accumulated HELP debt, and the reduction of accumulated HELP debt, as established via the </w:t>
      </w:r>
      <w:r>
        <w:rPr>
          <w:rFonts w:ascii="Calibri" w:eastAsia="Calibri" w:hAnsi="Calibri"/>
          <w:i/>
          <w:color w:val="000000"/>
        </w:rPr>
        <w:t xml:space="preserve">Education Legislation Amendment (2019 Measures No. 1) Bill 2019 </w:t>
      </w:r>
      <w:r>
        <w:rPr>
          <w:rFonts w:ascii="Calibri" w:eastAsia="Calibri" w:hAnsi="Calibri"/>
          <w:color w:val="000000"/>
        </w:rPr>
        <w:t>– should be scheduled for future review (noting that they were only recently introduced) and be evaluated for efficacy.</w:t>
      </w:r>
    </w:p>
    <w:p w14:paraId="3219BB69" w14:textId="77777777" w:rsidR="00132EA6" w:rsidRDefault="009B508A">
      <w:pPr>
        <w:spacing w:before="761" w:line="199" w:lineRule="exact"/>
        <w:ind w:left="72"/>
        <w:jc w:val="right"/>
        <w:textAlignment w:val="baseline"/>
        <w:rPr>
          <w:rFonts w:ascii="Calibri Light" w:eastAsia="Calibri Light" w:hAnsi="Calibri Light"/>
          <w:color w:val="000000"/>
          <w:sz w:val="18"/>
        </w:rPr>
      </w:pPr>
      <w:r>
        <w:rPr>
          <w:rFonts w:ascii="Calibri Light" w:eastAsia="Calibri Light" w:hAnsi="Calibri Light"/>
          <w:color w:val="000000"/>
          <w:sz w:val="18"/>
        </w:rPr>
        <w:lastRenderedPageBreak/>
        <w:t>5</w:t>
      </w:r>
    </w:p>
    <w:p w14:paraId="2037867C" w14:textId="77777777" w:rsidR="00132EA6" w:rsidRDefault="00132EA6">
      <w:pPr>
        <w:sectPr w:rsidR="00132EA6">
          <w:pgSz w:w="11899" w:h="16843"/>
          <w:pgMar w:top="760" w:right="806" w:bottom="327" w:left="745" w:header="720" w:footer="720" w:gutter="0"/>
          <w:cols w:space="720"/>
        </w:sectPr>
      </w:pPr>
    </w:p>
    <w:p w14:paraId="0D2F06A3" w14:textId="77777777" w:rsidR="00132EA6" w:rsidRDefault="009B508A">
      <w:pPr>
        <w:spacing w:before="3" w:after="605"/>
        <w:ind w:left="4" w:right="7114"/>
        <w:textAlignment w:val="baseline"/>
      </w:pPr>
      <w:r>
        <w:rPr>
          <w:noProof/>
        </w:rPr>
        <w:lastRenderedPageBreak/>
        <w:drawing>
          <wp:inline distT="0" distB="0" distL="0" distR="0" wp14:anchorId="58894740" wp14:editId="257F4E00">
            <wp:extent cx="2051050" cy="76835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7"/>
                    <a:stretch>
                      <a:fillRect/>
                    </a:stretch>
                  </pic:blipFill>
                  <pic:spPr>
                    <a:xfrm>
                      <a:off x="0" y="0"/>
                      <a:ext cx="2051050" cy="768350"/>
                    </a:xfrm>
                    <a:prstGeom prst="rect">
                      <a:avLst/>
                    </a:prstGeom>
                  </pic:spPr>
                </pic:pic>
              </a:graphicData>
            </a:graphic>
          </wp:inline>
        </w:drawing>
      </w:r>
    </w:p>
    <w:p w14:paraId="601E488B" w14:textId="77777777" w:rsidR="00132EA6" w:rsidRDefault="009B508A">
      <w:pPr>
        <w:spacing w:line="288" w:lineRule="exact"/>
        <w:ind w:left="72"/>
        <w:jc w:val="both"/>
        <w:textAlignment w:val="baseline"/>
        <w:rPr>
          <w:rFonts w:ascii="Calibri" w:eastAsia="Calibri" w:hAnsi="Calibri"/>
          <w:color w:val="000000"/>
        </w:rPr>
      </w:pPr>
      <w:r>
        <w:rPr>
          <w:rFonts w:ascii="Calibri" w:eastAsia="Calibri" w:hAnsi="Calibri"/>
          <w:color w:val="000000"/>
        </w:rPr>
        <w:t>The Parliamentary Library’s analysis of the provisions</w:t>
      </w:r>
      <w:r>
        <w:rPr>
          <w:rFonts w:ascii="Calibri" w:eastAsia="Calibri" w:hAnsi="Calibri"/>
          <w:color w:val="000000"/>
        </w:rPr>
        <w:t xml:space="preserve"> concluded that they do not “</w:t>
      </w:r>
      <w:r>
        <w:rPr>
          <w:rFonts w:ascii="Calibri" w:eastAsia="Calibri" w:hAnsi="Calibri"/>
          <w:i/>
          <w:color w:val="000000"/>
        </w:rPr>
        <w:t xml:space="preserve">...offer any particular incentive to teaching students to do </w:t>
      </w:r>
      <w:proofErr w:type="spellStart"/>
      <w:r>
        <w:rPr>
          <w:rFonts w:ascii="Calibri" w:eastAsia="Calibri" w:hAnsi="Calibri"/>
          <w:i/>
          <w:color w:val="000000"/>
        </w:rPr>
        <w:t>specialised</w:t>
      </w:r>
      <w:proofErr w:type="spellEnd"/>
      <w:r>
        <w:rPr>
          <w:rFonts w:ascii="Calibri" w:eastAsia="Calibri" w:hAnsi="Calibri"/>
          <w:i/>
          <w:color w:val="000000"/>
        </w:rPr>
        <w:t xml:space="preserve"> placements or training in remote education, or encourage people from remote communities to become teachers.</w:t>
      </w:r>
      <w:r>
        <w:rPr>
          <w:rFonts w:ascii="Calibri" w:eastAsia="Calibri" w:hAnsi="Calibri"/>
          <w:color w:val="000000"/>
        </w:rPr>
        <w:t>”</w:t>
      </w:r>
      <w:r>
        <w:rPr>
          <w:rFonts w:ascii="Calibri" w:eastAsia="Calibri" w:hAnsi="Calibri"/>
          <w:color w:val="000000"/>
          <w:vertAlign w:val="superscript"/>
        </w:rPr>
        <w:t>7</w:t>
      </w:r>
      <w:r>
        <w:rPr>
          <w:rFonts w:ascii="Calibri" w:eastAsia="Calibri" w:hAnsi="Calibri"/>
          <w:color w:val="000000"/>
        </w:rPr>
        <w:t xml:space="preserve"> The 2017 Independent Review into Regional, R</w:t>
      </w:r>
      <w:r>
        <w:rPr>
          <w:rFonts w:ascii="Calibri" w:eastAsia="Calibri" w:hAnsi="Calibri"/>
          <w:color w:val="000000"/>
        </w:rPr>
        <w:t>ural and Remote Education (IRRRE) argued that Government should “</w:t>
      </w:r>
      <w:r>
        <w:rPr>
          <w:rFonts w:ascii="Calibri" w:eastAsia="Calibri" w:hAnsi="Calibri"/>
          <w:i/>
          <w:color w:val="000000"/>
        </w:rPr>
        <w:t>provide funding and opportunities for initial teacher education students to undertake high quality extended professional experience placements in RRR schools and communities.</w:t>
      </w:r>
      <w:r>
        <w:rPr>
          <w:rFonts w:ascii="Calibri" w:eastAsia="Calibri" w:hAnsi="Calibri"/>
          <w:color w:val="000000"/>
        </w:rPr>
        <w:t>”</w:t>
      </w:r>
      <w:r>
        <w:rPr>
          <w:rFonts w:ascii="Calibri" w:eastAsia="Calibri" w:hAnsi="Calibri"/>
          <w:color w:val="000000"/>
          <w:vertAlign w:val="superscript"/>
        </w:rPr>
        <w:t>8</w:t>
      </w:r>
      <w:r>
        <w:rPr>
          <w:rFonts w:ascii="Calibri" w:eastAsia="Calibri" w:hAnsi="Calibri"/>
          <w:color w:val="000000"/>
        </w:rPr>
        <w:t xml:space="preserve"> Other financia</w:t>
      </w:r>
      <w:r>
        <w:rPr>
          <w:rFonts w:ascii="Calibri" w:eastAsia="Calibri" w:hAnsi="Calibri"/>
          <w:color w:val="000000"/>
        </w:rPr>
        <w:t>l incentives may include provision of decent housing or other resources.</w:t>
      </w:r>
    </w:p>
    <w:p w14:paraId="04D1F895" w14:textId="77777777" w:rsidR="00132EA6" w:rsidRDefault="009B508A">
      <w:pPr>
        <w:spacing w:before="126" w:line="289" w:lineRule="exact"/>
        <w:ind w:left="72"/>
        <w:jc w:val="both"/>
        <w:textAlignment w:val="baseline"/>
        <w:rPr>
          <w:rFonts w:ascii="Calibri" w:eastAsia="Calibri" w:hAnsi="Calibri"/>
          <w:b/>
          <w:color w:val="000000"/>
        </w:rPr>
      </w:pPr>
      <w:r>
        <w:rPr>
          <w:rFonts w:ascii="Calibri" w:eastAsia="Calibri" w:hAnsi="Calibri"/>
          <w:b/>
          <w:color w:val="000000"/>
        </w:rPr>
        <w:t>Go8 universities have historically spent a far greater proportion of their Higher Education Participation and Partnerships Program funding (HEPPP) on outreach to regional and remote c</w:t>
      </w:r>
      <w:r>
        <w:rPr>
          <w:rFonts w:ascii="Calibri" w:eastAsia="Calibri" w:hAnsi="Calibri"/>
          <w:b/>
          <w:color w:val="000000"/>
        </w:rPr>
        <w:t>ommunities than any other university grouping. This includes attracting postgraduate ITE students who may be more willing to return home after graduating.</w:t>
      </w:r>
    </w:p>
    <w:p w14:paraId="063A17D1" w14:textId="77777777" w:rsidR="00132EA6" w:rsidRDefault="009B508A">
      <w:pPr>
        <w:spacing w:before="595" w:line="226" w:lineRule="exact"/>
        <w:ind w:left="72"/>
        <w:textAlignment w:val="baseline"/>
        <w:rPr>
          <w:rFonts w:ascii="Calibri" w:eastAsia="Calibri" w:hAnsi="Calibri"/>
          <w:b/>
          <w:color w:val="000000"/>
          <w:spacing w:val="-1"/>
        </w:rPr>
      </w:pPr>
      <w:r>
        <w:rPr>
          <w:rFonts w:ascii="Calibri" w:eastAsia="Calibri" w:hAnsi="Calibri"/>
          <w:b/>
          <w:color w:val="000000"/>
          <w:spacing w:val="-1"/>
        </w:rPr>
        <w:t>Mentoring</w:t>
      </w:r>
    </w:p>
    <w:p w14:paraId="7DB05C6D" w14:textId="77777777" w:rsidR="00132EA6" w:rsidRDefault="009B508A">
      <w:pPr>
        <w:spacing w:before="113" w:line="291" w:lineRule="exact"/>
        <w:ind w:left="72"/>
        <w:jc w:val="both"/>
        <w:textAlignment w:val="baseline"/>
        <w:rPr>
          <w:rFonts w:ascii="Calibri" w:eastAsia="Calibri" w:hAnsi="Calibri"/>
          <w:color w:val="000000"/>
        </w:rPr>
      </w:pPr>
      <w:r>
        <w:rPr>
          <w:rFonts w:ascii="Calibri" w:eastAsia="Calibri" w:hAnsi="Calibri"/>
          <w:color w:val="000000"/>
        </w:rPr>
        <w:t>The most difficult time for teachers, including postgraduate teachers, is during their initial transition into the classroom. Whilst informal and formal mentoring of recently graduated students can often occur within schools, a fully funded national mentor</w:t>
      </w:r>
      <w:r>
        <w:rPr>
          <w:rFonts w:ascii="Calibri" w:eastAsia="Calibri" w:hAnsi="Calibri"/>
          <w:color w:val="000000"/>
        </w:rPr>
        <w:t>ing scheme for at least the first two years of teaching would help ensure that newly qualified teachers are well supported with trained by higher quality mentors.</w:t>
      </w:r>
    </w:p>
    <w:p w14:paraId="71D6C7F1" w14:textId="77777777" w:rsidR="00132EA6" w:rsidRDefault="009B508A">
      <w:pPr>
        <w:spacing w:before="115" w:line="291" w:lineRule="exact"/>
        <w:ind w:left="72"/>
        <w:jc w:val="both"/>
        <w:textAlignment w:val="baseline"/>
        <w:rPr>
          <w:rFonts w:ascii="Calibri" w:eastAsia="Calibri" w:hAnsi="Calibri"/>
          <w:color w:val="000000"/>
        </w:rPr>
      </w:pPr>
      <w:r>
        <w:rPr>
          <w:rFonts w:ascii="Calibri" w:eastAsia="Calibri" w:hAnsi="Calibri"/>
          <w:color w:val="000000"/>
        </w:rPr>
        <w:t>This could assist overcome initial workplace challenges. Consideration should be given to red</w:t>
      </w:r>
      <w:r>
        <w:rPr>
          <w:rFonts w:ascii="Calibri" w:eastAsia="Calibri" w:hAnsi="Calibri"/>
          <w:color w:val="000000"/>
        </w:rPr>
        <w:t>uced teaching workloads during any formal mentorship period. These mentoring models can be based on connections to their ITE study providers (for example, lecturers and other ITE staff) and/or school-based practitioners.</w:t>
      </w:r>
    </w:p>
    <w:p w14:paraId="57C15C9D" w14:textId="77777777" w:rsidR="00132EA6" w:rsidRDefault="009B508A">
      <w:pPr>
        <w:spacing w:before="121" w:line="291" w:lineRule="exact"/>
        <w:ind w:left="72"/>
        <w:jc w:val="both"/>
        <w:textAlignment w:val="baseline"/>
        <w:rPr>
          <w:rFonts w:ascii="Calibri" w:eastAsia="Calibri" w:hAnsi="Calibri"/>
          <w:color w:val="000000"/>
        </w:rPr>
      </w:pPr>
      <w:r>
        <w:rPr>
          <w:rFonts w:ascii="Calibri" w:eastAsia="Calibri" w:hAnsi="Calibri"/>
          <w:color w:val="000000"/>
        </w:rPr>
        <w:t>Similarly, ITE completion rates can</w:t>
      </w:r>
      <w:r>
        <w:rPr>
          <w:rFonts w:ascii="Calibri" w:eastAsia="Calibri" w:hAnsi="Calibri"/>
          <w:color w:val="000000"/>
        </w:rPr>
        <w:t xml:space="preserve"> be improved through individual support and mentoring for prospective teachers experiencing difficulties and can also help in retention of under-represented groups and/or first-generation university students</w:t>
      </w:r>
      <w:r>
        <w:rPr>
          <w:rFonts w:ascii="Calibri" w:eastAsia="Calibri" w:hAnsi="Calibri"/>
          <w:color w:val="000000"/>
          <w:vertAlign w:val="superscript"/>
        </w:rPr>
        <w:t>9</w:t>
      </w:r>
      <w:r>
        <w:rPr>
          <w:rFonts w:ascii="Calibri" w:eastAsia="Calibri" w:hAnsi="Calibri"/>
          <w:color w:val="000000"/>
        </w:rPr>
        <w:t>.</w:t>
      </w:r>
    </w:p>
    <w:p w14:paraId="300ADAD0" w14:textId="77777777" w:rsidR="00132EA6" w:rsidRDefault="009B508A">
      <w:pPr>
        <w:spacing w:before="590" w:line="226" w:lineRule="exact"/>
        <w:ind w:left="72"/>
        <w:textAlignment w:val="baseline"/>
        <w:rPr>
          <w:rFonts w:ascii="Calibri" w:eastAsia="Calibri" w:hAnsi="Calibri"/>
          <w:b/>
          <w:color w:val="000000"/>
        </w:rPr>
      </w:pPr>
      <w:r>
        <w:rPr>
          <w:rFonts w:ascii="Calibri" w:eastAsia="Calibri" w:hAnsi="Calibri"/>
          <w:b/>
          <w:color w:val="000000"/>
        </w:rPr>
        <w:t>Strengthening ITE connections with schools</w:t>
      </w:r>
    </w:p>
    <w:p w14:paraId="2B7926FE" w14:textId="77777777" w:rsidR="00132EA6" w:rsidRDefault="009B508A">
      <w:pPr>
        <w:spacing w:before="118" w:line="291" w:lineRule="exact"/>
        <w:ind w:left="72"/>
        <w:jc w:val="both"/>
        <w:textAlignment w:val="baseline"/>
        <w:rPr>
          <w:rFonts w:ascii="Calibri" w:eastAsia="Calibri" w:hAnsi="Calibri"/>
          <w:color w:val="000000"/>
        </w:rPr>
      </w:pPr>
      <w:r>
        <w:rPr>
          <w:rFonts w:ascii="Calibri" w:eastAsia="Calibri" w:hAnsi="Calibri"/>
          <w:color w:val="000000"/>
        </w:rPr>
        <w:t xml:space="preserve">By necessity, ITE degrees have a strong practical, in-school component, and ITE programs of study engage regularly and habitually with schools and school systems. However, more can always be done to strengthen the cross-pollination of best practice and in </w:t>
      </w:r>
      <w:r>
        <w:rPr>
          <w:rFonts w:ascii="Calibri" w:eastAsia="Calibri" w:hAnsi="Calibri"/>
          <w:color w:val="000000"/>
        </w:rPr>
        <w:t>both directions, but especially the practical lessons from schools that can be applied to improve ITE program structure and curriculum.</w:t>
      </w:r>
    </w:p>
    <w:p w14:paraId="61D9B869" w14:textId="77777777" w:rsidR="00132EA6" w:rsidRDefault="009B508A">
      <w:pPr>
        <w:spacing w:before="114" w:after="211" w:line="291" w:lineRule="exact"/>
        <w:ind w:left="72"/>
        <w:jc w:val="both"/>
        <w:textAlignment w:val="baseline"/>
        <w:rPr>
          <w:rFonts w:ascii="Calibri" w:eastAsia="Calibri" w:hAnsi="Calibri"/>
          <w:color w:val="000000"/>
          <w:spacing w:val="-3"/>
        </w:rPr>
      </w:pPr>
      <w:r>
        <w:rPr>
          <w:rFonts w:ascii="Calibri" w:eastAsia="Calibri" w:hAnsi="Calibri"/>
          <w:color w:val="000000"/>
          <w:spacing w:val="-3"/>
        </w:rPr>
        <w:t>ITE studies have much to gain from more closely resembling the model of engagement used in the study of medicine, specif</w:t>
      </w:r>
      <w:r>
        <w:rPr>
          <w:rFonts w:ascii="Calibri" w:eastAsia="Calibri" w:hAnsi="Calibri"/>
          <w:color w:val="000000"/>
          <w:spacing w:val="-3"/>
        </w:rPr>
        <w:t>ically: closer engagement with the medical system on course content; a detailed examination of the value and purpose of placements; and a shared commitment to readiness and transition to work. In addition, we should look to facilitate closer relationships,</w:t>
      </w:r>
      <w:r>
        <w:rPr>
          <w:rFonts w:ascii="Calibri" w:eastAsia="Calibri" w:hAnsi="Calibri"/>
          <w:color w:val="000000"/>
          <w:spacing w:val="-3"/>
        </w:rPr>
        <w:t xml:space="preserve"> particularly with public education systems, to facilitate opportunities for early employment offers, particularly in hard-to-place schools. A continuing problem in some jurisdictions is that many</w:t>
      </w:r>
    </w:p>
    <w:p w14:paraId="788481B0" w14:textId="77777777" w:rsidR="00132EA6" w:rsidRDefault="009B508A">
      <w:pPr>
        <w:spacing w:before="114" w:line="244" w:lineRule="exact"/>
        <w:ind w:left="72" w:right="144"/>
        <w:jc w:val="both"/>
        <w:textAlignment w:val="baseline"/>
        <w:rPr>
          <w:rFonts w:ascii="Calibri" w:eastAsia="Calibri" w:hAnsi="Calibri"/>
          <w:color w:val="000000"/>
          <w:sz w:val="13"/>
          <w:vertAlign w:val="superscript"/>
        </w:rPr>
      </w:pPr>
      <w:r>
        <w:pict w14:anchorId="1FE0111F">
          <v:line id="_x0000_s1026" style="position:absolute;left:0;text-align:left;z-index:251658752;mso-position-horizontal-relative:page;mso-position-vertical-relative:page" from="42.5pt,678.7pt" to="186.75pt,678.7pt" strokeweight=".95pt">
            <w10:wrap anchorx="page" anchory="page"/>
          </v:line>
        </w:pict>
      </w:r>
      <w:r>
        <w:rPr>
          <w:rFonts w:ascii="Calibri" w:eastAsia="Calibri" w:hAnsi="Calibri"/>
          <w:color w:val="000000"/>
          <w:sz w:val="13"/>
          <w:vertAlign w:val="superscript"/>
        </w:rPr>
        <w:t>7</w:t>
      </w:r>
      <w:r>
        <w:rPr>
          <w:rFonts w:ascii="Calibri" w:eastAsia="Calibri" w:hAnsi="Calibri"/>
          <w:color w:val="000000"/>
          <w:sz w:val="20"/>
        </w:rPr>
        <w:t xml:space="preserve"> Dr Hazel Ferguson, Dr Shannon </w:t>
      </w:r>
      <w:proofErr w:type="gramStart"/>
      <w:r>
        <w:rPr>
          <w:rFonts w:ascii="Calibri" w:eastAsia="Calibri" w:hAnsi="Calibri"/>
          <w:color w:val="000000"/>
          <w:sz w:val="20"/>
        </w:rPr>
        <w:t>Clark</w:t>
      </w:r>
      <w:proofErr w:type="gramEnd"/>
      <w:r>
        <w:rPr>
          <w:rFonts w:ascii="Calibri" w:eastAsia="Calibri" w:hAnsi="Calibri"/>
          <w:color w:val="000000"/>
          <w:sz w:val="20"/>
        </w:rPr>
        <w:t xml:space="preserve"> and Dr James Haughton, ‘</w:t>
      </w:r>
      <w:r>
        <w:rPr>
          <w:rFonts w:ascii="Calibri" w:eastAsia="Calibri" w:hAnsi="Calibri"/>
          <w:i/>
          <w:color w:val="000000"/>
          <w:sz w:val="20"/>
        </w:rPr>
        <w:t>Education Legislation Amendment (2019 Measures No.1) Bill 2019</w:t>
      </w:r>
      <w:r>
        <w:rPr>
          <w:rFonts w:ascii="Calibri" w:eastAsia="Calibri" w:hAnsi="Calibri"/>
          <w:color w:val="000000"/>
          <w:sz w:val="20"/>
        </w:rPr>
        <w:t>’, Bills Digest No.51 2019-20, 14 November 2019; see:</w:t>
      </w:r>
    </w:p>
    <w:p w14:paraId="0E702C36" w14:textId="77777777" w:rsidR="00132EA6" w:rsidRDefault="009B508A">
      <w:pPr>
        <w:spacing w:before="39" w:line="206" w:lineRule="exact"/>
        <w:ind w:left="72"/>
        <w:textAlignment w:val="baseline"/>
        <w:rPr>
          <w:rFonts w:ascii="Calibri" w:eastAsia="Calibri" w:hAnsi="Calibri"/>
          <w:color w:val="0462C1"/>
          <w:spacing w:val="-4"/>
          <w:sz w:val="21"/>
          <w:u w:val="single"/>
        </w:rPr>
      </w:pPr>
      <w:hyperlink r:id="rId20">
        <w:r>
          <w:rPr>
            <w:rFonts w:ascii="Calibri" w:eastAsia="Calibri" w:hAnsi="Calibri"/>
            <w:color w:val="0000FF"/>
            <w:spacing w:val="-4"/>
            <w:sz w:val="21"/>
            <w:u w:val="single"/>
          </w:rPr>
          <w:t>https://www.aph.gov.au/Parliamentary_Business/Bills_Legislation/bd/bd1920a/20bd051</w:t>
        </w:r>
      </w:hyperlink>
      <w:r>
        <w:rPr>
          <w:rFonts w:ascii="Calibri" w:eastAsia="Calibri" w:hAnsi="Calibri"/>
          <w:color w:val="000000"/>
          <w:spacing w:val="-4"/>
          <w:sz w:val="20"/>
        </w:rPr>
        <w:t xml:space="preserve"> </w:t>
      </w:r>
    </w:p>
    <w:p w14:paraId="005CBD0F" w14:textId="77777777" w:rsidR="00132EA6" w:rsidRDefault="009B508A">
      <w:pPr>
        <w:spacing w:before="41" w:line="203" w:lineRule="exact"/>
        <w:ind w:left="72"/>
        <w:textAlignment w:val="baseline"/>
        <w:rPr>
          <w:rFonts w:ascii="Calibri" w:eastAsia="Calibri" w:hAnsi="Calibri"/>
          <w:color w:val="000000"/>
          <w:sz w:val="13"/>
          <w:vertAlign w:val="superscript"/>
        </w:rPr>
      </w:pPr>
      <w:r>
        <w:rPr>
          <w:rFonts w:ascii="Calibri" w:eastAsia="Calibri" w:hAnsi="Calibri"/>
          <w:color w:val="000000"/>
          <w:sz w:val="13"/>
          <w:vertAlign w:val="superscript"/>
        </w:rPr>
        <w:t>8</w:t>
      </w:r>
      <w:r>
        <w:rPr>
          <w:rFonts w:ascii="Calibri" w:eastAsia="Calibri" w:hAnsi="Calibri"/>
          <w:color w:val="000000"/>
          <w:sz w:val="20"/>
        </w:rPr>
        <w:t xml:space="preserve"> p45, Dr John Halsey, </w:t>
      </w:r>
      <w:r>
        <w:rPr>
          <w:rFonts w:ascii="Calibri" w:eastAsia="Calibri" w:hAnsi="Calibri"/>
          <w:i/>
          <w:color w:val="000000"/>
          <w:sz w:val="20"/>
        </w:rPr>
        <w:t>Independent Review into Regional, Rural and Remote Education</w:t>
      </w:r>
      <w:r>
        <w:rPr>
          <w:rFonts w:ascii="Calibri" w:eastAsia="Calibri" w:hAnsi="Calibri"/>
          <w:color w:val="000000"/>
          <w:sz w:val="20"/>
        </w:rPr>
        <w:t>, 2017; see:</w:t>
      </w:r>
    </w:p>
    <w:p w14:paraId="00CD86B9" w14:textId="77777777" w:rsidR="00132EA6" w:rsidRDefault="009B508A">
      <w:pPr>
        <w:spacing w:before="5" w:line="240" w:lineRule="exact"/>
        <w:ind w:left="72" w:right="432"/>
        <w:textAlignment w:val="baseline"/>
        <w:rPr>
          <w:rFonts w:ascii="Calibri" w:eastAsia="Calibri" w:hAnsi="Calibri"/>
          <w:color w:val="0462C1"/>
          <w:sz w:val="21"/>
          <w:u w:val="single"/>
        </w:rPr>
      </w:pPr>
      <w:hyperlink r:id="rId21">
        <w:r>
          <w:rPr>
            <w:rFonts w:ascii="Calibri" w:eastAsia="Calibri" w:hAnsi="Calibri"/>
            <w:color w:val="0000FF"/>
            <w:sz w:val="21"/>
            <w:u w:val="single"/>
          </w:rPr>
          <w:t>https://www.dese.gov.au/quality-schools-package/resources/independent-review-regional-rural-and-remote-education-final-report</w:t>
        </w:r>
      </w:hyperlink>
      <w:r>
        <w:rPr>
          <w:rFonts w:ascii="Calibri" w:eastAsia="Calibri" w:hAnsi="Calibri"/>
          <w:color w:val="000000"/>
          <w:sz w:val="20"/>
        </w:rPr>
        <w:t xml:space="preserve"> </w:t>
      </w:r>
    </w:p>
    <w:p w14:paraId="67B6295E" w14:textId="77777777" w:rsidR="00132EA6" w:rsidRDefault="009B508A">
      <w:pPr>
        <w:spacing w:before="2" w:after="254" w:line="244" w:lineRule="exact"/>
        <w:ind w:left="72" w:right="144"/>
        <w:jc w:val="both"/>
        <w:textAlignment w:val="baseline"/>
        <w:rPr>
          <w:rFonts w:ascii="Calibri" w:eastAsia="Calibri" w:hAnsi="Calibri"/>
          <w:color w:val="000000"/>
          <w:sz w:val="13"/>
          <w:vertAlign w:val="superscript"/>
        </w:rPr>
      </w:pPr>
      <w:r>
        <w:rPr>
          <w:rFonts w:ascii="Calibri" w:eastAsia="Calibri" w:hAnsi="Calibri"/>
          <w:color w:val="000000"/>
          <w:sz w:val="13"/>
          <w:vertAlign w:val="superscript"/>
        </w:rPr>
        <w:t>9</w:t>
      </w:r>
      <w:r>
        <w:rPr>
          <w:rFonts w:ascii="Calibri" w:eastAsia="Calibri" w:hAnsi="Calibri"/>
          <w:color w:val="000000"/>
          <w:sz w:val="20"/>
        </w:rPr>
        <w:t xml:space="preserve"> M. </w:t>
      </w:r>
      <w:proofErr w:type="spellStart"/>
      <w:r>
        <w:rPr>
          <w:rFonts w:ascii="Calibri" w:eastAsia="Calibri" w:hAnsi="Calibri"/>
          <w:color w:val="000000"/>
          <w:sz w:val="20"/>
        </w:rPr>
        <w:t>Aruguete</w:t>
      </w:r>
      <w:proofErr w:type="spellEnd"/>
      <w:r>
        <w:rPr>
          <w:rFonts w:ascii="Calibri" w:eastAsia="Calibri" w:hAnsi="Calibri"/>
          <w:color w:val="000000"/>
          <w:sz w:val="20"/>
        </w:rPr>
        <w:t xml:space="preserve"> &amp; A. </w:t>
      </w:r>
      <w:proofErr w:type="spellStart"/>
      <w:r>
        <w:rPr>
          <w:rFonts w:ascii="Calibri" w:eastAsia="Calibri" w:hAnsi="Calibri"/>
          <w:color w:val="000000"/>
          <w:sz w:val="20"/>
        </w:rPr>
        <w:t>Katrevich</w:t>
      </w:r>
      <w:proofErr w:type="spellEnd"/>
      <w:r>
        <w:rPr>
          <w:rFonts w:ascii="Calibri" w:eastAsia="Calibri" w:hAnsi="Calibri"/>
          <w:color w:val="000000"/>
          <w:sz w:val="20"/>
        </w:rPr>
        <w:t>, ‘Recogn</w:t>
      </w:r>
      <w:r>
        <w:rPr>
          <w:rFonts w:ascii="Calibri" w:eastAsia="Calibri" w:hAnsi="Calibri"/>
          <w:color w:val="000000"/>
          <w:sz w:val="20"/>
        </w:rPr>
        <w:t xml:space="preserve">izing challenges and predicting success in first-generation university students’, </w:t>
      </w:r>
      <w:r>
        <w:rPr>
          <w:rFonts w:ascii="Calibri" w:eastAsia="Calibri" w:hAnsi="Calibri"/>
          <w:i/>
          <w:color w:val="000000"/>
          <w:sz w:val="20"/>
        </w:rPr>
        <w:t>Journal of STEM Education: Innovations and Research</w:t>
      </w:r>
      <w:r>
        <w:rPr>
          <w:rFonts w:ascii="Calibri" w:eastAsia="Calibri" w:hAnsi="Calibri"/>
          <w:color w:val="000000"/>
          <w:sz w:val="20"/>
        </w:rPr>
        <w:t>, 18(2), 40-44, 2017</w:t>
      </w:r>
    </w:p>
    <w:p w14:paraId="525DF245" w14:textId="77777777" w:rsidR="00132EA6" w:rsidRDefault="009B508A">
      <w:pPr>
        <w:spacing w:before="20" w:line="199" w:lineRule="exact"/>
        <w:ind w:left="72"/>
        <w:jc w:val="right"/>
        <w:textAlignment w:val="baseline"/>
        <w:rPr>
          <w:rFonts w:ascii="Calibri Light" w:eastAsia="Calibri Light" w:hAnsi="Calibri Light"/>
          <w:color w:val="000000"/>
          <w:sz w:val="18"/>
        </w:rPr>
      </w:pPr>
      <w:r>
        <w:rPr>
          <w:rFonts w:ascii="Calibri Light" w:eastAsia="Calibri Light" w:hAnsi="Calibri Light"/>
          <w:color w:val="000000"/>
          <w:sz w:val="18"/>
        </w:rPr>
        <w:lastRenderedPageBreak/>
        <w:t>6</w:t>
      </w:r>
    </w:p>
    <w:p w14:paraId="79242E89" w14:textId="77777777" w:rsidR="00132EA6" w:rsidRDefault="00132EA6">
      <w:pPr>
        <w:sectPr w:rsidR="00132EA6">
          <w:pgSz w:w="11899" w:h="16843"/>
          <w:pgMar w:top="760" w:right="787" w:bottom="327" w:left="764" w:header="720" w:footer="720" w:gutter="0"/>
          <w:cols w:space="720"/>
        </w:sectPr>
      </w:pPr>
    </w:p>
    <w:p w14:paraId="7C1A2611" w14:textId="77777777" w:rsidR="00132EA6" w:rsidRDefault="009B508A">
      <w:pPr>
        <w:spacing w:before="3" w:after="583"/>
        <w:ind w:left="4" w:right="7114"/>
        <w:textAlignment w:val="baseline"/>
      </w:pPr>
      <w:r>
        <w:rPr>
          <w:noProof/>
        </w:rPr>
        <w:lastRenderedPageBreak/>
        <w:drawing>
          <wp:inline distT="0" distB="0" distL="0" distR="0" wp14:anchorId="71FD91CC" wp14:editId="27CF4083">
            <wp:extent cx="2051050" cy="8045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2"/>
                    <a:stretch>
                      <a:fillRect/>
                    </a:stretch>
                  </pic:blipFill>
                  <pic:spPr>
                    <a:xfrm>
                      <a:off x="0" y="0"/>
                      <a:ext cx="2051050" cy="804545"/>
                    </a:xfrm>
                    <a:prstGeom prst="rect">
                      <a:avLst/>
                    </a:prstGeom>
                  </pic:spPr>
                </pic:pic>
              </a:graphicData>
            </a:graphic>
          </wp:inline>
        </w:drawing>
      </w:r>
    </w:p>
    <w:p w14:paraId="12335463" w14:textId="77777777" w:rsidR="00132EA6" w:rsidRDefault="009B508A">
      <w:pPr>
        <w:spacing w:line="270" w:lineRule="exact"/>
        <w:ind w:left="72"/>
        <w:jc w:val="both"/>
        <w:textAlignment w:val="baseline"/>
        <w:rPr>
          <w:rFonts w:ascii="Calibri" w:eastAsia="Calibri" w:hAnsi="Calibri"/>
          <w:color w:val="000000"/>
          <w:spacing w:val="-1"/>
        </w:rPr>
      </w:pPr>
      <w:r>
        <w:rPr>
          <w:rFonts w:ascii="Calibri" w:eastAsia="Calibri" w:hAnsi="Calibri"/>
          <w:color w:val="000000"/>
          <w:spacing w:val="-1"/>
        </w:rPr>
        <w:t>of the best students get very early offers from non-government schools, when the best students are much needed in government schools. We need to commit to work closely with systems to assist with early employment offers.</w:t>
      </w:r>
    </w:p>
    <w:p w14:paraId="56391755" w14:textId="77777777" w:rsidR="00132EA6" w:rsidRDefault="009B508A">
      <w:pPr>
        <w:spacing w:before="119" w:line="290" w:lineRule="exact"/>
        <w:ind w:left="72"/>
        <w:jc w:val="both"/>
        <w:textAlignment w:val="baseline"/>
        <w:rPr>
          <w:rFonts w:ascii="Calibri" w:eastAsia="Calibri" w:hAnsi="Calibri"/>
          <w:color w:val="000000"/>
        </w:rPr>
      </w:pPr>
      <w:r>
        <w:rPr>
          <w:rFonts w:ascii="Calibri" w:eastAsia="Calibri" w:hAnsi="Calibri"/>
          <w:color w:val="000000"/>
        </w:rPr>
        <w:t xml:space="preserve">To that end, a pilot scheme should </w:t>
      </w:r>
      <w:r>
        <w:rPr>
          <w:rFonts w:ascii="Calibri" w:eastAsia="Calibri" w:hAnsi="Calibri"/>
          <w:color w:val="000000"/>
        </w:rPr>
        <w:t>be established to trial the value of supporting experienced teachers to actively contribute to university ITE curriculum development, and to provide teaching academics greater access to classrooms. This would refresh their own teaching experience, but more</w:t>
      </w:r>
      <w:r>
        <w:rPr>
          <w:rFonts w:ascii="Calibri" w:eastAsia="Calibri" w:hAnsi="Calibri"/>
          <w:color w:val="000000"/>
        </w:rPr>
        <w:t xml:space="preserve"> importantly allow them to observe shifts in teaching practice and their effects on teaching quality and learning outcomes. Facilitating early employment offers from Government schools should also be a priority.</w:t>
      </w:r>
    </w:p>
    <w:p w14:paraId="6740E8A6" w14:textId="77777777" w:rsidR="00132EA6" w:rsidRDefault="009B508A">
      <w:pPr>
        <w:spacing w:line="608" w:lineRule="exact"/>
        <w:ind w:left="72"/>
        <w:jc w:val="both"/>
        <w:textAlignment w:val="baseline"/>
        <w:rPr>
          <w:rFonts w:ascii="Calibri" w:eastAsia="Calibri" w:hAnsi="Calibri"/>
          <w:color w:val="000000"/>
        </w:rPr>
      </w:pPr>
      <w:r>
        <w:rPr>
          <w:rFonts w:ascii="Calibri" w:eastAsia="Calibri" w:hAnsi="Calibri"/>
          <w:color w:val="000000"/>
        </w:rPr>
        <w:t>A key metric in determining such a pilot sch</w:t>
      </w:r>
      <w:r>
        <w:rPr>
          <w:rFonts w:ascii="Calibri" w:eastAsia="Calibri" w:hAnsi="Calibri"/>
          <w:color w:val="000000"/>
        </w:rPr>
        <w:t xml:space="preserve">eme’s success should relate to its effect upon ITE graduate preparedness. </w:t>
      </w:r>
      <w:r>
        <w:rPr>
          <w:rFonts w:ascii="Calibri" w:eastAsia="Calibri" w:hAnsi="Calibri"/>
          <w:b/>
          <w:color w:val="000000"/>
        </w:rPr>
        <w:t>Essential research</w:t>
      </w:r>
    </w:p>
    <w:p w14:paraId="402A212A" w14:textId="77777777" w:rsidR="00132EA6" w:rsidRDefault="009B508A">
      <w:pPr>
        <w:spacing w:before="110" w:line="289" w:lineRule="exact"/>
        <w:ind w:left="72"/>
        <w:jc w:val="both"/>
        <w:textAlignment w:val="baseline"/>
        <w:rPr>
          <w:rFonts w:ascii="Calibri" w:eastAsia="Calibri" w:hAnsi="Calibri"/>
          <w:color w:val="000000"/>
        </w:rPr>
      </w:pPr>
      <w:r>
        <w:rPr>
          <w:rFonts w:ascii="Calibri" w:eastAsia="Calibri" w:hAnsi="Calibri"/>
          <w:color w:val="000000"/>
        </w:rPr>
        <w:t xml:space="preserve">Australia does not have sufficient longitudinal data and analysis on the relative importance of an ITE graduate’s original program of study to their preparedness, </w:t>
      </w:r>
      <w:r>
        <w:rPr>
          <w:rFonts w:ascii="Calibri" w:eastAsia="Calibri" w:hAnsi="Calibri"/>
          <w:color w:val="000000"/>
        </w:rPr>
        <w:t>performance, career progression and attrition rates. Nor is there research establishing the strength of the causative effect between improvements in quality of ITE programs of study (or their model and approach) and student learning outcomes.</w:t>
      </w:r>
    </w:p>
    <w:p w14:paraId="2B472193" w14:textId="77777777" w:rsidR="00132EA6" w:rsidRDefault="009B508A">
      <w:pPr>
        <w:spacing w:before="117" w:line="291" w:lineRule="exact"/>
        <w:ind w:left="72"/>
        <w:jc w:val="both"/>
        <w:textAlignment w:val="baseline"/>
        <w:rPr>
          <w:rFonts w:ascii="Calibri" w:eastAsia="Calibri" w:hAnsi="Calibri"/>
          <w:color w:val="000000"/>
        </w:rPr>
      </w:pPr>
      <w:r>
        <w:rPr>
          <w:rFonts w:ascii="Calibri" w:eastAsia="Calibri" w:hAnsi="Calibri"/>
          <w:color w:val="000000"/>
        </w:rPr>
        <w:t>These importa</w:t>
      </w:r>
      <w:r>
        <w:rPr>
          <w:rFonts w:ascii="Calibri" w:eastAsia="Calibri" w:hAnsi="Calibri"/>
          <w:color w:val="000000"/>
        </w:rPr>
        <w:t>nt gaps in our knowledge require dedicated research funded by the Federal and/or State Governments, with relevant and appropriately de-identified data made available to researchers. The Go8 is not only willing to participate in this essential research, but</w:t>
      </w:r>
      <w:r>
        <w:rPr>
          <w:rFonts w:ascii="Calibri" w:eastAsia="Calibri" w:hAnsi="Calibri"/>
          <w:color w:val="000000"/>
        </w:rPr>
        <w:t xml:space="preserve"> to engage proactively with its findings. We are open to change our ITE offering in the light of what the research will tell us.</w:t>
      </w:r>
    </w:p>
    <w:p w14:paraId="62DFCBA8" w14:textId="77777777" w:rsidR="00132EA6" w:rsidRDefault="009B508A">
      <w:pPr>
        <w:spacing w:before="566" w:line="242" w:lineRule="exact"/>
        <w:ind w:left="72"/>
        <w:textAlignment w:val="baseline"/>
        <w:rPr>
          <w:rFonts w:ascii="Calibri" w:eastAsia="Calibri" w:hAnsi="Calibri"/>
          <w:b/>
          <w:color w:val="000000"/>
          <w:spacing w:val="-1"/>
        </w:rPr>
      </w:pPr>
      <w:r>
        <w:rPr>
          <w:rFonts w:ascii="Calibri" w:eastAsia="Calibri" w:hAnsi="Calibri"/>
          <w:b/>
          <w:color w:val="000000"/>
          <w:spacing w:val="-1"/>
        </w:rPr>
        <w:t>In summation</w:t>
      </w:r>
    </w:p>
    <w:p w14:paraId="3E94E245" w14:textId="77777777" w:rsidR="00132EA6" w:rsidRDefault="009B508A">
      <w:pPr>
        <w:spacing w:before="103" w:line="290" w:lineRule="exact"/>
        <w:ind w:left="72"/>
        <w:jc w:val="both"/>
        <w:textAlignment w:val="baseline"/>
        <w:rPr>
          <w:rFonts w:ascii="Calibri" w:eastAsia="Calibri" w:hAnsi="Calibri"/>
          <w:color w:val="000000"/>
        </w:rPr>
      </w:pPr>
      <w:r>
        <w:rPr>
          <w:rFonts w:ascii="Calibri" w:eastAsia="Calibri" w:hAnsi="Calibri"/>
          <w:color w:val="000000"/>
        </w:rPr>
        <w:t>As stated throughout this submission, the Go8 is committed to excellence in its graduates and excellence in the teaching that these graduates can deliver for the future of Australia. It is so critical that excellence should be a given for the betterment of</w:t>
      </w:r>
      <w:r>
        <w:rPr>
          <w:rFonts w:ascii="Calibri" w:eastAsia="Calibri" w:hAnsi="Calibri"/>
          <w:color w:val="000000"/>
        </w:rPr>
        <w:t xml:space="preserve"> the next generation.</w:t>
      </w:r>
    </w:p>
    <w:p w14:paraId="70B93CAB" w14:textId="77777777" w:rsidR="00132EA6" w:rsidRDefault="009B508A">
      <w:pPr>
        <w:spacing w:before="182" w:line="226" w:lineRule="exact"/>
        <w:ind w:left="72"/>
        <w:textAlignment w:val="baseline"/>
        <w:rPr>
          <w:rFonts w:ascii="Calibri" w:eastAsia="Calibri" w:hAnsi="Calibri"/>
          <w:color w:val="000000"/>
        </w:rPr>
      </w:pPr>
      <w:r>
        <w:rPr>
          <w:rFonts w:ascii="Calibri" w:eastAsia="Calibri" w:hAnsi="Calibri"/>
          <w:color w:val="000000"/>
        </w:rPr>
        <w:t>The Go8 hopes its recommendations are seen through that lens.</w:t>
      </w:r>
    </w:p>
    <w:p w14:paraId="0D595087" w14:textId="77777777" w:rsidR="00132EA6" w:rsidRDefault="009B508A">
      <w:pPr>
        <w:spacing w:before="126" w:line="289" w:lineRule="exact"/>
        <w:ind w:left="72"/>
        <w:jc w:val="both"/>
        <w:textAlignment w:val="baseline"/>
        <w:rPr>
          <w:rFonts w:ascii="Calibri" w:eastAsia="Calibri" w:hAnsi="Calibri"/>
          <w:color w:val="000000"/>
        </w:rPr>
      </w:pPr>
      <w:r>
        <w:rPr>
          <w:rFonts w:ascii="Calibri" w:eastAsia="Calibri" w:hAnsi="Calibri"/>
          <w:color w:val="000000"/>
        </w:rPr>
        <w:t>An additional lens – and a critical one – is that the profession of teaching be yet again returned to a profession that is admired and respected and rewarded by our communi</w:t>
      </w:r>
      <w:r>
        <w:rPr>
          <w:rFonts w:ascii="Calibri" w:eastAsia="Calibri" w:hAnsi="Calibri"/>
          <w:color w:val="000000"/>
        </w:rPr>
        <w:t>ty. There are too many reports of how badly teachers are stressed or how badly they are treated by parents for that stress and lack of respect not to be dealt with by fundamental change.</w:t>
      </w:r>
    </w:p>
    <w:p w14:paraId="36730DCE" w14:textId="77777777" w:rsidR="00132EA6" w:rsidRDefault="009B508A">
      <w:pPr>
        <w:spacing w:before="117" w:line="292" w:lineRule="exact"/>
        <w:ind w:left="72"/>
        <w:jc w:val="both"/>
        <w:textAlignment w:val="baseline"/>
        <w:rPr>
          <w:rFonts w:ascii="Calibri" w:eastAsia="Calibri" w:hAnsi="Calibri"/>
          <w:color w:val="000000"/>
        </w:rPr>
      </w:pPr>
      <w:r>
        <w:rPr>
          <w:rFonts w:ascii="Calibri" w:eastAsia="Calibri" w:hAnsi="Calibri"/>
          <w:color w:val="000000"/>
        </w:rPr>
        <w:t>The Go8 looks forward to an ongoing engagement with Government to imp</w:t>
      </w:r>
      <w:r>
        <w:rPr>
          <w:rFonts w:ascii="Calibri" w:eastAsia="Calibri" w:hAnsi="Calibri"/>
          <w:color w:val="000000"/>
        </w:rPr>
        <w:t>rove the opportunities and outcomes for Australian pupils and for the future of excellence in teaching in Australia.</w:t>
      </w:r>
    </w:p>
    <w:p w14:paraId="76E56B9A" w14:textId="4056FF4A" w:rsidR="00132EA6" w:rsidRDefault="001354EB">
      <w:pPr>
        <w:spacing w:before="120" w:line="288" w:lineRule="exact"/>
        <w:ind w:left="72"/>
        <w:jc w:val="both"/>
        <w:textAlignment w:val="baseline"/>
        <w:rPr>
          <w:rFonts w:ascii="Calibri" w:eastAsia="Calibri" w:hAnsi="Calibri"/>
          <w:color w:val="000000"/>
        </w:rPr>
      </w:pPr>
      <w:r>
        <w:rPr>
          <w:noProof/>
          <w:sz w:val="24"/>
          <w:szCs w:val="24"/>
          <w:lang w:val="en-AU" w:eastAsia="en-AU"/>
        </w:rPr>
        <mc:AlternateContent>
          <mc:Choice Requires="wps">
            <w:drawing>
              <wp:anchor distT="621665" distB="718185" distL="155575" distR="1707515" simplePos="0" relativeHeight="251660800" behindDoc="1" locked="0" layoutInCell="1" allowOverlap="1" wp14:anchorId="4D8D4ACC" wp14:editId="684AB586">
                <wp:simplePos x="0" y="0"/>
                <wp:positionH relativeFrom="margin">
                  <wp:posOffset>5523230</wp:posOffset>
                </wp:positionH>
                <wp:positionV relativeFrom="page">
                  <wp:posOffset>8121650</wp:posOffset>
                </wp:positionV>
                <wp:extent cx="986790" cy="203200"/>
                <wp:effectExtent l="0" t="0" r="381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203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B4A0D" w14:textId="77777777" w:rsidR="001354EB" w:rsidRDefault="001354EB" w:rsidP="001354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D4ACC" id="_x0000_t202" coordsize="21600,21600" o:spt="202" path="m,l,21600r21600,l21600,xe">
                <v:stroke joinstyle="miter"/>
                <v:path gradientshapeok="t" o:connecttype="rect"/>
              </v:shapetype>
              <v:shape id="Text Box 13" o:spid="_x0000_s1026" type="#_x0000_t202" style="position:absolute;left:0;text-align:left;margin-left:434.9pt;margin-top:639.5pt;width:77.7pt;height:16pt;z-index:-251655680;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" fillcolor="black" stroked="f">
                <v:textbox inset="0,0,0,0">
                  <w:txbxContent>
                    <w:p w14:paraId="407B4A0D" w14:textId="77777777" w:rsidR="001354EB" w:rsidRDefault="001354EB" w:rsidP="001354EB"/>
                  </w:txbxContent>
                </v:textbox>
                <w10:wrap anchorx="margin" anchory="page"/>
              </v:shape>
            </w:pict>
          </mc:Fallback>
        </mc:AlternateContent>
      </w:r>
      <w:r w:rsidR="009B508A">
        <w:rPr>
          <w:rFonts w:ascii="Calibri" w:eastAsia="Calibri" w:hAnsi="Calibri"/>
          <w:color w:val="000000"/>
        </w:rPr>
        <w:t xml:space="preserve">If you have questions regarding the submission, please do not hesitate to contact me directly at </w:t>
      </w:r>
    </w:p>
    <w:p w14:paraId="5A5DF5FE" w14:textId="4090BC68" w:rsidR="00132EA6" w:rsidRDefault="009B508A">
      <w:pPr>
        <w:spacing w:before="306" w:after="298" w:line="226" w:lineRule="exact"/>
        <w:ind w:left="72"/>
        <w:textAlignment w:val="baseline"/>
        <w:rPr>
          <w:rFonts w:ascii="Calibri" w:eastAsia="Calibri" w:hAnsi="Calibri"/>
          <w:color w:val="000000"/>
        </w:rPr>
      </w:pPr>
      <w:r>
        <w:rPr>
          <w:rFonts w:ascii="Calibri" w:eastAsia="Calibri" w:hAnsi="Calibri"/>
          <w:color w:val="000000"/>
        </w:rPr>
        <w:t>Yours sincerely</w:t>
      </w:r>
    </w:p>
    <w:p w14:paraId="61B305A3" w14:textId="77777777" w:rsidR="00132EA6" w:rsidRDefault="009B508A">
      <w:pPr>
        <w:spacing w:after="333"/>
        <w:ind w:left="234" w:right="7704"/>
        <w:textAlignment w:val="baseline"/>
      </w:pPr>
      <w:r>
        <w:rPr>
          <w:noProof/>
        </w:rPr>
        <w:drawing>
          <wp:inline distT="0" distB="0" distL="0" distR="0" wp14:anchorId="54EAAFBD" wp14:editId="4A64D0CF">
            <wp:extent cx="1530350" cy="49657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3"/>
                    <a:stretch>
                      <a:fillRect/>
                    </a:stretch>
                  </pic:blipFill>
                  <pic:spPr>
                    <a:xfrm>
                      <a:off x="0" y="0"/>
                      <a:ext cx="1530350" cy="496570"/>
                    </a:xfrm>
                    <a:prstGeom prst="rect">
                      <a:avLst/>
                    </a:prstGeom>
                  </pic:spPr>
                </pic:pic>
              </a:graphicData>
            </a:graphic>
          </wp:inline>
        </w:drawing>
      </w:r>
    </w:p>
    <w:p w14:paraId="2BEC1B6D" w14:textId="77777777" w:rsidR="00132EA6" w:rsidRDefault="009B508A">
      <w:pPr>
        <w:spacing w:after="22" w:line="268" w:lineRule="exact"/>
        <w:ind w:left="72"/>
        <w:textAlignment w:val="baseline"/>
        <w:rPr>
          <w:rFonts w:ascii="Calibri" w:eastAsia="Calibri" w:hAnsi="Calibri"/>
          <w:b/>
          <w:color w:val="000000"/>
          <w:u w:val="single"/>
        </w:rPr>
      </w:pPr>
      <w:r>
        <w:rPr>
          <w:rFonts w:ascii="Calibri" w:eastAsia="Calibri" w:hAnsi="Calibri"/>
          <w:b/>
          <w:color w:val="000000"/>
          <w:u w:val="single"/>
        </w:rPr>
        <w:t xml:space="preserve">VICKI THOMSON  </w:t>
      </w:r>
      <w:r>
        <w:rPr>
          <w:rFonts w:ascii="Calibri" w:eastAsia="Calibri" w:hAnsi="Calibri"/>
          <w:b/>
          <w:color w:val="000000"/>
          <w:u w:val="single"/>
        </w:rPr>
        <w:br/>
      </w:r>
      <w:r>
        <w:rPr>
          <w:rFonts w:ascii="Calibri" w:eastAsia="Calibri" w:hAnsi="Calibri"/>
          <w:b/>
          <w:color w:val="000000"/>
        </w:rPr>
        <w:t>CHIEF EXECUTIVE</w:t>
      </w:r>
    </w:p>
    <w:p w14:paraId="1BE4FCF1" w14:textId="77777777" w:rsidR="00132EA6" w:rsidRDefault="009B508A">
      <w:pPr>
        <w:spacing w:before="27" w:line="205" w:lineRule="exact"/>
        <w:ind w:left="72"/>
        <w:jc w:val="right"/>
        <w:textAlignment w:val="baseline"/>
        <w:rPr>
          <w:rFonts w:ascii="Calibri Light" w:eastAsia="Calibri Light" w:hAnsi="Calibri Light"/>
          <w:color w:val="000000"/>
          <w:sz w:val="19"/>
        </w:rPr>
      </w:pPr>
      <w:r>
        <w:rPr>
          <w:rFonts w:ascii="Calibri Light" w:eastAsia="Calibri Light" w:hAnsi="Calibri Light"/>
          <w:color w:val="000000"/>
          <w:sz w:val="19"/>
        </w:rPr>
        <w:lastRenderedPageBreak/>
        <w:t>7</w:t>
      </w:r>
    </w:p>
    <w:sectPr w:rsidR="00132EA6">
      <w:pgSz w:w="11899" w:h="16843"/>
      <w:pgMar w:top="760" w:right="787" w:bottom="327" w:left="7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9B4E5" w14:textId="77777777" w:rsidR="00000000" w:rsidRDefault="009B508A">
      <w:r>
        <w:separator/>
      </w:r>
    </w:p>
  </w:endnote>
  <w:endnote w:type="continuationSeparator" w:id="0">
    <w:p w14:paraId="44E26894" w14:textId="77777777" w:rsidR="00000000" w:rsidRDefault="009B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 w:name="Segoe U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2ABA9" w14:textId="77777777" w:rsidR="001354EB" w:rsidRDefault="0013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0A058" w14:textId="77777777" w:rsidR="001354EB" w:rsidRDefault="00135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77C65" w14:textId="77777777" w:rsidR="001354EB" w:rsidRDefault="0013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B654D" w14:textId="77777777" w:rsidR="00132EA6" w:rsidRDefault="00132EA6"/>
  </w:footnote>
  <w:footnote w:type="continuationSeparator" w:id="0">
    <w:p w14:paraId="501D57F0" w14:textId="77777777" w:rsidR="00132EA6" w:rsidRDefault="009B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D733A" w14:textId="77777777" w:rsidR="001354EB" w:rsidRDefault="00135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00550" w14:textId="77777777" w:rsidR="001354EB" w:rsidRDefault="00135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48A49" w14:textId="77777777" w:rsidR="001354EB" w:rsidRDefault="00135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70D0"/>
    <w:multiLevelType w:val="multilevel"/>
    <w:tmpl w:val="65C6F3E2"/>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EA6"/>
    <w:rsid w:val="00132EA6"/>
    <w:rsid w:val="001354EB"/>
    <w:rsid w:val="009B5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990A1"/>
  <w15:docId w15:val="{26DFAF0C-4F77-45EF-8739-9D8412E9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4EB"/>
    <w:pPr>
      <w:tabs>
        <w:tab w:val="center" w:pos="4513"/>
        <w:tab w:val="right" w:pos="9026"/>
      </w:tabs>
    </w:pPr>
  </w:style>
  <w:style w:type="character" w:customStyle="1" w:styleId="HeaderChar">
    <w:name w:val="Header Char"/>
    <w:basedOn w:val="DefaultParagraphFont"/>
    <w:link w:val="Header"/>
    <w:uiPriority w:val="99"/>
    <w:rsid w:val="001354EB"/>
  </w:style>
  <w:style w:type="paragraph" w:styleId="Footer">
    <w:name w:val="footer"/>
    <w:basedOn w:val="Normal"/>
    <w:link w:val="FooterChar"/>
    <w:uiPriority w:val="99"/>
    <w:unhideWhenUsed/>
    <w:rsid w:val="001354EB"/>
    <w:pPr>
      <w:tabs>
        <w:tab w:val="center" w:pos="4513"/>
        <w:tab w:val="right" w:pos="9026"/>
      </w:tabs>
    </w:pPr>
  </w:style>
  <w:style w:type="character" w:customStyle="1" w:styleId="FooterChar">
    <w:name w:val="Footer Char"/>
    <w:basedOn w:val="DefaultParagraphFont"/>
    <w:link w:val="Footer"/>
    <w:uiPriority w:val="99"/>
    <w:rsid w:val="0013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TEReview@dese.gov.au" TargetMode="External"/><Relationship Id="rId13" Type="http://schemas.openxmlformats.org/officeDocument/2006/relationships/header" Target="header3.xml"/><Relationship Id="rId18" Type="http://schemas.openxmlformats.org/officeDocument/2006/relationships/hyperlink" Target="https://www.aitsl.edu.au/docs/default-source/atwd/reports/new-pipeline-report/2020_aitsl-atwd_pipelinereport.pdf" TargetMode="External"/><Relationship Id="rId3" Type="http://schemas.openxmlformats.org/officeDocument/2006/relationships/settings" Target="settings.xml"/><Relationship Id="rId21" Type="http://schemas.openxmlformats.org/officeDocument/2006/relationships/hyperlink" Target="https://www.dese.gov.au/quality-schools-package/resources/independent-review-regional-rural-and-remote-education-final-report" TargetMode="Externa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highereducationstatistics.education.gov.au/"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highereducationstatistics.education.gov.au/" TargetMode="External"/><Relationship Id="rId20" Type="http://schemas.openxmlformats.org/officeDocument/2006/relationships/hyperlink" Target="https://www.aph.gov.au/Parliamentary_Business/Bills_Legislation/bd/bd1920a/20bd0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highereducationstatistics.education.gov.au/" TargetMode="External"/><Relationship Id="rId23" Type="http://schemas.openxmlformats.org/officeDocument/2006/relationships/image" Target="media/image3.jpg"/><Relationship Id="rId10" Type="http://schemas.openxmlformats.org/officeDocument/2006/relationships/header" Target="header2.xml"/><Relationship Id="rId19" Type="http://schemas.openxmlformats.org/officeDocument/2006/relationships/hyperlink" Target="https://degrees.unsw.edu.au/master-of-teaching-secondary/"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3183</Words>
  <Characters>18144</Characters>
  <Application>Microsoft Office Word</Application>
  <DocSecurity>0</DocSecurity>
  <Lines>151</Lines>
  <Paragraphs>42</Paragraphs>
  <ScaleCrop>false</ScaleCrop>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Brown</dc:creator>
  <cp:lastModifiedBy>MEGEID,Sheryn</cp:lastModifiedBy>
  <cp:revision>3</cp:revision>
  <cp:lastPrinted>2022-03-04T00:03:00Z</cp:lastPrinted>
  <dcterms:created xsi:type="dcterms:W3CDTF">2021-10-05T03:24:00Z</dcterms:created>
  <dcterms:modified xsi:type="dcterms:W3CDTF">2022-03-04T00:04:00Z</dcterms:modified>
</cp:coreProperties>
</file>