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CE2F0" w14:textId="77777777" w:rsidR="00842E12" w:rsidRPr="00B11FE7" w:rsidRDefault="00842E12" w:rsidP="00842E12">
      <w:pPr>
        <w:pStyle w:val="NoSpacing"/>
        <w:rPr>
          <w:rFonts w:cs="Arial"/>
          <w:sz w:val="24"/>
        </w:rPr>
      </w:pPr>
    </w:p>
    <w:p w14:paraId="0FDAE88F" w14:textId="77777777" w:rsidR="00B11FE7" w:rsidRPr="00B11FE7" w:rsidRDefault="00B11FE7" w:rsidP="00B11FE7">
      <w:pPr>
        <w:spacing w:after="160" w:line="259" w:lineRule="auto"/>
        <w:rPr>
          <w:rFonts w:eastAsia="Calibri" w:cs="Arial"/>
          <w:szCs w:val="22"/>
          <w:lang w:eastAsia="en-US"/>
        </w:rPr>
      </w:pPr>
      <w:r w:rsidRPr="00B11FE7">
        <w:rPr>
          <w:rFonts w:eastAsia="Calibri" w:cs="Arial"/>
          <w:szCs w:val="22"/>
          <w:lang w:eastAsia="en-US"/>
        </w:rPr>
        <w:t>Quality Initial Teacher Education Review Secretariat</w:t>
      </w:r>
    </w:p>
    <w:p w14:paraId="5C18617B" w14:textId="77777777" w:rsidR="00B11FE7" w:rsidRPr="00B11FE7" w:rsidRDefault="00B11FE7" w:rsidP="00B11FE7">
      <w:pPr>
        <w:spacing w:after="160" w:line="259" w:lineRule="auto"/>
        <w:rPr>
          <w:rFonts w:eastAsia="Calibri" w:cs="Arial"/>
          <w:szCs w:val="22"/>
          <w:lang w:eastAsia="en-US"/>
        </w:rPr>
      </w:pPr>
      <w:r w:rsidRPr="00B11FE7">
        <w:rPr>
          <w:rFonts w:eastAsia="Calibri" w:cs="Arial"/>
          <w:szCs w:val="22"/>
          <w:lang w:eastAsia="en-US"/>
        </w:rPr>
        <w:t>Department of Education, Skills and Employment</w:t>
      </w:r>
    </w:p>
    <w:p w14:paraId="2E6099FB" w14:textId="77777777" w:rsidR="00370A48" w:rsidRPr="00370A48" w:rsidRDefault="00370A48" w:rsidP="00370A48">
      <w:pPr>
        <w:spacing w:after="160" w:line="259" w:lineRule="auto"/>
        <w:rPr>
          <w:rFonts w:eastAsia="Calibri" w:cs="Arial"/>
          <w:szCs w:val="22"/>
          <w:lang w:eastAsia="en-US"/>
        </w:rPr>
      </w:pPr>
      <w:r w:rsidRPr="00370A48">
        <w:rPr>
          <w:rFonts w:eastAsia="Calibri" w:cs="Arial"/>
          <w:szCs w:val="22"/>
          <w:lang w:eastAsia="en-US"/>
        </w:rPr>
        <w:t>GPO Box 9880, Canberra, ACT 2601</w:t>
      </w:r>
    </w:p>
    <w:p w14:paraId="4AFFF40C" w14:textId="77777777" w:rsidR="00370A48" w:rsidRDefault="00370A48" w:rsidP="00B11FE7">
      <w:pPr>
        <w:spacing w:after="160" w:line="259" w:lineRule="auto"/>
        <w:rPr>
          <w:rFonts w:eastAsia="Calibri" w:cs="Arial"/>
          <w:szCs w:val="22"/>
          <w:lang w:eastAsia="en-US"/>
        </w:rPr>
      </w:pPr>
    </w:p>
    <w:p w14:paraId="58423D3C" w14:textId="77777777" w:rsidR="00B11FE7" w:rsidRPr="00B11FE7" w:rsidRDefault="00B11FE7" w:rsidP="00B11FE7">
      <w:pPr>
        <w:spacing w:after="160" w:line="259" w:lineRule="auto"/>
        <w:rPr>
          <w:rFonts w:eastAsia="Calibri" w:cs="Arial"/>
          <w:szCs w:val="22"/>
          <w:lang w:eastAsia="en-US"/>
        </w:rPr>
      </w:pPr>
      <w:r w:rsidRPr="00B11FE7">
        <w:rPr>
          <w:rFonts w:eastAsia="Calibri" w:cs="Arial"/>
          <w:szCs w:val="22"/>
          <w:lang w:eastAsia="en-US"/>
        </w:rPr>
        <w:t xml:space="preserve">By electronic upload: </w:t>
      </w:r>
      <w:hyperlink r:id="rId8" w:history="1">
        <w:r w:rsidRPr="00B11FE7">
          <w:rPr>
            <w:rStyle w:val="Hyperlink"/>
            <w:rFonts w:eastAsia="Calibri" w:cs="Arial"/>
            <w:szCs w:val="22"/>
            <w:lang w:eastAsia="en-US"/>
          </w:rPr>
          <w:t>qitereview.dese.gov.au</w:t>
        </w:r>
      </w:hyperlink>
    </w:p>
    <w:p w14:paraId="00340E94" w14:textId="77777777" w:rsidR="00B11FE7" w:rsidRPr="00B11FE7" w:rsidRDefault="00B11FE7" w:rsidP="00B11FE7">
      <w:pPr>
        <w:spacing w:after="160" w:line="259" w:lineRule="auto"/>
        <w:rPr>
          <w:rFonts w:eastAsia="Calibri" w:cs="Arial"/>
          <w:szCs w:val="22"/>
          <w:lang w:eastAsia="en-US"/>
        </w:rPr>
      </w:pPr>
    </w:p>
    <w:p w14:paraId="681FE6D4" w14:textId="77777777" w:rsidR="00B11FE7" w:rsidRPr="00B11FE7" w:rsidRDefault="00B11FE7" w:rsidP="008C5C84">
      <w:pPr>
        <w:spacing w:after="120" w:line="259" w:lineRule="auto"/>
        <w:rPr>
          <w:rFonts w:eastAsia="Calibri" w:cs="Arial"/>
          <w:b/>
          <w:szCs w:val="22"/>
          <w:lang w:eastAsia="en-US"/>
        </w:rPr>
      </w:pPr>
      <w:r w:rsidRPr="00B11FE7">
        <w:rPr>
          <w:rFonts w:eastAsia="Calibri" w:cs="Arial"/>
          <w:b/>
          <w:szCs w:val="22"/>
          <w:lang w:eastAsia="en-US"/>
        </w:rPr>
        <w:t>ACECQA submission to the Quality Initial Teacher Education Review</w:t>
      </w:r>
    </w:p>
    <w:p w14:paraId="2AE75385" w14:textId="77777777" w:rsidR="00B11FE7" w:rsidRPr="00B11FE7" w:rsidRDefault="00B11FE7" w:rsidP="00427F0D">
      <w:pPr>
        <w:spacing w:after="200" w:line="259" w:lineRule="auto"/>
        <w:rPr>
          <w:rFonts w:eastAsia="Calibri" w:cs="Arial"/>
          <w:szCs w:val="22"/>
          <w:lang w:eastAsia="en-US"/>
        </w:rPr>
      </w:pPr>
      <w:r w:rsidRPr="00B11FE7">
        <w:rPr>
          <w:rFonts w:eastAsia="Calibri" w:cs="Arial"/>
          <w:szCs w:val="22"/>
          <w:lang w:eastAsia="en-US"/>
        </w:rPr>
        <w:t>Thank you for the opportunity to make a submission to the Department of Education, Skills and Employment Quality Initial Teacher Education Review.</w:t>
      </w:r>
    </w:p>
    <w:p w14:paraId="077BEAE3" w14:textId="77777777" w:rsidR="00B11FE7" w:rsidRPr="00B11FE7" w:rsidRDefault="00B11FE7" w:rsidP="00842702">
      <w:pPr>
        <w:spacing w:after="240" w:line="259" w:lineRule="auto"/>
        <w:rPr>
          <w:rFonts w:eastAsia="Calibri" w:cs="Arial"/>
          <w:szCs w:val="22"/>
          <w:lang w:eastAsia="en-US"/>
        </w:rPr>
      </w:pPr>
      <w:r w:rsidRPr="00B11FE7">
        <w:rPr>
          <w:rFonts w:eastAsia="Calibri" w:cs="Arial"/>
          <w:szCs w:val="22"/>
          <w:lang w:eastAsia="en-US"/>
        </w:rPr>
        <w:t xml:space="preserve">Early childhood education is an integral part </w:t>
      </w:r>
      <w:r w:rsidR="008C11D4">
        <w:rPr>
          <w:rFonts w:eastAsia="Calibri" w:cs="Arial"/>
          <w:szCs w:val="22"/>
          <w:lang w:eastAsia="en-US"/>
        </w:rPr>
        <w:t xml:space="preserve">of </w:t>
      </w:r>
      <w:r w:rsidRPr="00B11FE7">
        <w:rPr>
          <w:rFonts w:eastAsia="Calibri" w:cs="Arial"/>
          <w:szCs w:val="22"/>
          <w:lang w:eastAsia="en-US"/>
        </w:rPr>
        <w:t xml:space="preserve">the Australian education system and sets the foundations for lifelong learning and development. </w:t>
      </w:r>
      <w:r w:rsidR="00EB0DD8">
        <w:rPr>
          <w:rFonts w:eastAsia="Calibri" w:cs="Arial"/>
          <w:szCs w:val="22"/>
          <w:lang w:eastAsia="en-US"/>
        </w:rPr>
        <w:t>Just as in the school sector, q</w:t>
      </w:r>
      <w:r w:rsidRPr="00B11FE7">
        <w:rPr>
          <w:rFonts w:eastAsia="Calibri" w:cs="Arial"/>
          <w:szCs w:val="22"/>
          <w:lang w:eastAsia="en-US"/>
        </w:rPr>
        <w:t xml:space="preserve">uality </w:t>
      </w:r>
      <w:r w:rsidR="00EB0DD8">
        <w:rPr>
          <w:rFonts w:eastAsia="Calibri" w:cs="Arial"/>
          <w:szCs w:val="22"/>
          <w:lang w:eastAsia="en-US"/>
        </w:rPr>
        <w:t xml:space="preserve">developmental and educational </w:t>
      </w:r>
      <w:r w:rsidRPr="00B11FE7">
        <w:rPr>
          <w:rFonts w:eastAsia="Calibri" w:cs="Arial"/>
          <w:szCs w:val="22"/>
          <w:lang w:eastAsia="en-US"/>
        </w:rPr>
        <w:t>outcomes for children depend upon a highly skilled, well supported and professi</w:t>
      </w:r>
      <w:r w:rsidR="00E647A0">
        <w:rPr>
          <w:rFonts w:eastAsia="Calibri" w:cs="Arial"/>
          <w:szCs w:val="22"/>
          <w:lang w:eastAsia="en-US"/>
        </w:rPr>
        <w:t>onally recognised</w:t>
      </w:r>
      <w:r w:rsidRPr="00B11FE7">
        <w:rPr>
          <w:rFonts w:eastAsia="Calibri" w:cs="Arial"/>
          <w:szCs w:val="22"/>
          <w:lang w:eastAsia="en-US"/>
        </w:rPr>
        <w:t xml:space="preserve"> workforce. However, the </w:t>
      </w:r>
      <w:r w:rsidR="00E647A0">
        <w:rPr>
          <w:rFonts w:eastAsia="Calibri" w:cs="Arial"/>
          <w:szCs w:val="22"/>
          <w:lang w:eastAsia="en-US"/>
        </w:rPr>
        <w:t>early childhood</w:t>
      </w:r>
      <w:r w:rsidRPr="00B11FE7">
        <w:rPr>
          <w:rFonts w:eastAsia="Calibri" w:cs="Arial"/>
          <w:szCs w:val="22"/>
          <w:lang w:eastAsia="en-US"/>
        </w:rPr>
        <w:t xml:space="preserve"> sector </w:t>
      </w:r>
      <w:r w:rsidR="00E647A0">
        <w:rPr>
          <w:rFonts w:eastAsia="Calibri" w:cs="Arial"/>
          <w:szCs w:val="22"/>
          <w:lang w:eastAsia="en-US"/>
        </w:rPr>
        <w:t>can</w:t>
      </w:r>
      <w:r w:rsidRPr="00B11FE7">
        <w:rPr>
          <w:rFonts w:eastAsia="Calibri" w:cs="Arial"/>
          <w:szCs w:val="22"/>
          <w:lang w:eastAsia="en-US"/>
        </w:rPr>
        <w:t xml:space="preserve"> often </w:t>
      </w:r>
      <w:r w:rsidR="00E647A0">
        <w:rPr>
          <w:rFonts w:eastAsia="Calibri" w:cs="Arial"/>
          <w:szCs w:val="22"/>
          <w:lang w:eastAsia="en-US"/>
        </w:rPr>
        <w:t xml:space="preserve">be </w:t>
      </w:r>
      <w:r w:rsidRPr="00B11FE7">
        <w:rPr>
          <w:rFonts w:eastAsia="Calibri" w:cs="Arial"/>
          <w:szCs w:val="22"/>
          <w:lang w:eastAsia="en-US"/>
        </w:rPr>
        <w:t>overlooked in the context of broader education policy and reform.</w:t>
      </w:r>
    </w:p>
    <w:p w14:paraId="37EECA93" w14:textId="77777777" w:rsidR="00B11FE7" w:rsidRPr="00B11FE7" w:rsidRDefault="00B11FE7" w:rsidP="008C5C84">
      <w:pPr>
        <w:spacing w:after="120" w:line="259" w:lineRule="auto"/>
        <w:rPr>
          <w:rFonts w:eastAsia="Calibri" w:cs="Arial"/>
          <w:b/>
          <w:szCs w:val="22"/>
          <w:lang w:eastAsia="en-US"/>
        </w:rPr>
      </w:pPr>
      <w:r w:rsidRPr="00B11FE7">
        <w:rPr>
          <w:rFonts w:eastAsia="Calibri" w:cs="Arial"/>
          <w:b/>
          <w:szCs w:val="22"/>
          <w:lang w:eastAsia="en-US"/>
        </w:rPr>
        <w:t>Children’s education and care</w:t>
      </w:r>
    </w:p>
    <w:p w14:paraId="5EDE4783" w14:textId="77777777" w:rsidR="00B11FE7" w:rsidRPr="00B11FE7" w:rsidRDefault="00B11FE7" w:rsidP="00427F0D">
      <w:pPr>
        <w:spacing w:after="200" w:line="259" w:lineRule="auto"/>
        <w:rPr>
          <w:rFonts w:eastAsia="Calibri" w:cs="Arial"/>
          <w:szCs w:val="22"/>
          <w:lang w:eastAsia="en-US"/>
        </w:rPr>
      </w:pPr>
      <w:r w:rsidRPr="00B11FE7">
        <w:rPr>
          <w:rFonts w:eastAsia="Calibri" w:cs="Arial"/>
          <w:szCs w:val="22"/>
          <w:lang w:eastAsia="en-US"/>
        </w:rPr>
        <w:t>The children’s education and care sector is large and diverse, with more than 7,000 education and care service providers ap</w:t>
      </w:r>
      <w:r>
        <w:rPr>
          <w:rFonts w:eastAsia="Calibri" w:cs="Arial"/>
          <w:szCs w:val="22"/>
          <w:lang w:eastAsia="en-US"/>
        </w:rPr>
        <w:t xml:space="preserve">proved to operate </w:t>
      </w:r>
      <w:r w:rsidR="00A60C31">
        <w:rPr>
          <w:rFonts w:eastAsia="Calibri" w:cs="Arial"/>
          <w:szCs w:val="22"/>
          <w:lang w:eastAsia="en-US"/>
        </w:rPr>
        <w:t>more than 16,000</w:t>
      </w:r>
      <w:r>
        <w:rPr>
          <w:rFonts w:eastAsia="Calibri" w:cs="Arial"/>
          <w:szCs w:val="22"/>
          <w:lang w:eastAsia="en-US"/>
        </w:rPr>
        <w:t xml:space="preserve"> </w:t>
      </w:r>
      <w:r w:rsidRPr="00B11FE7">
        <w:rPr>
          <w:rFonts w:eastAsia="Calibri" w:cs="Arial"/>
          <w:szCs w:val="22"/>
          <w:lang w:eastAsia="en-US"/>
        </w:rPr>
        <w:t xml:space="preserve">services under the </w:t>
      </w:r>
      <w:r w:rsidR="00A60C31">
        <w:rPr>
          <w:rFonts w:eastAsia="Calibri" w:cs="Arial"/>
          <w:szCs w:val="22"/>
          <w:lang w:eastAsia="en-US"/>
        </w:rPr>
        <w:t>National Quality Framework (</w:t>
      </w:r>
      <w:r w:rsidRPr="00B11FE7">
        <w:rPr>
          <w:rFonts w:eastAsia="Calibri" w:cs="Arial"/>
          <w:szCs w:val="22"/>
          <w:lang w:eastAsia="en-US"/>
        </w:rPr>
        <w:t>NQF</w:t>
      </w:r>
      <w:r w:rsidR="00A60C31">
        <w:rPr>
          <w:rFonts w:eastAsia="Calibri" w:cs="Arial"/>
          <w:szCs w:val="22"/>
          <w:lang w:eastAsia="en-US"/>
        </w:rPr>
        <w:t xml:space="preserve">). This includes more than 8,000 </w:t>
      </w:r>
      <w:r w:rsidRPr="00B11FE7">
        <w:rPr>
          <w:rFonts w:eastAsia="Calibri" w:cs="Arial"/>
          <w:szCs w:val="22"/>
          <w:lang w:eastAsia="en-US"/>
        </w:rPr>
        <w:t>long day care services and more than</w:t>
      </w:r>
      <w:r w:rsidR="00A60C31">
        <w:rPr>
          <w:rFonts w:eastAsia="Calibri" w:cs="Arial"/>
          <w:szCs w:val="22"/>
          <w:lang w:eastAsia="en-US"/>
        </w:rPr>
        <w:t xml:space="preserve"> 3,000 preschools/kindergartens</w:t>
      </w:r>
      <w:r w:rsidRPr="00B11FE7">
        <w:rPr>
          <w:rFonts w:eastAsia="Calibri" w:cs="Arial"/>
          <w:szCs w:val="22"/>
          <w:lang w:eastAsia="en-US"/>
        </w:rPr>
        <w:t>. Around 1.5 million children attend education and care services across Australia, with individual children attending anywhere from a few irregular hours to more than 50 hours every week.</w:t>
      </w:r>
    </w:p>
    <w:p w14:paraId="106A4BD4" w14:textId="77777777" w:rsidR="008C5C84" w:rsidRDefault="00B11FE7" w:rsidP="00427F0D">
      <w:pPr>
        <w:spacing w:after="200" w:line="259" w:lineRule="auto"/>
        <w:rPr>
          <w:rFonts w:eastAsia="Calibri" w:cs="Arial"/>
          <w:szCs w:val="22"/>
          <w:lang w:eastAsia="en-US"/>
        </w:rPr>
      </w:pPr>
      <w:r w:rsidRPr="00B11FE7">
        <w:rPr>
          <w:rFonts w:eastAsia="Calibri" w:cs="Arial"/>
          <w:szCs w:val="22"/>
          <w:lang w:eastAsia="en-US"/>
        </w:rPr>
        <w:t>The NQF</w:t>
      </w:r>
      <w:r w:rsidR="008C5C84">
        <w:rPr>
          <w:rFonts w:eastAsia="Calibri" w:cs="Arial"/>
          <w:szCs w:val="22"/>
          <w:lang w:eastAsia="en-US"/>
        </w:rPr>
        <w:t xml:space="preserve"> has been in place since 1 January 2012 and</w:t>
      </w:r>
      <w:r w:rsidRPr="00B11FE7">
        <w:rPr>
          <w:rFonts w:eastAsia="Calibri" w:cs="Arial"/>
          <w:szCs w:val="22"/>
          <w:lang w:eastAsia="en-US"/>
        </w:rPr>
        <w:t xml:space="preserve"> is the national system for regulating education and care services, setting standards for quality and safety </w:t>
      </w:r>
      <w:r w:rsidR="008C5C84">
        <w:rPr>
          <w:rFonts w:eastAsia="Calibri" w:cs="Arial"/>
          <w:szCs w:val="22"/>
          <w:lang w:eastAsia="en-US"/>
        </w:rPr>
        <w:t xml:space="preserve">that benefit </w:t>
      </w:r>
      <w:r w:rsidRPr="00B11FE7">
        <w:rPr>
          <w:rFonts w:eastAsia="Calibri" w:cs="Arial"/>
          <w:szCs w:val="22"/>
          <w:lang w:eastAsia="en-US"/>
        </w:rPr>
        <w:t xml:space="preserve">all children attending services. </w:t>
      </w:r>
    </w:p>
    <w:p w14:paraId="58EBB252" w14:textId="77777777" w:rsidR="00B11FE7" w:rsidRPr="00B11FE7" w:rsidRDefault="00B11FE7" w:rsidP="00427F0D">
      <w:pPr>
        <w:spacing w:after="200" w:line="259" w:lineRule="auto"/>
        <w:rPr>
          <w:rFonts w:eastAsia="Calibri" w:cs="Arial"/>
          <w:szCs w:val="22"/>
          <w:lang w:eastAsia="en-US"/>
        </w:rPr>
      </w:pPr>
      <w:r w:rsidRPr="00B11FE7">
        <w:rPr>
          <w:rFonts w:eastAsia="Calibri" w:cs="Arial"/>
          <w:szCs w:val="22"/>
          <w:lang w:eastAsia="en-US"/>
        </w:rPr>
        <w:t xml:space="preserve">The NQF requires all </w:t>
      </w:r>
      <w:r w:rsidR="008C5C84">
        <w:rPr>
          <w:rFonts w:eastAsia="Calibri" w:cs="Arial"/>
          <w:szCs w:val="22"/>
          <w:lang w:eastAsia="en-US"/>
        </w:rPr>
        <w:t xml:space="preserve">long day care services and preschools/kindergartens to employ, </w:t>
      </w:r>
      <w:r w:rsidRPr="00B11FE7">
        <w:rPr>
          <w:rFonts w:eastAsia="Calibri" w:cs="Arial"/>
          <w:szCs w:val="22"/>
          <w:lang w:eastAsia="en-US"/>
        </w:rPr>
        <w:t>engage</w:t>
      </w:r>
      <w:r w:rsidR="008C5C84">
        <w:rPr>
          <w:rFonts w:eastAsia="Calibri" w:cs="Arial"/>
          <w:szCs w:val="22"/>
          <w:lang w:eastAsia="en-US"/>
        </w:rPr>
        <w:t xml:space="preserve"> or have access to</w:t>
      </w:r>
      <w:r w:rsidRPr="00B11FE7">
        <w:rPr>
          <w:rFonts w:eastAsia="Calibri" w:cs="Arial"/>
          <w:szCs w:val="22"/>
          <w:lang w:eastAsia="en-US"/>
        </w:rPr>
        <w:t xml:space="preserve"> an early childhood teacher</w:t>
      </w:r>
      <w:r w:rsidR="008C5C84">
        <w:rPr>
          <w:rFonts w:eastAsia="Calibri" w:cs="Arial"/>
          <w:szCs w:val="22"/>
          <w:lang w:eastAsia="en-US"/>
        </w:rPr>
        <w:t xml:space="preserve"> (with the exact nature of the requirement dependent upon the number of children in attendance and the geographic location of the service)</w:t>
      </w:r>
      <w:r w:rsidRPr="00B11FE7">
        <w:rPr>
          <w:rFonts w:eastAsia="Calibri" w:cs="Arial"/>
          <w:szCs w:val="22"/>
          <w:lang w:eastAsia="en-US"/>
        </w:rPr>
        <w:t>.</w:t>
      </w:r>
    </w:p>
    <w:p w14:paraId="6524D75E" w14:textId="77777777" w:rsidR="00B11FE7" w:rsidRPr="00B11FE7" w:rsidRDefault="00B11FE7" w:rsidP="00427F0D">
      <w:pPr>
        <w:spacing w:after="200" w:line="259" w:lineRule="auto"/>
        <w:rPr>
          <w:rFonts w:eastAsia="Calibri" w:cs="Arial"/>
          <w:szCs w:val="22"/>
          <w:lang w:eastAsia="en-US"/>
        </w:rPr>
      </w:pPr>
      <w:r w:rsidRPr="00B11FE7">
        <w:rPr>
          <w:rFonts w:eastAsia="Calibri" w:cs="Arial"/>
          <w:szCs w:val="22"/>
          <w:lang w:eastAsia="en-US"/>
        </w:rPr>
        <w:t xml:space="preserve">The </w:t>
      </w:r>
      <w:r w:rsidRPr="008C5C84">
        <w:rPr>
          <w:rFonts w:eastAsia="Calibri" w:cs="Arial"/>
          <w:szCs w:val="22"/>
          <w:lang w:eastAsia="en-US"/>
        </w:rPr>
        <w:t>Australian Children’s Education and Care Quality Authority</w:t>
      </w:r>
      <w:r w:rsidRPr="00B11FE7">
        <w:rPr>
          <w:rFonts w:eastAsia="Calibri" w:cs="Arial"/>
          <w:szCs w:val="22"/>
          <w:lang w:eastAsia="en-US"/>
        </w:rPr>
        <w:t xml:space="preserve"> (ACECQA) is an independent national authority established under the </w:t>
      </w:r>
      <w:r w:rsidRPr="008C5C84">
        <w:rPr>
          <w:rFonts w:eastAsia="Calibri" w:cs="Arial"/>
          <w:i/>
          <w:szCs w:val="22"/>
          <w:lang w:eastAsia="en-US"/>
        </w:rPr>
        <w:t>Education and Care Services National Law</w:t>
      </w:r>
      <w:r w:rsidRPr="00B11FE7">
        <w:rPr>
          <w:rFonts w:eastAsia="Calibri" w:cs="Arial"/>
          <w:szCs w:val="22"/>
          <w:lang w:eastAsia="en-US"/>
        </w:rPr>
        <w:t xml:space="preserve"> to guide the administration of the NQF.</w:t>
      </w:r>
      <w:r w:rsidR="006D7FA6">
        <w:rPr>
          <w:rFonts w:eastAsia="Calibri" w:cs="Arial"/>
          <w:szCs w:val="22"/>
          <w:lang w:eastAsia="en-US"/>
        </w:rPr>
        <w:t xml:space="preserve"> Our functions under the National Law include determining the qualifications required to be held by educators.</w:t>
      </w:r>
    </w:p>
    <w:p w14:paraId="51671A59" w14:textId="77777777" w:rsidR="00B11FE7" w:rsidRPr="00B11FE7" w:rsidRDefault="00B11FE7" w:rsidP="00842702">
      <w:pPr>
        <w:spacing w:after="240" w:line="259" w:lineRule="auto"/>
        <w:rPr>
          <w:rFonts w:eastAsia="Calibri" w:cs="Arial"/>
          <w:szCs w:val="22"/>
          <w:lang w:eastAsia="en-US"/>
        </w:rPr>
      </w:pPr>
      <w:r w:rsidRPr="00B11FE7">
        <w:rPr>
          <w:rFonts w:eastAsia="Calibri" w:cs="Arial"/>
          <w:szCs w:val="22"/>
          <w:lang w:eastAsia="en-US"/>
        </w:rPr>
        <w:t xml:space="preserve">The objectives of the NQF include improving </w:t>
      </w:r>
      <w:r w:rsidR="008C5C84">
        <w:rPr>
          <w:rFonts w:eastAsia="Calibri" w:cs="Arial"/>
          <w:szCs w:val="22"/>
          <w:lang w:eastAsia="en-US"/>
        </w:rPr>
        <w:t>children’s</w:t>
      </w:r>
      <w:r w:rsidRPr="00B11FE7">
        <w:rPr>
          <w:rFonts w:eastAsia="Calibri" w:cs="Arial"/>
          <w:szCs w:val="22"/>
          <w:lang w:eastAsia="en-US"/>
        </w:rPr>
        <w:t xml:space="preserve"> educational and developmental outcomes, and promoting continuous improvement in service quality. </w:t>
      </w:r>
    </w:p>
    <w:p w14:paraId="7B6AA311" w14:textId="77777777" w:rsidR="00842702" w:rsidRDefault="00842702" w:rsidP="00842702">
      <w:pPr>
        <w:spacing w:after="240" w:line="259" w:lineRule="auto"/>
        <w:rPr>
          <w:rFonts w:eastAsia="Calibri" w:cs="Arial"/>
          <w:b/>
          <w:szCs w:val="22"/>
          <w:lang w:eastAsia="en-US"/>
        </w:rPr>
      </w:pPr>
    </w:p>
    <w:p w14:paraId="44FEC21B" w14:textId="77777777" w:rsidR="00B11FE7" w:rsidRPr="00B11FE7" w:rsidRDefault="00B11FE7" w:rsidP="00427F0D">
      <w:pPr>
        <w:spacing w:after="120" w:line="259" w:lineRule="auto"/>
        <w:rPr>
          <w:rFonts w:eastAsia="Calibri" w:cs="Arial"/>
          <w:b/>
          <w:szCs w:val="22"/>
          <w:lang w:eastAsia="en-US"/>
        </w:rPr>
      </w:pPr>
      <w:r w:rsidRPr="00B11FE7">
        <w:rPr>
          <w:rFonts w:eastAsia="Calibri" w:cs="Arial"/>
          <w:b/>
          <w:szCs w:val="22"/>
          <w:lang w:eastAsia="en-US"/>
        </w:rPr>
        <w:lastRenderedPageBreak/>
        <w:t>Early childhood teachers</w:t>
      </w:r>
    </w:p>
    <w:p w14:paraId="7C695441" w14:textId="77777777" w:rsidR="00B11FE7" w:rsidRPr="00B11FE7" w:rsidRDefault="007A58EC" w:rsidP="00427F0D">
      <w:pPr>
        <w:spacing w:after="200" w:line="259" w:lineRule="auto"/>
        <w:rPr>
          <w:rFonts w:eastAsia="Calibri" w:cs="Arial"/>
          <w:szCs w:val="22"/>
          <w:lang w:eastAsia="en-US"/>
        </w:rPr>
      </w:pPr>
      <w:r>
        <w:rPr>
          <w:rFonts w:eastAsia="Calibri" w:cs="Arial"/>
          <w:szCs w:val="22"/>
          <w:lang w:eastAsia="en-US"/>
        </w:rPr>
        <w:t>Over the last decade, t</w:t>
      </w:r>
      <w:r w:rsidR="00B11FE7" w:rsidRPr="00B11FE7">
        <w:rPr>
          <w:rFonts w:eastAsia="Calibri" w:cs="Arial"/>
          <w:szCs w:val="22"/>
          <w:lang w:eastAsia="en-US"/>
        </w:rPr>
        <w:t xml:space="preserve">he NQF has progressively </w:t>
      </w:r>
      <w:r>
        <w:rPr>
          <w:rFonts w:eastAsia="Calibri" w:cs="Arial"/>
          <w:szCs w:val="22"/>
          <w:lang w:eastAsia="en-US"/>
        </w:rPr>
        <w:t>i</w:t>
      </w:r>
      <w:r w:rsidR="00B11FE7" w:rsidRPr="00B11FE7">
        <w:rPr>
          <w:rFonts w:eastAsia="Calibri" w:cs="Arial"/>
          <w:szCs w:val="22"/>
          <w:lang w:eastAsia="en-US"/>
        </w:rPr>
        <w:t>mproved the ratio of educators to children, as well as mandated qualification requirements</w:t>
      </w:r>
      <w:r w:rsidR="00B3463E">
        <w:rPr>
          <w:rFonts w:eastAsia="Calibri" w:cs="Arial"/>
          <w:szCs w:val="22"/>
          <w:lang w:eastAsia="en-US"/>
        </w:rPr>
        <w:t>. Most long day care services</w:t>
      </w:r>
      <w:r w:rsidR="00B11FE7" w:rsidRPr="00B11FE7">
        <w:rPr>
          <w:rFonts w:eastAsia="Calibri" w:cs="Arial"/>
          <w:szCs w:val="22"/>
          <w:lang w:eastAsia="en-US"/>
        </w:rPr>
        <w:t xml:space="preserve"> and preschools</w:t>
      </w:r>
      <w:r w:rsidR="00B3463E">
        <w:rPr>
          <w:rFonts w:eastAsia="Calibri" w:cs="Arial"/>
          <w:szCs w:val="22"/>
          <w:lang w:eastAsia="en-US"/>
        </w:rPr>
        <w:t>/</w:t>
      </w:r>
      <w:r w:rsidR="00B11FE7" w:rsidRPr="00B11FE7">
        <w:rPr>
          <w:rFonts w:eastAsia="Calibri" w:cs="Arial"/>
          <w:szCs w:val="22"/>
          <w:lang w:eastAsia="en-US"/>
        </w:rPr>
        <w:t>kindergartens must employ at least one degree qualified early childhood teacher.</w:t>
      </w:r>
    </w:p>
    <w:p w14:paraId="6FD248A2" w14:textId="77777777" w:rsidR="00B11FE7" w:rsidRPr="00B11FE7" w:rsidRDefault="00B11FE7" w:rsidP="00842702">
      <w:pPr>
        <w:spacing w:after="240" w:line="259" w:lineRule="auto"/>
        <w:rPr>
          <w:rFonts w:eastAsia="Calibri" w:cs="Arial"/>
          <w:szCs w:val="22"/>
          <w:lang w:eastAsia="en-US"/>
        </w:rPr>
      </w:pPr>
      <w:r w:rsidRPr="00B11FE7">
        <w:rPr>
          <w:rFonts w:eastAsia="Calibri" w:cs="Arial"/>
          <w:szCs w:val="22"/>
          <w:lang w:eastAsia="en-US"/>
        </w:rPr>
        <w:t xml:space="preserve">Over 25,000 early childhood teachers are registered </w:t>
      </w:r>
      <w:r w:rsidR="00C30721">
        <w:rPr>
          <w:rFonts w:eastAsia="Calibri" w:cs="Arial"/>
          <w:szCs w:val="22"/>
          <w:lang w:eastAsia="en-US"/>
        </w:rPr>
        <w:t xml:space="preserve">by teacher regulatory authorities </w:t>
      </w:r>
      <w:r w:rsidRPr="00B11FE7">
        <w:rPr>
          <w:rFonts w:eastAsia="Calibri" w:cs="Arial"/>
          <w:szCs w:val="22"/>
          <w:lang w:eastAsia="en-US"/>
        </w:rPr>
        <w:t>across four states – South Australia</w:t>
      </w:r>
      <w:r w:rsidR="00C30721">
        <w:rPr>
          <w:rFonts w:eastAsia="Calibri" w:cs="Arial"/>
          <w:szCs w:val="22"/>
          <w:lang w:eastAsia="en-US"/>
        </w:rPr>
        <w:t xml:space="preserve"> (Teachers Registration Board of South Australia)</w:t>
      </w:r>
      <w:r w:rsidRPr="00B11FE7">
        <w:rPr>
          <w:rFonts w:eastAsia="Calibri" w:cs="Arial"/>
          <w:szCs w:val="22"/>
          <w:lang w:eastAsia="en-US"/>
        </w:rPr>
        <w:t>, Western Australia</w:t>
      </w:r>
      <w:r w:rsidR="00C30721">
        <w:rPr>
          <w:rFonts w:eastAsia="Calibri" w:cs="Arial"/>
          <w:szCs w:val="22"/>
          <w:lang w:eastAsia="en-US"/>
        </w:rPr>
        <w:t xml:space="preserve"> (Teacher Registration Board of Western Australia)</w:t>
      </w:r>
      <w:r w:rsidRPr="00B11FE7">
        <w:rPr>
          <w:rFonts w:eastAsia="Calibri" w:cs="Arial"/>
          <w:szCs w:val="22"/>
          <w:lang w:eastAsia="en-US"/>
        </w:rPr>
        <w:t>, Victoria</w:t>
      </w:r>
      <w:r w:rsidR="00C30721">
        <w:rPr>
          <w:rFonts w:eastAsia="Calibri" w:cs="Arial"/>
          <w:szCs w:val="22"/>
          <w:lang w:eastAsia="en-US"/>
        </w:rPr>
        <w:t xml:space="preserve"> (Victorian Institute of Teaching)</w:t>
      </w:r>
      <w:r w:rsidRPr="00B11FE7">
        <w:rPr>
          <w:rFonts w:eastAsia="Calibri" w:cs="Arial"/>
          <w:szCs w:val="22"/>
          <w:lang w:eastAsia="en-US"/>
        </w:rPr>
        <w:t xml:space="preserve"> and New South Wales (</w:t>
      </w:r>
      <w:r w:rsidR="00C30721">
        <w:rPr>
          <w:rFonts w:eastAsia="Calibri" w:cs="Arial"/>
          <w:szCs w:val="22"/>
          <w:lang w:eastAsia="en-US"/>
        </w:rPr>
        <w:t xml:space="preserve">NSW Education Standards Authority, </w:t>
      </w:r>
      <w:r w:rsidRPr="00B11FE7">
        <w:rPr>
          <w:rFonts w:eastAsia="Calibri" w:cs="Arial"/>
          <w:szCs w:val="22"/>
          <w:lang w:eastAsia="en-US"/>
        </w:rPr>
        <w:t>with registra</w:t>
      </w:r>
      <w:r w:rsidR="00C30721">
        <w:rPr>
          <w:rFonts w:eastAsia="Calibri" w:cs="Arial"/>
          <w:szCs w:val="22"/>
          <w:lang w:eastAsia="en-US"/>
        </w:rPr>
        <w:t>tion called ‘accreditation’ in NSW</w:t>
      </w:r>
      <w:r w:rsidRPr="00B11FE7">
        <w:rPr>
          <w:rFonts w:eastAsia="Calibri" w:cs="Arial"/>
          <w:szCs w:val="22"/>
          <w:lang w:eastAsia="en-US"/>
        </w:rPr>
        <w:t xml:space="preserve">). Given that more than three quarters of children’s education and care services are located in these four states, most of Australia’s early childhood teachers are required to be registered, formally recognising their status as </w:t>
      </w:r>
      <w:r w:rsidR="00C30721">
        <w:rPr>
          <w:rFonts w:eastAsia="Calibri" w:cs="Arial"/>
          <w:szCs w:val="22"/>
          <w:lang w:eastAsia="en-US"/>
        </w:rPr>
        <w:t xml:space="preserve">a key </w:t>
      </w:r>
      <w:r w:rsidRPr="00B11FE7">
        <w:rPr>
          <w:rFonts w:eastAsia="Calibri" w:cs="Arial"/>
          <w:szCs w:val="22"/>
          <w:lang w:eastAsia="en-US"/>
        </w:rPr>
        <w:t>part of the broader teaching profession.</w:t>
      </w:r>
    </w:p>
    <w:p w14:paraId="713954FA" w14:textId="77777777" w:rsidR="00B11FE7" w:rsidRPr="00B11FE7" w:rsidRDefault="00B11FE7" w:rsidP="00427F0D">
      <w:pPr>
        <w:spacing w:after="120" w:line="259" w:lineRule="auto"/>
        <w:rPr>
          <w:rFonts w:eastAsia="Calibri" w:cs="Arial"/>
          <w:b/>
          <w:szCs w:val="22"/>
          <w:lang w:eastAsia="en-US"/>
        </w:rPr>
      </w:pPr>
      <w:r w:rsidRPr="00B11FE7">
        <w:rPr>
          <w:rFonts w:eastAsia="Calibri" w:cs="Arial"/>
          <w:b/>
          <w:szCs w:val="22"/>
          <w:lang w:eastAsia="en-US"/>
        </w:rPr>
        <w:t xml:space="preserve">Part A: Attracting </w:t>
      </w:r>
      <w:r w:rsidR="003A1A94">
        <w:rPr>
          <w:rFonts w:eastAsia="Calibri" w:cs="Arial"/>
          <w:b/>
          <w:szCs w:val="22"/>
          <w:lang w:eastAsia="en-US"/>
        </w:rPr>
        <w:t>and selecting high-quality candidates into the teaching profession</w:t>
      </w:r>
    </w:p>
    <w:p w14:paraId="3F7DEAD7" w14:textId="77777777" w:rsidR="00B11FE7" w:rsidRPr="00B11FE7" w:rsidRDefault="00F900CC" w:rsidP="00427F0D">
      <w:pPr>
        <w:spacing w:after="200" w:line="259" w:lineRule="auto"/>
        <w:rPr>
          <w:rFonts w:eastAsia="Calibri" w:cs="Arial"/>
          <w:szCs w:val="22"/>
          <w:lang w:eastAsia="en-US"/>
        </w:rPr>
      </w:pPr>
      <w:hyperlink r:id="rId9" w:history="1">
        <w:r w:rsidR="00842702" w:rsidRPr="008D58CC">
          <w:rPr>
            <w:rStyle w:val="Hyperlink"/>
            <w:rFonts w:eastAsia="Calibri" w:cs="Arial"/>
            <w:szCs w:val="22"/>
            <w:lang w:eastAsia="en-US"/>
          </w:rPr>
          <w:t>C</w:t>
        </w:r>
        <w:r w:rsidR="00B11FE7" w:rsidRPr="008D58CC">
          <w:rPr>
            <w:rStyle w:val="Hyperlink"/>
            <w:rFonts w:eastAsia="Calibri" w:cs="Arial"/>
            <w:szCs w:val="22"/>
            <w:lang w:eastAsia="en-US"/>
          </w:rPr>
          <w:t>ommencements</w:t>
        </w:r>
      </w:hyperlink>
      <w:r w:rsidR="00B11FE7" w:rsidRPr="00B11FE7">
        <w:rPr>
          <w:rFonts w:eastAsia="Calibri" w:cs="Arial"/>
          <w:szCs w:val="22"/>
          <w:lang w:eastAsia="en-US"/>
        </w:rPr>
        <w:t xml:space="preserve"> in early childhood initial teacher </w:t>
      </w:r>
      <w:r w:rsidR="00A9053B">
        <w:rPr>
          <w:rFonts w:eastAsia="Calibri" w:cs="Arial"/>
          <w:szCs w:val="22"/>
          <w:lang w:eastAsia="en-US"/>
        </w:rPr>
        <w:t>education programs</w:t>
      </w:r>
      <w:r w:rsidR="00B11FE7" w:rsidRPr="00B11FE7">
        <w:rPr>
          <w:rFonts w:eastAsia="Calibri" w:cs="Arial"/>
          <w:szCs w:val="22"/>
          <w:lang w:eastAsia="en-US"/>
        </w:rPr>
        <w:t xml:space="preserve"> have </w:t>
      </w:r>
      <w:r w:rsidR="00B11FE7" w:rsidRPr="008D58CC">
        <w:rPr>
          <w:rFonts w:eastAsia="Calibri"/>
          <w:lang w:eastAsia="en-US"/>
        </w:rPr>
        <w:t>declined</w:t>
      </w:r>
      <w:r w:rsidR="00B11FE7" w:rsidRPr="00B11FE7">
        <w:rPr>
          <w:rFonts w:eastAsia="Calibri" w:cs="Arial"/>
          <w:szCs w:val="22"/>
          <w:lang w:eastAsia="en-US"/>
        </w:rPr>
        <w:t xml:space="preserve"> by a quarter over the</w:t>
      </w:r>
      <w:r w:rsidR="00842702">
        <w:rPr>
          <w:rFonts w:eastAsia="Calibri" w:cs="Arial"/>
          <w:szCs w:val="22"/>
          <w:lang w:eastAsia="en-US"/>
        </w:rPr>
        <w:t xml:space="preserve"> six years from 2012 and 2018</w:t>
      </w:r>
      <w:r w:rsidR="008D58CC">
        <w:rPr>
          <w:rFonts w:eastAsia="Calibri" w:cs="Arial"/>
          <w:szCs w:val="22"/>
          <w:lang w:eastAsia="en-US"/>
        </w:rPr>
        <w:t>,</w:t>
      </w:r>
      <w:r w:rsidR="00842702">
        <w:rPr>
          <w:rFonts w:eastAsia="Calibri" w:cs="Arial"/>
          <w:szCs w:val="22"/>
          <w:lang w:eastAsia="en-US"/>
        </w:rPr>
        <w:t xml:space="preserve"> while </w:t>
      </w:r>
      <w:r w:rsidR="008D58CC">
        <w:rPr>
          <w:rFonts w:eastAsia="Calibri" w:cs="Arial"/>
          <w:szCs w:val="22"/>
          <w:lang w:eastAsia="en-US"/>
        </w:rPr>
        <w:t>the</w:t>
      </w:r>
      <w:r w:rsidR="00B11FE7" w:rsidRPr="00B11FE7">
        <w:rPr>
          <w:rFonts w:eastAsia="Calibri" w:cs="Arial"/>
          <w:szCs w:val="22"/>
          <w:lang w:eastAsia="en-US"/>
        </w:rPr>
        <w:t xml:space="preserve"> </w:t>
      </w:r>
      <w:hyperlink r:id="rId10" w:history="1">
        <w:r w:rsidR="008D58CC" w:rsidRPr="008D58CC">
          <w:rPr>
            <w:rStyle w:val="Hyperlink"/>
            <w:rFonts w:eastAsia="Calibri" w:cs="Arial"/>
            <w:szCs w:val="22"/>
            <w:lang w:eastAsia="en-US"/>
          </w:rPr>
          <w:t xml:space="preserve">2020 </w:t>
        </w:r>
        <w:r w:rsidR="00B11FE7" w:rsidRPr="008D58CC">
          <w:rPr>
            <w:rStyle w:val="Hyperlink"/>
            <w:rFonts w:eastAsia="Calibri" w:cs="Arial"/>
            <w:szCs w:val="22"/>
            <w:lang w:eastAsia="en-US"/>
          </w:rPr>
          <w:t>employment projections</w:t>
        </w:r>
      </w:hyperlink>
      <w:r w:rsidR="00B11FE7" w:rsidRPr="00B11FE7">
        <w:rPr>
          <w:rFonts w:eastAsia="Calibri" w:cs="Arial"/>
          <w:szCs w:val="22"/>
          <w:lang w:eastAsia="en-US"/>
        </w:rPr>
        <w:t xml:space="preserve"> suggest that the sector will </w:t>
      </w:r>
      <w:r w:rsidR="008D58CC">
        <w:rPr>
          <w:rFonts w:eastAsia="Calibri" w:cs="Arial"/>
          <w:szCs w:val="22"/>
          <w:lang w:eastAsia="en-US"/>
        </w:rPr>
        <w:t>grow by</w:t>
      </w:r>
      <w:r w:rsidR="00B11FE7" w:rsidRPr="00B11FE7">
        <w:rPr>
          <w:rFonts w:eastAsia="Calibri" w:cs="Arial"/>
          <w:szCs w:val="22"/>
          <w:lang w:eastAsia="en-US"/>
        </w:rPr>
        <w:t xml:space="preserve"> around 8,000 additional early childhood teachers (a 17% increase) </w:t>
      </w:r>
      <w:r w:rsidR="008D58CC">
        <w:rPr>
          <w:rFonts w:eastAsia="Calibri" w:cs="Arial"/>
          <w:szCs w:val="22"/>
          <w:lang w:eastAsia="en-US"/>
        </w:rPr>
        <w:t>for the five years to November 2025</w:t>
      </w:r>
      <w:r w:rsidR="00B11FE7" w:rsidRPr="00B11FE7">
        <w:rPr>
          <w:rFonts w:eastAsia="Calibri" w:cs="Arial"/>
          <w:szCs w:val="22"/>
          <w:lang w:eastAsia="en-US"/>
        </w:rPr>
        <w:t>.</w:t>
      </w:r>
      <w:r w:rsidR="00842702">
        <w:rPr>
          <w:rFonts w:eastAsia="Calibri" w:cs="Arial"/>
          <w:szCs w:val="22"/>
          <w:lang w:eastAsia="en-US"/>
        </w:rPr>
        <w:t xml:space="preserve"> </w:t>
      </w:r>
      <w:r w:rsidR="00A9053B">
        <w:rPr>
          <w:rFonts w:eastAsia="Calibri" w:cs="Arial"/>
          <w:szCs w:val="22"/>
          <w:lang w:eastAsia="en-US"/>
        </w:rPr>
        <w:t xml:space="preserve">The combination of decreasing supply and increasing demand means that the </w:t>
      </w:r>
      <w:r w:rsidR="00B11FE7" w:rsidRPr="00B11FE7">
        <w:rPr>
          <w:rFonts w:eastAsia="Calibri" w:cs="Arial"/>
          <w:szCs w:val="22"/>
          <w:lang w:eastAsia="en-US"/>
        </w:rPr>
        <w:t>children’s education and care sector continues to face significant and increasingly urgent workforce challenges.</w:t>
      </w:r>
    </w:p>
    <w:p w14:paraId="5CA702DC" w14:textId="77777777" w:rsidR="00B11FE7" w:rsidRPr="00B11FE7" w:rsidRDefault="00A9053B" w:rsidP="00427F0D">
      <w:pPr>
        <w:spacing w:after="200" w:line="259" w:lineRule="auto"/>
        <w:rPr>
          <w:rFonts w:eastAsia="Calibri" w:cs="Arial"/>
          <w:szCs w:val="22"/>
          <w:lang w:eastAsia="en-US"/>
        </w:rPr>
      </w:pPr>
      <w:r>
        <w:rPr>
          <w:rFonts w:eastAsia="Calibri" w:cs="Arial"/>
          <w:szCs w:val="22"/>
          <w:lang w:eastAsia="en-US"/>
        </w:rPr>
        <w:t>The</w:t>
      </w:r>
      <w:r w:rsidR="00B11FE7" w:rsidRPr="00B11FE7">
        <w:rPr>
          <w:rFonts w:eastAsia="Calibri" w:cs="Arial"/>
          <w:szCs w:val="22"/>
          <w:lang w:eastAsia="en-US"/>
        </w:rPr>
        <w:t xml:space="preserve"> high proportion of single service providers</w:t>
      </w:r>
      <w:r>
        <w:rPr>
          <w:rFonts w:eastAsia="Calibri" w:cs="Arial"/>
          <w:szCs w:val="22"/>
          <w:lang w:eastAsia="en-US"/>
        </w:rPr>
        <w:t xml:space="preserve"> (more than 80% </w:t>
      </w:r>
      <w:r w:rsidR="006D7FA6">
        <w:rPr>
          <w:rFonts w:eastAsia="Calibri" w:cs="Arial"/>
          <w:szCs w:val="22"/>
          <w:lang w:eastAsia="en-US"/>
        </w:rPr>
        <w:t xml:space="preserve">of </w:t>
      </w:r>
      <w:r>
        <w:rPr>
          <w:rFonts w:eastAsia="Calibri" w:cs="Arial"/>
          <w:szCs w:val="22"/>
          <w:lang w:eastAsia="en-US"/>
        </w:rPr>
        <w:t>all providers under the NQF are approved to operate a single service)</w:t>
      </w:r>
      <w:r w:rsidR="00B11FE7" w:rsidRPr="00B11FE7">
        <w:rPr>
          <w:rFonts w:eastAsia="Calibri" w:cs="Arial"/>
          <w:szCs w:val="22"/>
          <w:lang w:eastAsia="en-US"/>
        </w:rPr>
        <w:t xml:space="preserve"> illu</w:t>
      </w:r>
      <w:r>
        <w:rPr>
          <w:rFonts w:eastAsia="Calibri" w:cs="Arial"/>
          <w:szCs w:val="22"/>
          <w:lang w:eastAsia="en-US"/>
        </w:rPr>
        <w:t>strate</w:t>
      </w:r>
      <w:r w:rsidR="00B11FE7" w:rsidRPr="00B11FE7">
        <w:rPr>
          <w:rFonts w:eastAsia="Calibri" w:cs="Arial"/>
          <w:szCs w:val="22"/>
          <w:lang w:eastAsia="en-US"/>
        </w:rPr>
        <w:t xml:space="preserve">s the different context of the </w:t>
      </w:r>
      <w:r>
        <w:rPr>
          <w:rFonts w:eastAsia="Calibri" w:cs="Arial"/>
          <w:szCs w:val="22"/>
          <w:lang w:eastAsia="en-US"/>
        </w:rPr>
        <w:t>children’s</w:t>
      </w:r>
      <w:r w:rsidR="00B11FE7" w:rsidRPr="00B11FE7">
        <w:rPr>
          <w:rFonts w:eastAsia="Calibri" w:cs="Arial"/>
          <w:szCs w:val="22"/>
          <w:lang w:eastAsia="en-US"/>
        </w:rPr>
        <w:t xml:space="preserve"> education and care sector when compared to the school sector, particularly given that the majority of these services </w:t>
      </w:r>
      <w:r>
        <w:rPr>
          <w:rFonts w:eastAsia="Calibri" w:cs="Arial"/>
          <w:szCs w:val="22"/>
          <w:lang w:eastAsia="en-US"/>
        </w:rPr>
        <w:t>may</w:t>
      </w:r>
      <w:r w:rsidR="00B11FE7" w:rsidRPr="00B11FE7">
        <w:rPr>
          <w:rFonts w:eastAsia="Calibri" w:cs="Arial"/>
          <w:szCs w:val="22"/>
          <w:lang w:eastAsia="en-US"/>
        </w:rPr>
        <w:t xml:space="preserve"> only employ a s</w:t>
      </w:r>
      <w:r>
        <w:rPr>
          <w:rFonts w:eastAsia="Calibri" w:cs="Arial"/>
          <w:szCs w:val="22"/>
          <w:lang w:eastAsia="en-US"/>
        </w:rPr>
        <w:t>ingle</w:t>
      </w:r>
      <w:r w:rsidR="00B11FE7" w:rsidRPr="00B11FE7">
        <w:rPr>
          <w:rFonts w:eastAsia="Calibri" w:cs="Arial"/>
          <w:szCs w:val="22"/>
          <w:lang w:eastAsia="en-US"/>
        </w:rPr>
        <w:t xml:space="preserve"> early childhood teacher. The mentoring and support structures that are typically embedded and routine within schools are often not available or possible </w:t>
      </w:r>
      <w:r>
        <w:rPr>
          <w:rFonts w:eastAsia="Calibri" w:cs="Arial"/>
          <w:szCs w:val="22"/>
          <w:lang w:eastAsia="en-US"/>
        </w:rPr>
        <w:t>for single service providers</w:t>
      </w:r>
      <w:r w:rsidR="00B11FE7" w:rsidRPr="00B11FE7">
        <w:rPr>
          <w:rFonts w:eastAsia="Calibri" w:cs="Arial"/>
          <w:szCs w:val="22"/>
          <w:lang w:eastAsia="en-US"/>
        </w:rPr>
        <w:t xml:space="preserve">. </w:t>
      </w:r>
    </w:p>
    <w:p w14:paraId="0E259A13" w14:textId="77777777" w:rsidR="00B11FE7" w:rsidRPr="00B11FE7" w:rsidRDefault="00A9053B" w:rsidP="00427F0D">
      <w:pPr>
        <w:spacing w:after="200" w:line="259" w:lineRule="auto"/>
        <w:rPr>
          <w:rFonts w:eastAsia="Calibri" w:cs="Arial"/>
          <w:szCs w:val="22"/>
          <w:lang w:eastAsia="en-US"/>
        </w:rPr>
      </w:pPr>
      <w:r>
        <w:rPr>
          <w:rFonts w:eastAsia="Calibri" w:cs="Arial"/>
          <w:szCs w:val="22"/>
          <w:lang w:eastAsia="en-US"/>
        </w:rPr>
        <w:t>The children’s education and care sector does however offer</w:t>
      </w:r>
      <w:r w:rsidR="00B11FE7" w:rsidRPr="00B11FE7">
        <w:rPr>
          <w:rFonts w:eastAsia="Calibri" w:cs="Arial"/>
          <w:szCs w:val="22"/>
          <w:lang w:eastAsia="en-US"/>
        </w:rPr>
        <w:t xml:space="preserve"> opportunities for high-performing early childhood teachers to take on multiple roles and responsibilities within a service, including pedagogical and administrative leadership roles. Early childhood teachers often work independently and can be responsible for curriculum planning across multiple </w:t>
      </w:r>
      <w:r>
        <w:rPr>
          <w:rFonts w:eastAsia="Calibri" w:cs="Arial"/>
          <w:szCs w:val="22"/>
          <w:lang w:eastAsia="en-US"/>
        </w:rPr>
        <w:t>age group</w:t>
      </w:r>
      <w:r w:rsidR="00B11FE7" w:rsidRPr="00B11FE7">
        <w:rPr>
          <w:rFonts w:eastAsia="Calibri" w:cs="Arial"/>
          <w:szCs w:val="22"/>
          <w:lang w:eastAsia="en-US"/>
        </w:rPr>
        <w:t xml:space="preserve">s within a single service. The same leadership and management opportunities are less likely to be available to early career teachers within </w:t>
      </w:r>
      <w:r>
        <w:rPr>
          <w:rFonts w:eastAsia="Calibri" w:cs="Arial"/>
          <w:szCs w:val="22"/>
          <w:lang w:eastAsia="en-US"/>
        </w:rPr>
        <w:t>the</w:t>
      </w:r>
      <w:r w:rsidR="00B11FE7" w:rsidRPr="00B11FE7">
        <w:rPr>
          <w:rFonts w:eastAsia="Calibri" w:cs="Arial"/>
          <w:szCs w:val="22"/>
          <w:lang w:eastAsia="en-US"/>
        </w:rPr>
        <w:t xml:space="preserve"> school system. This level of autonomy and responsibility may well appeal to mid- and late-career professionals who have transferrable management and leadership skills.</w:t>
      </w:r>
    </w:p>
    <w:p w14:paraId="539490CF" w14:textId="77777777" w:rsidR="00B11FE7" w:rsidRPr="00B11FE7" w:rsidRDefault="00B11FE7" w:rsidP="00842702">
      <w:pPr>
        <w:spacing w:after="240" w:line="259" w:lineRule="auto"/>
        <w:rPr>
          <w:rFonts w:eastAsia="Calibri" w:cs="Arial"/>
          <w:szCs w:val="22"/>
          <w:lang w:eastAsia="en-US"/>
        </w:rPr>
      </w:pPr>
      <w:r w:rsidRPr="00B11FE7">
        <w:rPr>
          <w:rFonts w:eastAsia="Calibri" w:cs="Arial"/>
          <w:bCs/>
          <w:szCs w:val="22"/>
          <w:lang w:eastAsia="en-US"/>
        </w:rPr>
        <w:t>Despite this, the</w:t>
      </w:r>
      <w:r w:rsidR="00A9053B">
        <w:rPr>
          <w:rFonts w:eastAsia="Calibri" w:cs="Arial"/>
          <w:bCs/>
          <w:szCs w:val="22"/>
          <w:lang w:eastAsia="en-US"/>
        </w:rPr>
        <w:t>re is a</w:t>
      </w:r>
      <w:r w:rsidRPr="00B11FE7">
        <w:rPr>
          <w:rFonts w:eastAsia="Calibri" w:cs="Arial"/>
          <w:bCs/>
          <w:szCs w:val="22"/>
          <w:lang w:eastAsia="en-US"/>
        </w:rPr>
        <w:t xml:space="preserve"> predominant perception </w:t>
      </w:r>
      <w:r w:rsidR="00A9053B">
        <w:rPr>
          <w:rFonts w:eastAsia="Calibri" w:cs="Arial"/>
          <w:bCs/>
          <w:szCs w:val="22"/>
          <w:lang w:eastAsia="en-US"/>
        </w:rPr>
        <w:t>that</w:t>
      </w:r>
      <w:r w:rsidRPr="00B11FE7">
        <w:rPr>
          <w:rFonts w:eastAsia="Calibri" w:cs="Arial"/>
          <w:bCs/>
          <w:szCs w:val="22"/>
          <w:lang w:eastAsia="en-US"/>
        </w:rPr>
        <w:t xml:space="preserve"> early childhood teachers are less qualified than school teachers</w:t>
      </w:r>
      <w:r w:rsidR="00A9053B">
        <w:rPr>
          <w:rFonts w:eastAsia="Calibri" w:cs="Arial"/>
          <w:bCs/>
          <w:szCs w:val="22"/>
          <w:lang w:eastAsia="en-US"/>
        </w:rPr>
        <w:t>, with children’s education and care being viewed as an inferior teaching career</w:t>
      </w:r>
      <w:r w:rsidRPr="00B11FE7">
        <w:rPr>
          <w:rFonts w:eastAsia="Calibri" w:cs="Arial"/>
          <w:bCs/>
          <w:szCs w:val="22"/>
          <w:lang w:eastAsia="en-US"/>
        </w:rPr>
        <w:t xml:space="preserve">. A </w:t>
      </w:r>
      <w:hyperlink r:id="rId11" w:history="1">
        <w:r w:rsidRPr="00B11FE7">
          <w:rPr>
            <w:rFonts w:eastAsia="Calibri" w:cs="Arial"/>
            <w:color w:val="0000FF"/>
            <w:szCs w:val="22"/>
            <w:u w:val="single"/>
            <w:lang w:eastAsia="en-US"/>
          </w:rPr>
          <w:t>2019 study</w:t>
        </w:r>
      </w:hyperlink>
      <w:r w:rsidRPr="00B11FE7">
        <w:rPr>
          <w:rFonts w:eastAsia="Calibri" w:cs="Arial"/>
          <w:szCs w:val="22"/>
          <w:lang w:eastAsia="en-US"/>
        </w:rPr>
        <w:t xml:space="preserve"> </w:t>
      </w:r>
      <w:r w:rsidRPr="00B11FE7">
        <w:rPr>
          <w:rFonts w:eastAsia="Calibri" w:cs="Arial"/>
          <w:bCs/>
          <w:szCs w:val="22"/>
          <w:lang w:eastAsia="en-US"/>
        </w:rPr>
        <w:t>examined the perceptions of students enrolled in combined early childhood and primary degree programs, in particular their career intentions and satisfaction. Over 70% of students indicated they intended to seek employment in schools and fewer than 5% intended to work in long day care settings. In addition, there was still a cohort of students who felt that early childhood education was ‘not real learning and education’.</w:t>
      </w:r>
    </w:p>
    <w:p w14:paraId="0584411A" w14:textId="77777777" w:rsidR="00842702" w:rsidRDefault="00842702" w:rsidP="00842702">
      <w:pPr>
        <w:spacing w:after="240" w:line="259" w:lineRule="auto"/>
        <w:rPr>
          <w:rFonts w:eastAsia="Calibri" w:cs="Arial"/>
          <w:b/>
          <w:szCs w:val="22"/>
          <w:lang w:eastAsia="en-US"/>
        </w:rPr>
      </w:pPr>
    </w:p>
    <w:p w14:paraId="3DC22523" w14:textId="77777777" w:rsidR="00842702" w:rsidRDefault="00842702" w:rsidP="00842702">
      <w:pPr>
        <w:spacing w:after="240" w:line="259" w:lineRule="auto"/>
        <w:rPr>
          <w:rFonts w:eastAsia="Calibri" w:cs="Arial"/>
          <w:b/>
          <w:szCs w:val="22"/>
          <w:lang w:eastAsia="en-US"/>
        </w:rPr>
      </w:pPr>
    </w:p>
    <w:p w14:paraId="5C178D60" w14:textId="77777777" w:rsidR="00B11FE7" w:rsidRPr="00B11FE7" w:rsidRDefault="00B11FE7" w:rsidP="00427F0D">
      <w:pPr>
        <w:spacing w:after="120" w:line="259" w:lineRule="auto"/>
        <w:rPr>
          <w:rFonts w:eastAsia="Calibri" w:cs="Arial"/>
          <w:b/>
          <w:szCs w:val="22"/>
          <w:lang w:eastAsia="en-US"/>
        </w:rPr>
      </w:pPr>
      <w:r w:rsidRPr="00B11FE7">
        <w:rPr>
          <w:rFonts w:eastAsia="Calibri" w:cs="Arial"/>
          <w:b/>
          <w:szCs w:val="22"/>
          <w:lang w:eastAsia="en-US"/>
        </w:rPr>
        <w:lastRenderedPageBreak/>
        <w:t>Part B: Preparing ITE</w:t>
      </w:r>
      <w:r w:rsidR="003A1A94">
        <w:rPr>
          <w:rFonts w:eastAsia="Calibri" w:cs="Arial"/>
          <w:b/>
          <w:szCs w:val="22"/>
          <w:lang w:eastAsia="en-US"/>
        </w:rPr>
        <w:t xml:space="preserve"> students to be effective </w:t>
      </w:r>
      <w:r w:rsidRPr="00B11FE7">
        <w:rPr>
          <w:rFonts w:eastAsia="Calibri" w:cs="Arial"/>
          <w:b/>
          <w:szCs w:val="22"/>
          <w:lang w:eastAsia="en-US"/>
        </w:rPr>
        <w:t>teachers</w:t>
      </w:r>
    </w:p>
    <w:p w14:paraId="0E9777AA" w14:textId="77777777" w:rsidR="00B11FE7" w:rsidRPr="00B11FE7" w:rsidRDefault="00B11FE7" w:rsidP="001C7DA3">
      <w:pPr>
        <w:spacing w:after="200" w:line="259" w:lineRule="auto"/>
        <w:rPr>
          <w:rFonts w:eastAsia="Calibri" w:cs="Arial"/>
          <w:szCs w:val="22"/>
          <w:lang w:eastAsia="en-US"/>
        </w:rPr>
      </w:pPr>
      <w:r w:rsidRPr="00B11FE7">
        <w:rPr>
          <w:rFonts w:eastAsia="Calibri" w:cs="Arial"/>
          <w:szCs w:val="22"/>
          <w:lang w:eastAsia="en-US"/>
        </w:rPr>
        <w:t xml:space="preserve">The majority of NQF approved early childhood teaching programs cover children aged birth to eight or birth to 12 years of age, qualifying graduates to teach in both early childhood and primary school settings. These courses are assessed and approved by both the relevant </w:t>
      </w:r>
      <w:hyperlink r:id="rId12" w:history="1">
        <w:r w:rsidRPr="00B11FE7">
          <w:rPr>
            <w:rFonts w:eastAsia="Calibri" w:cs="Arial"/>
            <w:color w:val="0000FF"/>
            <w:szCs w:val="22"/>
            <w:u w:val="single"/>
            <w:lang w:eastAsia="en-US"/>
          </w:rPr>
          <w:t>state and territory teacher reg</w:t>
        </w:r>
        <w:r w:rsidR="009174B3">
          <w:rPr>
            <w:rFonts w:eastAsia="Calibri" w:cs="Arial"/>
            <w:color w:val="0000FF"/>
            <w:szCs w:val="22"/>
            <w:u w:val="single"/>
            <w:lang w:eastAsia="en-US"/>
          </w:rPr>
          <w:t>ulatory</w:t>
        </w:r>
        <w:r w:rsidRPr="00B11FE7">
          <w:rPr>
            <w:rFonts w:eastAsia="Calibri" w:cs="Arial"/>
            <w:color w:val="0000FF"/>
            <w:szCs w:val="22"/>
            <w:u w:val="single"/>
            <w:lang w:eastAsia="en-US"/>
          </w:rPr>
          <w:t xml:space="preserve"> authority</w:t>
        </w:r>
      </w:hyperlink>
      <w:r w:rsidRPr="00B11FE7">
        <w:rPr>
          <w:rFonts w:eastAsia="Calibri" w:cs="Arial"/>
          <w:szCs w:val="22"/>
          <w:lang w:eastAsia="en-US"/>
        </w:rPr>
        <w:t xml:space="preserve"> in line with the </w:t>
      </w:r>
      <w:hyperlink r:id="rId13" w:history="1">
        <w:r w:rsidRPr="00714F66">
          <w:rPr>
            <w:rStyle w:val="Hyperlink"/>
            <w:rFonts w:eastAsia="Calibri" w:cs="Arial"/>
            <w:szCs w:val="22"/>
            <w:lang w:eastAsia="en-US"/>
          </w:rPr>
          <w:t>National Standards and Procedures</w:t>
        </w:r>
      </w:hyperlink>
      <w:r w:rsidRPr="00B11FE7">
        <w:rPr>
          <w:rFonts w:eastAsia="Calibri" w:cs="Arial"/>
          <w:szCs w:val="22"/>
          <w:lang w:eastAsia="en-US"/>
        </w:rPr>
        <w:t xml:space="preserve"> (the Standards), and </w:t>
      </w:r>
      <w:hyperlink r:id="rId14" w:history="1">
        <w:r w:rsidRPr="00B82185">
          <w:rPr>
            <w:rStyle w:val="Hyperlink"/>
            <w:rFonts w:eastAsia="Calibri" w:cs="Arial"/>
            <w:szCs w:val="22"/>
            <w:lang w:eastAsia="en-US"/>
          </w:rPr>
          <w:t>by ACECQA</w:t>
        </w:r>
      </w:hyperlink>
      <w:r w:rsidRPr="00B11FE7">
        <w:rPr>
          <w:rFonts w:eastAsia="Calibri" w:cs="Arial"/>
          <w:szCs w:val="22"/>
          <w:lang w:eastAsia="en-US"/>
        </w:rPr>
        <w:t xml:space="preserve"> to ensure there is appropriate early childhood content and experience. While there are many complementary aspects to the two sets of requirements, the Standards are </w:t>
      </w:r>
      <w:r w:rsidR="00A678FF">
        <w:rPr>
          <w:rFonts w:eastAsia="Calibri" w:cs="Arial"/>
          <w:szCs w:val="22"/>
          <w:lang w:eastAsia="en-US"/>
        </w:rPr>
        <w:t xml:space="preserve">largely </w:t>
      </w:r>
      <w:r w:rsidRPr="00B11FE7">
        <w:rPr>
          <w:rFonts w:eastAsia="Calibri" w:cs="Arial"/>
          <w:szCs w:val="22"/>
          <w:lang w:eastAsia="en-US"/>
        </w:rPr>
        <w:t xml:space="preserve">silent on practice and pedagogy in non-school settings, such as long day care </w:t>
      </w:r>
      <w:r w:rsidR="00A678FF">
        <w:rPr>
          <w:rFonts w:eastAsia="Calibri" w:cs="Arial"/>
          <w:szCs w:val="22"/>
          <w:lang w:eastAsia="en-US"/>
        </w:rPr>
        <w:t xml:space="preserve">services </w:t>
      </w:r>
      <w:r w:rsidRPr="00B11FE7">
        <w:rPr>
          <w:rFonts w:eastAsia="Calibri" w:cs="Arial"/>
          <w:szCs w:val="22"/>
          <w:lang w:eastAsia="en-US"/>
        </w:rPr>
        <w:t>and</w:t>
      </w:r>
      <w:r w:rsidR="00A678FF">
        <w:rPr>
          <w:rFonts w:eastAsia="Calibri" w:cs="Arial"/>
          <w:szCs w:val="22"/>
          <w:lang w:eastAsia="en-US"/>
        </w:rPr>
        <w:t xml:space="preserve"> standalone</w:t>
      </w:r>
      <w:r w:rsidRPr="00B11FE7">
        <w:rPr>
          <w:rFonts w:eastAsia="Calibri" w:cs="Arial"/>
          <w:szCs w:val="22"/>
          <w:lang w:eastAsia="en-US"/>
        </w:rPr>
        <w:t xml:space="preserve"> preschool</w:t>
      </w:r>
      <w:r w:rsidR="00A678FF">
        <w:rPr>
          <w:rFonts w:eastAsia="Calibri" w:cs="Arial"/>
          <w:szCs w:val="22"/>
          <w:lang w:eastAsia="en-US"/>
        </w:rPr>
        <w:t>s</w:t>
      </w:r>
      <w:r w:rsidR="00427F0D">
        <w:rPr>
          <w:rFonts w:eastAsia="Calibri" w:cs="Arial"/>
          <w:szCs w:val="22"/>
          <w:lang w:eastAsia="en-US"/>
        </w:rPr>
        <w:t>/kindergartens.</w:t>
      </w:r>
    </w:p>
    <w:p w14:paraId="63D67BCA" w14:textId="77777777" w:rsidR="00B11FE7" w:rsidRPr="00B11FE7" w:rsidRDefault="00B11FE7" w:rsidP="001C7DA3">
      <w:pPr>
        <w:spacing w:after="200" w:line="259" w:lineRule="auto"/>
        <w:rPr>
          <w:rFonts w:eastAsia="Calibri" w:cs="Arial"/>
          <w:szCs w:val="22"/>
          <w:lang w:eastAsia="en-US"/>
        </w:rPr>
      </w:pPr>
      <w:r w:rsidRPr="00B11FE7">
        <w:rPr>
          <w:rFonts w:eastAsia="Calibri" w:cs="Arial"/>
          <w:szCs w:val="22"/>
          <w:lang w:eastAsia="en-US"/>
        </w:rPr>
        <w:t xml:space="preserve">The recommendations from the </w:t>
      </w:r>
      <w:hyperlink r:id="rId15" w:history="1">
        <w:r w:rsidRPr="00B82185">
          <w:rPr>
            <w:rStyle w:val="Hyperlink"/>
            <w:rFonts w:eastAsia="Calibri" w:cs="Arial"/>
            <w:szCs w:val="22"/>
            <w:lang w:eastAsia="en-US"/>
          </w:rPr>
          <w:t>Teacher Education Ministerial Advisory Group</w:t>
        </w:r>
      </w:hyperlink>
      <w:r w:rsidRPr="00B11FE7">
        <w:rPr>
          <w:rFonts w:eastAsia="Calibri" w:cs="Arial"/>
          <w:szCs w:val="22"/>
          <w:vertAlign w:val="superscript"/>
          <w:lang w:eastAsia="en-US"/>
        </w:rPr>
        <w:t xml:space="preserve"> </w:t>
      </w:r>
      <w:r w:rsidR="001C7DA3">
        <w:rPr>
          <w:rFonts w:eastAsia="Calibri" w:cs="Arial"/>
          <w:szCs w:val="22"/>
          <w:lang w:eastAsia="en-US"/>
        </w:rPr>
        <w:t>in late 2014 have led to</w:t>
      </w:r>
      <w:r w:rsidRPr="00B11FE7">
        <w:rPr>
          <w:rFonts w:eastAsia="Calibri" w:cs="Arial"/>
          <w:szCs w:val="22"/>
          <w:lang w:eastAsia="en-US"/>
        </w:rPr>
        <w:t xml:space="preserve"> several policy changes in initial teacher education. While these should not </w:t>
      </w:r>
      <w:r w:rsidR="001C7DA3">
        <w:rPr>
          <w:rFonts w:eastAsia="Calibri" w:cs="Arial"/>
          <w:szCs w:val="22"/>
          <w:lang w:eastAsia="en-US"/>
        </w:rPr>
        <w:t xml:space="preserve">necessarily </w:t>
      </w:r>
      <w:r w:rsidRPr="00B11FE7">
        <w:rPr>
          <w:rFonts w:eastAsia="Calibri" w:cs="Arial"/>
          <w:szCs w:val="22"/>
          <w:lang w:eastAsia="en-US"/>
        </w:rPr>
        <w:t>detrimentally impact a program’s early childhood components, some higher education providers report increasing pressure to negotiate less early childhood content in order to satisfy the additional requirements and broader fiscal and resourcing constraints.</w:t>
      </w:r>
    </w:p>
    <w:p w14:paraId="3657D5B7" w14:textId="77777777" w:rsidR="00B11FE7" w:rsidRPr="00B11FE7" w:rsidRDefault="00B11FE7" w:rsidP="001C7DA3">
      <w:pPr>
        <w:spacing w:after="200" w:line="259" w:lineRule="auto"/>
        <w:rPr>
          <w:rFonts w:eastAsia="Calibri" w:cs="Arial"/>
          <w:szCs w:val="22"/>
          <w:lang w:eastAsia="en-US"/>
        </w:rPr>
      </w:pPr>
      <w:r w:rsidRPr="00B11FE7">
        <w:rPr>
          <w:rFonts w:eastAsia="Calibri" w:cs="Arial"/>
          <w:szCs w:val="22"/>
          <w:lang w:eastAsia="en-US"/>
        </w:rPr>
        <w:t xml:space="preserve">One notable requirement – that primary school teachers must graduate with a </w:t>
      </w:r>
      <w:hyperlink r:id="rId16" w:history="1">
        <w:r w:rsidRPr="001C7DA3">
          <w:rPr>
            <w:rStyle w:val="Hyperlink"/>
            <w:rFonts w:eastAsia="Calibri" w:cs="Arial"/>
            <w:szCs w:val="22"/>
            <w:lang w:eastAsia="en-US"/>
          </w:rPr>
          <w:t>subject specialisation</w:t>
        </w:r>
      </w:hyperlink>
      <w:r w:rsidRPr="00B11FE7">
        <w:rPr>
          <w:rFonts w:eastAsia="Calibri" w:cs="Arial"/>
          <w:szCs w:val="22"/>
          <w:lang w:eastAsia="en-US"/>
        </w:rPr>
        <w:t xml:space="preserve"> – means initial teacher education courses must include relatively high volumes of school age content and professional experience in birth to eight and birth to 12 courses. This can result in the early childhood content and experience being displaced or overshadowed, particularly as higher education providers and governments continue to invest in accelerated programs.</w:t>
      </w:r>
    </w:p>
    <w:p w14:paraId="62AEA572" w14:textId="77777777" w:rsidR="00B11FE7" w:rsidRDefault="00B11FE7" w:rsidP="00842702">
      <w:pPr>
        <w:spacing w:after="240" w:line="259" w:lineRule="auto"/>
        <w:rPr>
          <w:rFonts w:eastAsia="Calibri" w:cs="Arial"/>
          <w:szCs w:val="22"/>
          <w:lang w:eastAsia="en-US"/>
        </w:rPr>
      </w:pPr>
      <w:r w:rsidRPr="00B11FE7">
        <w:rPr>
          <w:rFonts w:eastAsia="Calibri" w:cs="Arial"/>
          <w:szCs w:val="22"/>
          <w:lang w:eastAsia="en-US"/>
        </w:rPr>
        <w:t xml:space="preserve">Other initiatives flowing from the 2014 recommendations, for example the </w:t>
      </w:r>
      <w:hyperlink r:id="rId17" w:history="1">
        <w:r w:rsidRPr="001C7DA3">
          <w:rPr>
            <w:rStyle w:val="Hyperlink"/>
            <w:rFonts w:eastAsia="Calibri" w:cs="Arial"/>
            <w:szCs w:val="22"/>
            <w:lang w:eastAsia="en-US"/>
          </w:rPr>
          <w:t>teaching performance assessment</w:t>
        </w:r>
      </w:hyperlink>
      <w:r w:rsidRPr="00B11FE7">
        <w:rPr>
          <w:rFonts w:eastAsia="Calibri" w:cs="Arial"/>
          <w:szCs w:val="22"/>
          <w:lang w:eastAsia="en-US"/>
        </w:rPr>
        <w:t xml:space="preserve">, have been developed with teachers in schools as the primary target. These initiatives </w:t>
      </w:r>
      <w:r w:rsidR="00427F0D">
        <w:rPr>
          <w:rFonts w:eastAsia="Calibri" w:cs="Arial"/>
          <w:szCs w:val="22"/>
          <w:lang w:eastAsia="en-US"/>
        </w:rPr>
        <w:t xml:space="preserve">may </w:t>
      </w:r>
      <w:r w:rsidRPr="00B11FE7">
        <w:rPr>
          <w:rFonts w:eastAsia="Calibri" w:cs="Arial"/>
          <w:szCs w:val="22"/>
          <w:lang w:eastAsia="en-US"/>
        </w:rPr>
        <w:t xml:space="preserve">reinforce perceptions that early childhood teaching </w:t>
      </w:r>
      <w:r w:rsidR="00EB0DD8">
        <w:rPr>
          <w:rFonts w:eastAsia="Calibri" w:cs="Arial"/>
          <w:szCs w:val="22"/>
          <w:lang w:eastAsia="en-US"/>
        </w:rPr>
        <w:t xml:space="preserve">in a non-school setting </w:t>
      </w:r>
      <w:r w:rsidRPr="00B11FE7">
        <w:rPr>
          <w:rFonts w:eastAsia="Calibri" w:cs="Arial"/>
          <w:szCs w:val="22"/>
          <w:lang w:eastAsia="en-US"/>
        </w:rPr>
        <w:t>is an inferior</w:t>
      </w:r>
      <w:r w:rsidR="00427F0D">
        <w:rPr>
          <w:rFonts w:eastAsia="Calibri" w:cs="Arial"/>
          <w:szCs w:val="22"/>
          <w:lang w:eastAsia="en-US"/>
        </w:rPr>
        <w:t>, second or third class option</w:t>
      </w:r>
      <w:r w:rsidRPr="00B11FE7">
        <w:rPr>
          <w:rFonts w:eastAsia="Calibri" w:cs="Arial"/>
          <w:szCs w:val="22"/>
          <w:lang w:eastAsia="en-US"/>
        </w:rPr>
        <w:t xml:space="preserve"> within the teaching profession, despite the </w:t>
      </w:r>
      <w:r w:rsidR="00EB0DD8">
        <w:rPr>
          <w:rFonts w:eastAsia="Calibri" w:cs="Arial"/>
          <w:szCs w:val="22"/>
          <w:lang w:eastAsia="en-US"/>
        </w:rPr>
        <w:t xml:space="preserve">internationally recognised </w:t>
      </w:r>
      <w:r w:rsidR="00427F0D">
        <w:rPr>
          <w:rFonts w:eastAsia="Calibri" w:cs="Arial"/>
          <w:szCs w:val="22"/>
          <w:lang w:eastAsia="en-US"/>
        </w:rPr>
        <w:t>specialised</w:t>
      </w:r>
      <w:r w:rsidRPr="00B11FE7">
        <w:rPr>
          <w:rFonts w:eastAsia="Calibri" w:cs="Arial"/>
          <w:szCs w:val="22"/>
          <w:lang w:eastAsia="en-US"/>
        </w:rPr>
        <w:t xml:space="preserve"> practice and pedagogical knowledge required to </w:t>
      </w:r>
      <w:r w:rsidR="001C7DA3">
        <w:rPr>
          <w:rFonts w:eastAsia="Calibri" w:cs="Arial"/>
          <w:szCs w:val="22"/>
          <w:lang w:eastAsia="en-US"/>
        </w:rPr>
        <w:t>be</w:t>
      </w:r>
      <w:r w:rsidRPr="00B11FE7">
        <w:rPr>
          <w:rFonts w:eastAsia="Calibri" w:cs="Arial"/>
          <w:szCs w:val="22"/>
          <w:lang w:eastAsia="en-US"/>
        </w:rPr>
        <w:t xml:space="preserve"> an early childhood teacher.</w:t>
      </w:r>
    </w:p>
    <w:p w14:paraId="610DE9B1" w14:textId="77777777" w:rsidR="00370A48" w:rsidRPr="00370A48" w:rsidRDefault="00370A48" w:rsidP="00427F0D">
      <w:pPr>
        <w:spacing w:after="120" w:line="259" w:lineRule="auto"/>
        <w:rPr>
          <w:rFonts w:eastAsia="Calibri" w:cs="Arial"/>
          <w:b/>
          <w:szCs w:val="22"/>
          <w:lang w:eastAsia="en-US"/>
        </w:rPr>
      </w:pPr>
      <w:r w:rsidRPr="00370A48">
        <w:rPr>
          <w:rFonts w:eastAsia="Calibri" w:cs="Arial"/>
          <w:b/>
          <w:szCs w:val="22"/>
          <w:lang w:eastAsia="en-US"/>
        </w:rPr>
        <w:t>Future opportunities</w:t>
      </w:r>
    </w:p>
    <w:p w14:paraId="6DCB1EFD" w14:textId="77777777" w:rsidR="002B6ABC" w:rsidRDefault="00370A48" w:rsidP="001C7DA3">
      <w:pPr>
        <w:spacing w:after="200" w:line="259" w:lineRule="auto"/>
        <w:rPr>
          <w:rFonts w:eastAsia="Calibri" w:cs="Arial"/>
          <w:szCs w:val="22"/>
          <w:lang w:eastAsia="en-US"/>
        </w:rPr>
      </w:pPr>
      <w:r w:rsidRPr="00370A48">
        <w:rPr>
          <w:rFonts w:eastAsia="Calibri" w:cs="Arial"/>
          <w:szCs w:val="22"/>
          <w:lang w:eastAsia="en-US"/>
        </w:rPr>
        <w:t xml:space="preserve">In December 2019, Education Ministers </w:t>
      </w:r>
      <w:r w:rsidRPr="00BC469F">
        <w:rPr>
          <w:rFonts w:eastAsia="Calibri"/>
          <w:lang w:eastAsia="en-US"/>
        </w:rPr>
        <w:t>endorsed</w:t>
      </w:r>
      <w:r w:rsidRPr="00370A48">
        <w:rPr>
          <w:rFonts w:eastAsia="Calibri" w:cs="Arial"/>
          <w:szCs w:val="22"/>
          <w:lang w:eastAsia="en-US"/>
        </w:rPr>
        <w:t xml:space="preserve"> the development of a new </w:t>
      </w:r>
      <w:hyperlink r:id="rId18" w:history="1">
        <w:r w:rsidRPr="00BC469F">
          <w:rPr>
            <w:rStyle w:val="Hyperlink"/>
            <w:rFonts w:eastAsia="Calibri" w:cs="Arial"/>
            <w:szCs w:val="22"/>
            <w:lang w:eastAsia="en-US"/>
          </w:rPr>
          <w:t>national workforce strategy</w:t>
        </w:r>
      </w:hyperlink>
      <w:r w:rsidRPr="00370A48">
        <w:rPr>
          <w:rFonts w:eastAsia="Calibri" w:cs="Arial"/>
          <w:szCs w:val="22"/>
          <w:lang w:eastAsia="en-US"/>
        </w:rPr>
        <w:t xml:space="preserve"> </w:t>
      </w:r>
      <w:r w:rsidR="00BC469F">
        <w:rPr>
          <w:rFonts w:eastAsia="Calibri" w:cs="Arial"/>
          <w:szCs w:val="22"/>
          <w:lang w:eastAsia="en-US"/>
        </w:rPr>
        <w:t xml:space="preserve">for the children’s education and care sector, </w:t>
      </w:r>
      <w:r w:rsidRPr="00370A48">
        <w:rPr>
          <w:rFonts w:eastAsia="Calibri" w:cs="Arial"/>
          <w:szCs w:val="22"/>
          <w:lang w:eastAsia="en-US"/>
        </w:rPr>
        <w:t>as a joint partnership between all governments</w:t>
      </w:r>
      <w:r w:rsidR="007A13B8">
        <w:rPr>
          <w:rFonts w:eastAsia="Calibri" w:cs="Arial"/>
          <w:szCs w:val="22"/>
          <w:lang w:eastAsia="en-US"/>
        </w:rPr>
        <w:t xml:space="preserve"> and key sector</w:t>
      </w:r>
      <w:r w:rsidRPr="00370A48">
        <w:rPr>
          <w:rFonts w:eastAsia="Calibri" w:cs="Arial"/>
          <w:szCs w:val="22"/>
          <w:lang w:eastAsia="en-US"/>
        </w:rPr>
        <w:t xml:space="preserve"> stakeholders.</w:t>
      </w:r>
      <w:r>
        <w:rPr>
          <w:rFonts w:eastAsia="Calibri" w:cs="Arial"/>
          <w:szCs w:val="22"/>
          <w:lang w:eastAsia="en-US"/>
        </w:rPr>
        <w:t xml:space="preserve"> </w:t>
      </w:r>
      <w:r w:rsidRPr="00370A48">
        <w:rPr>
          <w:rFonts w:eastAsia="Calibri" w:cs="Arial"/>
          <w:szCs w:val="22"/>
          <w:lang w:eastAsia="en-US"/>
        </w:rPr>
        <w:t xml:space="preserve">ACECQA, on behalf of all governments, </w:t>
      </w:r>
      <w:r>
        <w:rPr>
          <w:rFonts w:eastAsia="Calibri" w:cs="Arial"/>
          <w:szCs w:val="22"/>
          <w:lang w:eastAsia="en-US"/>
        </w:rPr>
        <w:t>has been</w:t>
      </w:r>
      <w:r w:rsidRPr="00370A48">
        <w:rPr>
          <w:rFonts w:eastAsia="Calibri" w:cs="Arial"/>
          <w:szCs w:val="22"/>
          <w:lang w:eastAsia="en-US"/>
        </w:rPr>
        <w:t xml:space="preserve"> coordinating the </w:t>
      </w:r>
      <w:r w:rsidR="002B6ABC">
        <w:rPr>
          <w:rFonts w:eastAsia="Calibri" w:cs="Arial"/>
          <w:szCs w:val="22"/>
          <w:lang w:eastAsia="en-US"/>
        </w:rPr>
        <w:t>co-design and development process</w:t>
      </w:r>
      <w:r w:rsidR="00F31A68">
        <w:rPr>
          <w:rFonts w:eastAsia="Calibri" w:cs="Arial"/>
          <w:szCs w:val="22"/>
          <w:lang w:eastAsia="en-US"/>
        </w:rPr>
        <w:t xml:space="preserve">, with </w:t>
      </w:r>
      <w:r w:rsidR="002B6ABC">
        <w:rPr>
          <w:rFonts w:eastAsia="Calibri" w:cs="Arial"/>
          <w:szCs w:val="22"/>
          <w:lang w:eastAsia="en-US"/>
        </w:rPr>
        <w:t>the final strategy</w:t>
      </w:r>
      <w:r w:rsidR="00F31A68">
        <w:rPr>
          <w:rFonts w:eastAsia="Calibri" w:cs="Arial"/>
          <w:szCs w:val="22"/>
          <w:lang w:eastAsia="en-US"/>
        </w:rPr>
        <w:t xml:space="preserve"> </w:t>
      </w:r>
      <w:r w:rsidR="002B6ABC">
        <w:rPr>
          <w:rFonts w:eastAsia="Calibri" w:cs="Arial"/>
          <w:szCs w:val="22"/>
          <w:lang w:eastAsia="en-US"/>
        </w:rPr>
        <w:t>due</w:t>
      </w:r>
      <w:r w:rsidR="00F31A68">
        <w:rPr>
          <w:rFonts w:eastAsia="Calibri" w:cs="Arial"/>
          <w:szCs w:val="22"/>
          <w:lang w:eastAsia="en-US"/>
        </w:rPr>
        <w:t xml:space="preserve"> to </w:t>
      </w:r>
      <w:r w:rsidRPr="00370A48">
        <w:rPr>
          <w:rFonts w:eastAsia="Calibri" w:cs="Arial"/>
          <w:szCs w:val="22"/>
          <w:lang w:eastAsia="en-US"/>
        </w:rPr>
        <w:t>be considered by Education Ministers in the second half of this year</w:t>
      </w:r>
      <w:r>
        <w:rPr>
          <w:rFonts w:eastAsia="Calibri" w:cs="Arial"/>
          <w:szCs w:val="22"/>
          <w:lang w:eastAsia="en-US"/>
        </w:rPr>
        <w:t xml:space="preserve">. </w:t>
      </w:r>
    </w:p>
    <w:p w14:paraId="2470BB22" w14:textId="77777777" w:rsidR="00370A48" w:rsidRPr="00B11FE7" w:rsidRDefault="002B6ABC" w:rsidP="001C7DA3">
      <w:pPr>
        <w:spacing w:after="200" w:line="259" w:lineRule="auto"/>
        <w:rPr>
          <w:rFonts w:eastAsia="Calibri" w:cs="Arial"/>
          <w:szCs w:val="22"/>
          <w:lang w:eastAsia="en-US"/>
        </w:rPr>
      </w:pPr>
      <w:r>
        <w:rPr>
          <w:rFonts w:eastAsia="Calibri" w:cs="Arial"/>
          <w:szCs w:val="22"/>
          <w:lang w:eastAsia="en-US"/>
        </w:rPr>
        <w:t xml:space="preserve">Along with a range of other actions, the strategy is likely to highlight opportunities to </w:t>
      </w:r>
      <w:r w:rsidR="00370A48">
        <w:rPr>
          <w:rFonts w:eastAsia="Calibri" w:cs="Arial"/>
          <w:szCs w:val="22"/>
          <w:lang w:eastAsia="en-US"/>
        </w:rPr>
        <w:t>consider c</w:t>
      </w:r>
      <w:r w:rsidR="00370A48" w:rsidRPr="00370A48">
        <w:rPr>
          <w:rFonts w:eastAsia="Calibri" w:cs="Arial"/>
          <w:szCs w:val="22"/>
          <w:lang w:eastAsia="en-US"/>
        </w:rPr>
        <w:t>ontemporary and emerging skills and knowledge needed for early childhood teaching</w:t>
      </w:r>
      <w:r>
        <w:rPr>
          <w:rFonts w:eastAsia="Calibri" w:cs="Arial"/>
          <w:szCs w:val="22"/>
          <w:lang w:eastAsia="en-US"/>
        </w:rPr>
        <w:t xml:space="preserve"> as part of initial teacher education programs</w:t>
      </w:r>
      <w:r w:rsidR="00370A48" w:rsidRPr="00370A48">
        <w:rPr>
          <w:rFonts w:eastAsia="Calibri" w:cs="Arial"/>
          <w:szCs w:val="22"/>
          <w:lang w:eastAsia="en-US"/>
        </w:rPr>
        <w:t xml:space="preserve">, as well as innovative </w:t>
      </w:r>
      <w:r>
        <w:rPr>
          <w:rFonts w:eastAsia="Calibri" w:cs="Arial"/>
          <w:szCs w:val="22"/>
          <w:lang w:eastAsia="en-US"/>
        </w:rPr>
        <w:t xml:space="preserve">approaches to program </w:t>
      </w:r>
      <w:r w:rsidR="00370A48" w:rsidRPr="00370A48">
        <w:rPr>
          <w:rFonts w:eastAsia="Calibri" w:cs="Arial"/>
          <w:szCs w:val="22"/>
          <w:lang w:eastAsia="en-US"/>
        </w:rPr>
        <w:t>design and delivery</w:t>
      </w:r>
      <w:r w:rsidR="00370A48">
        <w:rPr>
          <w:rFonts w:eastAsia="Calibri" w:cs="Arial"/>
          <w:szCs w:val="22"/>
          <w:lang w:eastAsia="en-US"/>
        </w:rPr>
        <w:t>.</w:t>
      </w:r>
    </w:p>
    <w:p w14:paraId="13C7DE7F" w14:textId="77777777" w:rsidR="002B6ABC" w:rsidRDefault="00B11FE7" w:rsidP="008D66B3">
      <w:pPr>
        <w:spacing w:after="200" w:line="259" w:lineRule="auto"/>
        <w:rPr>
          <w:rFonts w:eastAsia="Calibri" w:cs="Arial"/>
          <w:szCs w:val="22"/>
          <w:lang w:eastAsia="en-US"/>
        </w:rPr>
      </w:pPr>
      <w:r w:rsidRPr="00B11FE7">
        <w:rPr>
          <w:rFonts w:eastAsia="Calibri" w:cs="Arial"/>
          <w:szCs w:val="22"/>
          <w:lang w:eastAsia="en-US"/>
        </w:rPr>
        <w:t>ACECQA continues to advocate for an inclusive, nationally consistent approach to teacher education</w:t>
      </w:r>
      <w:r w:rsidR="002B6ABC">
        <w:rPr>
          <w:rFonts w:eastAsia="Calibri" w:cs="Arial"/>
          <w:szCs w:val="22"/>
          <w:lang w:eastAsia="en-US"/>
        </w:rPr>
        <w:t xml:space="preserve"> and registration</w:t>
      </w:r>
      <w:r w:rsidRPr="00B11FE7">
        <w:rPr>
          <w:rFonts w:eastAsia="Calibri" w:cs="Arial"/>
          <w:szCs w:val="22"/>
          <w:lang w:eastAsia="en-US"/>
        </w:rPr>
        <w:t xml:space="preserve">. While acknowledging the different roles and responsibilities, we remain committed to pursuing opportunities to streamline and align the respective accreditation and approval processes, </w:t>
      </w:r>
      <w:r w:rsidR="00EB0DD8">
        <w:rPr>
          <w:rFonts w:eastAsia="Calibri" w:cs="Arial"/>
          <w:szCs w:val="22"/>
          <w:lang w:eastAsia="en-US"/>
        </w:rPr>
        <w:t xml:space="preserve">recognise early childhood as a specialisation and </w:t>
      </w:r>
      <w:r w:rsidRPr="00B11FE7">
        <w:rPr>
          <w:rFonts w:eastAsia="Calibri" w:cs="Arial"/>
          <w:szCs w:val="22"/>
          <w:lang w:eastAsia="en-US"/>
        </w:rPr>
        <w:t xml:space="preserve">ensure a sustainable </w:t>
      </w:r>
      <w:r w:rsidR="002B6ABC">
        <w:rPr>
          <w:rFonts w:eastAsia="Calibri" w:cs="Arial"/>
          <w:szCs w:val="22"/>
          <w:lang w:eastAsia="en-US"/>
        </w:rPr>
        <w:t>supply</w:t>
      </w:r>
      <w:r w:rsidRPr="00B11FE7">
        <w:rPr>
          <w:rFonts w:eastAsia="Calibri" w:cs="Arial"/>
          <w:szCs w:val="22"/>
          <w:lang w:eastAsia="en-US"/>
        </w:rPr>
        <w:t xml:space="preserve"> of high-</w:t>
      </w:r>
      <w:r w:rsidR="002B6ABC">
        <w:rPr>
          <w:rFonts w:eastAsia="Calibri" w:cs="Arial"/>
          <w:szCs w:val="22"/>
          <w:lang w:eastAsia="en-US"/>
        </w:rPr>
        <w:t>quality</w:t>
      </w:r>
      <w:r w:rsidRPr="00B11FE7">
        <w:rPr>
          <w:rFonts w:eastAsia="Calibri" w:cs="Arial"/>
          <w:szCs w:val="22"/>
          <w:lang w:eastAsia="en-US"/>
        </w:rPr>
        <w:t xml:space="preserve"> early childhood teachers.</w:t>
      </w:r>
    </w:p>
    <w:p w14:paraId="75AF6B20" w14:textId="61D87145" w:rsidR="00B11FE7" w:rsidRPr="00B11FE7" w:rsidRDefault="00610433" w:rsidP="00842702">
      <w:pPr>
        <w:spacing w:after="240" w:line="259" w:lineRule="auto"/>
        <w:rPr>
          <w:rFonts w:eastAsia="Calibri" w:cs="Arial"/>
          <w:szCs w:val="22"/>
          <w:lang w:eastAsia="en-US"/>
        </w:rPr>
      </w:pPr>
      <w:r>
        <w:rPr>
          <w:rFonts w:eastAsia="Arial"/>
          <w:b/>
          <w:noProof/>
          <w:color w:val="000000"/>
        </w:rPr>
        <mc:AlternateContent>
          <mc:Choice Requires="wps">
            <w:drawing>
              <wp:anchor distT="621665" distB="718185" distL="155575" distR="1707515" simplePos="0" relativeHeight="251659264" behindDoc="1" locked="0" layoutInCell="1" allowOverlap="1" wp14:anchorId="477E44A6" wp14:editId="685BFD9C">
                <wp:simplePos x="0" y="0"/>
                <wp:positionH relativeFrom="margin">
                  <wp:posOffset>2457450</wp:posOffset>
                </wp:positionH>
                <wp:positionV relativeFrom="page">
                  <wp:posOffset>9437370</wp:posOffset>
                </wp:positionV>
                <wp:extent cx="1685290" cy="2101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8E46F" w14:textId="77777777" w:rsidR="00610433" w:rsidRDefault="00610433" w:rsidP="006104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E44A6" id="_x0000_t202" coordsize="21600,21600" o:spt="202" path="m,l,21600r21600,l21600,xe">
                <v:stroke joinstyle="miter"/>
                <v:path gradientshapeok="t" o:connecttype="rect"/>
              </v:shapetype>
              <v:shape id="Text Box 13" o:spid="_x0000_s1026" type="#_x0000_t202" style="position:absolute;margin-left:193.5pt;margin-top:743.1pt;width:132.7pt;height:16.55pt;z-index:-251657216;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" fillcolor="black" stroked="f">
                <v:textbox inset="0,0,0,0">
                  <w:txbxContent>
                    <w:p w14:paraId="3888E46F" w14:textId="77777777" w:rsidR="00610433" w:rsidRDefault="00610433" w:rsidP="00610433"/>
                  </w:txbxContent>
                </v:textbox>
                <w10:wrap anchorx="margin" anchory="page"/>
              </v:shape>
            </w:pict>
          </mc:Fallback>
        </mc:AlternateContent>
      </w:r>
      <w:r w:rsidR="00B11FE7" w:rsidRPr="00B11FE7">
        <w:rPr>
          <w:rFonts w:eastAsia="Calibri" w:cs="Arial"/>
          <w:szCs w:val="22"/>
          <w:lang w:eastAsia="en-US"/>
        </w:rPr>
        <w:t xml:space="preserve">If you would like to discuss our response </w:t>
      </w:r>
      <w:r w:rsidR="002B6ABC">
        <w:rPr>
          <w:rFonts w:eastAsia="Calibri" w:cs="Arial"/>
          <w:szCs w:val="22"/>
          <w:lang w:eastAsia="en-US"/>
        </w:rPr>
        <w:t>in more detail</w:t>
      </w:r>
      <w:r w:rsidR="00B11FE7" w:rsidRPr="00B11FE7">
        <w:rPr>
          <w:rFonts w:eastAsia="Calibri" w:cs="Arial"/>
          <w:szCs w:val="22"/>
          <w:lang w:eastAsia="en-US"/>
        </w:rPr>
        <w:t xml:space="preserve">, or would like further information about ACECQA, please feel free to contact me or Michael Petrie, General Manager of Workforce, Engagement and </w:t>
      </w:r>
      <w:proofErr w:type="gramStart"/>
      <w:r w:rsidR="00B11FE7" w:rsidRPr="00B11FE7">
        <w:rPr>
          <w:rFonts w:eastAsia="Calibri" w:cs="Arial"/>
          <w:szCs w:val="22"/>
          <w:lang w:eastAsia="en-US"/>
        </w:rPr>
        <w:t xml:space="preserve">Research </w:t>
      </w:r>
      <w:r w:rsidR="00757647">
        <w:rPr>
          <w:rFonts w:eastAsia="Calibri" w:cs="Arial"/>
          <w:szCs w:val="22"/>
          <w:lang w:eastAsia="en-US"/>
        </w:rPr>
        <w:t>.</w:t>
      </w:r>
      <w:proofErr w:type="gramEnd"/>
    </w:p>
    <w:p w14:paraId="65ADA548" w14:textId="77777777" w:rsidR="00B11FE7" w:rsidRPr="00B11FE7" w:rsidRDefault="00B11FE7" w:rsidP="00B11FE7">
      <w:pPr>
        <w:spacing w:after="160" w:line="259" w:lineRule="auto"/>
        <w:rPr>
          <w:rFonts w:eastAsia="Calibri" w:cs="Arial"/>
          <w:szCs w:val="22"/>
          <w:lang w:eastAsia="en-US"/>
        </w:rPr>
      </w:pPr>
    </w:p>
    <w:p w14:paraId="51AAA255" w14:textId="77777777" w:rsidR="00B11FE7" w:rsidRPr="00B11FE7" w:rsidRDefault="00B11FE7" w:rsidP="00B11FE7">
      <w:pPr>
        <w:spacing w:after="160" w:line="259" w:lineRule="auto"/>
        <w:rPr>
          <w:rFonts w:eastAsia="Calibri" w:cs="Arial"/>
          <w:szCs w:val="22"/>
          <w:lang w:eastAsia="en-US"/>
        </w:rPr>
      </w:pPr>
      <w:r w:rsidRPr="00B11FE7">
        <w:rPr>
          <w:rFonts w:eastAsia="Calibri" w:cs="Arial"/>
          <w:szCs w:val="22"/>
          <w:lang w:eastAsia="en-US"/>
        </w:rPr>
        <w:t xml:space="preserve">Yours sincerely </w:t>
      </w:r>
    </w:p>
    <w:p w14:paraId="1A22754B" w14:textId="77777777" w:rsidR="00B11FE7" w:rsidRPr="00B11FE7" w:rsidRDefault="00B11FE7" w:rsidP="00B11FE7">
      <w:pPr>
        <w:spacing w:after="160" w:line="259" w:lineRule="auto"/>
        <w:rPr>
          <w:rFonts w:eastAsia="Calibri" w:cs="Arial"/>
          <w:szCs w:val="22"/>
          <w:lang w:eastAsia="en-US"/>
        </w:rPr>
      </w:pPr>
    </w:p>
    <w:p w14:paraId="36FA6CA1" w14:textId="77777777" w:rsidR="00B11FE7" w:rsidRPr="00B11FE7" w:rsidRDefault="00B11FE7" w:rsidP="00B11FE7">
      <w:pPr>
        <w:spacing w:after="160" w:line="259" w:lineRule="auto"/>
        <w:rPr>
          <w:rFonts w:eastAsia="Calibri" w:cs="Arial"/>
          <w:szCs w:val="22"/>
          <w:lang w:eastAsia="en-US"/>
        </w:rPr>
      </w:pPr>
    </w:p>
    <w:p w14:paraId="402620AC" w14:textId="77777777" w:rsidR="00B11FE7" w:rsidRPr="00B11FE7" w:rsidRDefault="00B11FE7" w:rsidP="00B11FE7">
      <w:pPr>
        <w:spacing w:after="160" w:line="259" w:lineRule="auto"/>
        <w:rPr>
          <w:rFonts w:eastAsia="Calibri" w:cs="Arial"/>
          <w:szCs w:val="22"/>
          <w:lang w:eastAsia="en-US"/>
        </w:rPr>
      </w:pPr>
      <w:r w:rsidRPr="00B11FE7">
        <w:rPr>
          <w:rFonts w:eastAsia="Calibri" w:cs="Arial"/>
          <w:szCs w:val="22"/>
          <w:lang w:eastAsia="en-US"/>
        </w:rPr>
        <w:t xml:space="preserve">Gabrielle Sinclair </w:t>
      </w:r>
    </w:p>
    <w:p w14:paraId="11C04B91" w14:textId="77777777" w:rsidR="00B11FE7" w:rsidRPr="00B11FE7" w:rsidRDefault="00B11FE7" w:rsidP="00B11FE7">
      <w:pPr>
        <w:spacing w:after="160" w:line="259" w:lineRule="auto"/>
        <w:rPr>
          <w:rFonts w:eastAsia="Calibri" w:cs="Arial"/>
          <w:szCs w:val="22"/>
          <w:lang w:eastAsia="en-US"/>
        </w:rPr>
      </w:pPr>
      <w:r w:rsidRPr="00B11FE7">
        <w:rPr>
          <w:rFonts w:eastAsia="Calibri" w:cs="Arial"/>
          <w:szCs w:val="22"/>
          <w:lang w:eastAsia="en-US"/>
        </w:rPr>
        <w:t xml:space="preserve">Chief Executive Officer </w:t>
      </w:r>
    </w:p>
    <w:p w14:paraId="191FAE6E" w14:textId="77777777" w:rsidR="00842E12" w:rsidRPr="00B11FE7" w:rsidRDefault="00B3463E" w:rsidP="00B11FE7">
      <w:pPr>
        <w:pStyle w:val="NoSpacing"/>
        <w:rPr>
          <w:rFonts w:cs="Arial"/>
          <w:sz w:val="24"/>
        </w:rPr>
      </w:pPr>
      <w:r>
        <w:rPr>
          <w:rFonts w:eastAsia="Calibri" w:cs="Arial"/>
          <w:szCs w:val="22"/>
          <w:lang w:eastAsia="en-US"/>
        </w:rPr>
        <w:t>16</w:t>
      </w:r>
      <w:r w:rsidR="00B11FE7" w:rsidRPr="00B11FE7">
        <w:rPr>
          <w:rFonts w:eastAsia="Calibri" w:cs="Arial"/>
          <w:szCs w:val="22"/>
          <w:lang w:eastAsia="en-US"/>
        </w:rPr>
        <w:t xml:space="preserve"> July 2021</w:t>
      </w:r>
    </w:p>
    <w:sectPr w:rsidR="00842E12" w:rsidRPr="00B11FE7" w:rsidSect="00744294">
      <w:headerReference w:type="default" r:id="rId19"/>
      <w:footerReference w:type="even" r:id="rId20"/>
      <w:footerReference w:type="default" r:id="rId21"/>
      <w:headerReference w:type="first" r:id="rId22"/>
      <w:footerReference w:type="first" r:id="rId23"/>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12B4E" w14:textId="77777777" w:rsidR="00BB3AE2" w:rsidRDefault="00BB3AE2" w:rsidP="0091777E">
      <w:r>
        <w:separator/>
      </w:r>
    </w:p>
  </w:endnote>
  <w:endnote w:type="continuationSeparator" w:id="0">
    <w:p w14:paraId="0BC4950A" w14:textId="77777777" w:rsidR="00BB3AE2" w:rsidRDefault="00BB3AE2" w:rsidP="0091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C112F" w14:textId="77777777" w:rsidR="00714F66" w:rsidRPr="00744294" w:rsidRDefault="00714F66">
    <w:pPr>
      <w:pStyle w:val="Footer"/>
      <w:rPr>
        <w:i/>
        <w:sz w:val="21"/>
        <w:szCs w:val="21"/>
      </w:rPr>
    </w:pPr>
  </w:p>
  <w:p w14:paraId="717C1429" w14:textId="77777777" w:rsidR="00714F66" w:rsidRPr="00744294" w:rsidRDefault="00714F66">
    <w:pPr>
      <w:rPr>
        <w: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1"/>
        <w:szCs w:val="21"/>
      </w:rPr>
      <w:id w:val="-1397433488"/>
      <w:docPartObj>
        <w:docPartGallery w:val="Page Numbers (Bottom of Page)"/>
        <w:docPartUnique/>
      </w:docPartObj>
    </w:sdtPr>
    <w:sdtEndPr>
      <w:rPr>
        <w:noProof/>
        <w:color w:val="808080" w:themeColor="background1" w:themeShade="80"/>
      </w:rPr>
    </w:sdtEndPr>
    <w:sdtContent>
      <w:p w14:paraId="654EC851" w14:textId="77777777" w:rsidR="00714F66" w:rsidRPr="00744294" w:rsidRDefault="00714F66">
        <w:pPr>
          <w:pStyle w:val="Footer"/>
          <w:jc w:val="right"/>
          <w:rPr>
            <w:i/>
            <w:color w:val="808080" w:themeColor="background1" w:themeShade="80"/>
            <w:sz w:val="21"/>
            <w:szCs w:val="21"/>
          </w:rPr>
        </w:pPr>
        <w:r w:rsidRPr="00744294">
          <w:rPr>
            <w:i/>
            <w:color w:val="7F7F7F" w:themeColor="text1" w:themeTint="80"/>
            <w:sz w:val="21"/>
            <w:szCs w:val="21"/>
          </w:rPr>
          <w:t>Children have the best start in life through high quality early childhood education and care</w:t>
        </w:r>
        <w:r w:rsidRPr="00744294">
          <w:rPr>
            <w:i/>
            <w:sz w:val="21"/>
            <w:szCs w:val="21"/>
          </w:rPr>
          <w:tab/>
        </w:r>
        <w:r w:rsidRPr="00744294">
          <w:rPr>
            <w:i/>
            <w:color w:val="808080" w:themeColor="background1" w:themeShade="80"/>
            <w:sz w:val="21"/>
            <w:szCs w:val="21"/>
          </w:rPr>
          <w:fldChar w:fldCharType="begin"/>
        </w:r>
        <w:r w:rsidRPr="00744294">
          <w:rPr>
            <w:i/>
            <w:color w:val="808080" w:themeColor="background1" w:themeShade="80"/>
            <w:sz w:val="21"/>
            <w:szCs w:val="21"/>
          </w:rPr>
          <w:instrText xml:space="preserve"> PAGE   \* MERGEFORMAT </w:instrText>
        </w:r>
        <w:r w:rsidRPr="00744294">
          <w:rPr>
            <w:i/>
            <w:color w:val="808080" w:themeColor="background1" w:themeShade="80"/>
            <w:sz w:val="21"/>
            <w:szCs w:val="21"/>
          </w:rPr>
          <w:fldChar w:fldCharType="separate"/>
        </w:r>
        <w:r w:rsidR="00911C3F">
          <w:rPr>
            <w:i/>
            <w:noProof/>
            <w:color w:val="808080" w:themeColor="background1" w:themeShade="80"/>
            <w:sz w:val="21"/>
            <w:szCs w:val="21"/>
          </w:rPr>
          <w:t>2</w:t>
        </w:r>
        <w:r w:rsidRPr="00744294">
          <w:rPr>
            <w:i/>
            <w:noProof/>
            <w:color w:val="808080" w:themeColor="background1" w:themeShade="80"/>
            <w:sz w:val="21"/>
            <w:szCs w:val="21"/>
          </w:rPr>
          <w:fldChar w:fldCharType="end"/>
        </w:r>
      </w:p>
    </w:sdtContent>
  </w:sdt>
  <w:p w14:paraId="1A67CB42" w14:textId="77777777" w:rsidR="00714F66" w:rsidRPr="00744294" w:rsidRDefault="00714F66" w:rsidP="00744294">
    <w:pPr>
      <w:pStyle w:val="Footer"/>
      <w:rPr>
        <w:i/>
        <w:color w:val="7F7F7F" w:themeColor="text1" w:themeTint="80"/>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B1F4C" w14:textId="77777777" w:rsidR="00714F66" w:rsidRPr="00744294" w:rsidRDefault="00714F66" w:rsidP="00FB60B6">
    <w:pPr>
      <w:pStyle w:val="Footer"/>
      <w:rPr>
        <w:sz w:val="21"/>
        <w:szCs w:val="21"/>
      </w:rPr>
    </w:pPr>
    <w:r w:rsidRPr="00744294">
      <w:rPr>
        <w:i/>
        <w:color w:val="7F7F7F" w:themeColor="text1" w:themeTint="80"/>
        <w:sz w:val="21"/>
        <w:szCs w:val="21"/>
      </w:rPr>
      <w:t>Children have the best start in life through high quality early childhood education and care</w:t>
    </w:r>
  </w:p>
  <w:p w14:paraId="676C6685" w14:textId="77777777" w:rsidR="00714F66" w:rsidRPr="00FB60B6" w:rsidRDefault="00714F66" w:rsidP="00FB6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60A4" w14:textId="77777777" w:rsidR="00BB3AE2" w:rsidRDefault="00BB3AE2" w:rsidP="0091777E">
      <w:r>
        <w:separator/>
      </w:r>
    </w:p>
  </w:footnote>
  <w:footnote w:type="continuationSeparator" w:id="0">
    <w:p w14:paraId="564868F5" w14:textId="77777777" w:rsidR="00BB3AE2" w:rsidRDefault="00BB3AE2" w:rsidP="00917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1D1D" w14:textId="77777777" w:rsidR="00714F66" w:rsidRDefault="00714F66">
    <w:pPr>
      <w:pStyle w:val="Header"/>
    </w:pPr>
  </w:p>
  <w:p w14:paraId="1CAD97C9" w14:textId="77777777" w:rsidR="00714F66" w:rsidRPr="00744294" w:rsidRDefault="00714F66">
    <w:pPr>
      <w:rPr>
        <w: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839D5" w14:textId="77777777" w:rsidR="00714F66" w:rsidRPr="00744294" w:rsidRDefault="00714F66">
    <w:pPr>
      <w:pStyle w:val="Header"/>
      <w:rPr>
        <w:sz w:val="20"/>
        <w:szCs w:val="20"/>
      </w:rPr>
    </w:pPr>
    <w:r w:rsidRPr="00744294">
      <w:rPr>
        <w:noProof/>
        <w:sz w:val="20"/>
        <w:szCs w:val="20"/>
      </w:rPr>
      <w:drawing>
        <wp:anchor distT="0" distB="0" distL="114300" distR="114300" simplePos="0" relativeHeight="251659264" behindDoc="0" locked="0" layoutInCell="1" allowOverlap="1" wp14:anchorId="6D4A2FB0" wp14:editId="52145BE9">
          <wp:simplePos x="0" y="0"/>
          <wp:positionH relativeFrom="page">
            <wp:align>left</wp:align>
          </wp:positionH>
          <wp:positionV relativeFrom="page">
            <wp:posOffset>9525</wp:posOffset>
          </wp:positionV>
          <wp:extent cx="7590790" cy="16122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With ABN.jpg"/>
                  <pic:cNvPicPr/>
                </pic:nvPicPr>
                <pic:blipFill>
                  <a:blip r:embed="rId1">
                    <a:extLst>
                      <a:ext uri="{28A0092B-C50C-407E-A947-70E740481C1C}">
                        <a14:useLocalDpi xmlns:a14="http://schemas.microsoft.com/office/drawing/2010/main" val="0"/>
                      </a:ext>
                    </a:extLst>
                  </a:blip>
                  <a:stretch>
                    <a:fillRect/>
                  </a:stretch>
                </pic:blipFill>
                <pic:spPr>
                  <a:xfrm>
                    <a:off x="0" y="0"/>
                    <a:ext cx="7590790" cy="1612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11EA"/>
    <w:multiLevelType w:val="multilevel"/>
    <w:tmpl w:val="BA4688D0"/>
    <w:numStyleLink w:val="GarryBullets"/>
  </w:abstractNum>
  <w:abstractNum w:abstractNumId="1" w15:restartNumberingAfterBreak="0">
    <w:nsid w:val="09650752"/>
    <w:multiLevelType w:val="multilevel"/>
    <w:tmpl w:val="BA4688D0"/>
    <w:styleLink w:val="Garry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425"/>
        </w:tabs>
        <w:ind w:left="851" w:hanging="426"/>
      </w:pPr>
      <w:rPr>
        <w:rFonts w:ascii="Symbol" w:hAnsi="Symbol" w:hint="default"/>
        <w:color w:val="auto"/>
      </w:rPr>
    </w:lvl>
    <w:lvl w:ilvl="3">
      <w:start w:val="1"/>
      <w:numFmt w:val="bullet"/>
      <w:lvlText w:val=""/>
      <w:lvlJc w:val="left"/>
      <w:pPr>
        <w:tabs>
          <w:tab w:val="num" w:pos="425"/>
        </w:tabs>
        <w:ind w:left="851" w:hanging="426"/>
      </w:pPr>
      <w:rPr>
        <w:rFonts w:ascii="Symbol" w:hAnsi="Symbol" w:hint="default"/>
        <w:color w:val="auto"/>
      </w:rPr>
    </w:lvl>
    <w:lvl w:ilvl="4">
      <w:start w:val="1"/>
      <w:numFmt w:val="bullet"/>
      <w:lvlText w:val=""/>
      <w:lvlJc w:val="left"/>
      <w:pPr>
        <w:tabs>
          <w:tab w:val="num" w:pos="425"/>
        </w:tabs>
        <w:ind w:left="851" w:hanging="426"/>
      </w:pPr>
      <w:rPr>
        <w:rFonts w:ascii="Symbol" w:hAnsi="Symbol" w:hint="default"/>
        <w:color w:val="auto"/>
      </w:rPr>
    </w:lvl>
    <w:lvl w:ilvl="5">
      <w:start w:val="1"/>
      <w:numFmt w:val="bullet"/>
      <w:lvlText w:val=""/>
      <w:lvlJc w:val="left"/>
      <w:pPr>
        <w:tabs>
          <w:tab w:val="num" w:pos="425"/>
        </w:tabs>
        <w:ind w:left="851" w:hanging="426"/>
      </w:pPr>
      <w:rPr>
        <w:rFonts w:ascii="Symbol" w:hAnsi="Symbol" w:hint="default"/>
        <w:color w:val="auto"/>
      </w:rPr>
    </w:lvl>
    <w:lvl w:ilvl="6">
      <w:start w:val="1"/>
      <w:numFmt w:val="bullet"/>
      <w:lvlText w:val=""/>
      <w:lvlJc w:val="left"/>
      <w:pPr>
        <w:tabs>
          <w:tab w:val="num" w:pos="425"/>
        </w:tabs>
        <w:ind w:left="851" w:hanging="426"/>
      </w:pPr>
      <w:rPr>
        <w:rFonts w:ascii="Symbol" w:hAnsi="Symbol" w:hint="default"/>
        <w:color w:val="auto"/>
      </w:rPr>
    </w:lvl>
    <w:lvl w:ilvl="7">
      <w:start w:val="1"/>
      <w:numFmt w:val="bullet"/>
      <w:lvlText w:val=""/>
      <w:lvlJc w:val="left"/>
      <w:pPr>
        <w:tabs>
          <w:tab w:val="num" w:pos="425"/>
        </w:tabs>
        <w:ind w:left="851" w:hanging="426"/>
      </w:pPr>
      <w:rPr>
        <w:rFonts w:ascii="Symbol" w:hAnsi="Symbol" w:hint="default"/>
        <w:color w:val="auto"/>
      </w:rPr>
    </w:lvl>
    <w:lvl w:ilvl="8">
      <w:start w:val="1"/>
      <w:numFmt w:val="bullet"/>
      <w:lvlText w:val=""/>
      <w:lvlJc w:val="left"/>
      <w:pPr>
        <w:tabs>
          <w:tab w:val="num" w:pos="425"/>
        </w:tabs>
        <w:ind w:left="851" w:hanging="426"/>
      </w:pPr>
      <w:rPr>
        <w:rFonts w:ascii="Symbol" w:hAnsi="Symbol" w:hint="default"/>
        <w:color w:val="auto"/>
      </w:rPr>
    </w:lvl>
  </w:abstractNum>
  <w:abstractNum w:abstractNumId="2" w15:restartNumberingAfterBreak="0">
    <w:nsid w:val="2A606C13"/>
    <w:multiLevelType w:val="multilevel"/>
    <w:tmpl w:val="79620B7C"/>
    <w:styleLink w:val="GarryNumbers"/>
    <w:lvl w:ilvl="0">
      <w:start w:val="1"/>
      <w:numFmt w:val="decimal"/>
      <w:pStyle w:val="ListNumber"/>
      <w:lvlText w:val="%1."/>
      <w:lvlJc w:val="left"/>
      <w:pPr>
        <w:ind w:left="425" w:hanging="425"/>
      </w:pPr>
      <w:rPr>
        <w:rFonts w:hint="default"/>
      </w:rPr>
    </w:lvl>
    <w:lvl w:ilvl="1">
      <w:start w:val="1"/>
      <w:numFmt w:val="decimal"/>
      <w:pStyle w:val="ListNumber2"/>
      <w:lvlText w:val="%2."/>
      <w:lvlJc w:val="left"/>
      <w:pPr>
        <w:ind w:left="850" w:hanging="425"/>
      </w:pPr>
      <w:rPr>
        <w:rFonts w:hint="default"/>
      </w:rPr>
    </w:lvl>
    <w:lvl w:ilvl="2">
      <w:start w:val="1"/>
      <w:numFmt w:val="decimal"/>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decimal"/>
      <w:pStyle w:val="ListNumber5"/>
      <w:lvlText w:val="%5."/>
      <w:lvlJc w:val="left"/>
      <w:pPr>
        <w:ind w:left="2125" w:hanging="425"/>
      </w:pPr>
      <w:rPr>
        <w:rFonts w:hint="default"/>
      </w:rPr>
    </w:lvl>
    <w:lvl w:ilvl="5">
      <w:start w:val="1"/>
      <w:numFmt w:val="decimal"/>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decimal"/>
      <w:lvlText w:val="%8."/>
      <w:lvlJc w:val="left"/>
      <w:pPr>
        <w:ind w:left="3400" w:hanging="425"/>
      </w:pPr>
      <w:rPr>
        <w:rFonts w:hint="default"/>
      </w:rPr>
    </w:lvl>
    <w:lvl w:ilvl="8">
      <w:start w:val="1"/>
      <w:numFmt w:val="decimal"/>
      <w:lvlText w:val="%9."/>
      <w:lvlJc w:val="left"/>
      <w:pPr>
        <w:ind w:left="3825" w:hanging="425"/>
      </w:pPr>
      <w:rPr>
        <w:rFonts w:hint="default"/>
      </w:rPr>
    </w:lvl>
  </w:abstractNum>
  <w:abstractNum w:abstractNumId="3" w15:restartNumberingAfterBreak="0">
    <w:nsid w:val="5DD90B73"/>
    <w:multiLevelType w:val="multilevel"/>
    <w:tmpl w:val="79620B7C"/>
    <w:numStyleLink w:val="GarryNumbers"/>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E7"/>
    <w:rsid w:val="00031141"/>
    <w:rsid w:val="00085FA7"/>
    <w:rsid w:val="000B0E5C"/>
    <w:rsid w:val="000F0BBB"/>
    <w:rsid w:val="000F7C88"/>
    <w:rsid w:val="001C7DA3"/>
    <w:rsid w:val="001E653C"/>
    <w:rsid w:val="002B6ABC"/>
    <w:rsid w:val="002D0DE5"/>
    <w:rsid w:val="003451A3"/>
    <w:rsid w:val="00370A48"/>
    <w:rsid w:val="003739AD"/>
    <w:rsid w:val="00396600"/>
    <w:rsid w:val="003A1A94"/>
    <w:rsid w:val="0041469B"/>
    <w:rsid w:val="00427F0D"/>
    <w:rsid w:val="004F2743"/>
    <w:rsid w:val="004F3FA1"/>
    <w:rsid w:val="004F5CB6"/>
    <w:rsid w:val="005213DC"/>
    <w:rsid w:val="005461BD"/>
    <w:rsid w:val="00556133"/>
    <w:rsid w:val="00573F93"/>
    <w:rsid w:val="00610433"/>
    <w:rsid w:val="006308C2"/>
    <w:rsid w:val="00683407"/>
    <w:rsid w:val="00696453"/>
    <w:rsid w:val="006C0CF5"/>
    <w:rsid w:val="006C5E9D"/>
    <w:rsid w:val="006D7FA6"/>
    <w:rsid w:val="00714CF2"/>
    <w:rsid w:val="00714F66"/>
    <w:rsid w:val="00744294"/>
    <w:rsid w:val="00757647"/>
    <w:rsid w:val="0078421E"/>
    <w:rsid w:val="00785D8E"/>
    <w:rsid w:val="007A13B8"/>
    <w:rsid w:val="007A58EC"/>
    <w:rsid w:val="007F57F8"/>
    <w:rsid w:val="00811969"/>
    <w:rsid w:val="00842702"/>
    <w:rsid w:val="00842E12"/>
    <w:rsid w:val="008C11D4"/>
    <w:rsid w:val="008C5C84"/>
    <w:rsid w:val="008D58CC"/>
    <w:rsid w:val="008D66B3"/>
    <w:rsid w:val="00911C3F"/>
    <w:rsid w:val="009174B3"/>
    <w:rsid w:val="0091777E"/>
    <w:rsid w:val="00936265"/>
    <w:rsid w:val="00980BC1"/>
    <w:rsid w:val="009B0021"/>
    <w:rsid w:val="009D19DB"/>
    <w:rsid w:val="009D78ED"/>
    <w:rsid w:val="009F212F"/>
    <w:rsid w:val="00A60C31"/>
    <w:rsid w:val="00A678FF"/>
    <w:rsid w:val="00A9053B"/>
    <w:rsid w:val="00AA7618"/>
    <w:rsid w:val="00B11FE7"/>
    <w:rsid w:val="00B13ED7"/>
    <w:rsid w:val="00B3463E"/>
    <w:rsid w:val="00B35A35"/>
    <w:rsid w:val="00B82185"/>
    <w:rsid w:val="00BB3AE2"/>
    <w:rsid w:val="00BC469F"/>
    <w:rsid w:val="00C30721"/>
    <w:rsid w:val="00CA324F"/>
    <w:rsid w:val="00CC04F6"/>
    <w:rsid w:val="00D034F9"/>
    <w:rsid w:val="00D90B9C"/>
    <w:rsid w:val="00D94699"/>
    <w:rsid w:val="00E1250C"/>
    <w:rsid w:val="00E14E3D"/>
    <w:rsid w:val="00E2066C"/>
    <w:rsid w:val="00E647A0"/>
    <w:rsid w:val="00E7331E"/>
    <w:rsid w:val="00EB0DD8"/>
    <w:rsid w:val="00F11B2A"/>
    <w:rsid w:val="00F31A68"/>
    <w:rsid w:val="00F841F8"/>
    <w:rsid w:val="00F900CC"/>
    <w:rsid w:val="00F96B65"/>
    <w:rsid w:val="00FA48B2"/>
    <w:rsid w:val="00FB1EA7"/>
    <w:rsid w:val="00FB60B6"/>
    <w:rsid w:val="00FD67D8"/>
    <w:rsid w:val="00FE40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7F2DE7"/>
  <w15:docId w15:val="{1D6F9A4E-D590-429C-8D76-3A1050BC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4CF2"/>
    <w:pPr>
      <w:spacing w:after="0" w:line="240" w:lineRule="auto"/>
    </w:pPr>
    <w:rPr>
      <w:rFonts w:ascii="Arial" w:eastAsia="Times New Roman" w:hAnsi="Arial" w:cs="Times New Roman"/>
      <w:szCs w:val="24"/>
      <w:lang w:eastAsia="en-AU"/>
    </w:rPr>
  </w:style>
  <w:style w:type="paragraph" w:styleId="Heading1">
    <w:name w:val="heading 1"/>
    <w:basedOn w:val="Normal"/>
    <w:next w:val="BodyText"/>
    <w:link w:val="Heading1Char"/>
    <w:uiPriority w:val="9"/>
    <w:qFormat/>
    <w:rsid w:val="00714CF2"/>
    <w:pPr>
      <w:widowControl w:val="0"/>
      <w:spacing w:before="480"/>
      <w:outlineLvl w:val="0"/>
    </w:pPr>
    <w:rPr>
      <w:rFonts w:eastAsiaTheme="majorEastAsia" w:cstheme="majorBidi"/>
      <w:b/>
      <w:bCs/>
      <w:sz w:val="32"/>
      <w:szCs w:val="28"/>
    </w:rPr>
  </w:style>
  <w:style w:type="paragraph" w:styleId="Heading2">
    <w:name w:val="heading 2"/>
    <w:basedOn w:val="Heading1"/>
    <w:next w:val="BodyText"/>
    <w:link w:val="Heading2Char"/>
    <w:uiPriority w:val="9"/>
    <w:unhideWhenUsed/>
    <w:qFormat/>
    <w:rsid w:val="00714CF2"/>
    <w:pPr>
      <w:keepNext/>
      <w:keepLines/>
      <w:spacing w:before="200"/>
      <w:outlineLvl w:val="1"/>
    </w:pPr>
    <w:rPr>
      <w:rFonts w:ascii="Arial Bold" w:hAnsi="Arial Bold"/>
      <w:b w:val="0"/>
      <w:bCs w:val="0"/>
      <w:color w:val="00B050"/>
      <w:sz w:val="28"/>
      <w:szCs w:val="26"/>
    </w:rPr>
  </w:style>
  <w:style w:type="paragraph" w:styleId="Heading3">
    <w:name w:val="heading 3"/>
    <w:basedOn w:val="Heading2"/>
    <w:next w:val="BodyText"/>
    <w:link w:val="Heading3Char"/>
    <w:uiPriority w:val="9"/>
    <w:unhideWhenUsed/>
    <w:qFormat/>
    <w:rsid w:val="00714CF2"/>
    <w:pPr>
      <w:outlineLvl w:val="2"/>
    </w:pPr>
    <w:rPr>
      <w:rFonts w:ascii="Arial" w:hAnsi="Arial"/>
      <w:b/>
      <w:bCs/>
      <w:color w:val="0067A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77E"/>
    <w:pPr>
      <w:tabs>
        <w:tab w:val="center" w:pos="4513"/>
        <w:tab w:val="right" w:pos="9026"/>
      </w:tabs>
    </w:pPr>
  </w:style>
  <w:style w:type="character" w:customStyle="1" w:styleId="HeaderChar">
    <w:name w:val="Header Char"/>
    <w:basedOn w:val="DefaultParagraphFont"/>
    <w:link w:val="Header"/>
    <w:rsid w:val="0091777E"/>
  </w:style>
  <w:style w:type="paragraph" w:styleId="Footer">
    <w:name w:val="footer"/>
    <w:basedOn w:val="Normal"/>
    <w:link w:val="FooterChar"/>
    <w:uiPriority w:val="99"/>
    <w:unhideWhenUsed/>
    <w:rsid w:val="0091777E"/>
    <w:pPr>
      <w:tabs>
        <w:tab w:val="center" w:pos="4513"/>
        <w:tab w:val="right" w:pos="9026"/>
      </w:tabs>
    </w:pPr>
  </w:style>
  <w:style w:type="character" w:customStyle="1" w:styleId="FooterChar">
    <w:name w:val="Footer Char"/>
    <w:basedOn w:val="DefaultParagraphFont"/>
    <w:link w:val="Footer"/>
    <w:uiPriority w:val="99"/>
    <w:rsid w:val="0091777E"/>
  </w:style>
  <w:style w:type="paragraph" w:styleId="BalloonText">
    <w:name w:val="Balloon Text"/>
    <w:basedOn w:val="Normal"/>
    <w:link w:val="BalloonTextChar"/>
    <w:uiPriority w:val="99"/>
    <w:semiHidden/>
    <w:unhideWhenUsed/>
    <w:rsid w:val="0091777E"/>
    <w:rPr>
      <w:rFonts w:ascii="Tahoma" w:hAnsi="Tahoma" w:cs="Tahoma"/>
      <w:sz w:val="16"/>
      <w:szCs w:val="16"/>
    </w:rPr>
  </w:style>
  <w:style w:type="character" w:customStyle="1" w:styleId="BalloonTextChar">
    <w:name w:val="Balloon Text Char"/>
    <w:basedOn w:val="DefaultParagraphFont"/>
    <w:link w:val="BalloonText"/>
    <w:uiPriority w:val="99"/>
    <w:semiHidden/>
    <w:rsid w:val="0091777E"/>
    <w:rPr>
      <w:rFonts w:ascii="Tahoma" w:hAnsi="Tahoma" w:cs="Tahoma"/>
      <w:sz w:val="16"/>
      <w:szCs w:val="16"/>
    </w:rPr>
  </w:style>
  <w:style w:type="character" w:customStyle="1" w:styleId="Heading1Char">
    <w:name w:val="Heading 1 Char"/>
    <w:basedOn w:val="DefaultParagraphFont"/>
    <w:link w:val="Heading1"/>
    <w:uiPriority w:val="9"/>
    <w:rsid w:val="00714CF2"/>
    <w:rPr>
      <w:rFonts w:ascii="Arial" w:eastAsiaTheme="majorEastAsia" w:hAnsi="Arial" w:cstheme="majorBidi"/>
      <w:b/>
      <w:bCs/>
      <w:sz w:val="32"/>
      <w:szCs w:val="28"/>
      <w:lang w:eastAsia="en-AU"/>
    </w:rPr>
  </w:style>
  <w:style w:type="character" w:customStyle="1" w:styleId="Heading2Char">
    <w:name w:val="Heading 2 Char"/>
    <w:basedOn w:val="DefaultParagraphFont"/>
    <w:link w:val="Heading2"/>
    <w:uiPriority w:val="9"/>
    <w:rsid w:val="00714CF2"/>
    <w:rPr>
      <w:rFonts w:ascii="Arial Bold" w:eastAsiaTheme="majorEastAsia" w:hAnsi="Arial Bold" w:cstheme="majorBidi"/>
      <w:color w:val="00B050"/>
      <w:sz w:val="28"/>
      <w:szCs w:val="26"/>
      <w:lang w:eastAsia="en-AU"/>
    </w:rPr>
  </w:style>
  <w:style w:type="character" w:customStyle="1" w:styleId="Heading3Char">
    <w:name w:val="Heading 3 Char"/>
    <w:basedOn w:val="DefaultParagraphFont"/>
    <w:link w:val="Heading3"/>
    <w:uiPriority w:val="9"/>
    <w:rsid w:val="00714CF2"/>
    <w:rPr>
      <w:rFonts w:ascii="Arial" w:eastAsiaTheme="majorEastAsia" w:hAnsi="Arial" w:cstheme="majorBidi"/>
      <w:b/>
      <w:bCs/>
      <w:color w:val="0067AC"/>
      <w:sz w:val="26"/>
      <w:szCs w:val="26"/>
      <w:lang w:eastAsia="en-AU"/>
    </w:rPr>
  </w:style>
  <w:style w:type="paragraph" w:styleId="BodyText">
    <w:name w:val="Body Text"/>
    <w:basedOn w:val="Normal"/>
    <w:link w:val="BodyTextChar"/>
    <w:uiPriority w:val="99"/>
    <w:qFormat/>
    <w:rsid w:val="00714CF2"/>
    <w:pPr>
      <w:tabs>
        <w:tab w:val="left" w:pos="1985"/>
      </w:tabs>
      <w:spacing w:after="210"/>
    </w:pPr>
    <w:rPr>
      <w:rFonts w:eastAsia="Batang"/>
      <w:sz w:val="24"/>
      <w:szCs w:val="20"/>
      <w:lang w:eastAsia="ko-KR"/>
    </w:rPr>
  </w:style>
  <w:style w:type="character" w:customStyle="1" w:styleId="BodyTextChar">
    <w:name w:val="Body Text Char"/>
    <w:basedOn w:val="DefaultParagraphFont"/>
    <w:link w:val="BodyText"/>
    <w:uiPriority w:val="99"/>
    <w:rsid w:val="00714CF2"/>
    <w:rPr>
      <w:rFonts w:ascii="Arial" w:eastAsia="Batang" w:hAnsi="Arial" w:cs="Times New Roman"/>
      <w:sz w:val="24"/>
      <w:szCs w:val="20"/>
      <w:lang w:eastAsia="ko-KR"/>
    </w:rPr>
  </w:style>
  <w:style w:type="paragraph" w:customStyle="1" w:styleId="Logo">
    <w:name w:val="Logo"/>
    <w:basedOn w:val="Header"/>
    <w:rsid w:val="00714CF2"/>
    <w:pPr>
      <w:tabs>
        <w:tab w:val="clear" w:pos="4513"/>
        <w:tab w:val="clear" w:pos="9026"/>
        <w:tab w:val="left" w:pos="1985"/>
      </w:tabs>
      <w:spacing w:after="210"/>
    </w:pPr>
    <w:rPr>
      <w:rFonts w:eastAsia="Batang"/>
      <w:sz w:val="24"/>
      <w:szCs w:val="20"/>
      <w:lang w:eastAsia="ko-KR"/>
    </w:rPr>
  </w:style>
  <w:style w:type="paragraph" w:styleId="Date">
    <w:name w:val="Date"/>
    <w:basedOn w:val="BodyText"/>
    <w:link w:val="DateChar"/>
    <w:rsid w:val="00714CF2"/>
    <w:pPr>
      <w:jc w:val="right"/>
    </w:pPr>
  </w:style>
  <w:style w:type="character" w:customStyle="1" w:styleId="DateChar">
    <w:name w:val="Date Char"/>
    <w:basedOn w:val="DefaultParagraphFont"/>
    <w:link w:val="Date"/>
    <w:rsid w:val="00714CF2"/>
    <w:rPr>
      <w:rFonts w:ascii="Arial" w:eastAsia="Batang" w:hAnsi="Arial" w:cs="Times New Roman"/>
      <w:sz w:val="24"/>
      <w:szCs w:val="20"/>
      <w:lang w:eastAsia="ko-KR"/>
    </w:rPr>
  </w:style>
  <w:style w:type="paragraph" w:customStyle="1" w:styleId="Item">
    <w:name w:val="Item"/>
    <w:basedOn w:val="BodyText"/>
    <w:rsid w:val="00714CF2"/>
    <w:pPr>
      <w:spacing w:after="60"/>
      <w:ind w:left="1985" w:hanging="1985"/>
    </w:pPr>
  </w:style>
  <w:style w:type="character" w:styleId="Strong">
    <w:name w:val="Strong"/>
    <w:basedOn w:val="DefaultParagraphFont"/>
    <w:uiPriority w:val="22"/>
    <w:qFormat/>
    <w:rsid w:val="00714CF2"/>
    <w:rPr>
      <w:b/>
      <w:bCs/>
    </w:rPr>
  </w:style>
  <w:style w:type="paragraph" w:styleId="ListNumber">
    <w:name w:val="List Number"/>
    <w:basedOn w:val="BodyText"/>
    <w:uiPriority w:val="99"/>
    <w:rsid w:val="00714CF2"/>
    <w:pPr>
      <w:numPr>
        <w:numId w:val="4"/>
      </w:numPr>
      <w:tabs>
        <w:tab w:val="clear" w:pos="1985"/>
      </w:tabs>
    </w:pPr>
  </w:style>
  <w:style w:type="paragraph" w:styleId="ListNumber2">
    <w:name w:val="List Number 2"/>
    <w:basedOn w:val="BodyText"/>
    <w:uiPriority w:val="99"/>
    <w:qFormat/>
    <w:rsid w:val="00714CF2"/>
    <w:pPr>
      <w:numPr>
        <w:ilvl w:val="1"/>
        <w:numId w:val="4"/>
      </w:numPr>
    </w:pPr>
  </w:style>
  <w:style w:type="paragraph" w:styleId="ListNumber3">
    <w:name w:val="List Number 3"/>
    <w:basedOn w:val="BodyText"/>
    <w:qFormat/>
    <w:rsid w:val="00714CF2"/>
    <w:pPr>
      <w:numPr>
        <w:ilvl w:val="2"/>
        <w:numId w:val="4"/>
      </w:numPr>
    </w:pPr>
  </w:style>
  <w:style w:type="paragraph" w:styleId="ListNumber4">
    <w:name w:val="List Number 4"/>
    <w:basedOn w:val="BodyText"/>
    <w:rsid w:val="00714CF2"/>
    <w:pPr>
      <w:numPr>
        <w:ilvl w:val="3"/>
        <w:numId w:val="4"/>
      </w:numPr>
      <w:contextualSpacing/>
    </w:pPr>
  </w:style>
  <w:style w:type="numbering" w:customStyle="1" w:styleId="GarryNumbers">
    <w:name w:val="Garry Numbers"/>
    <w:uiPriority w:val="99"/>
    <w:rsid w:val="00714CF2"/>
    <w:pPr>
      <w:numPr>
        <w:numId w:val="4"/>
      </w:numPr>
    </w:pPr>
  </w:style>
  <w:style w:type="paragraph" w:customStyle="1" w:styleId="Subheading">
    <w:name w:val="Subheading"/>
    <w:basedOn w:val="BodyText"/>
    <w:next w:val="BodyText"/>
    <w:rsid w:val="00714CF2"/>
    <w:pPr>
      <w:spacing w:before="200" w:after="0"/>
    </w:pPr>
    <w:rPr>
      <w:b/>
    </w:rPr>
  </w:style>
  <w:style w:type="paragraph" w:styleId="ListBullet">
    <w:name w:val="List Bullet"/>
    <w:basedOn w:val="BodyText"/>
    <w:uiPriority w:val="99"/>
    <w:qFormat/>
    <w:rsid w:val="00714CF2"/>
    <w:pPr>
      <w:numPr>
        <w:numId w:val="3"/>
      </w:numPr>
      <w:contextualSpacing/>
    </w:pPr>
  </w:style>
  <w:style w:type="paragraph" w:styleId="ListBullet2">
    <w:name w:val="List Bullet 2"/>
    <w:basedOn w:val="BodyText"/>
    <w:uiPriority w:val="99"/>
    <w:qFormat/>
    <w:rsid w:val="00714CF2"/>
    <w:pPr>
      <w:numPr>
        <w:ilvl w:val="1"/>
        <w:numId w:val="3"/>
      </w:numPr>
    </w:pPr>
  </w:style>
  <w:style w:type="numbering" w:customStyle="1" w:styleId="GarryBullets">
    <w:name w:val="Garry Bullets"/>
    <w:uiPriority w:val="99"/>
    <w:locked/>
    <w:rsid w:val="00714CF2"/>
    <w:pPr>
      <w:numPr>
        <w:numId w:val="2"/>
      </w:numPr>
    </w:pPr>
  </w:style>
  <w:style w:type="paragraph" w:customStyle="1" w:styleId="ItemBold">
    <w:name w:val="Item Bold"/>
    <w:basedOn w:val="Item"/>
    <w:rsid w:val="00714CF2"/>
    <w:rPr>
      <w:b/>
    </w:rPr>
  </w:style>
  <w:style w:type="paragraph" w:styleId="ListNumber5">
    <w:name w:val="List Number 5"/>
    <w:basedOn w:val="Normal"/>
    <w:rsid w:val="00714CF2"/>
    <w:pPr>
      <w:numPr>
        <w:ilvl w:val="4"/>
        <w:numId w:val="4"/>
      </w:numPr>
      <w:contextualSpacing/>
    </w:pPr>
  </w:style>
  <w:style w:type="paragraph" w:customStyle="1" w:styleId="SubjectBlock">
    <w:name w:val="Subject Block"/>
    <w:basedOn w:val="BodyText"/>
    <w:rsid w:val="00714CF2"/>
  </w:style>
  <w:style w:type="paragraph" w:customStyle="1" w:styleId="AddressBlock">
    <w:name w:val="Address Block"/>
    <w:basedOn w:val="BodyText"/>
    <w:qFormat/>
    <w:rsid w:val="00714CF2"/>
    <w:pPr>
      <w:spacing w:after="0"/>
    </w:pPr>
  </w:style>
  <w:style w:type="paragraph" w:customStyle="1" w:styleId="LetterBlock">
    <w:name w:val="Letter Block"/>
    <w:basedOn w:val="BodyText"/>
    <w:qFormat/>
    <w:rsid w:val="00714CF2"/>
  </w:style>
  <w:style w:type="character" w:styleId="Emphasis">
    <w:name w:val="Emphasis"/>
    <w:basedOn w:val="DefaultParagraphFont"/>
    <w:qFormat/>
    <w:rsid w:val="00714CF2"/>
    <w:rPr>
      <w:i/>
      <w:iCs/>
    </w:rPr>
  </w:style>
  <w:style w:type="paragraph" w:styleId="NoSpacing">
    <w:name w:val="No Spacing"/>
    <w:uiPriority w:val="1"/>
    <w:qFormat/>
    <w:rsid w:val="0078421E"/>
    <w:pPr>
      <w:spacing w:after="0" w:line="240" w:lineRule="auto"/>
    </w:pPr>
    <w:rPr>
      <w:rFonts w:ascii="Arial" w:eastAsia="Times New Roman" w:hAnsi="Arial" w:cs="Times New Roman"/>
      <w:szCs w:val="24"/>
      <w:lang w:eastAsia="en-AU"/>
    </w:rPr>
  </w:style>
  <w:style w:type="character" w:styleId="Hyperlink">
    <w:name w:val="Hyperlink"/>
    <w:basedOn w:val="DefaultParagraphFont"/>
    <w:uiPriority w:val="99"/>
    <w:unhideWhenUsed/>
    <w:rsid w:val="00B11F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550208">
      <w:bodyDiv w:val="1"/>
      <w:marLeft w:val="0"/>
      <w:marRight w:val="0"/>
      <w:marTop w:val="0"/>
      <w:marBottom w:val="0"/>
      <w:divBdr>
        <w:top w:val="none" w:sz="0" w:space="0" w:color="auto"/>
        <w:left w:val="none" w:sz="0" w:space="0" w:color="auto"/>
        <w:bottom w:val="none" w:sz="0" w:space="0" w:color="auto"/>
        <w:right w:val="none" w:sz="0" w:space="0" w:color="auto"/>
      </w:divBdr>
    </w:div>
    <w:div w:id="8551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itereview.dese.gov.au/" TargetMode="External"/><Relationship Id="rId13" Type="http://schemas.openxmlformats.org/officeDocument/2006/relationships/hyperlink" Target="https://www.aitsl.edu.au/tools-resources/resource/accreditation-of-initial-teacher-education-programs-in-australia---standards-and-procedures" TargetMode="External"/><Relationship Id="rId18" Type="http://schemas.openxmlformats.org/officeDocument/2006/relationships/hyperlink" Target="https://www.acecqa.gov.au/national-workforce-strateg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cecqa.gov.au/qualifications/early-childhood-teacher-registration-and-accreditation" TargetMode="External"/><Relationship Id="rId17" Type="http://schemas.openxmlformats.org/officeDocument/2006/relationships/hyperlink" Target="https://www.aitsl.edu.au/deliver-ite-programs/teaching-performance-assess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itsl.edu.au/deliver-ite-programs/learn-about-ite-accreditation-reform/primary-specialis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agepub.com/doi/abs/10.1177/183693911984145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education.gov.au/system/files/doc/other/action_now_classroom_ready_teachers_accessible.pdf" TargetMode="External"/><Relationship Id="rId23" Type="http://schemas.openxmlformats.org/officeDocument/2006/relationships/footer" Target="footer3.xml"/><Relationship Id="rId10" Type="http://schemas.openxmlformats.org/officeDocument/2006/relationships/hyperlink" Target="https://lmip.gov.au/default.aspx?LMIP/EmploymentProjectio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pshots.acecqa.gov.au/workforcedata/supply.html" TargetMode="External"/><Relationship Id="rId14" Type="http://schemas.openxmlformats.org/officeDocument/2006/relationships/hyperlink" Target="https://www.acecqa.gov.au/qualifications/assessment/approval/early-childhood"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090E-9605-4036-9B2E-1C432EA6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ACECQA</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Richards</dc:creator>
  <cp:lastModifiedBy>MEGEID,Sheryn</cp:lastModifiedBy>
  <cp:revision>6</cp:revision>
  <cp:lastPrinted>2022-03-03T23:58:00Z</cp:lastPrinted>
  <dcterms:created xsi:type="dcterms:W3CDTF">2021-07-16T06:48:00Z</dcterms:created>
  <dcterms:modified xsi:type="dcterms:W3CDTF">2022-03-03T23:58:00Z</dcterms:modified>
</cp:coreProperties>
</file>