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91BFC" w14:textId="77777777" w:rsidR="007C0960" w:rsidRPr="00DE7F42" w:rsidRDefault="007C0960" w:rsidP="007C0960">
      <w:pPr>
        <w:spacing w:before="192" w:line="360" w:lineRule="auto"/>
        <w:jc w:val="center"/>
      </w:pPr>
      <w:r>
        <w:rPr>
          <w:noProof/>
          <w:lang w:eastAsia="en-AU"/>
        </w:rPr>
        <w:drawing>
          <wp:inline distT="114300" distB="114300" distL="114300" distR="114300" wp14:anchorId="03712007" wp14:editId="25E655C1">
            <wp:extent cx="4872038" cy="103062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4872038" cy="1030623"/>
                    </a:xfrm>
                    <a:prstGeom prst="rect">
                      <a:avLst/>
                    </a:prstGeom>
                    <a:ln/>
                  </pic:spPr>
                </pic:pic>
              </a:graphicData>
            </a:graphic>
          </wp:inline>
        </w:drawing>
      </w:r>
    </w:p>
    <w:p w14:paraId="25F34B92" w14:textId="77777777" w:rsidR="007C0960" w:rsidRDefault="007C0960" w:rsidP="007C0960">
      <w:pPr>
        <w:pStyle w:val="Heading1"/>
        <w:keepNext w:val="0"/>
        <w:keepLines w:val="0"/>
        <w:spacing w:before="20" w:after="240"/>
        <w:jc w:val="both"/>
        <w:rPr>
          <w:b/>
          <w:color w:val="92D050"/>
          <w:sz w:val="32"/>
          <w:szCs w:val="32"/>
        </w:rPr>
      </w:pPr>
      <w:bookmarkStart w:id="0" w:name="_jtdtq3rkxw8h" w:colFirst="0" w:colLast="0"/>
      <w:bookmarkEnd w:id="0"/>
    </w:p>
    <w:p w14:paraId="01A6DC49" w14:textId="77777777" w:rsidR="007C0960" w:rsidRDefault="007C0960" w:rsidP="006408D7">
      <w:pPr>
        <w:pStyle w:val="Heading1"/>
        <w:keepNext w:val="0"/>
        <w:keepLines w:val="0"/>
        <w:spacing w:before="20" w:after="240" w:line="360" w:lineRule="auto"/>
        <w:ind w:left="357" w:firstLine="0"/>
        <w:jc w:val="center"/>
      </w:pPr>
      <w:bookmarkStart w:id="1" w:name="_j22xxfgyjr2h" w:colFirst="0" w:colLast="0"/>
      <w:bookmarkStart w:id="2" w:name="_3yqatfuydix1" w:colFirst="0" w:colLast="0"/>
      <w:bookmarkEnd w:id="1"/>
      <w:bookmarkEnd w:id="2"/>
      <w:r>
        <w:rPr>
          <w:b/>
          <w:color w:val="92D050"/>
          <w:sz w:val="32"/>
          <w:szCs w:val="32"/>
        </w:rPr>
        <w:t xml:space="preserve">Submission to the </w:t>
      </w:r>
      <w:r w:rsidR="006408D7">
        <w:rPr>
          <w:b/>
          <w:color w:val="92D050"/>
          <w:sz w:val="32"/>
          <w:szCs w:val="32"/>
        </w:rPr>
        <w:t>Australian Government Department of Education, Skills and Employment</w:t>
      </w:r>
      <w:r w:rsidR="00850451">
        <w:rPr>
          <w:b/>
          <w:color w:val="92D050"/>
          <w:sz w:val="32"/>
          <w:szCs w:val="32"/>
        </w:rPr>
        <w:t xml:space="preserve"> on </w:t>
      </w:r>
      <w:r w:rsidR="006408D7">
        <w:rPr>
          <w:b/>
          <w:color w:val="92D050"/>
          <w:sz w:val="32"/>
          <w:szCs w:val="32"/>
        </w:rPr>
        <w:t xml:space="preserve">Quality Initial Teacher Education </w:t>
      </w:r>
      <w:r w:rsidR="00850451">
        <w:rPr>
          <w:b/>
          <w:color w:val="92D050"/>
          <w:sz w:val="32"/>
          <w:szCs w:val="32"/>
        </w:rPr>
        <w:t xml:space="preserve">(QITE) </w:t>
      </w:r>
      <w:r w:rsidR="006408D7">
        <w:rPr>
          <w:b/>
          <w:color w:val="92D050"/>
          <w:sz w:val="32"/>
          <w:szCs w:val="32"/>
        </w:rPr>
        <w:t>Review</w:t>
      </w:r>
    </w:p>
    <w:p w14:paraId="795D917E" w14:textId="77777777" w:rsidR="007C0960" w:rsidRPr="00C85F16" w:rsidRDefault="007C0960" w:rsidP="00C85F16">
      <w:pPr>
        <w:pBdr>
          <w:top w:val="single" w:sz="12" w:space="1" w:color="92D050"/>
          <w:left w:val="single" w:sz="12" w:space="4" w:color="92D050"/>
          <w:bottom w:val="single" w:sz="12" w:space="8" w:color="92D050"/>
          <w:right w:val="single" w:sz="12" w:space="4" w:color="92D050"/>
        </w:pBdr>
        <w:shd w:val="clear" w:color="auto" w:fill="EBF1DD"/>
        <w:tabs>
          <w:tab w:val="right" w:pos="8789"/>
        </w:tabs>
        <w:spacing w:before="288"/>
        <w:ind w:left="567"/>
        <w:rPr>
          <w:i/>
          <w:sz w:val="18"/>
          <w:szCs w:val="18"/>
        </w:rPr>
      </w:pPr>
      <w:r w:rsidRPr="00A41EE7">
        <w:rPr>
          <w:i/>
          <w:color w:val="595959"/>
        </w:rPr>
        <w:br/>
      </w:r>
      <w:r w:rsidR="00C85F16" w:rsidRPr="00C85F16">
        <w:rPr>
          <w:i/>
          <w:sz w:val="18"/>
          <w:szCs w:val="18"/>
        </w:rPr>
        <w:t>I found a couple of the points contradictory. In one instance the government is wanting to improve recruiting and training in evidence-based practice, but in the next comment wanting to fast track mid-career professionals with switching to teaching. It’s in those sorts of approaches where people don’t get the time to learn, practice and refine pedagogy, or their understanding of children and how</w:t>
      </w:r>
      <w:r w:rsidR="00C85F16">
        <w:rPr>
          <w:i/>
          <w:sz w:val="18"/>
          <w:szCs w:val="18"/>
        </w:rPr>
        <w:t xml:space="preserve"> they learn and what they need.</w:t>
      </w:r>
      <w:r w:rsidR="00C85F16" w:rsidRPr="00C85F16">
        <w:rPr>
          <w:i/>
          <w:sz w:val="18"/>
          <w:szCs w:val="18"/>
        </w:rPr>
        <w:t xml:space="preserve"> You end up with people great at content, but not great at how to teach it in engaging and effective ways to diverse students. It’s also how things like inclusive education practices get left off the agenda in order to speed things up.</w:t>
      </w:r>
    </w:p>
    <w:p w14:paraId="15A378BA" w14:textId="1BA4A87C" w:rsidR="007C0960" w:rsidRDefault="00242550" w:rsidP="007C0960">
      <w:pPr>
        <w:pBdr>
          <w:top w:val="single" w:sz="12" w:space="1" w:color="92D050"/>
          <w:left w:val="single" w:sz="12" w:space="4" w:color="92D050"/>
          <w:bottom w:val="single" w:sz="12" w:space="8" w:color="92D050"/>
          <w:right w:val="single" w:sz="12" w:space="4" w:color="92D050"/>
        </w:pBdr>
        <w:shd w:val="clear" w:color="auto" w:fill="EBF1DD"/>
        <w:tabs>
          <w:tab w:val="right" w:pos="8789"/>
        </w:tabs>
        <w:spacing w:before="288"/>
        <w:ind w:left="567"/>
        <w:jc w:val="right"/>
        <w:rPr>
          <w:i/>
          <w:sz w:val="18"/>
          <w:szCs w:val="18"/>
        </w:rPr>
      </w:pPr>
      <w:r>
        <w:rPr>
          <w:sz w:val="18"/>
          <w:szCs w:val="18"/>
        </w:rPr>
        <w:t>Cynthia</w:t>
      </w:r>
      <w:bookmarkStart w:id="3" w:name="_GoBack"/>
      <w:bookmarkEnd w:id="3"/>
      <w:r w:rsidR="00C85F16">
        <w:rPr>
          <w:sz w:val="18"/>
          <w:szCs w:val="18"/>
        </w:rPr>
        <w:t>, Inclusive educator</w:t>
      </w:r>
    </w:p>
    <w:p w14:paraId="3B5B3071" w14:textId="77777777" w:rsidR="007C0960" w:rsidRPr="007E3954" w:rsidRDefault="007C0960" w:rsidP="007C0960">
      <w:pPr>
        <w:pStyle w:val="Heading1"/>
        <w:keepNext w:val="0"/>
        <w:keepLines w:val="0"/>
        <w:spacing w:before="240" w:after="0"/>
        <w:ind w:left="0" w:firstLine="0"/>
        <w:jc w:val="both"/>
        <w:rPr>
          <w:b/>
          <w:sz w:val="20"/>
          <w:szCs w:val="20"/>
        </w:rPr>
      </w:pPr>
    </w:p>
    <w:p w14:paraId="345E33B9" w14:textId="77777777" w:rsidR="007C0960" w:rsidRPr="00A41EE7" w:rsidRDefault="007C0960" w:rsidP="007C0960">
      <w:pPr>
        <w:spacing w:after="0"/>
        <w:ind w:left="714" w:hanging="357"/>
        <w:jc w:val="right"/>
      </w:pPr>
      <w:r w:rsidRPr="00A41EE7">
        <w:t>Cecile Sullivan Elder</w:t>
      </w:r>
    </w:p>
    <w:p w14:paraId="1CF2FD6D" w14:textId="77777777" w:rsidR="007C0960" w:rsidRPr="00A41EE7" w:rsidRDefault="007C0960" w:rsidP="007C0960">
      <w:pPr>
        <w:spacing w:after="0"/>
        <w:ind w:left="714" w:hanging="357"/>
        <w:jc w:val="right"/>
      </w:pPr>
      <w:r w:rsidRPr="00A41EE7">
        <w:t>Executive Officer, Family Advocacy</w:t>
      </w:r>
    </w:p>
    <w:p w14:paraId="30F1016F" w14:textId="77777777" w:rsidR="007C0960" w:rsidRPr="00A41EE7" w:rsidRDefault="00242550" w:rsidP="007C0960">
      <w:pPr>
        <w:spacing w:after="0"/>
        <w:ind w:left="714" w:hanging="357"/>
        <w:jc w:val="right"/>
      </w:pPr>
      <w:hyperlink r:id="rId9">
        <w:r w:rsidR="007C0960" w:rsidRPr="00A41EE7">
          <w:rPr>
            <w:color w:val="1155CC"/>
            <w:u w:val="single"/>
          </w:rPr>
          <w:t>cecile@family-advocacy.com</w:t>
        </w:r>
      </w:hyperlink>
    </w:p>
    <w:p w14:paraId="28D0DA10" w14:textId="77777777" w:rsidR="007C0960" w:rsidRPr="00A41EE7" w:rsidRDefault="007C0960" w:rsidP="007C0960">
      <w:pPr>
        <w:spacing w:after="0"/>
        <w:ind w:left="714" w:hanging="357"/>
        <w:jc w:val="right"/>
      </w:pPr>
    </w:p>
    <w:p w14:paraId="6F4A7060" w14:textId="77777777" w:rsidR="007C0960" w:rsidRPr="00A41EE7" w:rsidRDefault="007C0960" w:rsidP="007C0960">
      <w:pPr>
        <w:spacing w:after="0"/>
        <w:ind w:left="714" w:hanging="357"/>
        <w:jc w:val="right"/>
      </w:pPr>
      <w:r w:rsidRPr="00A41EE7">
        <w:t>Leanne Varga</w:t>
      </w:r>
    </w:p>
    <w:p w14:paraId="15C6078B" w14:textId="77777777" w:rsidR="007C0960" w:rsidRPr="00A41EE7" w:rsidRDefault="007C0960" w:rsidP="007C0960">
      <w:pPr>
        <w:spacing w:after="0"/>
        <w:ind w:left="714" w:hanging="357"/>
        <w:jc w:val="right"/>
      </w:pPr>
      <w:r w:rsidRPr="00A41EE7">
        <w:t>Systemic Advocate</w:t>
      </w:r>
    </w:p>
    <w:p w14:paraId="691C0BED" w14:textId="77777777" w:rsidR="007C0960" w:rsidRPr="00A41EE7" w:rsidRDefault="00242550" w:rsidP="007C0960">
      <w:pPr>
        <w:spacing w:after="0"/>
        <w:ind w:left="714" w:hanging="357"/>
        <w:jc w:val="right"/>
      </w:pPr>
      <w:hyperlink r:id="rId10">
        <w:r w:rsidR="007C0960" w:rsidRPr="00A41EE7">
          <w:rPr>
            <w:color w:val="1155CC"/>
            <w:u w:val="single"/>
          </w:rPr>
          <w:t>leanne@family-advocacy.com</w:t>
        </w:r>
      </w:hyperlink>
    </w:p>
    <w:p w14:paraId="74027848" w14:textId="77777777" w:rsidR="007C0960" w:rsidRPr="00A41EE7" w:rsidRDefault="007C0960" w:rsidP="007C0960">
      <w:pPr>
        <w:spacing w:after="0"/>
        <w:ind w:left="714" w:hanging="357"/>
        <w:jc w:val="right"/>
      </w:pPr>
    </w:p>
    <w:p w14:paraId="1DCD65A8" w14:textId="77777777" w:rsidR="007C0960" w:rsidRPr="00A41EE7" w:rsidRDefault="007C0960" w:rsidP="007C0960">
      <w:pPr>
        <w:spacing w:after="0"/>
        <w:ind w:left="714" w:hanging="357"/>
        <w:jc w:val="right"/>
      </w:pPr>
      <w:r w:rsidRPr="00A41EE7">
        <w:t>Family Advocacy</w:t>
      </w:r>
    </w:p>
    <w:p w14:paraId="6BC1AF7A" w14:textId="77777777" w:rsidR="007C0960" w:rsidRPr="00A41EE7" w:rsidRDefault="007C0960" w:rsidP="007C0960">
      <w:pPr>
        <w:spacing w:after="0"/>
        <w:ind w:left="714" w:hanging="357"/>
        <w:jc w:val="right"/>
      </w:pPr>
      <w:r w:rsidRPr="00A41EE7">
        <w:t>(02) 9869 0866</w:t>
      </w:r>
    </w:p>
    <w:p w14:paraId="0075C62C" w14:textId="77777777" w:rsidR="007C0960" w:rsidRPr="00A41EE7" w:rsidRDefault="007C0960" w:rsidP="007C0960">
      <w:pPr>
        <w:spacing w:after="0"/>
        <w:ind w:left="714" w:hanging="357"/>
        <w:jc w:val="right"/>
      </w:pPr>
      <w:r w:rsidRPr="00A41EE7">
        <w:t>Suite 704, 88-90 George Street,</w:t>
      </w:r>
    </w:p>
    <w:p w14:paraId="41403A5C" w14:textId="77777777" w:rsidR="007C0960" w:rsidRDefault="007C0960" w:rsidP="007C0960">
      <w:pPr>
        <w:ind w:left="714" w:hanging="357"/>
        <w:jc w:val="right"/>
      </w:pPr>
      <w:r w:rsidRPr="00A41EE7">
        <w:t>Hornsby, NSW 2077, Australia</w:t>
      </w:r>
    </w:p>
    <w:p w14:paraId="580BB3FD" w14:textId="77777777" w:rsidR="007C0960" w:rsidRDefault="007C0960" w:rsidP="007C0960">
      <w:pPr>
        <w:jc w:val="right"/>
      </w:pPr>
    </w:p>
    <w:p w14:paraId="5404CAAC" w14:textId="77777777" w:rsidR="007C0960" w:rsidRPr="00DE7F42" w:rsidRDefault="00850451" w:rsidP="007C0960">
      <w:pPr>
        <w:pStyle w:val="Heading1"/>
        <w:keepNext w:val="0"/>
        <w:keepLines w:val="0"/>
        <w:spacing w:before="80" w:after="0"/>
        <w:ind w:right="120"/>
        <w:jc w:val="right"/>
        <w:rPr>
          <w:rFonts w:eastAsia="Calibri"/>
          <w:sz w:val="22"/>
          <w:szCs w:val="22"/>
        </w:rPr>
      </w:pPr>
      <w:r>
        <w:rPr>
          <w:b/>
          <w:sz w:val="24"/>
          <w:szCs w:val="20"/>
        </w:rPr>
        <w:t>July 2021</w:t>
      </w:r>
    </w:p>
    <w:p w14:paraId="56E0198D" w14:textId="77777777" w:rsidR="007C0960" w:rsidRDefault="007C0960" w:rsidP="007C0960">
      <w:pPr>
        <w:pStyle w:val="Heading1"/>
        <w:keepNext w:val="0"/>
        <w:keepLines w:val="0"/>
        <w:spacing w:before="0" w:after="240"/>
        <w:jc w:val="both"/>
        <w:rPr>
          <w:b/>
          <w:sz w:val="14"/>
          <w:szCs w:val="14"/>
        </w:rPr>
      </w:pPr>
      <w:r>
        <w:rPr>
          <w:b/>
          <w:sz w:val="14"/>
          <w:szCs w:val="14"/>
        </w:rPr>
        <w:t xml:space="preserve"> </w:t>
      </w:r>
    </w:p>
    <w:p w14:paraId="6E4113BB" w14:textId="77777777" w:rsidR="007C0960" w:rsidRDefault="007C0960" w:rsidP="00850451">
      <w:pPr>
        <w:pStyle w:val="Heading1"/>
        <w:keepNext w:val="0"/>
        <w:keepLines w:val="0"/>
        <w:spacing w:before="80" w:after="0"/>
        <w:ind w:left="0" w:firstLine="0"/>
        <w:jc w:val="both"/>
        <w:rPr>
          <w:b/>
          <w:sz w:val="18"/>
          <w:szCs w:val="18"/>
        </w:rPr>
      </w:pPr>
      <w:r>
        <w:rPr>
          <w:b/>
          <w:sz w:val="18"/>
          <w:szCs w:val="18"/>
        </w:rPr>
        <w:t>Acknowledgement:</w:t>
      </w:r>
    </w:p>
    <w:p w14:paraId="519EE126" w14:textId="77777777" w:rsidR="00850451" w:rsidRDefault="00850451" w:rsidP="007C0960">
      <w:pPr>
        <w:shd w:val="clear" w:color="auto" w:fill="FFFFFF"/>
        <w:spacing w:after="240" w:line="240" w:lineRule="auto"/>
        <w:rPr>
          <w:sz w:val="18"/>
          <w:szCs w:val="18"/>
        </w:rPr>
      </w:pPr>
    </w:p>
    <w:p w14:paraId="57303E27" w14:textId="77777777" w:rsidR="003B593E" w:rsidRPr="007C0960" w:rsidRDefault="007C0960" w:rsidP="007C0960">
      <w:pPr>
        <w:shd w:val="clear" w:color="auto" w:fill="FFFFFF"/>
        <w:spacing w:after="240" w:line="240" w:lineRule="auto"/>
        <w:rPr>
          <w:rFonts w:asciiTheme="majorHAnsi" w:eastAsia="Times New Roman" w:hAnsiTheme="majorHAnsi" w:cstheme="majorHAnsi"/>
          <w:color w:val="222222"/>
          <w:lang w:eastAsia="en-AU"/>
        </w:rPr>
      </w:pPr>
      <w:r>
        <w:rPr>
          <w:sz w:val="18"/>
          <w:szCs w:val="18"/>
        </w:rPr>
        <w:t>Family Advocacy would like to acknowledge the traditional custodians of the lands on which this report has been written, reviewed and produced, whose cultures and customs have nurtured and continue to nurture this land since the Dreamtime. We pay our respects to their Elders past, present and future. This is, was and always will be Aboriginal land.</w:t>
      </w:r>
    </w:p>
    <w:p w14:paraId="70CD45B7" w14:textId="77777777" w:rsidR="00850451" w:rsidRPr="000823DF" w:rsidRDefault="00850451" w:rsidP="009716DD">
      <w:pPr>
        <w:shd w:val="clear" w:color="auto" w:fill="FFFFFF"/>
        <w:spacing w:before="100" w:beforeAutospacing="1"/>
        <w:rPr>
          <w:rFonts w:asciiTheme="majorHAnsi" w:hAnsiTheme="majorHAnsi" w:cstheme="majorHAnsi"/>
          <w:b/>
          <w:color w:val="92D050"/>
          <w:sz w:val="24"/>
          <w:szCs w:val="24"/>
        </w:rPr>
      </w:pPr>
      <w:r w:rsidRPr="000823DF">
        <w:rPr>
          <w:rFonts w:asciiTheme="majorHAnsi" w:hAnsiTheme="majorHAnsi" w:cstheme="majorHAnsi"/>
          <w:b/>
          <w:color w:val="92D050"/>
          <w:sz w:val="24"/>
          <w:szCs w:val="24"/>
        </w:rPr>
        <w:lastRenderedPageBreak/>
        <w:t xml:space="preserve">Introduction </w:t>
      </w:r>
    </w:p>
    <w:p w14:paraId="1122B283" w14:textId="0DDB9F1C" w:rsidR="00850451" w:rsidRPr="009716DD" w:rsidRDefault="00850451" w:rsidP="009716DD">
      <w:pPr>
        <w:shd w:val="clear" w:color="auto" w:fill="FFFFFF"/>
        <w:spacing w:before="100" w:beforeAutospacing="1"/>
        <w:rPr>
          <w:rFonts w:asciiTheme="majorHAnsi" w:hAnsiTheme="majorHAnsi" w:cstheme="majorHAnsi"/>
          <w:color w:val="222222"/>
          <w:sz w:val="20"/>
          <w:szCs w:val="20"/>
        </w:rPr>
      </w:pPr>
      <w:r w:rsidRPr="009716DD">
        <w:rPr>
          <w:rFonts w:asciiTheme="majorHAnsi" w:hAnsiTheme="majorHAnsi" w:cstheme="majorHAnsi"/>
          <w:color w:val="222222"/>
          <w:sz w:val="20"/>
          <w:szCs w:val="20"/>
        </w:rPr>
        <w:t xml:space="preserve">Family Advocacy is a </w:t>
      </w:r>
      <w:r w:rsidR="00B07DA5">
        <w:rPr>
          <w:rFonts w:asciiTheme="majorHAnsi" w:hAnsiTheme="majorHAnsi" w:cstheme="majorHAnsi"/>
          <w:color w:val="222222"/>
          <w:sz w:val="20"/>
          <w:szCs w:val="20"/>
        </w:rPr>
        <w:t xml:space="preserve">NSW </w:t>
      </w:r>
      <w:r w:rsidRPr="009716DD">
        <w:rPr>
          <w:rFonts w:asciiTheme="majorHAnsi" w:hAnsiTheme="majorHAnsi" w:cstheme="majorHAnsi"/>
          <w:color w:val="222222"/>
          <w:sz w:val="20"/>
          <w:szCs w:val="20"/>
        </w:rPr>
        <w:t>disability advocacy organisation</w:t>
      </w:r>
      <w:r w:rsidR="00B07DA5">
        <w:rPr>
          <w:rFonts w:asciiTheme="majorHAnsi" w:hAnsiTheme="majorHAnsi" w:cstheme="majorHAnsi"/>
          <w:color w:val="222222"/>
          <w:sz w:val="20"/>
          <w:szCs w:val="20"/>
        </w:rPr>
        <w:t>,</w:t>
      </w:r>
      <w:r w:rsidRPr="009716DD">
        <w:rPr>
          <w:rFonts w:asciiTheme="majorHAnsi" w:hAnsiTheme="majorHAnsi" w:cstheme="majorHAnsi"/>
          <w:color w:val="222222"/>
          <w:sz w:val="20"/>
          <w:szCs w:val="20"/>
        </w:rPr>
        <w:t xml:space="preserve"> </w:t>
      </w:r>
      <w:r w:rsidR="00B07DA5" w:rsidRPr="009716DD">
        <w:rPr>
          <w:rFonts w:asciiTheme="majorHAnsi" w:hAnsiTheme="majorHAnsi" w:cstheme="majorHAnsi"/>
          <w:color w:val="222222"/>
          <w:sz w:val="20"/>
          <w:szCs w:val="20"/>
        </w:rPr>
        <w:t>f</w:t>
      </w:r>
      <w:r w:rsidR="00B07DA5">
        <w:rPr>
          <w:rFonts w:asciiTheme="majorHAnsi" w:hAnsiTheme="majorHAnsi" w:cstheme="majorHAnsi"/>
          <w:color w:val="222222"/>
          <w:sz w:val="20"/>
          <w:szCs w:val="20"/>
        </w:rPr>
        <w:t xml:space="preserve">ormed 30 years ago by families, </w:t>
      </w:r>
      <w:r w:rsidRPr="009716DD">
        <w:rPr>
          <w:rFonts w:asciiTheme="majorHAnsi" w:hAnsiTheme="majorHAnsi" w:cstheme="majorHAnsi"/>
          <w:color w:val="222222"/>
          <w:sz w:val="20"/>
          <w:szCs w:val="20"/>
        </w:rPr>
        <w:t>t</w:t>
      </w:r>
      <w:r w:rsidR="00B07DA5">
        <w:rPr>
          <w:rFonts w:asciiTheme="majorHAnsi" w:hAnsiTheme="majorHAnsi" w:cstheme="majorHAnsi"/>
          <w:color w:val="222222"/>
          <w:sz w:val="20"/>
          <w:szCs w:val="20"/>
        </w:rPr>
        <w:t>o protect</w:t>
      </w:r>
      <w:r w:rsidRPr="009716DD">
        <w:rPr>
          <w:rFonts w:asciiTheme="majorHAnsi" w:hAnsiTheme="majorHAnsi" w:cstheme="majorHAnsi"/>
          <w:color w:val="222222"/>
          <w:sz w:val="20"/>
          <w:szCs w:val="20"/>
        </w:rPr>
        <w:t xml:space="preserve"> the rights and interests of a person with developmental disability</w:t>
      </w:r>
      <w:r w:rsidR="00B07DA5">
        <w:rPr>
          <w:rStyle w:val="FootnoteReference"/>
          <w:rFonts w:asciiTheme="majorHAnsi" w:hAnsiTheme="majorHAnsi" w:cstheme="majorHAnsi"/>
          <w:color w:val="222222"/>
          <w:sz w:val="20"/>
          <w:szCs w:val="20"/>
        </w:rPr>
        <w:footnoteReference w:id="1"/>
      </w:r>
      <w:r w:rsidRPr="009716DD">
        <w:rPr>
          <w:rFonts w:asciiTheme="majorHAnsi" w:hAnsiTheme="majorHAnsi" w:cstheme="majorHAnsi"/>
          <w:color w:val="222222"/>
          <w:sz w:val="20"/>
          <w:szCs w:val="20"/>
        </w:rPr>
        <w:t xml:space="preserve"> throughout their life, and this is achieved with the support and advocacy of the family.  As such, </w:t>
      </w:r>
      <w:r w:rsidR="009803AE">
        <w:rPr>
          <w:rFonts w:asciiTheme="majorHAnsi" w:hAnsiTheme="majorHAnsi" w:cstheme="majorHAnsi"/>
          <w:color w:val="222222"/>
          <w:sz w:val="20"/>
          <w:szCs w:val="20"/>
        </w:rPr>
        <w:t xml:space="preserve">we </w:t>
      </w:r>
      <w:r w:rsidRPr="009716DD">
        <w:rPr>
          <w:rFonts w:asciiTheme="majorHAnsi" w:hAnsiTheme="majorHAnsi" w:cstheme="majorHAnsi"/>
          <w:color w:val="222222"/>
          <w:sz w:val="20"/>
          <w:szCs w:val="20"/>
        </w:rPr>
        <w:t>work closely with students with developmental disability and their families to ensure they receive an inclusive education.  </w:t>
      </w:r>
    </w:p>
    <w:p w14:paraId="4017F63C" w14:textId="222EB6FF" w:rsidR="00B07DA5" w:rsidRPr="00B07DA5" w:rsidRDefault="00F15D4A" w:rsidP="00B07DA5">
      <w:pPr>
        <w:shd w:val="clear" w:color="auto" w:fill="FFFFFF"/>
        <w:spacing w:before="100" w:beforeAutospacing="1"/>
        <w:rPr>
          <w:rFonts w:asciiTheme="majorHAnsi" w:hAnsiTheme="majorHAnsi" w:cstheme="majorHAnsi"/>
          <w:color w:val="222222"/>
          <w:sz w:val="20"/>
          <w:szCs w:val="20"/>
        </w:rPr>
      </w:pPr>
      <w:r>
        <w:rPr>
          <w:rFonts w:asciiTheme="majorHAnsi" w:hAnsiTheme="majorHAnsi" w:cstheme="majorHAnsi"/>
          <w:color w:val="222222"/>
          <w:sz w:val="20"/>
          <w:szCs w:val="20"/>
        </w:rPr>
        <w:t>Whilst we acknowledge that we are not educators, o</w:t>
      </w:r>
      <w:r w:rsidR="00B07DA5" w:rsidRPr="00B07DA5">
        <w:rPr>
          <w:rFonts w:asciiTheme="majorHAnsi" w:hAnsiTheme="majorHAnsi" w:cstheme="majorHAnsi"/>
          <w:color w:val="222222"/>
          <w:sz w:val="20"/>
          <w:szCs w:val="20"/>
        </w:rPr>
        <w:t>ur comments and recomme</w:t>
      </w:r>
      <w:r w:rsidR="009803AE">
        <w:rPr>
          <w:rFonts w:asciiTheme="majorHAnsi" w:hAnsiTheme="majorHAnsi" w:cstheme="majorHAnsi"/>
          <w:color w:val="222222"/>
          <w:sz w:val="20"/>
          <w:szCs w:val="20"/>
        </w:rPr>
        <w:t xml:space="preserve">ndations are premised on </w:t>
      </w:r>
      <w:r w:rsidR="00B07DA5" w:rsidRPr="00B07DA5">
        <w:rPr>
          <w:rFonts w:asciiTheme="majorHAnsi" w:hAnsiTheme="majorHAnsi" w:cstheme="majorHAnsi"/>
          <w:color w:val="222222"/>
          <w:sz w:val="20"/>
          <w:szCs w:val="20"/>
        </w:rPr>
        <w:t xml:space="preserve">three decades of experience working with families in the education system in New South Wales, collaborating with the </w:t>
      </w:r>
      <w:r w:rsidR="00EB07FA">
        <w:rPr>
          <w:rFonts w:asciiTheme="majorHAnsi" w:hAnsiTheme="majorHAnsi" w:cstheme="majorHAnsi"/>
          <w:color w:val="222222"/>
          <w:sz w:val="20"/>
          <w:szCs w:val="20"/>
        </w:rPr>
        <w:t xml:space="preserve">NSW </w:t>
      </w:r>
      <w:r w:rsidR="00B07DA5" w:rsidRPr="00B07DA5">
        <w:rPr>
          <w:rFonts w:asciiTheme="majorHAnsi" w:hAnsiTheme="majorHAnsi" w:cstheme="majorHAnsi"/>
          <w:color w:val="222222"/>
          <w:sz w:val="20"/>
          <w:szCs w:val="20"/>
        </w:rPr>
        <w:t>Department of Education, and our widespread knowledge of international research</w:t>
      </w:r>
      <w:r w:rsidR="00827AC6">
        <w:rPr>
          <w:rFonts w:asciiTheme="majorHAnsi" w:hAnsiTheme="majorHAnsi" w:cstheme="majorHAnsi"/>
          <w:color w:val="222222"/>
          <w:sz w:val="20"/>
          <w:szCs w:val="20"/>
        </w:rPr>
        <w:t>, particularly</w:t>
      </w:r>
      <w:r w:rsidR="00B07DA5" w:rsidRPr="00B07DA5">
        <w:rPr>
          <w:rFonts w:asciiTheme="majorHAnsi" w:hAnsiTheme="majorHAnsi" w:cstheme="majorHAnsi"/>
          <w:color w:val="222222"/>
          <w:sz w:val="20"/>
          <w:szCs w:val="20"/>
        </w:rPr>
        <w:t xml:space="preserve"> in the field of inclusive education. </w:t>
      </w:r>
    </w:p>
    <w:p w14:paraId="515154E3" w14:textId="7B25C939" w:rsidR="00B07DA5" w:rsidRDefault="00EB07FA" w:rsidP="00B07DA5">
      <w:pPr>
        <w:shd w:val="clear" w:color="auto" w:fill="FFFFFF"/>
        <w:spacing w:before="100" w:beforeAutospacing="1"/>
        <w:rPr>
          <w:rFonts w:asciiTheme="majorHAnsi" w:hAnsiTheme="majorHAnsi" w:cstheme="majorHAnsi"/>
          <w:color w:val="222222"/>
          <w:sz w:val="20"/>
          <w:szCs w:val="20"/>
        </w:rPr>
      </w:pPr>
      <w:r>
        <w:rPr>
          <w:rFonts w:asciiTheme="majorHAnsi" w:hAnsiTheme="majorHAnsi" w:cstheme="majorHAnsi"/>
          <w:color w:val="222222"/>
          <w:sz w:val="20"/>
          <w:szCs w:val="20"/>
        </w:rPr>
        <w:t xml:space="preserve">In addition, </w:t>
      </w:r>
      <w:r w:rsidR="00827AC6">
        <w:rPr>
          <w:rFonts w:asciiTheme="majorHAnsi" w:hAnsiTheme="majorHAnsi" w:cstheme="majorHAnsi"/>
          <w:color w:val="222222"/>
          <w:sz w:val="20"/>
          <w:szCs w:val="20"/>
        </w:rPr>
        <w:t xml:space="preserve">Family Advocacy also </w:t>
      </w:r>
      <w:r>
        <w:rPr>
          <w:rFonts w:asciiTheme="majorHAnsi" w:hAnsiTheme="majorHAnsi" w:cstheme="majorHAnsi"/>
          <w:color w:val="222222"/>
          <w:sz w:val="20"/>
          <w:szCs w:val="20"/>
        </w:rPr>
        <w:t xml:space="preserve">has extensive experience in </w:t>
      </w:r>
      <w:r w:rsidR="00F15D4A">
        <w:rPr>
          <w:rFonts w:asciiTheme="majorHAnsi" w:hAnsiTheme="majorHAnsi" w:cstheme="majorHAnsi"/>
          <w:color w:val="222222"/>
          <w:sz w:val="20"/>
          <w:szCs w:val="20"/>
        </w:rPr>
        <w:t>systemic advocacy, informing government regarding legislation and policy and as such</w:t>
      </w:r>
      <w:r w:rsidR="00B07DA5" w:rsidRPr="00B07DA5">
        <w:rPr>
          <w:rFonts w:asciiTheme="majorHAnsi" w:hAnsiTheme="majorHAnsi" w:cstheme="majorHAnsi"/>
          <w:color w:val="222222"/>
          <w:sz w:val="20"/>
          <w:szCs w:val="20"/>
        </w:rPr>
        <w:t xml:space="preserve"> have provided many submissions spanning over deca</w:t>
      </w:r>
      <w:r w:rsidR="00F15D4A">
        <w:rPr>
          <w:rFonts w:asciiTheme="majorHAnsi" w:hAnsiTheme="majorHAnsi" w:cstheme="majorHAnsi"/>
          <w:color w:val="222222"/>
          <w:sz w:val="20"/>
          <w:szCs w:val="20"/>
        </w:rPr>
        <w:t>des in the education setting</w:t>
      </w:r>
      <w:r w:rsidR="009803AE">
        <w:rPr>
          <w:rFonts w:asciiTheme="majorHAnsi" w:hAnsiTheme="majorHAnsi" w:cstheme="majorHAnsi"/>
          <w:color w:val="222222"/>
          <w:sz w:val="20"/>
          <w:szCs w:val="20"/>
        </w:rPr>
        <w:t xml:space="preserve">. For example, the </w:t>
      </w:r>
      <w:r w:rsidR="00B07DA5" w:rsidRPr="00B07DA5">
        <w:rPr>
          <w:rFonts w:asciiTheme="majorHAnsi" w:hAnsiTheme="majorHAnsi" w:cstheme="majorHAnsi"/>
          <w:color w:val="222222"/>
          <w:sz w:val="20"/>
          <w:szCs w:val="20"/>
        </w:rPr>
        <w:t>2017 Review to Achieve Excellence in Australian Schools, and the 2018 NSW Education Standards Authority (NESA) Curriculum Review</w:t>
      </w:r>
      <w:r w:rsidR="009803AE">
        <w:rPr>
          <w:rFonts w:asciiTheme="majorHAnsi" w:hAnsiTheme="majorHAnsi" w:cstheme="majorHAnsi"/>
          <w:color w:val="222222"/>
          <w:sz w:val="20"/>
          <w:szCs w:val="20"/>
        </w:rPr>
        <w:t xml:space="preserve">, </w:t>
      </w:r>
      <w:r w:rsidR="00827AC6">
        <w:rPr>
          <w:rFonts w:asciiTheme="majorHAnsi" w:hAnsiTheme="majorHAnsi" w:cstheme="majorHAnsi"/>
          <w:color w:val="222222"/>
          <w:sz w:val="20"/>
          <w:szCs w:val="20"/>
        </w:rPr>
        <w:t xml:space="preserve">the </w:t>
      </w:r>
      <w:r w:rsidR="009803AE" w:rsidRPr="009803AE">
        <w:rPr>
          <w:rFonts w:asciiTheme="majorHAnsi" w:hAnsiTheme="majorHAnsi" w:cstheme="majorHAnsi"/>
          <w:color w:val="222222"/>
          <w:sz w:val="20"/>
          <w:szCs w:val="20"/>
        </w:rPr>
        <w:t>2020 Review of the Disability Standards for Education</w:t>
      </w:r>
      <w:r w:rsidR="009803AE">
        <w:rPr>
          <w:rFonts w:asciiTheme="majorHAnsi" w:hAnsiTheme="majorHAnsi" w:cstheme="majorHAnsi"/>
          <w:color w:val="222222"/>
          <w:sz w:val="20"/>
          <w:szCs w:val="20"/>
        </w:rPr>
        <w:t>.</w:t>
      </w:r>
      <w:r w:rsidR="00827AC6">
        <w:rPr>
          <w:rFonts w:asciiTheme="majorHAnsi" w:hAnsiTheme="majorHAnsi" w:cstheme="majorHAnsi"/>
          <w:color w:val="222222"/>
          <w:sz w:val="20"/>
          <w:szCs w:val="20"/>
        </w:rPr>
        <w:t xml:space="preserve"> More recently, </w:t>
      </w:r>
      <w:r w:rsidR="009803AE">
        <w:rPr>
          <w:rFonts w:asciiTheme="majorHAnsi" w:hAnsiTheme="majorHAnsi" w:cstheme="majorHAnsi"/>
          <w:color w:val="222222"/>
          <w:sz w:val="20"/>
          <w:szCs w:val="20"/>
        </w:rPr>
        <w:t>we provided expert evidence</w:t>
      </w:r>
      <w:r w:rsidR="00827AC6">
        <w:rPr>
          <w:rFonts w:asciiTheme="majorHAnsi" w:hAnsiTheme="majorHAnsi" w:cstheme="majorHAnsi"/>
          <w:color w:val="222222"/>
          <w:sz w:val="20"/>
          <w:szCs w:val="20"/>
        </w:rPr>
        <w:t xml:space="preserve"> at the </w:t>
      </w:r>
      <w:r w:rsidR="00F15D4A">
        <w:rPr>
          <w:rFonts w:asciiTheme="majorHAnsi" w:hAnsiTheme="majorHAnsi" w:cstheme="majorHAnsi"/>
          <w:color w:val="222222"/>
          <w:sz w:val="20"/>
          <w:szCs w:val="20"/>
        </w:rPr>
        <w:t xml:space="preserve">Royal Commission into Violence, Abuse, Neglect and Exploitation of People with Disability </w:t>
      </w:r>
      <w:r w:rsidR="00827AC6">
        <w:rPr>
          <w:rFonts w:asciiTheme="majorHAnsi" w:hAnsiTheme="majorHAnsi" w:cstheme="majorHAnsi"/>
          <w:color w:val="222222"/>
          <w:sz w:val="20"/>
          <w:szCs w:val="20"/>
        </w:rPr>
        <w:t>hearing on “Barriers to accessing a safe, quality and inclusive school education and life course impacts”</w:t>
      </w:r>
      <w:r w:rsidR="00B07DA5" w:rsidRPr="00B07DA5">
        <w:rPr>
          <w:rFonts w:asciiTheme="majorHAnsi" w:hAnsiTheme="majorHAnsi" w:cstheme="majorHAnsi"/>
          <w:color w:val="222222"/>
          <w:sz w:val="20"/>
          <w:szCs w:val="20"/>
        </w:rPr>
        <w:t>.</w:t>
      </w:r>
    </w:p>
    <w:p w14:paraId="7B27189D" w14:textId="5194B7CA" w:rsidR="00850451" w:rsidRPr="009716DD" w:rsidRDefault="00F15D4A" w:rsidP="009716DD">
      <w:pPr>
        <w:shd w:val="clear" w:color="auto" w:fill="FFFFFF"/>
        <w:spacing w:before="100" w:beforeAutospacing="1"/>
        <w:rPr>
          <w:rFonts w:asciiTheme="majorHAnsi" w:hAnsiTheme="majorHAnsi" w:cstheme="majorHAnsi"/>
          <w:color w:val="222222"/>
          <w:sz w:val="20"/>
          <w:szCs w:val="20"/>
        </w:rPr>
      </w:pPr>
      <w:r>
        <w:rPr>
          <w:rFonts w:asciiTheme="majorHAnsi" w:hAnsiTheme="majorHAnsi" w:cstheme="majorHAnsi"/>
          <w:color w:val="222222"/>
          <w:sz w:val="20"/>
          <w:szCs w:val="20"/>
        </w:rPr>
        <w:t>On this basis, we provide feedback to you from a perspective of the impact of the current init</w:t>
      </w:r>
      <w:r w:rsidR="00EB07FA">
        <w:rPr>
          <w:rFonts w:asciiTheme="majorHAnsi" w:hAnsiTheme="majorHAnsi" w:cstheme="majorHAnsi"/>
          <w:color w:val="222222"/>
          <w:sz w:val="20"/>
          <w:szCs w:val="20"/>
        </w:rPr>
        <w:t>ial teacher education on the lives</w:t>
      </w:r>
      <w:r>
        <w:rPr>
          <w:rFonts w:asciiTheme="majorHAnsi" w:hAnsiTheme="majorHAnsi" w:cstheme="majorHAnsi"/>
          <w:color w:val="222222"/>
          <w:sz w:val="20"/>
          <w:szCs w:val="20"/>
        </w:rPr>
        <w:t xml:space="preserve"> of student</w:t>
      </w:r>
      <w:r w:rsidR="00EB07FA">
        <w:rPr>
          <w:rFonts w:asciiTheme="majorHAnsi" w:hAnsiTheme="majorHAnsi" w:cstheme="majorHAnsi"/>
          <w:color w:val="222222"/>
          <w:sz w:val="20"/>
          <w:szCs w:val="20"/>
        </w:rPr>
        <w:t>s</w:t>
      </w:r>
      <w:r>
        <w:rPr>
          <w:rFonts w:asciiTheme="majorHAnsi" w:hAnsiTheme="majorHAnsi" w:cstheme="majorHAnsi"/>
          <w:color w:val="222222"/>
          <w:sz w:val="20"/>
          <w:szCs w:val="20"/>
        </w:rPr>
        <w:t xml:space="preserve"> </w:t>
      </w:r>
      <w:r w:rsidR="00EB07FA">
        <w:rPr>
          <w:rFonts w:asciiTheme="majorHAnsi" w:hAnsiTheme="majorHAnsi" w:cstheme="majorHAnsi"/>
          <w:color w:val="222222"/>
          <w:sz w:val="20"/>
          <w:szCs w:val="20"/>
        </w:rPr>
        <w:t>with disability, versus what the impact could be if the right considerations were in place for ITE.  Certainly, f</w:t>
      </w:r>
      <w:r w:rsidR="00850451" w:rsidRPr="009716DD">
        <w:rPr>
          <w:rFonts w:asciiTheme="majorHAnsi" w:hAnsiTheme="majorHAnsi" w:cstheme="majorHAnsi"/>
          <w:color w:val="222222"/>
          <w:sz w:val="20"/>
          <w:szCs w:val="20"/>
        </w:rPr>
        <w:t xml:space="preserve">rom our experience working alongside the person with disability and their family member, we have observed that when genuine inclusion </w:t>
      </w:r>
      <w:r w:rsidR="00827AC6">
        <w:rPr>
          <w:rFonts w:asciiTheme="majorHAnsi" w:hAnsiTheme="majorHAnsi" w:cstheme="majorHAnsi"/>
          <w:color w:val="222222"/>
          <w:sz w:val="20"/>
          <w:szCs w:val="20"/>
        </w:rPr>
        <w:t xml:space="preserve">occurs </w:t>
      </w:r>
      <w:r w:rsidR="00850451" w:rsidRPr="009716DD">
        <w:rPr>
          <w:rFonts w:asciiTheme="majorHAnsi" w:hAnsiTheme="majorHAnsi" w:cstheme="majorHAnsi"/>
          <w:color w:val="222222"/>
          <w:sz w:val="20"/>
          <w:szCs w:val="20"/>
        </w:rPr>
        <w:t xml:space="preserve">in curricula, physical and social activities, one of the main factors has been where the teacher has had the </w:t>
      </w:r>
      <w:r w:rsidR="00850451" w:rsidRPr="009716DD">
        <w:rPr>
          <w:rFonts w:asciiTheme="majorHAnsi" w:hAnsiTheme="majorHAnsi" w:cstheme="majorHAnsi"/>
          <w:b/>
          <w:color w:val="222222"/>
          <w:sz w:val="20"/>
          <w:szCs w:val="20"/>
        </w:rPr>
        <w:t>will</w:t>
      </w:r>
      <w:r w:rsidR="00850451" w:rsidRPr="009716DD">
        <w:rPr>
          <w:rFonts w:asciiTheme="majorHAnsi" w:hAnsiTheme="majorHAnsi" w:cstheme="majorHAnsi"/>
          <w:color w:val="222222"/>
          <w:sz w:val="20"/>
          <w:szCs w:val="20"/>
        </w:rPr>
        <w:t xml:space="preserve"> to include </w:t>
      </w:r>
      <w:r w:rsidR="000823DF">
        <w:rPr>
          <w:rFonts w:asciiTheme="majorHAnsi" w:hAnsiTheme="majorHAnsi" w:cstheme="majorHAnsi"/>
          <w:color w:val="222222"/>
          <w:sz w:val="20"/>
          <w:szCs w:val="20"/>
        </w:rPr>
        <w:t xml:space="preserve">(confidence) </w:t>
      </w:r>
      <w:r w:rsidR="00850451" w:rsidRPr="009716DD">
        <w:rPr>
          <w:rFonts w:asciiTheme="majorHAnsi" w:hAnsiTheme="majorHAnsi" w:cstheme="majorHAnsi"/>
          <w:color w:val="222222"/>
          <w:sz w:val="20"/>
          <w:szCs w:val="20"/>
        </w:rPr>
        <w:t xml:space="preserve">and the </w:t>
      </w:r>
      <w:r w:rsidR="00850451" w:rsidRPr="009716DD">
        <w:rPr>
          <w:rFonts w:asciiTheme="majorHAnsi" w:hAnsiTheme="majorHAnsi" w:cstheme="majorHAnsi"/>
          <w:b/>
          <w:color w:val="222222"/>
          <w:sz w:val="20"/>
          <w:szCs w:val="20"/>
        </w:rPr>
        <w:t>skill</w:t>
      </w:r>
      <w:r w:rsidR="00850451" w:rsidRPr="009716DD">
        <w:rPr>
          <w:rFonts w:asciiTheme="majorHAnsi" w:hAnsiTheme="majorHAnsi" w:cstheme="majorHAnsi"/>
          <w:color w:val="222222"/>
          <w:sz w:val="20"/>
          <w:szCs w:val="20"/>
        </w:rPr>
        <w:t xml:space="preserve"> </w:t>
      </w:r>
      <w:r w:rsidR="000823DF">
        <w:rPr>
          <w:rFonts w:asciiTheme="majorHAnsi" w:hAnsiTheme="majorHAnsi" w:cstheme="majorHAnsi"/>
          <w:color w:val="222222"/>
          <w:sz w:val="20"/>
          <w:szCs w:val="20"/>
        </w:rPr>
        <w:t xml:space="preserve">(competence) </w:t>
      </w:r>
      <w:r w:rsidR="00850451" w:rsidRPr="009716DD">
        <w:rPr>
          <w:rFonts w:asciiTheme="majorHAnsi" w:hAnsiTheme="majorHAnsi" w:cstheme="majorHAnsi"/>
          <w:color w:val="222222"/>
          <w:sz w:val="20"/>
          <w:szCs w:val="20"/>
        </w:rPr>
        <w:t>to make reasonable adjustments for that child.</w:t>
      </w:r>
      <w:r w:rsidR="00827AC6">
        <w:rPr>
          <w:rFonts w:asciiTheme="majorHAnsi" w:hAnsiTheme="majorHAnsi" w:cstheme="majorHAnsi"/>
          <w:color w:val="222222"/>
          <w:sz w:val="20"/>
          <w:szCs w:val="20"/>
        </w:rPr>
        <w:t xml:space="preserve"> As such, quality initial teacher training that builds confidence and competence is vital. </w:t>
      </w:r>
    </w:p>
    <w:p w14:paraId="20E233F3" w14:textId="28A29732" w:rsidR="00FA3CEE" w:rsidRPr="000823DF" w:rsidRDefault="00FA3CEE" w:rsidP="009716DD">
      <w:pPr>
        <w:spacing w:before="100" w:beforeAutospacing="1" w:line="360" w:lineRule="auto"/>
        <w:rPr>
          <w:rFonts w:asciiTheme="majorHAnsi" w:hAnsiTheme="majorHAnsi" w:cstheme="majorHAnsi"/>
          <w:b/>
          <w:color w:val="92D050"/>
          <w:sz w:val="24"/>
          <w:szCs w:val="24"/>
        </w:rPr>
      </w:pPr>
      <w:r w:rsidRPr="000823DF">
        <w:rPr>
          <w:rFonts w:asciiTheme="majorHAnsi" w:hAnsiTheme="majorHAnsi" w:cstheme="majorHAnsi"/>
          <w:b/>
          <w:color w:val="92D050"/>
          <w:sz w:val="24"/>
          <w:szCs w:val="24"/>
        </w:rPr>
        <w:t xml:space="preserve">Create an inclusive education system </w:t>
      </w:r>
    </w:p>
    <w:p w14:paraId="20EFAD4C" w14:textId="77777777" w:rsidR="00FA3CEE" w:rsidRPr="000823DF" w:rsidRDefault="00C85F16" w:rsidP="009716DD">
      <w:pPr>
        <w:widowControl w:val="0"/>
        <w:spacing w:before="100" w:beforeAutospacing="1" w:after="200" w:line="360" w:lineRule="auto"/>
        <w:rPr>
          <w:rFonts w:asciiTheme="majorHAnsi" w:hAnsiTheme="majorHAnsi" w:cstheme="majorHAnsi"/>
          <w:sz w:val="20"/>
          <w:szCs w:val="20"/>
        </w:rPr>
      </w:pPr>
      <w:r w:rsidRPr="000823DF">
        <w:rPr>
          <w:rFonts w:asciiTheme="majorHAnsi" w:hAnsiTheme="majorHAnsi" w:cstheme="majorHAnsi"/>
          <w:sz w:val="20"/>
          <w:szCs w:val="20"/>
        </w:rPr>
        <w:t>Over the course of the last few years, t</w:t>
      </w:r>
      <w:r w:rsidR="00FA3CEE" w:rsidRPr="000823DF">
        <w:rPr>
          <w:rFonts w:asciiTheme="majorHAnsi" w:hAnsiTheme="majorHAnsi" w:cstheme="majorHAnsi"/>
          <w:sz w:val="20"/>
          <w:szCs w:val="20"/>
        </w:rPr>
        <w:t xml:space="preserve">he Royal Commission </w:t>
      </w:r>
      <w:r w:rsidRPr="000823DF">
        <w:rPr>
          <w:rFonts w:asciiTheme="majorHAnsi" w:hAnsiTheme="majorHAnsi" w:cstheme="majorHAnsi"/>
          <w:sz w:val="20"/>
          <w:szCs w:val="20"/>
        </w:rPr>
        <w:t>into the Abuse, Neglect, Violence and Exploitation of People with Disability has</w:t>
      </w:r>
      <w:r w:rsidR="00FA3CEE" w:rsidRPr="000823DF">
        <w:rPr>
          <w:rFonts w:asciiTheme="majorHAnsi" w:hAnsiTheme="majorHAnsi" w:cstheme="majorHAnsi"/>
          <w:sz w:val="20"/>
          <w:szCs w:val="20"/>
        </w:rPr>
        <w:t xml:space="preserve"> heard evidence regarding the poor </w:t>
      </w:r>
      <w:r w:rsidR="009716DD" w:rsidRPr="000823DF">
        <w:rPr>
          <w:rFonts w:asciiTheme="majorHAnsi" w:hAnsiTheme="majorHAnsi" w:cstheme="majorHAnsi"/>
          <w:sz w:val="20"/>
          <w:szCs w:val="20"/>
        </w:rPr>
        <w:t xml:space="preserve">education and </w:t>
      </w:r>
      <w:r w:rsidR="00FA3CEE" w:rsidRPr="000823DF">
        <w:rPr>
          <w:rFonts w:asciiTheme="majorHAnsi" w:hAnsiTheme="majorHAnsi" w:cstheme="majorHAnsi"/>
          <w:sz w:val="20"/>
          <w:szCs w:val="20"/>
        </w:rPr>
        <w:t xml:space="preserve">employment outcomes for people with disability in Australia. We invite the </w:t>
      </w:r>
      <w:r w:rsidRPr="000823DF">
        <w:rPr>
          <w:rFonts w:asciiTheme="majorHAnsi" w:hAnsiTheme="majorHAnsi" w:cstheme="majorHAnsi"/>
          <w:sz w:val="20"/>
          <w:szCs w:val="20"/>
        </w:rPr>
        <w:t xml:space="preserve">Australian government </w:t>
      </w:r>
      <w:r w:rsidR="00FA3CEE" w:rsidRPr="000823DF">
        <w:rPr>
          <w:rFonts w:asciiTheme="majorHAnsi" w:hAnsiTheme="majorHAnsi" w:cstheme="majorHAnsi"/>
          <w:sz w:val="20"/>
          <w:szCs w:val="20"/>
        </w:rPr>
        <w:t>to recognise there is a strong nexus between segregated education settings and poor employment outcomes. A 2018 comprehensive review of research by the European Agency for Special Needs and Inclusive Education, concluded that attending a special school setting is correlated with poor academic and vocational qualifications, employment in sheltered workshops, financial dependence, fewer opportunities to live independently, and poor social networks after graduation.</w:t>
      </w:r>
      <w:r w:rsidR="00FA3CEE" w:rsidRPr="000823DF">
        <w:rPr>
          <w:rFonts w:asciiTheme="majorHAnsi" w:hAnsiTheme="majorHAnsi" w:cstheme="majorHAnsi"/>
          <w:sz w:val="20"/>
          <w:szCs w:val="20"/>
          <w:vertAlign w:val="superscript"/>
        </w:rPr>
        <w:footnoteReference w:id="2"/>
      </w:r>
      <w:r w:rsidR="00FA3CEE" w:rsidRPr="000823DF">
        <w:rPr>
          <w:rFonts w:asciiTheme="majorHAnsi" w:hAnsiTheme="majorHAnsi" w:cstheme="majorHAnsi"/>
          <w:sz w:val="20"/>
          <w:szCs w:val="20"/>
        </w:rPr>
        <w:t xml:space="preserve"> </w:t>
      </w:r>
      <w:r w:rsidR="00A57D9C" w:rsidRPr="000823DF">
        <w:rPr>
          <w:rFonts w:asciiTheme="majorHAnsi" w:hAnsiTheme="majorHAnsi" w:cstheme="majorHAnsi"/>
          <w:sz w:val="20"/>
          <w:szCs w:val="20"/>
        </w:rPr>
        <w:t xml:space="preserve">There is no evidence base to support segregated education in any form, including in special schools, units or classrooms.  </w:t>
      </w:r>
    </w:p>
    <w:p w14:paraId="25D8030B" w14:textId="02E179A7" w:rsidR="00A57D9C" w:rsidRPr="000823DF" w:rsidRDefault="00732778" w:rsidP="00A57D9C">
      <w:pPr>
        <w:widowControl w:val="0"/>
        <w:spacing w:before="100" w:beforeAutospacing="1" w:after="200" w:line="360" w:lineRule="auto"/>
        <w:rPr>
          <w:rFonts w:asciiTheme="majorHAnsi" w:hAnsiTheme="majorHAnsi" w:cstheme="majorHAnsi"/>
          <w:sz w:val="20"/>
          <w:szCs w:val="20"/>
        </w:rPr>
      </w:pPr>
      <w:r w:rsidRPr="000823DF">
        <w:rPr>
          <w:rFonts w:asciiTheme="majorHAnsi" w:hAnsiTheme="majorHAnsi" w:cstheme="majorHAnsi"/>
          <w:sz w:val="20"/>
          <w:szCs w:val="20"/>
        </w:rPr>
        <w:lastRenderedPageBreak/>
        <w:t xml:space="preserve">Conversely, </w:t>
      </w:r>
      <w:r w:rsidR="009716DD" w:rsidRPr="000823DF">
        <w:rPr>
          <w:rFonts w:asciiTheme="majorHAnsi" w:hAnsiTheme="majorHAnsi" w:cstheme="majorHAnsi"/>
          <w:sz w:val="20"/>
          <w:szCs w:val="20"/>
        </w:rPr>
        <w:t>d</w:t>
      </w:r>
      <w:r w:rsidRPr="000823DF">
        <w:rPr>
          <w:rFonts w:asciiTheme="majorHAnsi" w:hAnsiTheme="majorHAnsi" w:cstheme="majorHAnsi"/>
          <w:sz w:val="20"/>
          <w:szCs w:val="20"/>
        </w:rPr>
        <w:t>ecades of evidence</w:t>
      </w:r>
      <w:r w:rsidR="00BE7653" w:rsidRPr="000823DF">
        <w:rPr>
          <w:rStyle w:val="FootnoteReference"/>
          <w:rFonts w:asciiTheme="majorHAnsi" w:hAnsiTheme="majorHAnsi" w:cstheme="majorHAnsi"/>
          <w:sz w:val="20"/>
          <w:szCs w:val="20"/>
        </w:rPr>
        <w:footnoteReference w:id="3"/>
      </w:r>
      <w:r w:rsidR="00BE7653" w:rsidRPr="000823DF">
        <w:rPr>
          <w:rFonts w:asciiTheme="majorHAnsi" w:hAnsiTheme="majorHAnsi" w:cstheme="majorHAnsi"/>
          <w:sz w:val="20"/>
          <w:szCs w:val="20"/>
        </w:rPr>
        <w:t xml:space="preserve"> </w:t>
      </w:r>
      <w:r w:rsidR="00BE7653" w:rsidRPr="000823DF">
        <w:rPr>
          <w:rStyle w:val="CommentReference"/>
          <w:rFonts w:asciiTheme="majorHAnsi" w:hAnsiTheme="majorHAnsi" w:cstheme="majorHAnsi"/>
          <w:sz w:val="20"/>
          <w:szCs w:val="20"/>
        </w:rPr>
        <w:t>sh</w:t>
      </w:r>
      <w:r w:rsidR="00A57D9C" w:rsidRPr="000823DF">
        <w:rPr>
          <w:rFonts w:asciiTheme="majorHAnsi" w:hAnsiTheme="majorHAnsi" w:cstheme="majorHAnsi"/>
          <w:sz w:val="20"/>
          <w:szCs w:val="20"/>
        </w:rPr>
        <w:t xml:space="preserve">ows the benefits of inclusive education, including: </w:t>
      </w:r>
    </w:p>
    <w:p w14:paraId="6AF98CF1" w14:textId="77777777" w:rsidR="00A57D9C" w:rsidRPr="000823DF" w:rsidRDefault="00A57D9C" w:rsidP="00A57D9C">
      <w:pPr>
        <w:pStyle w:val="ListParagraph"/>
        <w:widowControl w:val="0"/>
        <w:numPr>
          <w:ilvl w:val="0"/>
          <w:numId w:val="3"/>
        </w:numPr>
        <w:spacing w:before="100" w:beforeAutospacing="1" w:after="200" w:line="360" w:lineRule="auto"/>
        <w:rPr>
          <w:rFonts w:asciiTheme="majorHAnsi" w:hAnsiTheme="majorHAnsi" w:cstheme="majorHAnsi"/>
          <w:sz w:val="20"/>
          <w:szCs w:val="20"/>
        </w:rPr>
      </w:pPr>
      <w:r w:rsidRPr="000823DF">
        <w:rPr>
          <w:rFonts w:asciiTheme="majorHAnsi" w:hAnsiTheme="majorHAnsi" w:cstheme="majorHAnsi"/>
          <w:sz w:val="20"/>
          <w:szCs w:val="20"/>
        </w:rPr>
        <w:t>better academic and vocational outcomes than their peers in non-inclusive settings</w:t>
      </w:r>
    </w:p>
    <w:p w14:paraId="02A0F27D" w14:textId="77777777" w:rsidR="00A57D9C" w:rsidRPr="000823DF" w:rsidRDefault="00A57D9C" w:rsidP="00A57D9C">
      <w:pPr>
        <w:pStyle w:val="ListParagraph"/>
        <w:widowControl w:val="0"/>
        <w:numPr>
          <w:ilvl w:val="0"/>
          <w:numId w:val="3"/>
        </w:numPr>
        <w:spacing w:before="100" w:beforeAutospacing="1" w:after="200" w:line="360" w:lineRule="auto"/>
        <w:rPr>
          <w:rFonts w:asciiTheme="majorHAnsi" w:hAnsiTheme="majorHAnsi" w:cstheme="majorHAnsi"/>
          <w:sz w:val="20"/>
          <w:szCs w:val="20"/>
        </w:rPr>
      </w:pPr>
      <w:r w:rsidRPr="000823DF">
        <w:rPr>
          <w:rFonts w:asciiTheme="majorHAnsi" w:hAnsiTheme="majorHAnsi" w:cstheme="majorHAnsi"/>
          <w:sz w:val="20"/>
          <w:szCs w:val="20"/>
        </w:rPr>
        <w:t>greater social interaction, resulting in more opportunities to establish and maintain friendships</w:t>
      </w:r>
    </w:p>
    <w:p w14:paraId="73835F7A" w14:textId="77777777" w:rsidR="00A57D9C" w:rsidRPr="000823DF" w:rsidRDefault="00A57D9C" w:rsidP="00A57D9C">
      <w:pPr>
        <w:pStyle w:val="ListParagraph"/>
        <w:widowControl w:val="0"/>
        <w:numPr>
          <w:ilvl w:val="0"/>
          <w:numId w:val="3"/>
        </w:numPr>
        <w:spacing w:before="100" w:beforeAutospacing="1" w:after="200" w:line="360" w:lineRule="auto"/>
        <w:rPr>
          <w:rFonts w:asciiTheme="majorHAnsi" w:hAnsiTheme="majorHAnsi" w:cstheme="majorHAnsi"/>
          <w:sz w:val="20"/>
          <w:szCs w:val="20"/>
        </w:rPr>
      </w:pPr>
      <w:r w:rsidRPr="000823DF">
        <w:rPr>
          <w:rFonts w:asciiTheme="majorHAnsi" w:hAnsiTheme="majorHAnsi" w:cstheme="majorHAnsi"/>
          <w:sz w:val="20"/>
          <w:szCs w:val="20"/>
        </w:rPr>
        <w:t>increased independent communication and speech and language development, in turn supporting greater inclusion and active participation</w:t>
      </w:r>
    </w:p>
    <w:p w14:paraId="11F2C2C3" w14:textId="1C47A73C" w:rsidR="00A57D9C" w:rsidRPr="000823DF" w:rsidRDefault="00A57D9C" w:rsidP="00A57D9C">
      <w:pPr>
        <w:pStyle w:val="ListParagraph"/>
        <w:widowControl w:val="0"/>
        <w:numPr>
          <w:ilvl w:val="0"/>
          <w:numId w:val="3"/>
        </w:numPr>
        <w:spacing w:before="100" w:beforeAutospacing="1" w:after="200" w:line="360" w:lineRule="auto"/>
        <w:rPr>
          <w:rFonts w:asciiTheme="majorHAnsi" w:hAnsiTheme="majorHAnsi" w:cstheme="majorHAnsi"/>
          <w:sz w:val="20"/>
          <w:szCs w:val="20"/>
        </w:rPr>
      </w:pPr>
      <w:r w:rsidRPr="000823DF">
        <w:rPr>
          <w:rFonts w:asciiTheme="majorHAnsi" w:hAnsiTheme="majorHAnsi" w:cstheme="majorHAnsi"/>
          <w:sz w:val="20"/>
          <w:szCs w:val="20"/>
        </w:rPr>
        <w:t>a sense of belonging</w:t>
      </w:r>
      <w:r w:rsidR="00BE7653" w:rsidRPr="000823DF">
        <w:rPr>
          <w:rFonts w:asciiTheme="majorHAnsi" w:hAnsiTheme="majorHAnsi" w:cstheme="majorHAnsi"/>
          <w:sz w:val="20"/>
          <w:szCs w:val="20"/>
        </w:rPr>
        <w:t xml:space="preserve"> and a self-concept of </w:t>
      </w:r>
      <w:r w:rsidRPr="000823DF">
        <w:rPr>
          <w:rFonts w:asciiTheme="majorHAnsi" w:hAnsiTheme="majorHAnsi" w:cstheme="majorHAnsi"/>
          <w:sz w:val="20"/>
          <w:szCs w:val="20"/>
        </w:rPr>
        <w:t xml:space="preserve">being </w:t>
      </w:r>
      <w:r w:rsidR="00BE7653" w:rsidRPr="000823DF">
        <w:rPr>
          <w:rFonts w:asciiTheme="majorHAnsi" w:hAnsiTheme="majorHAnsi" w:cstheme="majorHAnsi"/>
          <w:sz w:val="20"/>
          <w:szCs w:val="20"/>
        </w:rPr>
        <w:t xml:space="preserve">a giver of help (not just </w:t>
      </w:r>
      <w:r w:rsidRPr="000823DF">
        <w:rPr>
          <w:rFonts w:asciiTheme="majorHAnsi" w:hAnsiTheme="majorHAnsi" w:cstheme="majorHAnsi"/>
          <w:sz w:val="20"/>
          <w:szCs w:val="20"/>
        </w:rPr>
        <w:t>a receiver of help</w:t>
      </w:r>
      <w:r w:rsidR="00BE7653" w:rsidRPr="000823DF">
        <w:rPr>
          <w:rFonts w:asciiTheme="majorHAnsi" w:hAnsiTheme="majorHAnsi" w:cstheme="majorHAnsi"/>
          <w:sz w:val="20"/>
          <w:szCs w:val="20"/>
        </w:rPr>
        <w:t>)</w:t>
      </w:r>
      <w:r w:rsidRPr="000823DF">
        <w:rPr>
          <w:rFonts w:asciiTheme="majorHAnsi" w:hAnsiTheme="majorHAnsi" w:cstheme="majorHAnsi"/>
          <w:sz w:val="20"/>
          <w:szCs w:val="20"/>
        </w:rPr>
        <w:t xml:space="preserve"> </w:t>
      </w:r>
    </w:p>
    <w:p w14:paraId="29266B90" w14:textId="77777777" w:rsidR="00A57D9C" w:rsidRPr="000823DF" w:rsidRDefault="00A57D9C" w:rsidP="00A57D9C">
      <w:pPr>
        <w:pStyle w:val="ListParagraph"/>
        <w:widowControl w:val="0"/>
        <w:numPr>
          <w:ilvl w:val="0"/>
          <w:numId w:val="3"/>
        </w:numPr>
        <w:spacing w:before="100" w:beforeAutospacing="1" w:after="200" w:line="360" w:lineRule="auto"/>
        <w:rPr>
          <w:rFonts w:asciiTheme="majorHAnsi" w:hAnsiTheme="majorHAnsi" w:cstheme="majorHAnsi"/>
          <w:sz w:val="20"/>
          <w:szCs w:val="20"/>
        </w:rPr>
      </w:pPr>
      <w:r w:rsidRPr="000823DF">
        <w:rPr>
          <w:rFonts w:asciiTheme="majorHAnsi" w:hAnsiTheme="majorHAnsi" w:cstheme="majorHAnsi"/>
          <w:sz w:val="20"/>
          <w:szCs w:val="20"/>
        </w:rPr>
        <w:t>access to a broader range of play and learning activities, which can stimulate physical development and enhance children’s experiences</w:t>
      </w:r>
    </w:p>
    <w:p w14:paraId="41F93A0C" w14:textId="012A69F4" w:rsidR="009716DD" w:rsidRPr="000823DF" w:rsidRDefault="00A57D9C" w:rsidP="00A57D9C">
      <w:pPr>
        <w:pStyle w:val="ListParagraph"/>
        <w:widowControl w:val="0"/>
        <w:numPr>
          <w:ilvl w:val="0"/>
          <w:numId w:val="3"/>
        </w:numPr>
        <w:spacing w:before="100" w:beforeAutospacing="1" w:after="200" w:line="360" w:lineRule="auto"/>
        <w:rPr>
          <w:rFonts w:asciiTheme="majorHAnsi" w:hAnsiTheme="majorHAnsi" w:cstheme="majorHAnsi"/>
          <w:sz w:val="20"/>
          <w:szCs w:val="20"/>
        </w:rPr>
      </w:pPr>
      <w:r w:rsidRPr="000823DF">
        <w:rPr>
          <w:rFonts w:asciiTheme="majorHAnsi" w:hAnsiTheme="majorHAnsi" w:cstheme="majorHAnsi"/>
          <w:sz w:val="20"/>
          <w:szCs w:val="20"/>
        </w:rPr>
        <w:t>Inclusive education also benefits students without disability, teachers and educators, and the wider community</w:t>
      </w:r>
      <w:r w:rsidR="0099309F" w:rsidRPr="000823DF">
        <w:rPr>
          <w:rFonts w:asciiTheme="majorHAnsi" w:hAnsiTheme="majorHAnsi" w:cstheme="majorHAnsi"/>
          <w:sz w:val="20"/>
          <w:szCs w:val="20"/>
        </w:rPr>
        <w:t>.</w:t>
      </w:r>
    </w:p>
    <w:p w14:paraId="1134A3D2" w14:textId="77777777" w:rsidR="00FA3CEE" w:rsidRPr="000823DF" w:rsidRDefault="00A57D9C" w:rsidP="009716DD">
      <w:pPr>
        <w:widowControl w:val="0"/>
        <w:spacing w:before="100" w:beforeAutospacing="1" w:after="200" w:line="360" w:lineRule="auto"/>
        <w:rPr>
          <w:rFonts w:asciiTheme="majorHAnsi" w:hAnsiTheme="majorHAnsi" w:cstheme="majorHAnsi"/>
          <w:sz w:val="20"/>
          <w:szCs w:val="20"/>
        </w:rPr>
      </w:pPr>
      <w:r w:rsidRPr="000823DF">
        <w:rPr>
          <w:rFonts w:asciiTheme="majorHAnsi" w:hAnsiTheme="majorHAnsi" w:cstheme="majorHAnsi"/>
          <w:sz w:val="20"/>
          <w:szCs w:val="20"/>
        </w:rPr>
        <w:t xml:space="preserve">Broadly speaking, Australia’s poor inclusive education record, by continuing to support segregated education, severely limits the possibilities for students with disability, threatens Australia’s human capital development and undercuts future economic development. </w:t>
      </w:r>
      <w:r w:rsidR="00FA3CEE" w:rsidRPr="000823DF">
        <w:rPr>
          <w:rFonts w:asciiTheme="majorHAnsi" w:hAnsiTheme="majorHAnsi" w:cstheme="majorHAnsi"/>
          <w:sz w:val="20"/>
          <w:szCs w:val="20"/>
        </w:rPr>
        <w:t xml:space="preserve">If we are to achieve an inclusive society, </w:t>
      </w:r>
      <w:r w:rsidRPr="000823DF">
        <w:rPr>
          <w:rFonts w:asciiTheme="majorHAnsi" w:hAnsiTheme="majorHAnsi" w:cstheme="majorHAnsi"/>
          <w:sz w:val="20"/>
          <w:szCs w:val="20"/>
        </w:rPr>
        <w:t xml:space="preserve">where people with disability are given the opportunity to participate economically and in the community, </w:t>
      </w:r>
      <w:r w:rsidR="00FA3CEE" w:rsidRPr="000823DF">
        <w:rPr>
          <w:rFonts w:asciiTheme="majorHAnsi" w:hAnsiTheme="majorHAnsi" w:cstheme="majorHAnsi"/>
          <w:sz w:val="20"/>
          <w:szCs w:val="20"/>
        </w:rPr>
        <w:t xml:space="preserve">the Australian government and the State/Territory governments must get serious about ensuring inclusive education becomes a reality in Australia and phase out segregated education settings. We must remember that today’s student peers are tomorrow’s employers. </w:t>
      </w:r>
    </w:p>
    <w:p w14:paraId="2B7D7161" w14:textId="77777777" w:rsidR="00FA3CEE" w:rsidRPr="000823DF" w:rsidRDefault="00FA3CEE" w:rsidP="009716DD">
      <w:pPr>
        <w:widowControl w:val="0"/>
        <w:spacing w:before="100" w:beforeAutospacing="1" w:after="200" w:line="360" w:lineRule="auto"/>
        <w:rPr>
          <w:rFonts w:asciiTheme="majorHAnsi" w:hAnsiTheme="majorHAnsi" w:cstheme="majorHAnsi"/>
          <w:sz w:val="20"/>
          <w:szCs w:val="20"/>
        </w:rPr>
      </w:pPr>
      <w:r w:rsidRPr="000823DF">
        <w:rPr>
          <w:rFonts w:asciiTheme="majorHAnsi" w:hAnsiTheme="majorHAnsi" w:cstheme="majorHAnsi"/>
          <w:sz w:val="20"/>
          <w:szCs w:val="20"/>
        </w:rPr>
        <w:t>To this end, the Australian Coalition for Inclusive Education has already developed a 10 year plan and we strongly</w:t>
      </w:r>
      <w:r w:rsidRPr="000823DF">
        <w:rPr>
          <w:rFonts w:asciiTheme="majorHAnsi" w:hAnsiTheme="majorHAnsi" w:cstheme="majorHAnsi"/>
          <w:b/>
          <w:sz w:val="20"/>
          <w:szCs w:val="20"/>
        </w:rPr>
        <w:t xml:space="preserve"> recommend the adoption and implementation of, </w:t>
      </w:r>
      <w:hyperlink r:id="rId11" w:history="1">
        <w:r w:rsidRPr="000823DF">
          <w:rPr>
            <w:rStyle w:val="Hyperlink"/>
            <w:rFonts w:asciiTheme="majorHAnsi" w:hAnsiTheme="majorHAnsi" w:cstheme="majorHAnsi"/>
            <w:b/>
            <w:i/>
            <w:sz w:val="20"/>
            <w:szCs w:val="20"/>
          </w:rPr>
          <w:t>Driving change: A Roadmap for achieving inclusive education in Australia</w:t>
        </w:r>
      </w:hyperlink>
      <w:r w:rsidRPr="000823DF">
        <w:rPr>
          <w:rFonts w:asciiTheme="majorHAnsi" w:hAnsiTheme="majorHAnsi" w:cstheme="majorHAnsi"/>
          <w:sz w:val="20"/>
          <w:szCs w:val="20"/>
        </w:rPr>
        <w:t xml:space="preserve"> to help realise equitable education outcomes for students with disability and prevent violence, abuse, neglect and exploitation of students with disability. The </w:t>
      </w:r>
      <w:proofErr w:type="gramStart"/>
      <w:r w:rsidRPr="000823DF">
        <w:rPr>
          <w:rFonts w:asciiTheme="majorHAnsi" w:hAnsiTheme="majorHAnsi" w:cstheme="majorHAnsi"/>
          <w:sz w:val="20"/>
          <w:szCs w:val="20"/>
        </w:rPr>
        <w:t>10 year</w:t>
      </w:r>
      <w:proofErr w:type="gramEnd"/>
      <w:r w:rsidRPr="000823DF">
        <w:rPr>
          <w:rFonts w:asciiTheme="majorHAnsi" w:hAnsiTheme="majorHAnsi" w:cstheme="majorHAnsi"/>
          <w:sz w:val="20"/>
          <w:szCs w:val="20"/>
        </w:rPr>
        <w:t xml:space="preserve"> plan is underpinned by six pillars that are drawn from the evidence base and embed the rights of students as outlined in the UNCRPD:</w:t>
      </w:r>
    </w:p>
    <w:p w14:paraId="067351A9" w14:textId="77777777" w:rsidR="00FA3CEE" w:rsidRPr="000823DF" w:rsidRDefault="00FA3CEE" w:rsidP="009716DD">
      <w:pPr>
        <w:pStyle w:val="ListParagraph"/>
        <w:widowControl w:val="0"/>
        <w:numPr>
          <w:ilvl w:val="0"/>
          <w:numId w:val="1"/>
        </w:numPr>
        <w:spacing w:before="100" w:beforeAutospacing="1" w:after="200" w:line="240" w:lineRule="auto"/>
        <w:ind w:left="714" w:hanging="357"/>
        <w:rPr>
          <w:rFonts w:asciiTheme="majorHAnsi" w:hAnsiTheme="majorHAnsi" w:cstheme="majorHAnsi"/>
          <w:sz w:val="20"/>
          <w:szCs w:val="20"/>
        </w:rPr>
      </w:pPr>
      <w:r w:rsidRPr="000823DF">
        <w:rPr>
          <w:rFonts w:asciiTheme="majorHAnsi" w:hAnsiTheme="majorHAnsi" w:cstheme="majorHAnsi"/>
          <w:sz w:val="20"/>
          <w:szCs w:val="20"/>
        </w:rPr>
        <w:t xml:space="preserve">Ensure inclusive education </w:t>
      </w:r>
    </w:p>
    <w:p w14:paraId="11107572" w14:textId="77777777" w:rsidR="00FA3CEE" w:rsidRPr="000823DF" w:rsidRDefault="00FA3CEE" w:rsidP="009716DD">
      <w:pPr>
        <w:pStyle w:val="ListParagraph"/>
        <w:widowControl w:val="0"/>
        <w:numPr>
          <w:ilvl w:val="0"/>
          <w:numId w:val="1"/>
        </w:numPr>
        <w:spacing w:before="100" w:beforeAutospacing="1" w:after="200" w:line="240" w:lineRule="auto"/>
        <w:ind w:left="714" w:hanging="357"/>
        <w:rPr>
          <w:rFonts w:asciiTheme="majorHAnsi" w:hAnsiTheme="majorHAnsi" w:cstheme="majorHAnsi"/>
          <w:sz w:val="20"/>
          <w:szCs w:val="20"/>
        </w:rPr>
      </w:pPr>
      <w:r w:rsidRPr="000823DF">
        <w:rPr>
          <w:rFonts w:asciiTheme="majorHAnsi" w:hAnsiTheme="majorHAnsi" w:cstheme="majorHAnsi"/>
          <w:sz w:val="20"/>
          <w:szCs w:val="20"/>
        </w:rPr>
        <w:t>Phase out segregated schools</w:t>
      </w:r>
    </w:p>
    <w:p w14:paraId="3F7660F8" w14:textId="77777777" w:rsidR="00FA3CEE" w:rsidRPr="000823DF" w:rsidRDefault="00FA3CEE" w:rsidP="009716DD">
      <w:pPr>
        <w:pStyle w:val="ListParagraph"/>
        <w:widowControl w:val="0"/>
        <w:numPr>
          <w:ilvl w:val="0"/>
          <w:numId w:val="1"/>
        </w:numPr>
        <w:spacing w:before="100" w:beforeAutospacing="1" w:after="200" w:line="240" w:lineRule="auto"/>
        <w:ind w:left="714" w:hanging="357"/>
        <w:rPr>
          <w:rFonts w:asciiTheme="majorHAnsi" w:hAnsiTheme="majorHAnsi" w:cstheme="majorHAnsi"/>
          <w:sz w:val="20"/>
          <w:szCs w:val="20"/>
        </w:rPr>
      </w:pPr>
      <w:r w:rsidRPr="000823DF">
        <w:rPr>
          <w:rFonts w:asciiTheme="majorHAnsi" w:hAnsiTheme="majorHAnsi" w:cstheme="majorHAnsi"/>
          <w:sz w:val="20"/>
          <w:szCs w:val="20"/>
        </w:rPr>
        <w:t>Improve educational outcomes</w:t>
      </w:r>
    </w:p>
    <w:p w14:paraId="3B72D9AB" w14:textId="77777777" w:rsidR="00FA3CEE" w:rsidRPr="000823DF" w:rsidRDefault="00FA3CEE" w:rsidP="009716DD">
      <w:pPr>
        <w:pStyle w:val="ListParagraph"/>
        <w:widowControl w:val="0"/>
        <w:numPr>
          <w:ilvl w:val="0"/>
          <w:numId w:val="1"/>
        </w:numPr>
        <w:spacing w:before="100" w:beforeAutospacing="1" w:after="200" w:line="240" w:lineRule="auto"/>
        <w:ind w:left="714" w:hanging="357"/>
        <w:rPr>
          <w:rFonts w:asciiTheme="majorHAnsi" w:hAnsiTheme="majorHAnsi" w:cstheme="majorHAnsi"/>
          <w:sz w:val="20"/>
          <w:szCs w:val="20"/>
        </w:rPr>
      </w:pPr>
      <w:r w:rsidRPr="000823DF">
        <w:rPr>
          <w:rFonts w:asciiTheme="majorHAnsi" w:hAnsiTheme="majorHAnsi" w:cstheme="majorHAnsi"/>
          <w:sz w:val="20"/>
          <w:szCs w:val="20"/>
        </w:rPr>
        <w:t>Stop gatekeeping and other discrimination</w:t>
      </w:r>
    </w:p>
    <w:p w14:paraId="40154B37" w14:textId="77777777" w:rsidR="00FA3CEE" w:rsidRPr="000823DF" w:rsidRDefault="00FA3CEE" w:rsidP="009716DD">
      <w:pPr>
        <w:pStyle w:val="ListParagraph"/>
        <w:widowControl w:val="0"/>
        <w:numPr>
          <w:ilvl w:val="0"/>
          <w:numId w:val="1"/>
        </w:numPr>
        <w:spacing w:before="100" w:beforeAutospacing="1" w:after="200" w:line="240" w:lineRule="auto"/>
        <w:ind w:left="714" w:hanging="357"/>
        <w:rPr>
          <w:rFonts w:asciiTheme="majorHAnsi" w:hAnsiTheme="majorHAnsi" w:cstheme="majorHAnsi"/>
          <w:sz w:val="20"/>
          <w:szCs w:val="20"/>
        </w:rPr>
      </w:pPr>
      <w:r w:rsidRPr="000823DF">
        <w:rPr>
          <w:rFonts w:asciiTheme="majorHAnsi" w:hAnsiTheme="majorHAnsi" w:cstheme="majorHAnsi"/>
          <w:sz w:val="20"/>
          <w:szCs w:val="20"/>
        </w:rPr>
        <w:t>Eliminate restrictive practice</w:t>
      </w:r>
    </w:p>
    <w:p w14:paraId="0BF34B82" w14:textId="77777777" w:rsidR="00FA3CEE" w:rsidRPr="000823DF" w:rsidRDefault="00FA3CEE" w:rsidP="009716DD">
      <w:pPr>
        <w:pStyle w:val="ListParagraph"/>
        <w:widowControl w:val="0"/>
        <w:numPr>
          <w:ilvl w:val="0"/>
          <w:numId w:val="1"/>
        </w:numPr>
        <w:spacing w:before="100" w:beforeAutospacing="1" w:after="200" w:line="240" w:lineRule="auto"/>
        <w:ind w:left="714" w:hanging="357"/>
        <w:rPr>
          <w:rFonts w:asciiTheme="majorHAnsi" w:hAnsiTheme="majorHAnsi" w:cstheme="majorHAnsi"/>
          <w:sz w:val="20"/>
          <w:szCs w:val="20"/>
        </w:rPr>
      </w:pPr>
      <w:r w:rsidRPr="000823DF">
        <w:rPr>
          <w:rFonts w:asciiTheme="majorHAnsi" w:hAnsiTheme="majorHAnsi" w:cstheme="majorHAnsi"/>
          <w:sz w:val="20"/>
          <w:szCs w:val="20"/>
        </w:rPr>
        <w:t xml:space="preserve">Prevent suspensions and expulsions. </w:t>
      </w:r>
    </w:p>
    <w:p w14:paraId="0FA47B7E" w14:textId="77777777" w:rsidR="00FA3CEE" w:rsidRPr="000823DF" w:rsidRDefault="00FA3CEE" w:rsidP="009716DD">
      <w:pPr>
        <w:widowControl w:val="0"/>
        <w:spacing w:before="100" w:beforeAutospacing="1" w:after="200" w:line="360" w:lineRule="auto"/>
        <w:rPr>
          <w:rFonts w:asciiTheme="majorHAnsi" w:hAnsiTheme="majorHAnsi" w:cstheme="majorHAnsi"/>
          <w:sz w:val="20"/>
          <w:szCs w:val="20"/>
        </w:rPr>
      </w:pPr>
      <w:r w:rsidRPr="000823DF">
        <w:rPr>
          <w:rFonts w:asciiTheme="majorHAnsi" w:hAnsiTheme="majorHAnsi" w:cstheme="majorHAnsi"/>
          <w:sz w:val="20"/>
          <w:szCs w:val="20"/>
        </w:rPr>
        <w:t xml:space="preserve">The Roadmap has two key sections: the outcomes that need to occur, stepped out over the next 10 years, and the key levers for change needed to realise these outcomes. </w:t>
      </w:r>
    </w:p>
    <w:p w14:paraId="57DE75AA" w14:textId="77777777" w:rsidR="002C6B4C" w:rsidRDefault="002C6B4C" w:rsidP="009716DD">
      <w:pPr>
        <w:widowControl w:val="0"/>
        <w:spacing w:before="100" w:beforeAutospacing="1" w:after="200" w:line="360" w:lineRule="auto"/>
        <w:rPr>
          <w:rFonts w:asciiTheme="majorHAnsi" w:hAnsiTheme="majorHAnsi" w:cstheme="majorHAnsi"/>
          <w:b/>
          <w:color w:val="92D050"/>
          <w:sz w:val="24"/>
          <w:szCs w:val="24"/>
        </w:rPr>
      </w:pPr>
    </w:p>
    <w:p w14:paraId="34224C44" w14:textId="137DB03B" w:rsidR="00FA3CEE" w:rsidRPr="000823DF" w:rsidRDefault="00FA3CEE" w:rsidP="009716DD">
      <w:pPr>
        <w:widowControl w:val="0"/>
        <w:spacing w:before="100" w:beforeAutospacing="1" w:after="200" w:line="360" w:lineRule="auto"/>
        <w:rPr>
          <w:rFonts w:asciiTheme="majorHAnsi" w:hAnsiTheme="majorHAnsi" w:cstheme="majorHAnsi"/>
          <w:color w:val="92D050"/>
          <w:sz w:val="24"/>
          <w:szCs w:val="24"/>
        </w:rPr>
      </w:pPr>
      <w:r w:rsidRPr="000823DF">
        <w:rPr>
          <w:rFonts w:asciiTheme="majorHAnsi" w:hAnsiTheme="majorHAnsi" w:cstheme="majorHAnsi"/>
          <w:b/>
          <w:color w:val="92D050"/>
          <w:sz w:val="24"/>
          <w:szCs w:val="24"/>
        </w:rPr>
        <w:lastRenderedPageBreak/>
        <w:t>Reform Teacher Standards</w:t>
      </w:r>
      <w:r w:rsidRPr="000823DF">
        <w:rPr>
          <w:rFonts w:asciiTheme="majorHAnsi" w:hAnsiTheme="majorHAnsi" w:cstheme="majorHAnsi"/>
          <w:color w:val="92D050"/>
          <w:sz w:val="24"/>
          <w:szCs w:val="24"/>
        </w:rPr>
        <w:t xml:space="preserve"> </w:t>
      </w:r>
    </w:p>
    <w:p w14:paraId="22D4AF16" w14:textId="7E3302B1" w:rsidR="00FA3CEE" w:rsidRDefault="00FA3CEE" w:rsidP="009716DD">
      <w:pPr>
        <w:widowControl w:val="0"/>
        <w:spacing w:before="100" w:beforeAutospacing="1" w:after="200" w:line="360" w:lineRule="auto"/>
        <w:rPr>
          <w:rFonts w:asciiTheme="majorHAnsi" w:hAnsiTheme="majorHAnsi" w:cstheme="majorHAnsi"/>
          <w:sz w:val="20"/>
          <w:szCs w:val="20"/>
        </w:rPr>
      </w:pPr>
      <w:r w:rsidRPr="000823DF">
        <w:rPr>
          <w:rFonts w:asciiTheme="majorHAnsi" w:hAnsiTheme="majorHAnsi" w:cstheme="majorHAnsi"/>
          <w:sz w:val="20"/>
          <w:szCs w:val="20"/>
        </w:rPr>
        <w:t xml:space="preserve">Significant steps have been taken in recent years towards a consistent national approach to education. The resulting National Curriculum, Graduate Teacher Standards, and the National Quality Framework (and Standards) provide a strong basis from which to continue to build a national approach to inclusive education. However, presently the Teacher Standards (at all levels) can be achieved in whichever way that tertiary institutions see fit. To adequately support the development of inclusive teachers (and to meet the requirements of the United Nations), it is essential that all teacher graduates have passed required </w:t>
      </w:r>
      <w:r w:rsidRPr="000823DF">
        <w:rPr>
          <w:rFonts w:asciiTheme="majorHAnsi" w:hAnsiTheme="majorHAnsi" w:cstheme="majorHAnsi"/>
          <w:i/>
          <w:sz w:val="20"/>
          <w:szCs w:val="20"/>
        </w:rPr>
        <w:t>at least one</w:t>
      </w:r>
      <w:r w:rsidRPr="000823DF">
        <w:rPr>
          <w:rFonts w:asciiTheme="majorHAnsi" w:hAnsiTheme="majorHAnsi" w:cstheme="majorHAnsi"/>
          <w:sz w:val="20"/>
          <w:szCs w:val="20"/>
        </w:rPr>
        <w:t xml:space="preserve"> dedicated course on inclusive education, teaching to diversity and Universal Design for Learning. Currently many teacher education courses only provide electives, partial focus on inclusive education (within units focusing on other aspects of education), or focus on ‘special education’, not inclusion.</w:t>
      </w:r>
    </w:p>
    <w:p w14:paraId="2D38BCB1" w14:textId="0C54D75F" w:rsidR="000823DF" w:rsidRPr="000823DF" w:rsidRDefault="00541448" w:rsidP="009716DD">
      <w:pPr>
        <w:widowControl w:val="0"/>
        <w:spacing w:before="100" w:beforeAutospacing="1" w:after="200" w:line="360" w:lineRule="auto"/>
        <w:rPr>
          <w:rFonts w:asciiTheme="majorHAnsi" w:hAnsiTheme="majorHAnsi" w:cstheme="majorHAnsi"/>
          <w:b/>
          <w:color w:val="92D050"/>
          <w:sz w:val="24"/>
          <w:szCs w:val="24"/>
        </w:rPr>
      </w:pPr>
      <w:r>
        <w:rPr>
          <w:rFonts w:asciiTheme="majorHAnsi" w:hAnsiTheme="majorHAnsi" w:cstheme="majorHAnsi"/>
          <w:b/>
          <w:color w:val="92D050"/>
          <w:sz w:val="24"/>
          <w:szCs w:val="24"/>
        </w:rPr>
        <w:t xml:space="preserve">Relevant </w:t>
      </w:r>
      <w:r w:rsidR="000823DF" w:rsidRPr="000823DF">
        <w:rPr>
          <w:rFonts w:asciiTheme="majorHAnsi" w:hAnsiTheme="majorHAnsi" w:cstheme="majorHAnsi"/>
          <w:b/>
          <w:color w:val="92D050"/>
          <w:sz w:val="24"/>
          <w:szCs w:val="24"/>
        </w:rPr>
        <w:t xml:space="preserve">Questions from the </w:t>
      </w:r>
      <w:r>
        <w:rPr>
          <w:rFonts w:asciiTheme="majorHAnsi" w:hAnsiTheme="majorHAnsi" w:cstheme="majorHAnsi"/>
          <w:b/>
          <w:color w:val="92D050"/>
          <w:sz w:val="24"/>
          <w:szCs w:val="24"/>
        </w:rPr>
        <w:t xml:space="preserve">QITE </w:t>
      </w:r>
      <w:r w:rsidR="000823DF" w:rsidRPr="000823DF">
        <w:rPr>
          <w:rFonts w:asciiTheme="majorHAnsi" w:hAnsiTheme="majorHAnsi" w:cstheme="majorHAnsi"/>
          <w:b/>
          <w:color w:val="92D050"/>
          <w:sz w:val="24"/>
          <w:szCs w:val="24"/>
        </w:rPr>
        <w:t>Discussion Paper</w:t>
      </w:r>
    </w:p>
    <w:p w14:paraId="544DA56D" w14:textId="33488A2F" w:rsidR="005206B9" w:rsidRPr="000823DF" w:rsidRDefault="00FA3CEE" w:rsidP="005D6448">
      <w:pPr>
        <w:widowControl w:val="0"/>
        <w:spacing w:before="100" w:beforeAutospacing="1" w:after="200" w:line="360" w:lineRule="auto"/>
        <w:rPr>
          <w:rFonts w:asciiTheme="majorHAnsi" w:hAnsiTheme="majorHAnsi" w:cstheme="majorHAnsi"/>
          <w:b/>
          <w:sz w:val="20"/>
          <w:szCs w:val="20"/>
        </w:rPr>
      </w:pPr>
      <w:r w:rsidRPr="000823DF">
        <w:rPr>
          <w:rFonts w:asciiTheme="majorHAnsi" w:hAnsiTheme="majorHAnsi" w:cstheme="majorHAnsi"/>
          <w:b/>
          <w:sz w:val="20"/>
          <w:szCs w:val="20"/>
        </w:rPr>
        <w:t>How could more high-quality candidates from diverse backgrounds be encouraged to con</w:t>
      </w:r>
      <w:r w:rsidR="005206B9" w:rsidRPr="000823DF">
        <w:rPr>
          <w:rFonts w:asciiTheme="majorHAnsi" w:hAnsiTheme="majorHAnsi" w:cstheme="majorHAnsi"/>
          <w:b/>
          <w:sz w:val="20"/>
          <w:szCs w:val="20"/>
        </w:rPr>
        <w:t xml:space="preserve">sider a career in teaching? </w:t>
      </w:r>
    </w:p>
    <w:p w14:paraId="41D0168C" w14:textId="77777777" w:rsidR="00FA3CEE" w:rsidRPr="000823DF" w:rsidRDefault="00FA3CEE" w:rsidP="009716DD">
      <w:pPr>
        <w:widowControl w:val="0"/>
        <w:spacing w:before="100" w:beforeAutospacing="1" w:after="200" w:line="360" w:lineRule="auto"/>
        <w:rPr>
          <w:rFonts w:asciiTheme="majorHAnsi" w:hAnsiTheme="majorHAnsi" w:cstheme="majorHAnsi"/>
          <w:sz w:val="20"/>
          <w:szCs w:val="20"/>
        </w:rPr>
      </w:pPr>
      <w:r w:rsidRPr="000823DF">
        <w:rPr>
          <w:rFonts w:asciiTheme="majorHAnsi" w:hAnsiTheme="majorHAnsi" w:cstheme="majorHAnsi"/>
          <w:sz w:val="20"/>
          <w:szCs w:val="20"/>
        </w:rPr>
        <w:t>Formalise a commitment to recruitment of people with disability</w:t>
      </w:r>
      <w:r w:rsidR="005206B9" w:rsidRPr="000823DF">
        <w:rPr>
          <w:rFonts w:asciiTheme="majorHAnsi" w:hAnsiTheme="majorHAnsi" w:cstheme="majorHAnsi"/>
          <w:sz w:val="20"/>
          <w:szCs w:val="20"/>
        </w:rPr>
        <w:t xml:space="preserve">. Ensure ITE is accessible. </w:t>
      </w:r>
      <w:r w:rsidRPr="000823DF">
        <w:rPr>
          <w:rFonts w:asciiTheme="majorHAnsi" w:hAnsiTheme="majorHAnsi" w:cstheme="majorHAnsi"/>
          <w:sz w:val="20"/>
          <w:szCs w:val="20"/>
        </w:rPr>
        <w:t>Commit to greater accessibility within schools</w:t>
      </w:r>
      <w:r w:rsidR="005206B9" w:rsidRPr="000823DF">
        <w:rPr>
          <w:rFonts w:asciiTheme="majorHAnsi" w:hAnsiTheme="majorHAnsi" w:cstheme="majorHAnsi"/>
          <w:sz w:val="20"/>
          <w:szCs w:val="20"/>
        </w:rPr>
        <w:t>.</w:t>
      </w:r>
    </w:p>
    <w:p w14:paraId="7A10641A" w14:textId="77777777" w:rsidR="002C6B4C" w:rsidRDefault="002C6B4C" w:rsidP="009716DD">
      <w:pPr>
        <w:widowControl w:val="0"/>
        <w:spacing w:before="100" w:beforeAutospacing="1" w:after="200" w:line="360" w:lineRule="auto"/>
        <w:rPr>
          <w:rFonts w:asciiTheme="majorHAnsi" w:hAnsiTheme="majorHAnsi" w:cstheme="majorHAnsi"/>
          <w:b/>
          <w:sz w:val="20"/>
          <w:szCs w:val="20"/>
        </w:rPr>
      </w:pPr>
    </w:p>
    <w:p w14:paraId="66FDCB6E" w14:textId="3308F79F" w:rsidR="006F0DB8" w:rsidRPr="000823DF" w:rsidRDefault="006F0DB8" w:rsidP="009716DD">
      <w:pPr>
        <w:widowControl w:val="0"/>
        <w:spacing w:before="100" w:beforeAutospacing="1" w:after="200" w:line="360" w:lineRule="auto"/>
        <w:rPr>
          <w:rFonts w:asciiTheme="majorHAnsi" w:hAnsiTheme="majorHAnsi" w:cstheme="majorHAnsi"/>
          <w:b/>
          <w:sz w:val="20"/>
          <w:szCs w:val="20"/>
        </w:rPr>
      </w:pPr>
      <w:r w:rsidRPr="000823DF">
        <w:rPr>
          <w:rFonts w:asciiTheme="majorHAnsi" w:hAnsiTheme="majorHAnsi" w:cstheme="majorHAnsi"/>
          <w:b/>
          <w:sz w:val="20"/>
          <w:szCs w:val="20"/>
        </w:rPr>
        <w:t xml:space="preserve">Should more be done to identify suitability for a career in teaching earlier in the degree or before entry to ITE? What might this look like? </w:t>
      </w:r>
    </w:p>
    <w:p w14:paraId="31721B3F" w14:textId="47EDFC89" w:rsidR="006F0DB8" w:rsidRPr="000823DF" w:rsidRDefault="006F0DB8" w:rsidP="009716DD">
      <w:pPr>
        <w:widowControl w:val="0"/>
        <w:spacing w:before="100" w:beforeAutospacing="1" w:after="200" w:line="360" w:lineRule="auto"/>
        <w:rPr>
          <w:rFonts w:asciiTheme="majorHAnsi" w:hAnsiTheme="majorHAnsi" w:cstheme="majorHAnsi"/>
          <w:sz w:val="20"/>
          <w:szCs w:val="20"/>
        </w:rPr>
      </w:pPr>
      <w:r w:rsidRPr="000823DF">
        <w:rPr>
          <w:rFonts w:asciiTheme="majorHAnsi" w:hAnsiTheme="majorHAnsi" w:cstheme="majorHAnsi"/>
          <w:sz w:val="20"/>
          <w:szCs w:val="20"/>
        </w:rPr>
        <w:t xml:space="preserve">More placement opportunities with observation moving through to full day teaching.  All universities do this differently so </w:t>
      </w:r>
      <w:r w:rsidR="0099309F" w:rsidRPr="000823DF">
        <w:rPr>
          <w:rFonts w:asciiTheme="majorHAnsi" w:hAnsiTheme="majorHAnsi" w:cstheme="majorHAnsi"/>
          <w:sz w:val="20"/>
          <w:szCs w:val="20"/>
        </w:rPr>
        <w:t xml:space="preserve">the process is </w:t>
      </w:r>
      <w:r w:rsidRPr="000823DF">
        <w:rPr>
          <w:rFonts w:asciiTheme="majorHAnsi" w:hAnsiTheme="majorHAnsi" w:cstheme="majorHAnsi"/>
          <w:sz w:val="20"/>
          <w:szCs w:val="20"/>
        </w:rPr>
        <w:t>full of inconsistencie</w:t>
      </w:r>
      <w:r w:rsidR="00732778" w:rsidRPr="000823DF">
        <w:rPr>
          <w:rFonts w:asciiTheme="majorHAnsi" w:hAnsiTheme="majorHAnsi" w:cstheme="majorHAnsi"/>
          <w:sz w:val="20"/>
          <w:szCs w:val="20"/>
        </w:rPr>
        <w:t>s. I</w:t>
      </w:r>
      <w:r w:rsidRPr="000823DF">
        <w:rPr>
          <w:rFonts w:asciiTheme="majorHAnsi" w:hAnsiTheme="majorHAnsi" w:cstheme="majorHAnsi"/>
          <w:sz w:val="20"/>
          <w:szCs w:val="20"/>
        </w:rPr>
        <w:t xml:space="preserve">TE </w:t>
      </w:r>
      <w:r w:rsidR="00732778" w:rsidRPr="000823DF">
        <w:rPr>
          <w:rFonts w:asciiTheme="majorHAnsi" w:hAnsiTheme="majorHAnsi" w:cstheme="majorHAnsi"/>
          <w:sz w:val="20"/>
          <w:szCs w:val="20"/>
        </w:rPr>
        <w:t xml:space="preserve">students </w:t>
      </w:r>
      <w:r w:rsidR="009716DD" w:rsidRPr="000823DF">
        <w:rPr>
          <w:rFonts w:asciiTheme="majorHAnsi" w:hAnsiTheme="majorHAnsi" w:cstheme="majorHAnsi"/>
          <w:sz w:val="20"/>
          <w:szCs w:val="20"/>
        </w:rPr>
        <w:t xml:space="preserve">ought to be </w:t>
      </w:r>
      <w:r w:rsidRPr="000823DF">
        <w:rPr>
          <w:rFonts w:asciiTheme="majorHAnsi" w:hAnsiTheme="majorHAnsi" w:cstheme="majorHAnsi"/>
          <w:sz w:val="20"/>
          <w:szCs w:val="20"/>
        </w:rPr>
        <w:t>mandated for general classrooms working with students with disability</w:t>
      </w:r>
      <w:r w:rsidR="009716DD" w:rsidRPr="000823DF">
        <w:rPr>
          <w:rFonts w:asciiTheme="majorHAnsi" w:hAnsiTheme="majorHAnsi" w:cstheme="majorHAnsi"/>
          <w:sz w:val="20"/>
          <w:szCs w:val="20"/>
        </w:rPr>
        <w:t xml:space="preserve"> to build capacity</w:t>
      </w:r>
      <w:r w:rsidRPr="000823DF">
        <w:rPr>
          <w:rFonts w:asciiTheme="majorHAnsi" w:hAnsiTheme="majorHAnsi" w:cstheme="majorHAnsi"/>
          <w:sz w:val="20"/>
          <w:szCs w:val="20"/>
        </w:rPr>
        <w:t>.</w:t>
      </w:r>
    </w:p>
    <w:p w14:paraId="59CD4626" w14:textId="77777777" w:rsidR="002C6B4C" w:rsidRDefault="002C6B4C" w:rsidP="009716DD">
      <w:pPr>
        <w:widowControl w:val="0"/>
        <w:spacing w:before="100" w:beforeAutospacing="1" w:after="200" w:line="360" w:lineRule="auto"/>
        <w:rPr>
          <w:rFonts w:asciiTheme="majorHAnsi" w:hAnsiTheme="majorHAnsi" w:cstheme="majorHAnsi"/>
          <w:b/>
          <w:sz w:val="20"/>
          <w:szCs w:val="20"/>
        </w:rPr>
      </w:pPr>
    </w:p>
    <w:p w14:paraId="018C0307" w14:textId="3D860727" w:rsidR="005206B9" w:rsidRPr="000823DF" w:rsidRDefault="00FA3CEE" w:rsidP="009716DD">
      <w:pPr>
        <w:widowControl w:val="0"/>
        <w:spacing w:before="100" w:beforeAutospacing="1" w:after="200" w:line="360" w:lineRule="auto"/>
        <w:rPr>
          <w:rFonts w:asciiTheme="majorHAnsi" w:hAnsiTheme="majorHAnsi" w:cstheme="majorHAnsi"/>
          <w:b/>
          <w:sz w:val="20"/>
          <w:szCs w:val="20"/>
        </w:rPr>
      </w:pPr>
      <w:r w:rsidRPr="000823DF">
        <w:rPr>
          <w:rFonts w:asciiTheme="majorHAnsi" w:hAnsiTheme="majorHAnsi" w:cstheme="majorHAnsi"/>
          <w:b/>
          <w:sz w:val="20"/>
          <w:szCs w:val="20"/>
        </w:rPr>
        <w:t>Have you experienced teacher shortages? Has it been in a particular subject area or re</w:t>
      </w:r>
      <w:r w:rsidR="005206B9" w:rsidRPr="000823DF">
        <w:rPr>
          <w:rFonts w:asciiTheme="majorHAnsi" w:hAnsiTheme="majorHAnsi" w:cstheme="majorHAnsi"/>
          <w:b/>
          <w:sz w:val="20"/>
          <w:szCs w:val="20"/>
        </w:rPr>
        <w:t>gion?</w:t>
      </w:r>
    </w:p>
    <w:p w14:paraId="735CCD6D" w14:textId="179C818A" w:rsidR="00FA3CEE" w:rsidRPr="000823DF" w:rsidRDefault="00FA3CEE" w:rsidP="009716DD">
      <w:pPr>
        <w:widowControl w:val="0"/>
        <w:spacing w:before="100" w:beforeAutospacing="1" w:after="200" w:line="360" w:lineRule="auto"/>
        <w:rPr>
          <w:rFonts w:asciiTheme="majorHAnsi" w:hAnsiTheme="majorHAnsi" w:cstheme="majorHAnsi"/>
          <w:sz w:val="20"/>
          <w:szCs w:val="20"/>
        </w:rPr>
      </w:pPr>
      <w:r w:rsidRPr="000823DF">
        <w:rPr>
          <w:rFonts w:asciiTheme="majorHAnsi" w:hAnsiTheme="majorHAnsi" w:cstheme="majorHAnsi"/>
          <w:sz w:val="20"/>
          <w:szCs w:val="20"/>
        </w:rPr>
        <w:t>Often</w:t>
      </w:r>
      <w:r w:rsidR="005206B9" w:rsidRPr="000823DF">
        <w:rPr>
          <w:rFonts w:asciiTheme="majorHAnsi" w:hAnsiTheme="majorHAnsi" w:cstheme="majorHAnsi"/>
          <w:sz w:val="20"/>
          <w:szCs w:val="20"/>
        </w:rPr>
        <w:t>,</w:t>
      </w:r>
      <w:r w:rsidRPr="000823DF">
        <w:rPr>
          <w:rFonts w:asciiTheme="majorHAnsi" w:hAnsiTheme="majorHAnsi" w:cstheme="majorHAnsi"/>
          <w:sz w:val="20"/>
          <w:szCs w:val="20"/>
        </w:rPr>
        <w:t xml:space="preserve"> inclusion specialists and supporting teachers (not </w:t>
      </w:r>
      <w:r w:rsidR="0099309F" w:rsidRPr="000823DF">
        <w:rPr>
          <w:rFonts w:asciiTheme="majorHAnsi" w:hAnsiTheme="majorHAnsi" w:cstheme="majorHAnsi"/>
          <w:sz w:val="20"/>
          <w:szCs w:val="20"/>
        </w:rPr>
        <w:t xml:space="preserve">teacher’s </w:t>
      </w:r>
      <w:r w:rsidRPr="000823DF">
        <w:rPr>
          <w:rFonts w:asciiTheme="majorHAnsi" w:hAnsiTheme="majorHAnsi" w:cstheme="majorHAnsi"/>
          <w:sz w:val="20"/>
          <w:szCs w:val="20"/>
        </w:rPr>
        <w:t>aide</w:t>
      </w:r>
      <w:r w:rsidR="00732778" w:rsidRPr="000823DF">
        <w:rPr>
          <w:rFonts w:asciiTheme="majorHAnsi" w:hAnsiTheme="majorHAnsi" w:cstheme="majorHAnsi"/>
          <w:sz w:val="20"/>
          <w:szCs w:val="20"/>
        </w:rPr>
        <w:t>s)</w:t>
      </w:r>
      <w:r w:rsidRPr="000823DF">
        <w:rPr>
          <w:rFonts w:asciiTheme="majorHAnsi" w:hAnsiTheme="majorHAnsi" w:cstheme="majorHAnsi"/>
          <w:sz w:val="20"/>
          <w:szCs w:val="20"/>
        </w:rPr>
        <w:t xml:space="preserve"> rationed across schools and limited in their ability to appropriately meet the needs of teachers and therefore students</w:t>
      </w:r>
      <w:r w:rsidR="006F0DB8" w:rsidRPr="000823DF">
        <w:rPr>
          <w:rFonts w:asciiTheme="majorHAnsi" w:hAnsiTheme="majorHAnsi" w:cstheme="majorHAnsi"/>
          <w:sz w:val="20"/>
          <w:szCs w:val="20"/>
        </w:rPr>
        <w:t xml:space="preserve">. Also, so called ‘specialist educators’ that are assigned to only segregate environments lose the potential </w:t>
      </w:r>
      <w:r w:rsidR="009716DD" w:rsidRPr="000823DF">
        <w:rPr>
          <w:rFonts w:asciiTheme="majorHAnsi" w:hAnsiTheme="majorHAnsi" w:cstheme="majorHAnsi"/>
          <w:sz w:val="20"/>
          <w:szCs w:val="20"/>
        </w:rPr>
        <w:t xml:space="preserve">of providing </w:t>
      </w:r>
      <w:r w:rsidR="006F0DB8" w:rsidRPr="000823DF">
        <w:rPr>
          <w:rFonts w:asciiTheme="majorHAnsi" w:hAnsiTheme="majorHAnsi" w:cstheme="majorHAnsi"/>
          <w:sz w:val="20"/>
          <w:szCs w:val="20"/>
        </w:rPr>
        <w:t>teaching practi</w:t>
      </w:r>
      <w:r w:rsidR="0099309F" w:rsidRPr="000823DF">
        <w:rPr>
          <w:rFonts w:asciiTheme="majorHAnsi" w:hAnsiTheme="majorHAnsi" w:cstheme="majorHAnsi"/>
          <w:sz w:val="20"/>
          <w:szCs w:val="20"/>
        </w:rPr>
        <w:t>c</w:t>
      </w:r>
      <w:r w:rsidR="006F0DB8" w:rsidRPr="000823DF">
        <w:rPr>
          <w:rFonts w:asciiTheme="majorHAnsi" w:hAnsiTheme="majorHAnsi" w:cstheme="majorHAnsi"/>
          <w:sz w:val="20"/>
          <w:szCs w:val="20"/>
        </w:rPr>
        <w:t>e</w:t>
      </w:r>
      <w:r w:rsidR="00732778" w:rsidRPr="000823DF">
        <w:rPr>
          <w:rFonts w:asciiTheme="majorHAnsi" w:hAnsiTheme="majorHAnsi" w:cstheme="majorHAnsi"/>
          <w:sz w:val="20"/>
          <w:szCs w:val="20"/>
        </w:rPr>
        <w:t xml:space="preserve">s </w:t>
      </w:r>
      <w:r w:rsidR="000823DF" w:rsidRPr="000823DF">
        <w:rPr>
          <w:rFonts w:asciiTheme="majorHAnsi" w:hAnsiTheme="majorHAnsi" w:cstheme="majorHAnsi"/>
          <w:sz w:val="20"/>
          <w:szCs w:val="20"/>
        </w:rPr>
        <w:t>a</w:t>
      </w:r>
      <w:r w:rsidR="006F0DB8" w:rsidRPr="000823DF">
        <w:rPr>
          <w:rFonts w:asciiTheme="majorHAnsi" w:hAnsiTheme="majorHAnsi" w:cstheme="majorHAnsi"/>
          <w:sz w:val="20"/>
          <w:szCs w:val="20"/>
        </w:rPr>
        <w:t>nd resources useful for general education classes as well.</w:t>
      </w:r>
    </w:p>
    <w:p w14:paraId="183ED535" w14:textId="77777777" w:rsidR="002C6B4C" w:rsidRDefault="002C6B4C" w:rsidP="009716DD">
      <w:pPr>
        <w:widowControl w:val="0"/>
        <w:spacing w:before="100" w:beforeAutospacing="1" w:after="200" w:line="360" w:lineRule="auto"/>
        <w:rPr>
          <w:rFonts w:asciiTheme="majorHAnsi" w:hAnsiTheme="majorHAnsi" w:cstheme="majorHAnsi"/>
          <w:b/>
          <w:sz w:val="20"/>
          <w:szCs w:val="20"/>
        </w:rPr>
      </w:pPr>
    </w:p>
    <w:p w14:paraId="4A41BD0B" w14:textId="1F8A507F" w:rsidR="00A71E76" w:rsidRPr="000823DF" w:rsidRDefault="00FA3CEE" w:rsidP="009716DD">
      <w:pPr>
        <w:widowControl w:val="0"/>
        <w:spacing w:before="100" w:beforeAutospacing="1" w:after="200" w:line="360" w:lineRule="auto"/>
        <w:rPr>
          <w:rFonts w:asciiTheme="majorHAnsi" w:hAnsiTheme="majorHAnsi" w:cstheme="majorHAnsi"/>
          <w:b/>
          <w:sz w:val="20"/>
          <w:szCs w:val="20"/>
        </w:rPr>
      </w:pPr>
      <w:r w:rsidRPr="000823DF">
        <w:rPr>
          <w:rFonts w:asciiTheme="majorHAnsi" w:hAnsiTheme="majorHAnsi" w:cstheme="majorHAnsi"/>
          <w:b/>
          <w:sz w:val="20"/>
          <w:szCs w:val="20"/>
        </w:rPr>
        <w:t>Should something be done to match the supply of teachers from ITE providers with the demands of jurisdictions and secto</w:t>
      </w:r>
      <w:r w:rsidR="00A71E76" w:rsidRPr="000823DF">
        <w:rPr>
          <w:rFonts w:asciiTheme="majorHAnsi" w:hAnsiTheme="majorHAnsi" w:cstheme="majorHAnsi"/>
          <w:b/>
          <w:sz w:val="20"/>
          <w:szCs w:val="20"/>
        </w:rPr>
        <w:t>rs? What would this look like?</w:t>
      </w:r>
      <w:r w:rsidR="00A71E76" w:rsidRPr="000823DF">
        <w:rPr>
          <w:rFonts w:asciiTheme="majorHAnsi" w:hAnsiTheme="majorHAnsi" w:cstheme="majorHAnsi"/>
          <w:b/>
          <w:sz w:val="20"/>
          <w:szCs w:val="20"/>
        </w:rPr>
        <w:tab/>
      </w:r>
    </w:p>
    <w:p w14:paraId="56FE2A55" w14:textId="28FF1FF6" w:rsidR="00FA3CEE" w:rsidRPr="000823DF" w:rsidRDefault="0099309F" w:rsidP="009716DD">
      <w:pPr>
        <w:widowControl w:val="0"/>
        <w:spacing w:before="100" w:beforeAutospacing="1" w:after="200" w:line="360" w:lineRule="auto"/>
        <w:rPr>
          <w:rFonts w:asciiTheme="majorHAnsi" w:hAnsiTheme="majorHAnsi" w:cstheme="majorHAnsi"/>
          <w:sz w:val="20"/>
          <w:szCs w:val="20"/>
        </w:rPr>
      </w:pPr>
      <w:r w:rsidRPr="000823DF">
        <w:rPr>
          <w:rFonts w:asciiTheme="majorHAnsi" w:hAnsiTheme="majorHAnsi" w:cstheme="majorHAnsi"/>
          <w:sz w:val="20"/>
          <w:szCs w:val="20"/>
        </w:rPr>
        <w:t>There is the n</w:t>
      </w:r>
      <w:r w:rsidR="00FA3CEE" w:rsidRPr="000823DF">
        <w:rPr>
          <w:rFonts w:asciiTheme="majorHAnsi" w:hAnsiTheme="majorHAnsi" w:cstheme="majorHAnsi"/>
          <w:sz w:val="20"/>
          <w:szCs w:val="20"/>
        </w:rPr>
        <w:t>ee</w:t>
      </w:r>
      <w:r w:rsidR="00732778" w:rsidRPr="000823DF">
        <w:rPr>
          <w:rFonts w:asciiTheme="majorHAnsi" w:hAnsiTheme="majorHAnsi" w:cstheme="majorHAnsi"/>
          <w:sz w:val="20"/>
          <w:szCs w:val="20"/>
        </w:rPr>
        <w:t>d t</w:t>
      </w:r>
      <w:r w:rsidR="00FA3CEE" w:rsidRPr="000823DF">
        <w:rPr>
          <w:rFonts w:asciiTheme="majorHAnsi" w:hAnsiTheme="majorHAnsi" w:cstheme="majorHAnsi"/>
          <w:sz w:val="20"/>
          <w:szCs w:val="20"/>
        </w:rPr>
        <w:t>o avoid any conflicts of interest that would be created between demand and supply that might risk quality</w:t>
      </w:r>
      <w:r w:rsidR="00A71E76" w:rsidRPr="000823DF">
        <w:rPr>
          <w:rFonts w:asciiTheme="majorHAnsi" w:hAnsiTheme="majorHAnsi" w:cstheme="majorHAnsi"/>
          <w:sz w:val="20"/>
          <w:szCs w:val="20"/>
        </w:rPr>
        <w:t xml:space="preserve">. </w:t>
      </w:r>
      <w:r w:rsidR="00DB71E8" w:rsidRPr="000823DF">
        <w:rPr>
          <w:rFonts w:asciiTheme="majorHAnsi" w:hAnsiTheme="majorHAnsi" w:cstheme="majorHAnsi"/>
          <w:sz w:val="20"/>
          <w:szCs w:val="20"/>
        </w:rPr>
        <w:t>Any commitments need to forward-</w:t>
      </w:r>
      <w:r w:rsidR="00FA3CEE" w:rsidRPr="000823DF">
        <w:rPr>
          <w:rFonts w:asciiTheme="majorHAnsi" w:hAnsiTheme="majorHAnsi" w:cstheme="majorHAnsi"/>
          <w:sz w:val="20"/>
          <w:szCs w:val="20"/>
        </w:rPr>
        <w:t>plan for inclusive education models</w:t>
      </w:r>
      <w:r w:rsidR="00DB71E8" w:rsidRPr="000823DF">
        <w:rPr>
          <w:rFonts w:asciiTheme="majorHAnsi" w:hAnsiTheme="majorHAnsi" w:cstheme="majorHAnsi"/>
          <w:sz w:val="20"/>
          <w:szCs w:val="20"/>
        </w:rPr>
        <w:t>,</w:t>
      </w:r>
      <w:r w:rsidR="00FA3CEE" w:rsidRPr="000823DF">
        <w:rPr>
          <w:rFonts w:asciiTheme="majorHAnsi" w:hAnsiTheme="majorHAnsi" w:cstheme="majorHAnsi"/>
          <w:sz w:val="20"/>
          <w:szCs w:val="20"/>
        </w:rPr>
        <w:t xml:space="preserve"> not the current dual track segregated model seen across all jurisdictions in Australia</w:t>
      </w:r>
      <w:r w:rsidR="00A71E76" w:rsidRPr="000823DF">
        <w:rPr>
          <w:rFonts w:asciiTheme="majorHAnsi" w:hAnsiTheme="majorHAnsi" w:cstheme="majorHAnsi"/>
          <w:sz w:val="20"/>
          <w:szCs w:val="20"/>
        </w:rPr>
        <w:t>.</w:t>
      </w:r>
      <w:r w:rsidR="006F0DB8" w:rsidRPr="000823DF">
        <w:rPr>
          <w:rFonts w:asciiTheme="majorHAnsi" w:hAnsiTheme="majorHAnsi" w:cstheme="majorHAnsi"/>
          <w:sz w:val="20"/>
          <w:szCs w:val="20"/>
        </w:rPr>
        <w:t xml:space="preserve"> However, it makes sense to have ITE placed where it is most needed, but done without compromising the quality of learning that they will be exposed to.</w:t>
      </w:r>
    </w:p>
    <w:p w14:paraId="171BC612" w14:textId="77777777" w:rsidR="002C6B4C" w:rsidRDefault="002C6B4C" w:rsidP="009716DD">
      <w:pPr>
        <w:spacing w:before="100" w:beforeAutospacing="1" w:line="240" w:lineRule="auto"/>
        <w:rPr>
          <w:rFonts w:asciiTheme="majorHAnsi" w:hAnsiTheme="majorHAnsi" w:cstheme="majorHAnsi"/>
          <w:b/>
          <w:sz w:val="20"/>
          <w:szCs w:val="20"/>
        </w:rPr>
      </w:pPr>
    </w:p>
    <w:p w14:paraId="6FAAE8D3" w14:textId="0D587F64" w:rsidR="006F0DB8" w:rsidRPr="000823DF" w:rsidRDefault="006F0DB8" w:rsidP="009716DD">
      <w:pPr>
        <w:spacing w:before="100" w:beforeAutospacing="1" w:line="240" w:lineRule="auto"/>
        <w:rPr>
          <w:rFonts w:asciiTheme="majorHAnsi" w:hAnsiTheme="majorHAnsi" w:cstheme="majorHAnsi"/>
          <w:b/>
          <w:sz w:val="20"/>
          <w:szCs w:val="20"/>
        </w:rPr>
      </w:pPr>
      <w:r w:rsidRPr="000823DF">
        <w:rPr>
          <w:rFonts w:asciiTheme="majorHAnsi" w:hAnsiTheme="majorHAnsi" w:cstheme="majorHAnsi"/>
          <w:b/>
          <w:sz w:val="20"/>
          <w:szCs w:val="20"/>
        </w:rPr>
        <w:t>Are there examples of incentives that have successfully worked to attract quality teachers in areas of shortage? How could these be rolled out more broadly?</w:t>
      </w:r>
    </w:p>
    <w:p w14:paraId="0AB2E0B7" w14:textId="77777777" w:rsidR="006F0DB8" w:rsidRPr="000823DF" w:rsidRDefault="007C0960" w:rsidP="009716DD">
      <w:pPr>
        <w:spacing w:before="100" w:beforeAutospacing="1" w:line="240" w:lineRule="auto"/>
        <w:rPr>
          <w:rFonts w:asciiTheme="majorHAnsi" w:hAnsiTheme="majorHAnsi" w:cstheme="majorHAnsi"/>
          <w:sz w:val="20"/>
          <w:szCs w:val="20"/>
        </w:rPr>
      </w:pPr>
      <w:r w:rsidRPr="000823DF">
        <w:rPr>
          <w:rFonts w:asciiTheme="majorHAnsi" w:hAnsiTheme="majorHAnsi" w:cstheme="majorHAnsi"/>
          <w:sz w:val="20"/>
          <w:szCs w:val="20"/>
        </w:rPr>
        <w:t xml:space="preserve">Previously, </w:t>
      </w:r>
      <w:r w:rsidR="006F0DB8" w:rsidRPr="000823DF">
        <w:rPr>
          <w:rFonts w:asciiTheme="majorHAnsi" w:hAnsiTheme="majorHAnsi" w:cstheme="majorHAnsi"/>
          <w:sz w:val="20"/>
          <w:szCs w:val="20"/>
        </w:rPr>
        <w:t>there were pay incentives as well as permane</w:t>
      </w:r>
      <w:r w:rsidRPr="000823DF">
        <w:rPr>
          <w:rFonts w:asciiTheme="majorHAnsi" w:hAnsiTheme="majorHAnsi" w:cstheme="majorHAnsi"/>
          <w:sz w:val="20"/>
          <w:szCs w:val="20"/>
        </w:rPr>
        <w:t>ncy granted. T</w:t>
      </w:r>
      <w:r w:rsidR="006F0DB8" w:rsidRPr="000823DF">
        <w:rPr>
          <w:rFonts w:asciiTheme="majorHAnsi" w:hAnsiTheme="majorHAnsi" w:cstheme="majorHAnsi"/>
          <w:sz w:val="20"/>
          <w:szCs w:val="20"/>
        </w:rPr>
        <w:t>he current overuse of casual teachers never getting their permane</w:t>
      </w:r>
      <w:r w:rsidRPr="000823DF">
        <w:rPr>
          <w:rFonts w:asciiTheme="majorHAnsi" w:hAnsiTheme="majorHAnsi" w:cstheme="majorHAnsi"/>
          <w:sz w:val="20"/>
          <w:szCs w:val="20"/>
        </w:rPr>
        <w:t>n</w:t>
      </w:r>
      <w:r w:rsidR="006F0DB8" w:rsidRPr="000823DF">
        <w:rPr>
          <w:rFonts w:asciiTheme="majorHAnsi" w:hAnsiTheme="majorHAnsi" w:cstheme="majorHAnsi"/>
          <w:sz w:val="20"/>
          <w:szCs w:val="20"/>
        </w:rPr>
        <w:t>t placement is very problematic</w:t>
      </w:r>
      <w:r w:rsidRPr="000823DF">
        <w:rPr>
          <w:rFonts w:asciiTheme="majorHAnsi" w:hAnsiTheme="majorHAnsi" w:cstheme="majorHAnsi"/>
          <w:sz w:val="20"/>
          <w:szCs w:val="20"/>
        </w:rPr>
        <w:t>.</w:t>
      </w:r>
    </w:p>
    <w:p w14:paraId="335CE20B" w14:textId="77777777" w:rsidR="002C6B4C" w:rsidRDefault="002C6B4C" w:rsidP="009716DD">
      <w:pPr>
        <w:widowControl w:val="0"/>
        <w:spacing w:before="100" w:beforeAutospacing="1" w:after="200" w:line="360" w:lineRule="auto"/>
        <w:rPr>
          <w:rFonts w:asciiTheme="majorHAnsi" w:hAnsiTheme="majorHAnsi" w:cstheme="majorHAnsi"/>
          <w:b/>
          <w:sz w:val="20"/>
          <w:szCs w:val="20"/>
        </w:rPr>
      </w:pPr>
    </w:p>
    <w:p w14:paraId="0B637BEA" w14:textId="696719FD" w:rsidR="00A71E76" w:rsidRPr="000823DF" w:rsidRDefault="00FA3CEE" w:rsidP="009716DD">
      <w:pPr>
        <w:widowControl w:val="0"/>
        <w:spacing w:before="100" w:beforeAutospacing="1" w:after="200" w:line="360" w:lineRule="auto"/>
        <w:rPr>
          <w:rFonts w:asciiTheme="majorHAnsi" w:hAnsiTheme="majorHAnsi" w:cstheme="majorHAnsi"/>
          <w:b/>
          <w:sz w:val="20"/>
          <w:szCs w:val="20"/>
        </w:rPr>
      </w:pPr>
      <w:r w:rsidRPr="000823DF">
        <w:rPr>
          <w:rFonts w:asciiTheme="majorHAnsi" w:hAnsiTheme="majorHAnsi" w:cstheme="majorHAnsi"/>
          <w:b/>
          <w:sz w:val="20"/>
          <w:szCs w:val="20"/>
        </w:rPr>
        <w:t>Are the Australian Professional Standards for Teachers (Teacher Standards) fit for purpose in identifying the key skills and knowledge pre-service teachers need to be ready for the classroom? Do the Teacher Standards adequately reflect the role of teachers in supporting pre-service and graduate teachers? See: https://www.aitsl.edu.au/teach/s</w:t>
      </w:r>
      <w:r w:rsidR="00A71E76" w:rsidRPr="000823DF">
        <w:rPr>
          <w:rFonts w:asciiTheme="majorHAnsi" w:hAnsiTheme="majorHAnsi" w:cstheme="majorHAnsi"/>
          <w:b/>
          <w:sz w:val="20"/>
          <w:szCs w:val="20"/>
        </w:rPr>
        <w:t>tandards for more information.</w:t>
      </w:r>
    </w:p>
    <w:p w14:paraId="029572AA" w14:textId="77777777" w:rsidR="00A40A72" w:rsidRPr="000823DF" w:rsidRDefault="00FA3CEE" w:rsidP="009716DD">
      <w:pPr>
        <w:widowControl w:val="0"/>
        <w:spacing w:before="100" w:beforeAutospacing="1" w:after="200" w:line="360" w:lineRule="auto"/>
        <w:rPr>
          <w:rFonts w:asciiTheme="majorHAnsi" w:hAnsiTheme="majorHAnsi" w:cstheme="majorHAnsi"/>
          <w:sz w:val="20"/>
          <w:szCs w:val="20"/>
        </w:rPr>
      </w:pPr>
      <w:r w:rsidRPr="000823DF">
        <w:rPr>
          <w:rFonts w:asciiTheme="majorHAnsi" w:hAnsiTheme="majorHAnsi" w:cstheme="majorHAnsi"/>
          <w:sz w:val="20"/>
          <w:szCs w:val="20"/>
        </w:rPr>
        <w:t xml:space="preserve">Need to compare to </w:t>
      </w:r>
      <w:hyperlink r:id="rId12" w:history="1">
        <w:r w:rsidRPr="000823DF">
          <w:rPr>
            <w:rStyle w:val="Hyperlink"/>
            <w:rFonts w:asciiTheme="majorHAnsi" w:hAnsiTheme="majorHAnsi" w:cstheme="majorHAnsi"/>
            <w:sz w:val="20"/>
            <w:szCs w:val="20"/>
          </w:rPr>
          <w:t>D</w:t>
        </w:r>
        <w:r w:rsidR="00A40A72" w:rsidRPr="000823DF">
          <w:rPr>
            <w:rStyle w:val="Hyperlink"/>
            <w:rFonts w:asciiTheme="majorHAnsi" w:hAnsiTheme="majorHAnsi" w:cstheme="majorHAnsi"/>
            <w:sz w:val="20"/>
            <w:szCs w:val="20"/>
          </w:rPr>
          <w:t xml:space="preserve">isability </w:t>
        </w:r>
        <w:r w:rsidRPr="000823DF">
          <w:rPr>
            <w:rStyle w:val="Hyperlink"/>
            <w:rFonts w:asciiTheme="majorHAnsi" w:hAnsiTheme="majorHAnsi" w:cstheme="majorHAnsi"/>
            <w:sz w:val="20"/>
            <w:szCs w:val="20"/>
          </w:rPr>
          <w:t>S</w:t>
        </w:r>
        <w:r w:rsidR="00A40A72" w:rsidRPr="000823DF">
          <w:rPr>
            <w:rStyle w:val="Hyperlink"/>
            <w:rFonts w:asciiTheme="majorHAnsi" w:hAnsiTheme="majorHAnsi" w:cstheme="majorHAnsi"/>
            <w:sz w:val="20"/>
            <w:szCs w:val="20"/>
          </w:rPr>
          <w:t xml:space="preserve">tandards for </w:t>
        </w:r>
        <w:r w:rsidRPr="000823DF">
          <w:rPr>
            <w:rStyle w:val="Hyperlink"/>
            <w:rFonts w:asciiTheme="majorHAnsi" w:hAnsiTheme="majorHAnsi" w:cstheme="majorHAnsi"/>
            <w:sz w:val="20"/>
            <w:szCs w:val="20"/>
          </w:rPr>
          <w:t>E</w:t>
        </w:r>
        <w:r w:rsidR="00A40A72" w:rsidRPr="000823DF">
          <w:rPr>
            <w:rStyle w:val="Hyperlink"/>
            <w:rFonts w:asciiTheme="majorHAnsi" w:hAnsiTheme="majorHAnsi" w:cstheme="majorHAnsi"/>
            <w:sz w:val="20"/>
            <w:szCs w:val="20"/>
          </w:rPr>
          <w:t>ducation 2005</w:t>
        </w:r>
      </w:hyperlink>
      <w:r w:rsidR="00A40A72" w:rsidRPr="000823DF">
        <w:rPr>
          <w:rFonts w:asciiTheme="majorHAnsi" w:hAnsiTheme="majorHAnsi" w:cstheme="majorHAnsi"/>
          <w:sz w:val="20"/>
          <w:szCs w:val="20"/>
        </w:rPr>
        <w:t>, including the 2020 Review report.</w:t>
      </w:r>
    </w:p>
    <w:p w14:paraId="77288AF0" w14:textId="77777777" w:rsidR="002C6B4C" w:rsidRDefault="002C6B4C" w:rsidP="009716DD">
      <w:pPr>
        <w:widowControl w:val="0"/>
        <w:spacing w:before="100" w:beforeAutospacing="1" w:after="200" w:line="360" w:lineRule="auto"/>
        <w:rPr>
          <w:rFonts w:asciiTheme="majorHAnsi" w:hAnsiTheme="majorHAnsi" w:cstheme="majorHAnsi"/>
          <w:b/>
          <w:sz w:val="20"/>
          <w:szCs w:val="20"/>
        </w:rPr>
      </w:pPr>
    </w:p>
    <w:p w14:paraId="3A5C8F24" w14:textId="70152B3C" w:rsidR="00A71E76" w:rsidRPr="000823DF" w:rsidRDefault="00FA3CEE" w:rsidP="009716DD">
      <w:pPr>
        <w:widowControl w:val="0"/>
        <w:spacing w:before="100" w:beforeAutospacing="1" w:after="200" w:line="360" w:lineRule="auto"/>
        <w:rPr>
          <w:rFonts w:asciiTheme="majorHAnsi" w:hAnsiTheme="majorHAnsi" w:cstheme="majorHAnsi"/>
          <w:b/>
          <w:sz w:val="20"/>
          <w:szCs w:val="20"/>
        </w:rPr>
      </w:pPr>
      <w:r w:rsidRPr="000823DF">
        <w:rPr>
          <w:rFonts w:asciiTheme="majorHAnsi" w:hAnsiTheme="majorHAnsi" w:cstheme="majorHAnsi"/>
          <w:b/>
          <w:sz w:val="20"/>
          <w:szCs w:val="20"/>
        </w:rPr>
        <w:t>Are ITE programs preparing graduates for teaching diverse student cohorts, including through cultural compet</w:t>
      </w:r>
      <w:r w:rsidR="00A71E76" w:rsidRPr="000823DF">
        <w:rPr>
          <w:rFonts w:asciiTheme="majorHAnsi" w:hAnsiTheme="majorHAnsi" w:cstheme="majorHAnsi"/>
          <w:b/>
          <w:sz w:val="20"/>
          <w:szCs w:val="20"/>
        </w:rPr>
        <w:t>ency and inclusive education?</w:t>
      </w:r>
      <w:r w:rsidR="00A71E76" w:rsidRPr="000823DF">
        <w:rPr>
          <w:rFonts w:asciiTheme="majorHAnsi" w:hAnsiTheme="majorHAnsi" w:cstheme="majorHAnsi"/>
          <w:b/>
          <w:sz w:val="20"/>
          <w:szCs w:val="20"/>
        </w:rPr>
        <w:tab/>
      </w:r>
    </w:p>
    <w:p w14:paraId="0BEC3871" w14:textId="77777777" w:rsidR="009716DD" w:rsidRPr="000823DF" w:rsidRDefault="00A40A72" w:rsidP="009716DD">
      <w:pPr>
        <w:widowControl w:val="0"/>
        <w:spacing w:before="100" w:beforeAutospacing="1" w:after="200" w:line="360" w:lineRule="auto"/>
        <w:rPr>
          <w:rFonts w:asciiTheme="majorHAnsi" w:hAnsiTheme="majorHAnsi" w:cstheme="majorHAnsi"/>
          <w:sz w:val="20"/>
          <w:szCs w:val="20"/>
        </w:rPr>
      </w:pPr>
      <w:r w:rsidRPr="000823DF">
        <w:rPr>
          <w:rFonts w:asciiTheme="majorHAnsi" w:hAnsiTheme="majorHAnsi" w:cstheme="majorHAnsi"/>
          <w:sz w:val="20"/>
          <w:szCs w:val="20"/>
        </w:rPr>
        <w:t>No, and we</w:t>
      </w:r>
      <w:r w:rsidR="00FA3CEE" w:rsidRPr="000823DF">
        <w:rPr>
          <w:rFonts w:asciiTheme="majorHAnsi" w:hAnsiTheme="majorHAnsi" w:cstheme="majorHAnsi"/>
          <w:sz w:val="20"/>
          <w:szCs w:val="20"/>
        </w:rPr>
        <w:t xml:space="preserve"> reference findings in </w:t>
      </w:r>
      <w:r w:rsidRPr="000823DF">
        <w:rPr>
          <w:rFonts w:asciiTheme="majorHAnsi" w:hAnsiTheme="majorHAnsi" w:cstheme="majorHAnsi"/>
          <w:sz w:val="20"/>
          <w:szCs w:val="20"/>
        </w:rPr>
        <w:t xml:space="preserve">2020 Review report of </w:t>
      </w:r>
      <w:hyperlink r:id="rId13" w:history="1">
        <w:r w:rsidRPr="000823DF">
          <w:rPr>
            <w:rStyle w:val="Hyperlink"/>
            <w:rFonts w:asciiTheme="majorHAnsi" w:hAnsiTheme="majorHAnsi" w:cstheme="majorHAnsi"/>
            <w:sz w:val="20"/>
            <w:szCs w:val="20"/>
          </w:rPr>
          <w:t>Disability Standards for Education 2005</w:t>
        </w:r>
      </w:hyperlink>
      <w:r w:rsidRPr="000823DF">
        <w:rPr>
          <w:rFonts w:asciiTheme="majorHAnsi" w:hAnsiTheme="majorHAnsi" w:cstheme="majorHAnsi"/>
          <w:sz w:val="20"/>
          <w:szCs w:val="20"/>
        </w:rPr>
        <w:t xml:space="preserve">,  </w:t>
      </w:r>
      <w:hyperlink r:id="rId14" w:history="1">
        <w:r w:rsidRPr="000823DF">
          <w:rPr>
            <w:rStyle w:val="Hyperlink"/>
            <w:rFonts w:asciiTheme="majorHAnsi" w:hAnsiTheme="majorHAnsi" w:cstheme="majorHAnsi"/>
            <w:sz w:val="20"/>
            <w:szCs w:val="20"/>
          </w:rPr>
          <w:t xml:space="preserve">Children and Young People with Disability Australia </w:t>
        </w:r>
        <w:r w:rsidR="00DB71E8" w:rsidRPr="000823DF">
          <w:rPr>
            <w:rStyle w:val="Hyperlink"/>
            <w:rFonts w:asciiTheme="majorHAnsi" w:hAnsiTheme="majorHAnsi" w:cstheme="majorHAnsi"/>
            <w:sz w:val="20"/>
            <w:szCs w:val="20"/>
          </w:rPr>
          <w:t xml:space="preserve">(CYDA) </w:t>
        </w:r>
        <w:r w:rsidRPr="000823DF">
          <w:rPr>
            <w:rStyle w:val="Hyperlink"/>
            <w:rFonts w:asciiTheme="majorHAnsi" w:hAnsiTheme="majorHAnsi" w:cstheme="majorHAnsi"/>
            <w:sz w:val="20"/>
            <w:szCs w:val="20"/>
          </w:rPr>
          <w:t>Education surveys</w:t>
        </w:r>
      </w:hyperlink>
      <w:r w:rsidRPr="000823DF">
        <w:rPr>
          <w:rFonts w:asciiTheme="majorHAnsi" w:hAnsiTheme="majorHAnsi" w:cstheme="majorHAnsi"/>
          <w:sz w:val="20"/>
          <w:szCs w:val="20"/>
        </w:rPr>
        <w:t>.</w:t>
      </w:r>
      <w:r w:rsidR="009716DD" w:rsidRPr="000823DF">
        <w:rPr>
          <w:rFonts w:asciiTheme="majorHAnsi" w:hAnsiTheme="majorHAnsi" w:cstheme="majorHAnsi"/>
          <w:sz w:val="20"/>
          <w:szCs w:val="20"/>
        </w:rPr>
        <w:t xml:space="preserve"> The key findings from CYDA’s 2019 National Education Survey were consistent with the previous three surveys, showing that students with disability are routinely excluded in their education. Many students experience 'gatekeeping' and are segregated from ‘mainstream’ schools and classrooms, not attending school full-time, refused enrolment and excluded from school activities. Suspensions and expulsions are also familiar practices, showing the lack of understanding and support for students with disability. While most students receive some specific support at school because of their disability or learning difference, there are many families who are out-of-pocket for supports and equipment to enable their child to participate. Many students do not have a personalised individual education plan in place.</w:t>
      </w:r>
    </w:p>
    <w:p w14:paraId="003E01CC" w14:textId="0E1E4629" w:rsidR="009716DD" w:rsidRPr="000823DF" w:rsidRDefault="009716DD" w:rsidP="009716DD">
      <w:pPr>
        <w:widowControl w:val="0"/>
        <w:spacing w:before="100" w:beforeAutospacing="1" w:after="200" w:line="360" w:lineRule="auto"/>
        <w:rPr>
          <w:rFonts w:asciiTheme="majorHAnsi" w:hAnsiTheme="majorHAnsi" w:cstheme="majorHAnsi"/>
          <w:sz w:val="20"/>
          <w:szCs w:val="20"/>
        </w:rPr>
      </w:pPr>
      <w:r w:rsidRPr="000823DF">
        <w:rPr>
          <w:rFonts w:asciiTheme="majorHAnsi" w:hAnsiTheme="majorHAnsi" w:cstheme="majorHAnsi"/>
          <w:sz w:val="20"/>
          <w:szCs w:val="20"/>
        </w:rPr>
        <w:t>Research evidence overwhelmingly supports</w:t>
      </w:r>
      <w:r w:rsidR="00732778" w:rsidRPr="000823DF">
        <w:rPr>
          <w:rStyle w:val="CommentReference"/>
          <w:rFonts w:asciiTheme="majorHAnsi" w:hAnsiTheme="majorHAnsi" w:cstheme="majorHAnsi"/>
          <w:sz w:val="20"/>
          <w:szCs w:val="20"/>
        </w:rPr>
        <w:t xml:space="preserve"> </w:t>
      </w:r>
      <w:r w:rsidR="00732778" w:rsidRPr="000823DF">
        <w:rPr>
          <w:rFonts w:asciiTheme="majorHAnsi" w:hAnsiTheme="majorHAnsi" w:cstheme="majorHAnsi"/>
          <w:sz w:val="20"/>
          <w:szCs w:val="20"/>
        </w:rPr>
        <w:t>in</w:t>
      </w:r>
      <w:r w:rsidRPr="000823DF">
        <w:rPr>
          <w:rFonts w:asciiTheme="majorHAnsi" w:hAnsiTheme="majorHAnsi" w:cstheme="majorHAnsi"/>
          <w:sz w:val="20"/>
          <w:szCs w:val="20"/>
        </w:rPr>
        <w:t>clusive education</w:t>
      </w:r>
      <w:r w:rsidR="0099309F" w:rsidRPr="000823DF">
        <w:rPr>
          <w:rStyle w:val="FootnoteReference"/>
          <w:rFonts w:asciiTheme="majorHAnsi" w:hAnsiTheme="majorHAnsi" w:cstheme="majorHAnsi"/>
          <w:sz w:val="20"/>
          <w:szCs w:val="20"/>
        </w:rPr>
        <w:footnoteReference w:id="4"/>
      </w:r>
      <w:r w:rsidRPr="000823DF">
        <w:rPr>
          <w:rFonts w:asciiTheme="majorHAnsi" w:hAnsiTheme="majorHAnsi" w:cstheme="majorHAnsi"/>
          <w:sz w:val="20"/>
          <w:szCs w:val="20"/>
        </w:rPr>
        <w:t>. As well as positive outcomes for social justice and a sense of community and belonging, there are benefits for learning outcomes and for the social, behavioural and physical development of children and young people who do and do not experience disability.</w:t>
      </w:r>
    </w:p>
    <w:p w14:paraId="65D7B22B" w14:textId="202259D4" w:rsidR="00FA3CEE" w:rsidRPr="000823DF" w:rsidRDefault="00C53463" w:rsidP="009716DD">
      <w:pPr>
        <w:widowControl w:val="0"/>
        <w:spacing w:before="100" w:beforeAutospacing="1" w:after="200" w:line="360" w:lineRule="auto"/>
        <w:rPr>
          <w:rFonts w:asciiTheme="majorHAnsi" w:hAnsiTheme="majorHAnsi" w:cstheme="majorHAnsi"/>
          <w:sz w:val="20"/>
          <w:szCs w:val="20"/>
        </w:rPr>
      </w:pPr>
      <w:r w:rsidRPr="000823DF">
        <w:rPr>
          <w:rFonts w:asciiTheme="majorHAnsi" w:hAnsiTheme="majorHAnsi" w:cstheme="majorHAnsi"/>
          <w:sz w:val="20"/>
          <w:szCs w:val="20"/>
        </w:rPr>
        <w:t>The findings from CYDA’s 2</w:t>
      </w:r>
      <w:r w:rsidR="009716DD" w:rsidRPr="000823DF">
        <w:rPr>
          <w:rFonts w:asciiTheme="majorHAnsi" w:hAnsiTheme="majorHAnsi" w:cstheme="majorHAnsi"/>
          <w:sz w:val="20"/>
          <w:szCs w:val="20"/>
        </w:rPr>
        <w:t>019 National Education Survey show it is time for transformational change in our education system to ensure the inclusion of students with disability.</w:t>
      </w:r>
    </w:p>
    <w:p w14:paraId="30B8BBF5" w14:textId="77777777" w:rsidR="002C6B4C" w:rsidRDefault="002C6B4C" w:rsidP="009716DD">
      <w:pPr>
        <w:widowControl w:val="0"/>
        <w:spacing w:before="100" w:beforeAutospacing="1" w:after="200" w:line="360" w:lineRule="auto"/>
        <w:rPr>
          <w:rFonts w:asciiTheme="majorHAnsi" w:hAnsiTheme="majorHAnsi" w:cstheme="majorHAnsi"/>
          <w:b/>
          <w:sz w:val="20"/>
          <w:szCs w:val="20"/>
        </w:rPr>
      </w:pPr>
    </w:p>
    <w:p w14:paraId="1EDB0B45" w14:textId="2DD71E78" w:rsidR="00A71E76" w:rsidRPr="000823DF" w:rsidRDefault="00FA3CEE" w:rsidP="009716DD">
      <w:pPr>
        <w:widowControl w:val="0"/>
        <w:spacing w:before="100" w:beforeAutospacing="1" w:after="200" w:line="360" w:lineRule="auto"/>
        <w:rPr>
          <w:rFonts w:asciiTheme="majorHAnsi" w:hAnsiTheme="majorHAnsi" w:cstheme="majorHAnsi"/>
          <w:b/>
          <w:sz w:val="20"/>
          <w:szCs w:val="20"/>
        </w:rPr>
      </w:pPr>
      <w:r w:rsidRPr="000823DF">
        <w:rPr>
          <w:rFonts w:asciiTheme="majorHAnsi" w:hAnsiTheme="majorHAnsi" w:cstheme="majorHAnsi"/>
          <w:b/>
          <w:sz w:val="20"/>
          <w:szCs w:val="20"/>
        </w:rPr>
        <w:t>Do the current professional experience arrangements support the preparation of ITE students for the classroom and school environment?</w:t>
      </w:r>
      <w:r w:rsidR="00A71E76" w:rsidRPr="000823DF">
        <w:rPr>
          <w:rFonts w:asciiTheme="majorHAnsi" w:hAnsiTheme="majorHAnsi" w:cstheme="majorHAnsi"/>
          <w:b/>
          <w:sz w:val="20"/>
          <w:szCs w:val="20"/>
        </w:rPr>
        <w:t xml:space="preserve"> How could these be improved?</w:t>
      </w:r>
      <w:r w:rsidR="00A71E76" w:rsidRPr="000823DF">
        <w:rPr>
          <w:rFonts w:asciiTheme="majorHAnsi" w:hAnsiTheme="majorHAnsi" w:cstheme="majorHAnsi"/>
          <w:b/>
          <w:sz w:val="20"/>
          <w:szCs w:val="20"/>
        </w:rPr>
        <w:tab/>
      </w:r>
    </w:p>
    <w:p w14:paraId="544C0A4A" w14:textId="2038D0C6" w:rsidR="00FA3CEE" w:rsidRPr="000823DF" w:rsidRDefault="00773F42" w:rsidP="009716DD">
      <w:pPr>
        <w:widowControl w:val="0"/>
        <w:spacing w:before="100" w:beforeAutospacing="1" w:after="200" w:line="360" w:lineRule="auto"/>
        <w:rPr>
          <w:rFonts w:asciiTheme="majorHAnsi" w:hAnsiTheme="majorHAnsi" w:cstheme="majorHAnsi"/>
          <w:sz w:val="20"/>
          <w:szCs w:val="20"/>
        </w:rPr>
      </w:pPr>
      <w:r w:rsidRPr="000823DF">
        <w:rPr>
          <w:rFonts w:asciiTheme="majorHAnsi" w:hAnsiTheme="majorHAnsi" w:cstheme="majorHAnsi"/>
          <w:sz w:val="20"/>
          <w:szCs w:val="20"/>
        </w:rPr>
        <w:t xml:space="preserve">The practical experience of ITE students ought to equip them for the diverse class, which is the practical reality when they start teaching in a school. Professional experience could be improved by providing all experience within general education classes ensuring the ITE student receives an experience of disability and other diversity to understand how this looks in regular mainstream schools. Even those students studying special education should have experience in the general classroom not just in segregated settings, which is what tends to happen at the moment.  Moving away from the dual system of a teacher becoming ‘special </w:t>
      </w:r>
      <w:proofErr w:type="spellStart"/>
      <w:r w:rsidRPr="000823DF">
        <w:rPr>
          <w:rFonts w:asciiTheme="majorHAnsi" w:hAnsiTheme="majorHAnsi" w:cstheme="majorHAnsi"/>
          <w:sz w:val="20"/>
          <w:szCs w:val="20"/>
        </w:rPr>
        <w:t>ed</w:t>
      </w:r>
      <w:proofErr w:type="spellEnd"/>
      <w:r w:rsidRPr="000823DF">
        <w:rPr>
          <w:rFonts w:asciiTheme="majorHAnsi" w:hAnsiTheme="majorHAnsi" w:cstheme="majorHAnsi"/>
          <w:sz w:val="20"/>
          <w:szCs w:val="20"/>
        </w:rPr>
        <w:t xml:space="preserve">’ or regular track which then leaves them unprepared for the diversity that is typical and will continue in our mainstream schools. To do otherwise would set them up to fail. </w:t>
      </w:r>
    </w:p>
    <w:p w14:paraId="0A40B966" w14:textId="77777777" w:rsidR="002C6B4C" w:rsidRDefault="002C6B4C" w:rsidP="009716DD">
      <w:pPr>
        <w:widowControl w:val="0"/>
        <w:spacing w:before="100" w:beforeAutospacing="1" w:after="200" w:line="360" w:lineRule="auto"/>
        <w:rPr>
          <w:rFonts w:asciiTheme="majorHAnsi" w:hAnsiTheme="majorHAnsi" w:cstheme="majorHAnsi"/>
          <w:b/>
          <w:sz w:val="20"/>
          <w:szCs w:val="20"/>
        </w:rPr>
      </w:pPr>
    </w:p>
    <w:p w14:paraId="0433A9E1" w14:textId="2989103D" w:rsidR="00A71E76" w:rsidRPr="000823DF" w:rsidRDefault="00FA3CEE" w:rsidP="009716DD">
      <w:pPr>
        <w:widowControl w:val="0"/>
        <w:spacing w:before="100" w:beforeAutospacing="1" w:after="200" w:line="360" w:lineRule="auto"/>
        <w:rPr>
          <w:rFonts w:asciiTheme="majorHAnsi" w:hAnsiTheme="majorHAnsi" w:cstheme="majorHAnsi"/>
          <w:b/>
          <w:sz w:val="20"/>
          <w:szCs w:val="20"/>
        </w:rPr>
      </w:pPr>
      <w:r w:rsidRPr="000823DF">
        <w:rPr>
          <w:rFonts w:asciiTheme="majorHAnsi" w:hAnsiTheme="majorHAnsi" w:cstheme="majorHAnsi"/>
          <w:b/>
          <w:sz w:val="20"/>
          <w:szCs w:val="20"/>
        </w:rPr>
        <w:t>Do the current course accreditation arrangements support ITE students being taught evidence-based high-impact teaching strategies</w:t>
      </w:r>
      <w:r w:rsidR="00A71E76" w:rsidRPr="000823DF">
        <w:rPr>
          <w:rFonts w:asciiTheme="majorHAnsi" w:hAnsiTheme="majorHAnsi" w:cstheme="majorHAnsi"/>
          <w:b/>
          <w:sz w:val="20"/>
          <w:szCs w:val="20"/>
        </w:rPr>
        <w:t>? How could this be improved?</w:t>
      </w:r>
      <w:r w:rsidR="00A71E76" w:rsidRPr="000823DF">
        <w:rPr>
          <w:rFonts w:asciiTheme="majorHAnsi" w:hAnsiTheme="majorHAnsi" w:cstheme="majorHAnsi"/>
          <w:b/>
          <w:sz w:val="20"/>
          <w:szCs w:val="20"/>
        </w:rPr>
        <w:tab/>
      </w:r>
    </w:p>
    <w:p w14:paraId="2B72DFB4" w14:textId="77777777" w:rsidR="00732778" w:rsidRPr="000823DF" w:rsidRDefault="00FA3CEE" w:rsidP="009716DD">
      <w:pPr>
        <w:widowControl w:val="0"/>
        <w:spacing w:before="100" w:beforeAutospacing="1" w:after="200" w:line="360" w:lineRule="auto"/>
        <w:rPr>
          <w:rFonts w:asciiTheme="majorHAnsi" w:hAnsiTheme="majorHAnsi" w:cstheme="majorHAnsi"/>
          <w:sz w:val="20"/>
          <w:szCs w:val="20"/>
        </w:rPr>
      </w:pPr>
      <w:r w:rsidRPr="000823DF">
        <w:rPr>
          <w:rFonts w:asciiTheme="majorHAnsi" w:hAnsiTheme="majorHAnsi" w:cstheme="majorHAnsi"/>
          <w:sz w:val="20"/>
          <w:szCs w:val="20"/>
        </w:rPr>
        <w:t>Need to reference</w:t>
      </w:r>
      <w:r w:rsidR="00C53463" w:rsidRPr="000823DF">
        <w:rPr>
          <w:rFonts w:asciiTheme="majorHAnsi" w:hAnsiTheme="majorHAnsi" w:cstheme="majorHAnsi"/>
          <w:sz w:val="20"/>
          <w:szCs w:val="20"/>
        </w:rPr>
        <w:t xml:space="preserve"> evidence-based research such as:</w:t>
      </w:r>
    </w:p>
    <w:p w14:paraId="65AA2557" w14:textId="3E039B8A" w:rsidR="00220D31" w:rsidRPr="002C6B4C" w:rsidRDefault="00242550" w:rsidP="002C6B4C">
      <w:pPr>
        <w:pStyle w:val="ListParagraph"/>
        <w:widowControl w:val="0"/>
        <w:numPr>
          <w:ilvl w:val="0"/>
          <w:numId w:val="4"/>
        </w:numPr>
        <w:spacing w:before="100" w:beforeAutospacing="1" w:after="200" w:line="360" w:lineRule="auto"/>
        <w:rPr>
          <w:rFonts w:asciiTheme="majorHAnsi" w:hAnsiTheme="majorHAnsi" w:cstheme="majorHAnsi"/>
          <w:sz w:val="20"/>
          <w:szCs w:val="20"/>
        </w:rPr>
      </w:pPr>
      <w:hyperlink r:id="rId15" w:history="1">
        <w:r w:rsidR="00220D31" w:rsidRPr="002C6B4C">
          <w:rPr>
            <w:rStyle w:val="Hyperlink"/>
            <w:rFonts w:asciiTheme="majorHAnsi" w:hAnsiTheme="majorHAnsi" w:cstheme="majorHAnsi"/>
            <w:sz w:val="20"/>
            <w:szCs w:val="20"/>
          </w:rPr>
          <w:t>The Centre for Inclusive Education</w:t>
        </w:r>
      </w:hyperlink>
      <w:r w:rsidR="00220D31" w:rsidRPr="002C6B4C">
        <w:rPr>
          <w:rFonts w:asciiTheme="majorHAnsi" w:hAnsiTheme="majorHAnsi" w:cstheme="majorHAnsi"/>
          <w:sz w:val="20"/>
          <w:szCs w:val="20"/>
        </w:rPr>
        <w:t xml:space="preserve"> (</w:t>
      </w:r>
      <w:r w:rsidR="00FA3CEE" w:rsidRPr="002C6B4C">
        <w:rPr>
          <w:rFonts w:asciiTheme="majorHAnsi" w:hAnsiTheme="majorHAnsi" w:cstheme="majorHAnsi"/>
          <w:sz w:val="20"/>
          <w:szCs w:val="20"/>
        </w:rPr>
        <w:t>C4IE</w:t>
      </w:r>
      <w:r w:rsidR="00220D31" w:rsidRPr="002C6B4C">
        <w:rPr>
          <w:rFonts w:asciiTheme="majorHAnsi" w:hAnsiTheme="majorHAnsi" w:cstheme="majorHAnsi"/>
          <w:sz w:val="20"/>
          <w:szCs w:val="20"/>
        </w:rPr>
        <w:t>)</w:t>
      </w:r>
      <w:r w:rsidR="00FA3CEE" w:rsidRPr="002C6B4C">
        <w:rPr>
          <w:rFonts w:asciiTheme="majorHAnsi" w:hAnsiTheme="majorHAnsi" w:cstheme="majorHAnsi"/>
          <w:sz w:val="20"/>
          <w:szCs w:val="20"/>
        </w:rPr>
        <w:t xml:space="preserve">, </w:t>
      </w:r>
    </w:p>
    <w:p w14:paraId="4B676FDE" w14:textId="77777777" w:rsidR="00220D31" w:rsidRPr="002C6B4C" w:rsidRDefault="00242550" w:rsidP="002C6B4C">
      <w:pPr>
        <w:pStyle w:val="ListParagraph"/>
        <w:widowControl w:val="0"/>
        <w:numPr>
          <w:ilvl w:val="0"/>
          <w:numId w:val="4"/>
        </w:numPr>
        <w:spacing w:before="100" w:beforeAutospacing="1" w:after="200" w:line="360" w:lineRule="auto"/>
        <w:rPr>
          <w:rFonts w:asciiTheme="majorHAnsi" w:hAnsiTheme="majorHAnsi" w:cstheme="majorHAnsi"/>
          <w:sz w:val="20"/>
          <w:szCs w:val="20"/>
        </w:rPr>
      </w:pPr>
      <w:hyperlink r:id="rId16" w:history="1">
        <w:r w:rsidR="00A5574F" w:rsidRPr="002C6B4C">
          <w:rPr>
            <w:rStyle w:val="Hyperlink"/>
            <w:rFonts w:asciiTheme="majorHAnsi" w:hAnsiTheme="majorHAnsi" w:cstheme="majorHAnsi"/>
            <w:sz w:val="20"/>
            <w:szCs w:val="20"/>
          </w:rPr>
          <w:t>Dr K</w:t>
        </w:r>
        <w:r w:rsidR="00FA3CEE" w:rsidRPr="002C6B4C">
          <w:rPr>
            <w:rStyle w:val="Hyperlink"/>
            <w:rFonts w:asciiTheme="majorHAnsi" w:hAnsiTheme="majorHAnsi" w:cstheme="majorHAnsi"/>
            <w:sz w:val="20"/>
            <w:szCs w:val="20"/>
          </w:rPr>
          <w:t>ate De Bruin</w:t>
        </w:r>
      </w:hyperlink>
      <w:r w:rsidR="00220D31" w:rsidRPr="002C6B4C">
        <w:rPr>
          <w:rFonts w:asciiTheme="majorHAnsi" w:hAnsiTheme="majorHAnsi" w:cstheme="majorHAnsi"/>
          <w:sz w:val="20"/>
          <w:szCs w:val="20"/>
        </w:rPr>
        <w:t xml:space="preserve"> – Senior Lecturer, Educational Psychology &amp; Inclusive Education, </w:t>
      </w:r>
      <w:r w:rsidR="009716DD" w:rsidRPr="002C6B4C">
        <w:rPr>
          <w:rFonts w:asciiTheme="majorHAnsi" w:hAnsiTheme="majorHAnsi" w:cstheme="majorHAnsi"/>
          <w:sz w:val="20"/>
          <w:szCs w:val="20"/>
        </w:rPr>
        <w:t xml:space="preserve">and </w:t>
      </w:r>
      <w:r w:rsidR="00220D31" w:rsidRPr="002C6B4C">
        <w:rPr>
          <w:rFonts w:asciiTheme="majorHAnsi" w:hAnsiTheme="majorHAnsi" w:cstheme="majorHAnsi"/>
          <w:sz w:val="20"/>
          <w:szCs w:val="20"/>
        </w:rPr>
        <w:t>Co-convener Inclusive Education Special Interest Group, Australian Association of Education Research (AARE)</w:t>
      </w:r>
    </w:p>
    <w:p w14:paraId="5A3B7BC0" w14:textId="77777777" w:rsidR="00A5574F" w:rsidRPr="002C6B4C" w:rsidRDefault="00242550" w:rsidP="002C6B4C">
      <w:pPr>
        <w:pStyle w:val="ListParagraph"/>
        <w:widowControl w:val="0"/>
        <w:numPr>
          <w:ilvl w:val="0"/>
          <w:numId w:val="4"/>
        </w:numPr>
        <w:spacing w:before="100" w:beforeAutospacing="1" w:after="200" w:line="360" w:lineRule="auto"/>
        <w:rPr>
          <w:rFonts w:asciiTheme="majorHAnsi" w:hAnsiTheme="majorHAnsi" w:cstheme="majorHAnsi"/>
          <w:sz w:val="20"/>
          <w:szCs w:val="20"/>
        </w:rPr>
      </w:pPr>
      <w:hyperlink r:id="rId17" w:history="1">
        <w:r w:rsidR="00A5574F" w:rsidRPr="002C6B4C">
          <w:rPr>
            <w:rStyle w:val="Hyperlink"/>
            <w:rFonts w:asciiTheme="majorHAnsi" w:hAnsiTheme="majorHAnsi" w:cstheme="majorHAnsi"/>
            <w:sz w:val="20"/>
            <w:szCs w:val="20"/>
          </w:rPr>
          <w:t xml:space="preserve">Loren </w:t>
        </w:r>
        <w:proofErr w:type="spellStart"/>
        <w:r w:rsidR="00A5574F" w:rsidRPr="002C6B4C">
          <w:rPr>
            <w:rStyle w:val="Hyperlink"/>
            <w:rFonts w:asciiTheme="majorHAnsi" w:hAnsiTheme="majorHAnsi" w:cstheme="majorHAnsi"/>
            <w:sz w:val="20"/>
            <w:szCs w:val="20"/>
          </w:rPr>
          <w:t>Swa</w:t>
        </w:r>
        <w:r w:rsidR="007C0960" w:rsidRPr="002C6B4C">
          <w:rPr>
            <w:rStyle w:val="Hyperlink"/>
            <w:rFonts w:asciiTheme="majorHAnsi" w:hAnsiTheme="majorHAnsi" w:cstheme="majorHAnsi"/>
            <w:sz w:val="20"/>
            <w:szCs w:val="20"/>
          </w:rPr>
          <w:t>ncutt</w:t>
        </w:r>
        <w:proofErr w:type="spellEnd"/>
      </w:hyperlink>
      <w:r w:rsidR="007C0960" w:rsidRPr="002C6B4C">
        <w:rPr>
          <w:rFonts w:asciiTheme="majorHAnsi" w:hAnsiTheme="majorHAnsi" w:cstheme="majorHAnsi"/>
          <w:sz w:val="20"/>
          <w:szCs w:val="20"/>
        </w:rPr>
        <w:t xml:space="preserve">, </w:t>
      </w:r>
      <w:r w:rsidR="00A5574F" w:rsidRPr="002C6B4C">
        <w:rPr>
          <w:rFonts w:asciiTheme="majorHAnsi" w:hAnsiTheme="majorHAnsi" w:cstheme="majorHAnsi"/>
          <w:sz w:val="20"/>
          <w:szCs w:val="20"/>
        </w:rPr>
        <w:t xml:space="preserve">Educator, founder of School Inclusion and expert in inclusive education  </w:t>
      </w:r>
    </w:p>
    <w:p w14:paraId="3707685D" w14:textId="77777777" w:rsidR="00A5574F" w:rsidRPr="002C6B4C" w:rsidRDefault="00242550" w:rsidP="002C6B4C">
      <w:pPr>
        <w:pStyle w:val="ListParagraph"/>
        <w:widowControl w:val="0"/>
        <w:numPr>
          <w:ilvl w:val="0"/>
          <w:numId w:val="4"/>
        </w:numPr>
        <w:spacing w:before="100" w:beforeAutospacing="1" w:after="200" w:line="360" w:lineRule="auto"/>
        <w:rPr>
          <w:rFonts w:asciiTheme="majorHAnsi" w:hAnsiTheme="majorHAnsi" w:cstheme="majorHAnsi"/>
          <w:sz w:val="20"/>
          <w:szCs w:val="20"/>
        </w:rPr>
      </w:pPr>
      <w:hyperlink r:id="rId18" w:history="1">
        <w:r w:rsidR="00A5574F" w:rsidRPr="002C6B4C">
          <w:rPr>
            <w:rStyle w:val="Hyperlink"/>
            <w:rFonts w:asciiTheme="majorHAnsi" w:hAnsiTheme="majorHAnsi" w:cstheme="majorHAnsi"/>
            <w:sz w:val="20"/>
            <w:szCs w:val="20"/>
          </w:rPr>
          <w:t>E</w:t>
        </w:r>
        <w:r w:rsidR="007C0960" w:rsidRPr="002C6B4C">
          <w:rPr>
            <w:rStyle w:val="Hyperlink"/>
            <w:rFonts w:asciiTheme="majorHAnsi" w:hAnsiTheme="majorHAnsi" w:cstheme="majorHAnsi"/>
            <w:sz w:val="20"/>
            <w:szCs w:val="20"/>
          </w:rPr>
          <w:t>vidence for</w:t>
        </w:r>
        <w:r w:rsidR="00A5574F" w:rsidRPr="002C6B4C">
          <w:rPr>
            <w:rStyle w:val="Hyperlink"/>
            <w:rFonts w:asciiTheme="majorHAnsi" w:hAnsiTheme="majorHAnsi" w:cstheme="majorHAnsi"/>
            <w:sz w:val="20"/>
            <w:szCs w:val="20"/>
          </w:rPr>
          <w:t xml:space="preserve"> L</w:t>
        </w:r>
        <w:r w:rsidR="007C0960" w:rsidRPr="002C6B4C">
          <w:rPr>
            <w:rStyle w:val="Hyperlink"/>
            <w:rFonts w:asciiTheme="majorHAnsi" w:hAnsiTheme="majorHAnsi" w:cstheme="majorHAnsi"/>
            <w:sz w:val="20"/>
            <w:szCs w:val="20"/>
          </w:rPr>
          <w:t>earning</w:t>
        </w:r>
      </w:hyperlink>
      <w:r w:rsidR="007C0960" w:rsidRPr="002C6B4C">
        <w:rPr>
          <w:rFonts w:asciiTheme="majorHAnsi" w:hAnsiTheme="majorHAnsi" w:cstheme="majorHAnsi"/>
          <w:sz w:val="20"/>
          <w:szCs w:val="20"/>
        </w:rPr>
        <w:t xml:space="preserve"> </w:t>
      </w:r>
      <w:r w:rsidR="00A5574F" w:rsidRPr="002C6B4C">
        <w:rPr>
          <w:rFonts w:asciiTheme="majorHAnsi" w:hAnsiTheme="majorHAnsi" w:cstheme="majorHAnsi"/>
          <w:sz w:val="20"/>
          <w:szCs w:val="20"/>
        </w:rPr>
        <w:t>– 100% independent</w:t>
      </w:r>
      <w:r w:rsidR="007C0960" w:rsidRPr="002C6B4C">
        <w:rPr>
          <w:rFonts w:asciiTheme="majorHAnsi" w:hAnsiTheme="majorHAnsi" w:cstheme="majorHAnsi"/>
          <w:sz w:val="20"/>
          <w:szCs w:val="20"/>
        </w:rPr>
        <w:t>,</w:t>
      </w:r>
      <w:r w:rsidR="00A5574F" w:rsidRPr="002C6B4C">
        <w:rPr>
          <w:rFonts w:asciiTheme="majorHAnsi" w:hAnsiTheme="majorHAnsi" w:cstheme="majorHAnsi"/>
          <w:sz w:val="20"/>
          <w:szCs w:val="20"/>
        </w:rPr>
        <w:t xml:space="preserve"> enable and support evidence-informed practice across Australian schools and classrooms. </w:t>
      </w:r>
    </w:p>
    <w:p w14:paraId="323B9C0A" w14:textId="77777777" w:rsidR="00FA3CEE" w:rsidRPr="002C6B4C" w:rsidRDefault="00242550" w:rsidP="002C6B4C">
      <w:pPr>
        <w:pStyle w:val="ListParagraph"/>
        <w:widowControl w:val="0"/>
        <w:numPr>
          <w:ilvl w:val="0"/>
          <w:numId w:val="4"/>
        </w:numPr>
        <w:spacing w:before="100" w:beforeAutospacing="1" w:after="200" w:line="360" w:lineRule="auto"/>
        <w:rPr>
          <w:rFonts w:asciiTheme="majorHAnsi" w:hAnsiTheme="majorHAnsi" w:cstheme="majorHAnsi"/>
          <w:sz w:val="20"/>
          <w:szCs w:val="20"/>
        </w:rPr>
      </w:pPr>
      <w:hyperlink r:id="rId19" w:history="1">
        <w:r w:rsidR="007C0960" w:rsidRPr="002C6B4C">
          <w:rPr>
            <w:rStyle w:val="Hyperlink"/>
            <w:rFonts w:asciiTheme="majorHAnsi" w:hAnsiTheme="majorHAnsi" w:cstheme="majorHAnsi"/>
            <w:sz w:val="20"/>
            <w:szCs w:val="20"/>
          </w:rPr>
          <w:t>Purple Orange</w:t>
        </w:r>
        <w:r w:rsidR="00A5574F" w:rsidRPr="002C6B4C">
          <w:rPr>
            <w:rStyle w:val="Hyperlink"/>
            <w:rFonts w:asciiTheme="majorHAnsi" w:hAnsiTheme="majorHAnsi" w:cstheme="majorHAnsi"/>
            <w:sz w:val="20"/>
            <w:szCs w:val="20"/>
          </w:rPr>
          <w:t>’s – Inclusive School Communities project</w:t>
        </w:r>
      </w:hyperlink>
      <w:r w:rsidR="00A5574F" w:rsidRPr="002C6B4C">
        <w:rPr>
          <w:rFonts w:asciiTheme="majorHAnsi" w:hAnsiTheme="majorHAnsi" w:cstheme="majorHAnsi"/>
          <w:sz w:val="20"/>
          <w:szCs w:val="20"/>
        </w:rPr>
        <w:t xml:space="preserve"> </w:t>
      </w:r>
    </w:p>
    <w:p w14:paraId="3DDEDB1F" w14:textId="77777777" w:rsidR="002C6B4C" w:rsidRDefault="002C6B4C" w:rsidP="009716DD">
      <w:pPr>
        <w:widowControl w:val="0"/>
        <w:spacing w:before="100" w:beforeAutospacing="1" w:after="200" w:line="360" w:lineRule="auto"/>
        <w:rPr>
          <w:rFonts w:asciiTheme="majorHAnsi" w:hAnsiTheme="majorHAnsi" w:cstheme="majorHAnsi"/>
          <w:b/>
          <w:sz w:val="20"/>
          <w:szCs w:val="20"/>
        </w:rPr>
      </w:pPr>
    </w:p>
    <w:p w14:paraId="33DE06D2" w14:textId="21AB2609" w:rsidR="007C0960" w:rsidRPr="000823DF" w:rsidRDefault="007C0960" w:rsidP="009716DD">
      <w:pPr>
        <w:widowControl w:val="0"/>
        <w:spacing w:before="100" w:beforeAutospacing="1" w:after="200" w:line="360" w:lineRule="auto"/>
        <w:rPr>
          <w:rFonts w:asciiTheme="majorHAnsi" w:hAnsiTheme="majorHAnsi" w:cstheme="majorHAnsi"/>
          <w:b/>
          <w:sz w:val="20"/>
          <w:szCs w:val="20"/>
        </w:rPr>
      </w:pPr>
      <w:r w:rsidRPr="000823DF">
        <w:rPr>
          <w:rFonts w:asciiTheme="majorHAnsi" w:hAnsiTheme="majorHAnsi" w:cstheme="majorHAnsi"/>
          <w:b/>
          <w:sz w:val="20"/>
          <w:szCs w:val="20"/>
        </w:rPr>
        <w:t>How can ITE providers best support teachers in their ongoing professional learning?</w:t>
      </w:r>
    </w:p>
    <w:p w14:paraId="67B8824D" w14:textId="267DAA86" w:rsidR="007C0960" w:rsidRPr="000823DF" w:rsidRDefault="007C0960" w:rsidP="009716DD">
      <w:pPr>
        <w:spacing w:before="100" w:beforeAutospacing="1"/>
        <w:rPr>
          <w:rFonts w:asciiTheme="majorHAnsi" w:hAnsiTheme="majorHAnsi" w:cstheme="majorHAnsi"/>
          <w:sz w:val="20"/>
          <w:szCs w:val="20"/>
        </w:rPr>
      </w:pPr>
      <w:r w:rsidRPr="000823DF">
        <w:rPr>
          <w:rFonts w:asciiTheme="majorHAnsi" w:hAnsiTheme="majorHAnsi" w:cstheme="majorHAnsi"/>
          <w:sz w:val="20"/>
          <w:szCs w:val="20"/>
        </w:rPr>
        <w:t>Using p</w:t>
      </w:r>
      <w:r w:rsidR="00C64255" w:rsidRPr="000823DF">
        <w:rPr>
          <w:rFonts w:asciiTheme="majorHAnsi" w:hAnsiTheme="majorHAnsi" w:cstheme="majorHAnsi"/>
          <w:sz w:val="20"/>
          <w:szCs w:val="20"/>
        </w:rPr>
        <w:t>ractic</w:t>
      </w:r>
      <w:r w:rsidRPr="000823DF">
        <w:rPr>
          <w:rFonts w:asciiTheme="majorHAnsi" w:hAnsiTheme="majorHAnsi" w:cstheme="majorHAnsi"/>
          <w:sz w:val="20"/>
          <w:szCs w:val="20"/>
        </w:rPr>
        <w:t>es</w:t>
      </w:r>
      <w:r w:rsidR="00732778" w:rsidRPr="000823DF">
        <w:rPr>
          <w:rStyle w:val="CommentReference"/>
          <w:rFonts w:asciiTheme="majorHAnsi" w:hAnsiTheme="majorHAnsi" w:cstheme="majorHAnsi"/>
          <w:sz w:val="20"/>
          <w:szCs w:val="20"/>
        </w:rPr>
        <w:t xml:space="preserve"> a</w:t>
      </w:r>
      <w:r w:rsidRPr="000823DF">
        <w:rPr>
          <w:rFonts w:asciiTheme="majorHAnsi" w:hAnsiTheme="majorHAnsi" w:cstheme="majorHAnsi"/>
          <w:sz w:val="20"/>
          <w:szCs w:val="20"/>
        </w:rPr>
        <w:t>s mentioned above. Bring Universal Design for Learning (UDL) into all approaches</w:t>
      </w:r>
      <w:r w:rsidR="00312955" w:rsidRPr="000823DF">
        <w:rPr>
          <w:rFonts w:asciiTheme="majorHAnsi" w:hAnsiTheme="majorHAnsi" w:cstheme="majorHAnsi"/>
          <w:sz w:val="20"/>
          <w:szCs w:val="20"/>
        </w:rPr>
        <w:t xml:space="preserve"> as it removes barriers and improves student outcomes. For an explanation, see the </w:t>
      </w:r>
      <w:hyperlink r:id="rId20" w:history="1">
        <w:r w:rsidR="00312955" w:rsidRPr="000823DF">
          <w:rPr>
            <w:rStyle w:val="Hyperlink"/>
            <w:rFonts w:asciiTheme="majorHAnsi" w:hAnsiTheme="majorHAnsi" w:cstheme="majorHAnsi"/>
            <w:sz w:val="20"/>
            <w:szCs w:val="20"/>
          </w:rPr>
          <w:t>UDL planning tool</w:t>
        </w:r>
      </w:hyperlink>
      <w:r w:rsidR="00312955" w:rsidRPr="000823DF">
        <w:rPr>
          <w:rFonts w:asciiTheme="majorHAnsi" w:hAnsiTheme="majorHAnsi" w:cstheme="majorHAnsi"/>
          <w:sz w:val="20"/>
          <w:szCs w:val="20"/>
        </w:rPr>
        <w:t xml:space="preserve"> from the NSW Department of Education’s website</w:t>
      </w:r>
      <w:r w:rsidRPr="000823DF">
        <w:rPr>
          <w:rFonts w:asciiTheme="majorHAnsi" w:hAnsiTheme="majorHAnsi" w:cstheme="majorHAnsi"/>
          <w:sz w:val="20"/>
          <w:szCs w:val="20"/>
        </w:rPr>
        <w:t>.</w:t>
      </w:r>
    </w:p>
    <w:p w14:paraId="7B4034CA" w14:textId="2FF174DD" w:rsidR="00150F24" w:rsidRPr="000823DF" w:rsidRDefault="00BE7653" w:rsidP="00312955">
      <w:pPr>
        <w:spacing w:before="100" w:beforeAutospacing="1"/>
        <w:rPr>
          <w:rFonts w:asciiTheme="majorHAnsi" w:hAnsiTheme="majorHAnsi" w:cstheme="majorHAnsi"/>
          <w:sz w:val="20"/>
          <w:szCs w:val="20"/>
        </w:rPr>
      </w:pPr>
      <w:r w:rsidRPr="000823DF">
        <w:rPr>
          <w:rFonts w:asciiTheme="majorHAnsi" w:hAnsiTheme="majorHAnsi" w:cstheme="majorHAnsi"/>
          <w:sz w:val="20"/>
          <w:szCs w:val="20"/>
        </w:rPr>
        <w:t>G</w:t>
      </w:r>
      <w:r w:rsidR="00C53463" w:rsidRPr="000823DF">
        <w:rPr>
          <w:rFonts w:asciiTheme="majorHAnsi" w:hAnsiTheme="majorHAnsi" w:cstheme="majorHAnsi"/>
          <w:sz w:val="20"/>
          <w:szCs w:val="20"/>
        </w:rPr>
        <w:t>reater collaboration</w:t>
      </w:r>
      <w:r w:rsidRPr="000823DF">
        <w:rPr>
          <w:rFonts w:asciiTheme="majorHAnsi" w:hAnsiTheme="majorHAnsi" w:cstheme="majorHAnsi"/>
          <w:sz w:val="20"/>
          <w:szCs w:val="20"/>
        </w:rPr>
        <w:t>, mentoring and co-teaching and could be significantly improved.</w:t>
      </w:r>
      <w:r w:rsidR="00312955" w:rsidRPr="000823DF">
        <w:rPr>
          <w:rFonts w:asciiTheme="majorHAnsi" w:hAnsiTheme="majorHAnsi" w:cstheme="majorHAnsi"/>
          <w:sz w:val="20"/>
          <w:szCs w:val="20"/>
        </w:rPr>
        <w:t xml:space="preserve"> </w:t>
      </w:r>
      <w:r w:rsidR="007C0960" w:rsidRPr="000823DF">
        <w:rPr>
          <w:rFonts w:asciiTheme="majorHAnsi" w:hAnsiTheme="majorHAnsi" w:cstheme="majorHAnsi"/>
          <w:sz w:val="20"/>
          <w:szCs w:val="20"/>
        </w:rPr>
        <w:t>We have observed there to be a defensive culture in schools where the mento</w:t>
      </w:r>
      <w:r w:rsidR="00773F42" w:rsidRPr="000823DF">
        <w:rPr>
          <w:rFonts w:asciiTheme="majorHAnsi" w:hAnsiTheme="majorHAnsi" w:cstheme="majorHAnsi"/>
          <w:sz w:val="20"/>
          <w:szCs w:val="20"/>
        </w:rPr>
        <w:t>ring is less than optimal</w:t>
      </w:r>
      <w:r w:rsidR="007C0960" w:rsidRPr="000823DF">
        <w:rPr>
          <w:rFonts w:asciiTheme="majorHAnsi" w:hAnsiTheme="majorHAnsi" w:cstheme="majorHAnsi"/>
          <w:sz w:val="20"/>
          <w:szCs w:val="20"/>
        </w:rPr>
        <w:t xml:space="preserve">. </w:t>
      </w:r>
      <w:r w:rsidR="00773F42" w:rsidRPr="000823DF">
        <w:rPr>
          <w:rFonts w:asciiTheme="majorHAnsi" w:hAnsiTheme="majorHAnsi" w:cstheme="majorHAnsi"/>
          <w:sz w:val="20"/>
          <w:szCs w:val="20"/>
        </w:rPr>
        <w:t>Greater collaboration between teachers is critical for their improved learning and development for good teaching practices. This can be evidenced through the research of John Hattie and factors to student achievement</w:t>
      </w:r>
      <w:r w:rsidR="002C6B4C">
        <w:rPr>
          <w:rStyle w:val="FootnoteReference"/>
          <w:rFonts w:asciiTheme="majorHAnsi" w:hAnsiTheme="majorHAnsi" w:cstheme="majorHAnsi"/>
          <w:sz w:val="20"/>
          <w:szCs w:val="20"/>
        </w:rPr>
        <w:footnoteReference w:id="5"/>
      </w:r>
      <w:r w:rsidR="00773F42" w:rsidRPr="000823DF">
        <w:rPr>
          <w:rFonts w:asciiTheme="majorHAnsi" w:hAnsiTheme="majorHAnsi" w:cstheme="majorHAnsi"/>
          <w:sz w:val="20"/>
          <w:szCs w:val="20"/>
        </w:rPr>
        <w:t xml:space="preserve">, </w:t>
      </w:r>
      <w:r w:rsidR="00732778" w:rsidRPr="000823DF">
        <w:rPr>
          <w:rFonts w:asciiTheme="majorHAnsi" w:hAnsiTheme="majorHAnsi" w:cstheme="majorHAnsi"/>
          <w:sz w:val="20"/>
          <w:szCs w:val="20"/>
        </w:rPr>
        <w:t xml:space="preserve">One particular </w:t>
      </w:r>
      <w:r w:rsidR="00150F24" w:rsidRPr="000823DF">
        <w:rPr>
          <w:rFonts w:asciiTheme="majorHAnsi" w:hAnsiTheme="majorHAnsi" w:cstheme="majorHAnsi"/>
          <w:sz w:val="20"/>
          <w:szCs w:val="20"/>
        </w:rPr>
        <w:t xml:space="preserve">finding of interest </w:t>
      </w:r>
      <w:r w:rsidR="002C6B4C">
        <w:rPr>
          <w:rFonts w:asciiTheme="majorHAnsi" w:hAnsiTheme="majorHAnsi" w:cstheme="majorHAnsi"/>
          <w:sz w:val="20"/>
          <w:szCs w:val="20"/>
        </w:rPr>
        <w:t xml:space="preserve">in Hattie’s ranking </w:t>
      </w:r>
      <w:r w:rsidR="00150F24" w:rsidRPr="000823DF">
        <w:rPr>
          <w:rFonts w:asciiTheme="majorHAnsi" w:hAnsiTheme="majorHAnsi" w:cstheme="majorHAnsi"/>
          <w:sz w:val="20"/>
          <w:szCs w:val="20"/>
        </w:rPr>
        <w:t>is that “collective teacher efficacy” rates as a high contributing factor to have the “</w:t>
      </w:r>
      <w:r w:rsidR="000823DF" w:rsidRPr="000823DF">
        <w:rPr>
          <w:rFonts w:asciiTheme="majorHAnsi" w:hAnsiTheme="majorHAnsi" w:cstheme="majorHAnsi"/>
          <w:sz w:val="20"/>
          <w:szCs w:val="20"/>
        </w:rPr>
        <w:t>p</w:t>
      </w:r>
      <w:r w:rsidR="00150F24" w:rsidRPr="000823DF">
        <w:rPr>
          <w:rFonts w:asciiTheme="majorHAnsi" w:hAnsiTheme="majorHAnsi" w:cstheme="majorHAnsi"/>
          <w:sz w:val="20"/>
          <w:szCs w:val="20"/>
        </w:rPr>
        <w:t>otential to considerable accelerate student achievement”. A teacher’s sense of efficacy is important because teachers need to feel competent and confident in their ability to teach and reach all students</w:t>
      </w:r>
      <w:r w:rsidRPr="000823DF">
        <w:rPr>
          <w:rFonts w:asciiTheme="majorHAnsi" w:hAnsiTheme="majorHAnsi" w:cstheme="majorHAnsi"/>
          <w:sz w:val="20"/>
          <w:szCs w:val="20"/>
        </w:rPr>
        <w:t>. Collective teacher efficacy is when a team of educators believe they have the ability to make a difference.</w:t>
      </w:r>
    </w:p>
    <w:p w14:paraId="52F0E267" w14:textId="2B4117F1" w:rsidR="00312955" w:rsidRPr="000823DF" w:rsidRDefault="00312955" w:rsidP="00312955">
      <w:pPr>
        <w:spacing w:before="100" w:beforeAutospacing="1"/>
        <w:rPr>
          <w:rFonts w:asciiTheme="majorHAnsi" w:hAnsiTheme="majorHAnsi" w:cstheme="majorHAnsi"/>
          <w:sz w:val="20"/>
          <w:szCs w:val="20"/>
        </w:rPr>
      </w:pPr>
      <w:r w:rsidRPr="000823DF">
        <w:rPr>
          <w:rFonts w:asciiTheme="majorHAnsi" w:hAnsiTheme="majorHAnsi" w:cstheme="majorHAnsi"/>
          <w:sz w:val="20"/>
          <w:szCs w:val="20"/>
        </w:rPr>
        <w:t>Schools need to find measurement protocols to identify where they could improve teacher collaboration as well as have strong reflective practice.</w:t>
      </w:r>
      <w:r w:rsidR="00732778" w:rsidRPr="000823DF">
        <w:rPr>
          <w:rFonts w:asciiTheme="majorHAnsi" w:hAnsiTheme="majorHAnsi" w:cstheme="majorHAnsi"/>
          <w:sz w:val="20"/>
          <w:szCs w:val="20"/>
        </w:rPr>
        <w:t xml:space="preserve"> </w:t>
      </w:r>
    </w:p>
    <w:p w14:paraId="7E2A6FFE" w14:textId="768676FE" w:rsidR="00312955" w:rsidRPr="000823DF" w:rsidRDefault="00312955" w:rsidP="00312955">
      <w:pPr>
        <w:spacing w:before="100" w:beforeAutospacing="1"/>
        <w:rPr>
          <w:rFonts w:asciiTheme="majorHAnsi" w:hAnsiTheme="majorHAnsi" w:cstheme="majorHAnsi"/>
          <w:sz w:val="20"/>
          <w:szCs w:val="20"/>
        </w:rPr>
      </w:pPr>
      <w:r w:rsidRPr="000823DF">
        <w:rPr>
          <w:rFonts w:asciiTheme="majorHAnsi" w:hAnsiTheme="majorHAnsi" w:cstheme="majorHAnsi"/>
          <w:sz w:val="20"/>
          <w:szCs w:val="20"/>
        </w:rPr>
        <w:t>Standardised reporting and assessment provides limited direction for teachers to understand how the student is learning, where the student is progressing and where there is a need for greater support. Standardising has the impact of ‘teaching to the middle’. ITE providers could provide training on individual goal setting and approaches to setting assessments that will enable helpful direction for the teachers on an individual student basis. This will not only take a lot of pressure off the teacher, it will provide them with forward direction and an enhanced understanding of the student.</w:t>
      </w:r>
    </w:p>
    <w:p w14:paraId="3D1756AA" w14:textId="77777777" w:rsidR="00312955" w:rsidRPr="00312955" w:rsidRDefault="00312955" w:rsidP="00312955">
      <w:pPr>
        <w:spacing w:before="100" w:beforeAutospacing="1"/>
        <w:rPr>
          <w:rFonts w:asciiTheme="majorHAnsi" w:hAnsiTheme="majorHAnsi" w:cstheme="majorHAnsi"/>
          <w:sz w:val="20"/>
          <w:szCs w:val="20"/>
        </w:rPr>
      </w:pPr>
    </w:p>
    <w:p w14:paraId="39FCB060" w14:textId="77777777" w:rsidR="00312955" w:rsidRPr="00312955" w:rsidRDefault="00312955" w:rsidP="00312955">
      <w:pPr>
        <w:spacing w:before="100" w:beforeAutospacing="1"/>
        <w:rPr>
          <w:rFonts w:asciiTheme="majorHAnsi" w:hAnsiTheme="majorHAnsi" w:cstheme="majorHAnsi"/>
          <w:sz w:val="20"/>
          <w:szCs w:val="20"/>
        </w:rPr>
      </w:pPr>
    </w:p>
    <w:p w14:paraId="07B99A21" w14:textId="77777777" w:rsidR="007C0960" w:rsidRDefault="007C0960" w:rsidP="00FA3CEE">
      <w:pPr>
        <w:widowControl w:val="0"/>
        <w:spacing w:beforeLines="120" w:before="288" w:after="200" w:line="360" w:lineRule="auto"/>
        <w:rPr>
          <w:sz w:val="20"/>
          <w:szCs w:val="20"/>
        </w:rPr>
      </w:pPr>
    </w:p>
    <w:p w14:paraId="765A9656" w14:textId="77777777" w:rsidR="00FA3CEE" w:rsidRDefault="00FA3CEE" w:rsidP="00FA3CEE">
      <w:pPr>
        <w:widowControl w:val="0"/>
        <w:spacing w:beforeLines="120" w:before="288" w:after="200" w:line="360" w:lineRule="auto"/>
        <w:rPr>
          <w:sz w:val="20"/>
          <w:szCs w:val="20"/>
        </w:rPr>
      </w:pPr>
    </w:p>
    <w:p w14:paraId="0C4663D8" w14:textId="77777777" w:rsidR="00FA3CEE" w:rsidRDefault="00FA3CEE"/>
    <w:sectPr w:rsidR="00FA3C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2029A" w14:textId="77777777" w:rsidR="00887464" w:rsidRDefault="00887464" w:rsidP="00FA3CEE">
      <w:pPr>
        <w:spacing w:after="0" w:line="240" w:lineRule="auto"/>
      </w:pPr>
      <w:r>
        <w:separator/>
      </w:r>
    </w:p>
  </w:endnote>
  <w:endnote w:type="continuationSeparator" w:id="0">
    <w:p w14:paraId="313B48B3" w14:textId="77777777" w:rsidR="00887464" w:rsidRDefault="00887464" w:rsidP="00FA3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DF7DF" w14:textId="77777777" w:rsidR="00887464" w:rsidRDefault="00887464" w:rsidP="00FA3CEE">
      <w:pPr>
        <w:spacing w:after="0" w:line="240" w:lineRule="auto"/>
      </w:pPr>
      <w:r>
        <w:separator/>
      </w:r>
    </w:p>
  </w:footnote>
  <w:footnote w:type="continuationSeparator" w:id="0">
    <w:p w14:paraId="2E8A76C7" w14:textId="77777777" w:rsidR="00887464" w:rsidRDefault="00887464" w:rsidP="00FA3CEE">
      <w:pPr>
        <w:spacing w:after="0" w:line="240" w:lineRule="auto"/>
      </w:pPr>
      <w:r>
        <w:continuationSeparator/>
      </w:r>
    </w:p>
  </w:footnote>
  <w:footnote w:id="1">
    <w:p w14:paraId="670B25CC" w14:textId="59154139" w:rsidR="00B07DA5" w:rsidRDefault="00B07DA5" w:rsidP="00B07DA5">
      <w:pPr>
        <w:pStyle w:val="FootnoteText"/>
      </w:pPr>
      <w:r>
        <w:rPr>
          <w:rStyle w:val="FootnoteReference"/>
        </w:rPr>
        <w:footnoteRef/>
      </w:r>
      <w:r>
        <w:t xml:space="preserve"> </w:t>
      </w:r>
      <w:r w:rsidRPr="00BF06A2">
        <w:rPr>
          <w:sz w:val="16"/>
          <w:szCs w:val="16"/>
        </w:rPr>
        <w:t xml:space="preserve">Developmental disability is a disability that occurs in the developmental period of a person’s life (in the period from conception to adulthood) and includes but is not limited to: autism, intellectual disability, cerebral palsy, </w:t>
      </w:r>
      <w:proofErr w:type="spellStart"/>
      <w:r w:rsidRPr="00BF06A2">
        <w:rPr>
          <w:sz w:val="16"/>
          <w:szCs w:val="16"/>
        </w:rPr>
        <w:t>spina</w:t>
      </w:r>
      <w:proofErr w:type="spellEnd"/>
      <w:r w:rsidRPr="00BF06A2">
        <w:rPr>
          <w:sz w:val="16"/>
          <w:szCs w:val="16"/>
        </w:rPr>
        <w:t xml:space="preserve"> bifida, and any combination of physical, intellectual or sensory disability.</w:t>
      </w:r>
    </w:p>
  </w:footnote>
  <w:footnote w:id="2">
    <w:p w14:paraId="6A3C3252" w14:textId="77777777" w:rsidR="00FA3CEE" w:rsidRPr="00165D68" w:rsidRDefault="00FA3CEE" w:rsidP="00FA3CEE">
      <w:pPr>
        <w:spacing w:line="240" w:lineRule="auto"/>
        <w:rPr>
          <w:sz w:val="16"/>
          <w:szCs w:val="16"/>
        </w:rPr>
      </w:pPr>
      <w:r w:rsidRPr="00557C6D">
        <w:rPr>
          <w:sz w:val="16"/>
          <w:szCs w:val="16"/>
          <w:vertAlign w:val="superscript"/>
        </w:rPr>
        <w:footnoteRef/>
      </w:r>
      <w:r w:rsidRPr="00557C6D">
        <w:rPr>
          <w:sz w:val="16"/>
          <w:szCs w:val="16"/>
        </w:rPr>
        <w:t xml:space="preserve"> European Agency for Special Needs and Inclusive Education, </w:t>
      </w:r>
      <w:r w:rsidRPr="00557C6D">
        <w:rPr>
          <w:i/>
          <w:sz w:val="16"/>
          <w:szCs w:val="16"/>
        </w:rPr>
        <w:t xml:space="preserve">Evidence of the Link Between Inclusive Education and Social Inclusion: Literature Review, </w:t>
      </w:r>
      <w:r w:rsidRPr="00557C6D">
        <w:rPr>
          <w:sz w:val="16"/>
          <w:szCs w:val="16"/>
        </w:rPr>
        <w:t>2018, p 14.</w:t>
      </w:r>
    </w:p>
  </w:footnote>
  <w:footnote w:id="3">
    <w:p w14:paraId="78755F07" w14:textId="77777777" w:rsidR="00BE7653" w:rsidRPr="00A57D9C" w:rsidRDefault="00BE7653" w:rsidP="00BE7653">
      <w:pPr>
        <w:pStyle w:val="FootnoteText"/>
      </w:pPr>
      <w:r>
        <w:rPr>
          <w:rStyle w:val="FootnoteReference"/>
        </w:rPr>
        <w:footnoteRef/>
      </w:r>
      <w:r>
        <w:t xml:space="preserve"> </w:t>
      </w:r>
      <w:r w:rsidRPr="007D679F">
        <w:rPr>
          <w:sz w:val="16"/>
          <w:szCs w:val="16"/>
        </w:rPr>
        <w:t xml:space="preserve">K, Cologon, Department of Educational Studies, For Children and Young People with Disability Australia </w:t>
      </w:r>
      <w:hyperlink r:id="rId1" w:history="1">
        <w:r w:rsidRPr="007D679F">
          <w:rPr>
            <w:rStyle w:val="Hyperlink"/>
            <w:sz w:val="16"/>
            <w:szCs w:val="16"/>
          </w:rPr>
          <w:t>Towards inclusive education: A necessary process of transformation report</w:t>
        </w:r>
      </w:hyperlink>
    </w:p>
  </w:footnote>
  <w:footnote w:id="4">
    <w:p w14:paraId="753166CE" w14:textId="00B33814" w:rsidR="0099309F" w:rsidRDefault="0099309F">
      <w:pPr>
        <w:pStyle w:val="FootnoteText"/>
      </w:pPr>
      <w:r>
        <w:rPr>
          <w:rStyle w:val="FootnoteReference"/>
        </w:rPr>
        <w:footnoteRef/>
      </w:r>
      <w:r>
        <w:t xml:space="preserve"> </w:t>
      </w:r>
      <w:r w:rsidRPr="0099309F">
        <w:t>Jackson, R (2008). Inclusion or segregation for children with an intellectual impairment: What does the research say? Queensland Parents for People with a Disability; Cologon, K (2019), Towards inclusive education: a necessary process of transformation. Report written by Dr Kathy Cologon, Macquarie University for Children and Young People with disability Australia (CYDA).</w:t>
      </w:r>
    </w:p>
  </w:footnote>
  <w:footnote w:id="5">
    <w:p w14:paraId="3147B2FC" w14:textId="44A930CC" w:rsidR="002C6B4C" w:rsidRPr="002C6B4C" w:rsidRDefault="002C6B4C" w:rsidP="002C6B4C">
      <w:pPr>
        <w:pStyle w:val="FootnoteText"/>
      </w:pPr>
      <w:r>
        <w:rPr>
          <w:rStyle w:val="FootnoteReference"/>
        </w:rPr>
        <w:footnoteRef/>
      </w:r>
      <w:r>
        <w:t xml:space="preserve"> </w:t>
      </w:r>
      <w:hyperlink r:id="rId2" w:history="1">
        <w:r w:rsidRPr="002C6B4C">
          <w:rPr>
            <w:rStyle w:val="Hyperlink"/>
          </w:rPr>
          <w:t>https://visible-learning.org/wp-content/uploads/2018/03/VLPLUS-252-Influences-Hattie-ranking-DEC-2017.pdf</w:t>
        </w:r>
      </w:hyperlink>
      <w:r w:rsidRPr="002C6B4C">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F1277"/>
    <w:multiLevelType w:val="hybridMultilevel"/>
    <w:tmpl w:val="362EF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D1C3C3D"/>
    <w:multiLevelType w:val="hybridMultilevel"/>
    <w:tmpl w:val="4F4EB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2E3F4B"/>
    <w:multiLevelType w:val="hybridMultilevel"/>
    <w:tmpl w:val="E0AA97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D753D9E"/>
    <w:multiLevelType w:val="hybridMultilevel"/>
    <w:tmpl w:val="CA36F63C"/>
    <w:lvl w:ilvl="0" w:tplc="0C09000F">
      <w:start w:val="1"/>
      <w:numFmt w:val="decimal"/>
      <w:lvlText w:val="%1."/>
      <w:lvlJc w:val="left"/>
      <w:pPr>
        <w:ind w:left="360" w:hanging="360"/>
      </w:pPr>
    </w:lvl>
    <w:lvl w:ilvl="1" w:tplc="0262A930">
      <w:numFmt w:val="bullet"/>
      <w:lvlText w:val="•"/>
      <w:lvlJc w:val="left"/>
      <w:pPr>
        <w:ind w:left="1080" w:hanging="360"/>
      </w:pPr>
      <w:rPr>
        <w:rFonts w:ascii="Calibri" w:eastAsiaTheme="minorHAnsi" w:hAnsi="Calibri" w:cs="Calibri"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93E"/>
    <w:rsid w:val="0003091F"/>
    <w:rsid w:val="000823DF"/>
    <w:rsid w:val="00150F24"/>
    <w:rsid w:val="00220D31"/>
    <w:rsid w:val="00242550"/>
    <w:rsid w:val="002C6B4C"/>
    <w:rsid w:val="00312955"/>
    <w:rsid w:val="003B593E"/>
    <w:rsid w:val="005206B9"/>
    <w:rsid w:val="00541448"/>
    <w:rsid w:val="0057296E"/>
    <w:rsid w:val="005D6448"/>
    <w:rsid w:val="005D778B"/>
    <w:rsid w:val="006408D7"/>
    <w:rsid w:val="006A46F5"/>
    <w:rsid w:val="006F0DB8"/>
    <w:rsid w:val="006F6301"/>
    <w:rsid w:val="00732778"/>
    <w:rsid w:val="00773F42"/>
    <w:rsid w:val="007C0960"/>
    <w:rsid w:val="007D679F"/>
    <w:rsid w:val="00827AC6"/>
    <w:rsid w:val="00850451"/>
    <w:rsid w:val="00887464"/>
    <w:rsid w:val="009716DD"/>
    <w:rsid w:val="009803AE"/>
    <w:rsid w:val="0099309F"/>
    <w:rsid w:val="00A40A72"/>
    <w:rsid w:val="00A5574F"/>
    <w:rsid w:val="00A57D9C"/>
    <w:rsid w:val="00A71E76"/>
    <w:rsid w:val="00B07DA5"/>
    <w:rsid w:val="00BE7653"/>
    <w:rsid w:val="00C2573D"/>
    <w:rsid w:val="00C53463"/>
    <w:rsid w:val="00C64255"/>
    <w:rsid w:val="00C85F16"/>
    <w:rsid w:val="00DB71E8"/>
    <w:rsid w:val="00EB07FA"/>
    <w:rsid w:val="00F15D4A"/>
    <w:rsid w:val="00FA3C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94B8"/>
  <w15:chartTrackingRefBased/>
  <w15:docId w15:val="{6DDE8C26-989F-4369-97D2-F409236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0960"/>
    <w:pPr>
      <w:keepNext/>
      <w:keepLines/>
      <w:spacing w:before="400" w:after="120" w:line="240" w:lineRule="auto"/>
      <w:ind w:left="720" w:hanging="360"/>
      <w:outlineLvl w:val="0"/>
    </w:pPr>
    <w:rPr>
      <w:rFonts w:ascii="Arial" w:eastAsia="Arial" w:hAnsi="Arial" w:cs="Arial"/>
      <w:sz w:val="40"/>
      <w:szCs w:val="40"/>
      <w:lang w:val="en"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CEE"/>
    <w:pPr>
      <w:spacing w:after="0" w:line="276" w:lineRule="auto"/>
      <w:ind w:left="720"/>
      <w:contextualSpacing/>
    </w:pPr>
    <w:rPr>
      <w:rFonts w:ascii="Arial" w:eastAsia="Arial" w:hAnsi="Arial" w:cs="Arial"/>
      <w:lang w:val="en" w:eastAsia="en-AU"/>
    </w:rPr>
  </w:style>
  <w:style w:type="character" w:styleId="Hyperlink">
    <w:name w:val="Hyperlink"/>
    <w:basedOn w:val="DefaultParagraphFont"/>
    <w:uiPriority w:val="99"/>
    <w:unhideWhenUsed/>
    <w:rsid w:val="00FA3CEE"/>
    <w:rPr>
      <w:color w:val="0563C1" w:themeColor="hyperlink"/>
      <w:u w:val="single"/>
    </w:rPr>
  </w:style>
  <w:style w:type="table" w:styleId="GridTable4-Accent6">
    <w:name w:val="Grid Table 4 Accent 6"/>
    <w:basedOn w:val="TableNormal"/>
    <w:uiPriority w:val="49"/>
    <w:rsid w:val="006F0DB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1Char">
    <w:name w:val="Heading 1 Char"/>
    <w:basedOn w:val="DefaultParagraphFont"/>
    <w:link w:val="Heading1"/>
    <w:uiPriority w:val="9"/>
    <w:rsid w:val="007C0960"/>
    <w:rPr>
      <w:rFonts w:ascii="Arial" w:eastAsia="Arial" w:hAnsi="Arial" w:cs="Arial"/>
      <w:sz w:val="40"/>
      <w:szCs w:val="40"/>
      <w:lang w:val="en" w:eastAsia="en-AU"/>
    </w:rPr>
  </w:style>
  <w:style w:type="character" w:styleId="FollowedHyperlink">
    <w:name w:val="FollowedHyperlink"/>
    <w:basedOn w:val="DefaultParagraphFont"/>
    <w:uiPriority w:val="99"/>
    <w:semiHidden/>
    <w:unhideWhenUsed/>
    <w:rsid w:val="00220D31"/>
    <w:rPr>
      <w:color w:val="954F72" w:themeColor="followedHyperlink"/>
      <w:u w:val="single"/>
    </w:rPr>
  </w:style>
  <w:style w:type="paragraph" w:styleId="FootnoteText">
    <w:name w:val="footnote text"/>
    <w:basedOn w:val="Normal"/>
    <w:link w:val="FootnoteTextChar"/>
    <w:uiPriority w:val="99"/>
    <w:semiHidden/>
    <w:unhideWhenUsed/>
    <w:rsid w:val="00A57D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7D9C"/>
    <w:rPr>
      <w:sz w:val="20"/>
      <w:szCs w:val="20"/>
    </w:rPr>
  </w:style>
  <w:style w:type="character" w:styleId="FootnoteReference">
    <w:name w:val="footnote reference"/>
    <w:basedOn w:val="DefaultParagraphFont"/>
    <w:uiPriority w:val="99"/>
    <w:semiHidden/>
    <w:unhideWhenUsed/>
    <w:rsid w:val="00A57D9C"/>
    <w:rPr>
      <w:vertAlign w:val="superscript"/>
    </w:rPr>
  </w:style>
  <w:style w:type="character" w:styleId="CommentReference">
    <w:name w:val="annotation reference"/>
    <w:basedOn w:val="DefaultParagraphFont"/>
    <w:uiPriority w:val="99"/>
    <w:semiHidden/>
    <w:unhideWhenUsed/>
    <w:rsid w:val="005D778B"/>
    <w:rPr>
      <w:sz w:val="16"/>
      <w:szCs w:val="16"/>
    </w:rPr>
  </w:style>
  <w:style w:type="paragraph" w:styleId="CommentText">
    <w:name w:val="annotation text"/>
    <w:basedOn w:val="Normal"/>
    <w:link w:val="CommentTextChar"/>
    <w:uiPriority w:val="99"/>
    <w:semiHidden/>
    <w:unhideWhenUsed/>
    <w:rsid w:val="005D778B"/>
    <w:pPr>
      <w:spacing w:line="240" w:lineRule="auto"/>
    </w:pPr>
    <w:rPr>
      <w:sz w:val="20"/>
      <w:szCs w:val="20"/>
    </w:rPr>
  </w:style>
  <w:style w:type="character" w:customStyle="1" w:styleId="CommentTextChar">
    <w:name w:val="Comment Text Char"/>
    <w:basedOn w:val="DefaultParagraphFont"/>
    <w:link w:val="CommentText"/>
    <w:uiPriority w:val="99"/>
    <w:semiHidden/>
    <w:rsid w:val="005D778B"/>
    <w:rPr>
      <w:sz w:val="20"/>
      <w:szCs w:val="20"/>
    </w:rPr>
  </w:style>
  <w:style w:type="paragraph" w:styleId="CommentSubject">
    <w:name w:val="annotation subject"/>
    <w:basedOn w:val="CommentText"/>
    <w:next w:val="CommentText"/>
    <w:link w:val="CommentSubjectChar"/>
    <w:uiPriority w:val="99"/>
    <w:semiHidden/>
    <w:unhideWhenUsed/>
    <w:rsid w:val="005D778B"/>
    <w:rPr>
      <w:b/>
      <w:bCs/>
    </w:rPr>
  </w:style>
  <w:style w:type="character" w:customStyle="1" w:styleId="CommentSubjectChar">
    <w:name w:val="Comment Subject Char"/>
    <w:basedOn w:val="CommentTextChar"/>
    <w:link w:val="CommentSubject"/>
    <w:uiPriority w:val="99"/>
    <w:semiHidden/>
    <w:rsid w:val="005D778B"/>
    <w:rPr>
      <w:b/>
      <w:bCs/>
      <w:sz w:val="20"/>
      <w:szCs w:val="20"/>
    </w:rPr>
  </w:style>
  <w:style w:type="paragraph" w:styleId="BalloonText">
    <w:name w:val="Balloon Text"/>
    <w:basedOn w:val="Normal"/>
    <w:link w:val="BalloonTextChar"/>
    <w:uiPriority w:val="99"/>
    <w:semiHidden/>
    <w:unhideWhenUsed/>
    <w:rsid w:val="005D7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78B"/>
    <w:rPr>
      <w:rFonts w:ascii="Segoe UI" w:hAnsi="Segoe UI" w:cs="Segoe UI"/>
      <w:sz w:val="18"/>
      <w:szCs w:val="18"/>
    </w:rPr>
  </w:style>
  <w:style w:type="paragraph" w:styleId="Footer">
    <w:name w:val="footer"/>
    <w:basedOn w:val="Normal"/>
    <w:link w:val="FooterChar"/>
    <w:uiPriority w:val="99"/>
    <w:unhideWhenUsed/>
    <w:rsid w:val="00B07DA5"/>
    <w:pPr>
      <w:tabs>
        <w:tab w:val="center" w:pos="4513"/>
        <w:tab w:val="right" w:pos="9026"/>
      </w:tabs>
      <w:spacing w:after="0" w:line="240" w:lineRule="auto"/>
    </w:pPr>
    <w:rPr>
      <w:rFonts w:ascii="Arial" w:eastAsia="Arial" w:hAnsi="Arial" w:cs="Arial"/>
      <w:lang w:val="en" w:eastAsia="en-AU"/>
    </w:rPr>
  </w:style>
  <w:style w:type="character" w:customStyle="1" w:styleId="FooterChar">
    <w:name w:val="Footer Char"/>
    <w:basedOn w:val="DefaultParagraphFont"/>
    <w:link w:val="Footer"/>
    <w:uiPriority w:val="99"/>
    <w:rsid w:val="00B07DA5"/>
    <w:rPr>
      <w:rFonts w:ascii="Arial" w:eastAsia="Arial" w:hAnsi="Arial" w:cs="Arial"/>
      <w:lang w:val="en"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6812">
      <w:bodyDiv w:val="1"/>
      <w:marLeft w:val="0"/>
      <w:marRight w:val="0"/>
      <w:marTop w:val="0"/>
      <w:marBottom w:val="0"/>
      <w:divBdr>
        <w:top w:val="none" w:sz="0" w:space="0" w:color="auto"/>
        <w:left w:val="none" w:sz="0" w:space="0" w:color="auto"/>
        <w:bottom w:val="none" w:sz="0" w:space="0" w:color="auto"/>
        <w:right w:val="none" w:sz="0" w:space="0" w:color="auto"/>
      </w:divBdr>
      <w:divsChild>
        <w:div w:id="1079130851">
          <w:marLeft w:val="0"/>
          <w:marRight w:val="0"/>
          <w:marTop w:val="0"/>
          <w:marBottom w:val="0"/>
          <w:divBdr>
            <w:top w:val="none" w:sz="0" w:space="0" w:color="auto"/>
            <w:left w:val="none" w:sz="0" w:space="0" w:color="auto"/>
            <w:bottom w:val="none" w:sz="0" w:space="0" w:color="auto"/>
            <w:right w:val="none" w:sz="0" w:space="0" w:color="auto"/>
          </w:divBdr>
        </w:div>
        <w:div w:id="1092747527">
          <w:marLeft w:val="0"/>
          <w:marRight w:val="0"/>
          <w:marTop w:val="0"/>
          <w:marBottom w:val="0"/>
          <w:divBdr>
            <w:top w:val="none" w:sz="0" w:space="0" w:color="auto"/>
            <w:left w:val="none" w:sz="0" w:space="0" w:color="auto"/>
            <w:bottom w:val="none" w:sz="0" w:space="0" w:color="auto"/>
            <w:right w:val="none" w:sz="0" w:space="0" w:color="auto"/>
          </w:divBdr>
        </w:div>
      </w:divsChild>
    </w:div>
    <w:div w:id="656960007">
      <w:bodyDiv w:val="1"/>
      <w:marLeft w:val="0"/>
      <w:marRight w:val="0"/>
      <w:marTop w:val="0"/>
      <w:marBottom w:val="0"/>
      <w:divBdr>
        <w:top w:val="none" w:sz="0" w:space="0" w:color="auto"/>
        <w:left w:val="none" w:sz="0" w:space="0" w:color="auto"/>
        <w:bottom w:val="none" w:sz="0" w:space="0" w:color="auto"/>
        <w:right w:val="none" w:sz="0" w:space="0" w:color="auto"/>
      </w:divBdr>
    </w:div>
    <w:div w:id="1638025813">
      <w:bodyDiv w:val="1"/>
      <w:marLeft w:val="0"/>
      <w:marRight w:val="0"/>
      <w:marTop w:val="0"/>
      <w:marBottom w:val="0"/>
      <w:divBdr>
        <w:top w:val="none" w:sz="0" w:space="0" w:color="auto"/>
        <w:left w:val="none" w:sz="0" w:space="0" w:color="auto"/>
        <w:bottom w:val="none" w:sz="0" w:space="0" w:color="auto"/>
        <w:right w:val="none" w:sz="0" w:space="0" w:color="auto"/>
      </w:divBdr>
    </w:div>
    <w:div w:id="1674794957">
      <w:bodyDiv w:val="1"/>
      <w:marLeft w:val="0"/>
      <w:marRight w:val="0"/>
      <w:marTop w:val="0"/>
      <w:marBottom w:val="0"/>
      <w:divBdr>
        <w:top w:val="none" w:sz="0" w:space="0" w:color="auto"/>
        <w:left w:val="none" w:sz="0" w:space="0" w:color="auto"/>
        <w:bottom w:val="none" w:sz="0" w:space="0" w:color="auto"/>
        <w:right w:val="none" w:sz="0" w:space="0" w:color="auto"/>
      </w:divBdr>
      <w:divsChild>
        <w:div w:id="692850921">
          <w:marLeft w:val="0"/>
          <w:marRight w:val="0"/>
          <w:marTop w:val="0"/>
          <w:marBottom w:val="0"/>
          <w:divBdr>
            <w:top w:val="none" w:sz="0" w:space="0" w:color="auto"/>
            <w:left w:val="none" w:sz="0" w:space="0" w:color="auto"/>
            <w:bottom w:val="none" w:sz="0" w:space="0" w:color="auto"/>
            <w:right w:val="none" w:sz="0" w:space="0" w:color="auto"/>
          </w:divBdr>
        </w:div>
        <w:div w:id="1476340958">
          <w:marLeft w:val="0"/>
          <w:marRight w:val="0"/>
          <w:marTop w:val="0"/>
          <w:marBottom w:val="0"/>
          <w:divBdr>
            <w:top w:val="none" w:sz="0" w:space="0" w:color="auto"/>
            <w:left w:val="none" w:sz="0" w:space="0" w:color="auto"/>
            <w:bottom w:val="none" w:sz="0" w:space="0" w:color="auto"/>
            <w:right w:val="none" w:sz="0" w:space="0" w:color="auto"/>
          </w:divBdr>
          <w:divsChild>
            <w:div w:id="12773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139040">
      <w:bodyDiv w:val="1"/>
      <w:marLeft w:val="0"/>
      <w:marRight w:val="0"/>
      <w:marTop w:val="0"/>
      <w:marBottom w:val="0"/>
      <w:divBdr>
        <w:top w:val="none" w:sz="0" w:space="0" w:color="auto"/>
        <w:left w:val="none" w:sz="0" w:space="0" w:color="auto"/>
        <w:bottom w:val="none" w:sz="0" w:space="0" w:color="auto"/>
        <w:right w:val="none" w:sz="0" w:space="0" w:color="auto"/>
      </w:divBdr>
    </w:div>
    <w:div w:id="194707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dese.gov.au/disability-standards-education-2005/2020-review-disability-standards-education-2005" TargetMode="External"/><Relationship Id="rId18" Type="http://schemas.openxmlformats.org/officeDocument/2006/relationships/hyperlink" Target="https://evidenceforlearning.org.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ese.gov.au/disability-standards-education-2005/2020-review-disability-standards-education-2005" TargetMode="External"/><Relationship Id="rId17" Type="http://schemas.openxmlformats.org/officeDocument/2006/relationships/hyperlink" Target="https://school-inclusion.com/" TargetMode="External"/><Relationship Id="rId2" Type="http://schemas.openxmlformats.org/officeDocument/2006/relationships/numbering" Target="numbering.xml"/><Relationship Id="rId16" Type="http://schemas.openxmlformats.org/officeDocument/2006/relationships/hyperlink" Target="https://research.monash.edu/en/persons/kate-de-bruin" TargetMode="External"/><Relationship Id="rId20" Type="http://schemas.openxmlformats.org/officeDocument/2006/relationships/hyperlink" Target="https://education.nsw.gov.au/teaching-and-learning/learning-from-home/teaching-at-home/teaching-and-learning-resources/universal-design-for-lear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ie.org.au/2020/09/30/driving-change-a-roadmap-for-achieving-inclusive-education-in-australia/" TargetMode="External"/><Relationship Id="rId5" Type="http://schemas.openxmlformats.org/officeDocument/2006/relationships/webSettings" Target="webSettings.xml"/><Relationship Id="rId15" Type="http://schemas.openxmlformats.org/officeDocument/2006/relationships/hyperlink" Target="https://research.qut.edu.au/c4ie/" TargetMode="External"/><Relationship Id="rId10" Type="http://schemas.openxmlformats.org/officeDocument/2006/relationships/hyperlink" Target="mailto:leanne@family-advocacy.com" TargetMode="External"/><Relationship Id="rId19" Type="http://schemas.openxmlformats.org/officeDocument/2006/relationships/hyperlink" Target="https://www.purpleorange.org.au/what-we-do/our-current-projects/inclusive-school-communities" TargetMode="External"/><Relationship Id="rId4" Type="http://schemas.openxmlformats.org/officeDocument/2006/relationships/settings" Target="settings.xml"/><Relationship Id="rId9" Type="http://schemas.openxmlformats.org/officeDocument/2006/relationships/hyperlink" Target="mailto:cecile@family-advocacy.com" TargetMode="External"/><Relationship Id="rId14" Type="http://schemas.openxmlformats.org/officeDocument/2006/relationships/hyperlink" Target="https://www.cyda.org.au/issues/educatio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isible-learning.org/wp-content/uploads/2018/03/VLPLUS-252-Influences-Hattie-ranking-DEC-2017.pdf" TargetMode="External"/><Relationship Id="rId1" Type="http://schemas.openxmlformats.org/officeDocument/2006/relationships/hyperlink" Target="https://www.cyda.org.au/resources/details/62/towards-inclusive-education-a-necessary-process-of-trans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E7AEC-81D3-45D2-BBFA-3C0A2E0D3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2489</Words>
  <Characters>14190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Varga</dc:creator>
  <cp:keywords/>
  <dc:description/>
  <cp:lastModifiedBy>Leanne Varga</cp:lastModifiedBy>
  <cp:revision>2</cp:revision>
  <dcterms:created xsi:type="dcterms:W3CDTF">2021-07-23T04:44:00Z</dcterms:created>
  <dcterms:modified xsi:type="dcterms:W3CDTF">2021-07-23T04:44:00Z</dcterms:modified>
</cp:coreProperties>
</file>