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EBD0" w14:textId="77777777" w:rsidR="007570BC" w:rsidRDefault="00247885" w:rsidP="00247885">
      <w:pPr>
        <w:jc w:val="center"/>
        <w:rPr>
          <w:b/>
          <w:bCs/>
          <w:sz w:val="28"/>
          <w:szCs w:val="28"/>
        </w:rPr>
      </w:pPr>
      <w:r w:rsidRPr="00954580">
        <w:rPr>
          <w:b/>
          <w:bCs/>
          <w:sz w:val="28"/>
          <w:szCs w:val="28"/>
        </w:rPr>
        <w:t>Faculty of Creative Industries, Education and Social Justice</w:t>
      </w:r>
      <w:r w:rsidR="007570BC">
        <w:rPr>
          <w:b/>
          <w:bCs/>
          <w:sz w:val="28"/>
          <w:szCs w:val="28"/>
        </w:rPr>
        <w:t xml:space="preserve">, </w:t>
      </w:r>
    </w:p>
    <w:p w14:paraId="0468410D" w14:textId="0CECB116" w:rsidR="00CF7231" w:rsidRPr="00954580" w:rsidRDefault="007570BC" w:rsidP="00247885">
      <w:pPr>
        <w:jc w:val="center"/>
        <w:rPr>
          <w:b/>
          <w:bCs/>
          <w:sz w:val="28"/>
          <w:szCs w:val="28"/>
        </w:rPr>
      </w:pPr>
      <w:r>
        <w:rPr>
          <w:b/>
          <w:bCs/>
          <w:sz w:val="28"/>
          <w:szCs w:val="28"/>
        </w:rPr>
        <w:t>Queensland University of Technology</w:t>
      </w:r>
    </w:p>
    <w:p w14:paraId="3156CAAB" w14:textId="2AD8E21C" w:rsidR="00247885" w:rsidRPr="00954580" w:rsidRDefault="00247885" w:rsidP="00247885">
      <w:pPr>
        <w:jc w:val="center"/>
        <w:rPr>
          <w:b/>
          <w:bCs/>
          <w:sz w:val="28"/>
          <w:szCs w:val="28"/>
        </w:rPr>
      </w:pPr>
      <w:r w:rsidRPr="00954580">
        <w:rPr>
          <w:b/>
          <w:bCs/>
          <w:sz w:val="28"/>
          <w:szCs w:val="28"/>
        </w:rPr>
        <w:t xml:space="preserve">Response to the </w:t>
      </w:r>
      <w:r w:rsidR="00844749" w:rsidRPr="00954580">
        <w:rPr>
          <w:b/>
          <w:bCs/>
          <w:sz w:val="28"/>
          <w:szCs w:val="28"/>
        </w:rPr>
        <w:t xml:space="preserve">Expert Panel on the </w:t>
      </w:r>
    </w:p>
    <w:p w14:paraId="68081811" w14:textId="182164D6" w:rsidR="00247885" w:rsidRPr="00954580" w:rsidRDefault="00844749" w:rsidP="00247885">
      <w:pPr>
        <w:jc w:val="center"/>
        <w:rPr>
          <w:b/>
          <w:bCs/>
          <w:sz w:val="28"/>
          <w:szCs w:val="28"/>
        </w:rPr>
      </w:pPr>
      <w:r w:rsidRPr="00954580">
        <w:rPr>
          <w:b/>
          <w:bCs/>
          <w:sz w:val="28"/>
          <w:szCs w:val="28"/>
        </w:rPr>
        <w:t>Quality Initial Teacher Education Discussion</w:t>
      </w:r>
      <w:r w:rsidR="00247885" w:rsidRPr="00954580">
        <w:rPr>
          <w:b/>
          <w:bCs/>
          <w:sz w:val="28"/>
          <w:szCs w:val="28"/>
        </w:rPr>
        <w:t xml:space="preserve"> Paper</w:t>
      </w:r>
    </w:p>
    <w:p w14:paraId="25EC8753" w14:textId="0E2EFA65" w:rsidR="00CD2BA8" w:rsidRPr="00954580" w:rsidRDefault="00B66406" w:rsidP="00844749">
      <w:pPr>
        <w:jc w:val="center"/>
        <w:rPr>
          <w:b/>
          <w:bCs/>
          <w:sz w:val="28"/>
          <w:szCs w:val="28"/>
        </w:rPr>
      </w:pPr>
      <w:r w:rsidRPr="00954580">
        <w:rPr>
          <w:b/>
          <w:bCs/>
          <w:sz w:val="28"/>
          <w:szCs w:val="28"/>
        </w:rPr>
        <w:t>1</w:t>
      </w:r>
      <w:r>
        <w:rPr>
          <w:b/>
          <w:bCs/>
          <w:sz w:val="28"/>
          <w:szCs w:val="28"/>
        </w:rPr>
        <w:t>5</w:t>
      </w:r>
      <w:r w:rsidRPr="00954580">
        <w:rPr>
          <w:b/>
          <w:bCs/>
          <w:sz w:val="28"/>
          <w:szCs w:val="28"/>
        </w:rPr>
        <w:t xml:space="preserve"> </w:t>
      </w:r>
      <w:r w:rsidR="00844749" w:rsidRPr="00954580">
        <w:rPr>
          <w:b/>
          <w:bCs/>
          <w:sz w:val="28"/>
          <w:szCs w:val="28"/>
        </w:rPr>
        <w:t>July 2021</w:t>
      </w:r>
    </w:p>
    <w:p w14:paraId="2E14CFEE" w14:textId="77777777" w:rsidR="00844749" w:rsidRDefault="00844749" w:rsidP="00844749">
      <w:pPr>
        <w:jc w:val="center"/>
        <w:rPr>
          <w:b/>
          <w:bCs/>
          <w:i/>
          <w:iCs/>
        </w:rPr>
      </w:pPr>
    </w:p>
    <w:p w14:paraId="1DC8EA12" w14:textId="06FD237C" w:rsidR="00844749" w:rsidRPr="00274B36" w:rsidRDefault="00844749" w:rsidP="00954580">
      <w:pPr>
        <w:spacing w:line="276" w:lineRule="auto"/>
        <w:rPr>
          <w:rFonts w:cstheme="minorHAnsi"/>
        </w:rPr>
      </w:pPr>
      <w:r w:rsidRPr="00274B36">
        <w:rPr>
          <w:rFonts w:cstheme="minorHAnsi"/>
        </w:rPr>
        <w:t xml:space="preserve">The Faculty of Creative Industries, Education and Social Justice </w:t>
      </w:r>
      <w:r w:rsidR="00346100">
        <w:rPr>
          <w:rFonts w:cstheme="minorHAnsi"/>
        </w:rPr>
        <w:t xml:space="preserve">of the Queensland University of Technology </w:t>
      </w:r>
      <w:r w:rsidR="00E35EEB">
        <w:rPr>
          <w:rFonts w:cstheme="minorHAnsi"/>
        </w:rPr>
        <w:t xml:space="preserve">(QUT) </w:t>
      </w:r>
      <w:r w:rsidRPr="00274B36">
        <w:rPr>
          <w:rFonts w:cstheme="minorHAnsi"/>
        </w:rPr>
        <w:t xml:space="preserve">welcomes the opportunity to provide a submission to the Expert Panel on the Quality Initial Teacher Education Discussion Paper. The </w:t>
      </w:r>
      <w:r w:rsidR="00B903DF" w:rsidRPr="00274B36">
        <w:rPr>
          <w:rFonts w:cstheme="minorHAnsi"/>
        </w:rPr>
        <w:t>submission</w:t>
      </w:r>
      <w:r w:rsidRPr="00274B36">
        <w:rPr>
          <w:rFonts w:cstheme="minorHAnsi"/>
        </w:rPr>
        <w:t xml:space="preserve"> </w:t>
      </w:r>
      <w:r w:rsidR="00B903DF" w:rsidRPr="00274B36">
        <w:rPr>
          <w:rFonts w:cstheme="minorHAnsi"/>
        </w:rPr>
        <w:t>provide</w:t>
      </w:r>
      <w:r w:rsidR="00954580" w:rsidRPr="00274B36">
        <w:rPr>
          <w:rFonts w:cstheme="minorHAnsi"/>
        </w:rPr>
        <w:t>s</w:t>
      </w:r>
      <w:r w:rsidR="00B903DF" w:rsidRPr="00274B36">
        <w:rPr>
          <w:rFonts w:cstheme="minorHAnsi"/>
        </w:rPr>
        <w:t xml:space="preserve"> feedback on</w:t>
      </w:r>
      <w:r w:rsidRPr="00274B36">
        <w:rPr>
          <w:rFonts w:cstheme="minorHAnsi"/>
        </w:rPr>
        <w:t xml:space="preserve"> some of the </w:t>
      </w:r>
      <w:r w:rsidR="00954580" w:rsidRPr="00274B36">
        <w:rPr>
          <w:rFonts w:cstheme="minorHAnsi"/>
        </w:rPr>
        <w:t xml:space="preserve">specific </w:t>
      </w:r>
      <w:r w:rsidRPr="00274B36">
        <w:rPr>
          <w:rFonts w:cstheme="minorHAnsi"/>
        </w:rPr>
        <w:t>questions posed in the paper.</w:t>
      </w:r>
      <w:r w:rsidR="00954580" w:rsidRPr="00274B36">
        <w:rPr>
          <w:rFonts w:cstheme="minorHAnsi"/>
        </w:rPr>
        <w:t xml:space="preserve"> However, b</w:t>
      </w:r>
      <w:r w:rsidRPr="00274B36">
        <w:rPr>
          <w:rFonts w:cstheme="minorHAnsi"/>
        </w:rPr>
        <w:t xml:space="preserve">efore responding to the questions, the Faculty would like to make some general observations. </w:t>
      </w:r>
    </w:p>
    <w:p w14:paraId="73100752" w14:textId="1E9E9BD8" w:rsidR="00B903DF" w:rsidRDefault="00844749" w:rsidP="00954580">
      <w:pPr>
        <w:spacing w:line="276" w:lineRule="auto"/>
        <w:rPr>
          <w:rFonts w:cstheme="minorHAnsi"/>
        </w:rPr>
      </w:pPr>
      <w:r w:rsidRPr="00274B36">
        <w:rPr>
          <w:rFonts w:cstheme="minorHAnsi"/>
        </w:rPr>
        <w:t xml:space="preserve">Firstly, while the Faculty acknowledges the Minister’s intention ‘to launch a review looking at the next evolution of reforms to initial teacher education’ it is worth noting that the most recent review and </w:t>
      </w:r>
      <w:r w:rsidR="00B903DF" w:rsidRPr="00274B36">
        <w:rPr>
          <w:rFonts w:cstheme="minorHAnsi"/>
        </w:rPr>
        <w:t>resulting</w:t>
      </w:r>
      <w:r w:rsidRPr="00274B36">
        <w:rPr>
          <w:rFonts w:cstheme="minorHAnsi"/>
        </w:rPr>
        <w:t xml:space="preserve"> </w:t>
      </w:r>
      <w:r w:rsidR="00B903DF" w:rsidRPr="00274B36">
        <w:rPr>
          <w:rFonts w:cstheme="minorHAnsi"/>
        </w:rPr>
        <w:t xml:space="preserve">significant </w:t>
      </w:r>
      <w:r w:rsidRPr="00274B36">
        <w:rPr>
          <w:rFonts w:cstheme="minorHAnsi"/>
        </w:rPr>
        <w:t>reforms from</w:t>
      </w:r>
      <w:r w:rsidR="00B903DF" w:rsidRPr="00274B36">
        <w:rPr>
          <w:rFonts w:cstheme="minorHAnsi"/>
        </w:rPr>
        <w:t xml:space="preserve"> the 2014 TEMAG Review</w:t>
      </w:r>
      <w:r w:rsidRPr="00274B36">
        <w:rPr>
          <w:rFonts w:cstheme="minorHAnsi"/>
        </w:rPr>
        <w:t xml:space="preserve"> </w:t>
      </w:r>
      <w:r w:rsidR="00B903DF" w:rsidRPr="00274B36">
        <w:rPr>
          <w:rFonts w:cstheme="minorHAnsi"/>
        </w:rPr>
        <w:t xml:space="preserve">have not </w:t>
      </w:r>
      <w:r w:rsidR="00417BB6">
        <w:rPr>
          <w:rFonts w:cstheme="minorHAnsi"/>
        </w:rPr>
        <w:t xml:space="preserve">yet </w:t>
      </w:r>
      <w:r w:rsidR="00B903DF" w:rsidRPr="00274B36">
        <w:rPr>
          <w:rFonts w:cstheme="minorHAnsi"/>
        </w:rPr>
        <w:t>had an opportunity to be fully bedded down</w:t>
      </w:r>
      <w:r w:rsidR="00417BB6">
        <w:rPr>
          <w:rFonts w:cstheme="minorHAnsi"/>
        </w:rPr>
        <w:t>,</w:t>
      </w:r>
      <w:r w:rsidR="00B903DF" w:rsidRPr="00274B36">
        <w:rPr>
          <w:rFonts w:cstheme="minorHAnsi"/>
        </w:rPr>
        <w:t xml:space="preserve"> and there may be some merit to allow sufficient time for this to occur before proceeding on further </w:t>
      </w:r>
      <w:r w:rsidR="00954580" w:rsidRPr="00274B36">
        <w:rPr>
          <w:rFonts w:cstheme="minorHAnsi"/>
        </w:rPr>
        <w:t xml:space="preserve">major </w:t>
      </w:r>
      <w:r w:rsidR="00B903DF" w:rsidRPr="00274B36">
        <w:rPr>
          <w:rFonts w:cstheme="minorHAnsi"/>
        </w:rPr>
        <w:t xml:space="preserve">reform. </w:t>
      </w:r>
    </w:p>
    <w:p w14:paraId="6820CC2C" w14:textId="4BD37DAD" w:rsidR="00677251" w:rsidRPr="00274B36" w:rsidRDefault="00677251" w:rsidP="00954580">
      <w:pPr>
        <w:spacing w:line="276" w:lineRule="auto"/>
        <w:rPr>
          <w:rFonts w:cstheme="minorHAnsi"/>
        </w:rPr>
      </w:pPr>
      <w:r w:rsidRPr="00274B36">
        <w:rPr>
          <w:rFonts w:cstheme="minorHAnsi"/>
        </w:rPr>
        <w:t>It is also important, when proposing reforms to the sector, to take a whole system approach by looking at all the components that relate to initial teacher education including not only the quality of teaching and teachers, but also teacher employment, and the preparation and continuing professional development of teachers.</w:t>
      </w:r>
    </w:p>
    <w:p w14:paraId="687AFB7C" w14:textId="739A1C0C" w:rsidR="00EC6A7D" w:rsidRDefault="00B903DF" w:rsidP="00954580">
      <w:pPr>
        <w:spacing w:line="276" w:lineRule="auto"/>
        <w:rPr>
          <w:rFonts w:cstheme="minorHAnsi"/>
        </w:rPr>
      </w:pPr>
      <w:r w:rsidRPr="00274B36">
        <w:rPr>
          <w:rFonts w:cstheme="minorHAnsi"/>
        </w:rPr>
        <w:t xml:space="preserve">Secondly, </w:t>
      </w:r>
      <w:r w:rsidR="00E1673F" w:rsidRPr="00274B36">
        <w:rPr>
          <w:rFonts w:cstheme="minorHAnsi"/>
        </w:rPr>
        <w:t xml:space="preserve">both the TEMAG reforms and those at a state and national level, previously, have </w:t>
      </w:r>
      <w:r w:rsidR="00417BB6">
        <w:rPr>
          <w:rFonts w:cstheme="minorHAnsi"/>
        </w:rPr>
        <w:t>raised</w:t>
      </w:r>
      <w:r w:rsidR="00417BB6" w:rsidRPr="00274B36">
        <w:rPr>
          <w:rFonts w:cstheme="minorHAnsi"/>
        </w:rPr>
        <w:t xml:space="preserve"> concern</w:t>
      </w:r>
      <w:r w:rsidR="00417BB6">
        <w:rPr>
          <w:rFonts w:cstheme="minorHAnsi"/>
        </w:rPr>
        <w:t>s</w:t>
      </w:r>
      <w:r w:rsidR="00417BB6" w:rsidRPr="00274B36">
        <w:rPr>
          <w:rFonts w:cstheme="minorHAnsi"/>
        </w:rPr>
        <w:t xml:space="preserve"> </w:t>
      </w:r>
      <w:r w:rsidR="00E1673F" w:rsidRPr="00274B36">
        <w:rPr>
          <w:rFonts w:cstheme="minorHAnsi"/>
        </w:rPr>
        <w:t xml:space="preserve">regarding quality in relation to </w:t>
      </w:r>
      <w:r w:rsidRPr="00274B36">
        <w:rPr>
          <w:rFonts w:cstheme="minorHAnsi"/>
        </w:rPr>
        <w:t>the use of accelerated programs to attract mid-career professionals into teaching</w:t>
      </w:r>
      <w:r w:rsidR="00417BB6">
        <w:rPr>
          <w:rFonts w:cstheme="minorHAnsi"/>
        </w:rPr>
        <w:t>, as well as challenges with</w:t>
      </w:r>
      <w:r w:rsidR="00677251">
        <w:rPr>
          <w:rFonts w:cstheme="minorHAnsi"/>
        </w:rPr>
        <w:t xml:space="preserve"> retention. The Teach for Australia Program Evaluation Report </w:t>
      </w:r>
      <w:r w:rsidR="00955B44">
        <w:rPr>
          <w:rFonts w:cstheme="minorHAnsi"/>
        </w:rPr>
        <w:t>(</w:t>
      </w:r>
      <w:r w:rsidR="00EC6A7D">
        <w:rPr>
          <w:rFonts w:cstheme="minorHAnsi"/>
        </w:rPr>
        <w:t xml:space="preserve">Dandolo Partners, </w:t>
      </w:r>
      <w:r w:rsidR="00677251">
        <w:rPr>
          <w:rFonts w:cstheme="minorHAnsi"/>
        </w:rPr>
        <w:t>May 2017) note</w:t>
      </w:r>
      <w:r w:rsidR="001D5FC8">
        <w:rPr>
          <w:rFonts w:cstheme="minorHAnsi"/>
        </w:rPr>
        <w:t>d</w:t>
      </w:r>
      <w:r w:rsidR="00677251">
        <w:rPr>
          <w:rFonts w:cstheme="minorHAnsi"/>
        </w:rPr>
        <w:t xml:space="preserve"> that ‘</w:t>
      </w:r>
      <w:r w:rsidR="00677251">
        <w:t>From the third year after completing their placement the total population teaching remains steady just below 50%, with around 30% in schools below the national median (</w:t>
      </w:r>
      <w:r w:rsidR="00955B44">
        <w:t xml:space="preserve">based on Victorian payroll data, </w:t>
      </w:r>
      <w:r w:rsidR="00677251">
        <w:t>p. 3).’</w:t>
      </w:r>
      <w:r w:rsidR="00677251">
        <w:rPr>
          <w:rFonts w:cstheme="minorHAnsi"/>
        </w:rPr>
        <w:t xml:space="preserve"> </w:t>
      </w:r>
      <w:r w:rsidR="00955B44">
        <w:rPr>
          <w:rFonts w:cstheme="minorHAnsi"/>
        </w:rPr>
        <w:t>It also found that</w:t>
      </w:r>
      <w:r w:rsidR="00EC6A7D">
        <w:rPr>
          <w:rFonts w:cstheme="minorHAnsi"/>
        </w:rPr>
        <w:t>:</w:t>
      </w:r>
    </w:p>
    <w:p w14:paraId="46880B3A" w14:textId="4313DBF1" w:rsidR="00EC6A7D" w:rsidRPr="00EC6A7D" w:rsidRDefault="00EC6A7D" w:rsidP="001D5FC8">
      <w:pPr>
        <w:pStyle w:val="ListParagraph"/>
        <w:spacing w:before="100" w:beforeAutospacing="1" w:after="100" w:afterAutospacing="1" w:line="276" w:lineRule="auto"/>
        <w:rPr>
          <w:rFonts w:cstheme="minorHAnsi"/>
        </w:rPr>
      </w:pPr>
      <w:r>
        <w:t xml:space="preserve">‘Principals who do not intend to hire Associates again primarily cite concerns about retention, and wanting greater return on the investment they make in Associate training and development, given their length of service in schools. </w:t>
      </w:r>
    </w:p>
    <w:p w14:paraId="33E395AD" w14:textId="77777777" w:rsidR="00EC6A7D" w:rsidRDefault="00EC6A7D" w:rsidP="001D5FC8">
      <w:pPr>
        <w:pStyle w:val="ListParagraph"/>
        <w:spacing w:before="100" w:beforeAutospacing="1" w:after="100" w:afterAutospacing="1" w:line="276" w:lineRule="auto"/>
      </w:pPr>
    </w:p>
    <w:p w14:paraId="1BBCD2D9" w14:textId="2E05E9B5" w:rsidR="00EC6A7D" w:rsidRPr="00EC6A7D" w:rsidRDefault="00EC6A7D" w:rsidP="001D5FC8">
      <w:pPr>
        <w:pStyle w:val="ListParagraph"/>
        <w:spacing w:before="100" w:beforeAutospacing="1" w:after="100" w:afterAutospacing="1" w:line="276" w:lineRule="auto"/>
        <w:rPr>
          <w:rFonts w:cstheme="minorHAnsi"/>
        </w:rPr>
      </w:pPr>
      <w:r>
        <w:t xml:space="preserve">Principals who are enthusiastic about the TFA program also expressed strong interest in greater retention. </w:t>
      </w:r>
    </w:p>
    <w:p w14:paraId="284F113B" w14:textId="77777777" w:rsidR="00EC6A7D" w:rsidRDefault="00EC6A7D" w:rsidP="001D5FC8">
      <w:pPr>
        <w:pStyle w:val="ListParagraph"/>
        <w:spacing w:before="100" w:beforeAutospacing="1" w:after="100" w:afterAutospacing="1" w:line="276" w:lineRule="auto"/>
      </w:pPr>
    </w:p>
    <w:p w14:paraId="6191C826" w14:textId="3CF1EE48" w:rsidR="00EC6A7D" w:rsidRDefault="00EC6A7D" w:rsidP="001D5FC8">
      <w:pPr>
        <w:pStyle w:val="ListParagraph"/>
        <w:spacing w:before="100" w:beforeAutospacing="1" w:after="100" w:afterAutospacing="1" w:line="276" w:lineRule="auto"/>
        <w:rPr>
          <w:rFonts w:cstheme="minorHAnsi"/>
        </w:rPr>
      </w:pPr>
      <w:r>
        <w:t>A range of stakeholders reported that other teachers are frustrated by Associate retention, and see this as demonstrating a lack of genuine commitment’</w:t>
      </w:r>
      <w:r w:rsidRPr="00EC6A7D">
        <w:rPr>
          <w:rFonts w:cstheme="minorHAnsi"/>
        </w:rPr>
        <w:t xml:space="preserve"> (p 16)</w:t>
      </w:r>
      <w:r>
        <w:rPr>
          <w:rFonts w:cstheme="minorHAnsi"/>
        </w:rPr>
        <w:t>.</w:t>
      </w:r>
    </w:p>
    <w:p w14:paraId="2777AB1C" w14:textId="5C5315D3" w:rsidR="00B903DF" w:rsidRPr="00EC6A7D" w:rsidRDefault="00677251" w:rsidP="00EC6A7D">
      <w:pPr>
        <w:spacing w:line="276" w:lineRule="auto"/>
        <w:rPr>
          <w:rFonts w:cstheme="minorHAnsi"/>
        </w:rPr>
      </w:pPr>
      <w:r w:rsidRPr="00EC6A7D">
        <w:rPr>
          <w:rFonts w:cstheme="minorHAnsi"/>
        </w:rPr>
        <w:t>I</w:t>
      </w:r>
      <w:r w:rsidR="00E1673F" w:rsidRPr="00EC6A7D">
        <w:rPr>
          <w:rFonts w:cstheme="minorHAnsi"/>
        </w:rPr>
        <w:t>f this pathway is pursued, it</w:t>
      </w:r>
      <w:r w:rsidR="00B903DF" w:rsidRPr="00EC6A7D">
        <w:rPr>
          <w:rFonts w:cstheme="minorHAnsi"/>
        </w:rPr>
        <w:t xml:space="preserve"> </w:t>
      </w:r>
      <w:r w:rsidR="00E1673F" w:rsidRPr="00EC6A7D">
        <w:rPr>
          <w:rFonts w:cstheme="minorHAnsi"/>
        </w:rPr>
        <w:t>will be important</w:t>
      </w:r>
      <w:r w:rsidR="00B903DF" w:rsidRPr="00EC6A7D">
        <w:rPr>
          <w:rFonts w:cstheme="minorHAnsi"/>
        </w:rPr>
        <w:t xml:space="preserve"> </w:t>
      </w:r>
      <w:r w:rsidR="00E1673F" w:rsidRPr="00EC6A7D">
        <w:rPr>
          <w:rFonts w:cstheme="minorHAnsi"/>
        </w:rPr>
        <w:t xml:space="preserve">to </w:t>
      </w:r>
      <w:r w:rsidR="00EC6A7D">
        <w:rPr>
          <w:rFonts w:cstheme="minorHAnsi"/>
        </w:rPr>
        <w:t xml:space="preserve">resolve these issues to optimise retention as well as </w:t>
      </w:r>
      <w:r w:rsidR="00E1673F" w:rsidRPr="00EC6A7D">
        <w:rPr>
          <w:rFonts w:cstheme="minorHAnsi"/>
        </w:rPr>
        <w:t xml:space="preserve">determine whether this is pursued across the board or whether to </w:t>
      </w:r>
      <w:r w:rsidR="003424ED" w:rsidRPr="00EC6A7D">
        <w:rPr>
          <w:rFonts w:cstheme="minorHAnsi"/>
        </w:rPr>
        <w:t xml:space="preserve">align placements </w:t>
      </w:r>
      <w:r w:rsidR="002637E4" w:rsidRPr="00EC6A7D">
        <w:rPr>
          <w:rFonts w:cstheme="minorHAnsi"/>
        </w:rPr>
        <w:t xml:space="preserve">based </w:t>
      </w:r>
      <w:r w:rsidR="00E1673F" w:rsidRPr="00EC6A7D">
        <w:rPr>
          <w:rFonts w:cstheme="minorHAnsi"/>
        </w:rPr>
        <w:t>o</w:t>
      </w:r>
      <w:r w:rsidR="002E71B5" w:rsidRPr="00EC6A7D">
        <w:rPr>
          <w:rFonts w:cstheme="minorHAnsi"/>
        </w:rPr>
        <w:t>n</w:t>
      </w:r>
      <w:r w:rsidR="00E1673F" w:rsidRPr="00EC6A7D">
        <w:rPr>
          <w:rFonts w:cstheme="minorHAnsi"/>
        </w:rPr>
        <w:t xml:space="preserve"> </w:t>
      </w:r>
      <w:r w:rsidR="002E71B5" w:rsidRPr="00EC6A7D">
        <w:rPr>
          <w:rFonts w:cstheme="minorHAnsi"/>
        </w:rPr>
        <w:t xml:space="preserve">areas of </w:t>
      </w:r>
      <w:r w:rsidR="002E71B5" w:rsidRPr="00EC6A7D">
        <w:rPr>
          <w:rFonts w:cstheme="minorHAnsi"/>
        </w:rPr>
        <w:lastRenderedPageBreak/>
        <w:t xml:space="preserve">need, either discipline-specific or regional </w:t>
      </w:r>
      <w:r w:rsidR="00B903DF" w:rsidRPr="00EC6A7D">
        <w:rPr>
          <w:rFonts w:cstheme="minorHAnsi"/>
        </w:rPr>
        <w:t>location</w:t>
      </w:r>
      <w:r w:rsidR="002E71B5" w:rsidRPr="00EC6A7D">
        <w:rPr>
          <w:rFonts w:cstheme="minorHAnsi"/>
        </w:rPr>
        <w:t>s</w:t>
      </w:r>
      <w:r w:rsidR="0034358A" w:rsidRPr="00EC6A7D">
        <w:rPr>
          <w:rFonts w:cstheme="minorHAnsi"/>
        </w:rPr>
        <w:t>,</w:t>
      </w:r>
      <w:r w:rsidR="002E71B5" w:rsidRPr="00EC6A7D">
        <w:rPr>
          <w:rFonts w:cstheme="minorHAnsi"/>
        </w:rPr>
        <w:t xml:space="preserve"> and that this needs to be undertaken </w:t>
      </w:r>
      <w:r w:rsidR="00B903DF" w:rsidRPr="00EC6A7D">
        <w:rPr>
          <w:rFonts w:cstheme="minorHAnsi"/>
        </w:rPr>
        <w:t>in partnership with employers in the sector</w:t>
      </w:r>
      <w:r w:rsidR="00DE5675" w:rsidRPr="00EC6A7D">
        <w:rPr>
          <w:rFonts w:cstheme="minorHAnsi"/>
        </w:rPr>
        <w:t xml:space="preserve">. </w:t>
      </w:r>
    </w:p>
    <w:p w14:paraId="6A6CEEC8" w14:textId="09E01D61" w:rsidR="00DE5675" w:rsidRDefault="00C07949" w:rsidP="00954580">
      <w:pPr>
        <w:spacing w:line="276" w:lineRule="auto"/>
        <w:rPr>
          <w:rFonts w:cstheme="minorHAnsi"/>
        </w:rPr>
      </w:pPr>
      <w:r w:rsidRPr="00274B36">
        <w:rPr>
          <w:rFonts w:cstheme="minorHAnsi"/>
        </w:rPr>
        <w:t xml:space="preserve">We </w:t>
      </w:r>
      <w:r w:rsidR="0034358A">
        <w:rPr>
          <w:rFonts w:cstheme="minorHAnsi"/>
        </w:rPr>
        <w:t>acknowledge</w:t>
      </w:r>
      <w:r w:rsidRPr="00274B36">
        <w:rPr>
          <w:rFonts w:cstheme="minorHAnsi"/>
        </w:rPr>
        <w:t xml:space="preserve"> that there are teacher shortages, however</w:t>
      </w:r>
      <w:r w:rsidR="001D5FC8">
        <w:rPr>
          <w:rFonts w:cstheme="minorHAnsi"/>
        </w:rPr>
        <w:t xml:space="preserve">, in order to address this effectively, </w:t>
      </w:r>
      <w:r w:rsidRPr="00274B36">
        <w:rPr>
          <w:rFonts w:cstheme="minorHAnsi"/>
        </w:rPr>
        <w:t xml:space="preserve">the sector needs to work together to </w:t>
      </w:r>
      <w:r w:rsidR="00601B64" w:rsidRPr="00274B36">
        <w:rPr>
          <w:rFonts w:cstheme="minorHAnsi"/>
        </w:rPr>
        <w:t xml:space="preserve">not only </w:t>
      </w:r>
      <w:r w:rsidRPr="00274B36">
        <w:rPr>
          <w:rFonts w:cstheme="minorHAnsi"/>
        </w:rPr>
        <w:t>understand</w:t>
      </w:r>
      <w:r w:rsidR="005032B7" w:rsidRPr="00274B36">
        <w:rPr>
          <w:rFonts w:cstheme="minorHAnsi"/>
        </w:rPr>
        <w:t>,</w:t>
      </w:r>
      <w:r w:rsidRPr="00274B36">
        <w:rPr>
          <w:rFonts w:cstheme="minorHAnsi"/>
        </w:rPr>
        <w:t xml:space="preserve"> </w:t>
      </w:r>
      <w:r w:rsidR="00601B64" w:rsidRPr="00274B36">
        <w:rPr>
          <w:rFonts w:cstheme="minorHAnsi"/>
        </w:rPr>
        <w:t>but be in a position to predict</w:t>
      </w:r>
      <w:r w:rsidR="005032B7" w:rsidRPr="00274B36">
        <w:rPr>
          <w:rFonts w:cstheme="minorHAnsi"/>
        </w:rPr>
        <w:t>,</w:t>
      </w:r>
      <w:r w:rsidR="00601B64" w:rsidRPr="00274B36">
        <w:rPr>
          <w:rFonts w:cstheme="minorHAnsi"/>
        </w:rPr>
        <w:t xml:space="preserve"> </w:t>
      </w:r>
      <w:r w:rsidRPr="00274B36">
        <w:rPr>
          <w:rFonts w:cstheme="minorHAnsi"/>
        </w:rPr>
        <w:t xml:space="preserve">shortages (both discipline and </w:t>
      </w:r>
      <w:r w:rsidR="00601B64" w:rsidRPr="00274B36">
        <w:rPr>
          <w:rFonts w:cstheme="minorHAnsi"/>
        </w:rPr>
        <w:t>location</w:t>
      </w:r>
      <w:r w:rsidRPr="00274B36">
        <w:rPr>
          <w:rFonts w:cstheme="minorHAnsi"/>
        </w:rPr>
        <w:t xml:space="preserve">), and </w:t>
      </w:r>
      <w:r w:rsidR="00601B64" w:rsidRPr="00274B36">
        <w:rPr>
          <w:rFonts w:cstheme="minorHAnsi"/>
        </w:rPr>
        <w:t xml:space="preserve">therefore be able </w:t>
      </w:r>
      <w:r w:rsidRPr="00274B36">
        <w:rPr>
          <w:rFonts w:cstheme="minorHAnsi"/>
        </w:rPr>
        <w:t xml:space="preserve">to provide </w:t>
      </w:r>
      <w:r w:rsidR="005032B7" w:rsidRPr="00274B36">
        <w:rPr>
          <w:rFonts w:cstheme="minorHAnsi"/>
        </w:rPr>
        <w:t>sound</w:t>
      </w:r>
      <w:r w:rsidRPr="00274B36">
        <w:rPr>
          <w:rFonts w:cstheme="minorHAnsi"/>
        </w:rPr>
        <w:t xml:space="preserve"> advice to potential teachers </w:t>
      </w:r>
      <w:r w:rsidR="00601B64" w:rsidRPr="00274B36">
        <w:rPr>
          <w:rFonts w:cstheme="minorHAnsi"/>
        </w:rPr>
        <w:t xml:space="preserve">(whether school leavers or mature age students) </w:t>
      </w:r>
      <w:r w:rsidRPr="00274B36">
        <w:rPr>
          <w:rFonts w:cstheme="minorHAnsi"/>
        </w:rPr>
        <w:t xml:space="preserve">on future career direction.  </w:t>
      </w:r>
    </w:p>
    <w:p w14:paraId="4C2EDA77" w14:textId="170FA865" w:rsidR="006D1934" w:rsidRPr="00274B36" w:rsidRDefault="006D1934" w:rsidP="006D1934">
      <w:pPr>
        <w:spacing w:line="276" w:lineRule="auto"/>
        <w:rPr>
          <w:rFonts w:cstheme="minorHAnsi"/>
        </w:rPr>
      </w:pPr>
      <w:r w:rsidRPr="00557527">
        <w:rPr>
          <w:rFonts w:cstheme="minorHAnsi"/>
        </w:rPr>
        <w:t xml:space="preserve">The focus on academic achievement in school at the point of entry to ITE, </w:t>
      </w:r>
      <w:r w:rsidR="00417BB6">
        <w:rPr>
          <w:rFonts w:cstheme="minorHAnsi"/>
        </w:rPr>
        <w:t xml:space="preserve">motivated by the creditable </w:t>
      </w:r>
      <w:r w:rsidRPr="00557527">
        <w:rPr>
          <w:rFonts w:cstheme="minorHAnsi"/>
        </w:rPr>
        <w:t>desire to encourage more high achieving students to pursue a career in teaching</w:t>
      </w:r>
      <w:r w:rsidR="00417BB6">
        <w:rPr>
          <w:rFonts w:cstheme="minorHAnsi"/>
        </w:rPr>
        <w:t>,</w:t>
      </w:r>
      <w:r w:rsidRPr="00557527">
        <w:rPr>
          <w:rFonts w:cstheme="minorHAnsi"/>
        </w:rPr>
        <w:t xml:space="preserve"> </w:t>
      </w:r>
      <w:r w:rsidR="00417BB6">
        <w:rPr>
          <w:rFonts w:cstheme="minorHAnsi"/>
        </w:rPr>
        <w:t>must nevertheless</w:t>
      </w:r>
      <w:r w:rsidRPr="00557527">
        <w:rPr>
          <w:rFonts w:cstheme="minorHAnsi"/>
        </w:rPr>
        <w:t xml:space="preserve"> be balanced by consideration of other non-academic indicators that support quality teaching, and must not present a further barrier to students entering with diverse education backgrounds. </w:t>
      </w:r>
      <w:r>
        <w:rPr>
          <w:rFonts w:cstheme="minorHAnsi"/>
        </w:rPr>
        <w:t>I</w:t>
      </w:r>
      <w:r w:rsidRPr="00274B36">
        <w:rPr>
          <w:rFonts w:cstheme="minorHAnsi"/>
        </w:rPr>
        <w:t xml:space="preserve">f </w:t>
      </w:r>
      <w:r w:rsidR="00417BB6" w:rsidRPr="00274B36">
        <w:rPr>
          <w:rFonts w:cstheme="minorHAnsi"/>
        </w:rPr>
        <w:t>th</w:t>
      </w:r>
      <w:r w:rsidR="00417BB6">
        <w:rPr>
          <w:rFonts w:cstheme="minorHAnsi"/>
        </w:rPr>
        <w:t xml:space="preserve">is </w:t>
      </w:r>
      <w:r w:rsidR="00E35EEB">
        <w:rPr>
          <w:rFonts w:cstheme="minorHAnsi"/>
        </w:rPr>
        <w:t>somewhat reductive</w:t>
      </w:r>
      <w:r w:rsidR="00417BB6" w:rsidRPr="00274B36">
        <w:rPr>
          <w:rFonts w:cstheme="minorHAnsi"/>
        </w:rPr>
        <w:t xml:space="preserve"> </w:t>
      </w:r>
      <w:r w:rsidRPr="00274B36">
        <w:rPr>
          <w:rFonts w:cstheme="minorHAnsi"/>
        </w:rPr>
        <w:t>bar is set too high</w:t>
      </w:r>
      <w:r>
        <w:rPr>
          <w:rFonts w:cstheme="minorHAnsi"/>
        </w:rPr>
        <w:t xml:space="preserve">, then there is a risk of </w:t>
      </w:r>
      <w:r w:rsidRPr="00274B36">
        <w:rPr>
          <w:rFonts w:cstheme="minorHAnsi"/>
        </w:rPr>
        <w:t>exclud</w:t>
      </w:r>
      <w:r>
        <w:rPr>
          <w:rFonts w:cstheme="minorHAnsi"/>
        </w:rPr>
        <w:t>ing</w:t>
      </w:r>
      <w:r w:rsidRPr="00274B36">
        <w:rPr>
          <w:rFonts w:cstheme="minorHAnsi"/>
        </w:rPr>
        <w:t xml:space="preserve"> </w:t>
      </w:r>
      <w:r w:rsidR="00E35EEB">
        <w:rPr>
          <w:rFonts w:cstheme="minorHAnsi"/>
        </w:rPr>
        <w:t xml:space="preserve">individuals </w:t>
      </w:r>
      <w:r>
        <w:rPr>
          <w:rFonts w:cstheme="minorHAnsi"/>
        </w:rPr>
        <w:t>able to make a</w:t>
      </w:r>
      <w:r w:rsidR="00E35EEB">
        <w:rPr>
          <w:rFonts w:cstheme="minorHAnsi"/>
        </w:rPr>
        <w:t xml:space="preserve"> positive </w:t>
      </w:r>
      <w:r>
        <w:rPr>
          <w:rFonts w:cstheme="minorHAnsi"/>
        </w:rPr>
        <w:t>contribution</w:t>
      </w:r>
      <w:r w:rsidRPr="00274B36">
        <w:rPr>
          <w:rFonts w:cstheme="minorHAnsi"/>
        </w:rPr>
        <w:t xml:space="preserve">. This is an important </w:t>
      </w:r>
      <w:r>
        <w:rPr>
          <w:rFonts w:cstheme="minorHAnsi"/>
        </w:rPr>
        <w:t>consideration,</w:t>
      </w:r>
      <w:r w:rsidRPr="00274B36">
        <w:rPr>
          <w:rFonts w:cstheme="minorHAnsi"/>
        </w:rPr>
        <w:t xml:space="preserve"> given that one of the </w:t>
      </w:r>
      <w:r>
        <w:rPr>
          <w:rFonts w:cstheme="minorHAnsi"/>
        </w:rPr>
        <w:t xml:space="preserve">critical </w:t>
      </w:r>
      <w:r w:rsidRPr="00274B36">
        <w:rPr>
          <w:rFonts w:cstheme="minorHAnsi"/>
        </w:rPr>
        <w:t>roles of universities is to support students to reach their true potential.</w:t>
      </w:r>
    </w:p>
    <w:p w14:paraId="666C7C71" w14:textId="75C5F842" w:rsidR="006D1934" w:rsidRPr="00AC01AE" w:rsidRDefault="00AC01AE" w:rsidP="00AC01AE">
      <w:pPr>
        <w:spacing w:line="276" w:lineRule="auto"/>
        <w:rPr>
          <w:rFonts w:cstheme="minorHAnsi"/>
        </w:rPr>
      </w:pPr>
      <w:r>
        <w:rPr>
          <w:rFonts w:cstheme="minorHAnsi"/>
        </w:rPr>
        <w:t>T</w:t>
      </w:r>
      <w:r w:rsidRPr="00C60786">
        <w:rPr>
          <w:rFonts w:cstheme="minorHAnsi"/>
        </w:rPr>
        <w:t xml:space="preserve">here is </w:t>
      </w:r>
      <w:r w:rsidR="008B5ED3">
        <w:rPr>
          <w:rFonts w:cstheme="minorHAnsi"/>
        </w:rPr>
        <w:t xml:space="preserve">also </w:t>
      </w:r>
      <w:r w:rsidRPr="00C60786">
        <w:rPr>
          <w:rFonts w:cstheme="minorHAnsi"/>
        </w:rPr>
        <w:t>a need to ensure multiple pathways into the profession</w:t>
      </w:r>
      <w:r>
        <w:rPr>
          <w:rFonts w:cstheme="minorHAnsi"/>
        </w:rPr>
        <w:t xml:space="preserve">. To do this, we need to build </w:t>
      </w:r>
      <w:r w:rsidR="006D1934" w:rsidRPr="00AC01AE">
        <w:rPr>
          <w:rFonts w:cstheme="minorHAnsi"/>
        </w:rPr>
        <w:t>on learnings from successful targeted initiatives that seek to grow the number of Aboriginal and Torres Strait Islander</w:t>
      </w:r>
      <w:r w:rsidR="008B5ED3" w:rsidRPr="00AC01AE">
        <w:rPr>
          <w:rFonts w:cstheme="minorHAnsi"/>
        </w:rPr>
        <w:t xml:space="preserve"> students</w:t>
      </w:r>
      <w:r w:rsidR="00E35EEB">
        <w:rPr>
          <w:rFonts w:cstheme="minorHAnsi"/>
        </w:rPr>
        <w:t xml:space="preserve"> and those</w:t>
      </w:r>
      <w:r w:rsidR="008B5ED3" w:rsidRPr="00AC01AE">
        <w:rPr>
          <w:rFonts w:cstheme="minorHAnsi"/>
        </w:rPr>
        <w:t xml:space="preserve"> from low-income backgrounds </w:t>
      </w:r>
      <w:r w:rsidR="006D1934" w:rsidRPr="00AC01AE">
        <w:rPr>
          <w:rFonts w:cstheme="minorHAnsi"/>
        </w:rPr>
        <w:t xml:space="preserve">in teacher education programs. </w:t>
      </w:r>
      <w:r>
        <w:rPr>
          <w:rFonts w:cstheme="minorHAnsi"/>
        </w:rPr>
        <w:t>At QUT, we achieve this through t</w:t>
      </w:r>
      <w:r w:rsidRPr="00AC01AE">
        <w:rPr>
          <w:rFonts w:cstheme="minorHAnsi"/>
        </w:rPr>
        <w:t xml:space="preserve">he </w:t>
      </w:r>
      <w:r w:rsidR="006D1934" w:rsidRPr="00AC01AE">
        <w:rPr>
          <w:rFonts w:cstheme="minorHAnsi"/>
        </w:rPr>
        <w:t xml:space="preserve">pathway from the Diploma of Early Childhood Education and Care (ECEC) into the Bachelor of Education (Early Childhood), </w:t>
      </w:r>
      <w:r>
        <w:rPr>
          <w:rFonts w:cstheme="minorHAnsi"/>
        </w:rPr>
        <w:t xml:space="preserve">which </w:t>
      </w:r>
      <w:r w:rsidR="006D1934" w:rsidRPr="00AC01AE">
        <w:rPr>
          <w:rFonts w:cstheme="minorHAnsi"/>
        </w:rPr>
        <w:t xml:space="preserve">enables wider entry into the profession, </w:t>
      </w:r>
      <w:r w:rsidR="000847D0">
        <w:rPr>
          <w:rFonts w:cstheme="minorHAnsi"/>
        </w:rPr>
        <w:t xml:space="preserve">recognising and </w:t>
      </w:r>
      <w:r w:rsidR="006D1934" w:rsidRPr="00AC01AE">
        <w:rPr>
          <w:rFonts w:cstheme="minorHAnsi"/>
        </w:rPr>
        <w:t>leveraging professional experience.  </w:t>
      </w:r>
    </w:p>
    <w:p w14:paraId="33E50FF5" w14:textId="0A8B8BE1" w:rsidR="00C96E1E" w:rsidRDefault="006D1934" w:rsidP="006D1934">
      <w:pPr>
        <w:spacing w:line="276" w:lineRule="auto"/>
        <w:rPr>
          <w:rFonts w:cstheme="minorHAnsi"/>
        </w:rPr>
      </w:pPr>
      <w:r w:rsidRPr="006D1934">
        <w:rPr>
          <w:rFonts w:cstheme="minorHAnsi"/>
        </w:rPr>
        <w:t>Thirdly, developing, supporting and sustaining a high</w:t>
      </w:r>
      <w:r w:rsidR="00AC01AE">
        <w:rPr>
          <w:rFonts w:cstheme="minorHAnsi"/>
        </w:rPr>
        <w:t>-</w:t>
      </w:r>
      <w:r w:rsidRPr="006D1934">
        <w:rPr>
          <w:rFonts w:cstheme="minorHAnsi"/>
        </w:rPr>
        <w:t xml:space="preserve">quality teaching workforce is a shared responsibility, spanning the Australian Government, State and Territory Governments, school sectors and employers, professional organisations, unions and </w:t>
      </w:r>
      <w:r>
        <w:rPr>
          <w:rFonts w:cstheme="minorHAnsi"/>
        </w:rPr>
        <w:t xml:space="preserve">Higher Education </w:t>
      </w:r>
      <w:r w:rsidR="00E35EEB">
        <w:rPr>
          <w:rFonts w:cstheme="minorHAnsi"/>
        </w:rPr>
        <w:t xml:space="preserve">Institutions </w:t>
      </w:r>
      <w:r>
        <w:rPr>
          <w:rFonts w:cstheme="minorHAnsi"/>
        </w:rPr>
        <w:t>(</w:t>
      </w:r>
      <w:r w:rsidRPr="006D1934">
        <w:rPr>
          <w:rFonts w:cstheme="minorHAnsi"/>
        </w:rPr>
        <w:t>HEIs</w:t>
      </w:r>
      <w:r>
        <w:rPr>
          <w:rFonts w:cstheme="minorHAnsi"/>
        </w:rPr>
        <w:t>)</w:t>
      </w:r>
      <w:r w:rsidRPr="006D1934">
        <w:rPr>
          <w:rFonts w:cstheme="minorHAnsi"/>
        </w:rPr>
        <w:t>. To have a positive impact, there is a need to think holistically about the education workforce ecosystem, and to consider factors and strategies that influence the attraction and retention of highly skilled teachers within this context. Evidence suggests that factors such as professional recognition (i.e. value and standing within the community),</w:t>
      </w:r>
      <w:r w:rsidR="00E35EEB">
        <w:rPr>
          <w:rFonts w:cstheme="minorHAnsi"/>
        </w:rPr>
        <w:t xml:space="preserve"> </w:t>
      </w:r>
      <w:r w:rsidRPr="006D1934">
        <w:rPr>
          <w:rFonts w:cstheme="minorHAnsi"/>
        </w:rPr>
        <w:t>professional remuneration</w:t>
      </w:r>
      <w:r w:rsidR="008B5ED3">
        <w:rPr>
          <w:rFonts w:cstheme="minorHAnsi"/>
        </w:rPr>
        <w:t>,</w:t>
      </w:r>
      <w:r w:rsidRPr="006D1934">
        <w:rPr>
          <w:rFonts w:cstheme="minorHAnsi"/>
        </w:rPr>
        <w:t xml:space="preserve"> and professional autonomy</w:t>
      </w:r>
      <w:r w:rsidR="00E35EEB">
        <w:rPr>
          <w:rFonts w:cstheme="minorHAnsi"/>
        </w:rPr>
        <w:t xml:space="preserve"> </w:t>
      </w:r>
      <w:r w:rsidRPr="006D1934">
        <w:rPr>
          <w:rFonts w:cstheme="minorHAnsi"/>
        </w:rPr>
        <w:t>have significant influence on attraction and retention of the education workforce. Linked to this is the visibility of multiple career pathways that offer teachers new intellectual challenge and reward.</w:t>
      </w:r>
      <w:r>
        <w:rPr>
          <w:rFonts w:cstheme="minorHAnsi"/>
        </w:rPr>
        <w:t xml:space="preserve"> </w:t>
      </w:r>
    </w:p>
    <w:p w14:paraId="45D2ACD1" w14:textId="1BE5A4FA" w:rsidR="006D1934" w:rsidRDefault="00C96E1E" w:rsidP="006D1934">
      <w:pPr>
        <w:spacing w:line="276" w:lineRule="auto"/>
        <w:rPr>
          <w:rFonts w:cstheme="minorHAnsi"/>
        </w:rPr>
      </w:pPr>
      <w:r>
        <w:rPr>
          <w:rFonts w:cstheme="minorHAnsi"/>
        </w:rPr>
        <w:t xml:space="preserve">The Finnish experience is an excellent example </w:t>
      </w:r>
      <w:r w:rsidRPr="00C96E1E">
        <w:rPr>
          <w:rFonts w:cstheme="minorHAnsi"/>
        </w:rPr>
        <w:t xml:space="preserve">where teachers are </w:t>
      </w:r>
      <w:r>
        <w:rPr>
          <w:rFonts w:cstheme="minorHAnsi"/>
        </w:rPr>
        <w:t xml:space="preserve">so </w:t>
      </w:r>
      <w:r w:rsidRPr="00C96E1E">
        <w:rPr>
          <w:rFonts w:cstheme="minorHAnsi"/>
        </w:rPr>
        <w:t xml:space="preserve">highly valued </w:t>
      </w:r>
      <w:r>
        <w:rPr>
          <w:rFonts w:cstheme="minorHAnsi"/>
        </w:rPr>
        <w:t>that</w:t>
      </w:r>
      <w:r w:rsidRPr="00C96E1E">
        <w:rPr>
          <w:rFonts w:cstheme="minorHAnsi"/>
        </w:rPr>
        <w:t xml:space="preserve"> the competition for places is fierce </w:t>
      </w:r>
      <w:r>
        <w:rPr>
          <w:rFonts w:cstheme="minorHAnsi"/>
        </w:rPr>
        <w:t>and</w:t>
      </w:r>
      <w:r w:rsidRPr="00C96E1E">
        <w:rPr>
          <w:rFonts w:cstheme="minorHAnsi"/>
        </w:rPr>
        <w:t xml:space="preserve"> only a small percentage of those applying are accepted. </w:t>
      </w:r>
      <w:r>
        <w:rPr>
          <w:rFonts w:cstheme="minorHAnsi"/>
        </w:rPr>
        <w:t>Finland is also</w:t>
      </w:r>
      <w:r w:rsidRPr="00C96E1E">
        <w:rPr>
          <w:rFonts w:cstheme="minorHAnsi"/>
        </w:rPr>
        <w:t xml:space="preserve"> near the top of the PISA rankings, </w:t>
      </w:r>
      <w:r>
        <w:rPr>
          <w:rFonts w:cstheme="minorHAnsi"/>
        </w:rPr>
        <w:t>and</w:t>
      </w:r>
      <w:r w:rsidRPr="00C96E1E">
        <w:rPr>
          <w:rFonts w:cstheme="minorHAnsi"/>
        </w:rPr>
        <w:t xml:space="preserve"> rather than being strictly centrally controlled, allows more autonomy by putting more trust in educators at the local level.</w:t>
      </w:r>
      <w:r>
        <w:rPr>
          <w:rFonts w:cstheme="minorHAnsi"/>
        </w:rPr>
        <w:t xml:space="preserve"> </w:t>
      </w:r>
      <w:r w:rsidR="006D1934">
        <w:rPr>
          <w:rFonts w:cstheme="minorHAnsi"/>
        </w:rPr>
        <w:t>HEIs</w:t>
      </w:r>
      <w:r w:rsidR="006D1934" w:rsidRPr="007540FC">
        <w:rPr>
          <w:rFonts w:cstheme="minorHAnsi"/>
        </w:rPr>
        <w:t xml:space="preserve"> and ITE programs have a role to play in this context but there is a need for a shared approach to address these broader and interrelated workforce challenges. </w:t>
      </w:r>
    </w:p>
    <w:p w14:paraId="65B670DD" w14:textId="5F59A4CA" w:rsidR="006D1934" w:rsidRPr="00C96E1E" w:rsidRDefault="00E35EEB" w:rsidP="006D1934">
      <w:pPr>
        <w:spacing w:line="276" w:lineRule="auto"/>
        <w:rPr>
          <w:rFonts w:cstheme="minorHAnsi"/>
        </w:rPr>
      </w:pPr>
      <w:r>
        <w:rPr>
          <w:rFonts w:cstheme="minorHAnsi"/>
        </w:rPr>
        <w:t>Fourthly</w:t>
      </w:r>
      <w:r w:rsidR="006D1934">
        <w:rPr>
          <w:rFonts w:cstheme="minorHAnsi"/>
        </w:rPr>
        <w:t>, t</w:t>
      </w:r>
      <w:r w:rsidR="006D1934" w:rsidRPr="006D1934">
        <w:rPr>
          <w:rFonts w:cstheme="minorHAnsi"/>
        </w:rPr>
        <w:t xml:space="preserve">he Alice Springs (Mparntwe) Education Declaration recognises the critical role that high quality </w:t>
      </w:r>
      <w:r w:rsidR="006D1934">
        <w:rPr>
          <w:rFonts w:cstheme="minorHAnsi"/>
        </w:rPr>
        <w:t>early childhood education and care (</w:t>
      </w:r>
      <w:r w:rsidR="006D1934" w:rsidRPr="006D1934">
        <w:rPr>
          <w:rFonts w:cstheme="minorHAnsi"/>
        </w:rPr>
        <w:t>ECEC</w:t>
      </w:r>
      <w:r w:rsidR="006D1934">
        <w:rPr>
          <w:rFonts w:cstheme="minorHAnsi"/>
        </w:rPr>
        <w:t>)</w:t>
      </w:r>
      <w:r w:rsidR="006D1934" w:rsidRPr="006D1934">
        <w:rPr>
          <w:rFonts w:cstheme="minorHAnsi"/>
        </w:rPr>
        <w:t xml:space="preserve"> plays in meeting the vision for a "world class education system that encourages and supports every student to be the best they can be, no matter where they live or what kind of learning challenges they may face" (p. 3). </w:t>
      </w:r>
      <w:r w:rsidR="006D1934">
        <w:rPr>
          <w:rFonts w:cstheme="minorHAnsi"/>
        </w:rPr>
        <w:t xml:space="preserve">As a longstanding provider of specialist early childhood teacher education programs, preparing teachers to work with children birth to 8 years, </w:t>
      </w:r>
      <w:r w:rsidR="006D1934" w:rsidRPr="006D1934">
        <w:rPr>
          <w:rFonts w:cstheme="minorHAnsi"/>
        </w:rPr>
        <w:t xml:space="preserve">QUT </w:t>
      </w:r>
      <w:r w:rsidR="006D1934">
        <w:rPr>
          <w:rFonts w:cstheme="minorHAnsi"/>
        </w:rPr>
        <w:t>questions the exclusive focus on school education</w:t>
      </w:r>
      <w:r>
        <w:rPr>
          <w:rFonts w:cstheme="minorHAnsi"/>
        </w:rPr>
        <w:t xml:space="preserve"> of the present review</w:t>
      </w:r>
      <w:r w:rsidR="006D1934">
        <w:rPr>
          <w:rFonts w:cstheme="minorHAnsi"/>
        </w:rPr>
        <w:t>, and</w:t>
      </w:r>
      <w:r w:rsidR="006D1934" w:rsidRPr="006D1934">
        <w:rPr>
          <w:rFonts w:cstheme="minorHAnsi"/>
        </w:rPr>
        <w:t xml:space="preserve"> the exclusion of </w:t>
      </w:r>
      <w:r w:rsidR="006D1934">
        <w:rPr>
          <w:rFonts w:cstheme="minorHAnsi"/>
        </w:rPr>
        <w:t>e</w:t>
      </w:r>
      <w:r w:rsidR="006D1934" w:rsidRPr="006D1934">
        <w:rPr>
          <w:rFonts w:cstheme="minorHAnsi"/>
        </w:rPr>
        <w:t xml:space="preserve">arly </w:t>
      </w:r>
      <w:r w:rsidR="006D1934">
        <w:rPr>
          <w:rFonts w:cstheme="minorHAnsi"/>
        </w:rPr>
        <w:t>c</w:t>
      </w:r>
      <w:r w:rsidR="006D1934" w:rsidRPr="006D1934">
        <w:rPr>
          <w:rFonts w:cstheme="minorHAnsi"/>
        </w:rPr>
        <w:t xml:space="preserve">hildhood </w:t>
      </w:r>
      <w:r w:rsidR="006D1934">
        <w:rPr>
          <w:rFonts w:cstheme="minorHAnsi"/>
        </w:rPr>
        <w:t>t</w:t>
      </w:r>
      <w:r w:rsidR="006D1934" w:rsidRPr="006D1934">
        <w:rPr>
          <w:rFonts w:cstheme="minorHAnsi"/>
        </w:rPr>
        <w:t xml:space="preserve">eachers who choose to teach in early education contexts prior to school </w:t>
      </w:r>
      <w:r w:rsidR="006D1934" w:rsidRPr="006D1934">
        <w:rPr>
          <w:rFonts w:cstheme="minorHAnsi"/>
        </w:rPr>
        <w:lastRenderedPageBreak/>
        <w:t>(e.g. preschool, kindergarten, long day care centres). Th</w:t>
      </w:r>
      <w:r w:rsidR="006D1934">
        <w:rPr>
          <w:rFonts w:cstheme="minorHAnsi"/>
        </w:rPr>
        <w:t xml:space="preserve">is seems shortsighted, recognising that these are shared challenges across the education continuum. </w:t>
      </w:r>
    </w:p>
    <w:p w14:paraId="4556F09C" w14:textId="2314AB46" w:rsidR="006D1934" w:rsidRDefault="006D1934" w:rsidP="00677251">
      <w:pPr>
        <w:spacing w:line="276" w:lineRule="auto"/>
        <w:rPr>
          <w:rFonts w:cstheme="minorHAnsi"/>
        </w:rPr>
      </w:pPr>
    </w:p>
    <w:p w14:paraId="6A6F5C48" w14:textId="576380C2" w:rsidR="006D1934" w:rsidRPr="006D1934" w:rsidRDefault="0045562C" w:rsidP="00677251">
      <w:pPr>
        <w:spacing w:line="276" w:lineRule="auto"/>
        <w:rPr>
          <w:rFonts w:cstheme="minorHAnsi"/>
        </w:rPr>
      </w:pPr>
      <w:r>
        <w:rPr>
          <w:rFonts w:cstheme="minorHAnsi"/>
        </w:rPr>
        <w:t xml:space="preserve">Finally, </w:t>
      </w:r>
      <w:r w:rsidR="00E35EEB">
        <w:rPr>
          <w:rFonts w:cstheme="minorHAnsi"/>
        </w:rPr>
        <w:t>t</w:t>
      </w:r>
      <w:r w:rsidR="00E35EEB" w:rsidRPr="00274B36">
        <w:rPr>
          <w:rFonts w:cstheme="minorHAnsi"/>
        </w:rPr>
        <w:t>he</w:t>
      </w:r>
      <w:r w:rsidR="00E35EEB">
        <w:rPr>
          <w:rFonts w:cstheme="minorHAnsi"/>
        </w:rPr>
        <w:t xml:space="preserve"> current exercise presents an excellent</w:t>
      </w:r>
      <w:r w:rsidR="00E35EEB" w:rsidRPr="00274B36">
        <w:rPr>
          <w:rFonts w:cstheme="minorHAnsi"/>
        </w:rPr>
        <w:t xml:space="preserve"> </w:t>
      </w:r>
      <w:r w:rsidR="00677251" w:rsidRPr="00274B36">
        <w:rPr>
          <w:rFonts w:cstheme="minorHAnsi"/>
        </w:rPr>
        <w:t>opportunity for the Commonwealth to provide some financial support to encourage and support what universities and states are already doing together in ITE and PDL.</w:t>
      </w:r>
      <w:r w:rsidR="001354E4">
        <w:rPr>
          <w:rFonts w:cstheme="minorHAnsi"/>
        </w:rPr>
        <w:t xml:space="preserve"> </w:t>
      </w:r>
      <w:r w:rsidR="00E35EEB">
        <w:rPr>
          <w:rFonts w:cstheme="minorHAnsi"/>
        </w:rPr>
        <w:t>The</w:t>
      </w:r>
      <w:r w:rsidR="00A8780A">
        <w:rPr>
          <w:rFonts w:cstheme="minorHAnsi"/>
        </w:rPr>
        <w:t>se initiatives are already producing early successes that would be greatly enhanced with the support of further resources. To mix incommensurable metaphors, the Commonwealth will see a much better return from picking the low-hanging fruit than from attempting to reinvent the wheel.</w:t>
      </w:r>
    </w:p>
    <w:p w14:paraId="6B20F43A" w14:textId="40B0CC52" w:rsidR="00954580" w:rsidRPr="00274B36" w:rsidRDefault="00954580" w:rsidP="00954580">
      <w:pPr>
        <w:spacing w:line="276" w:lineRule="auto"/>
        <w:rPr>
          <w:rFonts w:cstheme="minorHAnsi"/>
        </w:rPr>
      </w:pPr>
      <w:r w:rsidRPr="00274B36">
        <w:rPr>
          <w:rFonts w:cstheme="minorHAnsi"/>
        </w:rPr>
        <w:t>In terms of some of the specific questions raised in the Discussion Paper, the Faculty would offer the following feedback.</w:t>
      </w:r>
    </w:p>
    <w:p w14:paraId="377BC934" w14:textId="0078999C" w:rsidR="00DD6C3F" w:rsidRPr="00EA1DBB" w:rsidRDefault="00954580" w:rsidP="00954580">
      <w:pPr>
        <w:spacing w:line="276" w:lineRule="auto"/>
        <w:rPr>
          <w:rFonts w:eastAsia="Times New Roman" w:cstheme="minorHAnsi"/>
          <w:b/>
          <w:bCs/>
        </w:rPr>
      </w:pPr>
      <w:r w:rsidRPr="00EA1DBB">
        <w:rPr>
          <w:rFonts w:eastAsia="Times New Roman" w:cstheme="minorHAnsi"/>
          <w:b/>
          <w:bCs/>
        </w:rPr>
        <w:t xml:space="preserve">PART B – Preparing ITE students to be effective teachers </w:t>
      </w:r>
    </w:p>
    <w:p w14:paraId="2FE3C3EA" w14:textId="4FEE3A80" w:rsidR="00EA1DBB" w:rsidRPr="00EA1DBB" w:rsidRDefault="00EA1DBB" w:rsidP="00954580">
      <w:pPr>
        <w:spacing w:line="276" w:lineRule="auto"/>
        <w:rPr>
          <w:rFonts w:cstheme="minorHAnsi"/>
          <w:b/>
          <w:bCs/>
          <w:u w:val="single"/>
        </w:rPr>
      </w:pPr>
      <w:r w:rsidRPr="00EA1DBB">
        <w:rPr>
          <w:rFonts w:cstheme="minorHAnsi"/>
          <w:b/>
          <w:bCs/>
          <w:u w:val="single"/>
        </w:rPr>
        <w:t>Standards</w:t>
      </w:r>
    </w:p>
    <w:p w14:paraId="1B3D38BF" w14:textId="4CDDED31" w:rsidR="00A73272" w:rsidRPr="00274B36" w:rsidRDefault="00274B36" w:rsidP="00A73272">
      <w:pPr>
        <w:spacing w:line="276" w:lineRule="auto"/>
        <w:rPr>
          <w:rFonts w:cstheme="minorHAnsi"/>
        </w:rPr>
      </w:pPr>
      <w:r w:rsidRPr="00274B36">
        <w:rPr>
          <w:rFonts w:eastAsia="Times New Roman" w:cstheme="minorHAnsi"/>
          <w:i/>
          <w:iCs/>
        </w:rPr>
        <w:t>Are ITE programs preparing graduates for teaching diverse student cohorts, including through cultural competency and inclusive education?</w:t>
      </w:r>
      <w:r w:rsidR="00A73272">
        <w:rPr>
          <w:rFonts w:eastAsia="Times New Roman" w:cstheme="minorHAnsi"/>
          <w:i/>
          <w:iCs/>
        </w:rPr>
        <w:t xml:space="preserve"> </w:t>
      </w:r>
      <w:r w:rsidR="00A73272" w:rsidRPr="00274B36">
        <w:rPr>
          <w:rFonts w:eastAsia="Times New Roman" w:cstheme="minorHAnsi"/>
          <w:i/>
          <w:iCs/>
        </w:rPr>
        <w:t>What more can we do to ensure that ITE curriculum is evidence-based and all future teachers are equipped to implement evidence-based teaching practices?</w:t>
      </w:r>
      <w:r w:rsidR="00A73272">
        <w:rPr>
          <w:rFonts w:eastAsia="Times New Roman" w:cstheme="minorHAnsi"/>
          <w:i/>
          <w:iCs/>
        </w:rPr>
        <w:t xml:space="preserve"> (TOR 6)</w:t>
      </w:r>
    </w:p>
    <w:p w14:paraId="2DD89860" w14:textId="77777777" w:rsidR="00FE13C5" w:rsidRPr="00FE13C5" w:rsidRDefault="00FE13C5" w:rsidP="00FE13C5">
      <w:pPr>
        <w:spacing w:line="276" w:lineRule="auto"/>
        <w:rPr>
          <w:rFonts w:cstheme="minorHAnsi"/>
        </w:rPr>
      </w:pPr>
      <w:r w:rsidRPr="00FE13C5">
        <w:rPr>
          <w:rFonts w:cstheme="minorHAnsi"/>
        </w:rPr>
        <w:t>Accreditation bodies in jurisdictions across Australia require all ITE programs to prepare graduates to work effectively with diverse learners, but research suggests that these same programs lack the space to address all the dimensions of this challenge.</w:t>
      </w:r>
    </w:p>
    <w:p w14:paraId="4DC96753" w14:textId="2A264F59" w:rsidR="00FE13C5" w:rsidRPr="00FE13C5" w:rsidRDefault="00FE13C5" w:rsidP="00FE13C5">
      <w:pPr>
        <w:spacing w:line="276" w:lineRule="auto"/>
        <w:rPr>
          <w:rFonts w:cstheme="minorHAnsi"/>
        </w:rPr>
      </w:pPr>
      <w:r w:rsidRPr="00FE13C5">
        <w:rPr>
          <w:rFonts w:cstheme="minorHAnsi"/>
        </w:rPr>
        <w:t>Responding appropriately to the diversity of a student population requires teachers to have a robust understanding of three interrelated bodies of knowledge: teaching about, catering to, and teaching for diversity (</w:t>
      </w:r>
      <w:r w:rsidR="00EA1DBB">
        <w:rPr>
          <w:rFonts w:cstheme="minorHAnsi"/>
        </w:rPr>
        <w:t>see</w:t>
      </w:r>
      <w:r w:rsidRPr="00FE13C5">
        <w:rPr>
          <w:rFonts w:cstheme="minorHAnsi"/>
        </w:rPr>
        <w:t xml:space="preserve"> </w:t>
      </w:r>
      <w:r w:rsidR="00EA1DBB">
        <w:rPr>
          <w:rFonts w:cstheme="minorHAnsi"/>
        </w:rPr>
        <w:t xml:space="preserve">Rowan et al., 2021; </w:t>
      </w:r>
      <w:r w:rsidRPr="00FE13C5">
        <w:rPr>
          <w:rFonts w:cstheme="minorHAnsi"/>
        </w:rPr>
        <w:t>ARC DP180100160). Teaching </w:t>
      </w:r>
      <w:r w:rsidRPr="009C63B7">
        <w:rPr>
          <w:rFonts w:cstheme="minorHAnsi"/>
          <w:i/>
        </w:rPr>
        <w:t>about</w:t>
      </w:r>
      <w:r w:rsidRPr="00FE13C5">
        <w:rPr>
          <w:rFonts w:cstheme="minorHAnsi"/>
        </w:rPr>
        <w:t> diversity involves providing future teachers with information about the common needs and challenges of particular groups of learners (such as patterns of success or failure that have been linked to groups such as migrants, or children from low socio-economic backgrounds). Teaching </w:t>
      </w:r>
      <w:r w:rsidRPr="009C63B7">
        <w:rPr>
          <w:rFonts w:cstheme="minorHAnsi"/>
          <w:i/>
        </w:rPr>
        <w:t>to</w:t>
      </w:r>
      <w:r w:rsidRPr="00FE13C5">
        <w:rPr>
          <w:rFonts w:cstheme="minorHAnsi"/>
        </w:rPr>
        <w:t> diversity refers to strategies for teaching these particular groups</w:t>
      </w:r>
      <w:r w:rsidR="007B64D6">
        <w:rPr>
          <w:rFonts w:cstheme="minorHAnsi"/>
        </w:rPr>
        <w:t xml:space="preserve"> of</w:t>
      </w:r>
      <w:r w:rsidRPr="00FE13C5">
        <w:rPr>
          <w:rFonts w:cstheme="minorHAnsi"/>
        </w:rPr>
        <w:t xml:space="preserve"> learners: working with the status quo. Teaching </w:t>
      </w:r>
      <w:r w:rsidRPr="009C63B7">
        <w:rPr>
          <w:rFonts w:cstheme="minorHAnsi"/>
          <w:i/>
        </w:rPr>
        <w:t>for</w:t>
      </w:r>
      <w:r w:rsidRPr="00FE13C5">
        <w:rPr>
          <w:rFonts w:cstheme="minorHAnsi"/>
        </w:rPr>
        <w:t xml:space="preserve"> diversity, however, recognises that educators need to create genuinely equitable environments that enable </w:t>
      </w:r>
      <w:r w:rsidRPr="009C63B7">
        <w:rPr>
          <w:rFonts w:cstheme="minorHAnsi"/>
          <w:i/>
        </w:rPr>
        <w:t>all</w:t>
      </w:r>
      <w:r w:rsidRPr="00FE13C5">
        <w:rPr>
          <w:rFonts w:cstheme="minorHAnsi"/>
        </w:rPr>
        <w:t xml:space="preserve"> students to achieve excellent outcomes</w:t>
      </w:r>
      <w:r w:rsidR="00EA1DBB">
        <w:rPr>
          <w:rFonts w:cstheme="minorHAnsi"/>
        </w:rPr>
        <w:t xml:space="preserve">. </w:t>
      </w:r>
      <w:r w:rsidRPr="00FE13C5">
        <w:rPr>
          <w:rFonts w:cstheme="minorHAnsi"/>
        </w:rPr>
        <w:t>Developing the sophisticated skillset to teach for diversity takes time and deliberate effort. Teacher educators need to be empowered to ensure that future teachers are genuinely classroom ready</w:t>
      </w:r>
      <w:r w:rsidR="00A96740">
        <w:rPr>
          <w:rFonts w:cstheme="minorHAnsi"/>
        </w:rPr>
        <w:t xml:space="preserve">, </w:t>
      </w:r>
      <w:r w:rsidRPr="00FE13C5">
        <w:rPr>
          <w:rFonts w:cstheme="minorHAnsi"/>
        </w:rPr>
        <w:t>that is</w:t>
      </w:r>
      <w:r w:rsidR="00A96740">
        <w:rPr>
          <w:rFonts w:cstheme="minorHAnsi"/>
        </w:rPr>
        <w:t xml:space="preserve">, </w:t>
      </w:r>
      <w:r w:rsidR="009C63B7">
        <w:rPr>
          <w:rFonts w:cstheme="minorHAnsi"/>
        </w:rPr>
        <w:t>a</w:t>
      </w:r>
      <w:r w:rsidRPr="00FE13C5">
        <w:rPr>
          <w:rFonts w:cstheme="minorHAnsi"/>
        </w:rPr>
        <w:t xml:space="preserve">ble to understand the complexity of a social and geographical context and make decisions that will impact positively on students in the short and long term (Ryan et al., 2020; ARC DP180100160).  This requires intentional planning to enable preservice teachers to use evaluative and reliable knowledge processes about diversity when developing cycles of evidence-based action (Lunn et al., 2021 forthcoming; ARC DP180100160).  </w:t>
      </w:r>
    </w:p>
    <w:p w14:paraId="4977031C" w14:textId="3F96DA0C" w:rsidR="007F3EBF" w:rsidRPr="00274B36" w:rsidRDefault="007F3EBF" w:rsidP="007F3EBF">
      <w:pPr>
        <w:spacing w:line="276" w:lineRule="auto"/>
        <w:rPr>
          <w:rFonts w:eastAsia="Times New Roman" w:cstheme="minorHAnsi"/>
          <w:i/>
          <w:iCs/>
        </w:rPr>
      </w:pPr>
      <w:r w:rsidRPr="00274B36">
        <w:rPr>
          <w:rFonts w:cstheme="minorHAnsi"/>
        </w:rPr>
        <w:t xml:space="preserve">We would therefore </w:t>
      </w:r>
      <w:r w:rsidRPr="00EA1DBB">
        <w:rPr>
          <w:rFonts w:cstheme="minorHAnsi"/>
        </w:rPr>
        <w:t>recommend</w:t>
      </w:r>
      <w:r w:rsidRPr="00274B36">
        <w:rPr>
          <w:rFonts w:cstheme="minorHAnsi"/>
        </w:rPr>
        <w:t xml:space="preserve"> that all teacher education programs should include courses that allow future teachers the space to understand what it means to teach about, cater to</w:t>
      </w:r>
      <w:r w:rsidR="00A96740">
        <w:rPr>
          <w:rFonts w:cstheme="minorHAnsi"/>
        </w:rPr>
        <w:t>,</w:t>
      </w:r>
      <w:r w:rsidRPr="00274B36">
        <w:rPr>
          <w:rFonts w:cstheme="minorHAnsi"/>
        </w:rPr>
        <w:t xml:space="preserve"> and teach for diversity. </w:t>
      </w:r>
    </w:p>
    <w:p w14:paraId="18C9261F" w14:textId="77777777" w:rsidR="0092378F" w:rsidRDefault="0092378F" w:rsidP="00954580">
      <w:pPr>
        <w:spacing w:line="276" w:lineRule="auto"/>
        <w:rPr>
          <w:rFonts w:cstheme="minorHAnsi"/>
          <w:b/>
          <w:bCs/>
          <w:u w:val="single"/>
        </w:rPr>
      </w:pPr>
    </w:p>
    <w:p w14:paraId="573A9309" w14:textId="77777777" w:rsidR="0092378F" w:rsidRDefault="0092378F" w:rsidP="00954580">
      <w:pPr>
        <w:spacing w:line="276" w:lineRule="auto"/>
        <w:rPr>
          <w:rFonts w:cstheme="minorHAnsi"/>
          <w:b/>
          <w:bCs/>
          <w:u w:val="single"/>
        </w:rPr>
      </w:pPr>
    </w:p>
    <w:p w14:paraId="71D336E0" w14:textId="3BAD8EE5" w:rsidR="00EA1DBB" w:rsidRDefault="00EA1DBB" w:rsidP="00954580">
      <w:pPr>
        <w:spacing w:line="276" w:lineRule="auto"/>
        <w:rPr>
          <w:rFonts w:cstheme="minorHAnsi"/>
        </w:rPr>
      </w:pPr>
      <w:r>
        <w:rPr>
          <w:rFonts w:cstheme="minorHAnsi"/>
          <w:b/>
          <w:bCs/>
          <w:u w:val="single"/>
        </w:rPr>
        <w:lastRenderedPageBreak/>
        <w:t xml:space="preserve">Teaching Performance </w:t>
      </w:r>
      <w:r w:rsidR="00005A3D">
        <w:rPr>
          <w:rFonts w:cstheme="minorHAnsi"/>
          <w:b/>
          <w:bCs/>
          <w:u w:val="single"/>
        </w:rPr>
        <w:t>Assessment</w:t>
      </w:r>
      <w:r>
        <w:rPr>
          <w:rFonts w:cstheme="minorHAnsi"/>
          <w:b/>
          <w:bCs/>
          <w:u w:val="single"/>
        </w:rPr>
        <w:t>s</w:t>
      </w:r>
    </w:p>
    <w:p w14:paraId="0310EDA1" w14:textId="1937D31B" w:rsidR="00274B36" w:rsidRPr="00274B36" w:rsidRDefault="00D43E36" w:rsidP="00954580">
      <w:pPr>
        <w:spacing w:line="276" w:lineRule="auto"/>
        <w:rPr>
          <w:rFonts w:cstheme="minorHAnsi"/>
        </w:rPr>
      </w:pPr>
      <w:r>
        <w:rPr>
          <w:rFonts w:cstheme="minorHAnsi"/>
        </w:rPr>
        <w:t>It is worth noting that</w:t>
      </w:r>
      <w:r w:rsidR="0027191C">
        <w:rPr>
          <w:rFonts w:cstheme="minorHAnsi"/>
        </w:rPr>
        <w:t>,</w:t>
      </w:r>
      <w:r>
        <w:rPr>
          <w:rFonts w:cstheme="minorHAnsi"/>
        </w:rPr>
        <w:t xml:space="preserve"> w</w:t>
      </w:r>
      <w:r w:rsidR="00274B36" w:rsidRPr="00274B36">
        <w:rPr>
          <w:rFonts w:cstheme="minorHAnsi"/>
        </w:rPr>
        <w:t xml:space="preserve">hen the </w:t>
      </w:r>
      <w:r w:rsidR="007F3EBF">
        <w:rPr>
          <w:rFonts w:cstheme="minorHAnsi"/>
        </w:rPr>
        <w:t>Teaching Performance Assessment (</w:t>
      </w:r>
      <w:r w:rsidR="00274B36" w:rsidRPr="00274B36">
        <w:rPr>
          <w:rFonts w:cstheme="minorHAnsi"/>
        </w:rPr>
        <w:t>TPA</w:t>
      </w:r>
      <w:r w:rsidR="007F3EBF">
        <w:rPr>
          <w:rFonts w:cstheme="minorHAnsi"/>
        </w:rPr>
        <w:t>)</w:t>
      </w:r>
      <w:r w:rsidR="00274B36" w:rsidRPr="00274B36">
        <w:rPr>
          <w:rFonts w:cstheme="minorHAnsi"/>
        </w:rPr>
        <w:t xml:space="preserve"> was introduced, assessors of the TPA acknowledged that it made them reflect more deeply on their own teaching and how they could better prepare pre-service teachers (PSTs) for culturally inclusive classrooms. At QUT, preparing PSTs for the diverse social, linguistic and cultural backgrounds is a priority. We have noticed over time</w:t>
      </w:r>
      <w:r w:rsidR="00A96740">
        <w:rPr>
          <w:rFonts w:cstheme="minorHAnsi"/>
        </w:rPr>
        <w:t>,</w:t>
      </w:r>
      <w:r w:rsidR="00274B36" w:rsidRPr="00274B36">
        <w:rPr>
          <w:rFonts w:cstheme="minorHAnsi"/>
        </w:rPr>
        <w:t xml:space="preserve"> graduates increasing </w:t>
      </w:r>
      <w:r w:rsidR="007F3EBF">
        <w:rPr>
          <w:rFonts w:cstheme="minorHAnsi"/>
        </w:rPr>
        <w:t xml:space="preserve">in </w:t>
      </w:r>
      <w:r w:rsidR="00274B36" w:rsidRPr="00274B36">
        <w:rPr>
          <w:rFonts w:cstheme="minorHAnsi"/>
        </w:rPr>
        <w:t>confidence in planning and implementing the teaching and learning cycle for the diverse learners in their classroom.</w:t>
      </w:r>
    </w:p>
    <w:p w14:paraId="61D41B1B" w14:textId="74418A10" w:rsidR="00274B36" w:rsidRPr="00274B36" w:rsidRDefault="00274B36" w:rsidP="00274B36">
      <w:pPr>
        <w:spacing w:after="0" w:line="264" w:lineRule="auto"/>
        <w:rPr>
          <w:rFonts w:cstheme="minorHAnsi"/>
          <w:i/>
          <w:iCs/>
        </w:rPr>
      </w:pPr>
      <w:r w:rsidRPr="00274B36">
        <w:rPr>
          <w:rFonts w:cstheme="minorHAnsi"/>
          <w:i/>
          <w:iCs/>
        </w:rPr>
        <w:t xml:space="preserve">What are the benefits and costs of the number of TPAs in operation? </w:t>
      </w:r>
    </w:p>
    <w:p w14:paraId="31774BBB" w14:textId="48A118EE" w:rsidR="00274B36" w:rsidRPr="00274B36" w:rsidRDefault="00274B36" w:rsidP="00274B36">
      <w:pPr>
        <w:spacing w:after="0" w:line="264" w:lineRule="auto"/>
        <w:rPr>
          <w:rFonts w:cstheme="minorHAnsi"/>
          <w:i/>
          <w:iCs/>
        </w:rPr>
      </w:pPr>
    </w:p>
    <w:p w14:paraId="67462DB0" w14:textId="021FE2D2" w:rsidR="00274B36" w:rsidRPr="00274B36" w:rsidRDefault="00274B36" w:rsidP="00274B36">
      <w:pPr>
        <w:spacing w:after="0" w:line="264" w:lineRule="auto"/>
        <w:rPr>
          <w:rFonts w:cstheme="minorHAnsi"/>
        </w:rPr>
      </w:pPr>
      <w:r w:rsidRPr="00274B36">
        <w:rPr>
          <w:rFonts w:cstheme="minorHAnsi"/>
        </w:rPr>
        <w:t>There are a number of benefits of TPAs including:</w:t>
      </w:r>
    </w:p>
    <w:p w14:paraId="2120BB3E" w14:textId="77777777" w:rsidR="00274B36" w:rsidRPr="00274B36" w:rsidRDefault="00274B36" w:rsidP="00274B36">
      <w:pPr>
        <w:pStyle w:val="ListParagraph"/>
        <w:rPr>
          <w:rFonts w:cstheme="minorHAnsi"/>
        </w:rPr>
      </w:pPr>
    </w:p>
    <w:p w14:paraId="6BEF5796" w14:textId="522DF4C5" w:rsidR="00274B36" w:rsidRPr="00274B36" w:rsidRDefault="00A96740" w:rsidP="00274B36">
      <w:pPr>
        <w:pStyle w:val="ListParagraph"/>
        <w:numPr>
          <w:ilvl w:val="0"/>
          <w:numId w:val="3"/>
        </w:numPr>
        <w:spacing w:after="0" w:line="264" w:lineRule="auto"/>
        <w:rPr>
          <w:rFonts w:cstheme="minorHAnsi"/>
        </w:rPr>
      </w:pPr>
      <w:r>
        <w:rPr>
          <w:rFonts w:cstheme="minorHAnsi"/>
        </w:rPr>
        <w:t>e</w:t>
      </w:r>
      <w:r w:rsidR="00274B36" w:rsidRPr="00274B36">
        <w:rPr>
          <w:rFonts w:cstheme="minorHAnsi"/>
        </w:rPr>
        <w:t xml:space="preserve">nabling ITE providers to develop their own TPA, </w:t>
      </w:r>
      <w:r>
        <w:rPr>
          <w:rFonts w:cstheme="minorHAnsi"/>
        </w:rPr>
        <w:t xml:space="preserve">and </w:t>
      </w:r>
      <w:r w:rsidRPr="00274B36">
        <w:rPr>
          <w:rFonts w:cstheme="minorHAnsi"/>
        </w:rPr>
        <w:t>ensur</w:t>
      </w:r>
      <w:r>
        <w:rPr>
          <w:rFonts w:cstheme="minorHAnsi"/>
        </w:rPr>
        <w:t>ing</w:t>
      </w:r>
      <w:r w:rsidRPr="00274B36">
        <w:rPr>
          <w:rFonts w:cstheme="minorHAnsi"/>
        </w:rPr>
        <w:t xml:space="preserve"> </w:t>
      </w:r>
      <w:r w:rsidR="00274B36" w:rsidRPr="00274B36">
        <w:rPr>
          <w:rFonts w:cstheme="minorHAnsi"/>
        </w:rPr>
        <w:t xml:space="preserve">that the key components of the TPA </w:t>
      </w:r>
      <w:r w:rsidR="008C5C7C">
        <w:rPr>
          <w:rFonts w:cstheme="minorHAnsi"/>
        </w:rPr>
        <w:t>are</w:t>
      </w:r>
      <w:r w:rsidR="00274B36" w:rsidRPr="00274B36">
        <w:rPr>
          <w:rFonts w:cstheme="minorHAnsi"/>
        </w:rPr>
        <w:t xml:space="preserve"> mapped and embedded in units across ITE </w:t>
      </w:r>
      <w:r w:rsidR="008C5C7C">
        <w:rPr>
          <w:rFonts w:cstheme="minorHAnsi"/>
        </w:rPr>
        <w:t>p</w:t>
      </w:r>
      <w:r w:rsidR="00274B36" w:rsidRPr="00274B36">
        <w:rPr>
          <w:rFonts w:cstheme="minorHAnsi"/>
        </w:rPr>
        <w:t>rograms</w:t>
      </w:r>
      <w:r w:rsidR="00274B36">
        <w:rPr>
          <w:rFonts w:cstheme="minorHAnsi"/>
        </w:rPr>
        <w:t>;</w:t>
      </w:r>
    </w:p>
    <w:p w14:paraId="580004C2" w14:textId="7E095323" w:rsidR="00274B36" w:rsidRPr="00274B36" w:rsidRDefault="00274B36" w:rsidP="00274B36">
      <w:pPr>
        <w:pStyle w:val="ListParagraph"/>
        <w:numPr>
          <w:ilvl w:val="0"/>
          <w:numId w:val="3"/>
        </w:numPr>
        <w:spacing w:after="0" w:line="264" w:lineRule="auto"/>
        <w:rPr>
          <w:rFonts w:cstheme="minorHAnsi"/>
        </w:rPr>
      </w:pPr>
      <w:r w:rsidRPr="00274B36">
        <w:rPr>
          <w:rFonts w:cstheme="minorHAnsi"/>
        </w:rPr>
        <w:t>bringing together ITE providers</w:t>
      </w:r>
      <w:r w:rsidR="00A96740">
        <w:rPr>
          <w:rFonts w:cstheme="minorHAnsi"/>
        </w:rPr>
        <w:t>,</w:t>
      </w:r>
      <w:r w:rsidRPr="00274B36">
        <w:rPr>
          <w:rFonts w:cstheme="minorHAnsi"/>
        </w:rPr>
        <w:t xml:space="preserve"> within the same consortia</w:t>
      </w:r>
      <w:r w:rsidR="00A96740">
        <w:rPr>
          <w:rFonts w:cstheme="minorHAnsi"/>
        </w:rPr>
        <w:t>,</w:t>
      </w:r>
      <w:r w:rsidRPr="00274B36">
        <w:rPr>
          <w:rFonts w:cstheme="minorHAnsi"/>
        </w:rPr>
        <w:t xml:space="preserve"> to collaborate and engage in professional conversations regarding expectations of graduate standards, the classroom readiness of graduate teachers, the quality of teacher education programs and their assessment practices</w:t>
      </w:r>
      <w:r>
        <w:rPr>
          <w:rFonts w:cstheme="minorHAnsi"/>
        </w:rPr>
        <w:t>; and</w:t>
      </w:r>
    </w:p>
    <w:p w14:paraId="13C37CA4" w14:textId="53C50B6E" w:rsidR="00274B36" w:rsidRPr="00274B36" w:rsidRDefault="00A96740" w:rsidP="00274B36">
      <w:pPr>
        <w:pStyle w:val="ListParagraph"/>
        <w:numPr>
          <w:ilvl w:val="0"/>
          <w:numId w:val="3"/>
        </w:numPr>
        <w:spacing w:after="200" w:line="276" w:lineRule="auto"/>
        <w:rPr>
          <w:rFonts w:cstheme="minorHAnsi"/>
        </w:rPr>
      </w:pPr>
      <w:r>
        <w:rPr>
          <w:rFonts w:cstheme="minorHAnsi"/>
        </w:rPr>
        <w:t xml:space="preserve">enabling </w:t>
      </w:r>
      <w:r w:rsidR="00274B36" w:rsidRPr="00274B36">
        <w:rPr>
          <w:rFonts w:cstheme="minorHAnsi"/>
        </w:rPr>
        <w:t>ITE providers to develop a TPA that take</w:t>
      </w:r>
      <w:r w:rsidR="00B42E74">
        <w:rPr>
          <w:rFonts w:cstheme="minorHAnsi"/>
        </w:rPr>
        <w:t>s</w:t>
      </w:r>
      <w:r w:rsidR="00274B36" w:rsidRPr="00274B36">
        <w:rPr>
          <w:rFonts w:cstheme="minorHAnsi"/>
        </w:rPr>
        <w:t xml:space="preserve"> into consideration their local context and understanding of the diverse professional experience placements pre-service teachers experience.</w:t>
      </w:r>
    </w:p>
    <w:p w14:paraId="4D916436" w14:textId="1980E722" w:rsidR="00274B36" w:rsidRPr="00BB2090" w:rsidRDefault="00274B36" w:rsidP="00274B36">
      <w:pPr>
        <w:rPr>
          <w:rFonts w:cstheme="minorHAnsi"/>
        </w:rPr>
      </w:pPr>
      <w:r w:rsidRPr="00274B36">
        <w:rPr>
          <w:rFonts w:cstheme="minorHAnsi"/>
        </w:rPr>
        <w:t xml:space="preserve">The </w:t>
      </w:r>
      <w:r w:rsidR="00D43E36">
        <w:rPr>
          <w:rFonts w:cstheme="minorHAnsi"/>
        </w:rPr>
        <w:t xml:space="preserve">main financial </w:t>
      </w:r>
      <w:r w:rsidRPr="00274B36">
        <w:rPr>
          <w:rFonts w:cstheme="minorHAnsi"/>
        </w:rPr>
        <w:t xml:space="preserve">costs associated with TPAs </w:t>
      </w:r>
      <w:r w:rsidR="00D43E36">
        <w:rPr>
          <w:rFonts w:cstheme="minorHAnsi"/>
        </w:rPr>
        <w:t xml:space="preserve">that are absorbed by universities </w:t>
      </w:r>
      <w:r w:rsidRPr="00274B36">
        <w:rPr>
          <w:rFonts w:cstheme="minorHAnsi"/>
        </w:rPr>
        <w:t>include</w:t>
      </w:r>
      <w:r w:rsidR="00D43E36">
        <w:rPr>
          <w:rFonts w:cstheme="minorHAnsi"/>
        </w:rPr>
        <w:t xml:space="preserve"> considerable staff time and resources (academic</w:t>
      </w:r>
      <w:r w:rsidR="003424ED">
        <w:rPr>
          <w:rFonts w:cstheme="minorHAnsi"/>
        </w:rPr>
        <w:t>,</w:t>
      </w:r>
      <w:r w:rsidR="00D43E36">
        <w:rPr>
          <w:rFonts w:cstheme="minorHAnsi"/>
        </w:rPr>
        <w:t xml:space="preserve"> sessional </w:t>
      </w:r>
      <w:r w:rsidR="003424ED">
        <w:rPr>
          <w:rFonts w:cstheme="minorHAnsi"/>
        </w:rPr>
        <w:t xml:space="preserve">and professional </w:t>
      </w:r>
      <w:r w:rsidR="00D43E36">
        <w:rPr>
          <w:rFonts w:cstheme="minorHAnsi"/>
        </w:rPr>
        <w:t>staff) as well as administrative support</w:t>
      </w:r>
      <w:r w:rsidR="00A8780A">
        <w:rPr>
          <w:rFonts w:cstheme="minorHAnsi"/>
        </w:rPr>
        <w:t>. It is</w:t>
      </w:r>
      <w:r w:rsidR="00D43E36">
        <w:rPr>
          <w:rFonts w:cstheme="minorHAnsi"/>
        </w:rPr>
        <w:t xml:space="preserve"> QUT</w:t>
      </w:r>
      <w:r w:rsidR="00A8780A">
        <w:rPr>
          <w:rFonts w:cstheme="minorHAnsi"/>
        </w:rPr>
        <w:t>’s experience that the cost</w:t>
      </w:r>
      <w:r w:rsidR="00BB2090">
        <w:rPr>
          <w:rFonts w:cstheme="minorHAnsi"/>
        </w:rPr>
        <w:t xml:space="preserve"> of running TPAs</w:t>
      </w:r>
      <w:r w:rsidR="00D43E36">
        <w:rPr>
          <w:rFonts w:cstheme="minorHAnsi"/>
        </w:rPr>
        <w:t xml:space="preserve"> can exceed $200,000 per annum</w:t>
      </w:r>
      <w:r w:rsidR="00BB2090">
        <w:rPr>
          <w:rFonts w:cstheme="minorHAnsi"/>
        </w:rPr>
        <w:t xml:space="preserve">. This estimate does not include </w:t>
      </w:r>
      <w:r w:rsidR="00D43E36">
        <w:rPr>
          <w:rFonts w:cstheme="minorHAnsi"/>
        </w:rPr>
        <w:t xml:space="preserve">the initial </w:t>
      </w:r>
      <w:r w:rsidR="00BB2090">
        <w:rPr>
          <w:rFonts w:cstheme="minorHAnsi"/>
        </w:rPr>
        <w:t xml:space="preserve">(and </w:t>
      </w:r>
      <w:r w:rsidR="003424ED">
        <w:rPr>
          <w:rFonts w:cstheme="minorHAnsi"/>
        </w:rPr>
        <w:t>substantial</w:t>
      </w:r>
      <w:r w:rsidR="00BB2090">
        <w:rPr>
          <w:rFonts w:cstheme="minorHAnsi"/>
        </w:rPr>
        <w:t>)</w:t>
      </w:r>
      <w:r w:rsidR="003424ED">
        <w:rPr>
          <w:rFonts w:cstheme="minorHAnsi"/>
        </w:rPr>
        <w:t xml:space="preserve"> investment of time and resources</w:t>
      </w:r>
      <w:r w:rsidR="008C5C7C">
        <w:rPr>
          <w:rFonts w:cstheme="minorHAnsi"/>
        </w:rPr>
        <w:t xml:space="preserve"> involved in the development phase</w:t>
      </w:r>
      <w:r w:rsidR="00BB2090">
        <w:rPr>
          <w:rFonts w:cstheme="minorHAnsi"/>
        </w:rPr>
        <w:t xml:space="preserve"> </w:t>
      </w:r>
      <w:r w:rsidR="00BB2090" w:rsidRPr="00BB2090">
        <w:rPr>
          <w:rFonts w:cstheme="minorHAnsi"/>
        </w:rPr>
        <w:t>(</w:t>
      </w:r>
      <w:r w:rsidR="00BB2090" w:rsidRPr="009C63B7">
        <w:rPr>
          <w:iCs/>
        </w:rPr>
        <w:t>only two TPA consortia (the AfGt and GTPA) received initial funding to design their TPAs)</w:t>
      </w:r>
      <w:r w:rsidR="00D43E36" w:rsidRPr="00BB2090">
        <w:rPr>
          <w:rFonts w:cstheme="minorHAnsi"/>
        </w:rPr>
        <w:t xml:space="preserve">. </w:t>
      </w:r>
      <w:r w:rsidR="00BB2090">
        <w:rPr>
          <w:rFonts w:cstheme="minorHAnsi"/>
        </w:rPr>
        <w:t xml:space="preserve">This financial cost also omits the domain knowledge burden </w:t>
      </w:r>
      <w:r w:rsidR="00BB2090" w:rsidRPr="00BB2090">
        <w:rPr>
          <w:rFonts w:cstheme="minorHAnsi"/>
        </w:rPr>
        <w:t xml:space="preserve">upon </w:t>
      </w:r>
      <w:r w:rsidR="00BB2090" w:rsidRPr="009C63B7">
        <w:rPr>
          <w:iCs/>
        </w:rPr>
        <w:t>supervisors and mentor teachers, who must be knowledgeable of a range of different TPAs they could be supervising.</w:t>
      </w:r>
    </w:p>
    <w:p w14:paraId="130466A1" w14:textId="6EBF265E" w:rsidR="00274B36" w:rsidRPr="00274B36" w:rsidRDefault="00274B36" w:rsidP="00274B36">
      <w:pPr>
        <w:spacing w:after="0" w:line="264" w:lineRule="auto"/>
        <w:rPr>
          <w:rFonts w:cstheme="minorHAnsi"/>
          <w:i/>
          <w:iCs/>
        </w:rPr>
      </w:pPr>
      <w:r w:rsidRPr="00274B36">
        <w:rPr>
          <w:rFonts w:cstheme="minorHAnsi"/>
          <w:i/>
          <w:iCs/>
        </w:rPr>
        <w:t>How could the TPA endorsement process be improved?</w:t>
      </w:r>
    </w:p>
    <w:p w14:paraId="5A8C48BC" w14:textId="77777777" w:rsidR="00274B36" w:rsidRPr="00274B36" w:rsidRDefault="00274B36" w:rsidP="00274B36">
      <w:pPr>
        <w:spacing w:after="0" w:line="264" w:lineRule="auto"/>
        <w:rPr>
          <w:rFonts w:cstheme="minorHAnsi"/>
        </w:rPr>
      </w:pPr>
    </w:p>
    <w:p w14:paraId="2AE1FA8B" w14:textId="012FD2EE" w:rsidR="00274B36" w:rsidRPr="00274B36" w:rsidRDefault="00A96740" w:rsidP="00274B36">
      <w:pPr>
        <w:spacing w:after="0" w:line="264" w:lineRule="auto"/>
        <w:rPr>
          <w:rFonts w:cstheme="minorHAnsi"/>
        </w:rPr>
      </w:pPr>
      <w:r>
        <w:rPr>
          <w:rFonts w:cstheme="minorHAnsi"/>
        </w:rPr>
        <w:t>There are s</w:t>
      </w:r>
      <w:r w:rsidRPr="00274B36">
        <w:rPr>
          <w:rFonts w:cstheme="minorHAnsi"/>
        </w:rPr>
        <w:t xml:space="preserve">ubstantial </w:t>
      </w:r>
      <w:r w:rsidR="00274B36" w:rsidRPr="00274B36">
        <w:rPr>
          <w:rFonts w:cstheme="minorHAnsi"/>
        </w:rPr>
        <w:t xml:space="preserve">financial and labour costs associated with designing and implementing a TPA to ensure the reliability and validity of the TPA tool and its assessment process (including ongoing assessor and refresher training, evidence of between panel </w:t>
      </w:r>
      <w:r>
        <w:rPr>
          <w:rFonts w:cstheme="minorHAnsi"/>
        </w:rPr>
        <w:t>and</w:t>
      </w:r>
      <w:r w:rsidR="00274B36" w:rsidRPr="00274B36">
        <w:rPr>
          <w:rFonts w:cstheme="minorHAnsi"/>
        </w:rPr>
        <w:t xml:space="preserve"> cross-institution moderation, examining the correlation of the TPA with other measures, evidence from supervising teachers and schools about the extent to which the TPA assesses specified constructs, re-evaluating the TPA cut score etc). The sustainability of the TPA is in jeopardy due to the large, on-going costs to ITE providers. It also requires an ongoing commitment by a designated research team to evaluate the reliability and validity of the TPA tool and its impact on preparing graduates for the classroom. </w:t>
      </w:r>
    </w:p>
    <w:p w14:paraId="73600CE8" w14:textId="77777777" w:rsidR="00274B36" w:rsidRPr="00274B36" w:rsidRDefault="00274B36" w:rsidP="00274B36">
      <w:pPr>
        <w:spacing w:after="0" w:line="264" w:lineRule="auto"/>
        <w:rPr>
          <w:rFonts w:cstheme="minorHAnsi"/>
          <w:b/>
          <w:bCs/>
        </w:rPr>
      </w:pPr>
    </w:p>
    <w:p w14:paraId="3A5567FC" w14:textId="7FD9453B" w:rsidR="00274B36" w:rsidRDefault="00274B36" w:rsidP="00274B36">
      <w:pPr>
        <w:spacing w:after="0" w:line="264" w:lineRule="auto"/>
        <w:rPr>
          <w:rFonts w:cstheme="minorHAnsi"/>
          <w:i/>
          <w:iCs/>
        </w:rPr>
      </w:pPr>
      <w:r w:rsidRPr="00274B36">
        <w:rPr>
          <w:rFonts w:cstheme="minorHAnsi"/>
          <w:i/>
          <w:iCs/>
        </w:rPr>
        <w:t xml:space="preserve">Are the current arrangements leading to quality outcomes? </w:t>
      </w:r>
    </w:p>
    <w:p w14:paraId="4D41E6D6" w14:textId="77777777" w:rsidR="00B179B6" w:rsidRPr="00274B36" w:rsidRDefault="00B179B6" w:rsidP="00274B36">
      <w:pPr>
        <w:spacing w:after="0" w:line="264" w:lineRule="auto"/>
        <w:rPr>
          <w:rFonts w:cstheme="minorHAnsi"/>
          <w:i/>
          <w:iCs/>
        </w:rPr>
      </w:pPr>
    </w:p>
    <w:p w14:paraId="7982FEF1" w14:textId="22BBA431" w:rsidR="00274B36" w:rsidRPr="00274B36" w:rsidRDefault="00274B36" w:rsidP="00274B36">
      <w:pPr>
        <w:spacing w:after="0" w:line="264" w:lineRule="auto"/>
        <w:rPr>
          <w:rFonts w:cstheme="minorHAnsi"/>
        </w:rPr>
      </w:pPr>
      <w:r w:rsidRPr="00274B36">
        <w:rPr>
          <w:rFonts w:cstheme="minorHAnsi"/>
        </w:rPr>
        <w:t xml:space="preserve">In collaboration with our partnering universities, </w:t>
      </w:r>
      <w:r w:rsidR="0045562C">
        <w:rPr>
          <w:rFonts w:cstheme="minorHAnsi"/>
        </w:rPr>
        <w:t>QUT has</w:t>
      </w:r>
      <w:r w:rsidRPr="00274B36">
        <w:rPr>
          <w:rFonts w:cstheme="minorHAnsi"/>
        </w:rPr>
        <w:t xml:space="preserve"> worked to refine our TPA tool and its moderation processes to uphold the rigour of the assessment tool to ensure that it clearly </w:t>
      </w:r>
      <w:r w:rsidR="00BB2090">
        <w:rPr>
          <w:rFonts w:cstheme="minorHAnsi"/>
        </w:rPr>
        <w:t>differentiates</w:t>
      </w:r>
      <w:r w:rsidR="00BB2090" w:rsidRPr="00274B36">
        <w:rPr>
          <w:rFonts w:cstheme="minorHAnsi"/>
        </w:rPr>
        <w:t xml:space="preserve"> </w:t>
      </w:r>
      <w:r w:rsidRPr="00274B36">
        <w:rPr>
          <w:rFonts w:cstheme="minorHAnsi"/>
        </w:rPr>
        <w:t xml:space="preserve">between graduates that meet or do not meet the Graduate Teacher Standards. </w:t>
      </w:r>
    </w:p>
    <w:p w14:paraId="24844F11" w14:textId="77777777" w:rsidR="00274B36" w:rsidRPr="00274B36" w:rsidRDefault="00274B36" w:rsidP="00274B36">
      <w:pPr>
        <w:spacing w:after="0" w:line="264" w:lineRule="auto"/>
        <w:rPr>
          <w:rFonts w:cstheme="minorHAnsi"/>
          <w:b/>
          <w:bCs/>
        </w:rPr>
      </w:pPr>
    </w:p>
    <w:p w14:paraId="7344765C" w14:textId="77777777" w:rsidR="0092378F" w:rsidRDefault="0092378F" w:rsidP="00A73272">
      <w:pPr>
        <w:spacing w:after="0" w:line="276" w:lineRule="auto"/>
        <w:rPr>
          <w:rFonts w:cstheme="minorHAnsi"/>
          <w:b/>
          <w:bCs/>
          <w:u w:val="single"/>
        </w:rPr>
      </w:pPr>
    </w:p>
    <w:p w14:paraId="534D41AD" w14:textId="7D2799CE" w:rsidR="00B8325C" w:rsidRDefault="003E4F53" w:rsidP="00A73272">
      <w:pPr>
        <w:spacing w:after="0" w:line="276" w:lineRule="auto"/>
        <w:rPr>
          <w:rFonts w:cstheme="minorHAnsi"/>
          <w:b/>
          <w:bCs/>
          <w:u w:val="single"/>
        </w:rPr>
      </w:pPr>
      <w:r>
        <w:rPr>
          <w:rFonts w:cstheme="minorHAnsi"/>
          <w:b/>
          <w:bCs/>
          <w:u w:val="single"/>
        </w:rPr>
        <w:lastRenderedPageBreak/>
        <w:t>Professional Experience</w:t>
      </w:r>
    </w:p>
    <w:p w14:paraId="30DF15A4" w14:textId="77777777" w:rsidR="003E4F53" w:rsidRDefault="003E4F53" w:rsidP="00A73272">
      <w:pPr>
        <w:spacing w:after="0" w:line="276" w:lineRule="auto"/>
        <w:rPr>
          <w:rFonts w:cstheme="minorHAnsi"/>
          <w:i/>
          <w:iCs/>
        </w:rPr>
      </w:pPr>
    </w:p>
    <w:p w14:paraId="4011ED0A" w14:textId="7B07E7FA" w:rsidR="00A73272" w:rsidRDefault="00274B36" w:rsidP="00A73272">
      <w:pPr>
        <w:spacing w:after="0" w:line="276" w:lineRule="auto"/>
        <w:rPr>
          <w:rFonts w:cstheme="minorHAnsi"/>
          <w:i/>
          <w:iCs/>
        </w:rPr>
      </w:pPr>
      <w:bookmarkStart w:id="0" w:name="_Hlk77070545"/>
      <w:r w:rsidRPr="00274B36">
        <w:rPr>
          <w:rFonts w:cstheme="minorHAnsi"/>
          <w:i/>
          <w:iCs/>
        </w:rPr>
        <w:t xml:space="preserve">Do the current professional experience arrangements support the preparation of ITE students for the classroom and school environment? </w:t>
      </w:r>
    </w:p>
    <w:p w14:paraId="795B605F" w14:textId="77777777" w:rsidR="00BC4E47" w:rsidRDefault="00BC4E47" w:rsidP="00A73272">
      <w:pPr>
        <w:spacing w:after="0" w:line="276" w:lineRule="auto"/>
        <w:rPr>
          <w:rFonts w:cstheme="minorHAnsi"/>
          <w:i/>
          <w:iCs/>
        </w:rPr>
      </w:pPr>
    </w:p>
    <w:p w14:paraId="59A8DC36" w14:textId="235E7DAC" w:rsidR="00274B36" w:rsidRDefault="00BC4E47" w:rsidP="00BC4E47">
      <w:pPr>
        <w:rPr>
          <w:rFonts w:cstheme="minorHAnsi"/>
        </w:rPr>
      </w:pPr>
      <w:r w:rsidRPr="00BC4E47">
        <w:rPr>
          <w:rFonts w:cstheme="minorHAnsi"/>
        </w:rPr>
        <w:t xml:space="preserve">While the current arrangements largely support the preparation of ITE students, there is scope for funding to support the development of partnerships between universities and educational sites that would address the theory/practice divide by focusing on developing a strategy to form large scale, sustainable university-school-system partnerships. We would also support a consistent final assessment report of pre-service teachers across all ITE providers in </w:t>
      </w:r>
      <w:r w:rsidR="003E4F53" w:rsidRPr="00BC4E47">
        <w:rPr>
          <w:rFonts w:cstheme="minorHAnsi"/>
        </w:rPr>
        <w:t>Australia.  </w:t>
      </w:r>
      <w:bookmarkEnd w:id="0"/>
    </w:p>
    <w:p w14:paraId="2CEE06C0" w14:textId="77777777" w:rsidR="00A73272" w:rsidRPr="00A73272" w:rsidRDefault="00A73272" w:rsidP="00A73272">
      <w:pPr>
        <w:spacing w:after="0" w:line="276" w:lineRule="auto"/>
        <w:rPr>
          <w:rFonts w:cstheme="minorHAnsi"/>
          <w:i/>
          <w:iCs/>
        </w:rPr>
      </w:pPr>
    </w:p>
    <w:p w14:paraId="12CCE5D1" w14:textId="48BE09B4" w:rsidR="00844749" w:rsidRPr="00274B36" w:rsidRDefault="00844749" w:rsidP="00954580">
      <w:pPr>
        <w:spacing w:after="120" w:line="276" w:lineRule="auto"/>
        <w:rPr>
          <w:rFonts w:cstheme="minorHAnsi"/>
          <w:color w:val="000000" w:themeColor="text1"/>
        </w:rPr>
      </w:pPr>
      <w:r w:rsidRPr="00274B36">
        <w:rPr>
          <w:rFonts w:cstheme="minorHAnsi"/>
          <w:color w:val="000000" w:themeColor="text1"/>
        </w:rPr>
        <w:t xml:space="preserve">Thank you for the opportunity to provide a submission and </w:t>
      </w:r>
      <w:r w:rsidR="0027191C">
        <w:rPr>
          <w:rFonts w:cstheme="minorHAnsi"/>
          <w:color w:val="000000" w:themeColor="text1"/>
        </w:rPr>
        <w:t xml:space="preserve">the Faculty </w:t>
      </w:r>
      <w:r w:rsidRPr="00274B36">
        <w:rPr>
          <w:rFonts w:cstheme="minorHAnsi"/>
          <w:color w:val="000000" w:themeColor="text1"/>
        </w:rPr>
        <w:t xml:space="preserve">is happy to provide further clarification to the Expert Panel if required. </w:t>
      </w:r>
    </w:p>
    <w:p w14:paraId="0A7C8051" w14:textId="77777777" w:rsidR="00954580" w:rsidRPr="00DE451D" w:rsidRDefault="00954580" w:rsidP="00954580">
      <w:pPr>
        <w:spacing w:line="276" w:lineRule="auto"/>
        <w:rPr>
          <w:rFonts w:cstheme="minorHAnsi"/>
          <w:b/>
          <w:bCs/>
        </w:rPr>
      </w:pPr>
      <w:r w:rsidRPr="00DE451D">
        <w:rPr>
          <w:rFonts w:cstheme="minorHAnsi"/>
          <w:b/>
          <w:bCs/>
        </w:rPr>
        <w:t>References</w:t>
      </w:r>
    </w:p>
    <w:p w14:paraId="1E25B256" w14:textId="77777777" w:rsidR="00FE13C5" w:rsidRPr="0027191C" w:rsidRDefault="00FE13C5" w:rsidP="00FE13C5">
      <w:pPr>
        <w:rPr>
          <w:rFonts w:cstheme="minorHAnsi"/>
        </w:rPr>
      </w:pPr>
      <w:r w:rsidRPr="0027191C">
        <w:rPr>
          <w:rFonts w:cstheme="minorHAnsi"/>
        </w:rPr>
        <w:t xml:space="preserve">ARC DP180100160 Educating preservice teachers to teach diverse learners. Team members Lunn, J., Rowan, L., Ryan, M., Walker, S., Bourke, T.,  L’Estrange, L., Johansson, E. 2018 -2021. </w:t>
      </w:r>
    </w:p>
    <w:p w14:paraId="0F4D126A" w14:textId="77777777" w:rsidR="00FE13C5" w:rsidRPr="0027191C" w:rsidRDefault="00FE13C5" w:rsidP="00FE13C5">
      <w:pPr>
        <w:rPr>
          <w:rFonts w:cstheme="minorHAnsi"/>
        </w:rPr>
      </w:pPr>
      <w:r w:rsidRPr="0027191C">
        <w:rPr>
          <w:rFonts w:cstheme="minorHAnsi"/>
        </w:rPr>
        <w:t>Lunn, J.,  Bourke, T., Rowan, L., Ryan, M., Churchward, P., Walker, S., L’Estrange, L., Berge, A.,  &amp; Johansson, E. (2021 forthcoming). How epistemic reflexivity enables teacher educators’ teaching for diversity: exploring a pedagogical framework for critical consciousness. </w:t>
      </w:r>
    </w:p>
    <w:p w14:paraId="0A351B96" w14:textId="77777777" w:rsidR="00FE13C5" w:rsidRPr="0027191C" w:rsidRDefault="00FE13C5" w:rsidP="00FE13C5">
      <w:pPr>
        <w:contextualSpacing/>
        <w:rPr>
          <w:rFonts w:cstheme="minorHAnsi"/>
        </w:rPr>
      </w:pPr>
      <w:r w:rsidRPr="0027191C">
        <w:rPr>
          <w:rFonts w:cstheme="minorHAnsi"/>
        </w:rPr>
        <w:t xml:space="preserve">Rowan, L., Bourke, T., Lunn-Brownlee, J., Ryan, M., Walker, S., &amp; L’Estrange, L. (2021). How does Initial Teacher Education Research Frame the Challenge of Preparing Future Teachers for Student Diversity in Schools: A Systematic Review of Literature. Review of Educational Research. 91(1), 112-158. </w:t>
      </w:r>
      <w:hyperlink r:id="rId6" w:history="1">
        <w:r w:rsidRPr="0027191C">
          <w:rPr>
            <w:rFonts w:cstheme="minorHAnsi"/>
          </w:rPr>
          <w:t>https://doi.org/10.1007/s13384-021-00434-y</w:t>
        </w:r>
      </w:hyperlink>
    </w:p>
    <w:p w14:paraId="326FF494" w14:textId="77777777" w:rsidR="00FE13C5" w:rsidRPr="0027191C" w:rsidRDefault="00FE13C5" w:rsidP="00FE13C5">
      <w:pPr>
        <w:contextualSpacing/>
        <w:rPr>
          <w:rFonts w:cstheme="minorHAnsi"/>
        </w:rPr>
      </w:pPr>
    </w:p>
    <w:p w14:paraId="69CA21B8" w14:textId="0C069641" w:rsidR="00954580" w:rsidRPr="0027191C" w:rsidRDefault="00FE13C5" w:rsidP="00FE13C5">
      <w:pPr>
        <w:spacing w:after="120"/>
        <w:rPr>
          <w:rFonts w:cstheme="minorHAnsi"/>
        </w:rPr>
      </w:pPr>
      <w:r w:rsidRPr="0027191C">
        <w:rPr>
          <w:rFonts w:cstheme="minorHAnsi"/>
        </w:rPr>
        <w:t xml:space="preserve">Ryan, M., Rowan, L., Lunn Brownlee, J., Bourke, T., L’Estrange, L., Walker, S. &amp; Churchward, P. (2020). Teacher education and teaching for diversity: A call to action. Teaching Education. </w:t>
      </w:r>
      <w:hyperlink r:id="rId7" w:tooltip="https://protect-au.mimecast.com/s/GrWXCjZ12Rf6gp6xs5clbM?domain=doi.org" w:history="1">
        <w:r w:rsidRPr="0027191C">
          <w:rPr>
            <w:rFonts w:cstheme="minorHAnsi"/>
          </w:rPr>
          <w:t>https://doi.org/10.1080/10476210.2020.1844178</w:t>
        </w:r>
      </w:hyperlink>
    </w:p>
    <w:p w14:paraId="0F498701" w14:textId="77777777" w:rsidR="00844749" w:rsidRPr="0027191C" w:rsidRDefault="00844749" w:rsidP="00844749">
      <w:pPr>
        <w:rPr>
          <w:rFonts w:cstheme="minorHAnsi"/>
        </w:rPr>
      </w:pPr>
    </w:p>
    <w:sectPr w:rsidR="00844749" w:rsidRPr="0027191C" w:rsidSect="00954580">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A3F3E"/>
    <w:multiLevelType w:val="hybridMultilevel"/>
    <w:tmpl w:val="C4B60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BB6617"/>
    <w:multiLevelType w:val="hybridMultilevel"/>
    <w:tmpl w:val="A2BA4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6252E0"/>
    <w:multiLevelType w:val="hybridMultilevel"/>
    <w:tmpl w:val="980695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2363997"/>
    <w:multiLevelType w:val="multilevel"/>
    <w:tmpl w:val="4FEE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231C0"/>
    <w:multiLevelType w:val="hybridMultilevel"/>
    <w:tmpl w:val="94B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152226"/>
    <w:multiLevelType w:val="hybridMultilevel"/>
    <w:tmpl w:val="565EDB0E"/>
    <w:lvl w:ilvl="0" w:tplc="C57CA952">
      <w:start w:val="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85"/>
    <w:rsid w:val="00005A3D"/>
    <w:rsid w:val="000847D0"/>
    <w:rsid w:val="001354E4"/>
    <w:rsid w:val="001973F4"/>
    <w:rsid w:val="001D5FC8"/>
    <w:rsid w:val="00247885"/>
    <w:rsid w:val="002637E4"/>
    <w:rsid w:val="0027191C"/>
    <w:rsid w:val="00274B36"/>
    <w:rsid w:val="002D1368"/>
    <w:rsid w:val="002E71B5"/>
    <w:rsid w:val="003424ED"/>
    <w:rsid w:val="0034358A"/>
    <w:rsid w:val="00346100"/>
    <w:rsid w:val="00373051"/>
    <w:rsid w:val="003E4F53"/>
    <w:rsid w:val="00417BB6"/>
    <w:rsid w:val="004265A8"/>
    <w:rsid w:val="0045562C"/>
    <w:rsid w:val="00484C44"/>
    <w:rsid w:val="005032B7"/>
    <w:rsid w:val="00517D01"/>
    <w:rsid w:val="00557527"/>
    <w:rsid w:val="00601B64"/>
    <w:rsid w:val="00612614"/>
    <w:rsid w:val="00677251"/>
    <w:rsid w:val="006A143F"/>
    <w:rsid w:val="006D1934"/>
    <w:rsid w:val="007570BC"/>
    <w:rsid w:val="007B64D6"/>
    <w:rsid w:val="007F3EBF"/>
    <w:rsid w:val="00844749"/>
    <w:rsid w:val="008B5ED3"/>
    <w:rsid w:val="008B664B"/>
    <w:rsid w:val="008C5C7C"/>
    <w:rsid w:val="0092378F"/>
    <w:rsid w:val="00941D0F"/>
    <w:rsid w:val="00954580"/>
    <w:rsid w:val="00955B44"/>
    <w:rsid w:val="009C40DA"/>
    <w:rsid w:val="009C63B7"/>
    <w:rsid w:val="009F063C"/>
    <w:rsid w:val="00A73272"/>
    <w:rsid w:val="00A8780A"/>
    <w:rsid w:val="00A96740"/>
    <w:rsid w:val="00AB5FDD"/>
    <w:rsid w:val="00AC01AE"/>
    <w:rsid w:val="00AE476A"/>
    <w:rsid w:val="00B179B6"/>
    <w:rsid w:val="00B42E74"/>
    <w:rsid w:val="00B66406"/>
    <w:rsid w:val="00B8325C"/>
    <w:rsid w:val="00B903DF"/>
    <w:rsid w:val="00B97853"/>
    <w:rsid w:val="00BB2090"/>
    <w:rsid w:val="00BC4E47"/>
    <w:rsid w:val="00C07949"/>
    <w:rsid w:val="00C6592C"/>
    <w:rsid w:val="00C96E1E"/>
    <w:rsid w:val="00CD2BA8"/>
    <w:rsid w:val="00CF7231"/>
    <w:rsid w:val="00D43E36"/>
    <w:rsid w:val="00DC7EE1"/>
    <w:rsid w:val="00DD6C3F"/>
    <w:rsid w:val="00DE451D"/>
    <w:rsid w:val="00DE5675"/>
    <w:rsid w:val="00E0701B"/>
    <w:rsid w:val="00E1673F"/>
    <w:rsid w:val="00E35EEB"/>
    <w:rsid w:val="00E71E35"/>
    <w:rsid w:val="00EA1DBB"/>
    <w:rsid w:val="00EC6A7D"/>
    <w:rsid w:val="00EF419A"/>
    <w:rsid w:val="00F41F30"/>
    <w:rsid w:val="00FE1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0D76"/>
  <w15:chartTrackingRefBased/>
  <w15:docId w15:val="{AC5DB53C-DD88-4EE0-9B4F-7BCF664F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Content descriptions,L,Report subheading,bullet point list,Bullet point,List Paragraph Number,Bulletr List Paragraph,FooterText,List Paragraph2,List Paragraph21,Listeafsnit1,numbered,列出段落,列"/>
    <w:basedOn w:val="Normal"/>
    <w:link w:val="ListParagraphChar"/>
    <w:uiPriority w:val="34"/>
    <w:qFormat/>
    <w:rsid w:val="00C6592C"/>
    <w:pPr>
      <w:ind w:left="720"/>
      <w:contextualSpacing/>
    </w:pPr>
  </w:style>
  <w:style w:type="character" w:styleId="Hyperlink">
    <w:name w:val="Hyperlink"/>
    <w:basedOn w:val="DefaultParagraphFont"/>
    <w:uiPriority w:val="99"/>
    <w:unhideWhenUsed/>
    <w:rsid w:val="00954580"/>
    <w:rPr>
      <w:color w:val="0563C1"/>
      <w:u w:val="single"/>
    </w:rPr>
  </w:style>
  <w:style w:type="character" w:customStyle="1" w:styleId="ListParagraphChar">
    <w:name w:val="List Paragraph Char"/>
    <w:aliases w:val="List Paragraph1 Char,Recommendation Char,List Paragraph11 Char,Content descriptions Char,L Char,Report subheading Char,bullet point list Char,Bullet point Char,List Paragraph Number Char,Bulletr List Paragraph Char,FooterText Char"/>
    <w:basedOn w:val="DefaultParagraphFont"/>
    <w:link w:val="ListParagraph"/>
    <w:uiPriority w:val="34"/>
    <w:qFormat/>
    <w:rsid w:val="00274B36"/>
  </w:style>
  <w:style w:type="character" w:styleId="CommentReference">
    <w:name w:val="annotation reference"/>
    <w:basedOn w:val="DefaultParagraphFont"/>
    <w:uiPriority w:val="99"/>
    <w:semiHidden/>
    <w:unhideWhenUsed/>
    <w:rsid w:val="00517D01"/>
    <w:rPr>
      <w:sz w:val="16"/>
      <w:szCs w:val="16"/>
    </w:rPr>
  </w:style>
  <w:style w:type="paragraph" w:styleId="CommentText">
    <w:name w:val="annotation text"/>
    <w:basedOn w:val="Normal"/>
    <w:link w:val="CommentTextChar"/>
    <w:uiPriority w:val="99"/>
    <w:semiHidden/>
    <w:unhideWhenUsed/>
    <w:rsid w:val="00517D01"/>
    <w:pPr>
      <w:spacing w:line="240" w:lineRule="auto"/>
    </w:pPr>
    <w:rPr>
      <w:sz w:val="20"/>
      <w:szCs w:val="20"/>
    </w:rPr>
  </w:style>
  <w:style w:type="character" w:customStyle="1" w:styleId="CommentTextChar">
    <w:name w:val="Comment Text Char"/>
    <w:basedOn w:val="DefaultParagraphFont"/>
    <w:link w:val="CommentText"/>
    <w:uiPriority w:val="99"/>
    <w:semiHidden/>
    <w:rsid w:val="00517D01"/>
    <w:rPr>
      <w:sz w:val="20"/>
      <w:szCs w:val="20"/>
    </w:rPr>
  </w:style>
  <w:style w:type="paragraph" w:styleId="CommentSubject">
    <w:name w:val="annotation subject"/>
    <w:basedOn w:val="CommentText"/>
    <w:next w:val="CommentText"/>
    <w:link w:val="CommentSubjectChar"/>
    <w:uiPriority w:val="99"/>
    <w:semiHidden/>
    <w:unhideWhenUsed/>
    <w:rsid w:val="00517D01"/>
    <w:rPr>
      <w:b/>
      <w:bCs/>
    </w:rPr>
  </w:style>
  <w:style w:type="character" w:customStyle="1" w:styleId="CommentSubjectChar">
    <w:name w:val="Comment Subject Char"/>
    <w:basedOn w:val="CommentTextChar"/>
    <w:link w:val="CommentSubject"/>
    <w:uiPriority w:val="99"/>
    <w:semiHidden/>
    <w:rsid w:val="00517D01"/>
    <w:rPr>
      <w:b/>
      <w:bCs/>
      <w:sz w:val="20"/>
      <w:szCs w:val="20"/>
    </w:rPr>
  </w:style>
  <w:style w:type="paragraph" w:customStyle="1" w:styleId="xmsolistparagraph">
    <w:name w:val="x_msolistparagraph"/>
    <w:basedOn w:val="Normal"/>
    <w:rsid w:val="006D19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461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61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95233">
      <w:bodyDiv w:val="1"/>
      <w:marLeft w:val="0"/>
      <w:marRight w:val="0"/>
      <w:marTop w:val="0"/>
      <w:marBottom w:val="0"/>
      <w:divBdr>
        <w:top w:val="none" w:sz="0" w:space="0" w:color="auto"/>
        <w:left w:val="none" w:sz="0" w:space="0" w:color="auto"/>
        <w:bottom w:val="none" w:sz="0" w:space="0" w:color="auto"/>
        <w:right w:val="none" w:sz="0" w:space="0" w:color="auto"/>
      </w:divBdr>
    </w:div>
    <w:div w:id="1200703742">
      <w:bodyDiv w:val="1"/>
      <w:marLeft w:val="0"/>
      <w:marRight w:val="0"/>
      <w:marTop w:val="0"/>
      <w:marBottom w:val="0"/>
      <w:divBdr>
        <w:top w:val="none" w:sz="0" w:space="0" w:color="auto"/>
        <w:left w:val="none" w:sz="0" w:space="0" w:color="auto"/>
        <w:bottom w:val="none" w:sz="0" w:space="0" w:color="auto"/>
        <w:right w:val="none" w:sz="0" w:space="0" w:color="auto"/>
      </w:divBdr>
    </w:div>
    <w:div w:id="1314724239">
      <w:bodyDiv w:val="1"/>
      <w:marLeft w:val="0"/>
      <w:marRight w:val="0"/>
      <w:marTop w:val="0"/>
      <w:marBottom w:val="0"/>
      <w:divBdr>
        <w:top w:val="none" w:sz="0" w:space="0" w:color="auto"/>
        <w:left w:val="none" w:sz="0" w:space="0" w:color="auto"/>
        <w:bottom w:val="none" w:sz="0" w:space="0" w:color="auto"/>
        <w:right w:val="none" w:sz="0" w:space="0" w:color="auto"/>
      </w:divBdr>
    </w:div>
    <w:div w:id="19999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tect-au.mimecast.com/s/GrWXCjZ12Rf6gp6xs5clbM?domain=do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3384-021-00434-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9404-4F6F-734D-A662-15586F6C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Famena Staley</dc:creator>
  <cp:keywords/>
  <dc:description/>
  <cp:lastModifiedBy>GARNER,Kate</cp:lastModifiedBy>
  <cp:revision>2</cp:revision>
  <dcterms:created xsi:type="dcterms:W3CDTF">2021-07-14T23:57:00Z</dcterms:created>
  <dcterms:modified xsi:type="dcterms:W3CDTF">2021-07-14T23:57:00Z</dcterms:modified>
</cp:coreProperties>
</file>