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tbl>
      <w:tblPr>
        <w:jc w:val="left"/>
        <w:tblLayout w:type="fixed"/>
        <w:tblCellMar>
          <w:left w:w="0" w:type="dxa"/>
          <w:right w:w="0" w:type="dxa"/>
        </w:tblCellMar>
      </w:tblPr>
      <w:tblGrid>
        <w:gridCol w:w="2016"/>
        <w:gridCol w:w="7724"/>
      </w:tblGrid>
      <w:tr>
        <w:trPr>
          <w:trHeight w:val="1208" w:hRule="exact"/>
        </w:trPr>
        <w:tc>
          <w:tcPr>
            <w:tcW w:w="2016" w:type="dxa"/>
            <w:tcBorders>
              <w:top w:val="none"/>
              <w:left w:val="none"/>
              <w:bottom w:val="none"/>
              <w:right w:val="none"/>
            </w:tcBorders>
            <w:textDirection w:val="lrTb"/>
            <w:vAlign w:val="top"/>
          </w:tcPr>
          <w:p>
            <w:pPr>
              <w:spacing w:before="18" w:after="0" w:line="240" w:lineRule="auto"/>
              <w:ind w:right="0" w:left="0"/>
              <w:jc w:val="center"/>
              <w:textAlignment w:val="baseline"/>
            </w:pPr>
            <w:r>
              <w:drawing>
                <wp:inline>
                  <wp:extent cx="1280160" cy="75565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1280160" cy="755650"/>
                          </a:xfrm>
                          <a:prstGeom prst="rect"/>
                        </pic:spPr>
                      </pic:pic>
                    </a:graphicData>
                  </a:graphic>
                </wp:inline>
              </w:drawing>
            </w:r>
          </w:p>
        </w:tc>
        <w:tc>
          <w:tcPr>
            <w:tcW w:w="7724" w:type="dxa"/>
            <w:tcBorders>
              <w:top w:val="none"/>
              <w:left w:val="none"/>
              <w:bottom w:val="none"/>
              <w:right w:val="none"/>
            </w:tcBorders>
            <w:textDirection w:val="lrTb"/>
            <w:vAlign w:val="top"/>
          </w:tcPr>
          <w:p>
            <w:pPr>
              <w:spacing w:before="60" w:after="0" w:line="182" w:lineRule="exact"/>
              <w:ind w:right="504" w:left="3528" w:firstLine="0"/>
              <w:jc w:val="left"/>
              <w:textAlignment w:val="baseline"/>
              <w:rPr>
                <w:rFonts w:ascii="Arial" w:hAnsi="Arial" w:eastAsia="Arial"/>
                <w:color w:val="96007D"/>
                <w:spacing w:val="0"/>
                <w:w w:val="100"/>
                <w:sz w:val="16"/>
                <w:vertAlign w:val="baseline"/>
                <w:lang w:val="en-US"/>
              </w:rPr>
            </w:pPr>
            <w:r>
              <w:rPr>
                <w:rFonts w:ascii="Arial" w:hAnsi="Arial" w:eastAsia="Arial"/>
                <w:color w:val="96007D"/>
                <w:spacing w:val="0"/>
                <w:w w:val="100"/>
                <w:sz w:val="16"/>
                <w:vertAlign w:val="baseline"/>
                <w:lang w:val="en-US"/>
              </w:rPr>
              <w:t xml:space="preserve">Baringa Child-Care Centre Association Incorporated ABN 42 028 145 288</w:t>
            </w:r>
          </w:p>
          <w:p>
            <w:pPr>
              <w:spacing w:before="185" w:after="44" w:line="185" w:lineRule="exact"/>
              <w:ind w:right="1188" w:left="3528" w:firstLine="0"/>
              <w:jc w:val="left"/>
              <w:textAlignment w:val="baseline"/>
              <w:rPr>
                <w:rFonts w:ascii="Arial" w:hAnsi="Arial" w:eastAsia="Arial"/>
                <w:color w:val="96007D"/>
                <w:spacing w:val="-1"/>
                <w:w w:val="100"/>
                <w:sz w:val="16"/>
                <w:vertAlign w:val="baseline"/>
                <w:lang w:val="en-US"/>
              </w:rPr>
            </w:pPr>
            <w:r>
              <w:rPr>
                <w:rFonts w:ascii="Arial" w:hAnsi="Arial" w:eastAsia="Arial"/>
                <w:color w:val="96007D"/>
                <w:spacing w:val="-1"/>
                <w:w w:val="100"/>
                <w:sz w:val="16"/>
                <w:vertAlign w:val="baseline"/>
                <w:lang w:val="en-US"/>
              </w:rPr>
              <w:t xml:space="preserve">64 Baddeley Crescent | Spence ACT 2615 02 6258 8891 | </w:t>
            </w:r>
            <w:hyperlink r:id="dhId1">
              <w:r>
                <w:rPr>
                  <w:rFonts w:ascii="Arial" w:hAnsi="Arial" w:eastAsia="Arial"/>
                  <w:color w:val="0000FF"/>
                  <w:spacing w:val="-1"/>
                  <w:w w:val="100"/>
                  <w:sz w:val="16"/>
                  <w:u w:val="single"/>
                  <w:vertAlign w:val="baseline"/>
                  <w:lang w:val="en-US"/>
                </w:rPr>
                <w:t xml:space="preserve">admin@baringa.org.au</w:t>
              </w:r>
            </w:hyperlink>
            <w:r>
              <w:rPr>
                <w:rFonts w:ascii="Arial" w:hAnsi="Arial" w:eastAsia="Arial"/>
                <w:color w:val="96007D"/>
                <w:spacing w:val="-1"/>
                <w:w w:val="100"/>
                <w:sz w:val="16"/>
                <w:vertAlign w:val="baseline"/>
                <w:lang w:val="en-US"/>
              </w:rPr>
              <w:t xml:space="preserve"> </w:t>
            </w:r>
            <w:hyperlink r:id="dhId2">
              <w:r>
                <w:rPr>
                  <w:rFonts w:ascii="Arial" w:hAnsi="Arial" w:eastAsia="Arial"/>
                  <w:color w:val="0000FF"/>
                  <w:spacing w:val="-1"/>
                  <w:w w:val="100"/>
                  <w:sz w:val="16"/>
                  <w:u w:val="single"/>
                  <w:vertAlign w:val="baseline"/>
                  <w:lang w:val="en-US"/>
                </w:rPr>
                <w:t xml:space="preserve">www.baringa.org.au</w:t>
              </w:r>
            </w:hyperlink>
            <w:r>
              <w:rPr>
                <w:rFonts w:ascii="Arial" w:hAnsi="Arial" w:eastAsia="Arial"/>
                <w:color w:val="96007D"/>
                <w:spacing w:val="-1"/>
                <w:w w:val="100"/>
                <w:sz w:val="16"/>
                <w:vertAlign w:val="baseline"/>
                <w:lang w:val="en-US"/>
              </w:rPr>
              <w:t xml:space="preserve">
</w:t>
            </w:r>
          </w:p>
        </w:tc>
      </w:tr>
    </w:tbl>
    <w:p>
      <w:pPr>
        <w:spacing w:before="0" w:after="285" w:line="20" w:lineRule="exact"/>
      </w:pPr>
    </w:p>
    <w:p>
      <w:pPr>
        <w:spacing w:before="0" w:after="0" w:line="271" w:lineRule="exact"/>
        <w:ind w:right="0" w:left="0" w:firstLine="0"/>
        <w:jc w:val="left"/>
        <w:textAlignment w:val="baseline"/>
        <w:rPr>
          <w:rFonts w:ascii="Arial" w:hAnsi="Arial" w:eastAsia="Arial"/>
          <w:b w:val="true"/>
          <w:color w:val="96007D"/>
          <w:spacing w:val="0"/>
          <w:w w:val="100"/>
          <w:sz w:val="22"/>
          <w:vertAlign w:val="baseline"/>
          <w:lang w:val="en-US"/>
        </w:rPr>
      </w:pPr>
      <w:r>
        <w:rPr>
          <w:rFonts w:ascii="Arial" w:hAnsi="Arial" w:eastAsia="Arial"/>
          <w:b w:val="true"/>
          <w:color w:val="96007D"/>
          <w:spacing w:val="0"/>
          <w:w w:val="100"/>
          <w:sz w:val="22"/>
          <w:vertAlign w:val="baseline"/>
          <w:lang w:val="en-US"/>
        </w:rPr>
        <w:t xml:space="preserve">Quality Initial Teacher Education Submission</w:t>
        <w:br/>
      </w:r>
      <w:r>
        <w:rPr>
          <w:rFonts w:ascii="Arial" w:hAnsi="Arial" w:eastAsia="Arial"/>
          <w:b w:val="true"/>
          <w:color w:val="96007D"/>
          <w:spacing w:val="0"/>
          <w:w w:val="100"/>
          <w:sz w:val="22"/>
          <w:vertAlign w:val="baseline"/>
          <w:lang w:val="en-US"/>
        </w:rPr>
        <w:t xml:space="preserve">July 2021</w:t>
      </w:r>
    </w:p>
    <w:p>
      <w:pPr>
        <w:spacing w:before="279" w:after="0" w:line="231" w:lineRule="exact"/>
        <w:ind w:right="0" w:left="0" w:firstLine="0"/>
        <w:jc w:val="left"/>
        <w:textAlignment w:val="baseline"/>
        <w:rPr>
          <w:rFonts w:ascii="Arial" w:hAnsi="Arial" w:eastAsia="Arial"/>
          <w:b w:val="true"/>
          <w:color w:val="96007D"/>
          <w:spacing w:val="0"/>
          <w:w w:val="100"/>
          <w:sz w:val="20"/>
          <w:vertAlign w:val="baseline"/>
          <w:lang w:val="en-US"/>
        </w:rPr>
      </w:pPr>
      <w:r>
        <w:rPr>
          <w:rFonts w:ascii="Arial" w:hAnsi="Arial" w:eastAsia="Arial"/>
          <w:b w:val="true"/>
          <w:color w:val="96007D"/>
          <w:spacing w:val="0"/>
          <w:w w:val="100"/>
          <w:sz w:val="20"/>
          <w:vertAlign w:val="baseline"/>
          <w:lang w:val="en-US"/>
        </w:rPr>
        <w:t xml:space="preserve">Interest in the consultation</w:t>
      </w:r>
    </w:p>
    <w:p>
      <w:pPr>
        <w:spacing w:before="118" w:after="0" w:line="264" w:lineRule="exact"/>
        <w:ind w:right="144"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Baringa Early Learning Centre is a Canberra-based centre rated as Exceeding National Quality Standards. Baringa places high value on providing exceptional early childhood education in the early years, from birth to preschool, ensuring children feel safe and supported.</w:t>
      </w:r>
    </w:p>
    <w:p>
      <w:pPr>
        <w:spacing w:before="268" w:after="0" w:line="264" w:lineRule="exact"/>
        <w:ind w:right="144"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Baringa</w:t>
      </w:r>
      <w:r>
        <w:rPr>
          <w:rFonts w:ascii="Arial" w:hAnsi="Arial" w:eastAsia="Arial"/>
          <w:b w:val="true"/>
          <w:color w:val="000000"/>
          <w:spacing w:val="0"/>
          <w:w w:val="100"/>
          <w:sz w:val="19"/>
          <w:vertAlign w:val="baseline"/>
          <w:lang w:val="en-US"/>
        </w:rPr>
        <w:t xml:space="preserve">’s staff include </w:t>
      </w:r>
      <w:r>
        <w:rPr>
          <w:rFonts w:ascii="Arial" w:hAnsi="Arial" w:eastAsia="Arial"/>
          <w:color w:val="000000"/>
          <w:spacing w:val="0"/>
          <w:w w:val="100"/>
          <w:sz w:val="20"/>
          <w:vertAlign w:val="baseline"/>
          <w:lang w:val="en-US"/>
        </w:rPr>
        <w:t xml:space="preserve">educators completing a Bachelor in Early Childhood and Primary Education; Bachelor of Education (Birth </w:t>
      </w:r>
      <w:r>
        <w:rPr>
          <w:rFonts w:ascii="Arial" w:hAnsi="Arial" w:eastAsia="Arial"/>
          <w:b w:val="true"/>
          <w:color w:val="000000"/>
          <w:spacing w:val="0"/>
          <w:w w:val="100"/>
          <w:sz w:val="19"/>
          <w:vertAlign w:val="baseline"/>
          <w:lang w:val="en-US"/>
        </w:rPr>
        <w:t xml:space="preserve">– </w:t>
      </w:r>
      <w:r>
        <w:rPr>
          <w:rFonts w:ascii="Arial" w:hAnsi="Arial" w:eastAsia="Arial"/>
          <w:color w:val="000000"/>
          <w:spacing w:val="0"/>
          <w:w w:val="100"/>
          <w:sz w:val="20"/>
          <w:vertAlign w:val="baseline"/>
          <w:lang w:val="en-US"/>
        </w:rPr>
        <w:t xml:space="preserve">5 Years) and Bachelor of Education (Early Childhood and Primary). As an organisation, Baringa is invested in ensuring staff are well-equipped to support children through the early and primary school years to achieve appropriate outcomes.</w:t>
      </w:r>
    </w:p>
    <w:p>
      <w:pPr>
        <w:spacing w:before="264" w:after="0" w:line="264" w:lineRule="exact"/>
        <w:ind w:right="216"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In particular, Baringa is passionate about ensuring Aboriginal and Torres Strait Islander history and cultures are appropriately included in initial teacher education (ITE) and graduate teachers are supported to facilitate this learning with children. Similarly, teachers need to be better supported to deliver mental health and wellbeing content to children as an essential component of the curriculum.</w:t>
      </w:r>
    </w:p>
    <w:p>
      <w:pPr>
        <w:spacing w:before="419" w:after="0" w:line="231" w:lineRule="exact"/>
        <w:ind w:right="0" w:left="0" w:firstLine="0"/>
        <w:jc w:val="left"/>
        <w:textAlignment w:val="baseline"/>
        <w:rPr>
          <w:rFonts w:ascii="Arial" w:hAnsi="Arial" w:eastAsia="Arial"/>
          <w:b w:val="true"/>
          <w:color w:val="96007D"/>
          <w:spacing w:val="-2"/>
          <w:w w:val="100"/>
          <w:sz w:val="20"/>
          <w:vertAlign w:val="baseline"/>
          <w:lang w:val="en-US"/>
        </w:rPr>
      </w:pPr>
      <w:r>
        <w:rPr>
          <w:rFonts w:ascii="Arial" w:hAnsi="Arial" w:eastAsia="Arial"/>
          <w:b w:val="true"/>
          <w:color w:val="96007D"/>
          <w:spacing w:val="-2"/>
          <w:w w:val="100"/>
          <w:sz w:val="20"/>
          <w:vertAlign w:val="baseline"/>
          <w:lang w:val="en-US"/>
        </w:rPr>
        <w:t xml:space="preserve">Response</w:t>
      </w:r>
    </w:p>
    <w:p>
      <w:pPr>
        <w:spacing w:before="278" w:after="0" w:line="230" w:lineRule="exact"/>
        <w:ind w:right="0" w:left="0" w:firstLine="0"/>
        <w:jc w:val="left"/>
        <w:textAlignment w:val="baseline"/>
        <w:rPr>
          <w:rFonts w:ascii="Arial" w:hAnsi="Arial" w:eastAsia="Arial"/>
          <w:b w:val="true"/>
          <w:i w:val="true"/>
          <w:color w:val="96007D"/>
          <w:spacing w:val="0"/>
          <w:w w:val="100"/>
          <w:sz w:val="20"/>
          <w:vertAlign w:val="baseline"/>
          <w:lang w:val="en-US"/>
        </w:rPr>
      </w:pPr>
      <w:r>
        <w:rPr>
          <w:rFonts w:ascii="Arial" w:hAnsi="Arial" w:eastAsia="Arial"/>
          <w:b w:val="true"/>
          <w:i w:val="true"/>
          <w:color w:val="96007D"/>
          <w:spacing w:val="0"/>
          <w:w w:val="100"/>
          <w:sz w:val="20"/>
          <w:vertAlign w:val="baseline"/>
          <w:lang w:val="en-US"/>
        </w:rPr>
        <w:t xml:space="preserve">Are graduate teachers ready for the classroom?</w:t>
      </w:r>
    </w:p>
    <w:p>
      <w:pPr>
        <w:spacing w:before="239" w:after="0" w:line="264" w:lineRule="exact"/>
        <w:ind w:right="504" w:left="0" w:firstLine="0"/>
        <w:jc w:val="left"/>
        <w:textAlignment w:val="baseline"/>
        <w:rPr>
          <w:rFonts w:ascii="Arial" w:hAnsi="Arial" w:eastAsia="Arial"/>
          <w:i w:val="true"/>
          <w:color w:val="000000"/>
          <w:spacing w:val="0"/>
          <w:w w:val="100"/>
          <w:sz w:val="20"/>
          <w:vertAlign w:val="baseline"/>
          <w:lang w:val="en-US"/>
        </w:rPr>
      </w:pPr>
      <w:r>
        <w:rPr>
          <w:rFonts w:ascii="Arial" w:hAnsi="Arial" w:eastAsia="Arial"/>
          <w:i w:val="true"/>
          <w:color w:val="000000"/>
          <w:spacing w:val="0"/>
          <w:w w:val="100"/>
          <w:sz w:val="20"/>
          <w:vertAlign w:val="baseline"/>
          <w:lang w:val="en-US"/>
        </w:rPr>
        <w:t xml:space="preserve">Question</w:t>
      </w:r>
      <w:r>
        <w:rPr>
          <w:rFonts w:ascii="Arial" w:hAnsi="Arial" w:eastAsia="Arial"/>
          <w:color w:val="000000"/>
          <w:spacing w:val="0"/>
          <w:w w:val="100"/>
          <w:sz w:val="20"/>
          <w:vertAlign w:val="baseline"/>
          <w:lang w:val="en-US"/>
        </w:rPr>
        <w:t xml:space="preserve">: Are ITE Programs preparing graduates for teaching diverse student cohorts, including through cultural competency and inclusive education?</w:t>
      </w:r>
    </w:p>
    <w:p>
      <w:pPr>
        <w:spacing w:before="275" w:after="0" w:line="230" w:lineRule="exact"/>
        <w:ind w:right="0" w:left="0" w:firstLine="0"/>
        <w:jc w:val="left"/>
        <w:textAlignment w:val="baseline"/>
        <w:rPr>
          <w:rFonts w:ascii="Arial" w:hAnsi="Arial" w:eastAsia="Arial"/>
          <w:i w:val="true"/>
          <w:color w:val="000000"/>
          <w:spacing w:val="0"/>
          <w:w w:val="100"/>
          <w:sz w:val="20"/>
          <w:vertAlign w:val="baseline"/>
          <w:lang w:val="en-US"/>
        </w:rPr>
      </w:pPr>
      <w:r>
        <w:rPr>
          <w:rFonts w:ascii="Arial" w:hAnsi="Arial" w:eastAsia="Arial"/>
          <w:i w:val="true"/>
          <w:color w:val="000000"/>
          <w:spacing w:val="0"/>
          <w:w w:val="100"/>
          <w:sz w:val="20"/>
          <w:vertAlign w:val="baseline"/>
          <w:lang w:val="en-US"/>
        </w:rPr>
        <w:t xml:space="preserve">Response:</w:t>
      </w:r>
    </w:p>
    <w:p>
      <w:pPr>
        <w:numPr>
          <w:ilvl w:val="0"/>
          <w:numId w:val="1"/>
        </w:numPr>
        <w:tabs>
          <w:tab w:val="clear" w:pos="360"/>
          <w:tab w:val="left" w:pos="360"/>
        </w:tabs>
        <w:spacing w:before="254" w:after="0" w:line="264" w:lineRule="exact"/>
        <w:ind w:right="0" w:left="360" w:hanging="36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To support implementation of Aboriginal and Torres Strait Islander history and culture curriculum content in the school setting, there needs to be specific frameworks to ensure that teachers are aware of and are accountable to this cross-curriculum priority. These frameworks should be introduced during ITE and include stronger messaging, resourcing and illustrations of practice informed by anti-racism principles and practices; actively addressing teachers' concerns about being culturally inappropriate, insensitive, or unsafe; and reflecting age and stage appropriate truth-telling. This should also be made available for qualified teachers as part of ongoing professional development.</w:t>
      </w:r>
    </w:p>
    <w:p>
      <w:pPr>
        <w:numPr>
          <w:ilvl w:val="0"/>
          <w:numId w:val="1"/>
        </w:numPr>
        <w:tabs>
          <w:tab w:val="clear" w:pos="360"/>
          <w:tab w:val="left" w:pos="360"/>
        </w:tabs>
        <w:spacing w:before="254" w:after="0" w:line="264" w:lineRule="exact"/>
        <w:ind w:right="0" w:left="360" w:hanging="36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Teachers should be supported to facilitate connections to Aboriginal and Torres Strait Islander history and cultures throughout curriculum content to assist in integrating cultural competency and principles of inclusion throughout the education program.</w:t>
      </w:r>
    </w:p>
    <w:p>
      <w:pPr>
        <w:numPr>
          <w:ilvl w:val="0"/>
          <w:numId w:val="1"/>
        </w:numPr>
        <w:tabs>
          <w:tab w:val="clear" w:pos="360"/>
          <w:tab w:val="left" w:pos="360"/>
        </w:tabs>
        <w:spacing w:before="134" w:after="0" w:line="264" w:lineRule="exact"/>
        <w:ind w:right="504" w:left="360" w:hanging="360"/>
        <w:jc w:val="left"/>
        <w:textAlignment w:val="baseline"/>
        <w:rPr>
          <w:rFonts w:ascii="Arial" w:hAnsi="Arial" w:eastAsia="Arial"/>
          <w:color w:val="000000"/>
          <w:spacing w:val="-2"/>
          <w:w w:val="100"/>
          <w:sz w:val="20"/>
          <w:vertAlign w:val="baseline"/>
          <w:lang w:val="en-US"/>
        </w:rPr>
      </w:pPr>
      <w:r>
        <w:rPr>
          <w:rFonts w:ascii="Arial" w:hAnsi="Arial" w:eastAsia="Arial"/>
          <w:color w:val="000000"/>
          <w:spacing w:val="-2"/>
          <w:w w:val="100"/>
          <w:sz w:val="20"/>
          <w:vertAlign w:val="baseline"/>
          <w:lang w:val="en-US"/>
        </w:rPr>
        <w:t xml:space="preserve">Providing a greater focus and support for cultural competency and inclusion in ITE may also assist in attracting a more diverse cohort to better mirror the diversity of society (as referred to in Part A Q5).</w:t>
      </w:r>
    </w:p>
    <w:p>
      <w:pPr>
        <w:spacing w:before="280" w:after="0" w:line="230" w:lineRule="exact"/>
        <w:ind w:right="0" w:left="0" w:firstLine="0"/>
        <w:jc w:val="left"/>
        <w:textAlignment w:val="baseline"/>
        <w:rPr>
          <w:rFonts w:ascii="Arial" w:hAnsi="Arial" w:eastAsia="Arial"/>
          <w:b w:val="true"/>
          <w:i w:val="true"/>
          <w:color w:val="96007D"/>
          <w:spacing w:val="0"/>
          <w:w w:val="100"/>
          <w:sz w:val="20"/>
          <w:vertAlign w:val="baseline"/>
          <w:lang w:val="en-US"/>
        </w:rPr>
      </w:pPr>
      <w:r>
        <w:rPr>
          <w:rFonts w:ascii="Arial" w:hAnsi="Arial" w:eastAsia="Arial"/>
          <w:b w:val="true"/>
          <w:i w:val="true"/>
          <w:color w:val="96007D"/>
          <w:spacing w:val="0"/>
          <w:w w:val="100"/>
          <w:sz w:val="20"/>
          <w:vertAlign w:val="baseline"/>
          <w:lang w:val="en-US"/>
        </w:rPr>
        <w:t xml:space="preserve">The role of school teachers in supporting the next generation of teachers</w:t>
      </w:r>
    </w:p>
    <w:p>
      <w:pPr>
        <w:spacing w:before="239" w:after="0" w:line="264" w:lineRule="exact"/>
        <w:ind w:right="36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This section of the discussion paper refers to student mental health as a priority professional development area for teachers in schools.</w:t>
      </w:r>
    </w:p>
    <w:p>
      <w:pPr>
        <w:spacing w:before="275" w:after="0" w:line="230" w:lineRule="exact"/>
        <w:ind w:right="0" w:left="0" w:firstLine="0"/>
        <w:jc w:val="left"/>
        <w:textAlignment w:val="baseline"/>
        <w:rPr>
          <w:rFonts w:ascii="Arial" w:hAnsi="Arial" w:eastAsia="Arial"/>
          <w:i w:val="true"/>
          <w:color w:val="000000"/>
          <w:spacing w:val="0"/>
          <w:w w:val="100"/>
          <w:sz w:val="20"/>
          <w:vertAlign w:val="baseline"/>
          <w:lang w:val="en-US"/>
        </w:rPr>
      </w:pPr>
      <w:r>
        <w:rPr>
          <w:rFonts w:ascii="Arial" w:hAnsi="Arial" w:eastAsia="Arial"/>
          <w:i w:val="true"/>
          <w:color w:val="000000"/>
          <w:spacing w:val="0"/>
          <w:w w:val="100"/>
          <w:sz w:val="20"/>
          <w:vertAlign w:val="baseline"/>
          <w:lang w:val="en-US"/>
        </w:rPr>
        <w:t xml:space="preserve">Response:</w:t>
      </w:r>
    </w:p>
    <w:p>
      <w:pPr>
        <w:numPr>
          <w:ilvl w:val="0"/>
          <w:numId w:val="1"/>
        </w:numPr>
        <w:tabs>
          <w:tab w:val="clear" w:pos="360"/>
          <w:tab w:val="left" w:pos="360"/>
        </w:tabs>
        <w:spacing w:before="254" w:after="0" w:line="264" w:lineRule="exact"/>
        <w:ind w:right="0" w:left="360" w:hanging="36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Baringa </w:t>
      </w:r>
      <w:r>
        <w:rPr>
          <w:rFonts w:ascii="Arial" w:hAnsi="Arial" w:eastAsia="Arial"/>
          <w:b w:val="true"/>
          <w:color w:val="000000"/>
          <w:spacing w:val="0"/>
          <w:w w:val="100"/>
          <w:sz w:val="19"/>
          <w:vertAlign w:val="baseline"/>
          <w:lang w:val="en-US"/>
        </w:rPr>
        <w:t xml:space="preserve">emphasises the importance of student mental health as underpinning children’s social and </w:t>
      </w:r>
      <w:r>
        <w:rPr>
          <w:rFonts w:ascii="Arial" w:hAnsi="Arial" w:eastAsia="Arial"/>
          <w:color w:val="000000"/>
          <w:spacing w:val="0"/>
          <w:w w:val="100"/>
          <w:sz w:val="20"/>
          <w:vertAlign w:val="baseline"/>
          <w:lang w:val="en-US"/>
        </w:rPr>
        <w:t xml:space="preserve">emotional development</w:t>
      </w:r>
      <w:r>
        <w:rPr>
          <w:rFonts w:ascii="Arial" w:hAnsi="Arial" w:eastAsia="Arial"/>
          <w:color w:val="000000"/>
          <w:spacing w:val="0"/>
          <w:w w:val="100"/>
          <w:sz w:val="20"/>
          <w:vertAlign w:val="superscript"/>
          <w:lang w:val="en-US"/>
        </w:rPr>
        <w:t xml:space="preserve">1</w:t>
      </w:r>
      <w:r>
        <w:rPr>
          <w:rFonts w:ascii="Arial" w:hAnsi="Arial" w:eastAsia="Arial"/>
          <w:color w:val="000000"/>
          <w:spacing w:val="0"/>
          <w:w w:val="100"/>
          <w:sz w:val="20"/>
          <w:vertAlign w:val="baseline"/>
          <w:lang w:val="en-US"/>
        </w:rPr>
        <w:t xml:space="preserve"> and believes there is an urgent need for more training and support around mental health and wellbeing to be included in ITE.</w:t>
      </w:r>
    </w:p>
    <w:p>
      <w:pPr>
        <w:sectPr>
          <w:type w:val="nextPage"/>
          <w:pgSz w:w="11909" w:h="16843" w:orient="portrait"/>
          <w:pgMar w:bottom="727" w:top="520" w:right="1180" w:left="989" w:header="720" w:footer="720"/>
          <w:titlePg w:val="false"/>
          <w:textDirection w:val="lrTb"/>
        </w:sectPr>
      </w:pPr>
    </w:p>
    <w:p>
      <w:pPr>
        <w:spacing w:before="0" w:after="0" w:line="229"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- 2 -</w:t>
      </w:r>
    </w:p>
    <w:p>
      <w:pPr>
        <w:numPr>
          <w:ilvl w:val="0"/>
          <w:numId w:val="1"/>
        </w:numPr>
        <w:tabs>
          <w:tab w:val="clear" w:pos="360"/>
          <w:tab w:val="left" w:pos="360"/>
        </w:tabs>
        <w:spacing w:before="310" w:after="0" w:line="265" w:lineRule="exact"/>
        <w:ind w:right="0" w:left="360" w:hanging="36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Baringa acknowledges that schools experience great difficulties in working within a crowded curriculum and face a major challenge in the extent of topics covered in mental health and wellbeing.</w:t>
      </w:r>
      <w:r>
        <w:rPr>
          <w:rFonts w:ascii="Arial" w:hAnsi="Arial" w:eastAsia="Arial"/>
          <w:color w:val="000000"/>
          <w:spacing w:val="0"/>
          <w:w w:val="100"/>
          <w:sz w:val="20"/>
          <w:vertAlign w:val="superscript"/>
          <w:lang w:val="en-US"/>
        </w:rPr>
        <w:t xml:space="preserve">1,2</w:t>
      </w:r>
      <w:r>
        <w:rPr>
          <w:rFonts w:ascii="Arial" w:hAnsi="Arial" w:eastAsia="Arial"/>
          <w:color w:val="000000"/>
          <w:spacing w:val="0"/>
          <w:w w:val="100"/>
          <w:sz w:val="20"/>
          <w:vertAlign w:val="baseline"/>
          <w:lang w:val="en-US"/>
        </w:rPr>
        <w:t xml:space="preserve"> Policy change is required to better support schools to deliver mental health curricula, which has been highlighted by both the Australian Government Productivity Commission and the National Mental Health Commission.</w:t>
      </w:r>
      <w:r>
        <w:rPr>
          <w:rFonts w:ascii="Arial" w:hAnsi="Arial" w:eastAsia="Arial"/>
          <w:color w:val="000000"/>
          <w:spacing w:val="0"/>
          <w:w w:val="100"/>
          <w:sz w:val="20"/>
          <w:vertAlign w:val="superscript"/>
          <w:lang w:val="en-US"/>
        </w:rPr>
        <w:t xml:space="preserve">1,2</w:t>
      </w:r>
      <w:r>
        <w:rPr>
          <w:rFonts w:ascii="Arial" w:hAnsi="Arial" w:eastAsia="Arial"/>
          <w:color w:val="000000"/>
          <w:spacing w:val="0"/>
          <w:w w:val="100"/>
          <w:sz w:val="20"/>
          <w:vertAlign w:val="baseline"/>
          <w:lang w:val="en-US"/>
        </w:rPr>
        <w:t xml:space="preserve"> Mental health curricula need to be given parity to literacy and numeracy and its importance as a key subject, needs to be emphasised in ITE, and the Australian Curriculum, thus empowering teachers to devote more teaching time on mental health and wellbeing.</w:t>
      </w:r>
    </w:p>
    <w:p>
      <w:pPr>
        <w:spacing w:before="664" w:after="0" w:line="229" w:lineRule="exact"/>
        <w:ind w:right="0" w:left="0" w:firstLine="0"/>
        <w:jc w:val="left"/>
        <w:textAlignment w:val="baseline"/>
        <w:rPr>
          <w:rFonts w:ascii="Arial" w:hAnsi="Arial" w:eastAsia="Arial"/>
          <w:b w:val="true"/>
          <w:color w:val="96007D"/>
          <w:spacing w:val="-1"/>
          <w:w w:val="100"/>
          <w:sz w:val="20"/>
          <w:vertAlign w:val="baseline"/>
          <w:lang w:val="en-US"/>
        </w:rPr>
      </w:pPr>
      <w:r>
        <w:rPr>
          <w:rFonts w:ascii="Arial" w:hAnsi="Arial" w:eastAsia="Arial"/>
          <w:b w:val="true"/>
          <w:color w:val="96007D"/>
          <w:spacing w:val="-1"/>
          <w:w w:val="100"/>
          <w:sz w:val="20"/>
          <w:vertAlign w:val="baseline"/>
          <w:lang w:val="en-US"/>
        </w:rPr>
        <w:t xml:space="preserve">References</w:t>
      </w:r>
    </w:p>
    <w:p>
      <w:pPr>
        <w:numPr>
          <w:ilvl w:val="0"/>
          <w:numId w:val="2"/>
        </w:numPr>
        <w:tabs>
          <w:tab w:val="clear" w:pos="720"/>
          <w:tab w:val="left" w:pos="720"/>
        </w:tabs>
        <w:spacing w:before="237" w:after="0" w:line="265" w:lineRule="exact"/>
        <w:ind w:right="432"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Australian Government Productivity Commission (2020). Mental Health: Productivity Commission Inquiry Report Volume 2, no. 95. 30 June 2020. Retrieved from </w:t>
      </w:r>
      <w:hyperlink r:id="dhId3">
        <w:r>
          <w:rPr>
            <w:rFonts w:ascii="Arial" w:hAnsi="Arial" w:eastAsia="Arial"/>
            <w:color w:val="0000FF"/>
            <w:spacing w:val="0"/>
            <w:w w:val="100"/>
            <w:sz w:val="20"/>
            <w:u w:val="single"/>
            <w:vertAlign w:val="baseline"/>
            <w:lang w:val="en-US"/>
          </w:rPr>
          <w:t xml:space="preserve">https://www.pc.gov.au/inquiries/completed/mental-health/report/mental-health-volume2.pdf</w:t>
        </w:r>
      </w:hyperlink>
      <w:hyperlink r:id="dhId3">
        <w:r>
          <w:rPr>
            <w:rFonts w:ascii="Arial" w:hAnsi="Arial" w:eastAsia="Arial"/>
            <w:color w:val="0000FF"/>
            <w:spacing w:val="0"/>
            <w:w w:val="100"/>
            <w:sz w:val="20"/>
            <w:u w:val="single"/>
            <w:vertAlign w:val="baseline"/>
            <w:lang w:val="en-US"/>
          </w:rPr>
          <w:t xml:space="preserve">.</w:t>
        </w:r>
      </w:hyperlink>
      <w:r>
        <w:rPr>
          <w:rFonts w:ascii="Arial" w:hAnsi="Arial" w:eastAsia="Arial"/>
          <w:color w:val="0462C1"/>
          <w:spacing w:val="0"/>
          <w:w w:val="100"/>
          <w:sz w:val="20"/>
          <w:vertAlign w:val="baseline"/>
          <w:lang w:val="en-US"/>
        </w:rPr>
        <w:t xml:space="preserve">
</w:t>
      </w:r>
    </w:p>
    <w:p>
      <w:pPr>
        <w:numPr>
          <w:ilvl w:val="0"/>
          <w:numId w:val="2"/>
        </w:numPr>
        <w:tabs>
          <w:tab w:val="clear" w:pos="720"/>
          <w:tab w:val="left" w:pos="720"/>
        </w:tabs>
        <w:spacing w:before="237" w:after="0" w:line="265"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Australian Government National Mental Health Commission (2021). </w:t>
      </w:r>
      <w:r>
        <w:rPr>
          <w:rFonts w:ascii="Arial" w:hAnsi="Arial" w:eastAsia="Arial"/>
          <w:b w:val="true"/>
          <w:i w:val="true"/>
          <w:color w:val="000000"/>
          <w:spacing w:val="0"/>
          <w:w w:val="100"/>
          <w:sz w:val="19"/>
          <w:vertAlign w:val="baseline"/>
          <w:lang w:val="en-US"/>
        </w:rPr>
        <w:t xml:space="preserve">National Children’s Mental Health </w:t>
      </w:r>
      <w:r>
        <w:rPr>
          <w:rFonts w:ascii="Arial" w:hAnsi="Arial" w:eastAsia="Arial"/>
          <w:i w:val="true"/>
          <w:color w:val="000000"/>
          <w:spacing w:val="0"/>
          <w:w w:val="100"/>
          <w:sz w:val="20"/>
          <w:vertAlign w:val="baseline"/>
          <w:lang w:val="en-US"/>
        </w:rPr>
        <w:t xml:space="preserve">and Wellbeing Strategy Draft. </w:t>
      </w:r>
      <w:r>
        <w:rPr>
          <w:rFonts w:ascii="Arial" w:hAnsi="Arial" w:eastAsia="Arial"/>
          <w:color w:val="000000"/>
          <w:spacing w:val="0"/>
          <w:w w:val="100"/>
          <w:sz w:val="20"/>
          <w:vertAlign w:val="baseline"/>
          <w:lang w:val="en-US"/>
        </w:rPr>
        <w:t xml:space="preserve">Retrieved from</w:t>
      </w:r>
      <w:hyperlink r:id="dhId4">
        <w:r>
          <w:rPr>
            <w:rFonts w:ascii="Arial" w:hAnsi="Arial" w:eastAsia="Arial"/>
            <w:color w:val="0000FF"/>
            <w:spacing w:val="0"/>
            <w:w w:val="100"/>
            <w:sz w:val="20"/>
            <w:u w:val="single"/>
            <w:vertAlign w:val="baseline"/>
            <w:lang w:val="en-US"/>
          </w:rPr>
          <w:t xml:space="preserve"> https://www.mentalhealthcommission.gov.au/Mental-health-Reform/Childrens-Mental-Health-and-Wellbeing-Strategy</w:t>
        </w:r>
      </w:hyperlink>
      <w:hyperlink r:id="dhId4">
        <w:r>
          <w:rPr>
            <w:rFonts w:ascii="Arial" w:hAnsi="Arial" w:eastAsia="Arial"/>
            <w:color w:val="0000FF"/>
            <w:spacing w:val="0"/>
            <w:w w:val="100"/>
            <w:sz w:val="20"/>
            <w:u w:val="single"/>
            <w:vertAlign w:val="baseline"/>
            <w:lang w:val="en-US"/>
          </w:rPr>
          <w:t xml:space="preserve">.</w:t>
        </w:r>
      </w:hyperlink>
      <w:r>
        <w:rPr>
          <w:rFonts w:ascii="Arial" w:hAnsi="Arial" w:eastAsia="Arial"/>
          <w:color w:val="0462C1"/>
          <w:spacing w:val="0"/>
          <w:w w:val="100"/>
          <w:sz w:val="20"/>
          <w:vertAlign w:val="baseline"/>
          <w:lang w:val="en-US"/>
        </w:rPr>
        <w:t xml:space="preserve">
</w:t>
      </w:r>
    </w:p>
    <w:p>
      <w:pPr>
        <w:spacing w:before="275" w:after="0" w:line="229" w:lineRule="exact"/>
        <w:ind w:right="0" w:left="0" w:firstLine="0"/>
        <w:jc w:val="left"/>
        <w:textAlignment w:val="baseline"/>
        <w:rPr>
          <w:rFonts w:ascii="Arial" w:hAnsi="Arial" w:eastAsia="Arial"/>
          <w:b w:val="true"/>
          <w:color w:val="96007D"/>
          <w:spacing w:val="-1"/>
          <w:w w:val="100"/>
          <w:sz w:val="20"/>
          <w:vertAlign w:val="baseline"/>
          <w:lang w:val="en-US"/>
        </w:rPr>
      </w:pPr>
      <w:r>
        <w:rPr>
          <w:rFonts w:ascii="Arial" w:hAnsi="Arial" w:eastAsia="Arial"/>
          <w:b w:val="true"/>
          <w:color w:val="96007D"/>
          <w:spacing w:val="-1"/>
          <w:w w:val="100"/>
          <w:sz w:val="20"/>
          <w:vertAlign w:val="baseline"/>
          <w:lang w:val="en-US"/>
        </w:rPr>
        <w:t xml:space="preserve">Contact</w:t>
      </w:r>
    </w:p>
    <w:p>
      <w:pPr>
        <w:spacing w:before="275" w:after="0" w:line="229"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Kristy Bartlett</w:t>
      </w:r>
    </w:p>
    <w:p>
      <w:pPr>
        <w:spacing w:before="35" w:after="0" w:line="229"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Social Impact Coordinator</w:t>
      </w:r>
    </w:p>
    <w:p>
      <w:pPr>
        <w:spacing w:before="40" w:after="0" w:line="229"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Baringa Early Learning Centre</w:t>
      </w:r>
    </w:p>
    <w:p>
      <w:pPr>
        <w:spacing w:before="35" w:after="0" w:line="229"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E:</w:t>
      </w:r>
      <w:hyperlink r:id="dhId5">
        <w:r>
          <w:rPr>
            <w:rFonts w:ascii="Arial" w:hAnsi="Arial" w:eastAsia="Arial"/>
            <w:color w:val="0000FF"/>
            <w:spacing w:val="0"/>
            <w:w w:val="100"/>
            <w:sz w:val="20"/>
            <w:u w:val="single"/>
            <w:vertAlign w:val="baseline"/>
            <w:lang w:val="en-US"/>
          </w:rPr>
          <w:t xml:space="preserve"> admin@baringa.org.au</w:t>
        </w:r>
      </w:hyperlink>
      <w:r>
        <w:rPr>
          <w:rFonts w:ascii="Arial" w:hAnsi="Arial" w:eastAsia="Arial"/>
          <w:color w:val="000000"/>
          <w:spacing w:val="0"/>
          <w:w w:val="100"/>
          <w:sz w:val="20"/>
          <w:vertAlign w:val="baseline"/>
          <w:lang w:val="en-US"/>
        </w:rPr>
        <w:t xml:space="preserve"> </w:t>
      </w:r>
    </w:p>
    <w:p>
      <w:pPr>
        <w:spacing w:before="35" w:after="0" w:line="223" w:lineRule="exact"/>
        <w:ind w:right="0" w:left="0" w:firstLine="0"/>
        <w:jc w:val="left"/>
        <w:textAlignment w:val="baseline"/>
        <w:rPr>
          <w:rFonts w:ascii="Arial" w:hAnsi="Arial" w:eastAsia="Arial"/>
          <w:color w:val="000000"/>
          <w:spacing w:val="-3"/>
          <w:w w:val="100"/>
          <w:sz w:val="20"/>
          <w:vertAlign w:val="baseline"/>
          <w:lang w:val="en-US"/>
        </w:rPr>
      </w:pPr>
      <w:r>
        <w:rPr>
          <w:rFonts w:ascii="Arial" w:hAnsi="Arial" w:eastAsia="Arial"/>
          <w:color w:val="000000"/>
          <w:spacing w:val="-3"/>
          <w:w w:val="100"/>
          <w:sz w:val="20"/>
          <w:vertAlign w:val="baseline"/>
          <w:lang w:val="en-US"/>
        </w:rPr>
        <w:t xml:space="preserve">P: 02 6258 8891</w:t>
      </w:r>
    </w:p>
    <w:sectPr>
      <w:type w:val="nextPage"/>
      <w:pgSz w:w="11909" w:h="16843" w:orient="portrait"/>
      <w:pgMar w:bottom="8447" w:top="560" w:right="1163" w:left="990"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360"/>
        </w:tabs>
      </w:pPr>
      <w:rPr>
        <w:rFonts w:ascii="Symbol" w:hAnsi="Symbol" w:eastAsia="Symbol"/>
        <w:color w:val="000000"/>
        <w:spacing w:val="0"/>
        <w:w w:val="100"/>
        <w:sz w:val="20"/>
        <w:vertAlign w:val="baseline"/>
        <w:lang w:val="en-US"/>
      </w:rPr>
    </w:lvl>
  </w:abstractNum>
  <w:abstractNum w:abstractNumId="2">
    <w:lvl w:ilvl="0">
      <w:start w:val="1"/>
      <w:numFmt w:val="decimal"/>
      <w:lvlText w:val="%1."/>
      <w:pPr>
        <w:tabs>
          <w:tab w:val="left" w:pos="720"/>
        </w:tabs>
      </w:pPr>
      <w:rPr>
        <w:rFonts w:ascii="Arial" w:hAnsi="Arial" w:eastAsia="Arial"/>
        <w:color w:val="000000"/>
        <w:spacing w:val="0"/>
        <w:w w:val="100"/>
        <w:sz w:val="20"/>
        <w:vertAlign w:val="baseline"/>
        <w:lang w:val="en-US"/>
      </w:rPr>
    </w:lvl>
  </w:abstractNum>
  <w:num w:numId="1">
    <w:abstractNumId w:val="1"/>
  </w:num>
  <w:num w:numId="2">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mailto:admin@baringa.org.au"/><Relationship Id="dhId2" Type="http://schemas.openxmlformats.org/officeDocument/2006/relationships/hyperlink" TargetMode="External" Target="http://www.baringa.org.au"/><Relationship Id="dhId3" Type="http://schemas.openxmlformats.org/officeDocument/2006/relationships/hyperlink" TargetMode="External" Target="https://www.pc.gov.au/inquiries/completed/mental-health/report/mental-health-volume2.pdf"/><Relationship Id="dhId4" Type="http://schemas.openxmlformats.org/officeDocument/2006/relationships/hyperlink" TargetMode="External" Target="https://www.mentalhealthcommission.gov.au/Mental-health-Reform/Childrens-Mental-Health-and-Wellbeing-Strategy"/><Relationship Id="dhId5" Type="http://schemas.openxmlformats.org/officeDocument/2006/relationships/hyperlink" TargetMode="External" Target="mailto:admin@baringa.org.au"/><Relationship Id="prId1" Type="http://schemas.openxmlformats.org/officeDocument/2006/relationships/image" Target="media/image1.jp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creator>Allyson Hogan</dc:creator>
  <dcterms:created xsi:type="dcterms:W3CDTF">2021-10-05T02:56:31Z</dcterms:created>
  <dcterms:modified xsi:type="dcterms:W3CDTF">2021-10-05T02:56:31Z</dcterms:modified>
</cp:coreProperties>
</file>