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6C806" w14:textId="1C790FBB" w:rsidR="006F2991" w:rsidRPr="00592942" w:rsidRDefault="00A31F2C" w:rsidP="00CB3EB4">
      <w:pPr>
        <w:pStyle w:val="NoSpacing"/>
        <w:jc w:val="center"/>
        <w:rPr>
          <w:rFonts w:ascii="Century Gothic" w:eastAsia="Malgun Gothic Semilight" w:hAnsi="Century Gothic" w:cs="Malgun Gothic Semilight"/>
          <w:sz w:val="40"/>
          <w:szCs w:val="40"/>
        </w:rPr>
      </w:pPr>
      <w:r w:rsidRPr="00592942">
        <w:rPr>
          <w:rFonts w:ascii="Century Gothic" w:hAnsi="Century Gothic"/>
          <w:noProof/>
        </w:rPr>
        <w:drawing>
          <wp:anchor distT="0" distB="0" distL="114300" distR="114300" simplePos="0" relativeHeight="251659264" behindDoc="1" locked="0" layoutInCell="1" allowOverlap="1" wp14:anchorId="7A03BE44" wp14:editId="53B2FBD1">
            <wp:simplePos x="0" y="0"/>
            <wp:positionH relativeFrom="margin">
              <wp:posOffset>-298450</wp:posOffset>
            </wp:positionH>
            <wp:positionV relativeFrom="paragraph">
              <wp:posOffset>0</wp:posOffset>
            </wp:positionV>
            <wp:extent cx="1014730" cy="781050"/>
            <wp:effectExtent l="0" t="0" r="0" b="0"/>
            <wp:wrapTight wrapText="bothSides">
              <wp:wrapPolygon edited="0">
                <wp:start x="0" y="0"/>
                <wp:lineTo x="0" y="21073"/>
                <wp:lineTo x="21086" y="21073"/>
                <wp:lineTo x="210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73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8E8" w:rsidRPr="00592942">
        <w:rPr>
          <w:rFonts w:ascii="Century Gothic" w:eastAsia="Malgun Gothic Semilight" w:hAnsi="Century Gothic" w:cs="Malgun Gothic Semilight"/>
          <w:b/>
          <w:sz w:val="40"/>
          <w:szCs w:val="40"/>
        </w:rPr>
        <w:t xml:space="preserve">Australian Secondary Principals’ </w:t>
      </w:r>
      <w:r w:rsidR="006F2991" w:rsidRPr="00592942">
        <w:rPr>
          <w:rFonts w:ascii="Century Gothic" w:eastAsia="Malgun Gothic Semilight" w:hAnsi="Century Gothic" w:cs="Malgun Gothic Semilight"/>
          <w:b/>
          <w:sz w:val="40"/>
          <w:szCs w:val="40"/>
        </w:rPr>
        <w:t>Association</w:t>
      </w:r>
      <w:r w:rsidR="003C00DF" w:rsidRPr="00592942">
        <w:rPr>
          <w:rFonts w:ascii="Century Gothic" w:eastAsia="Malgun Gothic Semilight" w:hAnsi="Century Gothic" w:cs="Malgun Gothic Semilight"/>
          <w:b/>
          <w:sz w:val="40"/>
          <w:szCs w:val="40"/>
        </w:rPr>
        <w:t xml:space="preserve"> (ASPA)</w:t>
      </w:r>
      <w:r w:rsidR="008C4B1E" w:rsidRPr="00592942">
        <w:rPr>
          <w:rFonts w:ascii="Century Gothic" w:eastAsia="Malgun Gothic Semilight" w:hAnsi="Century Gothic" w:cs="Malgun Gothic Semilight"/>
          <w:b/>
          <w:sz w:val="40"/>
          <w:szCs w:val="40"/>
        </w:rPr>
        <w:t xml:space="preserve"> </w:t>
      </w:r>
    </w:p>
    <w:p w14:paraId="1898C38D" w14:textId="11DD6496" w:rsidR="00615EE6" w:rsidRPr="00592942" w:rsidRDefault="00615EE6">
      <w:pPr>
        <w:rPr>
          <w:rFonts w:ascii="Century Gothic" w:eastAsia="Malgun Gothic Semilight" w:hAnsi="Century Gothic" w:cs="Malgun Gothic Semilight"/>
          <w:b/>
        </w:rPr>
      </w:pPr>
    </w:p>
    <w:p w14:paraId="5EF12A72" w14:textId="77777777" w:rsidR="00436C98" w:rsidRPr="00592942" w:rsidRDefault="00436C98" w:rsidP="00CB3EB4">
      <w:pPr>
        <w:jc w:val="center"/>
        <w:rPr>
          <w:rFonts w:ascii="Century Gothic" w:eastAsia="Malgun Gothic Semilight" w:hAnsi="Century Gothic" w:cs="Malgun Gothic Semilight"/>
          <w:b/>
          <w:sz w:val="36"/>
          <w:szCs w:val="36"/>
          <w:u w:val="single"/>
        </w:rPr>
      </w:pPr>
    </w:p>
    <w:p w14:paraId="0354EC77" w14:textId="093CE6B2" w:rsidR="00615EE6" w:rsidRPr="00592942" w:rsidRDefault="009F0211" w:rsidP="00CB3EB4">
      <w:pPr>
        <w:jc w:val="center"/>
        <w:rPr>
          <w:rFonts w:ascii="Century Gothic" w:eastAsia="Malgun Gothic Semilight" w:hAnsi="Century Gothic" w:cs="Malgun Gothic Semilight"/>
          <w:b/>
          <w:sz w:val="36"/>
          <w:szCs w:val="36"/>
          <w:u w:val="single"/>
        </w:rPr>
      </w:pPr>
      <w:r w:rsidRPr="00592942">
        <w:rPr>
          <w:rFonts w:ascii="Century Gothic" w:eastAsia="Malgun Gothic Semilight" w:hAnsi="Century Gothic" w:cs="Malgun Gothic Semilight"/>
          <w:b/>
          <w:sz w:val="36"/>
          <w:szCs w:val="36"/>
          <w:u w:val="single"/>
        </w:rPr>
        <w:t xml:space="preserve">Submission – </w:t>
      </w:r>
      <w:r w:rsidR="0081428A" w:rsidRPr="00592942">
        <w:rPr>
          <w:rFonts w:ascii="Century Gothic" w:eastAsia="Malgun Gothic Semilight" w:hAnsi="Century Gothic" w:cs="Malgun Gothic Semilight"/>
          <w:b/>
          <w:sz w:val="36"/>
          <w:szCs w:val="36"/>
          <w:u w:val="single"/>
        </w:rPr>
        <w:t xml:space="preserve">Quality </w:t>
      </w:r>
      <w:r w:rsidR="00326297" w:rsidRPr="00592942">
        <w:rPr>
          <w:rFonts w:ascii="Century Gothic" w:eastAsia="Malgun Gothic Semilight" w:hAnsi="Century Gothic" w:cs="Malgun Gothic Semilight"/>
          <w:b/>
          <w:sz w:val="36"/>
          <w:szCs w:val="36"/>
          <w:u w:val="single"/>
        </w:rPr>
        <w:t xml:space="preserve">Initial Teacher Education Review </w:t>
      </w:r>
    </w:p>
    <w:p w14:paraId="5F89DA3F" w14:textId="77777777" w:rsidR="00615EE6" w:rsidRPr="00592942" w:rsidRDefault="00615EE6" w:rsidP="00615EE6">
      <w:pPr>
        <w:autoSpaceDE w:val="0"/>
        <w:autoSpaceDN w:val="0"/>
        <w:adjustRightInd w:val="0"/>
        <w:spacing w:after="0" w:line="240" w:lineRule="auto"/>
        <w:rPr>
          <w:rFonts w:ascii="Century Gothic" w:eastAsia="Malgun Gothic Semilight" w:hAnsi="Century Gothic" w:cs="Malgun Gothic Semilight"/>
          <w:b/>
          <w:bCs/>
          <w:sz w:val="24"/>
          <w:szCs w:val="24"/>
        </w:rPr>
      </w:pPr>
    </w:p>
    <w:p w14:paraId="6172B565" w14:textId="31AC728A" w:rsidR="00615EE6" w:rsidRPr="00592942" w:rsidRDefault="00615EE6" w:rsidP="00615EE6">
      <w:pPr>
        <w:autoSpaceDE w:val="0"/>
        <w:autoSpaceDN w:val="0"/>
        <w:adjustRightInd w:val="0"/>
        <w:spacing w:after="0" w:line="240" w:lineRule="auto"/>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b/>
          <w:bCs/>
          <w:sz w:val="20"/>
          <w:szCs w:val="20"/>
        </w:rPr>
        <w:t xml:space="preserve">Submission Date: </w:t>
      </w:r>
      <w:r w:rsidR="001D19D6" w:rsidRPr="00592942">
        <w:rPr>
          <w:rFonts w:ascii="Century Gothic" w:eastAsia="Malgun Gothic Semilight" w:hAnsi="Century Gothic" w:cs="Malgun Gothic Semilight"/>
          <w:sz w:val="20"/>
          <w:szCs w:val="20"/>
        </w:rPr>
        <w:t>18</w:t>
      </w:r>
      <w:r w:rsidR="001D19D6" w:rsidRPr="00592942">
        <w:rPr>
          <w:rFonts w:ascii="Century Gothic" w:eastAsia="Malgun Gothic Semilight" w:hAnsi="Century Gothic" w:cs="Malgun Gothic Semilight"/>
          <w:sz w:val="20"/>
          <w:szCs w:val="20"/>
          <w:vertAlign w:val="superscript"/>
        </w:rPr>
        <w:t>th</w:t>
      </w:r>
      <w:r w:rsidR="001D19D6" w:rsidRPr="00592942">
        <w:rPr>
          <w:rFonts w:ascii="Century Gothic" w:eastAsia="Malgun Gothic Semilight" w:hAnsi="Century Gothic" w:cs="Malgun Gothic Semilight"/>
          <w:sz w:val="20"/>
          <w:szCs w:val="20"/>
        </w:rPr>
        <w:t xml:space="preserve"> July 2021 </w:t>
      </w:r>
    </w:p>
    <w:p w14:paraId="3FB2D905" w14:textId="77777777" w:rsidR="00CE672F" w:rsidRPr="00592942" w:rsidRDefault="00CE672F" w:rsidP="00615EE6">
      <w:pPr>
        <w:autoSpaceDE w:val="0"/>
        <w:autoSpaceDN w:val="0"/>
        <w:adjustRightInd w:val="0"/>
        <w:spacing w:after="0" w:line="240" w:lineRule="auto"/>
        <w:rPr>
          <w:rFonts w:ascii="Century Gothic" w:eastAsia="Malgun Gothic Semilight" w:hAnsi="Century Gothic" w:cs="Malgun Gothic Semilight"/>
          <w:b/>
          <w:bCs/>
          <w:sz w:val="20"/>
          <w:szCs w:val="20"/>
        </w:rPr>
      </w:pPr>
    </w:p>
    <w:p w14:paraId="08A5CA1F" w14:textId="4B3C7A32" w:rsidR="00615EE6" w:rsidRPr="00592942" w:rsidRDefault="00615EE6" w:rsidP="00615EE6">
      <w:pPr>
        <w:autoSpaceDE w:val="0"/>
        <w:autoSpaceDN w:val="0"/>
        <w:adjustRightInd w:val="0"/>
        <w:spacing w:after="0" w:line="240" w:lineRule="auto"/>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b/>
          <w:bCs/>
          <w:sz w:val="20"/>
          <w:szCs w:val="20"/>
        </w:rPr>
        <w:t xml:space="preserve">Prepared by: </w:t>
      </w:r>
      <w:r w:rsidR="00D82291" w:rsidRPr="00592942">
        <w:rPr>
          <w:rFonts w:ascii="Century Gothic" w:eastAsia="Malgun Gothic Semilight" w:hAnsi="Century Gothic" w:cs="Malgun Gothic Semilight"/>
          <w:sz w:val="20"/>
          <w:szCs w:val="20"/>
        </w:rPr>
        <w:t>Australian</w:t>
      </w:r>
      <w:r w:rsidR="00CB3EB4" w:rsidRPr="00592942">
        <w:rPr>
          <w:rFonts w:ascii="Century Gothic" w:eastAsia="Malgun Gothic Semilight" w:hAnsi="Century Gothic" w:cs="Malgun Gothic Semilight"/>
          <w:bCs/>
          <w:sz w:val="20"/>
          <w:szCs w:val="20"/>
        </w:rPr>
        <w:t xml:space="preserve"> Secondary Principals’ Association (</w:t>
      </w:r>
      <w:r w:rsidR="00A82BB3" w:rsidRPr="00592942">
        <w:rPr>
          <w:rFonts w:ascii="Century Gothic" w:eastAsia="Malgun Gothic Semilight" w:hAnsi="Century Gothic" w:cs="Malgun Gothic Semilight"/>
          <w:bCs/>
          <w:sz w:val="20"/>
          <w:szCs w:val="20"/>
        </w:rPr>
        <w:t>A</w:t>
      </w:r>
      <w:r w:rsidR="00CB3EB4" w:rsidRPr="00592942">
        <w:rPr>
          <w:rFonts w:ascii="Century Gothic" w:eastAsia="Malgun Gothic Semilight" w:hAnsi="Century Gothic" w:cs="Malgun Gothic Semilight"/>
          <w:bCs/>
          <w:sz w:val="20"/>
          <w:szCs w:val="20"/>
        </w:rPr>
        <w:t>SPA)</w:t>
      </w:r>
      <w:r w:rsidRPr="00592942">
        <w:rPr>
          <w:rFonts w:ascii="Century Gothic" w:eastAsia="Malgun Gothic Semilight" w:hAnsi="Century Gothic" w:cs="Malgun Gothic Semilight"/>
          <w:sz w:val="20"/>
          <w:szCs w:val="20"/>
        </w:rPr>
        <w:t xml:space="preserve"> </w:t>
      </w:r>
      <w:r w:rsidR="00E4105D" w:rsidRPr="00592942">
        <w:rPr>
          <w:rFonts w:ascii="Century Gothic" w:eastAsia="Malgun Gothic Semilight" w:hAnsi="Century Gothic" w:cs="Malgun Gothic Semilight"/>
          <w:sz w:val="20"/>
          <w:szCs w:val="20"/>
        </w:rPr>
        <w:t xml:space="preserve">in partnership with Monash University Faculty of Education Leadership Researchers Dr Amanda Heffernan, Professor Jane Wilkinson, and Dr Fiona Longmuir </w:t>
      </w:r>
    </w:p>
    <w:p w14:paraId="6A28A0C9" w14:textId="77777777" w:rsidR="00CE672F" w:rsidRPr="00592942" w:rsidRDefault="00CE672F" w:rsidP="00615EE6">
      <w:pPr>
        <w:autoSpaceDE w:val="0"/>
        <w:autoSpaceDN w:val="0"/>
        <w:adjustRightInd w:val="0"/>
        <w:spacing w:after="0" w:line="240" w:lineRule="auto"/>
        <w:rPr>
          <w:rFonts w:ascii="Century Gothic" w:eastAsia="Malgun Gothic Semilight" w:hAnsi="Century Gothic" w:cs="Malgun Gothic Semilight"/>
          <w:sz w:val="20"/>
          <w:szCs w:val="20"/>
        </w:rPr>
      </w:pPr>
    </w:p>
    <w:p w14:paraId="5B47C65A" w14:textId="2C9F7CB1" w:rsidR="00615EE6" w:rsidRPr="00592942" w:rsidRDefault="00615EE6" w:rsidP="00615EE6">
      <w:pPr>
        <w:autoSpaceDE w:val="0"/>
        <w:autoSpaceDN w:val="0"/>
        <w:adjustRightInd w:val="0"/>
        <w:spacing w:after="0" w:line="240" w:lineRule="auto"/>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b/>
          <w:bCs/>
          <w:sz w:val="20"/>
          <w:szCs w:val="20"/>
        </w:rPr>
        <w:t xml:space="preserve">Email contact details: </w:t>
      </w:r>
      <w:hyperlink r:id="rId12" w:history="1">
        <w:r w:rsidR="002F5B95" w:rsidRPr="00592942">
          <w:rPr>
            <w:rStyle w:val="Hyperlink"/>
            <w:rFonts w:ascii="Century Gothic" w:eastAsia="Malgun Gothic Semilight" w:hAnsi="Century Gothic" w:cs="Malgun Gothic Semilight"/>
            <w:sz w:val="20"/>
            <w:szCs w:val="20"/>
          </w:rPr>
          <w:t>president@aspa.asn.au</w:t>
        </w:r>
      </w:hyperlink>
      <w:r w:rsidR="002F5B95" w:rsidRPr="00592942">
        <w:rPr>
          <w:rFonts w:ascii="Century Gothic" w:eastAsia="Malgun Gothic Semilight" w:hAnsi="Century Gothic" w:cs="Malgun Gothic Semilight"/>
          <w:sz w:val="20"/>
          <w:szCs w:val="20"/>
        </w:rPr>
        <w:t xml:space="preserve"> </w:t>
      </w:r>
    </w:p>
    <w:p w14:paraId="5C34677B" w14:textId="77777777" w:rsidR="00615EE6" w:rsidRPr="00592942" w:rsidRDefault="00615EE6">
      <w:pPr>
        <w:rPr>
          <w:rFonts w:ascii="Century Gothic" w:eastAsia="Malgun Gothic Semilight" w:hAnsi="Century Gothic" w:cs="Malgun Gothic Semilight"/>
          <w:b/>
          <w:sz w:val="20"/>
          <w:szCs w:val="20"/>
        </w:rPr>
      </w:pPr>
    </w:p>
    <w:p w14:paraId="611A5236" w14:textId="36AD79C6" w:rsidR="001877BD" w:rsidRPr="00592942" w:rsidRDefault="00915A95" w:rsidP="006B16B1">
      <w:pPr>
        <w:jc w:val="both"/>
        <w:rPr>
          <w:rFonts w:ascii="Century Gothic" w:eastAsia="Malgun Gothic Semilight" w:hAnsi="Century Gothic" w:cs="Malgun Gothic Semilight"/>
          <w:b/>
          <w:sz w:val="20"/>
          <w:szCs w:val="20"/>
        </w:rPr>
      </w:pPr>
      <w:r w:rsidRPr="00592942">
        <w:rPr>
          <w:rFonts w:ascii="Century Gothic" w:eastAsia="Malgun Gothic Semilight" w:hAnsi="Century Gothic" w:cs="Malgun Gothic Semilight"/>
          <w:sz w:val="20"/>
          <w:szCs w:val="20"/>
        </w:rPr>
        <w:t>A thriving public school system is essential to nation building.</w:t>
      </w:r>
      <w:r w:rsidR="003E38CB" w:rsidRPr="00592942">
        <w:rPr>
          <w:rFonts w:ascii="Century Gothic" w:eastAsia="Malgun Gothic Semilight" w:hAnsi="Century Gothic" w:cs="Malgun Gothic Semilight"/>
          <w:sz w:val="20"/>
          <w:szCs w:val="20"/>
        </w:rPr>
        <w:t xml:space="preserve"> The continuous provision of high quality, motivated </w:t>
      </w:r>
      <w:r w:rsidR="005562D3" w:rsidRPr="00592942">
        <w:rPr>
          <w:rFonts w:ascii="Century Gothic" w:eastAsia="Malgun Gothic Semilight" w:hAnsi="Century Gothic" w:cs="Malgun Gothic Semilight"/>
          <w:sz w:val="20"/>
          <w:szCs w:val="20"/>
        </w:rPr>
        <w:t>beginning teachers is, of course, central to this.</w:t>
      </w:r>
      <w:r w:rsidRPr="00592942">
        <w:rPr>
          <w:rFonts w:ascii="Century Gothic" w:eastAsia="Malgun Gothic Semilight" w:hAnsi="Century Gothic" w:cs="Malgun Gothic Semilight"/>
          <w:sz w:val="20"/>
          <w:szCs w:val="20"/>
        </w:rPr>
        <w:t xml:space="preserve"> </w:t>
      </w:r>
      <w:r w:rsidR="003A4B0D" w:rsidRPr="00592942">
        <w:rPr>
          <w:rFonts w:ascii="Century Gothic" w:eastAsia="Malgun Gothic Semilight" w:hAnsi="Century Gothic" w:cs="Malgun Gothic Semilight"/>
          <w:sz w:val="20"/>
          <w:szCs w:val="20"/>
        </w:rPr>
        <w:t>Australian Government</w:t>
      </w:r>
      <w:r w:rsidR="00B7524E" w:rsidRPr="00592942">
        <w:rPr>
          <w:rFonts w:ascii="Century Gothic" w:eastAsia="Malgun Gothic Semilight" w:hAnsi="Century Gothic" w:cs="Malgun Gothic Semilight"/>
          <w:sz w:val="20"/>
          <w:szCs w:val="20"/>
        </w:rPr>
        <w:t xml:space="preserve"> schools cater for the majority of students including those students who experience disadvantage.</w:t>
      </w:r>
      <w:r w:rsidR="004D3D47" w:rsidRPr="00592942">
        <w:rPr>
          <w:rFonts w:ascii="Century Gothic" w:eastAsia="Malgun Gothic Semilight" w:hAnsi="Century Gothic" w:cs="Malgun Gothic Semilight"/>
          <w:sz w:val="20"/>
          <w:szCs w:val="20"/>
        </w:rPr>
        <w:t xml:space="preserve"> At a time when the myriad of socioeconomic and related health impacts on children are being discovered, and uncovered, </w:t>
      </w:r>
      <w:r w:rsidR="00D20ED2" w:rsidRPr="00592942">
        <w:rPr>
          <w:rFonts w:ascii="Century Gothic" w:eastAsia="Malgun Gothic Semilight" w:hAnsi="Century Gothic" w:cs="Malgun Gothic Semilight"/>
          <w:sz w:val="20"/>
          <w:szCs w:val="20"/>
        </w:rPr>
        <w:t xml:space="preserve">the </w:t>
      </w:r>
      <w:r w:rsidR="00915CF1" w:rsidRPr="00592942">
        <w:rPr>
          <w:rFonts w:ascii="Century Gothic" w:eastAsia="Malgun Gothic Semilight" w:hAnsi="Century Gothic" w:cs="Malgun Gothic Semilight"/>
          <w:sz w:val="20"/>
          <w:szCs w:val="20"/>
        </w:rPr>
        <w:t>Australian</w:t>
      </w:r>
      <w:r w:rsidR="004D3D47" w:rsidRPr="00592942">
        <w:rPr>
          <w:rFonts w:ascii="Century Gothic" w:eastAsia="Malgun Gothic Semilight" w:hAnsi="Century Gothic" w:cs="Malgun Gothic Semilight"/>
          <w:sz w:val="20"/>
          <w:szCs w:val="20"/>
        </w:rPr>
        <w:t xml:space="preserve"> government </w:t>
      </w:r>
      <w:r w:rsidR="00E722AC" w:rsidRPr="00592942">
        <w:rPr>
          <w:rFonts w:ascii="Century Gothic" w:eastAsia="Malgun Gothic Semilight" w:hAnsi="Century Gothic" w:cs="Malgun Gothic Semilight"/>
          <w:sz w:val="20"/>
          <w:szCs w:val="20"/>
        </w:rPr>
        <w:t>has</w:t>
      </w:r>
      <w:r w:rsidR="004D3D47" w:rsidRPr="00592942">
        <w:rPr>
          <w:rFonts w:ascii="Century Gothic" w:eastAsia="Malgun Gothic Semilight" w:hAnsi="Century Gothic" w:cs="Malgun Gothic Semilight"/>
          <w:sz w:val="20"/>
          <w:szCs w:val="20"/>
        </w:rPr>
        <w:t xml:space="preserve"> an opportunity to lead and support their communities by setting and maintaining funding levels that facilitate a thriving public education system filled with excited children at the heart of families proud to send their children to </w:t>
      </w:r>
      <w:r w:rsidR="002B39EF" w:rsidRPr="00592942">
        <w:rPr>
          <w:rFonts w:ascii="Century Gothic" w:eastAsia="Malgun Gothic Semilight" w:hAnsi="Century Gothic" w:cs="Malgun Gothic Semilight"/>
          <w:sz w:val="20"/>
          <w:szCs w:val="20"/>
        </w:rPr>
        <w:t>government</w:t>
      </w:r>
      <w:r w:rsidR="004D3D47" w:rsidRPr="00592942">
        <w:rPr>
          <w:rFonts w:ascii="Century Gothic" w:eastAsia="Malgun Gothic Semilight" w:hAnsi="Century Gothic" w:cs="Malgun Gothic Semilight"/>
          <w:sz w:val="20"/>
          <w:szCs w:val="20"/>
        </w:rPr>
        <w:t xml:space="preserve"> schools.</w:t>
      </w:r>
    </w:p>
    <w:p w14:paraId="2C95D9C2" w14:textId="0BCFC045" w:rsidR="009D331F" w:rsidRPr="00592942" w:rsidRDefault="009D331F" w:rsidP="007841E2">
      <w:pPr>
        <w:rPr>
          <w:rFonts w:ascii="Century Gothic" w:eastAsia="Malgun Gothic Semilight" w:hAnsi="Century Gothic" w:cs="Malgun Gothic Semilight"/>
          <w:b/>
          <w:sz w:val="20"/>
          <w:szCs w:val="20"/>
        </w:rPr>
      </w:pPr>
      <w:r w:rsidRPr="00592942">
        <w:rPr>
          <w:rFonts w:ascii="Century Gothic" w:eastAsia="Malgun Gothic Semilight" w:hAnsi="Century Gothic" w:cs="Malgun Gothic Semilight"/>
          <w:b/>
          <w:sz w:val="20"/>
          <w:szCs w:val="20"/>
        </w:rPr>
        <w:t xml:space="preserve">Equity of educational outcomes </w:t>
      </w:r>
    </w:p>
    <w:p w14:paraId="45D5D856" w14:textId="487696F1" w:rsidR="007841E2" w:rsidRPr="00592942" w:rsidRDefault="007841E2" w:rsidP="001C11CA">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Universal access to education does not currently translate to a nationally consistent minimum standard of education provision for all students. The national goal that all students achieve their potential requires a powerful funding response that closes the gaps that exist in the universal, yet imbalanced education provision that prevails today. There is also evidence from </w:t>
      </w:r>
      <w:r w:rsidR="00A7193B" w:rsidRPr="00592942">
        <w:rPr>
          <w:rFonts w:ascii="Century Gothic" w:eastAsia="Malgun Gothic Semilight" w:hAnsi="Century Gothic" w:cs="Malgun Gothic Semilight"/>
          <w:sz w:val="20"/>
          <w:szCs w:val="20"/>
        </w:rPr>
        <w:t xml:space="preserve">across the </w:t>
      </w:r>
      <w:r w:rsidR="002B39EF" w:rsidRPr="00592942">
        <w:rPr>
          <w:rFonts w:ascii="Century Gothic" w:eastAsia="Malgun Gothic Semilight" w:hAnsi="Century Gothic" w:cs="Malgun Gothic Semilight"/>
          <w:sz w:val="20"/>
          <w:szCs w:val="20"/>
        </w:rPr>
        <w:t>nation</w:t>
      </w:r>
      <w:r w:rsidR="00A7193B" w:rsidRPr="00592942">
        <w:rPr>
          <w:rFonts w:ascii="Century Gothic" w:eastAsia="Malgun Gothic Semilight" w:hAnsi="Century Gothic" w:cs="Malgun Gothic Semilight"/>
          <w:sz w:val="20"/>
          <w:szCs w:val="20"/>
        </w:rPr>
        <w:t>,</w:t>
      </w:r>
      <w:r w:rsidRPr="00592942">
        <w:rPr>
          <w:rFonts w:ascii="Century Gothic" w:eastAsia="Malgun Gothic Semilight" w:hAnsi="Century Gothic" w:cs="Malgun Gothic Semilight"/>
          <w:sz w:val="20"/>
          <w:szCs w:val="20"/>
        </w:rPr>
        <w:t xml:space="preserve"> that the proportion of students with higher and more complex learning and social needs is growing in </w:t>
      </w:r>
      <w:r w:rsidR="00E0087F" w:rsidRPr="00592942">
        <w:rPr>
          <w:rFonts w:ascii="Century Gothic" w:eastAsia="Malgun Gothic Semilight" w:hAnsi="Century Gothic" w:cs="Malgun Gothic Semilight"/>
          <w:sz w:val="20"/>
          <w:szCs w:val="20"/>
        </w:rPr>
        <w:t>government</w:t>
      </w:r>
      <w:r w:rsidRPr="00592942">
        <w:rPr>
          <w:rFonts w:ascii="Century Gothic" w:eastAsia="Malgun Gothic Semilight" w:hAnsi="Century Gothic" w:cs="Malgun Gothic Semilight"/>
          <w:sz w:val="20"/>
          <w:szCs w:val="20"/>
        </w:rPr>
        <w:t xml:space="preserve"> secondary schools compared to other sectors.  </w:t>
      </w:r>
    </w:p>
    <w:p w14:paraId="599EB046" w14:textId="44515D34" w:rsidR="001C11CA" w:rsidRPr="00592942" w:rsidRDefault="007841E2" w:rsidP="001C11CA">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In a country where the government has a public, moral and human rights obligation to every child, any funding model must have </w:t>
      </w:r>
      <w:r w:rsidR="00B11C03" w:rsidRPr="00592942">
        <w:rPr>
          <w:rFonts w:ascii="Century Gothic" w:eastAsia="Malgun Gothic Semilight" w:hAnsi="Century Gothic" w:cs="Malgun Gothic Semilight"/>
          <w:sz w:val="20"/>
          <w:szCs w:val="20"/>
        </w:rPr>
        <w:t xml:space="preserve">social justice and </w:t>
      </w:r>
      <w:r w:rsidRPr="00592942">
        <w:rPr>
          <w:rFonts w:ascii="Century Gothic" w:eastAsia="Malgun Gothic Semilight" w:hAnsi="Century Gothic" w:cs="Malgun Gothic Semilight"/>
          <w:sz w:val="20"/>
          <w:szCs w:val="20"/>
        </w:rPr>
        <w:t xml:space="preserve">equity as a foundation. </w:t>
      </w:r>
      <w:r w:rsidR="00D2258E" w:rsidRPr="00592942">
        <w:rPr>
          <w:rFonts w:ascii="Century Gothic" w:eastAsia="Malgun Gothic Semilight" w:hAnsi="Century Gothic" w:cs="Malgun Gothic Semilight"/>
          <w:sz w:val="20"/>
          <w:szCs w:val="20"/>
        </w:rPr>
        <w:t xml:space="preserve">Our current system is high quality but low equity.   </w:t>
      </w:r>
    </w:p>
    <w:p w14:paraId="155B9043" w14:textId="4CEF8F9C" w:rsidR="00275F78" w:rsidRPr="00592942" w:rsidRDefault="00343AD7" w:rsidP="006B16B1">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This disparity in income distribution is acknowledged internationally (OECD reports) as an indicator of student performance on any measure - that is, that students from families with higher income are more likely to achieve at higher levels than students who</w:t>
      </w:r>
      <w:r w:rsidR="000F4640" w:rsidRPr="00592942">
        <w:rPr>
          <w:rFonts w:ascii="Century Gothic" w:eastAsia="Malgun Gothic Semilight" w:hAnsi="Century Gothic" w:cs="Malgun Gothic Semilight"/>
          <w:sz w:val="20"/>
          <w:szCs w:val="20"/>
        </w:rPr>
        <w:t>se families’ incomes are lower. L</w:t>
      </w:r>
      <w:r w:rsidRPr="00592942">
        <w:rPr>
          <w:rFonts w:ascii="Century Gothic" w:eastAsia="Malgun Gothic Semilight" w:hAnsi="Century Gothic" w:cs="Malgun Gothic Semilight"/>
          <w:sz w:val="20"/>
          <w:szCs w:val="20"/>
        </w:rPr>
        <w:t>ow income is not a guarantee of low levels of achievement, but the data comparisons are compelling and deeply concerning.</w:t>
      </w:r>
    </w:p>
    <w:p w14:paraId="7C013E31" w14:textId="77777777" w:rsidR="006B41B2" w:rsidRPr="00592942" w:rsidRDefault="00E97E73" w:rsidP="006B16B1">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The emergence of the COVID-19 virus and the ensuing pandemic have </w:t>
      </w:r>
      <w:r w:rsidR="00F15085" w:rsidRPr="00592942">
        <w:rPr>
          <w:rFonts w:ascii="Century Gothic" w:eastAsia="Malgun Gothic Semilight" w:hAnsi="Century Gothic" w:cs="Malgun Gothic Semilight"/>
          <w:sz w:val="20"/>
          <w:szCs w:val="20"/>
        </w:rPr>
        <w:t xml:space="preserve">caused the </w:t>
      </w:r>
      <w:r w:rsidR="00B366EA" w:rsidRPr="00592942">
        <w:rPr>
          <w:rFonts w:ascii="Century Gothic" w:eastAsia="Malgun Gothic Semilight" w:hAnsi="Century Gothic" w:cs="Malgun Gothic Semilight"/>
          <w:sz w:val="20"/>
          <w:szCs w:val="20"/>
        </w:rPr>
        <w:t xml:space="preserve">significant </w:t>
      </w:r>
      <w:r w:rsidR="00F15085" w:rsidRPr="00592942">
        <w:rPr>
          <w:rFonts w:ascii="Century Gothic" w:eastAsia="Malgun Gothic Semilight" w:hAnsi="Century Gothic" w:cs="Malgun Gothic Semilight"/>
          <w:sz w:val="20"/>
          <w:szCs w:val="20"/>
        </w:rPr>
        <w:t>inequities in the Australian education system to be magnified</w:t>
      </w:r>
      <w:r w:rsidR="00322666" w:rsidRPr="00592942">
        <w:rPr>
          <w:rFonts w:ascii="Century Gothic" w:eastAsia="Malgun Gothic Semilight" w:hAnsi="Century Gothic" w:cs="Malgun Gothic Semilight"/>
          <w:sz w:val="20"/>
          <w:szCs w:val="20"/>
        </w:rPr>
        <w:t xml:space="preserve">. The required </w:t>
      </w:r>
      <w:r w:rsidR="00876273" w:rsidRPr="00592942">
        <w:rPr>
          <w:rFonts w:ascii="Century Gothic" w:eastAsia="Malgun Gothic Semilight" w:hAnsi="Century Gothic" w:cs="Malgun Gothic Semilight"/>
          <w:sz w:val="20"/>
          <w:szCs w:val="20"/>
        </w:rPr>
        <w:t xml:space="preserve">alternative </w:t>
      </w:r>
      <w:r w:rsidR="00876273" w:rsidRPr="00592942">
        <w:rPr>
          <w:rFonts w:ascii="Century Gothic" w:eastAsia="Malgun Gothic Semilight" w:hAnsi="Century Gothic" w:cs="Malgun Gothic Semilight"/>
          <w:sz w:val="20"/>
          <w:szCs w:val="20"/>
        </w:rPr>
        <w:lastRenderedPageBreak/>
        <w:t>education modes provided by</w:t>
      </w:r>
      <w:r w:rsidR="00322666" w:rsidRPr="00592942">
        <w:rPr>
          <w:rFonts w:ascii="Century Gothic" w:eastAsia="Malgun Gothic Semilight" w:hAnsi="Century Gothic" w:cs="Malgun Gothic Semilight"/>
          <w:sz w:val="20"/>
          <w:szCs w:val="20"/>
        </w:rPr>
        <w:t xml:space="preserve"> schools and </w:t>
      </w:r>
      <w:r w:rsidR="00F35006" w:rsidRPr="00592942">
        <w:rPr>
          <w:rFonts w:ascii="Century Gothic" w:eastAsia="Malgun Gothic Semilight" w:hAnsi="Century Gothic" w:cs="Malgun Gothic Semilight"/>
          <w:sz w:val="20"/>
          <w:szCs w:val="20"/>
        </w:rPr>
        <w:t xml:space="preserve">consequential effect on </w:t>
      </w:r>
      <w:r w:rsidR="00322666" w:rsidRPr="00592942">
        <w:rPr>
          <w:rFonts w:ascii="Century Gothic" w:eastAsia="Malgun Gothic Semilight" w:hAnsi="Century Gothic" w:cs="Malgun Gothic Semilight"/>
          <w:sz w:val="20"/>
          <w:szCs w:val="20"/>
        </w:rPr>
        <w:t xml:space="preserve">modes of ‘traditional learning’ have caused very significant challenges to </w:t>
      </w:r>
      <w:r w:rsidR="00814F06" w:rsidRPr="00592942">
        <w:rPr>
          <w:rFonts w:ascii="Century Gothic" w:eastAsia="Malgun Gothic Semilight" w:hAnsi="Century Gothic" w:cs="Malgun Gothic Semilight"/>
          <w:sz w:val="20"/>
          <w:szCs w:val="20"/>
        </w:rPr>
        <w:t xml:space="preserve">students, their </w:t>
      </w:r>
      <w:r w:rsidR="00322666" w:rsidRPr="00592942">
        <w:rPr>
          <w:rFonts w:ascii="Century Gothic" w:eastAsia="Malgun Gothic Semilight" w:hAnsi="Century Gothic" w:cs="Malgun Gothic Semilight"/>
          <w:sz w:val="20"/>
          <w:szCs w:val="20"/>
        </w:rPr>
        <w:t>families and educators alike.</w:t>
      </w:r>
      <w:r w:rsidR="00E81F3E" w:rsidRPr="00592942">
        <w:rPr>
          <w:rFonts w:ascii="Century Gothic" w:eastAsia="Malgun Gothic Semilight" w:hAnsi="Century Gothic" w:cs="Malgun Gothic Semilight"/>
          <w:sz w:val="20"/>
          <w:szCs w:val="20"/>
        </w:rPr>
        <w:t xml:space="preserve"> The notion of the development of ability of the student</w:t>
      </w:r>
      <w:r w:rsidR="00322666" w:rsidRPr="00592942">
        <w:rPr>
          <w:rFonts w:ascii="Century Gothic" w:eastAsia="Malgun Gothic Semilight" w:hAnsi="Century Gothic" w:cs="Malgun Gothic Semilight"/>
          <w:sz w:val="20"/>
          <w:szCs w:val="20"/>
        </w:rPr>
        <w:t xml:space="preserve"> </w:t>
      </w:r>
      <w:r w:rsidR="00B144E6" w:rsidRPr="00592942">
        <w:rPr>
          <w:rFonts w:ascii="Century Gothic" w:eastAsia="Malgun Gothic Semilight" w:hAnsi="Century Gothic" w:cs="Malgun Gothic Semilight"/>
          <w:sz w:val="20"/>
          <w:szCs w:val="20"/>
        </w:rPr>
        <w:t xml:space="preserve">has been pushed </w:t>
      </w:r>
      <w:r w:rsidR="00814F06" w:rsidRPr="00592942">
        <w:rPr>
          <w:rFonts w:ascii="Century Gothic" w:eastAsia="Malgun Gothic Semilight" w:hAnsi="Century Gothic" w:cs="Malgun Gothic Semilight"/>
          <w:sz w:val="20"/>
          <w:szCs w:val="20"/>
        </w:rPr>
        <w:t>further</w:t>
      </w:r>
      <w:r w:rsidR="006B18C1" w:rsidRPr="00592942">
        <w:rPr>
          <w:rFonts w:ascii="Century Gothic" w:eastAsia="Malgun Gothic Semilight" w:hAnsi="Century Gothic" w:cs="Malgun Gothic Semilight"/>
          <w:sz w:val="20"/>
          <w:szCs w:val="20"/>
        </w:rPr>
        <w:t xml:space="preserve"> </w:t>
      </w:r>
      <w:r w:rsidR="00B144E6" w:rsidRPr="00592942">
        <w:rPr>
          <w:rFonts w:ascii="Century Gothic" w:eastAsia="Malgun Gothic Semilight" w:hAnsi="Century Gothic" w:cs="Malgun Gothic Semilight"/>
          <w:sz w:val="20"/>
          <w:szCs w:val="20"/>
        </w:rPr>
        <w:t xml:space="preserve">to the background – dictated by access to IT devices, access to </w:t>
      </w:r>
      <w:r w:rsidR="00DF3D35" w:rsidRPr="00592942">
        <w:rPr>
          <w:rFonts w:ascii="Century Gothic" w:eastAsia="Malgun Gothic Semilight" w:hAnsi="Century Gothic" w:cs="Malgun Gothic Semilight"/>
          <w:sz w:val="20"/>
          <w:szCs w:val="20"/>
        </w:rPr>
        <w:t>connectivity and appropriate parental</w:t>
      </w:r>
      <w:r w:rsidR="00FC6448" w:rsidRPr="00592942">
        <w:rPr>
          <w:rFonts w:ascii="Century Gothic" w:eastAsia="Malgun Gothic Semilight" w:hAnsi="Century Gothic" w:cs="Malgun Gothic Semilight"/>
          <w:sz w:val="20"/>
          <w:szCs w:val="20"/>
        </w:rPr>
        <w:t>/carer</w:t>
      </w:r>
      <w:r w:rsidR="00DF3D35" w:rsidRPr="00592942">
        <w:rPr>
          <w:rFonts w:ascii="Century Gothic" w:eastAsia="Malgun Gothic Semilight" w:hAnsi="Century Gothic" w:cs="Malgun Gothic Semilight"/>
          <w:sz w:val="20"/>
          <w:szCs w:val="20"/>
        </w:rPr>
        <w:t xml:space="preserve"> supervision</w:t>
      </w:r>
      <w:r w:rsidR="006B18C1" w:rsidRPr="00592942">
        <w:rPr>
          <w:rFonts w:ascii="Century Gothic" w:eastAsia="Malgun Gothic Semilight" w:hAnsi="Century Gothic" w:cs="Malgun Gothic Semilight"/>
          <w:sz w:val="20"/>
          <w:szCs w:val="20"/>
        </w:rPr>
        <w:t xml:space="preserve"> etc.</w:t>
      </w:r>
      <w:r w:rsidR="00F72C7D" w:rsidRPr="00592942">
        <w:rPr>
          <w:rFonts w:ascii="Century Gothic" w:eastAsia="Malgun Gothic Semilight" w:hAnsi="Century Gothic" w:cs="Malgun Gothic Semilight"/>
          <w:sz w:val="20"/>
          <w:szCs w:val="20"/>
        </w:rPr>
        <w:t xml:space="preserve"> </w:t>
      </w:r>
    </w:p>
    <w:p w14:paraId="7E632018" w14:textId="75F403F1" w:rsidR="00F16E63" w:rsidRPr="00592942" w:rsidRDefault="00876273" w:rsidP="006B16B1">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A</w:t>
      </w:r>
      <w:r w:rsidR="00B47B1E" w:rsidRPr="00592942">
        <w:rPr>
          <w:rFonts w:ascii="Century Gothic" w:eastAsia="Malgun Gothic Semilight" w:hAnsi="Century Gothic" w:cs="Malgun Gothic Semilight"/>
          <w:sz w:val="20"/>
          <w:szCs w:val="20"/>
        </w:rPr>
        <w:t xml:space="preserve"> recent study of 2500 teachers found that teachers in low ICSEA schools were</w:t>
      </w:r>
      <w:r w:rsidR="00800869" w:rsidRPr="00592942">
        <w:rPr>
          <w:rFonts w:ascii="Century Gothic" w:eastAsia="Malgun Gothic Semilight" w:hAnsi="Century Gothic" w:cs="Malgun Gothic Semilight"/>
          <w:sz w:val="20"/>
          <w:szCs w:val="20"/>
        </w:rPr>
        <w:t xml:space="preserve"> three</w:t>
      </w:r>
      <w:r w:rsidR="00B47B1E" w:rsidRPr="00592942">
        <w:rPr>
          <w:rFonts w:ascii="Century Gothic" w:eastAsia="Malgun Gothic Semilight" w:hAnsi="Century Gothic" w:cs="Malgun Gothic Semilight"/>
          <w:sz w:val="20"/>
          <w:szCs w:val="20"/>
        </w:rPr>
        <w:t xml:space="preserve"> </w:t>
      </w:r>
      <w:r w:rsidR="00800869" w:rsidRPr="00592942">
        <w:rPr>
          <w:rFonts w:ascii="Century Gothic" w:eastAsia="Malgun Gothic Semilight" w:hAnsi="Century Gothic" w:cs="Malgun Gothic Semilight"/>
          <w:sz w:val="20"/>
          <w:szCs w:val="20"/>
        </w:rPr>
        <w:t>(</w:t>
      </w:r>
      <w:r w:rsidR="00B47B1E" w:rsidRPr="00592942">
        <w:rPr>
          <w:rFonts w:ascii="Century Gothic" w:eastAsia="Malgun Gothic Semilight" w:hAnsi="Century Gothic" w:cs="Malgun Gothic Semilight"/>
          <w:sz w:val="20"/>
          <w:szCs w:val="20"/>
        </w:rPr>
        <w:t>3</w:t>
      </w:r>
      <w:r w:rsidR="00800869" w:rsidRPr="00592942">
        <w:rPr>
          <w:rFonts w:ascii="Century Gothic" w:eastAsia="Malgun Gothic Semilight" w:hAnsi="Century Gothic" w:cs="Malgun Gothic Semilight"/>
          <w:sz w:val="20"/>
          <w:szCs w:val="20"/>
        </w:rPr>
        <w:t>)</w:t>
      </w:r>
      <w:r w:rsidR="00B47B1E" w:rsidRPr="00592942">
        <w:rPr>
          <w:rFonts w:ascii="Century Gothic" w:eastAsia="Malgun Gothic Semilight" w:hAnsi="Century Gothic" w:cs="Malgun Gothic Semilight"/>
          <w:sz w:val="20"/>
          <w:szCs w:val="20"/>
        </w:rPr>
        <w:t xml:space="preserve"> times more likely to say that access to internet and technology were a major concern for teachers, high ICSEA schools were </w:t>
      </w:r>
      <w:r w:rsidR="00800869" w:rsidRPr="00592942">
        <w:rPr>
          <w:rFonts w:ascii="Century Gothic" w:eastAsia="Malgun Gothic Semilight" w:hAnsi="Century Gothic" w:cs="Malgun Gothic Semilight"/>
          <w:sz w:val="20"/>
          <w:szCs w:val="20"/>
        </w:rPr>
        <w:t>three (3)</w:t>
      </w:r>
      <w:r w:rsidR="00B47B1E" w:rsidRPr="00592942">
        <w:rPr>
          <w:rFonts w:ascii="Century Gothic" w:eastAsia="Malgun Gothic Semilight" w:hAnsi="Century Gothic" w:cs="Malgun Gothic Semilight"/>
          <w:sz w:val="20"/>
          <w:szCs w:val="20"/>
        </w:rPr>
        <w:t xml:space="preserve"> times more likely to feel confident in their ability to communicate with students and parents, </w:t>
      </w:r>
      <w:r w:rsidR="006B41B2" w:rsidRPr="00592942">
        <w:rPr>
          <w:rFonts w:ascii="Century Gothic" w:eastAsia="Malgun Gothic Semilight" w:hAnsi="Century Gothic" w:cs="Malgun Gothic Semilight"/>
          <w:sz w:val="20"/>
          <w:szCs w:val="20"/>
        </w:rPr>
        <w:t>l</w:t>
      </w:r>
      <w:r w:rsidR="00B47B1E" w:rsidRPr="00592942">
        <w:rPr>
          <w:rFonts w:ascii="Century Gothic" w:eastAsia="Malgun Gothic Semilight" w:hAnsi="Century Gothic" w:cs="Malgun Gothic Semilight"/>
          <w:sz w:val="20"/>
          <w:szCs w:val="20"/>
        </w:rPr>
        <w:t>ow I</w:t>
      </w:r>
      <w:r w:rsidR="009C5CE5" w:rsidRPr="00592942">
        <w:rPr>
          <w:rFonts w:ascii="Century Gothic" w:eastAsia="Malgun Gothic Semilight" w:hAnsi="Century Gothic" w:cs="Malgun Gothic Semilight"/>
          <w:sz w:val="20"/>
          <w:szCs w:val="20"/>
        </w:rPr>
        <w:t>C</w:t>
      </w:r>
      <w:r w:rsidR="00B47B1E" w:rsidRPr="00592942">
        <w:rPr>
          <w:rFonts w:ascii="Century Gothic" w:eastAsia="Malgun Gothic Semilight" w:hAnsi="Century Gothic" w:cs="Malgun Gothic Semilight"/>
          <w:sz w:val="20"/>
          <w:szCs w:val="20"/>
        </w:rPr>
        <w:t xml:space="preserve">SEA </w:t>
      </w:r>
      <w:r w:rsidR="009C5CE5" w:rsidRPr="00592942">
        <w:rPr>
          <w:rFonts w:ascii="Century Gothic" w:eastAsia="Malgun Gothic Semilight" w:hAnsi="Century Gothic" w:cs="Malgun Gothic Semilight"/>
          <w:sz w:val="20"/>
          <w:szCs w:val="20"/>
        </w:rPr>
        <w:t xml:space="preserve">schools were </w:t>
      </w:r>
      <w:r w:rsidR="00800869" w:rsidRPr="00592942">
        <w:rPr>
          <w:rFonts w:ascii="Century Gothic" w:eastAsia="Malgun Gothic Semilight" w:hAnsi="Century Gothic" w:cs="Malgun Gothic Semilight"/>
          <w:sz w:val="20"/>
          <w:szCs w:val="20"/>
        </w:rPr>
        <w:t xml:space="preserve">three </w:t>
      </w:r>
      <w:r w:rsidR="00B77D8E" w:rsidRPr="00592942">
        <w:rPr>
          <w:rFonts w:ascii="Century Gothic" w:eastAsia="Malgun Gothic Semilight" w:hAnsi="Century Gothic" w:cs="Malgun Gothic Semilight"/>
          <w:sz w:val="20"/>
          <w:szCs w:val="20"/>
        </w:rPr>
        <w:t>(</w:t>
      </w:r>
      <w:r w:rsidR="00B47B1E" w:rsidRPr="00592942">
        <w:rPr>
          <w:rFonts w:ascii="Century Gothic" w:eastAsia="Malgun Gothic Semilight" w:hAnsi="Century Gothic" w:cs="Malgun Gothic Semilight"/>
          <w:sz w:val="20"/>
          <w:szCs w:val="20"/>
        </w:rPr>
        <w:t>3</w:t>
      </w:r>
      <w:r w:rsidR="00B77D8E" w:rsidRPr="00592942">
        <w:rPr>
          <w:rFonts w:ascii="Century Gothic" w:eastAsia="Malgun Gothic Semilight" w:hAnsi="Century Gothic" w:cs="Malgun Gothic Semilight"/>
          <w:sz w:val="20"/>
          <w:szCs w:val="20"/>
        </w:rPr>
        <w:t>)</w:t>
      </w:r>
      <w:r w:rsidR="00B47B1E" w:rsidRPr="00592942">
        <w:rPr>
          <w:rFonts w:ascii="Century Gothic" w:eastAsia="Malgun Gothic Semilight" w:hAnsi="Century Gothic" w:cs="Malgun Gothic Semilight"/>
          <w:sz w:val="20"/>
          <w:szCs w:val="20"/>
        </w:rPr>
        <w:t xml:space="preserve"> times more likely to have teachers with under </w:t>
      </w:r>
      <w:r w:rsidR="00B77D8E" w:rsidRPr="00592942">
        <w:rPr>
          <w:rFonts w:ascii="Century Gothic" w:eastAsia="Malgun Gothic Semilight" w:hAnsi="Century Gothic" w:cs="Malgun Gothic Semilight"/>
          <w:sz w:val="20"/>
          <w:szCs w:val="20"/>
        </w:rPr>
        <w:t>five (</w:t>
      </w:r>
      <w:r w:rsidR="00B47B1E" w:rsidRPr="00592942">
        <w:rPr>
          <w:rFonts w:ascii="Century Gothic" w:eastAsia="Malgun Gothic Semilight" w:hAnsi="Century Gothic" w:cs="Malgun Gothic Semilight"/>
          <w:sz w:val="20"/>
          <w:szCs w:val="20"/>
        </w:rPr>
        <w:t>5</w:t>
      </w:r>
      <w:r w:rsidR="00B77D8E" w:rsidRPr="00592942">
        <w:rPr>
          <w:rFonts w:ascii="Century Gothic" w:eastAsia="Malgun Gothic Semilight" w:hAnsi="Century Gothic" w:cs="Malgun Gothic Semilight"/>
          <w:sz w:val="20"/>
          <w:szCs w:val="20"/>
        </w:rPr>
        <w:t>)</w:t>
      </w:r>
      <w:r w:rsidR="00B47B1E" w:rsidRPr="00592942">
        <w:rPr>
          <w:rFonts w:ascii="Century Gothic" w:eastAsia="Malgun Gothic Semilight" w:hAnsi="Century Gothic" w:cs="Malgun Gothic Semilight"/>
          <w:sz w:val="20"/>
          <w:szCs w:val="20"/>
        </w:rPr>
        <w:t xml:space="preserve"> years teaching</w:t>
      </w:r>
      <w:r w:rsidR="009C5CE5" w:rsidRPr="00592942">
        <w:rPr>
          <w:rFonts w:ascii="Century Gothic" w:eastAsia="Malgun Gothic Semilight" w:hAnsi="Century Gothic" w:cs="Malgun Gothic Semilight"/>
          <w:sz w:val="20"/>
          <w:szCs w:val="20"/>
        </w:rPr>
        <w:t>. COVID-19 and the rapid shift of most Australian students to a period of home learning has exacerbated and exposed existing inequities in the Australian education system.</w:t>
      </w:r>
      <w:r w:rsidR="00301C50" w:rsidRPr="00592942">
        <w:rPr>
          <w:rFonts w:ascii="Century Gothic" w:eastAsia="Malgun Gothic Semilight" w:hAnsi="Century Gothic" w:cs="Malgun Gothic Semilight"/>
          <w:sz w:val="20"/>
          <w:szCs w:val="20"/>
        </w:rPr>
        <w:t xml:space="preserve"> Any modification to ITE needs to consider these points.</w:t>
      </w:r>
      <w:r w:rsidR="009C5CE5" w:rsidRPr="00592942">
        <w:rPr>
          <w:rFonts w:ascii="Century Gothic" w:eastAsia="Malgun Gothic Semilight" w:hAnsi="Century Gothic" w:cs="Malgun Gothic Semilight"/>
          <w:sz w:val="20"/>
          <w:szCs w:val="20"/>
        </w:rPr>
        <w:t xml:space="preserve">  </w:t>
      </w:r>
    </w:p>
    <w:p w14:paraId="212FE8CC" w14:textId="11971109" w:rsidR="00E74FC1" w:rsidRPr="00592942" w:rsidRDefault="00E74FC1" w:rsidP="00E74FC1">
      <w:pPr>
        <w:spacing w:after="0" w:line="240" w:lineRule="auto"/>
        <w:jc w:val="both"/>
        <w:rPr>
          <w:rFonts w:ascii="Century Gothic" w:eastAsia="Malgun Gothic Semilight" w:hAnsi="Century Gothic" w:cs="Malgun Gothic Semilight"/>
          <w:b/>
          <w:sz w:val="20"/>
          <w:szCs w:val="20"/>
        </w:rPr>
      </w:pPr>
      <w:r w:rsidRPr="00592942">
        <w:rPr>
          <w:rFonts w:ascii="Century Gothic" w:eastAsia="Malgun Gothic Semilight" w:hAnsi="Century Gothic" w:cs="Malgun Gothic Semilight"/>
          <w:b/>
          <w:sz w:val="20"/>
          <w:szCs w:val="20"/>
        </w:rPr>
        <w:t xml:space="preserve">As a </w:t>
      </w:r>
      <w:r w:rsidR="00AF3A5A" w:rsidRPr="00592942">
        <w:rPr>
          <w:rFonts w:ascii="Century Gothic" w:eastAsia="Malgun Gothic Semilight" w:hAnsi="Century Gothic" w:cs="Malgun Gothic Semilight"/>
          <w:b/>
          <w:sz w:val="20"/>
          <w:szCs w:val="20"/>
        </w:rPr>
        <w:t>Nation</w:t>
      </w:r>
      <w:r w:rsidRPr="00592942">
        <w:rPr>
          <w:rFonts w:ascii="Century Gothic" w:eastAsia="Malgun Gothic Semilight" w:hAnsi="Century Gothic" w:cs="Malgun Gothic Semilight"/>
          <w:b/>
          <w:sz w:val="20"/>
          <w:szCs w:val="20"/>
        </w:rPr>
        <w:t xml:space="preserve">, for what purpose do we provide education for young </w:t>
      </w:r>
      <w:r w:rsidR="006E7CB7" w:rsidRPr="00592942">
        <w:rPr>
          <w:rFonts w:ascii="Century Gothic" w:eastAsia="Malgun Gothic Semilight" w:hAnsi="Century Gothic" w:cs="Malgun Gothic Semilight"/>
          <w:b/>
          <w:sz w:val="20"/>
          <w:szCs w:val="20"/>
        </w:rPr>
        <w:t>Australians</w:t>
      </w:r>
      <w:r w:rsidR="00AD02B4" w:rsidRPr="00592942">
        <w:rPr>
          <w:rFonts w:ascii="Century Gothic" w:eastAsia="Malgun Gothic Semilight" w:hAnsi="Century Gothic" w:cs="Malgun Gothic Semilight"/>
          <w:b/>
          <w:sz w:val="20"/>
          <w:szCs w:val="20"/>
        </w:rPr>
        <w:t>?</w:t>
      </w:r>
      <w:r w:rsidRPr="00592942">
        <w:rPr>
          <w:rFonts w:ascii="Century Gothic" w:eastAsia="Malgun Gothic Semilight" w:hAnsi="Century Gothic" w:cs="Malgun Gothic Semilight"/>
          <w:b/>
          <w:sz w:val="20"/>
          <w:szCs w:val="20"/>
        </w:rPr>
        <w:t xml:space="preserve"> </w:t>
      </w:r>
    </w:p>
    <w:p w14:paraId="46028B56" w14:textId="77777777" w:rsidR="00E74FC1" w:rsidRPr="00592942" w:rsidRDefault="00E74FC1" w:rsidP="00E74FC1">
      <w:pPr>
        <w:spacing w:after="0" w:line="240" w:lineRule="auto"/>
        <w:jc w:val="both"/>
        <w:rPr>
          <w:rFonts w:ascii="Century Gothic" w:eastAsia="Malgun Gothic Semilight" w:hAnsi="Century Gothic" w:cs="Malgun Gothic Semilight"/>
          <w:sz w:val="20"/>
          <w:szCs w:val="20"/>
        </w:rPr>
      </w:pPr>
    </w:p>
    <w:p w14:paraId="6AA8490B" w14:textId="545A3863" w:rsidR="00E74FC1" w:rsidRPr="00592942" w:rsidRDefault="00E74FC1" w:rsidP="00E74FC1">
      <w:pPr>
        <w:spacing w:after="0" w:line="240" w:lineRule="auto"/>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It is the position of the </w:t>
      </w:r>
      <w:r w:rsidR="0093512E" w:rsidRPr="00592942">
        <w:rPr>
          <w:rFonts w:ascii="Century Gothic" w:eastAsia="Malgun Gothic Semilight" w:hAnsi="Century Gothic" w:cs="Malgun Gothic Semilight"/>
          <w:sz w:val="20"/>
          <w:szCs w:val="20"/>
        </w:rPr>
        <w:t>Australian</w:t>
      </w:r>
      <w:r w:rsidR="00611BB3" w:rsidRPr="00592942">
        <w:rPr>
          <w:rFonts w:ascii="Century Gothic" w:eastAsia="Malgun Gothic Semilight" w:hAnsi="Century Gothic" w:cs="Malgun Gothic Semilight"/>
          <w:sz w:val="20"/>
          <w:szCs w:val="20"/>
        </w:rPr>
        <w:t xml:space="preserve"> </w:t>
      </w:r>
      <w:r w:rsidRPr="00592942">
        <w:rPr>
          <w:rFonts w:ascii="Century Gothic" w:eastAsia="Malgun Gothic Semilight" w:hAnsi="Century Gothic" w:cs="Malgun Gothic Semilight"/>
          <w:sz w:val="20"/>
          <w:szCs w:val="20"/>
        </w:rPr>
        <w:t>Secondary Principals</w:t>
      </w:r>
      <w:r w:rsidR="00611BB3" w:rsidRPr="00592942">
        <w:rPr>
          <w:rFonts w:ascii="Century Gothic" w:eastAsia="Malgun Gothic Semilight" w:hAnsi="Century Gothic" w:cs="Malgun Gothic Semilight"/>
          <w:sz w:val="20"/>
          <w:szCs w:val="20"/>
        </w:rPr>
        <w:t>’</w:t>
      </w:r>
      <w:r w:rsidRPr="00592942">
        <w:rPr>
          <w:rFonts w:ascii="Century Gothic" w:eastAsia="Malgun Gothic Semilight" w:hAnsi="Century Gothic" w:cs="Malgun Gothic Semilight"/>
          <w:sz w:val="20"/>
          <w:szCs w:val="20"/>
        </w:rPr>
        <w:t xml:space="preserve"> Association that </w:t>
      </w:r>
      <w:r w:rsidR="00EF1224" w:rsidRPr="00592942">
        <w:rPr>
          <w:rFonts w:ascii="Century Gothic" w:eastAsia="Malgun Gothic Semilight" w:hAnsi="Century Gothic" w:cs="Malgun Gothic Semilight"/>
          <w:sz w:val="20"/>
          <w:szCs w:val="20"/>
        </w:rPr>
        <w:t>the</w:t>
      </w:r>
      <w:r w:rsidRPr="00592942">
        <w:rPr>
          <w:rFonts w:ascii="Century Gothic" w:eastAsia="Malgun Gothic Semilight" w:hAnsi="Century Gothic" w:cs="Malgun Gothic Semilight"/>
          <w:sz w:val="20"/>
          <w:szCs w:val="20"/>
        </w:rPr>
        <w:t xml:space="preserve"> </w:t>
      </w:r>
      <w:r w:rsidR="0093512E" w:rsidRPr="00592942">
        <w:rPr>
          <w:rFonts w:ascii="Century Gothic" w:eastAsia="Malgun Gothic Semilight" w:hAnsi="Century Gothic" w:cs="Malgun Gothic Semilight"/>
          <w:sz w:val="20"/>
          <w:szCs w:val="20"/>
        </w:rPr>
        <w:t>Federal</w:t>
      </w:r>
      <w:r w:rsidRPr="00592942">
        <w:rPr>
          <w:rFonts w:ascii="Century Gothic" w:eastAsia="Malgun Gothic Semilight" w:hAnsi="Century Gothic" w:cs="Malgun Gothic Semilight"/>
          <w:sz w:val="20"/>
          <w:szCs w:val="20"/>
        </w:rPr>
        <w:t xml:space="preserve"> </w:t>
      </w:r>
      <w:r w:rsidR="00C95771" w:rsidRPr="00592942">
        <w:rPr>
          <w:rFonts w:ascii="Century Gothic" w:eastAsia="Malgun Gothic Semilight" w:hAnsi="Century Gothic" w:cs="Malgun Gothic Semilight"/>
          <w:sz w:val="20"/>
          <w:szCs w:val="20"/>
        </w:rPr>
        <w:t>G</w:t>
      </w:r>
      <w:r w:rsidR="00EF1224" w:rsidRPr="00592942">
        <w:rPr>
          <w:rFonts w:ascii="Century Gothic" w:eastAsia="Malgun Gothic Semilight" w:hAnsi="Century Gothic" w:cs="Malgun Gothic Semilight"/>
          <w:sz w:val="20"/>
          <w:szCs w:val="20"/>
        </w:rPr>
        <w:t>overnment</w:t>
      </w:r>
      <w:r w:rsidRPr="00592942">
        <w:rPr>
          <w:rFonts w:ascii="Century Gothic" w:eastAsia="Malgun Gothic Semilight" w:hAnsi="Century Gothic" w:cs="Malgun Gothic Semilight"/>
          <w:sz w:val="20"/>
          <w:szCs w:val="20"/>
        </w:rPr>
        <w:t xml:space="preserve"> ha</w:t>
      </w:r>
      <w:r w:rsidR="00EF1224" w:rsidRPr="00592942">
        <w:rPr>
          <w:rFonts w:ascii="Century Gothic" w:eastAsia="Malgun Gothic Semilight" w:hAnsi="Century Gothic" w:cs="Malgun Gothic Semilight"/>
          <w:sz w:val="20"/>
          <w:szCs w:val="20"/>
        </w:rPr>
        <w:t>s</w:t>
      </w:r>
      <w:r w:rsidRPr="00592942">
        <w:rPr>
          <w:rFonts w:ascii="Century Gothic" w:eastAsia="Malgun Gothic Semilight" w:hAnsi="Century Gothic" w:cs="Malgun Gothic Semilight"/>
          <w:sz w:val="20"/>
          <w:szCs w:val="20"/>
        </w:rPr>
        <w:t xml:space="preserve"> an obligation to ensure that high quality public secondary education is provided to every young person no matter what their geographic, social or personal circumstances. </w:t>
      </w:r>
      <w:r w:rsidR="001E0137" w:rsidRPr="00592942">
        <w:rPr>
          <w:rFonts w:ascii="Century Gothic" w:eastAsia="Malgun Gothic Semilight" w:hAnsi="Century Gothic" w:cs="Malgun Gothic Semilight"/>
          <w:sz w:val="20"/>
          <w:szCs w:val="20"/>
        </w:rPr>
        <w:t xml:space="preserve">The provision of high quality, motivated teachers </w:t>
      </w:r>
      <w:r w:rsidR="00A323D0" w:rsidRPr="00592942">
        <w:rPr>
          <w:rFonts w:ascii="Century Gothic" w:eastAsia="Malgun Gothic Semilight" w:hAnsi="Century Gothic" w:cs="Malgun Gothic Semilight"/>
          <w:sz w:val="20"/>
          <w:szCs w:val="20"/>
        </w:rPr>
        <w:t>is clearly linked to this endeavour.</w:t>
      </w:r>
    </w:p>
    <w:p w14:paraId="53D9E758" w14:textId="77777777" w:rsidR="000F4640" w:rsidRPr="00592942" w:rsidRDefault="000F4640" w:rsidP="00E74FC1">
      <w:pPr>
        <w:spacing w:after="0" w:line="240" w:lineRule="auto"/>
        <w:jc w:val="both"/>
        <w:rPr>
          <w:rFonts w:ascii="Century Gothic" w:eastAsia="Malgun Gothic Semilight" w:hAnsi="Century Gothic" w:cs="Malgun Gothic Semilight"/>
          <w:sz w:val="20"/>
          <w:szCs w:val="20"/>
        </w:rPr>
      </w:pPr>
    </w:p>
    <w:p w14:paraId="55070CED" w14:textId="2EB015E0" w:rsidR="00E74FC1" w:rsidRPr="00592942" w:rsidRDefault="00E74FC1" w:rsidP="00E74FC1">
      <w:pPr>
        <w:spacing w:after="0" w:line="240"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 xml:space="preserve">Education in our </w:t>
      </w:r>
      <w:r w:rsidR="00C95771" w:rsidRPr="00592942">
        <w:rPr>
          <w:rFonts w:ascii="Century Gothic" w:eastAsia="Malgun Gothic Semilight" w:hAnsi="Century Gothic" w:cs="Malgun Gothic Semilight"/>
          <w:sz w:val="20"/>
          <w:szCs w:val="20"/>
          <w:lang w:val="en-US"/>
        </w:rPr>
        <w:t>Nation</w:t>
      </w:r>
      <w:r w:rsidRPr="00592942">
        <w:rPr>
          <w:rFonts w:ascii="Century Gothic" w:eastAsia="Malgun Gothic Semilight" w:hAnsi="Century Gothic" w:cs="Malgun Gothic Semilight"/>
          <w:sz w:val="20"/>
          <w:szCs w:val="20"/>
          <w:lang w:val="en-US"/>
        </w:rPr>
        <w:t xml:space="preserve"> is a democratic and human right. In contemporary </w:t>
      </w:r>
      <w:r w:rsidR="00C95771" w:rsidRPr="00592942">
        <w:rPr>
          <w:rFonts w:ascii="Century Gothic" w:eastAsia="Malgun Gothic Semilight" w:hAnsi="Century Gothic" w:cs="Malgun Gothic Semilight"/>
          <w:sz w:val="20"/>
          <w:szCs w:val="20"/>
          <w:lang w:val="en-US"/>
        </w:rPr>
        <w:t>Australia,</w:t>
      </w:r>
      <w:r w:rsidRPr="00592942">
        <w:rPr>
          <w:rFonts w:ascii="Century Gothic" w:eastAsia="Malgun Gothic Semilight" w:hAnsi="Century Gothic" w:cs="Malgun Gothic Semilight"/>
          <w:sz w:val="20"/>
          <w:szCs w:val="20"/>
          <w:lang w:val="en-US"/>
        </w:rPr>
        <w:t xml:space="preserve"> the provision of education also comes with an expectation of a minimum standard that ranks highly when international comparisons are made. Australia has slipped in this area in recent years. For more than a decade funding models for school education have not targeted school performance and need, but relied on a distribution of resources that did not best nurture the future prospects of the young </w:t>
      </w:r>
      <w:r w:rsidR="00A0134B" w:rsidRPr="00592942">
        <w:rPr>
          <w:rFonts w:ascii="Century Gothic" w:eastAsia="Malgun Gothic Semilight" w:hAnsi="Century Gothic" w:cs="Malgun Gothic Semilight"/>
          <w:sz w:val="20"/>
          <w:szCs w:val="20"/>
          <w:lang w:val="en-US"/>
        </w:rPr>
        <w:t>in Australian</w:t>
      </w:r>
      <w:r w:rsidR="00EF1224" w:rsidRPr="00592942">
        <w:rPr>
          <w:rFonts w:ascii="Century Gothic" w:eastAsia="Malgun Gothic Semilight" w:hAnsi="Century Gothic" w:cs="Malgun Gothic Semilight"/>
          <w:sz w:val="20"/>
          <w:szCs w:val="20"/>
          <w:lang w:val="en-US"/>
        </w:rPr>
        <w:t xml:space="preserve"> </w:t>
      </w:r>
      <w:r w:rsidRPr="00592942">
        <w:rPr>
          <w:rFonts w:ascii="Century Gothic" w:eastAsia="Malgun Gothic Semilight" w:hAnsi="Century Gothic" w:cs="Malgun Gothic Semilight"/>
          <w:sz w:val="20"/>
          <w:szCs w:val="20"/>
          <w:lang w:val="en-US"/>
        </w:rPr>
        <w:t>communit</w:t>
      </w:r>
      <w:r w:rsidR="00A0134B" w:rsidRPr="00592942">
        <w:rPr>
          <w:rFonts w:ascii="Century Gothic" w:eastAsia="Malgun Gothic Semilight" w:hAnsi="Century Gothic" w:cs="Malgun Gothic Semilight"/>
          <w:sz w:val="20"/>
          <w:szCs w:val="20"/>
          <w:lang w:val="en-US"/>
        </w:rPr>
        <w:t>ies</w:t>
      </w:r>
      <w:r w:rsidRPr="00592942">
        <w:rPr>
          <w:rFonts w:ascii="Century Gothic" w:eastAsia="Malgun Gothic Semilight" w:hAnsi="Century Gothic" w:cs="Malgun Gothic Semilight"/>
          <w:sz w:val="20"/>
          <w:szCs w:val="20"/>
          <w:lang w:val="en-US"/>
        </w:rPr>
        <w:t xml:space="preserve"> - Australia’s future.</w:t>
      </w:r>
    </w:p>
    <w:p w14:paraId="0A87C973" w14:textId="77777777" w:rsidR="00E74FC1" w:rsidRPr="00592942" w:rsidRDefault="00E74FC1" w:rsidP="00E74FC1">
      <w:pPr>
        <w:spacing w:after="0" w:line="240" w:lineRule="auto"/>
        <w:jc w:val="both"/>
        <w:rPr>
          <w:rFonts w:ascii="Century Gothic" w:eastAsia="Malgun Gothic Semilight" w:hAnsi="Century Gothic" w:cs="Malgun Gothic Semilight"/>
          <w:sz w:val="20"/>
          <w:szCs w:val="20"/>
          <w:lang w:val="en-US"/>
        </w:rPr>
      </w:pPr>
    </w:p>
    <w:p w14:paraId="16480317" w14:textId="15353DCA" w:rsidR="00E74FC1" w:rsidRPr="00592942" w:rsidRDefault="00E74FC1" w:rsidP="00E74FC1">
      <w:pPr>
        <w:spacing w:after="0" w:line="240"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 xml:space="preserve">The adolescent years are </w:t>
      </w:r>
      <w:r w:rsidRPr="00592942">
        <w:rPr>
          <w:rFonts w:ascii="Century Gothic" w:eastAsia="Malgun Gothic Semilight" w:hAnsi="Century Gothic" w:cs="Malgun Gothic Semilight"/>
          <w:b/>
          <w:bCs/>
          <w:sz w:val="20"/>
          <w:szCs w:val="20"/>
          <w:lang w:val="en-US"/>
        </w:rPr>
        <w:t xml:space="preserve">high stakes years </w:t>
      </w:r>
      <w:r w:rsidRPr="00592942">
        <w:rPr>
          <w:rFonts w:ascii="Century Gothic" w:eastAsia="Malgun Gothic Semilight" w:hAnsi="Century Gothic" w:cs="Malgun Gothic Semilight"/>
          <w:sz w:val="20"/>
          <w:szCs w:val="20"/>
          <w:lang w:val="en-US"/>
        </w:rPr>
        <w:t xml:space="preserve">as they are significant predictors for life success and wellbeing. It is during these years that exposure to adult and community problems have the potential to change the lives of young people. The opportunity to fund and support the needs of each adolescent is essential. The inclusive priorities of our </w:t>
      </w:r>
      <w:r w:rsidR="00296D37" w:rsidRPr="00592942">
        <w:rPr>
          <w:rFonts w:ascii="Century Gothic" w:eastAsia="Malgun Gothic Semilight" w:hAnsi="Century Gothic" w:cs="Malgun Gothic Semilight"/>
          <w:sz w:val="20"/>
          <w:szCs w:val="20"/>
          <w:lang w:val="en-US"/>
        </w:rPr>
        <w:t>national</w:t>
      </w:r>
      <w:r w:rsidR="00C54042" w:rsidRPr="00592942">
        <w:rPr>
          <w:rFonts w:ascii="Century Gothic" w:eastAsia="Malgun Gothic Semilight" w:hAnsi="Century Gothic" w:cs="Malgun Gothic Semilight"/>
          <w:sz w:val="20"/>
          <w:szCs w:val="20"/>
          <w:lang w:val="en-US"/>
        </w:rPr>
        <w:t xml:space="preserve"> secondary</w:t>
      </w:r>
      <w:r w:rsidRPr="00592942">
        <w:rPr>
          <w:rFonts w:ascii="Century Gothic" w:eastAsia="Malgun Gothic Semilight" w:hAnsi="Century Gothic" w:cs="Malgun Gothic Semilight"/>
          <w:sz w:val="20"/>
          <w:szCs w:val="20"/>
          <w:lang w:val="en-US"/>
        </w:rPr>
        <w:t xml:space="preserve"> school system should be the </w:t>
      </w:r>
      <w:r w:rsidR="005B34BE" w:rsidRPr="00592942">
        <w:rPr>
          <w:rFonts w:ascii="Century Gothic" w:eastAsia="Malgun Gothic Semilight" w:hAnsi="Century Gothic" w:cs="Malgun Gothic Semilight"/>
          <w:sz w:val="20"/>
          <w:szCs w:val="20"/>
          <w:lang w:val="en-US"/>
        </w:rPr>
        <w:t>centerpiece</w:t>
      </w:r>
      <w:r w:rsidRPr="00592942">
        <w:rPr>
          <w:rFonts w:ascii="Century Gothic" w:eastAsia="Malgun Gothic Semilight" w:hAnsi="Century Gothic" w:cs="Malgun Gothic Semilight"/>
          <w:sz w:val="20"/>
          <w:szCs w:val="20"/>
          <w:lang w:val="en-US"/>
        </w:rPr>
        <w:t xml:space="preserve"> of a fair and productive </w:t>
      </w:r>
      <w:r w:rsidR="003F6F44" w:rsidRPr="00592942">
        <w:rPr>
          <w:rFonts w:ascii="Century Gothic" w:eastAsia="Malgun Gothic Semilight" w:hAnsi="Century Gothic" w:cs="Malgun Gothic Semilight"/>
          <w:sz w:val="20"/>
          <w:szCs w:val="20"/>
          <w:lang w:val="en-US"/>
        </w:rPr>
        <w:t>school-funding</w:t>
      </w:r>
      <w:r w:rsidRPr="00592942">
        <w:rPr>
          <w:rFonts w:ascii="Century Gothic" w:eastAsia="Malgun Gothic Semilight" w:hAnsi="Century Gothic" w:cs="Malgun Gothic Semilight"/>
          <w:sz w:val="20"/>
          <w:szCs w:val="20"/>
          <w:lang w:val="en-US"/>
        </w:rPr>
        <w:t xml:space="preserve"> model. Further, there must be recognition that the core purpose of all </w:t>
      </w:r>
      <w:r w:rsidR="00C54042" w:rsidRPr="00592942">
        <w:rPr>
          <w:rFonts w:ascii="Century Gothic" w:eastAsia="Malgun Gothic Semilight" w:hAnsi="Century Gothic" w:cs="Malgun Gothic Semilight"/>
          <w:sz w:val="20"/>
          <w:szCs w:val="20"/>
          <w:lang w:val="en-US"/>
        </w:rPr>
        <w:t xml:space="preserve">secondary </w:t>
      </w:r>
      <w:r w:rsidRPr="00592942">
        <w:rPr>
          <w:rFonts w:ascii="Century Gothic" w:eastAsia="Malgun Gothic Semilight" w:hAnsi="Century Gothic" w:cs="Malgun Gothic Semilight"/>
          <w:sz w:val="20"/>
          <w:szCs w:val="20"/>
          <w:lang w:val="en-US"/>
        </w:rPr>
        <w:t xml:space="preserve">schools is education and that funding and additional resources </w:t>
      </w:r>
      <w:r w:rsidR="00D229FB" w:rsidRPr="00592942">
        <w:rPr>
          <w:rFonts w:ascii="Century Gothic" w:eastAsia="Malgun Gothic Semilight" w:hAnsi="Century Gothic" w:cs="Malgun Gothic Semilight"/>
          <w:sz w:val="20"/>
          <w:szCs w:val="20"/>
          <w:lang w:val="en-US"/>
        </w:rPr>
        <w:t>(</w:t>
      </w:r>
      <w:r w:rsidR="002623EE" w:rsidRPr="00592942">
        <w:rPr>
          <w:rFonts w:ascii="Century Gothic" w:eastAsia="Malgun Gothic Semilight" w:hAnsi="Century Gothic" w:cs="Malgun Gothic Semilight"/>
          <w:sz w:val="20"/>
          <w:szCs w:val="20"/>
          <w:lang w:val="en-US"/>
        </w:rPr>
        <w:t xml:space="preserve">which teachers are a part of) </w:t>
      </w:r>
      <w:r w:rsidRPr="00592942">
        <w:rPr>
          <w:rFonts w:ascii="Century Gothic" w:eastAsia="Malgun Gothic Semilight" w:hAnsi="Century Gothic" w:cs="Malgun Gothic Semilight"/>
          <w:sz w:val="20"/>
          <w:szCs w:val="20"/>
          <w:lang w:val="en-US"/>
        </w:rPr>
        <w:t xml:space="preserve">should be targeted to ensure that all </w:t>
      </w:r>
      <w:r w:rsidR="00C54042" w:rsidRPr="00592942">
        <w:rPr>
          <w:rFonts w:ascii="Century Gothic" w:eastAsia="Malgun Gothic Semilight" w:hAnsi="Century Gothic" w:cs="Malgun Gothic Semilight"/>
          <w:sz w:val="20"/>
          <w:szCs w:val="20"/>
          <w:lang w:val="en-US"/>
        </w:rPr>
        <w:t xml:space="preserve">secondary </w:t>
      </w:r>
      <w:r w:rsidRPr="00592942">
        <w:rPr>
          <w:rFonts w:ascii="Century Gothic" w:eastAsia="Malgun Gothic Semilight" w:hAnsi="Century Gothic" w:cs="Malgun Gothic Semilight"/>
          <w:sz w:val="20"/>
          <w:szCs w:val="20"/>
          <w:lang w:val="en-US"/>
        </w:rPr>
        <w:t xml:space="preserve">schools can focus on the key work of teaching </w:t>
      </w:r>
      <w:r w:rsidR="00052BFE" w:rsidRPr="00592942">
        <w:rPr>
          <w:rFonts w:ascii="Century Gothic" w:eastAsia="Malgun Gothic Semilight" w:hAnsi="Century Gothic" w:cs="Malgun Gothic Semilight"/>
          <w:sz w:val="20"/>
          <w:szCs w:val="20"/>
          <w:lang w:val="en-US"/>
        </w:rPr>
        <w:t>and</w:t>
      </w:r>
      <w:r w:rsidRPr="00592942">
        <w:rPr>
          <w:rFonts w:ascii="Century Gothic" w:eastAsia="Malgun Gothic Semilight" w:hAnsi="Century Gothic" w:cs="Malgun Gothic Semilight"/>
          <w:sz w:val="20"/>
          <w:szCs w:val="20"/>
          <w:lang w:val="en-US"/>
        </w:rPr>
        <w:t xml:space="preserve"> learning.</w:t>
      </w:r>
    </w:p>
    <w:p w14:paraId="63AB59AD" w14:textId="77777777" w:rsidR="00E74FC1" w:rsidRPr="00592942" w:rsidRDefault="00E74FC1" w:rsidP="00E74FC1">
      <w:pPr>
        <w:spacing w:after="0" w:line="240" w:lineRule="auto"/>
        <w:jc w:val="both"/>
        <w:rPr>
          <w:rFonts w:ascii="Century Gothic" w:eastAsia="Malgun Gothic Semilight" w:hAnsi="Century Gothic" w:cs="Malgun Gothic Semilight"/>
          <w:sz w:val="20"/>
          <w:szCs w:val="20"/>
          <w:lang w:val="en-US"/>
        </w:rPr>
      </w:pPr>
    </w:p>
    <w:p w14:paraId="3F9C3743" w14:textId="1857864D" w:rsidR="00E74FC1" w:rsidRPr="00592942" w:rsidRDefault="00E74FC1" w:rsidP="00E74FC1">
      <w:pPr>
        <w:autoSpaceDE w:val="0"/>
        <w:autoSpaceDN w:val="0"/>
        <w:adjustRightInd w:val="0"/>
        <w:spacing w:after="0" w:line="240" w:lineRule="auto"/>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Only government can ensure that there is a quality</w:t>
      </w:r>
      <w:r w:rsidR="00FB774B" w:rsidRPr="00592942">
        <w:rPr>
          <w:rFonts w:ascii="Century Gothic" w:eastAsia="Malgun Gothic Semilight" w:hAnsi="Century Gothic" w:cs="Malgun Gothic Semilight"/>
          <w:sz w:val="20"/>
          <w:szCs w:val="20"/>
        </w:rPr>
        <w:t xml:space="preserve"> secondary</w:t>
      </w:r>
      <w:r w:rsidRPr="00592942">
        <w:rPr>
          <w:rFonts w:ascii="Century Gothic" w:eastAsia="Malgun Gothic Semilight" w:hAnsi="Century Gothic" w:cs="Malgun Gothic Semilight"/>
          <w:sz w:val="20"/>
          <w:szCs w:val="20"/>
        </w:rPr>
        <w:t xml:space="preserve"> schooling option for everyone and only government, working with the profession, can require achievement benchmarks that reflect the quality of that schooling. Transparent, consistent and equitable funding of </w:t>
      </w:r>
      <w:r w:rsidR="00566D33" w:rsidRPr="00592942">
        <w:rPr>
          <w:rFonts w:ascii="Century Gothic" w:eastAsia="Malgun Gothic Semilight" w:hAnsi="Century Gothic" w:cs="Malgun Gothic Semilight"/>
          <w:sz w:val="20"/>
          <w:szCs w:val="20"/>
        </w:rPr>
        <w:t xml:space="preserve">national </w:t>
      </w:r>
      <w:r w:rsidRPr="00592942">
        <w:rPr>
          <w:rFonts w:ascii="Century Gothic" w:eastAsia="Malgun Gothic Semilight" w:hAnsi="Century Gothic" w:cs="Malgun Gothic Semilight"/>
          <w:sz w:val="20"/>
          <w:szCs w:val="20"/>
        </w:rPr>
        <w:t xml:space="preserve">secondary education will be the measure by which the young people of this </w:t>
      </w:r>
      <w:r w:rsidR="00C8423F" w:rsidRPr="00592942">
        <w:rPr>
          <w:rFonts w:ascii="Century Gothic" w:eastAsia="Malgun Gothic Semilight" w:hAnsi="Century Gothic" w:cs="Malgun Gothic Semilight"/>
          <w:sz w:val="20"/>
          <w:szCs w:val="20"/>
        </w:rPr>
        <w:t>nation</w:t>
      </w:r>
      <w:r w:rsidRPr="00592942">
        <w:rPr>
          <w:rFonts w:ascii="Century Gothic" w:eastAsia="Malgun Gothic Semilight" w:hAnsi="Century Gothic" w:cs="Malgun Gothic Semilight"/>
          <w:sz w:val="20"/>
          <w:szCs w:val="20"/>
        </w:rPr>
        <w:t>, their parents, teachers and principals will jud</w:t>
      </w:r>
      <w:r w:rsidR="00FB774B" w:rsidRPr="00592942">
        <w:rPr>
          <w:rFonts w:ascii="Century Gothic" w:eastAsia="Malgun Gothic Semilight" w:hAnsi="Century Gothic" w:cs="Malgun Gothic Semilight"/>
          <w:sz w:val="20"/>
          <w:szCs w:val="20"/>
        </w:rPr>
        <w:t>ge the commitment of governments</w:t>
      </w:r>
      <w:r w:rsidRPr="00592942">
        <w:rPr>
          <w:rFonts w:ascii="Century Gothic" w:eastAsia="Malgun Gothic Semilight" w:hAnsi="Century Gothic" w:cs="Malgun Gothic Semilight"/>
          <w:sz w:val="20"/>
          <w:szCs w:val="20"/>
        </w:rPr>
        <w:t xml:space="preserve"> to</w:t>
      </w:r>
      <w:r w:rsidR="00FB774B" w:rsidRPr="00592942">
        <w:rPr>
          <w:rFonts w:ascii="Century Gothic" w:eastAsia="Malgun Gothic Semilight" w:hAnsi="Century Gothic" w:cs="Malgun Gothic Semilight"/>
          <w:sz w:val="20"/>
          <w:szCs w:val="20"/>
        </w:rPr>
        <w:t xml:space="preserve"> the education of all </w:t>
      </w:r>
      <w:r w:rsidR="00C8423F" w:rsidRPr="00592942">
        <w:rPr>
          <w:rFonts w:ascii="Century Gothic" w:eastAsia="Malgun Gothic Semilight" w:hAnsi="Century Gothic" w:cs="Malgun Gothic Semilight"/>
          <w:sz w:val="20"/>
          <w:szCs w:val="20"/>
        </w:rPr>
        <w:t>Australians</w:t>
      </w:r>
      <w:r w:rsidRPr="00592942">
        <w:rPr>
          <w:rFonts w:ascii="Century Gothic" w:eastAsia="Malgun Gothic Semilight" w:hAnsi="Century Gothic" w:cs="Malgun Gothic Semilight"/>
          <w:sz w:val="20"/>
          <w:szCs w:val="20"/>
        </w:rPr>
        <w:t>.</w:t>
      </w:r>
    </w:p>
    <w:p w14:paraId="445565BB" w14:textId="77777777" w:rsidR="003F6F44" w:rsidRPr="00592942" w:rsidRDefault="003F6F44" w:rsidP="003F6F44">
      <w:pPr>
        <w:autoSpaceDE w:val="0"/>
        <w:autoSpaceDN w:val="0"/>
        <w:adjustRightInd w:val="0"/>
        <w:spacing w:after="0"/>
        <w:rPr>
          <w:rFonts w:ascii="Century Gothic" w:eastAsia="Malgun Gothic Semilight" w:hAnsi="Century Gothic" w:cs="Malgun Gothic Semilight"/>
          <w:sz w:val="20"/>
          <w:szCs w:val="20"/>
          <w:lang w:val="en-US"/>
        </w:rPr>
      </w:pPr>
    </w:p>
    <w:p w14:paraId="09D613AE" w14:textId="3DECAA38" w:rsidR="00B34863" w:rsidRPr="00592942" w:rsidRDefault="008F0B11" w:rsidP="001C11CA">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Australia</w:t>
      </w:r>
      <w:r w:rsidR="007758AC" w:rsidRPr="00592942">
        <w:rPr>
          <w:rFonts w:ascii="Century Gothic" w:eastAsia="Malgun Gothic Semilight" w:hAnsi="Century Gothic" w:cs="Malgun Gothic Semilight"/>
          <w:sz w:val="20"/>
          <w:szCs w:val="20"/>
        </w:rPr>
        <w:t>’s</w:t>
      </w:r>
      <w:r w:rsidR="00B34863" w:rsidRPr="00592942">
        <w:rPr>
          <w:rFonts w:ascii="Century Gothic" w:eastAsia="Malgun Gothic Semilight" w:hAnsi="Century Gothic" w:cs="Malgun Gothic Semilight"/>
          <w:sz w:val="20"/>
          <w:szCs w:val="20"/>
        </w:rPr>
        <w:t xml:space="preserve"> challenge is to redress disadvantage through investment in </w:t>
      </w:r>
      <w:r w:rsidR="00AC017E" w:rsidRPr="00592942">
        <w:rPr>
          <w:rFonts w:ascii="Century Gothic" w:eastAsia="Malgun Gothic Semilight" w:hAnsi="Century Gothic" w:cs="Malgun Gothic Semilight"/>
          <w:sz w:val="20"/>
          <w:szCs w:val="20"/>
        </w:rPr>
        <w:t>government</w:t>
      </w:r>
      <w:r w:rsidR="00B34863" w:rsidRPr="00592942">
        <w:rPr>
          <w:rFonts w:ascii="Century Gothic" w:eastAsia="Malgun Gothic Semilight" w:hAnsi="Century Gothic" w:cs="Malgun Gothic Semilight"/>
          <w:sz w:val="20"/>
          <w:szCs w:val="20"/>
        </w:rPr>
        <w:t xml:space="preserve"> education, where the greatest challenges demonstrably lie. </w:t>
      </w:r>
      <w:r w:rsidR="003F6F44" w:rsidRPr="00592942">
        <w:rPr>
          <w:rFonts w:ascii="Century Gothic" w:eastAsia="Malgun Gothic Semilight" w:hAnsi="Century Gothic" w:cs="Malgun Gothic Semilight"/>
          <w:sz w:val="20"/>
          <w:szCs w:val="20"/>
        </w:rPr>
        <w:t xml:space="preserve">The review of Funding for Schooling Final Report (2011) provided more than sufficient evidence to suggest that Australian education was not meeting the needs of the most vulnerable. The Report outlines the findings by a highly credentialed independent review body. This was the most comprehensive review undertaken and </w:t>
      </w:r>
      <w:r w:rsidR="00B34863" w:rsidRPr="00592942">
        <w:rPr>
          <w:rFonts w:ascii="Century Gothic" w:eastAsia="Malgun Gothic Semilight" w:hAnsi="Century Gothic" w:cs="Malgun Gothic Semilight"/>
          <w:sz w:val="20"/>
          <w:szCs w:val="20"/>
        </w:rPr>
        <w:t xml:space="preserve">it has not been fully implemented. </w:t>
      </w:r>
    </w:p>
    <w:p w14:paraId="2D032376" w14:textId="5E80360E" w:rsidR="001426E6" w:rsidRPr="00592942" w:rsidRDefault="001426E6" w:rsidP="001C11CA">
      <w:pPr>
        <w:jc w:val="both"/>
        <w:rPr>
          <w:rFonts w:ascii="Century Gothic" w:eastAsia="Malgun Gothic Semilight" w:hAnsi="Century Gothic" w:cs="Malgun Gothic Semilight"/>
          <w:b/>
          <w:sz w:val="20"/>
          <w:szCs w:val="20"/>
        </w:rPr>
      </w:pPr>
      <w:r w:rsidRPr="00592942">
        <w:rPr>
          <w:rFonts w:ascii="Century Gothic" w:eastAsia="Malgun Gothic Semilight" w:hAnsi="Century Gothic" w:cs="Malgun Gothic Semilight"/>
          <w:b/>
          <w:sz w:val="20"/>
          <w:szCs w:val="20"/>
        </w:rPr>
        <w:lastRenderedPageBreak/>
        <w:t>A non-political approach to</w:t>
      </w:r>
      <w:r w:rsidR="00712204" w:rsidRPr="00592942">
        <w:rPr>
          <w:rFonts w:ascii="Century Gothic" w:eastAsia="Malgun Gothic Semilight" w:hAnsi="Century Gothic" w:cs="Malgun Gothic Semilight"/>
          <w:b/>
          <w:sz w:val="20"/>
          <w:szCs w:val="20"/>
        </w:rPr>
        <w:t xml:space="preserve"> Education:</w:t>
      </w:r>
    </w:p>
    <w:p w14:paraId="7B6A038D" w14:textId="575DFE81" w:rsidR="007F2E7D" w:rsidRPr="00592942" w:rsidRDefault="007F2E7D" w:rsidP="005E2047">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It would be reasonable to assert that our educational leaders are best placed to make strategic decisions about the educational future of schools and systems but it appears unfortunately, that many decisions concerning education are made for political reasons and not necessarily sound educational reasons.</w:t>
      </w:r>
    </w:p>
    <w:p w14:paraId="77152339" w14:textId="4A54DAA2" w:rsidR="00712204" w:rsidRPr="00592942" w:rsidRDefault="00712204" w:rsidP="005E2047">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Something as important as education should not be dependent upon political funding or election cycles. It is time for agreement </w:t>
      </w:r>
      <w:r w:rsidR="001426E6" w:rsidRPr="00592942">
        <w:rPr>
          <w:rFonts w:ascii="Century Gothic" w:eastAsia="Malgun Gothic Semilight" w:hAnsi="Century Gothic" w:cs="Malgun Gothic Semilight"/>
          <w:sz w:val="20"/>
          <w:szCs w:val="20"/>
        </w:rPr>
        <w:t xml:space="preserve">from all political parties </w:t>
      </w:r>
      <w:r w:rsidRPr="00592942">
        <w:rPr>
          <w:rFonts w:ascii="Century Gothic" w:eastAsia="Malgun Gothic Semilight" w:hAnsi="Century Gothic" w:cs="Malgun Gothic Semilight"/>
          <w:sz w:val="20"/>
          <w:szCs w:val="20"/>
        </w:rPr>
        <w:t>around education to secure the future for our students. Education needs our political leaders and our education leaders to commit to a long term (10 year plus) plan and a structure for regular review.</w:t>
      </w:r>
      <w:r w:rsidR="001426E6" w:rsidRPr="00592942">
        <w:rPr>
          <w:rFonts w:ascii="Century Gothic" w:eastAsia="Malgun Gothic Semilight" w:hAnsi="Century Gothic" w:cs="Malgun Gothic Semilight"/>
          <w:sz w:val="20"/>
          <w:szCs w:val="20"/>
        </w:rPr>
        <w:t xml:space="preserve"> </w:t>
      </w:r>
      <w:r w:rsidRPr="00592942">
        <w:rPr>
          <w:rFonts w:ascii="Century Gothic" w:eastAsia="Malgun Gothic Semilight" w:hAnsi="Century Gothic" w:cs="Malgun Gothic Semilight"/>
          <w:sz w:val="20"/>
          <w:szCs w:val="20"/>
        </w:rPr>
        <w:t>The further challenge then is to commit to its sustainability by ensuring adequate funding</w:t>
      </w:r>
      <w:r w:rsidR="0070595C" w:rsidRPr="00592942">
        <w:rPr>
          <w:rFonts w:ascii="Century Gothic" w:eastAsia="Malgun Gothic Semilight" w:hAnsi="Century Gothic" w:cs="Malgun Gothic Semilight"/>
          <w:sz w:val="20"/>
          <w:szCs w:val="20"/>
        </w:rPr>
        <w:t xml:space="preserve"> (of ITE</w:t>
      </w:r>
      <w:r w:rsidR="00A83DCC" w:rsidRPr="00592942">
        <w:rPr>
          <w:rFonts w:ascii="Century Gothic" w:eastAsia="Malgun Gothic Semilight" w:hAnsi="Century Gothic" w:cs="Malgun Gothic Semilight"/>
          <w:sz w:val="20"/>
          <w:szCs w:val="20"/>
        </w:rPr>
        <w:t xml:space="preserve"> around our Nation)</w:t>
      </w:r>
      <w:r w:rsidRPr="00592942">
        <w:rPr>
          <w:rFonts w:ascii="Century Gothic" w:eastAsia="Malgun Gothic Semilight" w:hAnsi="Century Gothic" w:cs="Malgun Gothic Semilight"/>
          <w:sz w:val="20"/>
          <w:szCs w:val="20"/>
        </w:rPr>
        <w:t xml:space="preserve">. </w:t>
      </w:r>
      <w:r w:rsidR="001408A4" w:rsidRPr="00592942">
        <w:rPr>
          <w:rFonts w:ascii="Century Gothic" w:eastAsia="Malgun Gothic Semilight" w:hAnsi="Century Gothic" w:cs="Malgun Gothic Semilight"/>
          <w:sz w:val="20"/>
          <w:szCs w:val="20"/>
        </w:rPr>
        <w:t xml:space="preserve">Finland made a conscious decision in the recent past to adopt a non-political approach to education; making universal decisions about key factors that would not change with election outcomes. </w:t>
      </w:r>
      <w:r w:rsidR="001769EE" w:rsidRPr="00592942">
        <w:rPr>
          <w:rFonts w:ascii="Century Gothic" w:eastAsia="Malgun Gothic Semilight" w:hAnsi="Century Gothic" w:cs="Malgun Gothic Semilight"/>
          <w:sz w:val="20"/>
          <w:szCs w:val="20"/>
        </w:rPr>
        <w:t>Australia</w:t>
      </w:r>
      <w:r w:rsidR="001408A4" w:rsidRPr="00592942">
        <w:rPr>
          <w:rFonts w:ascii="Century Gothic" w:eastAsia="Malgun Gothic Semilight" w:hAnsi="Century Gothic" w:cs="Malgun Gothic Semilight"/>
          <w:sz w:val="20"/>
          <w:szCs w:val="20"/>
        </w:rPr>
        <w:t xml:space="preserve"> </w:t>
      </w:r>
      <w:r w:rsidR="001408A4" w:rsidRPr="00592942">
        <w:rPr>
          <w:rFonts w:ascii="Century Gothic" w:eastAsia="Malgun Gothic Semilight" w:hAnsi="Century Gothic" w:cs="Malgun Gothic Semilight"/>
          <w:b/>
          <w:bCs/>
          <w:sz w:val="20"/>
          <w:szCs w:val="20"/>
        </w:rPr>
        <w:t>MUST</w:t>
      </w:r>
      <w:r w:rsidR="001408A4" w:rsidRPr="00592942">
        <w:rPr>
          <w:rFonts w:ascii="Century Gothic" w:eastAsia="Malgun Gothic Semilight" w:hAnsi="Century Gothic" w:cs="Malgun Gothic Semilight"/>
          <w:sz w:val="20"/>
          <w:szCs w:val="20"/>
        </w:rPr>
        <w:t xml:space="preserve"> take this path if we are to achieve the outcomes desired by all </w:t>
      </w:r>
      <w:r w:rsidR="001769EE" w:rsidRPr="00592942">
        <w:rPr>
          <w:rFonts w:ascii="Century Gothic" w:eastAsia="Malgun Gothic Semilight" w:hAnsi="Century Gothic" w:cs="Malgun Gothic Semilight"/>
          <w:sz w:val="20"/>
          <w:szCs w:val="20"/>
        </w:rPr>
        <w:t>Australians</w:t>
      </w:r>
      <w:r w:rsidR="001408A4" w:rsidRPr="00592942">
        <w:rPr>
          <w:rFonts w:ascii="Century Gothic" w:eastAsia="Malgun Gothic Semilight" w:hAnsi="Century Gothic" w:cs="Malgun Gothic Semilight"/>
          <w:sz w:val="20"/>
          <w:szCs w:val="20"/>
        </w:rPr>
        <w:t>.</w:t>
      </w:r>
    </w:p>
    <w:p w14:paraId="00F54057" w14:textId="3F814395" w:rsidR="00712204" w:rsidRPr="00592942" w:rsidRDefault="001426E6" w:rsidP="005E2047">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There is general</w:t>
      </w:r>
      <w:r w:rsidR="00712204" w:rsidRPr="00592942">
        <w:rPr>
          <w:rFonts w:ascii="Century Gothic" w:eastAsia="Malgun Gothic Semilight" w:hAnsi="Century Gothic" w:cs="Malgun Gothic Semilight"/>
          <w:sz w:val="20"/>
          <w:szCs w:val="20"/>
        </w:rPr>
        <w:t xml:space="preserve"> agreement from all sides of politics on the aims for education and goals for our students</w:t>
      </w:r>
      <w:r w:rsidRPr="00592942">
        <w:rPr>
          <w:rFonts w:ascii="Century Gothic" w:eastAsia="Malgun Gothic Semilight" w:hAnsi="Century Gothic" w:cs="Malgun Gothic Semilight"/>
          <w:sz w:val="20"/>
          <w:szCs w:val="20"/>
        </w:rPr>
        <w:t xml:space="preserve">. </w:t>
      </w:r>
      <w:r w:rsidR="00712204" w:rsidRPr="00592942">
        <w:rPr>
          <w:rFonts w:ascii="Century Gothic" w:eastAsia="Malgun Gothic Semilight" w:hAnsi="Century Gothic" w:cs="Malgun Gothic Semilight"/>
          <w:sz w:val="20"/>
          <w:szCs w:val="20"/>
        </w:rPr>
        <w:t xml:space="preserve">There is much common ground but we get tangled up in </w:t>
      </w:r>
      <w:r w:rsidRPr="00592942">
        <w:rPr>
          <w:rFonts w:ascii="Century Gothic" w:eastAsia="Malgun Gothic Semilight" w:hAnsi="Century Gothic" w:cs="Malgun Gothic Semilight"/>
          <w:sz w:val="20"/>
          <w:szCs w:val="20"/>
        </w:rPr>
        <w:t xml:space="preserve">political cycles and </w:t>
      </w:r>
      <w:r w:rsidR="00712204" w:rsidRPr="00592942">
        <w:rPr>
          <w:rFonts w:ascii="Century Gothic" w:eastAsia="Malgun Gothic Semilight" w:hAnsi="Century Gothic" w:cs="Malgun Gothic Semilight"/>
          <w:sz w:val="20"/>
          <w:szCs w:val="20"/>
        </w:rPr>
        <w:t xml:space="preserve">trying to solve the same problems in different ways. </w:t>
      </w:r>
    </w:p>
    <w:p w14:paraId="296475E0" w14:textId="511351D4" w:rsidR="00464D59" w:rsidRPr="00592942" w:rsidRDefault="00712204" w:rsidP="005E2047">
      <w:p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We have to get commitment </w:t>
      </w:r>
      <w:r w:rsidR="001426E6" w:rsidRPr="00592942">
        <w:rPr>
          <w:rFonts w:ascii="Century Gothic" w:eastAsia="Malgun Gothic Semilight" w:hAnsi="Century Gothic" w:cs="Malgun Gothic Semilight"/>
          <w:sz w:val="20"/>
          <w:szCs w:val="20"/>
        </w:rPr>
        <w:t xml:space="preserve">from all parties </w:t>
      </w:r>
      <w:r w:rsidRPr="00592942">
        <w:rPr>
          <w:rFonts w:ascii="Century Gothic" w:eastAsia="Malgun Gothic Semilight" w:hAnsi="Century Gothic" w:cs="Malgun Gothic Semilight"/>
          <w:sz w:val="20"/>
          <w:szCs w:val="20"/>
        </w:rPr>
        <w:t>to</w:t>
      </w:r>
      <w:r w:rsidR="003165B3" w:rsidRPr="00592942">
        <w:rPr>
          <w:rFonts w:ascii="Century Gothic" w:eastAsia="Malgun Gothic Semilight" w:hAnsi="Century Gothic" w:cs="Malgun Gothic Semilight"/>
          <w:sz w:val="20"/>
          <w:szCs w:val="20"/>
        </w:rPr>
        <w:t xml:space="preserve"> State</w:t>
      </w:r>
      <w:r w:rsidRPr="00592942">
        <w:rPr>
          <w:rFonts w:ascii="Century Gothic" w:eastAsia="Malgun Gothic Semilight" w:hAnsi="Century Gothic" w:cs="Malgun Gothic Semilight"/>
          <w:sz w:val="20"/>
          <w:szCs w:val="20"/>
        </w:rPr>
        <w:t xml:space="preserve"> initiatives and transparent long term planning and funding which will enable the systematic achievement of common goals.</w:t>
      </w:r>
      <w:r w:rsidR="001426E6" w:rsidRPr="00592942">
        <w:rPr>
          <w:rFonts w:ascii="Century Gothic" w:eastAsia="Malgun Gothic Semilight" w:hAnsi="Century Gothic" w:cs="Malgun Gothic Semilight"/>
          <w:sz w:val="20"/>
          <w:szCs w:val="20"/>
        </w:rPr>
        <w:t xml:space="preserve"> </w:t>
      </w:r>
      <w:r w:rsidRPr="00592942">
        <w:rPr>
          <w:rFonts w:ascii="Century Gothic" w:eastAsia="Malgun Gothic Semilight" w:hAnsi="Century Gothic" w:cs="Malgun Gothic Semilight"/>
          <w:sz w:val="20"/>
          <w:szCs w:val="20"/>
        </w:rPr>
        <w:t xml:space="preserve">The education of our children is too important </w:t>
      </w:r>
      <w:r w:rsidR="003165B3" w:rsidRPr="00592942">
        <w:rPr>
          <w:rFonts w:ascii="Century Gothic" w:eastAsia="Malgun Gothic Semilight" w:hAnsi="Century Gothic" w:cs="Malgun Gothic Semilight"/>
          <w:sz w:val="20"/>
          <w:szCs w:val="20"/>
        </w:rPr>
        <w:t>to let politics get in the way.</w:t>
      </w:r>
    </w:p>
    <w:p w14:paraId="6D371478" w14:textId="7519335B" w:rsidR="00030AD5" w:rsidRPr="00592942" w:rsidRDefault="00030AD5" w:rsidP="005E2047">
      <w:pPr>
        <w:jc w:val="both"/>
        <w:rPr>
          <w:rFonts w:ascii="Century Gothic" w:eastAsia="Malgun Gothic Semilight" w:hAnsi="Century Gothic" w:cs="Malgun Gothic Semilight"/>
          <w:sz w:val="20"/>
          <w:szCs w:val="20"/>
        </w:rPr>
      </w:pPr>
    </w:p>
    <w:p w14:paraId="554BE4B4" w14:textId="15D54115" w:rsidR="00A66A68" w:rsidRPr="00592942" w:rsidRDefault="008B6606" w:rsidP="005E2047">
      <w:pPr>
        <w:jc w:val="both"/>
        <w:rPr>
          <w:rFonts w:ascii="Century Gothic" w:eastAsia="Malgun Gothic Semilight" w:hAnsi="Century Gothic" w:cs="Malgun Gothic Semilight"/>
          <w:b/>
          <w:bCs/>
          <w:sz w:val="20"/>
          <w:szCs w:val="20"/>
        </w:rPr>
      </w:pPr>
      <w:r>
        <w:rPr>
          <w:rFonts w:ascii="Century Gothic" w:eastAsia="Malgun Gothic Semilight" w:hAnsi="Century Gothic" w:cs="Malgun Gothic Semilight"/>
          <w:b/>
          <w:bCs/>
          <w:sz w:val="20"/>
          <w:szCs w:val="20"/>
        </w:rPr>
        <w:t>Quality Init</w:t>
      </w:r>
      <w:r w:rsidR="00A87CC2">
        <w:rPr>
          <w:rFonts w:ascii="Century Gothic" w:eastAsia="Malgun Gothic Semilight" w:hAnsi="Century Gothic" w:cs="Malgun Gothic Semilight"/>
          <w:b/>
          <w:bCs/>
          <w:sz w:val="20"/>
          <w:szCs w:val="20"/>
        </w:rPr>
        <w:t xml:space="preserve">ial </w:t>
      </w:r>
      <w:r w:rsidR="005C303B">
        <w:rPr>
          <w:rFonts w:ascii="Century Gothic" w:eastAsia="Malgun Gothic Semilight" w:hAnsi="Century Gothic" w:cs="Malgun Gothic Semilight"/>
          <w:b/>
          <w:bCs/>
          <w:sz w:val="20"/>
          <w:szCs w:val="20"/>
        </w:rPr>
        <w:t>Teacher Education</w:t>
      </w:r>
      <w:r>
        <w:rPr>
          <w:rFonts w:ascii="Century Gothic" w:eastAsia="Malgun Gothic Semilight" w:hAnsi="Century Gothic" w:cs="Malgun Gothic Semilight"/>
          <w:b/>
          <w:bCs/>
          <w:sz w:val="20"/>
          <w:szCs w:val="20"/>
        </w:rPr>
        <w:t xml:space="preserve"> </w:t>
      </w:r>
      <w:r w:rsidR="000C031C" w:rsidRPr="00592942">
        <w:rPr>
          <w:rFonts w:ascii="Century Gothic" w:eastAsia="Malgun Gothic Semilight" w:hAnsi="Century Gothic" w:cs="Malgun Gothic Semilight"/>
          <w:b/>
          <w:bCs/>
          <w:sz w:val="20"/>
          <w:szCs w:val="20"/>
        </w:rPr>
        <w:t xml:space="preserve"> - </w:t>
      </w:r>
      <w:r w:rsidR="00746C51" w:rsidRPr="00592942">
        <w:rPr>
          <w:rFonts w:ascii="Century Gothic" w:eastAsia="Malgun Gothic Semilight" w:hAnsi="Century Gothic" w:cs="Malgun Gothic Semilight"/>
          <w:b/>
          <w:bCs/>
          <w:sz w:val="20"/>
          <w:szCs w:val="20"/>
        </w:rPr>
        <w:t>ASPA’s initial thoughts</w:t>
      </w:r>
      <w:r w:rsidR="00CC75FE" w:rsidRPr="00592942">
        <w:rPr>
          <w:rFonts w:ascii="Century Gothic" w:eastAsia="Malgun Gothic Semilight" w:hAnsi="Century Gothic" w:cs="Malgun Gothic Semilight"/>
          <w:b/>
          <w:bCs/>
          <w:sz w:val="20"/>
          <w:szCs w:val="20"/>
        </w:rPr>
        <w:t>….</w:t>
      </w:r>
      <w:r w:rsidR="00A66A68" w:rsidRPr="00592942">
        <w:rPr>
          <w:rFonts w:ascii="Century Gothic" w:eastAsia="Malgun Gothic Semilight" w:hAnsi="Century Gothic" w:cs="Malgun Gothic Semilight"/>
          <w:b/>
          <w:bCs/>
          <w:sz w:val="20"/>
          <w:szCs w:val="20"/>
        </w:rPr>
        <w:t xml:space="preserve"> </w:t>
      </w:r>
    </w:p>
    <w:p w14:paraId="0048A869" w14:textId="77777777" w:rsidR="002862B1" w:rsidRPr="00592942" w:rsidRDefault="002862B1" w:rsidP="005E2047">
      <w:pPr>
        <w:jc w:val="both"/>
        <w:rPr>
          <w:rFonts w:ascii="Century Gothic" w:eastAsia="Malgun Gothic Semilight" w:hAnsi="Century Gothic" w:cs="Malgun Gothic Semilight"/>
          <w:sz w:val="20"/>
          <w:szCs w:val="20"/>
        </w:rPr>
      </w:pPr>
    </w:p>
    <w:p w14:paraId="6E141349" w14:textId="3AD2BBFB" w:rsidR="00F91FA5" w:rsidRPr="00592942" w:rsidRDefault="00F91FA5" w:rsidP="00746C51">
      <w:pPr>
        <w:pStyle w:val="ListParagraph"/>
        <w:numPr>
          <w:ilvl w:val="0"/>
          <w:numId w:val="38"/>
        </w:numPr>
        <w:rPr>
          <w:rFonts w:ascii="Century Gothic" w:hAnsi="Century Gothic"/>
          <w:sz w:val="20"/>
          <w:szCs w:val="20"/>
        </w:rPr>
      </w:pPr>
      <w:r w:rsidRPr="00592942">
        <w:rPr>
          <w:rFonts w:ascii="Century Gothic" w:hAnsi="Century Gothic"/>
          <w:sz w:val="20"/>
          <w:szCs w:val="20"/>
        </w:rPr>
        <w:t>Graduate teachers should exit their initial teacher education as:</w:t>
      </w:r>
    </w:p>
    <w:p w14:paraId="1334C7D7" w14:textId="77777777" w:rsidR="00F91FA5" w:rsidRPr="00592942" w:rsidRDefault="00F91FA5" w:rsidP="00F91FA5">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Learners for life</w:t>
      </w:r>
    </w:p>
    <w:p w14:paraId="6AE3415E" w14:textId="77777777" w:rsidR="00F91FA5" w:rsidRPr="00592942" w:rsidRDefault="00F91FA5" w:rsidP="00F91FA5">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Effective communicators</w:t>
      </w:r>
    </w:p>
    <w:p w14:paraId="2B4FB12E" w14:textId="77777777" w:rsidR="00F91FA5" w:rsidRPr="00592942" w:rsidRDefault="00F91FA5" w:rsidP="00F91FA5">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Collaborative practitioners</w:t>
      </w:r>
    </w:p>
    <w:p w14:paraId="2B4CF945" w14:textId="77777777" w:rsidR="00F91FA5" w:rsidRPr="00592942" w:rsidRDefault="00F91FA5" w:rsidP="00F91FA5">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Interested in young people and their learning</w:t>
      </w:r>
    </w:p>
    <w:p w14:paraId="43039173" w14:textId="77777777" w:rsidR="00F91FA5" w:rsidRPr="00592942" w:rsidRDefault="00F91FA5" w:rsidP="00F91FA5">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Interested in young people and their emotional, personal, social and vocational development</w:t>
      </w:r>
    </w:p>
    <w:p w14:paraId="7AEFCA41" w14:textId="77777777" w:rsidR="00F91FA5" w:rsidRPr="00592942" w:rsidRDefault="00F91FA5" w:rsidP="00F91FA5">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Literate (including the full range of literacies; e.g., critical, information, media, ICT)</w:t>
      </w:r>
    </w:p>
    <w:p w14:paraId="5C2F2BE1" w14:textId="77777777" w:rsidR="00F91FA5" w:rsidRPr="00592942" w:rsidRDefault="00F91FA5" w:rsidP="00F91FA5">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Numerate</w:t>
      </w:r>
    </w:p>
    <w:p w14:paraId="18B331C7" w14:textId="1AABF229" w:rsidR="00F91FA5" w:rsidRPr="00592942" w:rsidRDefault="00F91FA5" w:rsidP="00F91FA5">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Resilient people (including the ability to respond to change).</w:t>
      </w:r>
    </w:p>
    <w:p w14:paraId="5175D7CD" w14:textId="7EC9DFB2" w:rsidR="00FB5F27" w:rsidRPr="00592942" w:rsidRDefault="00FB5F27" w:rsidP="00FB5F27">
      <w:pPr>
        <w:spacing w:after="0" w:line="240" w:lineRule="auto"/>
        <w:rPr>
          <w:rFonts w:ascii="Century Gothic" w:hAnsi="Century Gothic"/>
          <w:sz w:val="20"/>
          <w:szCs w:val="20"/>
        </w:rPr>
      </w:pPr>
    </w:p>
    <w:p w14:paraId="2197A035" w14:textId="1B866481" w:rsidR="00FB5F27" w:rsidRPr="00592942" w:rsidRDefault="00FB5F27" w:rsidP="00FB5F27">
      <w:pPr>
        <w:pStyle w:val="ListParagraph"/>
        <w:numPr>
          <w:ilvl w:val="0"/>
          <w:numId w:val="38"/>
        </w:numPr>
        <w:spacing w:after="0" w:line="240" w:lineRule="auto"/>
        <w:rPr>
          <w:rFonts w:ascii="Century Gothic" w:hAnsi="Century Gothic"/>
          <w:sz w:val="20"/>
          <w:szCs w:val="20"/>
        </w:rPr>
      </w:pPr>
      <w:r w:rsidRPr="00592942">
        <w:rPr>
          <w:rFonts w:ascii="Century Gothic" w:hAnsi="Century Gothic"/>
          <w:sz w:val="20"/>
          <w:szCs w:val="20"/>
        </w:rPr>
        <w:t xml:space="preserve">Graduate teachers should exit with the following skills - </w:t>
      </w:r>
    </w:p>
    <w:p w14:paraId="2B830E1F" w14:textId="477DBD1B" w:rsidR="00FF57F7" w:rsidRPr="00592942" w:rsidRDefault="00FF57F7" w:rsidP="00FF57F7">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Expert</w:t>
      </w:r>
      <w:r w:rsidR="00F7132F" w:rsidRPr="00592942">
        <w:rPr>
          <w:rFonts w:ascii="Century Gothic" w:hAnsi="Century Gothic"/>
          <w:sz w:val="20"/>
          <w:szCs w:val="20"/>
        </w:rPr>
        <w:t>i</w:t>
      </w:r>
      <w:r w:rsidRPr="00592942">
        <w:rPr>
          <w:rFonts w:ascii="Century Gothic" w:hAnsi="Century Gothic"/>
          <w:sz w:val="20"/>
          <w:szCs w:val="20"/>
        </w:rPr>
        <w:t>s</w:t>
      </w:r>
      <w:r w:rsidR="00F7132F" w:rsidRPr="00592942">
        <w:rPr>
          <w:rFonts w:ascii="Century Gothic" w:hAnsi="Century Gothic"/>
          <w:sz w:val="20"/>
          <w:szCs w:val="20"/>
        </w:rPr>
        <w:t>e</w:t>
      </w:r>
      <w:r w:rsidRPr="00592942">
        <w:rPr>
          <w:rFonts w:ascii="Century Gothic" w:hAnsi="Century Gothic"/>
          <w:sz w:val="20"/>
          <w:szCs w:val="20"/>
        </w:rPr>
        <w:t xml:space="preserve"> in task and learning design</w:t>
      </w:r>
    </w:p>
    <w:p w14:paraId="5DC17328" w14:textId="6E43C88C" w:rsidR="00FF57F7" w:rsidRPr="00592942" w:rsidRDefault="00FF57F7" w:rsidP="00FF57F7">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Expert</w:t>
      </w:r>
      <w:r w:rsidR="00F7132F" w:rsidRPr="00592942">
        <w:rPr>
          <w:rFonts w:ascii="Century Gothic" w:hAnsi="Century Gothic"/>
          <w:sz w:val="20"/>
          <w:szCs w:val="20"/>
        </w:rPr>
        <w:t>i</w:t>
      </w:r>
      <w:r w:rsidRPr="00592942">
        <w:rPr>
          <w:rFonts w:ascii="Century Gothic" w:hAnsi="Century Gothic"/>
          <w:sz w:val="20"/>
          <w:szCs w:val="20"/>
        </w:rPr>
        <w:t>s</w:t>
      </w:r>
      <w:r w:rsidR="00F7132F" w:rsidRPr="00592942">
        <w:rPr>
          <w:rFonts w:ascii="Century Gothic" w:hAnsi="Century Gothic"/>
          <w:sz w:val="20"/>
          <w:szCs w:val="20"/>
        </w:rPr>
        <w:t>e</w:t>
      </w:r>
      <w:r w:rsidRPr="00592942">
        <w:rPr>
          <w:rFonts w:ascii="Century Gothic" w:hAnsi="Century Gothic"/>
          <w:sz w:val="20"/>
          <w:szCs w:val="20"/>
        </w:rPr>
        <w:t xml:space="preserve"> in assessment literacy (i.e., assessment - of learning, for learning, as learning)</w:t>
      </w:r>
    </w:p>
    <w:p w14:paraId="616BB2B3" w14:textId="56DFD61D" w:rsidR="00FF57F7" w:rsidRPr="00592942" w:rsidRDefault="00FF57F7" w:rsidP="00FF57F7">
      <w:pPr>
        <w:pStyle w:val="ListParagraph"/>
        <w:numPr>
          <w:ilvl w:val="0"/>
          <w:numId w:val="37"/>
        </w:numPr>
        <w:spacing w:after="0" w:line="240" w:lineRule="auto"/>
        <w:rPr>
          <w:rFonts w:ascii="Century Gothic" w:hAnsi="Century Gothic"/>
          <w:sz w:val="20"/>
          <w:szCs w:val="20"/>
        </w:rPr>
      </w:pPr>
      <w:r w:rsidRPr="00592942">
        <w:rPr>
          <w:rFonts w:ascii="Century Gothic" w:hAnsi="Century Gothic"/>
          <w:sz w:val="20"/>
          <w:szCs w:val="20"/>
        </w:rPr>
        <w:t>Expert</w:t>
      </w:r>
      <w:r w:rsidR="00F7132F" w:rsidRPr="00592942">
        <w:rPr>
          <w:rFonts w:ascii="Century Gothic" w:hAnsi="Century Gothic"/>
          <w:sz w:val="20"/>
          <w:szCs w:val="20"/>
        </w:rPr>
        <w:t>i</w:t>
      </w:r>
      <w:r w:rsidRPr="00592942">
        <w:rPr>
          <w:rFonts w:ascii="Century Gothic" w:hAnsi="Century Gothic"/>
          <w:sz w:val="20"/>
          <w:szCs w:val="20"/>
        </w:rPr>
        <w:t>s</w:t>
      </w:r>
      <w:r w:rsidR="00F7132F" w:rsidRPr="00592942">
        <w:rPr>
          <w:rFonts w:ascii="Century Gothic" w:hAnsi="Century Gothic"/>
          <w:sz w:val="20"/>
          <w:szCs w:val="20"/>
        </w:rPr>
        <w:t>e</w:t>
      </w:r>
      <w:r w:rsidRPr="00592942">
        <w:rPr>
          <w:rFonts w:ascii="Century Gothic" w:hAnsi="Century Gothic"/>
          <w:sz w:val="20"/>
          <w:szCs w:val="20"/>
        </w:rPr>
        <w:t xml:space="preserve"> in blended learning and ICT as tools for learning. </w:t>
      </w:r>
    </w:p>
    <w:p w14:paraId="15083C6E" w14:textId="1A920310" w:rsidR="009720CE" w:rsidRPr="00592942" w:rsidRDefault="009720CE" w:rsidP="009720CE">
      <w:pPr>
        <w:spacing w:after="0" w:line="240" w:lineRule="auto"/>
        <w:rPr>
          <w:rFonts w:ascii="Century Gothic" w:hAnsi="Century Gothic"/>
          <w:sz w:val="20"/>
          <w:szCs w:val="20"/>
        </w:rPr>
      </w:pPr>
    </w:p>
    <w:p w14:paraId="5F2CEAE5" w14:textId="5968F5BA" w:rsidR="007C41A7" w:rsidRPr="00592942" w:rsidRDefault="007C41A7" w:rsidP="007C41A7">
      <w:pPr>
        <w:pStyle w:val="ListParagraph"/>
        <w:numPr>
          <w:ilvl w:val="0"/>
          <w:numId w:val="38"/>
        </w:numPr>
        <w:rPr>
          <w:rFonts w:ascii="Century Gothic" w:hAnsi="Century Gothic"/>
          <w:sz w:val="20"/>
          <w:szCs w:val="20"/>
        </w:rPr>
      </w:pPr>
      <w:r w:rsidRPr="00592942">
        <w:rPr>
          <w:rFonts w:ascii="Century Gothic" w:hAnsi="Century Gothic"/>
          <w:sz w:val="20"/>
          <w:szCs w:val="20"/>
        </w:rPr>
        <w:t xml:space="preserve">The interpersonal qualities needed by teachers suggest </w:t>
      </w:r>
      <w:r w:rsidR="00F7132F" w:rsidRPr="00592942">
        <w:rPr>
          <w:rFonts w:ascii="Century Gothic" w:hAnsi="Century Gothic"/>
          <w:sz w:val="20"/>
          <w:szCs w:val="20"/>
        </w:rPr>
        <w:t xml:space="preserve">there may be </w:t>
      </w:r>
      <w:r w:rsidRPr="00592942">
        <w:rPr>
          <w:rFonts w:ascii="Century Gothic" w:hAnsi="Century Gothic"/>
          <w:sz w:val="20"/>
          <w:szCs w:val="20"/>
        </w:rPr>
        <w:t xml:space="preserve">a better </w:t>
      </w:r>
      <w:r w:rsidR="00F7132F" w:rsidRPr="00592942">
        <w:rPr>
          <w:rFonts w:ascii="Century Gothic" w:hAnsi="Century Gothic"/>
          <w:sz w:val="20"/>
          <w:szCs w:val="20"/>
        </w:rPr>
        <w:t xml:space="preserve">ITE selection </w:t>
      </w:r>
      <w:r w:rsidRPr="00592942">
        <w:rPr>
          <w:rFonts w:ascii="Century Gothic" w:hAnsi="Century Gothic"/>
          <w:sz w:val="20"/>
          <w:szCs w:val="20"/>
        </w:rPr>
        <w:t>process than a strict adherence to an ATAR score. Perhaps a portfolio entry or a blended process that has a combination of ATAR, Interview, Diagnostic Vocational Aptitude Testing and Portfolio</w:t>
      </w:r>
      <w:r w:rsidR="0029295B" w:rsidRPr="00592942">
        <w:rPr>
          <w:rFonts w:ascii="Century Gothic" w:hAnsi="Century Gothic"/>
          <w:sz w:val="20"/>
          <w:szCs w:val="20"/>
        </w:rPr>
        <w:t>.  There are successful models of selection from national and international institutions that could be explored and used to design a selection process that is appropriate without being too onerous.</w:t>
      </w:r>
    </w:p>
    <w:p w14:paraId="7CD4B65E" w14:textId="1254CE49" w:rsidR="00CC75FE" w:rsidRPr="00592942" w:rsidRDefault="00E7699A" w:rsidP="00610223">
      <w:pPr>
        <w:pStyle w:val="ListParagraph"/>
        <w:numPr>
          <w:ilvl w:val="0"/>
          <w:numId w:val="38"/>
        </w:numPr>
        <w:spacing w:after="0" w:line="240" w:lineRule="auto"/>
        <w:rPr>
          <w:rFonts w:ascii="Century Gothic" w:hAnsi="Century Gothic"/>
          <w:sz w:val="20"/>
          <w:szCs w:val="20"/>
        </w:rPr>
      </w:pPr>
      <w:r w:rsidRPr="00592942">
        <w:rPr>
          <w:rFonts w:ascii="Century Gothic" w:hAnsi="Century Gothic"/>
          <w:sz w:val="20"/>
          <w:szCs w:val="20"/>
        </w:rPr>
        <w:lastRenderedPageBreak/>
        <w:t>Teacher courses would be able to better develop these skills and characteristics if undergraduates spent more time in schools and that this time was deployed more strategically.</w:t>
      </w:r>
    </w:p>
    <w:p w14:paraId="38714A6E" w14:textId="77777777" w:rsidR="002B466F" w:rsidRPr="00592942" w:rsidRDefault="002B466F" w:rsidP="002B466F">
      <w:pPr>
        <w:pStyle w:val="ListParagraph"/>
        <w:rPr>
          <w:rFonts w:ascii="Century Gothic" w:hAnsi="Century Gothic"/>
          <w:sz w:val="20"/>
          <w:szCs w:val="20"/>
        </w:rPr>
      </w:pPr>
    </w:p>
    <w:p w14:paraId="088A1661" w14:textId="7896818A" w:rsidR="00DA4947" w:rsidRPr="00592942" w:rsidRDefault="00DA4947" w:rsidP="005F0EED">
      <w:pPr>
        <w:pStyle w:val="ListParagraph"/>
        <w:numPr>
          <w:ilvl w:val="0"/>
          <w:numId w:val="38"/>
        </w:numPr>
        <w:rPr>
          <w:rFonts w:ascii="Century Gothic" w:hAnsi="Century Gothic"/>
          <w:sz w:val="20"/>
          <w:szCs w:val="20"/>
        </w:rPr>
      </w:pPr>
      <w:r w:rsidRPr="00592942">
        <w:rPr>
          <w:rFonts w:ascii="Century Gothic" w:hAnsi="Century Gothic"/>
          <w:sz w:val="20"/>
          <w:szCs w:val="20"/>
        </w:rPr>
        <w:t xml:space="preserve">Currency of practice and knowledge of contemporary work in schools is vital for Teacher Educators. Strengthened partnerships that would see ITE academics working in close collaboration with schools and spending time in schools would provide meaningful opportunities to ensure lecturers have a current understanding of schools and an appreciation of what constitutes as teaching practice in a dynamic and rapidly changing workplace. </w:t>
      </w:r>
    </w:p>
    <w:p w14:paraId="40F49454" w14:textId="77777777" w:rsidR="00DA4947" w:rsidRPr="00592942" w:rsidRDefault="00DA4947" w:rsidP="00610223">
      <w:pPr>
        <w:pStyle w:val="ListParagraph"/>
        <w:rPr>
          <w:rFonts w:ascii="Century Gothic" w:hAnsi="Century Gothic"/>
          <w:sz w:val="20"/>
          <w:szCs w:val="20"/>
        </w:rPr>
      </w:pPr>
    </w:p>
    <w:p w14:paraId="22B251A8" w14:textId="5F48CAFF" w:rsidR="005F0EED" w:rsidRPr="00592942" w:rsidRDefault="005F0EED" w:rsidP="005F0EED">
      <w:pPr>
        <w:pStyle w:val="ListParagraph"/>
        <w:numPr>
          <w:ilvl w:val="0"/>
          <w:numId w:val="38"/>
        </w:numPr>
        <w:rPr>
          <w:rFonts w:ascii="Century Gothic" w:hAnsi="Century Gothic"/>
          <w:sz w:val="20"/>
          <w:szCs w:val="20"/>
        </w:rPr>
      </w:pPr>
      <w:r w:rsidRPr="00592942">
        <w:rPr>
          <w:rFonts w:ascii="Century Gothic" w:hAnsi="Century Gothic"/>
          <w:sz w:val="20"/>
          <w:szCs w:val="20"/>
        </w:rPr>
        <w:t xml:space="preserve">With regards to teacher training, </w:t>
      </w:r>
      <w:r w:rsidR="00E4105D" w:rsidRPr="00592942">
        <w:rPr>
          <w:rFonts w:ascii="Century Gothic" w:hAnsi="Century Gothic"/>
          <w:sz w:val="20"/>
          <w:szCs w:val="20"/>
        </w:rPr>
        <w:t xml:space="preserve">ASPA believes </w:t>
      </w:r>
      <w:r w:rsidRPr="00592942">
        <w:rPr>
          <w:rFonts w:ascii="Century Gothic" w:hAnsi="Century Gothic"/>
          <w:sz w:val="20"/>
          <w:szCs w:val="20"/>
        </w:rPr>
        <w:t xml:space="preserve">it is imperative that practicums become more aligned to the rhythm of schools (and the key moments such as end of term reporting, parent-teacher interviews, school T&amp;D days etc.) than to </w:t>
      </w:r>
      <w:r w:rsidR="00E4105D" w:rsidRPr="00592942">
        <w:rPr>
          <w:rFonts w:ascii="Century Gothic" w:hAnsi="Century Gothic"/>
          <w:sz w:val="20"/>
          <w:szCs w:val="20"/>
        </w:rPr>
        <w:t>their alignment within</w:t>
      </w:r>
      <w:r w:rsidR="00366A9F" w:rsidRPr="00592942">
        <w:rPr>
          <w:rFonts w:ascii="Century Gothic" w:hAnsi="Century Gothic"/>
          <w:sz w:val="20"/>
          <w:szCs w:val="20"/>
        </w:rPr>
        <w:t xml:space="preserve"> tertiary</w:t>
      </w:r>
      <w:r w:rsidR="00E4105D" w:rsidRPr="00592942">
        <w:rPr>
          <w:rFonts w:ascii="Century Gothic" w:hAnsi="Century Gothic"/>
          <w:sz w:val="20"/>
          <w:szCs w:val="20"/>
        </w:rPr>
        <w:t xml:space="preserve"> </w:t>
      </w:r>
      <w:r w:rsidRPr="00592942">
        <w:rPr>
          <w:rFonts w:ascii="Century Gothic" w:hAnsi="Century Gothic"/>
          <w:sz w:val="20"/>
          <w:szCs w:val="20"/>
        </w:rPr>
        <w:t>academic program</w:t>
      </w:r>
      <w:r w:rsidR="00E4105D" w:rsidRPr="00592942">
        <w:rPr>
          <w:rFonts w:ascii="Century Gothic" w:hAnsi="Century Gothic"/>
          <w:sz w:val="20"/>
          <w:szCs w:val="20"/>
        </w:rPr>
        <w:t>s</w:t>
      </w:r>
      <w:r w:rsidRPr="00592942">
        <w:rPr>
          <w:rFonts w:ascii="Century Gothic" w:hAnsi="Century Gothic"/>
          <w:sz w:val="20"/>
          <w:szCs w:val="20"/>
        </w:rPr>
        <w:t>.</w:t>
      </w:r>
      <w:r w:rsidR="00E4105D" w:rsidRPr="00592942">
        <w:rPr>
          <w:rFonts w:ascii="Century Gothic" w:hAnsi="Century Gothic"/>
          <w:sz w:val="20"/>
          <w:szCs w:val="20"/>
        </w:rPr>
        <w:t xml:space="preserve"> </w:t>
      </w:r>
      <w:r w:rsidRPr="00592942">
        <w:rPr>
          <w:rFonts w:ascii="Century Gothic" w:hAnsi="Century Gothic"/>
          <w:sz w:val="20"/>
          <w:szCs w:val="20"/>
        </w:rPr>
        <w:t>The more undergraduates feel the rhythm of schooling and the demands of the hundreds of daily/weekly interactions they must have, the better prepared they will be for the rigours of our profession.</w:t>
      </w:r>
    </w:p>
    <w:p w14:paraId="605BE83D" w14:textId="77777777" w:rsidR="005F0EED" w:rsidRPr="00592942" w:rsidRDefault="005F0EED" w:rsidP="005F0EED">
      <w:pPr>
        <w:pStyle w:val="ListParagraph"/>
        <w:rPr>
          <w:rFonts w:ascii="Century Gothic" w:hAnsi="Century Gothic"/>
          <w:sz w:val="20"/>
          <w:szCs w:val="20"/>
        </w:rPr>
      </w:pPr>
    </w:p>
    <w:p w14:paraId="3349FCBA" w14:textId="2A960186" w:rsidR="002B466F" w:rsidRPr="00592942" w:rsidRDefault="001621F1" w:rsidP="00746C51">
      <w:pPr>
        <w:pStyle w:val="ListParagraph"/>
        <w:numPr>
          <w:ilvl w:val="0"/>
          <w:numId w:val="38"/>
        </w:numPr>
        <w:spacing w:after="0" w:line="240" w:lineRule="auto"/>
        <w:rPr>
          <w:rFonts w:ascii="Century Gothic" w:hAnsi="Century Gothic"/>
          <w:sz w:val="20"/>
          <w:szCs w:val="20"/>
        </w:rPr>
      </w:pPr>
      <w:r w:rsidRPr="00592942">
        <w:rPr>
          <w:rFonts w:ascii="Century Gothic" w:hAnsi="Century Gothic"/>
          <w:sz w:val="20"/>
          <w:szCs w:val="20"/>
        </w:rPr>
        <w:t>One of the strategies that has worked in the past, and could work again, is Teacher Education institutions forming a partnership with a local school, to enable active participation in that school’s workplace in-between the formal practicums.  This could have the added benefit of supporting the lecturers in Teacher Education institutions have a purposeful relationship with a working school, to ensure an up-to-date and contextual understanding of 21st C schooling</w:t>
      </w:r>
      <w:r w:rsidR="00E4105D" w:rsidRPr="00592942">
        <w:rPr>
          <w:rFonts w:ascii="Century Gothic" w:hAnsi="Century Gothic"/>
          <w:sz w:val="20"/>
          <w:szCs w:val="20"/>
        </w:rPr>
        <w:t xml:space="preserve">. This would require investment from the Government and a recognition of the additional workload being undertaken by mentor teachers and </w:t>
      </w:r>
      <w:r w:rsidR="00E83975" w:rsidRPr="00592942">
        <w:rPr>
          <w:rFonts w:ascii="Century Gothic" w:hAnsi="Century Gothic"/>
          <w:sz w:val="20"/>
          <w:szCs w:val="20"/>
        </w:rPr>
        <w:t>tertiary partnership coordinators.</w:t>
      </w:r>
    </w:p>
    <w:p w14:paraId="69FAD0A7" w14:textId="77777777" w:rsidR="001621F1" w:rsidRPr="00592942" w:rsidRDefault="001621F1" w:rsidP="00DA6658">
      <w:pPr>
        <w:spacing w:after="0" w:line="240" w:lineRule="auto"/>
        <w:rPr>
          <w:rFonts w:ascii="Century Gothic" w:hAnsi="Century Gothic"/>
          <w:sz w:val="20"/>
          <w:szCs w:val="20"/>
        </w:rPr>
      </w:pPr>
    </w:p>
    <w:p w14:paraId="666B8E00" w14:textId="3F32204C" w:rsidR="009C5CE5" w:rsidRPr="00592942" w:rsidRDefault="00EB19E1" w:rsidP="00EB19E1">
      <w:pPr>
        <w:jc w:val="both"/>
        <w:rPr>
          <w:rFonts w:ascii="Century Gothic" w:eastAsia="Malgun Gothic Semilight" w:hAnsi="Century Gothic" w:cs="Malgun Gothic Semilight"/>
          <w:b/>
          <w:bCs/>
          <w:sz w:val="20"/>
          <w:szCs w:val="20"/>
        </w:rPr>
      </w:pPr>
      <w:r w:rsidRPr="00592942">
        <w:rPr>
          <w:rFonts w:ascii="Century Gothic" w:eastAsia="Malgun Gothic Semilight" w:hAnsi="Century Gothic" w:cs="Malgun Gothic Semilight"/>
          <w:sz w:val="20"/>
          <w:szCs w:val="20"/>
        </w:rPr>
        <w:t xml:space="preserve"> </w:t>
      </w:r>
      <w:r w:rsidR="00746C51" w:rsidRPr="00592942">
        <w:rPr>
          <w:rFonts w:ascii="Century Gothic" w:eastAsia="Malgun Gothic Semilight" w:hAnsi="Century Gothic" w:cs="Malgun Gothic Semilight"/>
          <w:b/>
          <w:bCs/>
          <w:sz w:val="20"/>
          <w:szCs w:val="20"/>
        </w:rPr>
        <w:t>Following is ASPA’s response to the Terms of Reference</w:t>
      </w:r>
    </w:p>
    <w:p w14:paraId="66F839C3" w14:textId="77777777" w:rsidR="00E2750F" w:rsidRPr="00592942" w:rsidRDefault="00E2750F" w:rsidP="00E2750F">
      <w:pPr>
        <w:jc w:val="both"/>
        <w:rPr>
          <w:rFonts w:ascii="Century Gothic" w:eastAsia="Malgun Gothic Semilight" w:hAnsi="Century Gothic" w:cs="Malgun Gothic Semilight"/>
          <w:sz w:val="20"/>
          <w:szCs w:val="20"/>
        </w:rPr>
      </w:pPr>
    </w:p>
    <w:tbl>
      <w:tblPr>
        <w:tblStyle w:val="TableGrid"/>
        <w:tblW w:w="0" w:type="auto"/>
        <w:tblLook w:val="04A0" w:firstRow="1" w:lastRow="0" w:firstColumn="1" w:lastColumn="0" w:noHBand="0" w:noVBand="1"/>
      </w:tblPr>
      <w:tblGrid>
        <w:gridCol w:w="4112"/>
        <w:gridCol w:w="4904"/>
      </w:tblGrid>
      <w:tr w:rsidR="007B1BAA" w:rsidRPr="00592942" w14:paraId="732E230C" w14:textId="77777777" w:rsidTr="00A7244B">
        <w:trPr>
          <w:trHeight w:val="560"/>
        </w:trPr>
        <w:tc>
          <w:tcPr>
            <w:tcW w:w="6475" w:type="dxa"/>
          </w:tcPr>
          <w:p w14:paraId="5BE9BACD" w14:textId="24BC1CB0" w:rsidR="00E2750F" w:rsidRPr="00592942" w:rsidRDefault="00E2750F" w:rsidP="00E2750F">
            <w:pPr>
              <w:spacing w:after="160" w:line="259" w:lineRule="auto"/>
              <w:jc w:val="both"/>
              <w:rPr>
                <w:rFonts w:ascii="Century Gothic" w:eastAsia="Malgun Gothic Semilight" w:hAnsi="Century Gothic" w:cs="Malgun Gothic Semilight"/>
                <w:sz w:val="20"/>
                <w:szCs w:val="20"/>
              </w:rPr>
            </w:pPr>
            <w:bookmarkStart w:id="0" w:name="_Hlk63417788"/>
            <w:r w:rsidRPr="00592942">
              <w:rPr>
                <w:rFonts w:ascii="Century Gothic" w:eastAsia="Malgun Gothic Semilight" w:hAnsi="Century Gothic" w:cs="Malgun Gothic Semilight"/>
                <w:b/>
                <w:bCs/>
                <w:sz w:val="20"/>
                <w:szCs w:val="20"/>
                <w:lang w:val="en-US"/>
              </w:rPr>
              <w:t xml:space="preserve">PART A - Attracting and selecting high-quality candidates into the teaching profession </w:t>
            </w:r>
            <w:bookmarkEnd w:id="0"/>
          </w:p>
        </w:tc>
        <w:tc>
          <w:tcPr>
            <w:tcW w:w="6475" w:type="dxa"/>
          </w:tcPr>
          <w:p w14:paraId="30B036AC" w14:textId="5E89A1AE" w:rsidR="00E2750F" w:rsidRPr="00592942" w:rsidRDefault="00FD4563" w:rsidP="00FD4563">
            <w:pPr>
              <w:spacing w:after="160" w:line="259" w:lineRule="auto"/>
              <w:jc w:val="center"/>
              <w:rPr>
                <w:rFonts w:ascii="Century Gothic" w:eastAsia="Malgun Gothic Semilight" w:hAnsi="Century Gothic" w:cs="Malgun Gothic Semilight"/>
                <w:b/>
                <w:bCs/>
                <w:sz w:val="20"/>
                <w:szCs w:val="20"/>
              </w:rPr>
            </w:pPr>
            <w:r w:rsidRPr="00592942">
              <w:rPr>
                <w:rFonts w:ascii="Century Gothic" w:eastAsia="Malgun Gothic Semilight" w:hAnsi="Century Gothic" w:cs="Malgun Gothic Semilight"/>
                <w:b/>
                <w:bCs/>
                <w:sz w:val="20"/>
                <w:szCs w:val="20"/>
              </w:rPr>
              <w:t>ASPA response</w:t>
            </w:r>
          </w:p>
        </w:tc>
      </w:tr>
      <w:tr w:rsidR="00A7244B" w:rsidRPr="00592942" w14:paraId="37566A21" w14:textId="77777777" w:rsidTr="00BA4E2A">
        <w:trPr>
          <w:trHeight w:val="1340"/>
        </w:trPr>
        <w:tc>
          <w:tcPr>
            <w:tcW w:w="6475" w:type="dxa"/>
          </w:tcPr>
          <w:p w14:paraId="120F8B9D" w14:textId="77777777" w:rsidR="00A7244B" w:rsidRPr="00592942" w:rsidRDefault="00A7244B" w:rsidP="00E2750F">
            <w:pPr>
              <w:numPr>
                <w:ilvl w:val="0"/>
                <w:numId w:val="32"/>
              </w:numPr>
              <w:spacing w:after="160" w:line="259" w:lineRule="auto"/>
              <w:jc w:val="both"/>
              <w:rPr>
                <w:rFonts w:ascii="Century Gothic" w:eastAsia="Malgun Gothic Semilight" w:hAnsi="Century Gothic" w:cs="Malgun Gothic Semilight"/>
                <w:b/>
                <w:bCs/>
                <w:sz w:val="20"/>
                <w:szCs w:val="20"/>
                <w:lang w:val="en-US"/>
              </w:rPr>
            </w:pPr>
            <w:r w:rsidRPr="00592942">
              <w:rPr>
                <w:rFonts w:ascii="Century Gothic" w:eastAsia="Malgun Gothic Semilight" w:hAnsi="Century Gothic" w:cs="Malgun Gothic Semilight"/>
                <w:sz w:val="20"/>
                <w:szCs w:val="20"/>
                <w:lang w:val="en-US"/>
              </w:rPr>
              <w:t xml:space="preserve">How can we further encourage high-performing and highly motivated school leavers to enter ITE and choose teaching as a career? </w:t>
            </w:r>
          </w:p>
        </w:tc>
        <w:tc>
          <w:tcPr>
            <w:tcW w:w="6475" w:type="dxa"/>
          </w:tcPr>
          <w:p w14:paraId="25DDF6AF" w14:textId="074ADE5C" w:rsidR="00A7244B" w:rsidRPr="00592942" w:rsidRDefault="007B1BAA"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Raising the </w:t>
            </w:r>
            <w:r w:rsidRPr="00592942">
              <w:rPr>
                <w:rFonts w:ascii="Century Gothic" w:eastAsia="Malgun Gothic Semilight" w:hAnsi="Century Gothic" w:cs="Malgun Gothic Semilight"/>
                <w:b/>
                <w:bCs/>
                <w:sz w:val="20"/>
                <w:szCs w:val="20"/>
              </w:rPr>
              <w:t>status of the profession</w:t>
            </w:r>
            <w:r w:rsidRPr="00592942">
              <w:rPr>
                <w:rFonts w:ascii="Century Gothic" w:eastAsia="Malgun Gothic Semilight" w:hAnsi="Century Gothic" w:cs="Malgun Gothic Semilight"/>
                <w:sz w:val="20"/>
                <w:szCs w:val="20"/>
              </w:rPr>
              <w:t xml:space="preserve"> - school leavers need to see that the </w:t>
            </w:r>
            <w:r w:rsidR="00E83975" w:rsidRPr="00592942">
              <w:rPr>
                <w:rFonts w:ascii="Century Gothic" w:eastAsia="Malgun Gothic Semilight" w:hAnsi="Century Gothic" w:cs="Malgun Gothic Semilight"/>
                <w:sz w:val="20"/>
                <w:szCs w:val="20"/>
              </w:rPr>
              <w:t xml:space="preserve">teaching </w:t>
            </w:r>
            <w:r w:rsidRPr="00592942">
              <w:rPr>
                <w:rFonts w:ascii="Century Gothic" w:eastAsia="Malgun Gothic Semilight" w:hAnsi="Century Gothic" w:cs="Malgun Gothic Semilight"/>
                <w:sz w:val="20"/>
                <w:szCs w:val="20"/>
              </w:rPr>
              <w:t>profession is an attractive</w:t>
            </w:r>
            <w:r w:rsidR="00E83975" w:rsidRPr="00592942">
              <w:rPr>
                <w:rFonts w:ascii="Century Gothic" w:eastAsia="Malgun Gothic Semilight" w:hAnsi="Century Gothic" w:cs="Malgun Gothic Semilight"/>
                <w:sz w:val="20"/>
                <w:szCs w:val="20"/>
              </w:rPr>
              <w:t xml:space="preserve"> option</w:t>
            </w:r>
            <w:r w:rsidRPr="00592942">
              <w:rPr>
                <w:rFonts w:ascii="Century Gothic" w:eastAsia="Malgun Gothic Semilight" w:hAnsi="Century Gothic" w:cs="Malgun Gothic Semilight"/>
                <w:sz w:val="20"/>
                <w:szCs w:val="20"/>
              </w:rPr>
              <w:t xml:space="preserve">. Since the TEMAG review, teachers have far less autonomy in their work and, year-after-year, are blamed for NAPLaN, PISA and TIMMS results.  </w:t>
            </w:r>
            <w:r w:rsidR="00CF6E75" w:rsidRPr="00592942">
              <w:rPr>
                <w:rFonts w:ascii="Century Gothic" w:eastAsia="Malgun Gothic Semilight" w:hAnsi="Century Gothic" w:cs="Malgun Gothic Semilight"/>
                <w:sz w:val="20"/>
                <w:szCs w:val="20"/>
              </w:rPr>
              <w:t>O</w:t>
            </w:r>
            <w:r w:rsidRPr="00592942">
              <w:rPr>
                <w:rFonts w:ascii="Century Gothic" w:eastAsia="Malgun Gothic Semilight" w:hAnsi="Century Gothic" w:cs="Malgun Gothic Semilight"/>
                <w:sz w:val="20"/>
                <w:szCs w:val="20"/>
              </w:rPr>
              <w:t>ther professions – medicine, law, engineering, nursing etc. – do not have to</w:t>
            </w:r>
            <w:r w:rsidR="00E83975" w:rsidRPr="00592942">
              <w:rPr>
                <w:rFonts w:ascii="Century Gothic" w:eastAsia="Malgun Gothic Semilight" w:hAnsi="Century Gothic" w:cs="Malgun Gothic Semilight"/>
                <w:sz w:val="20"/>
                <w:szCs w:val="20"/>
              </w:rPr>
              <w:t xml:space="preserve"> endure</w:t>
            </w:r>
            <w:r w:rsidRPr="00592942">
              <w:rPr>
                <w:rFonts w:ascii="Century Gothic" w:eastAsia="Malgun Gothic Semilight" w:hAnsi="Century Gothic" w:cs="Malgun Gothic Semilight"/>
                <w:sz w:val="20"/>
                <w:szCs w:val="20"/>
              </w:rPr>
              <w:t xml:space="preserve"> the same levels of political interference or media backlash</w:t>
            </w:r>
            <w:r w:rsidR="00CF6E75" w:rsidRPr="00592942">
              <w:rPr>
                <w:rFonts w:ascii="Century Gothic" w:eastAsia="Malgun Gothic Semilight" w:hAnsi="Century Gothic" w:cs="Malgun Gothic Semilight"/>
                <w:sz w:val="20"/>
                <w:szCs w:val="20"/>
              </w:rPr>
              <w:t>.</w:t>
            </w:r>
          </w:p>
          <w:p w14:paraId="6A19AA45" w14:textId="77777777" w:rsidR="00357FF5" w:rsidRPr="00592942" w:rsidRDefault="00357FF5"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A concerted campaign to minimise the </w:t>
            </w:r>
            <w:r w:rsidR="00C551FC" w:rsidRPr="00592942">
              <w:rPr>
                <w:rFonts w:ascii="Century Gothic" w:eastAsia="Malgun Gothic Semilight" w:hAnsi="Century Gothic" w:cs="Malgun Gothic Semilight"/>
                <w:sz w:val="20"/>
                <w:szCs w:val="20"/>
              </w:rPr>
              <w:t>quantum</w:t>
            </w:r>
            <w:r w:rsidRPr="00592942">
              <w:rPr>
                <w:rFonts w:ascii="Century Gothic" w:eastAsia="Malgun Gothic Semilight" w:hAnsi="Century Gothic" w:cs="Malgun Gothic Semilight"/>
                <w:sz w:val="20"/>
                <w:szCs w:val="20"/>
              </w:rPr>
              <w:t xml:space="preserve"> of teachers in our schools on cont</w:t>
            </w:r>
            <w:r w:rsidR="00D90574" w:rsidRPr="00592942">
              <w:rPr>
                <w:rFonts w:ascii="Century Gothic" w:eastAsia="Malgun Gothic Semilight" w:hAnsi="Century Gothic" w:cs="Malgun Gothic Semilight"/>
                <w:sz w:val="20"/>
                <w:szCs w:val="20"/>
              </w:rPr>
              <w:t>r</w:t>
            </w:r>
            <w:r w:rsidRPr="00592942">
              <w:rPr>
                <w:rFonts w:ascii="Century Gothic" w:eastAsia="Malgun Gothic Semilight" w:hAnsi="Century Gothic" w:cs="Malgun Gothic Semilight"/>
                <w:sz w:val="20"/>
                <w:szCs w:val="20"/>
              </w:rPr>
              <w:t>act</w:t>
            </w:r>
            <w:r w:rsidR="00C551FC" w:rsidRPr="00592942">
              <w:rPr>
                <w:rFonts w:ascii="Century Gothic" w:eastAsia="Malgun Gothic Semilight" w:hAnsi="Century Gothic" w:cs="Malgun Gothic Semilight"/>
                <w:sz w:val="20"/>
                <w:szCs w:val="20"/>
              </w:rPr>
              <w:t>/temporary engagement</w:t>
            </w:r>
            <w:r w:rsidR="0027579F" w:rsidRPr="00592942">
              <w:rPr>
                <w:rFonts w:ascii="Century Gothic" w:eastAsia="Malgun Gothic Semilight" w:hAnsi="Century Gothic" w:cs="Malgun Gothic Semilight"/>
                <w:sz w:val="20"/>
                <w:szCs w:val="20"/>
              </w:rPr>
              <w:t xml:space="preserve"> – i.e. staff our schools with permanent staff. Community confidence in our schools is clearly linked to this aspect.</w:t>
            </w:r>
          </w:p>
          <w:p w14:paraId="3450DC80" w14:textId="06B622C5" w:rsidR="0045234B" w:rsidRPr="00592942" w:rsidRDefault="0045234B" w:rsidP="0061022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b/>
                <w:bCs/>
                <w:sz w:val="20"/>
                <w:szCs w:val="20"/>
              </w:rPr>
              <w:t>Improved pay and working conditions.</w:t>
            </w:r>
            <w:r w:rsidRPr="00592942">
              <w:rPr>
                <w:rFonts w:ascii="Century Gothic" w:eastAsia="Malgun Gothic Semilight" w:hAnsi="Century Gothic" w:cs="Malgun Gothic Semilight"/>
                <w:sz w:val="20"/>
                <w:szCs w:val="20"/>
              </w:rPr>
              <w:t xml:space="preserve"> An increase in salary is not sufficient – working conditions are critical in attracting and retaining people to the profession. Current working conditions in </w:t>
            </w:r>
            <w:r w:rsidRPr="00592942">
              <w:rPr>
                <w:rFonts w:ascii="Century Gothic" w:hAnsi="Century Gothic"/>
                <w:sz w:val="20"/>
                <w:szCs w:val="20"/>
              </w:rPr>
              <w:t xml:space="preserve">schools </w:t>
            </w:r>
            <w:r w:rsidR="00E83975" w:rsidRPr="00592942">
              <w:rPr>
                <w:rFonts w:ascii="Century Gothic" w:hAnsi="Century Gothic"/>
                <w:sz w:val="20"/>
                <w:szCs w:val="20"/>
              </w:rPr>
              <w:t xml:space="preserve">(particularly those serving disadvantaged communities) </w:t>
            </w:r>
            <w:r w:rsidRPr="00592942">
              <w:rPr>
                <w:rFonts w:ascii="Century Gothic" w:hAnsi="Century Gothic"/>
                <w:sz w:val="20"/>
                <w:szCs w:val="20"/>
              </w:rPr>
              <w:t>are stressful, onerous and cause many well</w:t>
            </w:r>
            <w:r w:rsidR="00E83975" w:rsidRPr="00592942">
              <w:rPr>
                <w:rFonts w:ascii="Century Gothic" w:hAnsi="Century Gothic"/>
                <w:sz w:val="20"/>
                <w:szCs w:val="20"/>
              </w:rPr>
              <w:t>-</w:t>
            </w:r>
            <w:r w:rsidRPr="00592942">
              <w:rPr>
                <w:rFonts w:ascii="Century Gothic" w:hAnsi="Century Gothic"/>
                <w:sz w:val="20"/>
                <w:szCs w:val="20"/>
              </w:rPr>
              <w:t>intentioned graduates to either vacate the government sector for better paid teaching in the non-government sector, to go to government schools in more advantaged communities, or to leave the sector entirely.</w:t>
            </w:r>
          </w:p>
          <w:p w14:paraId="796BCAF7" w14:textId="6845F2A0" w:rsidR="0045234B" w:rsidRPr="00592942" w:rsidRDefault="0045234B" w:rsidP="00FD4563">
            <w:pPr>
              <w:pStyle w:val="ListParagraph"/>
              <w:numPr>
                <w:ilvl w:val="0"/>
                <w:numId w:val="34"/>
              </w:numPr>
              <w:jc w:val="both"/>
              <w:rPr>
                <w:rFonts w:ascii="Century Gothic" w:eastAsia="Malgun Gothic Semilight" w:hAnsi="Century Gothic" w:cs="Malgun Gothic Semilight"/>
                <w:b/>
                <w:bCs/>
                <w:sz w:val="20"/>
                <w:szCs w:val="20"/>
              </w:rPr>
            </w:pPr>
            <w:r w:rsidRPr="00592942">
              <w:rPr>
                <w:rFonts w:ascii="Century Gothic" w:eastAsia="Malgun Gothic Semilight" w:hAnsi="Century Gothic" w:cs="Malgun Gothic Semilight"/>
                <w:b/>
                <w:bCs/>
                <w:sz w:val="20"/>
                <w:szCs w:val="20"/>
              </w:rPr>
              <w:t>Improved induction, mentoring, and coaching of graduates</w:t>
            </w:r>
            <w:r w:rsidRPr="00592942">
              <w:rPr>
                <w:rFonts w:ascii="Century Gothic" w:eastAsia="Malgun Gothic Semilight" w:hAnsi="Century Gothic" w:cs="Malgun Gothic Semilight"/>
                <w:sz w:val="20"/>
                <w:szCs w:val="20"/>
              </w:rPr>
              <w:t xml:space="preserve"> would be a way of encouraging people to join the profession. For example, Finland boasts a strong peer group mentoring program. </w:t>
            </w:r>
            <w:r w:rsidRPr="00592942">
              <w:rPr>
                <w:rFonts w:ascii="Century Gothic" w:hAnsi="Century Gothic"/>
                <w:sz w:val="20"/>
                <w:szCs w:val="20"/>
              </w:rPr>
              <w:t xml:space="preserve">There is considerable evidence that these kinds of supportive structures can make a considerable difference to student teachers as they transition into and adjust to their profession. </w:t>
            </w:r>
          </w:p>
        </w:tc>
      </w:tr>
      <w:tr w:rsidR="00EB0FCD" w:rsidRPr="00592942" w14:paraId="48B20128" w14:textId="77777777" w:rsidTr="00BA4E2A">
        <w:trPr>
          <w:trHeight w:val="1440"/>
        </w:trPr>
        <w:tc>
          <w:tcPr>
            <w:tcW w:w="6475" w:type="dxa"/>
          </w:tcPr>
          <w:p w14:paraId="4C0376E6" w14:textId="77777777" w:rsidR="00E2750F" w:rsidRPr="00592942" w:rsidRDefault="00E2750F" w:rsidP="00E2750F">
            <w:pPr>
              <w:numPr>
                <w:ilvl w:val="0"/>
                <w:numId w:val="32"/>
              </w:numPr>
              <w:spacing w:after="160" w:line="259" w:lineRule="auto"/>
              <w:jc w:val="both"/>
              <w:rPr>
                <w:rFonts w:ascii="Century Gothic" w:eastAsia="Malgun Gothic Semilight" w:hAnsi="Century Gothic" w:cs="Malgun Gothic Semilight"/>
                <w:b/>
                <w:bCs/>
                <w:sz w:val="20"/>
                <w:szCs w:val="20"/>
                <w:lang w:val="en-US"/>
              </w:rPr>
            </w:pPr>
            <w:r w:rsidRPr="00592942">
              <w:rPr>
                <w:rFonts w:ascii="Century Gothic" w:eastAsia="Malgun Gothic Semilight" w:hAnsi="Century Gothic" w:cs="Malgun Gothic Semilight"/>
                <w:sz w:val="20"/>
                <w:szCs w:val="20"/>
                <w:lang w:val="en-US"/>
              </w:rPr>
              <w:t>What changes to admissions and degree requirements, including recognition of prior experience, would better attract and support suitable mid- and late-career professionals from other fields transition into the profession and become quality teachers?</w:t>
            </w:r>
          </w:p>
        </w:tc>
        <w:tc>
          <w:tcPr>
            <w:tcW w:w="6475" w:type="dxa"/>
          </w:tcPr>
          <w:p w14:paraId="09C680EC" w14:textId="27FF8017" w:rsidR="00C551FC" w:rsidRPr="00592942" w:rsidRDefault="00742650"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ITE </w:t>
            </w:r>
            <w:r w:rsidR="00FA4BDA" w:rsidRPr="00592942">
              <w:rPr>
                <w:rFonts w:ascii="Century Gothic" w:eastAsia="Malgun Gothic Semilight" w:hAnsi="Century Gothic" w:cs="Malgun Gothic Semilight"/>
                <w:sz w:val="20"/>
                <w:szCs w:val="20"/>
              </w:rPr>
              <w:t xml:space="preserve">selection criteria – must change. </w:t>
            </w:r>
            <w:r w:rsidR="002F29B7" w:rsidRPr="00592942">
              <w:rPr>
                <w:rFonts w:ascii="Century Gothic" w:eastAsia="Malgun Gothic Semilight" w:hAnsi="Century Gothic" w:cs="Malgun Gothic Semilight"/>
                <w:sz w:val="20"/>
                <w:szCs w:val="20"/>
              </w:rPr>
              <w:t xml:space="preserve">The two most important factors for an undergraduate’s success (beyond a capacity to perform well academically) are interpersonal skills and collaborative skills. </w:t>
            </w:r>
            <w:r w:rsidR="000A2A7D" w:rsidRPr="00592942">
              <w:rPr>
                <w:rFonts w:ascii="Century Gothic" w:eastAsia="Malgun Gothic Semilight" w:hAnsi="Century Gothic" w:cs="Malgun Gothic Semilight"/>
                <w:sz w:val="20"/>
                <w:szCs w:val="20"/>
              </w:rPr>
              <w:t>A</w:t>
            </w:r>
            <w:r w:rsidR="002F29B7" w:rsidRPr="00592942">
              <w:rPr>
                <w:rFonts w:ascii="Century Gothic" w:eastAsia="Malgun Gothic Semilight" w:hAnsi="Century Gothic" w:cs="Malgun Gothic Semilight"/>
                <w:sz w:val="20"/>
                <w:szCs w:val="20"/>
              </w:rPr>
              <w:t>ssessing these capacities at admission would give a good indication of the applicant’s readiness and suitability for a teaching degree.</w:t>
            </w:r>
            <w:r w:rsidR="000A2A7D" w:rsidRPr="00592942">
              <w:rPr>
                <w:rFonts w:ascii="Century Gothic" w:eastAsia="Malgun Gothic Semilight" w:hAnsi="Century Gothic" w:cs="Malgun Gothic Semilight"/>
                <w:sz w:val="20"/>
                <w:szCs w:val="20"/>
              </w:rPr>
              <w:t xml:space="preserve"> A </w:t>
            </w:r>
            <w:r w:rsidR="00DD7D26" w:rsidRPr="00592942">
              <w:rPr>
                <w:rFonts w:ascii="Century Gothic" w:eastAsia="Malgun Gothic Semilight" w:hAnsi="Century Gothic" w:cs="Malgun Gothic Semilight"/>
                <w:sz w:val="20"/>
                <w:szCs w:val="20"/>
              </w:rPr>
              <w:t>‘</w:t>
            </w:r>
            <w:r w:rsidR="000A2A7D" w:rsidRPr="00592942">
              <w:rPr>
                <w:rFonts w:ascii="Century Gothic" w:eastAsia="Malgun Gothic Semilight" w:hAnsi="Century Gothic" w:cs="Malgun Gothic Semilight"/>
                <w:sz w:val="20"/>
                <w:szCs w:val="20"/>
              </w:rPr>
              <w:t>portfolio</w:t>
            </w:r>
            <w:r w:rsidR="00DD7D26" w:rsidRPr="00592942">
              <w:rPr>
                <w:rFonts w:ascii="Century Gothic" w:eastAsia="Malgun Gothic Semilight" w:hAnsi="Century Gothic" w:cs="Malgun Gothic Semilight"/>
                <w:sz w:val="20"/>
                <w:szCs w:val="20"/>
              </w:rPr>
              <w:t>’ appr</w:t>
            </w:r>
            <w:r w:rsidR="006A584C" w:rsidRPr="00592942">
              <w:rPr>
                <w:rFonts w:ascii="Century Gothic" w:eastAsia="Malgun Gothic Semilight" w:hAnsi="Century Gothic" w:cs="Malgun Gothic Semilight"/>
                <w:sz w:val="20"/>
                <w:szCs w:val="20"/>
              </w:rPr>
              <w:t>oach</w:t>
            </w:r>
            <w:r w:rsidR="00E83975" w:rsidRPr="00592942">
              <w:rPr>
                <w:rFonts w:ascii="Century Gothic" w:eastAsia="Malgun Gothic Semilight" w:hAnsi="Century Gothic" w:cs="Malgun Gothic Semilight"/>
                <w:sz w:val="20"/>
                <w:szCs w:val="20"/>
              </w:rPr>
              <w:t xml:space="preserve"> should be considered</w:t>
            </w:r>
          </w:p>
          <w:p w14:paraId="3BF532FE" w14:textId="106B8FFA" w:rsidR="00E2750F" w:rsidRPr="00592942" w:rsidRDefault="00C551FC"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The post graduate </w:t>
            </w:r>
            <w:r w:rsidR="0001442B" w:rsidRPr="00592942">
              <w:rPr>
                <w:rFonts w:ascii="Century Gothic" w:eastAsia="Malgun Gothic Semilight" w:hAnsi="Century Gothic" w:cs="Malgun Gothic Semilight"/>
                <w:sz w:val="20"/>
                <w:szCs w:val="20"/>
              </w:rPr>
              <w:t>Diploma in Education, now at two years in duration</w:t>
            </w:r>
            <w:r w:rsidR="00DD7D26" w:rsidRPr="00592942">
              <w:rPr>
                <w:rFonts w:ascii="Century Gothic" w:eastAsia="Malgun Gothic Semilight" w:hAnsi="Century Gothic" w:cs="Malgun Gothic Semilight"/>
                <w:sz w:val="20"/>
                <w:szCs w:val="20"/>
              </w:rPr>
              <w:t xml:space="preserve"> </w:t>
            </w:r>
            <w:r w:rsidR="0001442B" w:rsidRPr="00592942">
              <w:rPr>
                <w:rFonts w:ascii="Century Gothic" w:eastAsia="Malgun Gothic Semilight" w:hAnsi="Century Gothic" w:cs="Malgun Gothic Semilight"/>
                <w:sz w:val="20"/>
                <w:szCs w:val="20"/>
              </w:rPr>
              <w:t xml:space="preserve">has </w:t>
            </w:r>
            <w:r w:rsidR="00E83975" w:rsidRPr="00592942">
              <w:rPr>
                <w:rFonts w:ascii="Century Gothic" w:eastAsia="Malgun Gothic Semilight" w:hAnsi="Century Gothic" w:cs="Malgun Gothic Semilight"/>
                <w:sz w:val="20"/>
                <w:szCs w:val="20"/>
              </w:rPr>
              <w:t>seen a</w:t>
            </w:r>
            <w:r w:rsidR="0001442B" w:rsidRPr="00592942">
              <w:rPr>
                <w:rFonts w:ascii="Century Gothic" w:eastAsia="Malgun Gothic Semilight" w:hAnsi="Century Gothic" w:cs="Malgun Gothic Semilight"/>
                <w:sz w:val="20"/>
                <w:szCs w:val="20"/>
              </w:rPr>
              <w:t xml:space="preserve"> significant</w:t>
            </w:r>
            <w:r w:rsidR="00E83975" w:rsidRPr="00592942">
              <w:rPr>
                <w:rFonts w:ascii="Century Gothic" w:eastAsia="Malgun Gothic Semilight" w:hAnsi="Century Gothic" w:cs="Malgun Gothic Semilight"/>
                <w:sz w:val="20"/>
                <w:szCs w:val="20"/>
              </w:rPr>
              <w:t xml:space="preserve"> decrease in</w:t>
            </w:r>
            <w:r w:rsidR="0001442B" w:rsidRPr="00592942">
              <w:rPr>
                <w:rFonts w:ascii="Century Gothic" w:eastAsia="Malgun Gothic Semilight" w:hAnsi="Century Gothic" w:cs="Malgun Gothic Semilight"/>
                <w:sz w:val="20"/>
                <w:szCs w:val="20"/>
              </w:rPr>
              <w:t xml:space="preserve"> </w:t>
            </w:r>
            <w:r w:rsidR="00F11D1E" w:rsidRPr="00592942">
              <w:rPr>
                <w:rFonts w:ascii="Century Gothic" w:eastAsia="Malgun Gothic Semilight" w:hAnsi="Century Gothic" w:cs="Malgun Gothic Semilight"/>
                <w:sz w:val="20"/>
                <w:szCs w:val="20"/>
              </w:rPr>
              <w:t>the number of people undertaking this course. This post graduate course must be one year in length</w:t>
            </w:r>
            <w:r w:rsidR="00E05770" w:rsidRPr="00592942">
              <w:rPr>
                <w:rFonts w:ascii="Century Gothic" w:eastAsia="Malgun Gothic Semilight" w:hAnsi="Century Gothic" w:cs="Malgun Gothic Semilight"/>
                <w:sz w:val="20"/>
                <w:szCs w:val="20"/>
              </w:rPr>
              <w:t xml:space="preserve"> </w:t>
            </w:r>
            <w:r w:rsidR="00E83975" w:rsidRPr="00592942">
              <w:rPr>
                <w:rFonts w:ascii="Century Gothic" w:eastAsia="Malgun Gothic Semilight" w:hAnsi="Century Gothic" w:cs="Malgun Gothic Semilight"/>
                <w:sz w:val="20"/>
                <w:szCs w:val="20"/>
              </w:rPr>
              <w:t xml:space="preserve">and designed to be a rich and focused ITE option. </w:t>
            </w:r>
          </w:p>
        </w:tc>
      </w:tr>
      <w:tr w:rsidR="00EB0FCD" w:rsidRPr="00592942" w14:paraId="0EDA04DF" w14:textId="77777777" w:rsidTr="00BA4E2A">
        <w:trPr>
          <w:trHeight w:val="550"/>
        </w:trPr>
        <w:tc>
          <w:tcPr>
            <w:tcW w:w="6475" w:type="dxa"/>
          </w:tcPr>
          <w:p w14:paraId="6FE32EED" w14:textId="77777777" w:rsidR="00E2750F" w:rsidRPr="00592942" w:rsidRDefault="00E2750F" w:rsidP="00E2750F">
            <w:pPr>
              <w:numPr>
                <w:ilvl w:val="0"/>
                <w:numId w:val="32"/>
              </w:numPr>
              <w:spacing w:after="160" w:line="259"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How can we increase ITE completion rates so that quality ITE students graduate and pursue careers as quality teachers?</w:t>
            </w:r>
          </w:p>
        </w:tc>
        <w:tc>
          <w:tcPr>
            <w:tcW w:w="6475" w:type="dxa"/>
          </w:tcPr>
          <w:p w14:paraId="32A17FC0" w14:textId="2E85D6D1" w:rsidR="00E2750F" w:rsidRPr="00592942" w:rsidRDefault="002F29B7"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The</w:t>
            </w:r>
            <w:r w:rsidR="00E05770" w:rsidRPr="00592942">
              <w:rPr>
                <w:rFonts w:ascii="Century Gothic" w:eastAsia="Malgun Gothic Semilight" w:hAnsi="Century Gothic" w:cs="Malgun Gothic Semilight"/>
                <w:sz w:val="20"/>
                <w:szCs w:val="20"/>
              </w:rPr>
              <w:t xml:space="preserve"> </w:t>
            </w:r>
            <w:r w:rsidRPr="00592942">
              <w:rPr>
                <w:rFonts w:ascii="Century Gothic" w:eastAsia="Malgun Gothic Semilight" w:hAnsi="Century Gothic" w:cs="Malgun Gothic Semilight"/>
                <w:sz w:val="20"/>
                <w:szCs w:val="20"/>
              </w:rPr>
              <w:t>most important factors for an undergraduate’s success (beyond a capacity to perform well academically) are interpersonal skills and collaborative skills.  Assessing these capacities at admission would give a good indication of the applicant’s readiness and suitability for a teaching degree.</w:t>
            </w:r>
            <w:r w:rsidR="00EF0C25" w:rsidRPr="00592942">
              <w:rPr>
                <w:rFonts w:ascii="Century Gothic" w:eastAsia="Malgun Gothic Semilight" w:hAnsi="Century Gothic" w:cs="Malgun Gothic Semilight"/>
                <w:sz w:val="20"/>
                <w:szCs w:val="20"/>
              </w:rPr>
              <w:t xml:space="preserve"> The notion of a portfolio based entry should be considered.</w:t>
            </w:r>
          </w:p>
          <w:p w14:paraId="1B6037B4" w14:textId="2FBAB6B4" w:rsidR="0045234B" w:rsidRPr="00592942" w:rsidRDefault="00773419" w:rsidP="0045234B">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AER</w:t>
            </w:r>
            <w:r w:rsidR="00BE7A92" w:rsidRPr="00592942">
              <w:rPr>
                <w:rFonts w:ascii="Century Gothic" w:eastAsia="Malgun Gothic Semilight" w:hAnsi="Century Gothic" w:cs="Malgun Gothic Semilight"/>
                <w:sz w:val="20"/>
                <w:szCs w:val="20"/>
              </w:rPr>
              <w:t>O</w:t>
            </w:r>
            <w:r w:rsidRPr="00592942">
              <w:rPr>
                <w:rFonts w:ascii="Century Gothic" w:eastAsia="Malgun Gothic Semilight" w:hAnsi="Century Gothic" w:cs="Malgun Gothic Semilight"/>
                <w:sz w:val="20"/>
                <w:szCs w:val="20"/>
              </w:rPr>
              <w:t xml:space="preserve"> to conduct research into this area</w:t>
            </w:r>
            <w:r w:rsidR="0021472B" w:rsidRPr="00592942">
              <w:rPr>
                <w:rFonts w:ascii="Century Gothic" w:eastAsia="Malgun Gothic Semilight" w:hAnsi="Century Gothic" w:cs="Malgun Gothic Semilight"/>
                <w:sz w:val="20"/>
                <w:szCs w:val="20"/>
              </w:rPr>
              <w:t xml:space="preserve"> (the notion of a portfolio)</w:t>
            </w:r>
            <w:r w:rsidR="00BE7A92" w:rsidRPr="00592942">
              <w:rPr>
                <w:rFonts w:ascii="Century Gothic" w:eastAsia="Malgun Gothic Semilight" w:hAnsi="Century Gothic" w:cs="Malgun Gothic Semilight"/>
                <w:sz w:val="20"/>
                <w:szCs w:val="20"/>
              </w:rPr>
              <w:t xml:space="preserve"> and compare to international studies. </w:t>
            </w:r>
            <w:r w:rsidR="0045234B" w:rsidRPr="00592942">
              <w:rPr>
                <w:rFonts w:ascii="Century Gothic" w:eastAsia="Malgun Gothic Semilight" w:hAnsi="Century Gothic" w:cs="Malgun Gothic Semilight"/>
                <w:sz w:val="20"/>
                <w:szCs w:val="20"/>
              </w:rPr>
              <w:t xml:space="preserve">This could be undertaken in collaboration with Australian educational researchers such as members of the Australian Association for Research in Education, to ensure a cross-section of perspectives and expertise. </w:t>
            </w:r>
          </w:p>
          <w:p w14:paraId="1E22A858" w14:textId="6B886A4E" w:rsidR="0045234B" w:rsidRPr="00592942" w:rsidRDefault="0045234B" w:rsidP="0061022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hAnsi="Century Gothic" w:cs="Calibri"/>
                <w:sz w:val="20"/>
                <w:szCs w:val="20"/>
                <w:lang w:val="en-US"/>
              </w:rPr>
              <w:t>Students from disadvantaged and underrepresented backgrounds will typically leave before completion if they are not provided with extra supports, financial, emotional, academic. The most successful ITE programs such as the ATTP (Accelerated Teaching Training Program run at Charles Sturt University in the 2000s to attract workers from the trades into Technology and Applied Studies) drew on an innovative problem</w:t>
            </w:r>
            <w:r w:rsidR="0029295B" w:rsidRPr="00592942">
              <w:rPr>
                <w:rFonts w:ascii="Century Gothic" w:hAnsi="Century Gothic" w:cs="Calibri"/>
                <w:sz w:val="20"/>
                <w:szCs w:val="20"/>
                <w:lang w:val="en-US"/>
              </w:rPr>
              <w:t>-</w:t>
            </w:r>
            <w:r w:rsidRPr="00592942">
              <w:rPr>
                <w:rFonts w:ascii="Century Gothic" w:hAnsi="Century Gothic" w:cs="Calibri"/>
                <w:sz w:val="20"/>
                <w:szCs w:val="20"/>
                <w:lang w:val="en-US"/>
              </w:rPr>
              <w:t>solving approach to the course, careful screening interviews for selection and a dedicated team of staff (academic and professional) who worked closely with the externally based students to support their learning. Graduate completions were high and overall, the screening of candidates assisted the quality of selection, but this requires funding and support in terms of personnel and scholarships for people who are making a difficult decision to leave their current job to pursue teaching.</w:t>
            </w:r>
          </w:p>
          <w:p w14:paraId="798C1A4D" w14:textId="62C3C779" w:rsidR="0045234B" w:rsidRPr="00592942" w:rsidRDefault="0045234B" w:rsidP="00610223">
            <w:pPr>
              <w:pStyle w:val="ListParagraph"/>
              <w:jc w:val="both"/>
              <w:rPr>
                <w:rFonts w:ascii="Century Gothic" w:eastAsia="Malgun Gothic Semilight" w:hAnsi="Century Gothic" w:cs="Malgun Gothic Semilight"/>
                <w:sz w:val="20"/>
                <w:szCs w:val="20"/>
              </w:rPr>
            </w:pPr>
          </w:p>
        </w:tc>
      </w:tr>
      <w:tr w:rsidR="00EB0FCD" w:rsidRPr="00592942" w14:paraId="4F6411E4" w14:textId="77777777" w:rsidTr="00BA4E2A">
        <w:trPr>
          <w:trHeight w:val="820"/>
        </w:trPr>
        <w:tc>
          <w:tcPr>
            <w:tcW w:w="6475" w:type="dxa"/>
          </w:tcPr>
          <w:p w14:paraId="5CF98D17" w14:textId="77777777" w:rsidR="00E2750F" w:rsidRPr="00592942" w:rsidRDefault="00E2750F" w:rsidP="00E2750F">
            <w:pPr>
              <w:numPr>
                <w:ilvl w:val="0"/>
                <w:numId w:val="32"/>
              </w:numPr>
              <w:spacing w:after="160" w:line="259"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 xml:space="preserve">What more can be done to address issues with workforce supply in some subject areas (particularly maths) and schools? </w:t>
            </w:r>
          </w:p>
        </w:tc>
        <w:tc>
          <w:tcPr>
            <w:tcW w:w="6475" w:type="dxa"/>
          </w:tcPr>
          <w:p w14:paraId="6CA6A064" w14:textId="5A3577D8" w:rsidR="00E2750F" w:rsidRPr="00592942" w:rsidRDefault="00980532"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Students who are good at Mathematics tend to be</w:t>
            </w:r>
            <w:r w:rsidR="0029295B" w:rsidRPr="00592942">
              <w:rPr>
                <w:rFonts w:ascii="Century Gothic" w:eastAsia="Malgun Gothic Semilight" w:hAnsi="Century Gothic" w:cs="Malgun Gothic Semilight"/>
                <w:sz w:val="20"/>
                <w:szCs w:val="20"/>
              </w:rPr>
              <w:t xml:space="preserve"> attracted to other</w:t>
            </w:r>
            <w:r w:rsidRPr="00592942">
              <w:rPr>
                <w:rFonts w:ascii="Century Gothic" w:eastAsia="Malgun Gothic Semilight" w:hAnsi="Century Gothic" w:cs="Malgun Gothic Semilight"/>
                <w:sz w:val="20"/>
                <w:szCs w:val="20"/>
              </w:rPr>
              <w:t xml:space="preserve"> professions</w:t>
            </w:r>
            <w:r w:rsidR="0081402F" w:rsidRPr="00592942">
              <w:rPr>
                <w:rFonts w:ascii="Century Gothic" w:eastAsia="Malgun Gothic Semilight" w:hAnsi="Century Gothic" w:cs="Malgun Gothic Semilight"/>
                <w:sz w:val="20"/>
                <w:szCs w:val="20"/>
              </w:rPr>
              <w:t xml:space="preserve"> </w:t>
            </w:r>
            <w:r w:rsidRPr="00592942">
              <w:rPr>
                <w:rFonts w:ascii="Century Gothic" w:eastAsia="Malgun Gothic Semilight" w:hAnsi="Century Gothic" w:cs="Malgun Gothic Semilight"/>
                <w:sz w:val="20"/>
                <w:szCs w:val="20"/>
              </w:rPr>
              <w:t xml:space="preserve">– e.g., engineering, architecture, medicine, science etc. </w:t>
            </w:r>
            <w:r w:rsidR="0029295B" w:rsidRPr="00592942">
              <w:rPr>
                <w:rFonts w:ascii="Century Gothic" w:eastAsia="Malgun Gothic Semilight" w:hAnsi="Century Gothic" w:cs="Malgun Gothic Semilight"/>
                <w:sz w:val="20"/>
                <w:szCs w:val="20"/>
              </w:rPr>
              <w:t>Competing with these professions is problematic so an alternative approach could be to encourage ITE</w:t>
            </w:r>
            <w:r w:rsidR="00DA4947" w:rsidRPr="00592942">
              <w:rPr>
                <w:rFonts w:ascii="Century Gothic" w:eastAsia="Malgun Gothic Semilight" w:hAnsi="Century Gothic" w:cs="Malgun Gothic Semilight"/>
                <w:sz w:val="20"/>
                <w:szCs w:val="20"/>
              </w:rPr>
              <w:t xml:space="preserve"> </w:t>
            </w:r>
            <w:r w:rsidRPr="00592942">
              <w:rPr>
                <w:rFonts w:ascii="Century Gothic" w:eastAsia="Malgun Gothic Semilight" w:hAnsi="Century Gothic" w:cs="Malgun Gothic Semilight"/>
                <w:sz w:val="20"/>
                <w:szCs w:val="20"/>
              </w:rPr>
              <w:t>students who are good thinkers and good communicators, to focus on a Maths teaching career</w:t>
            </w:r>
            <w:r w:rsidR="0029295B" w:rsidRPr="00592942">
              <w:rPr>
                <w:rFonts w:ascii="Century Gothic" w:eastAsia="Malgun Gothic Semilight" w:hAnsi="Century Gothic" w:cs="Malgun Gothic Semilight"/>
                <w:sz w:val="20"/>
                <w:szCs w:val="20"/>
              </w:rPr>
              <w:t>.</w:t>
            </w:r>
            <w:r w:rsidR="00C45B7A" w:rsidRPr="00592942">
              <w:rPr>
                <w:rFonts w:ascii="Century Gothic" w:eastAsia="Malgun Gothic Semilight" w:hAnsi="Century Gothic" w:cs="Malgun Gothic Semilight"/>
                <w:sz w:val="20"/>
                <w:szCs w:val="20"/>
              </w:rPr>
              <w:t xml:space="preserve"> Teachers with a passion for their subjects will </w:t>
            </w:r>
            <w:r w:rsidR="00953033" w:rsidRPr="00592942">
              <w:rPr>
                <w:rFonts w:ascii="Century Gothic" w:eastAsia="Malgun Gothic Semilight" w:hAnsi="Century Gothic" w:cs="Malgun Gothic Semilight"/>
                <w:sz w:val="20"/>
                <w:szCs w:val="20"/>
              </w:rPr>
              <w:t xml:space="preserve">motivate </w:t>
            </w:r>
            <w:r w:rsidR="00C45B7A" w:rsidRPr="00592942">
              <w:rPr>
                <w:rFonts w:ascii="Century Gothic" w:eastAsia="Malgun Gothic Semilight" w:hAnsi="Century Gothic" w:cs="Malgun Gothic Semilight"/>
                <w:sz w:val="20"/>
                <w:szCs w:val="20"/>
              </w:rPr>
              <w:t xml:space="preserve">students </w:t>
            </w:r>
            <w:r w:rsidR="00953033" w:rsidRPr="00592942">
              <w:rPr>
                <w:rFonts w:ascii="Century Gothic" w:eastAsia="Malgun Gothic Semilight" w:hAnsi="Century Gothic" w:cs="Malgun Gothic Semilight"/>
                <w:sz w:val="20"/>
                <w:szCs w:val="20"/>
              </w:rPr>
              <w:t xml:space="preserve">and take them </w:t>
            </w:r>
            <w:r w:rsidR="00C45B7A" w:rsidRPr="00592942">
              <w:rPr>
                <w:rFonts w:ascii="Century Gothic" w:eastAsia="Malgun Gothic Semilight" w:hAnsi="Century Gothic" w:cs="Malgun Gothic Semilight"/>
                <w:sz w:val="20"/>
                <w:szCs w:val="20"/>
              </w:rPr>
              <w:t>along with them into a field of that type post school.</w:t>
            </w:r>
          </w:p>
        </w:tc>
      </w:tr>
      <w:tr w:rsidR="00EB0FCD" w:rsidRPr="00592942" w14:paraId="2C55F991" w14:textId="77777777" w:rsidTr="00EF5C96">
        <w:trPr>
          <w:trHeight w:val="880"/>
        </w:trPr>
        <w:tc>
          <w:tcPr>
            <w:tcW w:w="6475" w:type="dxa"/>
          </w:tcPr>
          <w:p w14:paraId="1775F75B" w14:textId="34A00AA3" w:rsidR="00E2750F" w:rsidRPr="00592942" w:rsidRDefault="00E2750F" w:rsidP="00E2750F">
            <w:pPr>
              <w:numPr>
                <w:ilvl w:val="0"/>
                <w:numId w:val="32"/>
              </w:numPr>
              <w:spacing w:after="160" w:line="259"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How can we attract a more diverse cohort into ITE so that teachers better mirror the diversity in school students and society?</w:t>
            </w:r>
          </w:p>
        </w:tc>
        <w:tc>
          <w:tcPr>
            <w:tcW w:w="6475" w:type="dxa"/>
          </w:tcPr>
          <w:p w14:paraId="5291A203" w14:textId="7FE23FA4" w:rsidR="00E2750F" w:rsidRPr="00592942" w:rsidRDefault="00A013C6"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Governments should enable </w:t>
            </w:r>
            <w:r w:rsidR="00D41E10" w:rsidRPr="00592942">
              <w:rPr>
                <w:rFonts w:ascii="Century Gothic" w:eastAsia="Malgun Gothic Semilight" w:hAnsi="Century Gothic" w:cs="Malgun Gothic Semilight"/>
                <w:sz w:val="20"/>
                <w:szCs w:val="20"/>
              </w:rPr>
              <w:t>First Nation</w:t>
            </w:r>
            <w:r w:rsidR="00DA4947" w:rsidRPr="00592942">
              <w:rPr>
                <w:rFonts w:ascii="Century Gothic" w:eastAsia="Malgun Gothic Semilight" w:hAnsi="Century Gothic" w:cs="Malgun Gothic Semilight"/>
                <w:sz w:val="20"/>
                <w:szCs w:val="20"/>
              </w:rPr>
              <w:t>s</w:t>
            </w:r>
            <w:r w:rsidR="00D41E10" w:rsidRPr="00592942">
              <w:rPr>
                <w:rFonts w:ascii="Century Gothic" w:eastAsia="Malgun Gothic Semilight" w:hAnsi="Century Gothic" w:cs="Malgun Gothic Semilight"/>
                <w:sz w:val="20"/>
                <w:szCs w:val="20"/>
              </w:rPr>
              <w:t xml:space="preserve"> People access to ITE courses. The provision </w:t>
            </w:r>
            <w:r w:rsidR="00C50862" w:rsidRPr="00592942">
              <w:rPr>
                <w:rFonts w:ascii="Century Gothic" w:eastAsia="Malgun Gothic Semilight" w:hAnsi="Century Gothic" w:cs="Malgun Gothic Semilight"/>
                <w:sz w:val="20"/>
                <w:szCs w:val="20"/>
              </w:rPr>
              <w:t>of support programs</w:t>
            </w:r>
            <w:r w:rsidR="0056590A" w:rsidRPr="00592942">
              <w:rPr>
                <w:rFonts w:ascii="Century Gothic" w:eastAsia="Malgun Gothic Semilight" w:hAnsi="Century Gothic" w:cs="Malgun Gothic Semilight"/>
                <w:sz w:val="20"/>
                <w:szCs w:val="20"/>
              </w:rPr>
              <w:t xml:space="preserve"> for First </w:t>
            </w:r>
            <w:r w:rsidR="00DA4947" w:rsidRPr="00592942">
              <w:rPr>
                <w:rFonts w:ascii="Century Gothic" w:eastAsia="Malgun Gothic Semilight" w:hAnsi="Century Gothic" w:cs="Malgun Gothic Semilight"/>
                <w:sz w:val="20"/>
                <w:szCs w:val="20"/>
              </w:rPr>
              <w:t xml:space="preserve">Nations </w:t>
            </w:r>
            <w:r w:rsidR="0056590A" w:rsidRPr="00592942">
              <w:rPr>
                <w:rFonts w:ascii="Century Gothic" w:eastAsia="Malgun Gothic Semilight" w:hAnsi="Century Gothic" w:cs="Malgun Gothic Semilight"/>
                <w:sz w:val="20"/>
                <w:szCs w:val="20"/>
              </w:rPr>
              <w:t>People</w:t>
            </w:r>
            <w:r w:rsidR="003E7606" w:rsidRPr="00592942">
              <w:rPr>
                <w:rFonts w:ascii="Century Gothic" w:eastAsia="Malgun Gothic Semilight" w:hAnsi="Century Gothic" w:cs="Malgun Gothic Semilight"/>
                <w:sz w:val="20"/>
                <w:szCs w:val="20"/>
              </w:rPr>
              <w:t xml:space="preserve"> </w:t>
            </w:r>
            <w:r w:rsidR="00DA4947" w:rsidRPr="00592942">
              <w:rPr>
                <w:rFonts w:ascii="Century Gothic" w:eastAsia="Malgun Gothic Semilight" w:hAnsi="Century Gothic" w:cs="Malgun Gothic Semilight"/>
                <w:sz w:val="20"/>
                <w:szCs w:val="20"/>
              </w:rPr>
              <w:t>(</w:t>
            </w:r>
            <w:r w:rsidR="0056590A" w:rsidRPr="00592942">
              <w:rPr>
                <w:rFonts w:ascii="Century Gothic" w:eastAsia="Malgun Gothic Semilight" w:hAnsi="Century Gothic" w:cs="Malgun Gothic Semilight"/>
                <w:sz w:val="20"/>
                <w:szCs w:val="20"/>
              </w:rPr>
              <w:t>e.g.</w:t>
            </w:r>
            <w:r w:rsidR="003E7606" w:rsidRPr="00592942">
              <w:rPr>
                <w:rFonts w:ascii="Century Gothic" w:eastAsia="Malgun Gothic Semilight" w:hAnsi="Century Gothic" w:cs="Malgun Gothic Semilight"/>
                <w:sz w:val="20"/>
                <w:szCs w:val="20"/>
              </w:rPr>
              <w:t xml:space="preserve"> RATEP in </w:t>
            </w:r>
            <w:r w:rsidR="0056590A" w:rsidRPr="00592942">
              <w:rPr>
                <w:rFonts w:ascii="Century Gothic" w:eastAsia="Malgun Gothic Semilight" w:hAnsi="Century Gothic" w:cs="Malgun Gothic Semilight"/>
                <w:sz w:val="20"/>
                <w:szCs w:val="20"/>
              </w:rPr>
              <w:t>Queensland</w:t>
            </w:r>
            <w:r w:rsidR="00DA4947" w:rsidRPr="00592942">
              <w:rPr>
                <w:rFonts w:ascii="Century Gothic" w:eastAsia="Malgun Gothic Semilight" w:hAnsi="Century Gothic" w:cs="Malgun Gothic Semilight"/>
                <w:sz w:val="20"/>
                <w:szCs w:val="20"/>
              </w:rPr>
              <w:t>)</w:t>
            </w:r>
            <w:r w:rsidR="0056590A" w:rsidRPr="00592942">
              <w:rPr>
                <w:rFonts w:ascii="Century Gothic" w:eastAsia="Malgun Gothic Semilight" w:hAnsi="Century Gothic" w:cs="Malgun Gothic Semilight"/>
                <w:sz w:val="20"/>
                <w:szCs w:val="20"/>
              </w:rPr>
              <w:t xml:space="preserve"> will </w:t>
            </w:r>
            <w:r w:rsidR="0029295B" w:rsidRPr="00592942">
              <w:rPr>
                <w:rFonts w:ascii="Century Gothic" w:eastAsia="Malgun Gothic Semilight" w:hAnsi="Century Gothic" w:cs="Malgun Gothic Semilight"/>
                <w:sz w:val="20"/>
                <w:szCs w:val="20"/>
              </w:rPr>
              <w:t>support</w:t>
            </w:r>
            <w:r w:rsidR="00E62582" w:rsidRPr="00592942">
              <w:rPr>
                <w:rFonts w:ascii="Century Gothic" w:eastAsia="Malgun Gothic Semilight" w:hAnsi="Century Gothic" w:cs="Malgun Gothic Semilight"/>
                <w:sz w:val="20"/>
                <w:szCs w:val="20"/>
              </w:rPr>
              <w:t xml:space="preserve"> First </w:t>
            </w:r>
            <w:r w:rsidR="00DA4947" w:rsidRPr="00592942">
              <w:rPr>
                <w:rFonts w:ascii="Century Gothic" w:eastAsia="Malgun Gothic Semilight" w:hAnsi="Century Gothic" w:cs="Malgun Gothic Semilight"/>
                <w:sz w:val="20"/>
                <w:szCs w:val="20"/>
              </w:rPr>
              <w:t>N</w:t>
            </w:r>
            <w:r w:rsidR="00E62582" w:rsidRPr="00592942">
              <w:rPr>
                <w:rFonts w:ascii="Century Gothic" w:eastAsia="Malgun Gothic Semilight" w:hAnsi="Century Gothic" w:cs="Malgun Gothic Semilight"/>
                <w:sz w:val="20"/>
                <w:szCs w:val="20"/>
              </w:rPr>
              <w:t>ation</w:t>
            </w:r>
            <w:r w:rsidR="00DA4947" w:rsidRPr="00592942">
              <w:rPr>
                <w:rFonts w:ascii="Century Gothic" w:eastAsia="Malgun Gothic Semilight" w:hAnsi="Century Gothic" w:cs="Malgun Gothic Semilight"/>
                <w:sz w:val="20"/>
                <w:szCs w:val="20"/>
              </w:rPr>
              <w:t>s</w:t>
            </w:r>
            <w:r w:rsidR="00E62582" w:rsidRPr="00592942">
              <w:rPr>
                <w:rFonts w:ascii="Century Gothic" w:eastAsia="Malgun Gothic Semilight" w:hAnsi="Century Gothic" w:cs="Malgun Gothic Semilight"/>
                <w:sz w:val="20"/>
                <w:szCs w:val="20"/>
              </w:rPr>
              <w:t xml:space="preserve"> People return to their country to teach and lead their community.</w:t>
            </w:r>
            <w:r w:rsidR="0045234B" w:rsidRPr="00592942">
              <w:rPr>
                <w:rFonts w:ascii="Century Gothic" w:eastAsia="Malgun Gothic Semilight" w:hAnsi="Century Gothic" w:cs="Malgun Gothic Semilight"/>
                <w:sz w:val="20"/>
                <w:szCs w:val="20"/>
              </w:rPr>
              <w:t xml:space="preserve"> </w:t>
            </w:r>
          </w:p>
          <w:p w14:paraId="44CE75F5" w14:textId="77777777" w:rsidR="0045234B" w:rsidRPr="00592942" w:rsidRDefault="0045234B" w:rsidP="0045234B">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Increased diversity of the profession, including school leaders, as well as of ITE academics will ensure students can see themselves represented within the profession, as mentioned within the Discussion Paper.  </w:t>
            </w:r>
          </w:p>
          <w:p w14:paraId="6336E498" w14:textId="403DB43C" w:rsidR="0045234B" w:rsidRPr="00592942" w:rsidRDefault="0045234B" w:rsidP="0061022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Improving schooling experiences for young people from diverse or marginalised backgrounds would also </w:t>
            </w:r>
            <w:r w:rsidRPr="00592942">
              <w:rPr>
                <w:rFonts w:ascii="Century Gothic" w:hAnsi="Century Gothic" w:cs="Arial"/>
                <w:sz w:val="20"/>
                <w:szCs w:val="20"/>
              </w:rPr>
              <w:t>lead to more diverse potential teachers being interested in careers in schools where they see that they could belong.</w:t>
            </w:r>
          </w:p>
          <w:p w14:paraId="239F2B89" w14:textId="19673BD5" w:rsidR="0045234B" w:rsidRPr="00592942" w:rsidRDefault="0045234B" w:rsidP="00610223">
            <w:pPr>
              <w:ind w:left="360"/>
              <w:jc w:val="both"/>
              <w:rPr>
                <w:rFonts w:ascii="Century Gothic" w:eastAsia="Malgun Gothic Semilight" w:hAnsi="Century Gothic" w:cs="Malgun Gothic Semilight"/>
                <w:sz w:val="20"/>
                <w:szCs w:val="20"/>
              </w:rPr>
            </w:pPr>
          </w:p>
        </w:tc>
      </w:tr>
      <w:tr w:rsidR="00EB0FCD" w:rsidRPr="00592942" w14:paraId="7E2D9E73" w14:textId="77777777" w:rsidTr="00A7244B">
        <w:trPr>
          <w:trHeight w:val="830"/>
        </w:trPr>
        <w:tc>
          <w:tcPr>
            <w:tcW w:w="6475" w:type="dxa"/>
          </w:tcPr>
          <w:p w14:paraId="2A2A3B96" w14:textId="3653FDA1" w:rsidR="00EF5C96" w:rsidRPr="00592942" w:rsidRDefault="00EF5C96" w:rsidP="00E2750F">
            <w:pPr>
              <w:spacing w:after="160" w:line="259"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br/>
            </w:r>
            <w:r w:rsidRPr="00592942">
              <w:rPr>
                <w:rFonts w:ascii="Century Gothic" w:eastAsia="Malgun Gothic Semilight" w:hAnsi="Century Gothic" w:cs="Malgun Gothic Semilight"/>
                <w:b/>
                <w:bCs/>
                <w:sz w:val="20"/>
                <w:szCs w:val="20"/>
                <w:lang w:val="en-US"/>
              </w:rPr>
              <w:t>PART B – Preparing ITE students to be effective teachers</w:t>
            </w:r>
          </w:p>
        </w:tc>
        <w:tc>
          <w:tcPr>
            <w:tcW w:w="6475" w:type="dxa"/>
          </w:tcPr>
          <w:p w14:paraId="313CA25D" w14:textId="77777777" w:rsidR="00EF5C96" w:rsidRPr="00592942" w:rsidRDefault="00EF5C96" w:rsidP="00E2750F">
            <w:pPr>
              <w:jc w:val="both"/>
              <w:rPr>
                <w:rFonts w:ascii="Century Gothic" w:eastAsia="Malgun Gothic Semilight" w:hAnsi="Century Gothic" w:cs="Malgun Gothic Semilight"/>
                <w:sz w:val="20"/>
                <w:szCs w:val="20"/>
              </w:rPr>
            </w:pPr>
          </w:p>
        </w:tc>
      </w:tr>
      <w:tr w:rsidR="00EB0FCD" w:rsidRPr="00592942" w14:paraId="3EC7F463" w14:textId="77777777" w:rsidTr="00BA4E2A">
        <w:trPr>
          <w:trHeight w:val="1400"/>
        </w:trPr>
        <w:tc>
          <w:tcPr>
            <w:tcW w:w="6475" w:type="dxa"/>
          </w:tcPr>
          <w:p w14:paraId="27D43BAF" w14:textId="77777777" w:rsidR="00A7244B" w:rsidRPr="00592942" w:rsidRDefault="00A7244B" w:rsidP="00E2750F">
            <w:pPr>
              <w:numPr>
                <w:ilvl w:val="0"/>
                <w:numId w:val="32"/>
              </w:numPr>
              <w:spacing w:after="160" w:line="259"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 xml:space="preserve">What more can we do to ensure that ITE curriculum is evidence-based and all future teachers are equipped to implement evidence-based teaching practices? </w:t>
            </w:r>
          </w:p>
        </w:tc>
        <w:tc>
          <w:tcPr>
            <w:tcW w:w="6475" w:type="dxa"/>
          </w:tcPr>
          <w:p w14:paraId="2C5E769B" w14:textId="369D41E9" w:rsidR="00A7244B" w:rsidRPr="00592942" w:rsidRDefault="00690CDD"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The </w:t>
            </w:r>
            <w:r w:rsidR="00DA4947" w:rsidRPr="00592942">
              <w:rPr>
                <w:rFonts w:ascii="Century Gothic" w:eastAsia="Malgun Gothic Semilight" w:hAnsi="Century Gothic" w:cs="Malgun Gothic Semilight"/>
                <w:sz w:val="20"/>
                <w:szCs w:val="20"/>
              </w:rPr>
              <w:t>significant issue</w:t>
            </w:r>
            <w:r w:rsidR="004568C9" w:rsidRPr="00592942">
              <w:rPr>
                <w:rFonts w:ascii="Century Gothic" w:eastAsia="Malgun Gothic Semilight" w:hAnsi="Century Gothic" w:cs="Malgun Gothic Semilight"/>
                <w:sz w:val="20"/>
                <w:szCs w:val="20"/>
              </w:rPr>
              <w:t xml:space="preserve"> here</w:t>
            </w:r>
            <w:r w:rsidRPr="00592942">
              <w:rPr>
                <w:rFonts w:ascii="Century Gothic" w:eastAsia="Malgun Gothic Semilight" w:hAnsi="Century Gothic" w:cs="Malgun Gothic Semilight"/>
                <w:sz w:val="20"/>
                <w:szCs w:val="20"/>
              </w:rPr>
              <w:t xml:space="preserve"> is what we can do to ensure that ITE curriculum is contemporary and futures-focused.  That is, how can we ensure that ITE graduates are well-versed in contemporary grammar of schooling practices – i.e., curriculum, pedagogy, and assessment</w:t>
            </w:r>
            <w:r w:rsidR="0029295B" w:rsidRPr="00592942">
              <w:rPr>
                <w:rFonts w:ascii="Century Gothic" w:eastAsia="Malgun Gothic Semilight" w:hAnsi="Century Gothic" w:cs="Malgun Gothic Semilight"/>
                <w:sz w:val="20"/>
                <w:szCs w:val="20"/>
              </w:rPr>
              <w:t>.</w:t>
            </w:r>
            <w:r w:rsidRPr="00592942">
              <w:rPr>
                <w:rFonts w:ascii="Century Gothic" w:eastAsia="Malgun Gothic Semilight" w:hAnsi="Century Gothic" w:cs="Malgun Gothic Semilight"/>
                <w:sz w:val="20"/>
                <w:szCs w:val="20"/>
              </w:rPr>
              <w:t xml:space="preserve">  The more informed ITE programs are by highly effective contemporary teaching and learning practices th</w:t>
            </w:r>
            <w:r w:rsidR="0029295B" w:rsidRPr="00592942">
              <w:rPr>
                <w:rFonts w:ascii="Century Gothic" w:eastAsia="Malgun Gothic Semilight" w:hAnsi="Century Gothic" w:cs="Malgun Gothic Semilight"/>
                <w:sz w:val="20"/>
                <w:szCs w:val="20"/>
              </w:rPr>
              <w:t xml:space="preserve">e </w:t>
            </w:r>
            <w:r w:rsidR="00E16789" w:rsidRPr="00592942">
              <w:rPr>
                <w:rFonts w:ascii="Century Gothic" w:eastAsia="Malgun Gothic Semilight" w:hAnsi="Century Gothic" w:cs="Malgun Gothic Semilight"/>
                <w:sz w:val="20"/>
                <w:szCs w:val="20"/>
              </w:rPr>
              <w:t>better our teaching graduates will be.</w:t>
            </w:r>
            <w:r w:rsidR="00403E29" w:rsidRPr="00592942">
              <w:rPr>
                <w:rFonts w:ascii="Century Gothic" w:eastAsia="Malgun Gothic Semilight" w:hAnsi="Century Gothic" w:cs="Malgun Gothic Semilight"/>
                <w:sz w:val="20"/>
                <w:szCs w:val="20"/>
              </w:rPr>
              <w:t>.</w:t>
            </w:r>
            <w:r w:rsidR="0045234B" w:rsidRPr="00592942">
              <w:rPr>
                <w:rFonts w:ascii="Century Gothic" w:eastAsia="Malgun Gothic Semilight" w:hAnsi="Century Gothic" w:cs="Malgun Gothic Semilight"/>
                <w:sz w:val="20"/>
                <w:szCs w:val="20"/>
              </w:rPr>
              <w:t xml:space="preserve"> </w:t>
            </w:r>
          </w:p>
          <w:p w14:paraId="14027ED2" w14:textId="50750774" w:rsidR="0045234B" w:rsidRPr="00592942" w:rsidRDefault="0045234B"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ITE programs are closely regulated and this can, at times, run the risk of narrowing the curriculum. A deep understanding of the importance and place of public schooling, as well as the communities that public schools serve and the complex nature of societies, must be preserved within the ITE curriculum. </w:t>
            </w:r>
          </w:p>
        </w:tc>
      </w:tr>
      <w:tr w:rsidR="007B1BAA" w:rsidRPr="00592942" w14:paraId="7EE3ABA9" w14:textId="77777777" w:rsidTr="00BA4E2A">
        <w:trPr>
          <w:trHeight w:val="850"/>
        </w:trPr>
        <w:tc>
          <w:tcPr>
            <w:tcW w:w="6475" w:type="dxa"/>
          </w:tcPr>
          <w:p w14:paraId="7953FE7F" w14:textId="77777777" w:rsidR="00E2750F" w:rsidRPr="00592942" w:rsidRDefault="00E2750F" w:rsidP="00E2750F">
            <w:pPr>
              <w:numPr>
                <w:ilvl w:val="0"/>
                <w:numId w:val="32"/>
              </w:numPr>
              <w:spacing w:after="160" w:line="259"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 xml:space="preserve">What more can ITE providers and employers do to ensure ITE students are getting the practical experience they need before they start their teaching careers? </w:t>
            </w:r>
          </w:p>
        </w:tc>
        <w:tc>
          <w:tcPr>
            <w:tcW w:w="6475" w:type="dxa"/>
          </w:tcPr>
          <w:p w14:paraId="74B4D939" w14:textId="37A43CB3" w:rsidR="00E2750F" w:rsidRPr="00592942" w:rsidRDefault="00A934C2"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The </w:t>
            </w:r>
            <w:r w:rsidR="00642D78" w:rsidRPr="00592942">
              <w:rPr>
                <w:rFonts w:ascii="Century Gothic" w:eastAsia="Malgun Gothic Semilight" w:hAnsi="Century Gothic" w:cs="Malgun Gothic Semilight"/>
                <w:sz w:val="20"/>
                <w:szCs w:val="20"/>
              </w:rPr>
              <w:t>significant</w:t>
            </w:r>
            <w:r w:rsidRPr="00592942">
              <w:rPr>
                <w:rFonts w:ascii="Century Gothic" w:eastAsia="Malgun Gothic Semilight" w:hAnsi="Century Gothic" w:cs="Malgun Gothic Semilight"/>
                <w:sz w:val="20"/>
                <w:szCs w:val="20"/>
              </w:rPr>
              <w:t xml:space="preserve"> issue</w:t>
            </w:r>
            <w:r w:rsidR="00642D78" w:rsidRPr="00592942">
              <w:rPr>
                <w:rFonts w:ascii="Century Gothic" w:eastAsia="Malgun Gothic Semilight" w:hAnsi="Century Gothic" w:cs="Malgun Gothic Semilight"/>
                <w:sz w:val="20"/>
                <w:szCs w:val="20"/>
              </w:rPr>
              <w:t xml:space="preserve"> here</w:t>
            </w:r>
            <w:r w:rsidRPr="00592942">
              <w:rPr>
                <w:rFonts w:ascii="Century Gothic" w:eastAsia="Malgun Gothic Semilight" w:hAnsi="Century Gothic" w:cs="Malgun Gothic Semilight"/>
                <w:sz w:val="20"/>
                <w:szCs w:val="20"/>
              </w:rPr>
              <w:t xml:space="preserve"> is what we can do to ensure that ITE curriculum is contemporary and futures-focused.  That is, how can we ensure that ITE graduates are well-versed in contemporary grammar of schooling practices – i.e., curriculum, pedagogy, and assessment?  The more informed ITE programs are by highly effective contemporary teaching and learning practices the better off we will be.</w:t>
            </w:r>
          </w:p>
          <w:p w14:paraId="28C929B6" w14:textId="77777777" w:rsidR="00A934C2" w:rsidRPr="00592942" w:rsidRDefault="005B307F"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Beyond the practicum concept, what would be advantageous is for each ITE provider to have a partnership with at least one “laboratory school” where a symbiotic relationship informs the contemporary practice of both the school and the ITE provider</w:t>
            </w:r>
          </w:p>
          <w:p w14:paraId="73E66417" w14:textId="77777777" w:rsidR="00C35F24" w:rsidRPr="00592942" w:rsidRDefault="00C35F24" w:rsidP="00C35F24">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Look at the scheduling of Prac placements:</w:t>
            </w:r>
          </w:p>
          <w:p w14:paraId="689AC548" w14:textId="77777777" w:rsidR="00C35F24" w:rsidRPr="00592942" w:rsidRDefault="00C35F24" w:rsidP="00C35F24">
            <w:pPr>
              <w:pStyle w:val="ListParagraph"/>
              <w:numPr>
                <w:ilvl w:val="0"/>
                <w:numId w:val="36"/>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do these occur early and regularly in the ITE course</w:t>
            </w:r>
          </w:p>
          <w:p w14:paraId="265751A3" w14:textId="148F4FF9" w:rsidR="002B3245" w:rsidRPr="00592942" w:rsidRDefault="00C35F24" w:rsidP="00C35F24">
            <w:pPr>
              <w:pStyle w:val="ListParagraph"/>
              <w:numPr>
                <w:ilvl w:val="0"/>
                <w:numId w:val="36"/>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is this same across all jurisdictions</w:t>
            </w:r>
          </w:p>
        </w:tc>
      </w:tr>
      <w:tr w:rsidR="007B1BAA" w:rsidRPr="00592942" w14:paraId="537758FB" w14:textId="77777777" w:rsidTr="00BA4E2A">
        <w:trPr>
          <w:trHeight w:val="820"/>
        </w:trPr>
        <w:tc>
          <w:tcPr>
            <w:tcW w:w="6475" w:type="dxa"/>
          </w:tcPr>
          <w:p w14:paraId="7F3D5D3D" w14:textId="77777777" w:rsidR="00E2750F" w:rsidRPr="00592942" w:rsidRDefault="00E2750F" w:rsidP="00E2750F">
            <w:pPr>
              <w:numPr>
                <w:ilvl w:val="0"/>
                <w:numId w:val="32"/>
              </w:numPr>
              <w:spacing w:after="160" w:line="259"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How can Teaching Performance Assessment arrangements be strengthened to ensure graduate teachers are well-prepared for the classroom</w:t>
            </w:r>
          </w:p>
        </w:tc>
        <w:tc>
          <w:tcPr>
            <w:tcW w:w="6475" w:type="dxa"/>
          </w:tcPr>
          <w:p w14:paraId="764BBB7E" w14:textId="49F6636E" w:rsidR="005F714D" w:rsidRPr="00592942" w:rsidRDefault="005F714D"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ASPA acknowledges the work done by ITE providers and </w:t>
            </w:r>
            <w:r w:rsidR="00995CDE" w:rsidRPr="00592942">
              <w:rPr>
                <w:rFonts w:ascii="Century Gothic" w:eastAsia="Malgun Gothic Semilight" w:hAnsi="Century Gothic" w:cs="Malgun Gothic Semilight"/>
                <w:sz w:val="20"/>
                <w:szCs w:val="20"/>
              </w:rPr>
              <w:t xml:space="preserve">have been impressed by what is being asked of practicum students.  </w:t>
            </w:r>
          </w:p>
          <w:p w14:paraId="702EEE42" w14:textId="071D7B45" w:rsidR="00E2750F" w:rsidRPr="00592942" w:rsidRDefault="00F05209"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 xml:space="preserve">It is critical that </w:t>
            </w:r>
            <w:r w:rsidR="00995CDE" w:rsidRPr="00592942">
              <w:rPr>
                <w:rFonts w:ascii="Century Gothic" w:eastAsia="Malgun Gothic Semilight" w:hAnsi="Century Gothic" w:cs="Malgun Gothic Semilight"/>
                <w:sz w:val="20"/>
                <w:szCs w:val="20"/>
              </w:rPr>
              <w:t>teacher supervisors</w:t>
            </w:r>
            <w:r w:rsidRPr="00592942">
              <w:rPr>
                <w:rFonts w:ascii="Century Gothic" w:eastAsia="Malgun Gothic Semilight" w:hAnsi="Century Gothic" w:cs="Malgun Gothic Semilight"/>
                <w:sz w:val="20"/>
                <w:szCs w:val="20"/>
              </w:rPr>
              <w:t xml:space="preserve"> in schools</w:t>
            </w:r>
            <w:r w:rsidR="00995CDE" w:rsidRPr="00592942">
              <w:rPr>
                <w:rFonts w:ascii="Century Gothic" w:eastAsia="Malgun Gothic Semilight" w:hAnsi="Century Gothic" w:cs="Malgun Gothic Semilight"/>
                <w:sz w:val="20"/>
                <w:szCs w:val="20"/>
              </w:rPr>
              <w:t xml:space="preserve"> have more time (and training) to better support under-graduates</w:t>
            </w:r>
            <w:r w:rsidRPr="00592942">
              <w:rPr>
                <w:rFonts w:ascii="Century Gothic" w:eastAsia="Malgun Gothic Semilight" w:hAnsi="Century Gothic" w:cs="Malgun Gothic Semilight"/>
                <w:sz w:val="20"/>
                <w:szCs w:val="20"/>
              </w:rPr>
              <w:t xml:space="preserve"> – reflection, debriefing, planning etc</w:t>
            </w:r>
            <w:r w:rsidR="00995CDE" w:rsidRPr="00592942">
              <w:rPr>
                <w:rFonts w:ascii="Century Gothic" w:eastAsia="Malgun Gothic Semilight" w:hAnsi="Century Gothic" w:cs="Malgun Gothic Semilight"/>
                <w:sz w:val="20"/>
                <w:szCs w:val="20"/>
              </w:rPr>
              <w:t>.</w:t>
            </w:r>
          </w:p>
        </w:tc>
      </w:tr>
      <w:tr w:rsidR="007B1BAA" w:rsidRPr="00592942" w14:paraId="6B615525" w14:textId="77777777" w:rsidTr="00BA4E2A">
        <w:trPr>
          <w:trHeight w:val="570"/>
        </w:trPr>
        <w:tc>
          <w:tcPr>
            <w:tcW w:w="6475" w:type="dxa"/>
          </w:tcPr>
          <w:p w14:paraId="249D6A87" w14:textId="77777777" w:rsidR="00E2750F" w:rsidRPr="00592942" w:rsidRDefault="00E2750F" w:rsidP="00E2750F">
            <w:pPr>
              <w:numPr>
                <w:ilvl w:val="0"/>
                <w:numId w:val="32"/>
              </w:numPr>
              <w:spacing w:after="160" w:line="259"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 xml:space="preserve">How can leading teachers, principals and schools play a greater role in supporting the development of ITE students? </w:t>
            </w:r>
          </w:p>
        </w:tc>
        <w:tc>
          <w:tcPr>
            <w:tcW w:w="6475" w:type="dxa"/>
          </w:tcPr>
          <w:p w14:paraId="6E23DB0E" w14:textId="4F09D441" w:rsidR="00E2750F" w:rsidRPr="00592942" w:rsidRDefault="00841291" w:rsidP="0045234B">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It is critical that teacher supervisors in schools have more time (and training) to better support under-graduates – reflection, debriefing, planning etc.</w:t>
            </w:r>
            <w:r w:rsidR="0045234B" w:rsidRPr="00592942">
              <w:rPr>
                <w:rFonts w:ascii="Century Gothic" w:eastAsia="Malgun Gothic Semilight" w:hAnsi="Century Gothic" w:cs="Malgun Gothic Semilight"/>
                <w:sz w:val="20"/>
                <w:szCs w:val="20"/>
              </w:rPr>
              <w:t xml:space="preserve"> </w:t>
            </w:r>
          </w:p>
          <w:p w14:paraId="709798C7" w14:textId="369D452E" w:rsidR="0045234B" w:rsidRPr="00592942" w:rsidRDefault="0045234B" w:rsidP="0045234B">
            <w:pPr>
              <w:pStyle w:val="ListParagraph"/>
              <w:numPr>
                <w:ilvl w:val="0"/>
                <w:numId w:val="34"/>
              </w:numPr>
              <w:autoSpaceDE w:val="0"/>
              <w:autoSpaceDN w:val="0"/>
              <w:adjustRightInd w:val="0"/>
              <w:rPr>
                <w:rFonts w:ascii="Century Gothic" w:hAnsi="Century Gothic" w:cs="Arial"/>
                <w:sz w:val="20"/>
                <w:szCs w:val="20"/>
              </w:rPr>
            </w:pPr>
            <w:r w:rsidRPr="00592942">
              <w:rPr>
                <w:rFonts w:ascii="Century Gothic" w:hAnsi="Century Gothic" w:cs="Arial"/>
                <w:sz w:val="20"/>
                <w:szCs w:val="20"/>
              </w:rPr>
              <w:t xml:space="preserve">We advocate for greater flexibility and support for school leadership roles to enable greater attention to mentoring and support for ITE students and early career teachers. This might include cluster-based mentoring programs, and shared roles focused on the development of pre-service and early career teachers across multiple schools, creating effective communities of practice.  </w:t>
            </w:r>
          </w:p>
          <w:p w14:paraId="460C929C" w14:textId="253B471D" w:rsidR="0045234B" w:rsidRPr="00592942" w:rsidRDefault="0045234B" w:rsidP="00610223">
            <w:pPr>
              <w:ind w:left="360"/>
              <w:jc w:val="both"/>
              <w:rPr>
                <w:rFonts w:ascii="Century Gothic" w:eastAsia="Malgun Gothic Semilight" w:hAnsi="Century Gothic" w:cs="Malgun Gothic Semilight"/>
                <w:sz w:val="20"/>
                <w:szCs w:val="20"/>
              </w:rPr>
            </w:pPr>
          </w:p>
        </w:tc>
      </w:tr>
      <w:tr w:rsidR="007B1BAA" w:rsidRPr="00592942" w14:paraId="51709B83" w14:textId="77777777" w:rsidTr="00BA4E2A">
        <w:trPr>
          <w:trHeight w:val="6390"/>
        </w:trPr>
        <w:tc>
          <w:tcPr>
            <w:tcW w:w="6475" w:type="dxa"/>
          </w:tcPr>
          <w:p w14:paraId="64C0772C" w14:textId="5FFE5CAC" w:rsidR="00E2750F" w:rsidRPr="00592942" w:rsidRDefault="00E2750F" w:rsidP="00EF5C96">
            <w:pPr>
              <w:numPr>
                <w:ilvl w:val="0"/>
                <w:numId w:val="32"/>
              </w:numPr>
              <w:spacing w:after="160" w:line="259" w:lineRule="auto"/>
              <w:jc w:val="both"/>
              <w:rPr>
                <w:rFonts w:ascii="Century Gothic" w:eastAsia="Malgun Gothic Semilight" w:hAnsi="Century Gothic" w:cs="Malgun Gothic Semilight"/>
                <w:sz w:val="20"/>
                <w:szCs w:val="20"/>
                <w:lang w:val="en-US"/>
              </w:rPr>
            </w:pPr>
            <w:r w:rsidRPr="00592942">
              <w:rPr>
                <w:rFonts w:ascii="Century Gothic" w:eastAsia="Malgun Gothic Semilight" w:hAnsi="Century Gothic" w:cs="Malgun Gothic Semilight"/>
                <w:sz w:val="20"/>
                <w:szCs w:val="20"/>
                <w:lang w:val="en-US"/>
              </w:rPr>
              <w:t>Can ITE providers play a stronger role in ongoing professional development and support of teachers?</w:t>
            </w:r>
          </w:p>
        </w:tc>
        <w:tc>
          <w:tcPr>
            <w:tcW w:w="6475" w:type="dxa"/>
          </w:tcPr>
          <w:p w14:paraId="46A8B690" w14:textId="28EA6464" w:rsidR="0074442D" w:rsidRPr="00592942" w:rsidRDefault="00D371DB" w:rsidP="00FD4563">
            <w:pPr>
              <w:pStyle w:val="ListParagraph"/>
              <w:numPr>
                <w:ilvl w:val="0"/>
                <w:numId w:val="34"/>
              </w:numPr>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There are currently good examples of MOUs where the relationship between the school and the ITE provider is so strong that highly effective professional development is provided for teachers as quid pro quo for the high</w:t>
            </w:r>
            <w:r w:rsidR="00E16789" w:rsidRPr="00592942">
              <w:rPr>
                <w:rFonts w:ascii="Century Gothic" w:eastAsia="Malgun Gothic Semilight" w:hAnsi="Century Gothic" w:cs="Malgun Gothic Semilight"/>
                <w:sz w:val="20"/>
                <w:szCs w:val="20"/>
              </w:rPr>
              <w:t>-</w:t>
            </w:r>
            <w:r w:rsidRPr="00592942">
              <w:rPr>
                <w:rFonts w:ascii="Century Gothic" w:eastAsia="Malgun Gothic Semilight" w:hAnsi="Century Gothic" w:cs="Malgun Gothic Semilight"/>
                <w:sz w:val="20"/>
                <w:szCs w:val="20"/>
              </w:rPr>
              <w:t>quality mentoring support given to ITE students.</w:t>
            </w:r>
            <w:r w:rsidR="00671D5C" w:rsidRPr="00592942">
              <w:rPr>
                <w:rFonts w:ascii="Century Gothic" w:eastAsia="Malgun Gothic Semilight" w:hAnsi="Century Gothic" w:cs="Malgun Gothic Semilight"/>
                <w:sz w:val="20"/>
                <w:szCs w:val="20"/>
              </w:rPr>
              <w:t xml:space="preserve"> This professional association can be expanded </w:t>
            </w:r>
            <w:r w:rsidR="00E83E54" w:rsidRPr="00592942">
              <w:rPr>
                <w:rFonts w:ascii="Century Gothic" w:eastAsia="Malgun Gothic Semilight" w:hAnsi="Century Gothic" w:cs="Malgun Gothic Semilight"/>
                <w:sz w:val="20"/>
                <w:szCs w:val="20"/>
              </w:rPr>
              <w:t>to cover an ITE provider and several schools – as schools all have an independent strategic agenda.</w:t>
            </w:r>
          </w:p>
        </w:tc>
      </w:tr>
    </w:tbl>
    <w:p w14:paraId="680ACB53" w14:textId="77777777" w:rsidR="00E2750F" w:rsidRPr="00592942" w:rsidRDefault="00E2750F" w:rsidP="00E2750F">
      <w:pPr>
        <w:jc w:val="both"/>
        <w:rPr>
          <w:rFonts w:ascii="Century Gothic" w:eastAsia="Malgun Gothic Semilight" w:hAnsi="Century Gothic" w:cs="Malgun Gothic Semilight"/>
          <w:sz w:val="20"/>
          <w:szCs w:val="20"/>
        </w:rPr>
      </w:pPr>
    </w:p>
    <w:p w14:paraId="0AFFAD9B" w14:textId="77777777" w:rsidR="00E2750F" w:rsidRPr="00592942" w:rsidRDefault="00E2750F" w:rsidP="00EB19E1">
      <w:pPr>
        <w:jc w:val="both"/>
        <w:rPr>
          <w:rFonts w:ascii="Century Gothic" w:eastAsia="Malgun Gothic Semilight" w:hAnsi="Century Gothic" w:cs="Malgun Gothic Semilight"/>
          <w:sz w:val="20"/>
          <w:szCs w:val="20"/>
        </w:rPr>
      </w:pPr>
    </w:p>
    <w:p w14:paraId="78C26436" w14:textId="37A64245" w:rsidR="00EB19E1" w:rsidRPr="00592942" w:rsidRDefault="00EB19E1" w:rsidP="00EB19E1">
      <w:pPr>
        <w:jc w:val="both"/>
        <w:rPr>
          <w:rFonts w:ascii="Century Gothic" w:eastAsia="Malgun Gothic Semilight" w:hAnsi="Century Gothic" w:cs="Malgun Gothic Semilight"/>
          <w:sz w:val="20"/>
          <w:szCs w:val="20"/>
        </w:rPr>
      </w:pPr>
    </w:p>
    <w:p w14:paraId="73D1619B" w14:textId="549238FD" w:rsidR="00F2299A" w:rsidRPr="00592942" w:rsidRDefault="00F2299A" w:rsidP="009C5CE5">
      <w:pPr>
        <w:jc w:val="both"/>
        <w:rPr>
          <w:rFonts w:ascii="Century Gothic" w:eastAsia="Malgun Gothic Semilight" w:hAnsi="Century Gothic" w:cs="Malgun Gothic Semilight"/>
          <w:sz w:val="20"/>
          <w:szCs w:val="20"/>
        </w:rPr>
      </w:pPr>
    </w:p>
    <w:p w14:paraId="08A134A1" w14:textId="77777777" w:rsidR="00A11CD5" w:rsidRPr="00592942" w:rsidRDefault="00A11CD5" w:rsidP="009C5CE5">
      <w:pPr>
        <w:jc w:val="both"/>
        <w:rPr>
          <w:rFonts w:ascii="Century Gothic" w:eastAsia="Malgun Gothic Semilight" w:hAnsi="Century Gothic" w:cs="Malgun Gothic Semilight"/>
          <w:sz w:val="20"/>
          <w:szCs w:val="20"/>
        </w:rPr>
      </w:pPr>
    </w:p>
    <w:p w14:paraId="392182C5" w14:textId="55A29EE0" w:rsidR="00F2299A" w:rsidRPr="00592942" w:rsidRDefault="00F2299A" w:rsidP="009C5CE5">
      <w:pPr>
        <w:jc w:val="both"/>
        <w:rPr>
          <w:rFonts w:ascii="Century Gothic" w:eastAsia="Malgun Gothic Semilight" w:hAnsi="Century Gothic" w:cs="Malgun Gothic Semilight"/>
          <w:sz w:val="20"/>
          <w:szCs w:val="20"/>
        </w:rPr>
      </w:pPr>
    </w:p>
    <w:p w14:paraId="5AB5D303" w14:textId="0C6CF98D" w:rsidR="00F2299A" w:rsidRPr="00592942" w:rsidRDefault="00F2299A" w:rsidP="009C5CE5">
      <w:pPr>
        <w:jc w:val="both"/>
        <w:rPr>
          <w:rFonts w:ascii="Century Gothic" w:eastAsia="Malgun Gothic Semilight" w:hAnsi="Century Gothic" w:cs="Malgun Gothic Semilight"/>
          <w:sz w:val="20"/>
          <w:szCs w:val="20"/>
        </w:rPr>
      </w:pPr>
    </w:p>
    <w:p w14:paraId="4BAE596F" w14:textId="77777777" w:rsidR="00F2299A" w:rsidRPr="00592942" w:rsidRDefault="00F2299A" w:rsidP="009C5CE5">
      <w:pPr>
        <w:jc w:val="both"/>
        <w:rPr>
          <w:rFonts w:ascii="Century Gothic" w:eastAsia="Malgun Gothic Semilight" w:hAnsi="Century Gothic" w:cs="Malgun Gothic Semilight"/>
          <w:sz w:val="20"/>
          <w:szCs w:val="20"/>
        </w:rPr>
      </w:pPr>
    </w:p>
    <w:p w14:paraId="022CD2C0" w14:textId="77777777" w:rsidR="009C5CE5" w:rsidRPr="00592942" w:rsidRDefault="009C5CE5" w:rsidP="009C5CE5">
      <w:pPr>
        <w:jc w:val="both"/>
        <w:rPr>
          <w:rFonts w:ascii="Century Gothic" w:eastAsia="Malgun Gothic Semilight" w:hAnsi="Century Gothic" w:cs="Malgun Gothic Semilight"/>
          <w:sz w:val="20"/>
          <w:szCs w:val="20"/>
        </w:rPr>
      </w:pPr>
    </w:p>
    <w:p w14:paraId="2D5DDE22" w14:textId="77777777" w:rsidR="00D33120" w:rsidRPr="00592942" w:rsidRDefault="00D33120" w:rsidP="00C4620B">
      <w:pPr>
        <w:spacing w:after="200" w:line="276" w:lineRule="auto"/>
        <w:rPr>
          <w:rFonts w:ascii="Century Gothic" w:eastAsia="Malgun Gothic Semilight" w:hAnsi="Century Gothic" w:cs="Malgun Gothic Semilight"/>
          <w:sz w:val="20"/>
          <w:szCs w:val="20"/>
          <w:lang w:eastAsia="en-AU"/>
        </w:rPr>
      </w:pPr>
    </w:p>
    <w:p w14:paraId="4A24B80F" w14:textId="77777777" w:rsidR="00D33120" w:rsidRPr="00592942" w:rsidRDefault="00D33120" w:rsidP="001C11CA">
      <w:pPr>
        <w:spacing w:after="200" w:line="276" w:lineRule="auto"/>
        <w:jc w:val="both"/>
        <w:rPr>
          <w:rFonts w:ascii="Century Gothic" w:eastAsia="Malgun Gothic Semilight" w:hAnsi="Century Gothic" w:cs="Malgun Gothic Semilight"/>
          <w:sz w:val="20"/>
          <w:szCs w:val="20"/>
          <w:lang w:eastAsia="en-AU"/>
        </w:rPr>
      </w:pPr>
    </w:p>
    <w:p w14:paraId="08E976EF" w14:textId="77777777" w:rsidR="00DE1BCB" w:rsidRPr="00592942" w:rsidRDefault="00DE1BCB" w:rsidP="00660B15">
      <w:pPr>
        <w:spacing w:after="200" w:line="276" w:lineRule="auto"/>
        <w:jc w:val="center"/>
        <w:rPr>
          <w:rFonts w:ascii="Century Gothic" w:eastAsia="Malgun Gothic Semilight" w:hAnsi="Century Gothic" w:cs="Malgun Gothic Semilight"/>
          <w:b/>
          <w:lang w:eastAsia="en-AU"/>
        </w:rPr>
      </w:pPr>
    </w:p>
    <w:p w14:paraId="15516EEC" w14:textId="77777777" w:rsidR="00DE1BCB" w:rsidRPr="00592942" w:rsidRDefault="00DE1BCB" w:rsidP="00660B15">
      <w:pPr>
        <w:spacing w:after="200" w:line="276" w:lineRule="auto"/>
        <w:jc w:val="center"/>
        <w:rPr>
          <w:rFonts w:ascii="Century Gothic" w:eastAsia="Malgun Gothic Semilight" w:hAnsi="Century Gothic" w:cs="Malgun Gothic Semilight"/>
          <w:b/>
          <w:lang w:eastAsia="en-AU"/>
        </w:rPr>
      </w:pPr>
    </w:p>
    <w:p w14:paraId="367F52A1" w14:textId="77777777" w:rsidR="00794671" w:rsidRPr="00592942" w:rsidRDefault="00794671" w:rsidP="00794671">
      <w:pPr>
        <w:pStyle w:val="ListParagraph"/>
        <w:spacing w:after="200" w:line="276" w:lineRule="auto"/>
        <w:jc w:val="both"/>
        <w:rPr>
          <w:rFonts w:ascii="Century Gothic" w:eastAsia="Malgun Gothic Semilight" w:hAnsi="Century Gothic" w:cs="Malgun Gothic Semilight"/>
          <w:sz w:val="20"/>
          <w:szCs w:val="20"/>
          <w:lang w:eastAsia="en-AU"/>
        </w:rPr>
      </w:pPr>
    </w:p>
    <w:tbl>
      <w:tblPr>
        <w:tblStyle w:val="TableGrid1"/>
        <w:tblW w:w="0" w:type="auto"/>
        <w:tblInd w:w="392" w:type="dxa"/>
        <w:tblBorders>
          <w:top w:val="single" w:sz="4" w:space="0" w:color="548DD4"/>
          <w:left w:val="single" w:sz="4" w:space="0" w:color="548DD4"/>
          <w:bottom w:val="single" w:sz="4" w:space="0" w:color="548DD4"/>
          <w:right w:val="single" w:sz="4" w:space="0" w:color="548DD4"/>
          <w:insideH w:val="none" w:sz="0" w:space="0" w:color="auto"/>
          <w:insideV w:val="none" w:sz="0" w:space="0" w:color="auto"/>
        </w:tblBorders>
        <w:shd w:val="clear" w:color="auto" w:fill="DBE5F1"/>
        <w:tblLook w:val="04A0" w:firstRow="1" w:lastRow="0" w:firstColumn="1" w:lastColumn="0" w:noHBand="0" w:noVBand="1"/>
      </w:tblPr>
      <w:tblGrid>
        <w:gridCol w:w="8624"/>
      </w:tblGrid>
      <w:tr w:rsidR="00BC7208" w:rsidRPr="00592942" w14:paraId="683C92E0" w14:textId="77777777" w:rsidTr="00794671">
        <w:tc>
          <w:tcPr>
            <w:tcW w:w="8850" w:type="dxa"/>
            <w:shd w:val="clear" w:color="auto" w:fill="DBE5F1"/>
          </w:tcPr>
          <w:p w14:paraId="64577A9F" w14:textId="77777777" w:rsidR="00A30A29" w:rsidRPr="00592942" w:rsidRDefault="00A30A29" w:rsidP="00F0243D">
            <w:pPr>
              <w:shd w:val="clear" w:color="auto" w:fill="9999FF"/>
              <w:autoSpaceDE w:val="0"/>
              <w:autoSpaceDN w:val="0"/>
              <w:adjustRightInd w:val="0"/>
              <w:spacing w:after="200" w:line="276" w:lineRule="auto"/>
              <w:rPr>
                <w:rFonts w:ascii="Century Gothic" w:eastAsia="Malgun Gothic Semilight" w:hAnsi="Century Gothic" w:cs="Malgun Gothic Semilight"/>
                <w:i/>
                <w:sz w:val="20"/>
                <w:szCs w:val="20"/>
              </w:rPr>
            </w:pPr>
          </w:p>
          <w:p w14:paraId="0B08048D" w14:textId="77777777" w:rsidR="00A30A29" w:rsidRPr="00592942" w:rsidRDefault="00A30A29" w:rsidP="00F0243D">
            <w:pPr>
              <w:shd w:val="clear" w:color="auto" w:fill="9999FF"/>
              <w:autoSpaceDE w:val="0"/>
              <w:autoSpaceDN w:val="0"/>
              <w:adjustRightInd w:val="0"/>
              <w:spacing w:after="200" w:line="276" w:lineRule="auto"/>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i/>
                <w:sz w:val="20"/>
                <w:szCs w:val="20"/>
              </w:rPr>
              <w:t>Adam Smith</w:t>
            </w:r>
            <w:r w:rsidRPr="00592942">
              <w:rPr>
                <w:rFonts w:ascii="Century Gothic" w:eastAsia="Malgun Gothic Semilight" w:hAnsi="Century Gothic" w:cs="Malgun Gothic Semilight"/>
                <w:sz w:val="20"/>
                <w:szCs w:val="20"/>
              </w:rPr>
              <w:t xml:space="preserve"> - Education Analyst and Commentator in An Open Letter to Students in Australian Schools 15 / 11 / 2012 </w:t>
            </w:r>
            <w:hyperlink r:id="rId13" w:history="1">
              <w:r w:rsidRPr="00592942">
                <w:rPr>
                  <w:rFonts w:ascii="Century Gothic" w:eastAsia="Malgun Gothic Semilight" w:hAnsi="Century Gothic" w:cs="Malgun Gothic Semilight"/>
                  <w:sz w:val="20"/>
                  <w:szCs w:val="20"/>
                  <w:u w:val="single"/>
                </w:rPr>
                <w:t>http://sheilas.org.au/2012/11/an-open-letter-to-students-in-australian-schools</w:t>
              </w:r>
            </w:hyperlink>
            <w:r w:rsidRPr="00592942">
              <w:rPr>
                <w:rFonts w:ascii="Century Gothic" w:eastAsia="Malgun Gothic Semilight" w:hAnsi="Century Gothic" w:cs="Malgun Gothic Semilight"/>
                <w:sz w:val="20"/>
                <w:szCs w:val="20"/>
              </w:rPr>
              <w:t xml:space="preserve"> said:</w:t>
            </w:r>
          </w:p>
          <w:p w14:paraId="4DA34015" w14:textId="77777777" w:rsidR="00A30A29" w:rsidRPr="00592942" w:rsidRDefault="00A30A29" w:rsidP="00F0243D">
            <w:pPr>
              <w:shd w:val="clear" w:color="auto" w:fill="9999FF"/>
              <w:autoSpaceDE w:val="0"/>
              <w:autoSpaceDN w:val="0"/>
              <w:adjustRightInd w:val="0"/>
              <w:spacing w:after="200" w:line="276" w:lineRule="auto"/>
              <w:jc w:val="both"/>
              <w:rPr>
                <w:rFonts w:ascii="Century Gothic" w:eastAsia="Malgun Gothic Semilight" w:hAnsi="Century Gothic" w:cs="Malgun Gothic Semilight"/>
                <w:i/>
                <w:sz w:val="20"/>
                <w:szCs w:val="20"/>
              </w:rPr>
            </w:pPr>
          </w:p>
          <w:p w14:paraId="0AA036FE" w14:textId="5BAD9FCB" w:rsidR="00A30A29" w:rsidRPr="00592942" w:rsidRDefault="00A30A29" w:rsidP="00F0243D">
            <w:pPr>
              <w:shd w:val="clear" w:color="auto" w:fill="9999FF"/>
              <w:autoSpaceDE w:val="0"/>
              <w:autoSpaceDN w:val="0"/>
              <w:adjustRightInd w:val="0"/>
              <w:spacing w:after="200" w:line="276" w:lineRule="auto"/>
              <w:jc w:val="both"/>
              <w:rPr>
                <w:rFonts w:ascii="Century Gothic" w:eastAsia="Malgun Gothic Semilight" w:hAnsi="Century Gothic" w:cs="Malgun Gothic Semilight"/>
                <w:i/>
                <w:sz w:val="20"/>
                <w:szCs w:val="20"/>
              </w:rPr>
            </w:pPr>
            <w:r w:rsidRPr="00592942">
              <w:rPr>
                <w:rFonts w:ascii="Century Gothic" w:eastAsia="Malgun Gothic Semilight" w:hAnsi="Century Gothic" w:cs="Malgun Gothic Semilight"/>
                <w:i/>
                <w:sz w:val="20"/>
                <w:szCs w:val="20"/>
              </w:rPr>
              <w:t>“To the 3,541,809 students in 9435 schools in Australia, I wish I could promise that no matter where you live, no matter which school you go to, you will receive an education that equips and inspires you for the rest of your life. I wish I could promise that no matter how you learn or where you learn, your education will give you the skills you need to succeed. I wish I could promise that at the end of thirteen years of schooling, you will be confident and ready to embark on a combination of work and further learning that will give you the chance to live the life you want to live.</w:t>
            </w:r>
          </w:p>
          <w:p w14:paraId="7281EE66" w14:textId="3C682937" w:rsidR="00A30A29" w:rsidRPr="00592942" w:rsidRDefault="00A30A29" w:rsidP="00F0243D">
            <w:pPr>
              <w:shd w:val="clear" w:color="auto" w:fill="9999FF"/>
              <w:autoSpaceDE w:val="0"/>
              <w:autoSpaceDN w:val="0"/>
              <w:adjustRightInd w:val="0"/>
              <w:spacing w:after="200" w:line="276" w:lineRule="auto"/>
              <w:jc w:val="both"/>
              <w:rPr>
                <w:rFonts w:ascii="Century Gothic" w:eastAsia="Malgun Gothic Semilight" w:hAnsi="Century Gothic" w:cs="Malgun Gothic Semilight"/>
                <w:i/>
                <w:sz w:val="20"/>
                <w:szCs w:val="20"/>
              </w:rPr>
            </w:pPr>
            <w:r w:rsidRPr="00592942">
              <w:rPr>
                <w:rFonts w:ascii="Century Gothic" w:eastAsia="Malgun Gothic Semilight" w:hAnsi="Century Gothic" w:cs="Malgun Gothic Semilight"/>
                <w:i/>
                <w:sz w:val="20"/>
                <w:szCs w:val="20"/>
              </w:rPr>
              <w:t xml:space="preserve">Sadly, I can’t promise any of this. Sadly, despite the many billions of dollars spent on school education in Australia, too many of you are missing out on the type of education you deserve”. </w:t>
            </w:r>
          </w:p>
          <w:p w14:paraId="7DA3A87A" w14:textId="3D5F2EE6" w:rsidR="00A30A29" w:rsidRPr="00592942" w:rsidRDefault="00A30A29" w:rsidP="00F0243D">
            <w:pPr>
              <w:shd w:val="clear" w:color="auto" w:fill="9999FF"/>
              <w:autoSpaceDE w:val="0"/>
              <w:autoSpaceDN w:val="0"/>
              <w:adjustRightInd w:val="0"/>
              <w:spacing w:after="200" w:line="276" w:lineRule="auto"/>
              <w:jc w:val="both"/>
              <w:rPr>
                <w:rFonts w:ascii="Century Gothic" w:eastAsia="Malgun Gothic Semilight" w:hAnsi="Century Gothic" w:cs="Malgun Gothic Semilight"/>
                <w:sz w:val="20"/>
                <w:szCs w:val="20"/>
              </w:rPr>
            </w:pPr>
            <w:r w:rsidRPr="00592942">
              <w:rPr>
                <w:rFonts w:ascii="Century Gothic" w:eastAsia="Malgun Gothic Semilight" w:hAnsi="Century Gothic" w:cs="Malgun Gothic Semilight"/>
                <w:sz w:val="20"/>
                <w:szCs w:val="20"/>
              </w:rPr>
              <w:t>While the conversation continues about the funding model for education</w:t>
            </w:r>
            <w:r w:rsidR="00FB0B7B" w:rsidRPr="00592942">
              <w:rPr>
                <w:rFonts w:ascii="Century Gothic" w:eastAsia="Malgun Gothic Semilight" w:hAnsi="Century Gothic" w:cs="Malgun Gothic Semilight"/>
                <w:sz w:val="20"/>
                <w:szCs w:val="20"/>
              </w:rPr>
              <w:t xml:space="preserve"> and the </w:t>
            </w:r>
            <w:r w:rsidR="00290009" w:rsidRPr="00592942">
              <w:rPr>
                <w:rFonts w:ascii="Century Gothic" w:eastAsia="Malgun Gothic Semilight" w:hAnsi="Century Gothic" w:cs="Malgun Gothic Semilight"/>
                <w:sz w:val="20"/>
                <w:szCs w:val="20"/>
              </w:rPr>
              <w:t>provision of high quality, motivated teachers</w:t>
            </w:r>
            <w:r w:rsidRPr="00592942">
              <w:rPr>
                <w:rFonts w:ascii="Century Gothic" w:eastAsia="Malgun Gothic Semilight" w:hAnsi="Century Gothic" w:cs="Malgun Gothic Semilight"/>
                <w:sz w:val="20"/>
                <w:szCs w:val="20"/>
              </w:rPr>
              <w:t>, the gap between those for whom demography determines destiny, and those for whom there is real choice, continues to widen.</w:t>
            </w:r>
          </w:p>
          <w:p w14:paraId="0A83400B" w14:textId="77777777" w:rsidR="00A30A29" w:rsidRPr="00592942" w:rsidRDefault="00A30A29" w:rsidP="00F0243D">
            <w:pPr>
              <w:shd w:val="clear" w:color="auto" w:fill="9999FF"/>
              <w:spacing w:after="200" w:line="276" w:lineRule="auto"/>
              <w:rPr>
                <w:rFonts w:ascii="Century Gothic" w:eastAsia="Malgun Gothic Semilight" w:hAnsi="Century Gothic" w:cs="Malgun Gothic Semilight"/>
                <w:sz w:val="20"/>
                <w:szCs w:val="20"/>
              </w:rPr>
            </w:pPr>
          </w:p>
        </w:tc>
      </w:tr>
    </w:tbl>
    <w:p w14:paraId="64C3ACD3" w14:textId="15902BCF" w:rsidR="006D4C0F" w:rsidRPr="00592942" w:rsidRDefault="00C64814" w:rsidP="006D4C0F">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Century Gothic" w:eastAsia="Malgun Gothic Semilight" w:hAnsi="Century Gothic" w:cs="Malgun Gothic Semilight"/>
          <w:b/>
          <w:color w:val="6600FF"/>
          <w:sz w:val="20"/>
          <w:szCs w:val="20"/>
          <w:lang w:eastAsia="en-AU"/>
        </w:rPr>
      </w:pPr>
      <w:r w:rsidRPr="00592942">
        <w:rPr>
          <w:rFonts w:ascii="Century Gothic" w:eastAsia="Malgun Gothic Semilight" w:hAnsi="Century Gothic" w:cs="Malgun Gothic Semilight"/>
          <w:b/>
          <w:color w:val="6600FF"/>
          <w:sz w:val="20"/>
          <w:szCs w:val="20"/>
          <w:lang w:eastAsia="en-AU"/>
        </w:rPr>
        <w:t>A</w:t>
      </w:r>
      <w:r w:rsidR="006D4C0F" w:rsidRPr="00592942">
        <w:rPr>
          <w:rFonts w:ascii="Century Gothic" w:eastAsia="Malgun Gothic Semilight" w:hAnsi="Century Gothic" w:cs="Malgun Gothic Semilight"/>
          <w:b/>
          <w:color w:val="6600FF"/>
          <w:sz w:val="20"/>
          <w:szCs w:val="20"/>
          <w:lang w:eastAsia="en-AU"/>
        </w:rPr>
        <w:t xml:space="preserve">SPA represents </w:t>
      </w:r>
      <w:r w:rsidR="00E1305B" w:rsidRPr="00592942">
        <w:rPr>
          <w:rFonts w:ascii="Century Gothic" w:eastAsia="Malgun Gothic Semilight" w:hAnsi="Century Gothic" w:cs="Malgun Gothic Semilight"/>
          <w:b/>
          <w:color w:val="6600FF"/>
          <w:sz w:val="20"/>
          <w:szCs w:val="20"/>
          <w:lang w:eastAsia="en-AU"/>
        </w:rPr>
        <w:t>some 4</w:t>
      </w:r>
      <w:r w:rsidR="00860554" w:rsidRPr="00592942">
        <w:rPr>
          <w:rFonts w:ascii="Century Gothic" w:eastAsia="Malgun Gothic Semilight" w:hAnsi="Century Gothic" w:cs="Malgun Gothic Semilight"/>
          <w:b/>
          <w:color w:val="6600FF"/>
          <w:sz w:val="20"/>
          <w:szCs w:val="20"/>
          <w:lang w:eastAsia="en-AU"/>
        </w:rPr>
        <w:t>500</w:t>
      </w:r>
      <w:r w:rsidR="00E1305B" w:rsidRPr="00592942">
        <w:rPr>
          <w:rFonts w:ascii="Century Gothic" w:eastAsia="Malgun Gothic Semilight" w:hAnsi="Century Gothic" w:cs="Malgun Gothic Semilight"/>
          <w:b/>
          <w:color w:val="6600FF"/>
          <w:sz w:val="20"/>
          <w:szCs w:val="20"/>
          <w:lang w:eastAsia="en-AU"/>
        </w:rPr>
        <w:t xml:space="preserve"> </w:t>
      </w:r>
      <w:r w:rsidR="006D4C0F" w:rsidRPr="00592942">
        <w:rPr>
          <w:rFonts w:ascii="Century Gothic" w:eastAsia="Malgun Gothic Semilight" w:hAnsi="Century Gothic" w:cs="Malgun Gothic Semilight"/>
          <w:b/>
          <w:color w:val="6600FF"/>
          <w:sz w:val="20"/>
          <w:szCs w:val="20"/>
          <w:lang w:eastAsia="en-AU"/>
        </w:rPr>
        <w:t>Principals</w:t>
      </w:r>
      <w:r w:rsidRPr="00592942">
        <w:rPr>
          <w:rFonts w:ascii="Century Gothic" w:eastAsia="Malgun Gothic Semilight" w:hAnsi="Century Gothic" w:cs="Malgun Gothic Semilight"/>
          <w:b/>
          <w:color w:val="6600FF"/>
          <w:sz w:val="20"/>
          <w:szCs w:val="20"/>
          <w:lang w:eastAsia="en-AU"/>
        </w:rPr>
        <w:t>,</w:t>
      </w:r>
      <w:r w:rsidR="006D4C0F" w:rsidRPr="00592942">
        <w:rPr>
          <w:rFonts w:ascii="Century Gothic" w:eastAsia="Malgun Gothic Semilight" w:hAnsi="Century Gothic" w:cs="Malgun Gothic Semilight"/>
          <w:b/>
          <w:color w:val="6600FF"/>
          <w:sz w:val="20"/>
          <w:szCs w:val="20"/>
          <w:lang w:eastAsia="en-AU"/>
        </w:rPr>
        <w:t xml:space="preserve"> Deputy Principals</w:t>
      </w:r>
      <w:r w:rsidR="00633DCE" w:rsidRPr="00592942">
        <w:rPr>
          <w:rFonts w:ascii="Century Gothic" w:eastAsia="Malgun Gothic Semilight" w:hAnsi="Century Gothic" w:cs="Malgun Gothic Semilight"/>
          <w:b/>
          <w:color w:val="6600FF"/>
          <w:sz w:val="20"/>
          <w:szCs w:val="20"/>
          <w:lang w:eastAsia="en-AU"/>
        </w:rPr>
        <w:t xml:space="preserve"> and Heads of Department</w:t>
      </w:r>
      <w:r w:rsidR="006D4C0F" w:rsidRPr="00592942">
        <w:rPr>
          <w:rFonts w:ascii="Century Gothic" w:eastAsia="Malgun Gothic Semilight" w:hAnsi="Century Gothic" w:cs="Malgun Gothic Semilight"/>
          <w:b/>
          <w:color w:val="6600FF"/>
          <w:sz w:val="20"/>
          <w:szCs w:val="20"/>
          <w:lang w:eastAsia="en-AU"/>
        </w:rPr>
        <w:t xml:space="preserve"> </w:t>
      </w:r>
      <w:r w:rsidR="00E1305B" w:rsidRPr="00592942">
        <w:rPr>
          <w:rFonts w:ascii="Century Gothic" w:eastAsia="Malgun Gothic Semilight" w:hAnsi="Century Gothic" w:cs="Malgun Gothic Semilight"/>
          <w:b/>
          <w:color w:val="6600FF"/>
          <w:sz w:val="20"/>
          <w:szCs w:val="20"/>
          <w:lang w:eastAsia="en-AU"/>
        </w:rPr>
        <w:t>in</w:t>
      </w:r>
      <w:r w:rsidR="006D4C0F" w:rsidRPr="00592942">
        <w:rPr>
          <w:rFonts w:ascii="Century Gothic" w:eastAsia="Malgun Gothic Semilight" w:hAnsi="Century Gothic" w:cs="Malgun Gothic Semilight"/>
          <w:b/>
          <w:color w:val="6600FF"/>
          <w:sz w:val="20"/>
          <w:szCs w:val="20"/>
          <w:lang w:eastAsia="en-AU"/>
        </w:rPr>
        <w:t xml:space="preserve"> Secondary, P-10 and P-12 schools across </w:t>
      </w:r>
      <w:r w:rsidR="00DC6755" w:rsidRPr="00592942">
        <w:rPr>
          <w:rFonts w:ascii="Century Gothic" w:eastAsia="Malgun Gothic Semilight" w:hAnsi="Century Gothic" w:cs="Malgun Gothic Semilight"/>
          <w:b/>
          <w:color w:val="6600FF"/>
          <w:sz w:val="20"/>
          <w:szCs w:val="20"/>
          <w:lang w:eastAsia="en-AU"/>
        </w:rPr>
        <w:t>Australia</w:t>
      </w:r>
      <w:r w:rsidR="006D4C0F" w:rsidRPr="00592942">
        <w:rPr>
          <w:rFonts w:ascii="Century Gothic" w:eastAsia="Malgun Gothic Semilight" w:hAnsi="Century Gothic" w:cs="Malgun Gothic Semilight"/>
          <w:b/>
          <w:color w:val="6600FF"/>
          <w:sz w:val="20"/>
          <w:szCs w:val="20"/>
          <w:lang w:eastAsia="en-AU"/>
        </w:rPr>
        <w:t xml:space="preserve">. We are dedicated to the moral purpose that universal access can serve – an education provision that enables all </w:t>
      </w:r>
      <w:r w:rsidR="001877BD" w:rsidRPr="00592942">
        <w:rPr>
          <w:rFonts w:ascii="Century Gothic" w:eastAsia="Malgun Gothic Semilight" w:hAnsi="Century Gothic" w:cs="Malgun Gothic Semilight"/>
          <w:b/>
          <w:color w:val="6600FF"/>
          <w:sz w:val="20"/>
          <w:szCs w:val="20"/>
          <w:lang w:eastAsia="en-AU"/>
        </w:rPr>
        <w:t>students</w:t>
      </w:r>
      <w:r w:rsidR="006D4C0F" w:rsidRPr="00592942">
        <w:rPr>
          <w:rFonts w:ascii="Century Gothic" w:eastAsia="Malgun Gothic Semilight" w:hAnsi="Century Gothic" w:cs="Malgun Gothic Semilight"/>
          <w:b/>
          <w:color w:val="6600FF"/>
          <w:sz w:val="20"/>
          <w:szCs w:val="20"/>
          <w:lang w:eastAsia="en-AU"/>
        </w:rPr>
        <w:t xml:space="preserve"> to achieve their potential.</w:t>
      </w:r>
    </w:p>
    <w:p w14:paraId="41CA068D" w14:textId="23729A1E" w:rsidR="006D4C0F" w:rsidRPr="00592942" w:rsidRDefault="006D4C0F" w:rsidP="006D4C0F">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Century Gothic" w:eastAsia="Malgun Gothic Semilight" w:hAnsi="Century Gothic" w:cs="Malgun Gothic Semilight"/>
          <w:b/>
          <w:color w:val="6600FF"/>
          <w:sz w:val="20"/>
          <w:szCs w:val="20"/>
          <w:lang w:eastAsia="en-AU"/>
        </w:rPr>
      </w:pPr>
      <w:r w:rsidRPr="00592942">
        <w:rPr>
          <w:rFonts w:ascii="Century Gothic" w:eastAsia="Malgun Gothic Semilight" w:hAnsi="Century Gothic" w:cs="Malgun Gothic Semilight"/>
          <w:b/>
          <w:color w:val="6600FF"/>
          <w:sz w:val="20"/>
          <w:szCs w:val="20"/>
          <w:lang w:eastAsia="en-AU"/>
        </w:rPr>
        <w:t>Thank you for the opportunity</w:t>
      </w:r>
      <w:r w:rsidR="00DC6755" w:rsidRPr="00592942">
        <w:rPr>
          <w:rFonts w:ascii="Century Gothic" w:eastAsia="Malgun Gothic Semilight" w:hAnsi="Century Gothic" w:cs="Malgun Gothic Semilight"/>
          <w:b/>
          <w:color w:val="6600FF"/>
          <w:sz w:val="20"/>
          <w:szCs w:val="20"/>
          <w:lang w:eastAsia="en-AU"/>
        </w:rPr>
        <w:t xml:space="preserve"> for </w:t>
      </w:r>
      <w:r w:rsidR="00DA4947" w:rsidRPr="00592942">
        <w:rPr>
          <w:rFonts w:ascii="Century Gothic" w:eastAsia="Malgun Gothic Semilight" w:hAnsi="Century Gothic" w:cs="Malgun Gothic Semilight"/>
          <w:b/>
          <w:color w:val="6600FF"/>
          <w:sz w:val="20"/>
          <w:szCs w:val="20"/>
          <w:lang w:eastAsia="en-AU"/>
        </w:rPr>
        <w:t>ASPA to</w:t>
      </w:r>
      <w:r w:rsidRPr="00592942">
        <w:rPr>
          <w:rFonts w:ascii="Century Gothic" w:eastAsia="Malgun Gothic Semilight" w:hAnsi="Century Gothic" w:cs="Malgun Gothic Semilight"/>
          <w:b/>
          <w:color w:val="6600FF"/>
          <w:sz w:val="20"/>
          <w:szCs w:val="20"/>
          <w:lang w:eastAsia="en-AU"/>
        </w:rPr>
        <w:t xml:space="preserve"> contribute to the </w:t>
      </w:r>
      <w:r w:rsidR="00AE03D5" w:rsidRPr="00592942">
        <w:rPr>
          <w:rFonts w:ascii="Century Gothic" w:eastAsia="Malgun Gothic Semilight" w:hAnsi="Century Gothic" w:cs="Malgun Gothic Semilight"/>
          <w:b/>
          <w:color w:val="6600FF"/>
          <w:sz w:val="20"/>
          <w:szCs w:val="20"/>
          <w:lang w:eastAsia="en-AU"/>
        </w:rPr>
        <w:t>Quality Initial Teacher Education Review.</w:t>
      </w:r>
    </w:p>
    <w:sectPr w:rsidR="006D4C0F" w:rsidRPr="0059294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6F39E" w14:textId="77777777" w:rsidR="00305ED0" w:rsidRDefault="00305ED0" w:rsidP="00997AE8">
      <w:pPr>
        <w:spacing w:after="0" w:line="240" w:lineRule="auto"/>
      </w:pPr>
      <w:r>
        <w:separator/>
      </w:r>
    </w:p>
  </w:endnote>
  <w:endnote w:type="continuationSeparator" w:id="0">
    <w:p w14:paraId="5B9333B9" w14:textId="77777777" w:rsidR="00305ED0" w:rsidRDefault="00305ED0" w:rsidP="0099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Semilight">
    <w:panose1 w:val="020B0502040204020203"/>
    <w:charset w:val="80"/>
    <w:family w:val="swiss"/>
    <w:pitch w:val="variable"/>
    <w:sig w:usb0="B0000AAF" w:usb1="09DF7CFB" w:usb2="00000012" w:usb3="00000000" w:csb0="003E01BD"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E3B01" w14:textId="410381E7" w:rsidR="00A458B5" w:rsidRDefault="006D4C0F">
    <w:pPr>
      <w:pStyle w:val="Footer"/>
    </w:pPr>
    <w:r>
      <w:rPr>
        <w:noProof/>
        <w:lang w:eastAsia="en-AU"/>
      </w:rPr>
      <mc:AlternateContent>
        <mc:Choice Requires="wps">
          <w:drawing>
            <wp:anchor distT="182880" distB="182880" distL="114300" distR="114300" simplePos="0" relativeHeight="251665408" behindDoc="0" locked="0" layoutInCell="1" allowOverlap="0" wp14:anchorId="3E9B5B47" wp14:editId="69097CE5">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6D4C0F" w14:paraId="67C392DC" w14:textId="77777777">
                            <w:trPr>
                              <w:trHeight w:hRule="exact" w:val="360"/>
                            </w:trPr>
                            <w:tc>
                              <w:tcPr>
                                <w:tcW w:w="100" w:type="pct"/>
                                <w:shd w:val="clear" w:color="auto" w:fill="5B9BD5" w:themeFill="accent1"/>
                                <w:vAlign w:val="center"/>
                              </w:tcPr>
                              <w:p w14:paraId="0014D11B" w14:textId="77777777" w:rsidR="006D4C0F" w:rsidRDefault="006D4C0F">
                                <w:pPr>
                                  <w:pStyle w:val="Footer"/>
                                  <w:spacing w:before="40" w:after="40"/>
                                  <w:rPr>
                                    <w:color w:val="FFFFFF" w:themeColor="background1"/>
                                  </w:rPr>
                                </w:pPr>
                              </w:p>
                            </w:tc>
                            <w:tc>
                              <w:tcPr>
                                <w:tcW w:w="4650" w:type="pct"/>
                                <w:shd w:val="clear" w:color="auto" w:fill="2F5496" w:themeFill="accent5" w:themeFillShade="BF"/>
                                <w:vAlign w:val="center"/>
                              </w:tcPr>
                              <w:p w14:paraId="39A69655" w14:textId="4307EB90" w:rsidR="006D4C0F" w:rsidRPr="00607E22" w:rsidRDefault="00554AD0" w:rsidP="00064688">
                                <w:pPr>
                                  <w:pStyle w:val="Footer"/>
                                  <w:spacing w:before="40" w:after="40"/>
                                  <w:ind w:left="144" w:right="144"/>
                                  <w:jc w:val="center"/>
                                  <w:rPr>
                                    <w:rFonts w:ascii="Candara" w:hAnsi="Candara"/>
                                    <w:color w:val="FFFFFF" w:themeColor="background1"/>
                                    <w:sz w:val="16"/>
                                    <w:szCs w:val="16"/>
                                  </w:rPr>
                                </w:pPr>
                                <w:r w:rsidRPr="00607E22">
                                  <w:rPr>
                                    <w:rFonts w:ascii="Candara" w:hAnsi="Candara"/>
                                    <w:color w:val="FFFFFF" w:themeColor="background1"/>
                                    <w:sz w:val="16"/>
                                    <w:szCs w:val="16"/>
                                  </w:rPr>
                                  <w:t>A</w:t>
                                </w:r>
                                <w:r w:rsidR="006D4C0F" w:rsidRPr="00607E22">
                                  <w:rPr>
                                    <w:rFonts w:ascii="Candara" w:hAnsi="Candara"/>
                                    <w:color w:val="FFFFFF" w:themeColor="background1"/>
                                    <w:sz w:val="16"/>
                                    <w:szCs w:val="16"/>
                                  </w:rPr>
                                  <w:t>SPA</w:t>
                                </w:r>
                                <w:r w:rsidR="00B8015A">
                                  <w:rPr>
                                    <w:rFonts w:ascii="Candara" w:hAnsi="Candara"/>
                                    <w:color w:val="FFFFFF" w:themeColor="background1"/>
                                    <w:sz w:val="16"/>
                                    <w:szCs w:val="16"/>
                                  </w:rPr>
                                  <w:t xml:space="preserve"> Submission – Quality Initial Teacher Education </w:t>
                                </w:r>
                              </w:p>
                            </w:tc>
                            <w:tc>
                              <w:tcPr>
                                <w:tcW w:w="250" w:type="pct"/>
                                <w:shd w:val="clear" w:color="auto" w:fill="5B9BD5" w:themeFill="accent1"/>
                                <w:vAlign w:val="center"/>
                              </w:tcPr>
                              <w:p w14:paraId="46E20416" w14:textId="6DCECBE1" w:rsidR="006D4C0F" w:rsidRDefault="006D4C0F">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72765">
                                  <w:rPr>
                                    <w:noProof/>
                                    <w:color w:val="FFFFFF" w:themeColor="background1"/>
                                  </w:rPr>
                                  <w:t>6</w:t>
                                </w:r>
                                <w:r>
                                  <w:rPr>
                                    <w:noProof/>
                                    <w:color w:val="FFFFFF" w:themeColor="background1"/>
                                  </w:rPr>
                                  <w:fldChar w:fldCharType="end"/>
                                </w:r>
                              </w:p>
                            </w:tc>
                          </w:tr>
                        </w:tbl>
                        <w:p w14:paraId="54E5FE14" w14:textId="77777777" w:rsidR="006D4C0F" w:rsidRDefault="006D4C0F">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E9B5B47" id="_x0000_t202" coordsize="21600,21600" o:spt="202" path="m,l,21600r21600,l21600,xe">
              <v:stroke joinstyle="miter"/>
              <v:path gradientshapeok="t" o:connecttype="rect"/>
            </v:shapetype>
            <v:shape id="Text Box 13" o:spid="_x0000_s1026" type="#_x0000_t202" alt="Color-block footer displaying page number" style="position:absolute;margin-left:0;margin-top:0;width:468pt;height:30.95pt;z-index:251665408;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6D4C0F" w14:paraId="67C392DC" w14:textId="77777777">
                      <w:trPr>
                        <w:trHeight w:hRule="exact" w:val="360"/>
                      </w:trPr>
                      <w:tc>
                        <w:tcPr>
                          <w:tcW w:w="100" w:type="pct"/>
                          <w:shd w:val="clear" w:color="auto" w:fill="5B9BD5" w:themeFill="accent1"/>
                          <w:vAlign w:val="center"/>
                        </w:tcPr>
                        <w:p w14:paraId="0014D11B" w14:textId="77777777" w:rsidR="006D4C0F" w:rsidRDefault="006D4C0F">
                          <w:pPr>
                            <w:pStyle w:val="Footer"/>
                            <w:spacing w:before="40" w:after="40"/>
                            <w:rPr>
                              <w:color w:val="FFFFFF" w:themeColor="background1"/>
                            </w:rPr>
                          </w:pPr>
                        </w:p>
                      </w:tc>
                      <w:tc>
                        <w:tcPr>
                          <w:tcW w:w="4650" w:type="pct"/>
                          <w:shd w:val="clear" w:color="auto" w:fill="2F5496" w:themeFill="accent5" w:themeFillShade="BF"/>
                          <w:vAlign w:val="center"/>
                        </w:tcPr>
                        <w:p w14:paraId="39A69655" w14:textId="4307EB90" w:rsidR="006D4C0F" w:rsidRPr="00607E22" w:rsidRDefault="00554AD0" w:rsidP="00064688">
                          <w:pPr>
                            <w:pStyle w:val="Footer"/>
                            <w:spacing w:before="40" w:after="40"/>
                            <w:ind w:left="144" w:right="144"/>
                            <w:jc w:val="center"/>
                            <w:rPr>
                              <w:rFonts w:ascii="Candara" w:hAnsi="Candara"/>
                              <w:color w:val="FFFFFF" w:themeColor="background1"/>
                              <w:sz w:val="16"/>
                              <w:szCs w:val="16"/>
                            </w:rPr>
                          </w:pPr>
                          <w:r w:rsidRPr="00607E22">
                            <w:rPr>
                              <w:rFonts w:ascii="Candara" w:hAnsi="Candara"/>
                              <w:color w:val="FFFFFF" w:themeColor="background1"/>
                              <w:sz w:val="16"/>
                              <w:szCs w:val="16"/>
                            </w:rPr>
                            <w:t>A</w:t>
                          </w:r>
                          <w:r w:rsidR="006D4C0F" w:rsidRPr="00607E22">
                            <w:rPr>
                              <w:rFonts w:ascii="Candara" w:hAnsi="Candara"/>
                              <w:color w:val="FFFFFF" w:themeColor="background1"/>
                              <w:sz w:val="16"/>
                              <w:szCs w:val="16"/>
                            </w:rPr>
                            <w:t>SPA</w:t>
                          </w:r>
                          <w:r w:rsidR="00B8015A">
                            <w:rPr>
                              <w:rFonts w:ascii="Candara" w:hAnsi="Candara"/>
                              <w:color w:val="FFFFFF" w:themeColor="background1"/>
                              <w:sz w:val="16"/>
                              <w:szCs w:val="16"/>
                            </w:rPr>
                            <w:t xml:space="preserve"> Submission – Quality Initial Teacher Education </w:t>
                          </w:r>
                        </w:p>
                      </w:tc>
                      <w:tc>
                        <w:tcPr>
                          <w:tcW w:w="250" w:type="pct"/>
                          <w:shd w:val="clear" w:color="auto" w:fill="5B9BD5" w:themeFill="accent1"/>
                          <w:vAlign w:val="center"/>
                        </w:tcPr>
                        <w:p w14:paraId="46E20416" w14:textId="6DCECBE1" w:rsidR="006D4C0F" w:rsidRDefault="006D4C0F">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72765">
                            <w:rPr>
                              <w:noProof/>
                              <w:color w:val="FFFFFF" w:themeColor="background1"/>
                            </w:rPr>
                            <w:t>6</w:t>
                          </w:r>
                          <w:r>
                            <w:rPr>
                              <w:noProof/>
                              <w:color w:val="FFFFFF" w:themeColor="background1"/>
                            </w:rPr>
                            <w:fldChar w:fldCharType="end"/>
                          </w:r>
                        </w:p>
                      </w:tc>
                    </w:tr>
                  </w:tbl>
                  <w:p w14:paraId="54E5FE14" w14:textId="77777777" w:rsidR="006D4C0F" w:rsidRDefault="006D4C0F">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AF04D" w14:textId="77777777" w:rsidR="00305ED0" w:rsidRDefault="00305ED0" w:rsidP="00997AE8">
      <w:pPr>
        <w:spacing w:after="0" w:line="240" w:lineRule="auto"/>
      </w:pPr>
      <w:r>
        <w:separator/>
      </w:r>
    </w:p>
  </w:footnote>
  <w:footnote w:type="continuationSeparator" w:id="0">
    <w:p w14:paraId="13B5BE4E" w14:textId="77777777" w:rsidR="00305ED0" w:rsidRDefault="00305ED0" w:rsidP="00997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340"/>
    <w:multiLevelType w:val="hybridMultilevel"/>
    <w:tmpl w:val="9CEE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86322"/>
    <w:multiLevelType w:val="hybridMultilevel"/>
    <w:tmpl w:val="5AF02D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4A4CFD"/>
    <w:multiLevelType w:val="hybridMultilevel"/>
    <w:tmpl w:val="B32C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53125"/>
    <w:multiLevelType w:val="hybridMultilevel"/>
    <w:tmpl w:val="1B724748"/>
    <w:lvl w:ilvl="0" w:tplc="5E9E5A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20137"/>
    <w:multiLevelType w:val="hybridMultilevel"/>
    <w:tmpl w:val="F7E6E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7666"/>
    <w:multiLevelType w:val="hybridMultilevel"/>
    <w:tmpl w:val="CF766A5A"/>
    <w:lvl w:ilvl="0" w:tplc="028AA404">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A5D22DB"/>
    <w:multiLevelType w:val="hybridMultilevel"/>
    <w:tmpl w:val="8D2A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214757"/>
    <w:multiLevelType w:val="hybridMultilevel"/>
    <w:tmpl w:val="3BF0E358"/>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565739"/>
    <w:multiLevelType w:val="hybridMultilevel"/>
    <w:tmpl w:val="5AF02D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6836F0"/>
    <w:multiLevelType w:val="hybridMultilevel"/>
    <w:tmpl w:val="97B6AA8E"/>
    <w:lvl w:ilvl="0" w:tplc="5E9E5A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37509"/>
    <w:multiLevelType w:val="hybridMultilevel"/>
    <w:tmpl w:val="E46ED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A7AFE"/>
    <w:multiLevelType w:val="hybridMultilevel"/>
    <w:tmpl w:val="6DE458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56323"/>
    <w:multiLevelType w:val="hybridMultilevel"/>
    <w:tmpl w:val="CCD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A77D6"/>
    <w:multiLevelType w:val="hybridMultilevel"/>
    <w:tmpl w:val="EE1E90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97D51"/>
    <w:multiLevelType w:val="hybridMultilevel"/>
    <w:tmpl w:val="D4F44B2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4E6458"/>
    <w:multiLevelType w:val="hybridMultilevel"/>
    <w:tmpl w:val="33C8CEA2"/>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3A1F97"/>
    <w:multiLevelType w:val="hybridMultilevel"/>
    <w:tmpl w:val="4D229D5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5111F5"/>
    <w:multiLevelType w:val="hybridMultilevel"/>
    <w:tmpl w:val="49640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6555CC"/>
    <w:multiLevelType w:val="hybridMultilevel"/>
    <w:tmpl w:val="52B0B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D693C"/>
    <w:multiLevelType w:val="hybridMultilevel"/>
    <w:tmpl w:val="85E2C7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44298"/>
    <w:multiLevelType w:val="hybridMultilevel"/>
    <w:tmpl w:val="6C06883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CA53BD"/>
    <w:multiLevelType w:val="hybridMultilevel"/>
    <w:tmpl w:val="8070B4B8"/>
    <w:lvl w:ilvl="0" w:tplc="CD781F54">
      <w:start w:val="1"/>
      <w:numFmt w:val="decimal"/>
      <w:lvlText w:val="%1."/>
      <w:lvlJc w:val="left"/>
      <w:pPr>
        <w:ind w:left="360" w:hanging="360"/>
      </w:pPr>
      <w:rPr>
        <w:color w:val="44546A" w:themeColor="text2"/>
      </w:rPr>
    </w:lvl>
    <w:lvl w:ilvl="1" w:tplc="0C090017">
      <w:start w:val="1"/>
      <w:numFmt w:val="lowerLetter"/>
      <w:lvlText w:val="%2)"/>
      <w:lvlJc w:val="left"/>
      <w:pPr>
        <w:ind w:left="1440" w:hanging="720"/>
      </w:pPr>
      <w:rPr>
        <w:color w:val="44546A" w:themeColor="text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 w15:restartNumberingAfterBreak="0">
    <w:nsid w:val="4C906658"/>
    <w:multiLevelType w:val="hybridMultilevel"/>
    <w:tmpl w:val="FD040D10"/>
    <w:lvl w:ilvl="0" w:tplc="1A9E9BA6">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E9537CE"/>
    <w:multiLevelType w:val="hybridMultilevel"/>
    <w:tmpl w:val="2E2E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DF0F9B"/>
    <w:multiLevelType w:val="hybridMultilevel"/>
    <w:tmpl w:val="C20CD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31728"/>
    <w:multiLevelType w:val="hybridMultilevel"/>
    <w:tmpl w:val="0DE44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B7B5C"/>
    <w:multiLevelType w:val="hybridMultilevel"/>
    <w:tmpl w:val="8D825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A7566"/>
    <w:multiLevelType w:val="hybridMultilevel"/>
    <w:tmpl w:val="12048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B7F7B"/>
    <w:multiLevelType w:val="hybridMultilevel"/>
    <w:tmpl w:val="B536466C"/>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9" w15:restartNumberingAfterBreak="0">
    <w:nsid w:val="6FDA58D6"/>
    <w:multiLevelType w:val="hybridMultilevel"/>
    <w:tmpl w:val="40CAE774"/>
    <w:lvl w:ilvl="0" w:tplc="FA6EE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0E24C2"/>
    <w:multiLevelType w:val="hybridMultilevel"/>
    <w:tmpl w:val="B20C2C3A"/>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D7208F"/>
    <w:multiLevelType w:val="hybridMultilevel"/>
    <w:tmpl w:val="988A5CD2"/>
    <w:lvl w:ilvl="0" w:tplc="1A9E9B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4E1EE2"/>
    <w:multiLevelType w:val="hybridMultilevel"/>
    <w:tmpl w:val="40CAE774"/>
    <w:lvl w:ilvl="0" w:tplc="FA6EE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142E24"/>
    <w:multiLevelType w:val="hybridMultilevel"/>
    <w:tmpl w:val="B020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43AA7"/>
    <w:multiLevelType w:val="hybridMultilevel"/>
    <w:tmpl w:val="E6F260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291FDB"/>
    <w:multiLevelType w:val="hybridMultilevel"/>
    <w:tmpl w:val="83BAD8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C3E57"/>
    <w:multiLevelType w:val="hybridMultilevel"/>
    <w:tmpl w:val="B84482FE"/>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2D18D0"/>
    <w:multiLevelType w:val="hybridMultilevel"/>
    <w:tmpl w:val="5916393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795828"/>
    <w:multiLevelType w:val="hybridMultilevel"/>
    <w:tmpl w:val="33C8CEA2"/>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1"/>
  </w:num>
  <w:num w:numId="4">
    <w:abstractNumId w:val="22"/>
  </w:num>
  <w:num w:numId="5">
    <w:abstractNumId w:val="16"/>
  </w:num>
  <w:num w:numId="6">
    <w:abstractNumId w:val="34"/>
  </w:num>
  <w:num w:numId="7">
    <w:abstractNumId w:val="38"/>
  </w:num>
  <w:num w:numId="8">
    <w:abstractNumId w:val="26"/>
  </w:num>
  <w:num w:numId="9">
    <w:abstractNumId w:val="28"/>
  </w:num>
  <w:num w:numId="10">
    <w:abstractNumId w:val="14"/>
  </w:num>
  <w:num w:numId="11">
    <w:abstractNumId w:val="1"/>
  </w:num>
  <w:num w:numId="12">
    <w:abstractNumId w:val="6"/>
  </w:num>
  <w:num w:numId="13">
    <w:abstractNumId w:val="8"/>
  </w:num>
  <w:num w:numId="14">
    <w:abstractNumId w:val="15"/>
  </w:num>
  <w:num w:numId="15">
    <w:abstractNumId w:val="7"/>
  </w:num>
  <w:num w:numId="16">
    <w:abstractNumId w:val="36"/>
  </w:num>
  <w:num w:numId="17">
    <w:abstractNumId w:val="13"/>
  </w:num>
  <w:num w:numId="18">
    <w:abstractNumId w:val="30"/>
  </w:num>
  <w:num w:numId="19">
    <w:abstractNumId w:val="37"/>
  </w:num>
  <w:num w:numId="20">
    <w:abstractNumId w:val="10"/>
  </w:num>
  <w:num w:numId="21">
    <w:abstractNumId w:val="4"/>
  </w:num>
  <w:num w:numId="22">
    <w:abstractNumId w:val="24"/>
  </w:num>
  <w:num w:numId="23">
    <w:abstractNumId w:val="27"/>
  </w:num>
  <w:num w:numId="24">
    <w:abstractNumId w:val="2"/>
  </w:num>
  <w:num w:numId="25">
    <w:abstractNumId w:val="18"/>
  </w:num>
  <w:num w:numId="26">
    <w:abstractNumId w:val="25"/>
  </w:num>
  <w:num w:numId="27">
    <w:abstractNumId w:val="35"/>
  </w:num>
  <w:num w:numId="28">
    <w:abstractNumId w:val="11"/>
  </w:num>
  <w:num w:numId="29">
    <w:abstractNumId w:val="32"/>
  </w:num>
  <w:num w:numId="30">
    <w:abstractNumId w:val="29"/>
  </w:num>
  <w:num w:numId="31">
    <w:abstractNumId w:val="19"/>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9"/>
  </w:num>
  <w:num w:numId="35">
    <w:abstractNumId w:val="17"/>
  </w:num>
  <w:num w:numId="36">
    <w:abstractNumId w:val="20"/>
  </w:num>
  <w:num w:numId="37">
    <w:abstractNumId w:val="23"/>
  </w:num>
  <w:num w:numId="38">
    <w:abstractNumId w:val="1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8C"/>
    <w:rsid w:val="00005AE9"/>
    <w:rsid w:val="0001442B"/>
    <w:rsid w:val="00016861"/>
    <w:rsid w:val="0002038D"/>
    <w:rsid w:val="00024C08"/>
    <w:rsid w:val="00030AD5"/>
    <w:rsid w:val="000324C7"/>
    <w:rsid w:val="00040C36"/>
    <w:rsid w:val="00047225"/>
    <w:rsid w:val="00051915"/>
    <w:rsid w:val="00052BFE"/>
    <w:rsid w:val="00054828"/>
    <w:rsid w:val="00055544"/>
    <w:rsid w:val="00064688"/>
    <w:rsid w:val="00065874"/>
    <w:rsid w:val="000824CB"/>
    <w:rsid w:val="0009128E"/>
    <w:rsid w:val="00096168"/>
    <w:rsid w:val="00097D11"/>
    <w:rsid w:val="000A2801"/>
    <w:rsid w:val="000A2A7D"/>
    <w:rsid w:val="000A7359"/>
    <w:rsid w:val="000A78C2"/>
    <w:rsid w:val="000B720F"/>
    <w:rsid w:val="000C031C"/>
    <w:rsid w:val="000C71B5"/>
    <w:rsid w:val="000D0A89"/>
    <w:rsid w:val="000E5600"/>
    <w:rsid w:val="000E5DB9"/>
    <w:rsid w:val="000E7192"/>
    <w:rsid w:val="000F4640"/>
    <w:rsid w:val="000F6211"/>
    <w:rsid w:val="000F782F"/>
    <w:rsid w:val="00101A02"/>
    <w:rsid w:val="0010412B"/>
    <w:rsid w:val="00110A5C"/>
    <w:rsid w:val="00110AD3"/>
    <w:rsid w:val="00130DF8"/>
    <w:rsid w:val="001408A4"/>
    <w:rsid w:val="001426E6"/>
    <w:rsid w:val="00154A36"/>
    <w:rsid w:val="001621F1"/>
    <w:rsid w:val="0017211B"/>
    <w:rsid w:val="00172B42"/>
    <w:rsid w:val="001769EE"/>
    <w:rsid w:val="00180929"/>
    <w:rsid w:val="00182960"/>
    <w:rsid w:val="001877BD"/>
    <w:rsid w:val="00187D13"/>
    <w:rsid w:val="00196210"/>
    <w:rsid w:val="001A5B53"/>
    <w:rsid w:val="001C11CA"/>
    <w:rsid w:val="001C2A7E"/>
    <w:rsid w:val="001C412F"/>
    <w:rsid w:val="001D19D6"/>
    <w:rsid w:val="001E0137"/>
    <w:rsid w:val="001E0B85"/>
    <w:rsid w:val="001E438C"/>
    <w:rsid w:val="001E5269"/>
    <w:rsid w:val="001E765E"/>
    <w:rsid w:val="001F0008"/>
    <w:rsid w:val="001F086F"/>
    <w:rsid w:val="001F17F6"/>
    <w:rsid w:val="001F3766"/>
    <w:rsid w:val="001F7014"/>
    <w:rsid w:val="00202F3D"/>
    <w:rsid w:val="00210124"/>
    <w:rsid w:val="00211B46"/>
    <w:rsid w:val="00213C2F"/>
    <w:rsid w:val="0021472B"/>
    <w:rsid w:val="002159C7"/>
    <w:rsid w:val="00215C23"/>
    <w:rsid w:val="002250D3"/>
    <w:rsid w:val="002260EE"/>
    <w:rsid w:val="002273B7"/>
    <w:rsid w:val="00243BC3"/>
    <w:rsid w:val="00247915"/>
    <w:rsid w:val="002517B3"/>
    <w:rsid w:val="002531FF"/>
    <w:rsid w:val="0025464C"/>
    <w:rsid w:val="002623EE"/>
    <w:rsid w:val="00264957"/>
    <w:rsid w:val="002659F6"/>
    <w:rsid w:val="00265A28"/>
    <w:rsid w:val="00270BB7"/>
    <w:rsid w:val="0027579F"/>
    <w:rsid w:val="00275F78"/>
    <w:rsid w:val="00283DA4"/>
    <w:rsid w:val="002862B1"/>
    <w:rsid w:val="00290009"/>
    <w:rsid w:val="0029295B"/>
    <w:rsid w:val="00296D37"/>
    <w:rsid w:val="002A074C"/>
    <w:rsid w:val="002A5772"/>
    <w:rsid w:val="002A6AAD"/>
    <w:rsid w:val="002B0A92"/>
    <w:rsid w:val="002B3245"/>
    <w:rsid w:val="002B39EF"/>
    <w:rsid w:val="002B466F"/>
    <w:rsid w:val="002C437A"/>
    <w:rsid w:val="002C4A8B"/>
    <w:rsid w:val="002C749E"/>
    <w:rsid w:val="002D5FD3"/>
    <w:rsid w:val="002E1548"/>
    <w:rsid w:val="002E38C3"/>
    <w:rsid w:val="002E419C"/>
    <w:rsid w:val="002E7C1C"/>
    <w:rsid w:val="002F29B7"/>
    <w:rsid w:val="002F5B95"/>
    <w:rsid w:val="002F7B8E"/>
    <w:rsid w:val="00301C50"/>
    <w:rsid w:val="0030234E"/>
    <w:rsid w:val="00305ED0"/>
    <w:rsid w:val="00311899"/>
    <w:rsid w:val="003165B3"/>
    <w:rsid w:val="00322666"/>
    <w:rsid w:val="00326297"/>
    <w:rsid w:val="00330EEA"/>
    <w:rsid w:val="003328D5"/>
    <w:rsid w:val="00333D6A"/>
    <w:rsid w:val="00335B80"/>
    <w:rsid w:val="00341C41"/>
    <w:rsid w:val="00341D43"/>
    <w:rsid w:val="00343AD7"/>
    <w:rsid w:val="003467EB"/>
    <w:rsid w:val="00346F40"/>
    <w:rsid w:val="003544BE"/>
    <w:rsid w:val="003547E7"/>
    <w:rsid w:val="00357FF5"/>
    <w:rsid w:val="00366A9F"/>
    <w:rsid w:val="00376390"/>
    <w:rsid w:val="003855FC"/>
    <w:rsid w:val="00396651"/>
    <w:rsid w:val="003A31D5"/>
    <w:rsid w:val="003A4B0D"/>
    <w:rsid w:val="003B4E5C"/>
    <w:rsid w:val="003C00DF"/>
    <w:rsid w:val="003C18CC"/>
    <w:rsid w:val="003C2470"/>
    <w:rsid w:val="003C4667"/>
    <w:rsid w:val="003D58AA"/>
    <w:rsid w:val="003E38CB"/>
    <w:rsid w:val="003E7606"/>
    <w:rsid w:val="003F13D9"/>
    <w:rsid w:val="003F6F44"/>
    <w:rsid w:val="00403E29"/>
    <w:rsid w:val="00406042"/>
    <w:rsid w:val="00407545"/>
    <w:rsid w:val="00421AA9"/>
    <w:rsid w:val="00421FCE"/>
    <w:rsid w:val="00430918"/>
    <w:rsid w:val="00430D76"/>
    <w:rsid w:val="00435C5B"/>
    <w:rsid w:val="00436C98"/>
    <w:rsid w:val="004466DC"/>
    <w:rsid w:val="0045234B"/>
    <w:rsid w:val="004568C9"/>
    <w:rsid w:val="00461E3C"/>
    <w:rsid w:val="004649AF"/>
    <w:rsid w:val="00464D59"/>
    <w:rsid w:val="00466F37"/>
    <w:rsid w:val="00472867"/>
    <w:rsid w:val="00473284"/>
    <w:rsid w:val="00476D0D"/>
    <w:rsid w:val="00481AEC"/>
    <w:rsid w:val="004851ED"/>
    <w:rsid w:val="0049038B"/>
    <w:rsid w:val="004945BA"/>
    <w:rsid w:val="004A0392"/>
    <w:rsid w:val="004A3413"/>
    <w:rsid w:val="004B5041"/>
    <w:rsid w:val="004C371A"/>
    <w:rsid w:val="004C5718"/>
    <w:rsid w:val="004C5FB9"/>
    <w:rsid w:val="004D3D47"/>
    <w:rsid w:val="004D421B"/>
    <w:rsid w:val="004D5154"/>
    <w:rsid w:val="004D7D92"/>
    <w:rsid w:val="004F59D3"/>
    <w:rsid w:val="005054DC"/>
    <w:rsid w:val="00514EBD"/>
    <w:rsid w:val="00516414"/>
    <w:rsid w:val="005204A8"/>
    <w:rsid w:val="00543240"/>
    <w:rsid w:val="00554AD0"/>
    <w:rsid w:val="005562D3"/>
    <w:rsid w:val="00563C27"/>
    <w:rsid w:val="0056590A"/>
    <w:rsid w:val="00566D33"/>
    <w:rsid w:val="00572531"/>
    <w:rsid w:val="005833BF"/>
    <w:rsid w:val="00583937"/>
    <w:rsid w:val="00585E34"/>
    <w:rsid w:val="00592942"/>
    <w:rsid w:val="005A1E5E"/>
    <w:rsid w:val="005B307F"/>
    <w:rsid w:val="005B34BE"/>
    <w:rsid w:val="005C303B"/>
    <w:rsid w:val="005C33A6"/>
    <w:rsid w:val="005D7177"/>
    <w:rsid w:val="005D7289"/>
    <w:rsid w:val="005E14F8"/>
    <w:rsid w:val="005E2047"/>
    <w:rsid w:val="005E3208"/>
    <w:rsid w:val="005F08CD"/>
    <w:rsid w:val="005F0EED"/>
    <w:rsid w:val="005F231A"/>
    <w:rsid w:val="005F4C44"/>
    <w:rsid w:val="005F5EC8"/>
    <w:rsid w:val="005F714D"/>
    <w:rsid w:val="0060262A"/>
    <w:rsid w:val="00606B6E"/>
    <w:rsid w:val="00607E22"/>
    <w:rsid w:val="00610223"/>
    <w:rsid w:val="00611BB3"/>
    <w:rsid w:val="00615EE6"/>
    <w:rsid w:val="00616D08"/>
    <w:rsid w:val="006247F3"/>
    <w:rsid w:val="00624D35"/>
    <w:rsid w:val="00630D8B"/>
    <w:rsid w:val="00631292"/>
    <w:rsid w:val="00633DCE"/>
    <w:rsid w:val="00642579"/>
    <w:rsid w:val="00642D78"/>
    <w:rsid w:val="006462BB"/>
    <w:rsid w:val="00652029"/>
    <w:rsid w:val="00660B15"/>
    <w:rsid w:val="00666F89"/>
    <w:rsid w:val="00667315"/>
    <w:rsid w:val="00667638"/>
    <w:rsid w:val="00671D5C"/>
    <w:rsid w:val="00672765"/>
    <w:rsid w:val="00673AA4"/>
    <w:rsid w:val="00673D94"/>
    <w:rsid w:val="0068161F"/>
    <w:rsid w:val="00683A9E"/>
    <w:rsid w:val="0068425E"/>
    <w:rsid w:val="00684B37"/>
    <w:rsid w:val="006864B1"/>
    <w:rsid w:val="00690CDD"/>
    <w:rsid w:val="0069350B"/>
    <w:rsid w:val="00697EB3"/>
    <w:rsid w:val="006A0836"/>
    <w:rsid w:val="006A584C"/>
    <w:rsid w:val="006A7F29"/>
    <w:rsid w:val="006B09B2"/>
    <w:rsid w:val="006B16B1"/>
    <w:rsid w:val="006B18C1"/>
    <w:rsid w:val="006B1918"/>
    <w:rsid w:val="006B41B2"/>
    <w:rsid w:val="006B5F6F"/>
    <w:rsid w:val="006C3BE8"/>
    <w:rsid w:val="006C4B42"/>
    <w:rsid w:val="006C70EF"/>
    <w:rsid w:val="006C7529"/>
    <w:rsid w:val="006D42DA"/>
    <w:rsid w:val="006D4C0F"/>
    <w:rsid w:val="006E78D9"/>
    <w:rsid w:val="006E7CB7"/>
    <w:rsid w:val="006F2991"/>
    <w:rsid w:val="007055E5"/>
    <w:rsid w:val="007056E2"/>
    <w:rsid w:val="0070595C"/>
    <w:rsid w:val="00712204"/>
    <w:rsid w:val="00714198"/>
    <w:rsid w:val="00721FAA"/>
    <w:rsid w:val="007227A6"/>
    <w:rsid w:val="0072327C"/>
    <w:rsid w:val="0072571B"/>
    <w:rsid w:val="007350E8"/>
    <w:rsid w:val="007356E1"/>
    <w:rsid w:val="00742650"/>
    <w:rsid w:val="0074442D"/>
    <w:rsid w:val="00746C51"/>
    <w:rsid w:val="0075354E"/>
    <w:rsid w:val="007565EC"/>
    <w:rsid w:val="00757263"/>
    <w:rsid w:val="007606D4"/>
    <w:rsid w:val="007652FD"/>
    <w:rsid w:val="00772E58"/>
    <w:rsid w:val="00773419"/>
    <w:rsid w:val="007758AC"/>
    <w:rsid w:val="00780F0E"/>
    <w:rsid w:val="007841E2"/>
    <w:rsid w:val="00793CE1"/>
    <w:rsid w:val="00794671"/>
    <w:rsid w:val="00794C3E"/>
    <w:rsid w:val="00795E31"/>
    <w:rsid w:val="007A38E8"/>
    <w:rsid w:val="007A3DB5"/>
    <w:rsid w:val="007B1BAA"/>
    <w:rsid w:val="007B2416"/>
    <w:rsid w:val="007B295D"/>
    <w:rsid w:val="007B3C17"/>
    <w:rsid w:val="007B6B70"/>
    <w:rsid w:val="007C05C8"/>
    <w:rsid w:val="007C41A7"/>
    <w:rsid w:val="007C55E5"/>
    <w:rsid w:val="007C6125"/>
    <w:rsid w:val="007D3FC2"/>
    <w:rsid w:val="007E148A"/>
    <w:rsid w:val="007E4533"/>
    <w:rsid w:val="007E77C2"/>
    <w:rsid w:val="007F2E7D"/>
    <w:rsid w:val="00800869"/>
    <w:rsid w:val="008029A4"/>
    <w:rsid w:val="00807A95"/>
    <w:rsid w:val="0081402F"/>
    <w:rsid w:val="0081428A"/>
    <w:rsid w:val="00814F06"/>
    <w:rsid w:val="008232A3"/>
    <w:rsid w:val="00824324"/>
    <w:rsid w:val="008275E8"/>
    <w:rsid w:val="00841291"/>
    <w:rsid w:val="00844B2E"/>
    <w:rsid w:val="00847E4D"/>
    <w:rsid w:val="008505C9"/>
    <w:rsid w:val="00856777"/>
    <w:rsid w:val="00860554"/>
    <w:rsid w:val="00863A22"/>
    <w:rsid w:val="00876273"/>
    <w:rsid w:val="008847C5"/>
    <w:rsid w:val="00887B25"/>
    <w:rsid w:val="00892BA1"/>
    <w:rsid w:val="00893162"/>
    <w:rsid w:val="008A05C2"/>
    <w:rsid w:val="008A2CF8"/>
    <w:rsid w:val="008A71E3"/>
    <w:rsid w:val="008B6606"/>
    <w:rsid w:val="008C4B1E"/>
    <w:rsid w:val="008D25C1"/>
    <w:rsid w:val="008D76ED"/>
    <w:rsid w:val="008E5683"/>
    <w:rsid w:val="008F0B11"/>
    <w:rsid w:val="009025D2"/>
    <w:rsid w:val="00905689"/>
    <w:rsid w:val="00906120"/>
    <w:rsid w:val="00914777"/>
    <w:rsid w:val="00915A95"/>
    <w:rsid w:val="00915CF1"/>
    <w:rsid w:val="00931738"/>
    <w:rsid w:val="0093512E"/>
    <w:rsid w:val="009460DD"/>
    <w:rsid w:val="00946101"/>
    <w:rsid w:val="00953033"/>
    <w:rsid w:val="009553B9"/>
    <w:rsid w:val="00960A9D"/>
    <w:rsid w:val="009720CE"/>
    <w:rsid w:val="00974BFF"/>
    <w:rsid w:val="00975EAA"/>
    <w:rsid w:val="00980532"/>
    <w:rsid w:val="009868AF"/>
    <w:rsid w:val="0099179F"/>
    <w:rsid w:val="00995CDE"/>
    <w:rsid w:val="00997AE8"/>
    <w:rsid w:val="009A1796"/>
    <w:rsid w:val="009A4B75"/>
    <w:rsid w:val="009A7925"/>
    <w:rsid w:val="009A7DB2"/>
    <w:rsid w:val="009B00B3"/>
    <w:rsid w:val="009B4C09"/>
    <w:rsid w:val="009B4E14"/>
    <w:rsid w:val="009B5D6D"/>
    <w:rsid w:val="009B7370"/>
    <w:rsid w:val="009C16A1"/>
    <w:rsid w:val="009C2C0E"/>
    <w:rsid w:val="009C3673"/>
    <w:rsid w:val="009C5CE5"/>
    <w:rsid w:val="009D14BE"/>
    <w:rsid w:val="009D331F"/>
    <w:rsid w:val="009D4002"/>
    <w:rsid w:val="009D58D7"/>
    <w:rsid w:val="009E09C6"/>
    <w:rsid w:val="009E1A4F"/>
    <w:rsid w:val="009E1E11"/>
    <w:rsid w:val="009E5F84"/>
    <w:rsid w:val="009F0211"/>
    <w:rsid w:val="00A0134B"/>
    <w:rsid w:val="00A013C6"/>
    <w:rsid w:val="00A03668"/>
    <w:rsid w:val="00A11CD5"/>
    <w:rsid w:val="00A13AAD"/>
    <w:rsid w:val="00A3098C"/>
    <w:rsid w:val="00A30A29"/>
    <w:rsid w:val="00A31F2C"/>
    <w:rsid w:val="00A323D0"/>
    <w:rsid w:val="00A40A17"/>
    <w:rsid w:val="00A458B5"/>
    <w:rsid w:val="00A66A68"/>
    <w:rsid w:val="00A67AC1"/>
    <w:rsid w:val="00A7193B"/>
    <w:rsid w:val="00A7244B"/>
    <w:rsid w:val="00A72805"/>
    <w:rsid w:val="00A76A87"/>
    <w:rsid w:val="00A778C7"/>
    <w:rsid w:val="00A82BB3"/>
    <w:rsid w:val="00A83DCC"/>
    <w:rsid w:val="00A87864"/>
    <w:rsid w:val="00A87CC2"/>
    <w:rsid w:val="00A934C2"/>
    <w:rsid w:val="00AA6163"/>
    <w:rsid w:val="00AB0FF1"/>
    <w:rsid w:val="00AB4C5A"/>
    <w:rsid w:val="00AC017E"/>
    <w:rsid w:val="00AC6B2B"/>
    <w:rsid w:val="00AD02B4"/>
    <w:rsid w:val="00AD627E"/>
    <w:rsid w:val="00AE03D5"/>
    <w:rsid w:val="00AF0C00"/>
    <w:rsid w:val="00AF3A5A"/>
    <w:rsid w:val="00B02DDC"/>
    <w:rsid w:val="00B02E92"/>
    <w:rsid w:val="00B035F7"/>
    <w:rsid w:val="00B043C3"/>
    <w:rsid w:val="00B05730"/>
    <w:rsid w:val="00B11C03"/>
    <w:rsid w:val="00B1442A"/>
    <w:rsid w:val="00B144E6"/>
    <w:rsid w:val="00B15B94"/>
    <w:rsid w:val="00B1697B"/>
    <w:rsid w:val="00B25EBB"/>
    <w:rsid w:val="00B27696"/>
    <w:rsid w:val="00B34863"/>
    <w:rsid w:val="00B3596F"/>
    <w:rsid w:val="00B366EA"/>
    <w:rsid w:val="00B44CE9"/>
    <w:rsid w:val="00B467D7"/>
    <w:rsid w:val="00B47B1E"/>
    <w:rsid w:val="00B5786B"/>
    <w:rsid w:val="00B62B04"/>
    <w:rsid w:val="00B6388D"/>
    <w:rsid w:val="00B66AAF"/>
    <w:rsid w:val="00B7524E"/>
    <w:rsid w:val="00B77D8E"/>
    <w:rsid w:val="00B8015A"/>
    <w:rsid w:val="00B80465"/>
    <w:rsid w:val="00B86B70"/>
    <w:rsid w:val="00B915E9"/>
    <w:rsid w:val="00B94DE2"/>
    <w:rsid w:val="00BA0B89"/>
    <w:rsid w:val="00BA600A"/>
    <w:rsid w:val="00BB1982"/>
    <w:rsid w:val="00BC23B4"/>
    <w:rsid w:val="00BC2AF9"/>
    <w:rsid w:val="00BC7208"/>
    <w:rsid w:val="00BD33E3"/>
    <w:rsid w:val="00BE5AAE"/>
    <w:rsid w:val="00BE7A92"/>
    <w:rsid w:val="00BF0F2C"/>
    <w:rsid w:val="00BF1044"/>
    <w:rsid w:val="00BF5DF4"/>
    <w:rsid w:val="00BF6135"/>
    <w:rsid w:val="00C00876"/>
    <w:rsid w:val="00C040AA"/>
    <w:rsid w:val="00C156E7"/>
    <w:rsid w:val="00C212A5"/>
    <w:rsid w:val="00C2478A"/>
    <w:rsid w:val="00C3112A"/>
    <w:rsid w:val="00C3550E"/>
    <w:rsid w:val="00C35F24"/>
    <w:rsid w:val="00C365C7"/>
    <w:rsid w:val="00C43A61"/>
    <w:rsid w:val="00C45B7A"/>
    <w:rsid w:val="00C4620B"/>
    <w:rsid w:val="00C47C88"/>
    <w:rsid w:val="00C50862"/>
    <w:rsid w:val="00C5337E"/>
    <w:rsid w:val="00C54042"/>
    <w:rsid w:val="00C54494"/>
    <w:rsid w:val="00C551FC"/>
    <w:rsid w:val="00C60481"/>
    <w:rsid w:val="00C6359C"/>
    <w:rsid w:val="00C64773"/>
    <w:rsid w:val="00C64814"/>
    <w:rsid w:val="00C74ABD"/>
    <w:rsid w:val="00C826E3"/>
    <w:rsid w:val="00C8423F"/>
    <w:rsid w:val="00C95771"/>
    <w:rsid w:val="00CA22A4"/>
    <w:rsid w:val="00CA56EC"/>
    <w:rsid w:val="00CB3EB4"/>
    <w:rsid w:val="00CC1BB5"/>
    <w:rsid w:val="00CC2896"/>
    <w:rsid w:val="00CC715F"/>
    <w:rsid w:val="00CC75FE"/>
    <w:rsid w:val="00CD363A"/>
    <w:rsid w:val="00CD724E"/>
    <w:rsid w:val="00CE2904"/>
    <w:rsid w:val="00CE5B04"/>
    <w:rsid w:val="00CE66F6"/>
    <w:rsid w:val="00CE672F"/>
    <w:rsid w:val="00CF0FB2"/>
    <w:rsid w:val="00CF6E3A"/>
    <w:rsid w:val="00CF6E75"/>
    <w:rsid w:val="00D079D0"/>
    <w:rsid w:val="00D10EDD"/>
    <w:rsid w:val="00D16AFE"/>
    <w:rsid w:val="00D20ED2"/>
    <w:rsid w:val="00D2258E"/>
    <w:rsid w:val="00D229FB"/>
    <w:rsid w:val="00D23654"/>
    <w:rsid w:val="00D268A4"/>
    <w:rsid w:val="00D269BE"/>
    <w:rsid w:val="00D33120"/>
    <w:rsid w:val="00D36051"/>
    <w:rsid w:val="00D371DB"/>
    <w:rsid w:val="00D41E10"/>
    <w:rsid w:val="00D4624A"/>
    <w:rsid w:val="00D5260D"/>
    <w:rsid w:val="00D529FF"/>
    <w:rsid w:val="00D60AFC"/>
    <w:rsid w:val="00D61B73"/>
    <w:rsid w:val="00D62DA6"/>
    <w:rsid w:val="00D65ECC"/>
    <w:rsid w:val="00D73ED2"/>
    <w:rsid w:val="00D82291"/>
    <w:rsid w:val="00D829ED"/>
    <w:rsid w:val="00D877A3"/>
    <w:rsid w:val="00D90574"/>
    <w:rsid w:val="00DA3120"/>
    <w:rsid w:val="00DA4947"/>
    <w:rsid w:val="00DA6658"/>
    <w:rsid w:val="00DA6C28"/>
    <w:rsid w:val="00DC1124"/>
    <w:rsid w:val="00DC6755"/>
    <w:rsid w:val="00DC6A47"/>
    <w:rsid w:val="00DD7D26"/>
    <w:rsid w:val="00DE1BCB"/>
    <w:rsid w:val="00DF3D35"/>
    <w:rsid w:val="00DF511F"/>
    <w:rsid w:val="00E0087F"/>
    <w:rsid w:val="00E03C0F"/>
    <w:rsid w:val="00E04BF7"/>
    <w:rsid w:val="00E05770"/>
    <w:rsid w:val="00E068AE"/>
    <w:rsid w:val="00E10AD6"/>
    <w:rsid w:val="00E1305B"/>
    <w:rsid w:val="00E138EB"/>
    <w:rsid w:val="00E16789"/>
    <w:rsid w:val="00E2019E"/>
    <w:rsid w:val="00E2750F"/>
    <w:rsid w:val="00E371E6"/>
    <w:rsid w:val="00E4105D"/>
    <w:rsid w:val="00E57970"/>
    <w:rsid w:val="00E62582"/>
    <w:rsid w:val="00E657D4"/>
    <w:rsid w:val="00E722AC"/>
    <w:rsid w:val="00E74FC1"/>
    <w:rsid w:val="00E7699A"/>
    <w:rsid w:val="00E81178"/>
    <w:rsid w:val="00E815E0"/>
    <w:rsid w:val="00E81F3E"/>
    <w:rsid w:val="00E833BB"/>
    <w:rsid w:val="00E83975"/>
    <w:rsid w:val="00E83E54"/>
    <w:rsid w:val="00E85DBA"/>
    <w:rsid w:val="00E862C8"/>
    <w:rsid w:val="00E871BC"/>
    <w:rsid w:val="00E91D22"/>
    <w:rsid w:val="00E922AE"/>
    <w:rsid w:val="00E97E73"/>
    <w:rsid w:val="00EA4253"/>
    <w:rsid w:val="00EA69C1"/>
    <w:rsid w:val="00EA6B2F"/>
    <w:rsid w:val="00EB0FCD"/>
    <w:rsid w:val="00EB19E1"/>
    <w:rsid w:val="00EB7D21"/>
    <w:rsid w:val="00EC1DA4"/>
    <w:rsid w:val="00EC3103"/>
    <w:rsid w:val="00EC31DA"/>
    <w:rsid w:val="00EC586E"/>
    <w:rsid w:val="00EC6040"/>
    <w:rsid w:val="00EC78F3"/>
    <w:rsid w:val="00EE26A9"/>
    <w:rsid w:val="00EE7332"/>
    <w:rsid w:val="00EF0C25"/>
    <w:rsid w:val="00EF1224"/>
    <w:rsid w:val="00EF44B4"/>
    <w:rsid w:val="00EF5C96"/>
    <w:rsid w:val="00F00D61"/>
    <w:rsid w:val="00F0243D"/>
    <w:rsid w:val="00F03F93"/>
    <w:rsid w:val="00F04595"/>
    <w:rsid w:val="00F05209"/>
    <w:rsid w:val="00F1112A"/>
    <w:rsid w:val="00F11502"/>
    <w:rsid w:val="00F11D1E"/>
    <w:rsid w:val="00F15085"/>
    <w:rsid w:val="00F16E63"/>
    <w:rsid w:val="00F2299A"/>
    <w:rsid w:val="00F327BF"/>
    <w:rsid w:val="00F329E8"/>
    <w:rsid w:val="00F33A1B"/>
    <w:rsid w:val="00F35006"/>
    <w:rsid w:val="00F37BA4"/>
    <w:rsid w:val="00F43762"/>
    <w:rsid w:val="00F62B84"/>
    <w:rsid w:val="00F7132F"/>
    <w:rsid w:val="00F72C7D"/>
    <w:rsid w:val="00F849C9"/>
    <w:rsid w:val="00F85E4B"/>
    <w:rsid w:val="00F91FA5"/>
    <w:rsid w:val="00F95E09"/>
    <w:rsid w:val="00FA4BDA"/>
    <w:rsid w:val="00FB0B7B"/>
    <w:rsid w:val="00FB34F3"/>
    <w:rsid w:val="00FB5F27"/>
    <w:rsid w:val="00FB774B"/>
    <w:rsid w:val="00FC3AA7"/>
    <w:rsid w:val="00FC40C4"/>
    <w:rsid w:val="00FC5257"/>
    <w:rsid w:val="00FC6448"/>
    <w:rsid w:val="00FD0E9E"/>
    <w:rsid w:val="00FD21DB"/>
    <w:rsid w:val="00FD2A2F"/>
    <w:rsid w:val="00FD4563"/>
    <w:rsid w:val="00FD6B45"/>
    <w:rsid w:val="00FE0F77"/>
    <w:rsid w:val="00FF38A2"/>
    <w:rsid w:val="00FF57F7"/>
    <w:rsid w:val="00FF7A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BCB62E9"/>
  <w15:docId w15:val="{6778BAFF-11C4-4302-B683-6C3A93F4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EE6"/>
    <w:rPr>
      <w:color w:val="0563C1" w:themeColor="hyperlink"/>
      <w:u w:val="single"/>
    </w:rPr>
  </w:style>
  <w:style w:type="paragraph" w:styleId="NoSpacing">
    <w:name w:val="No Spacing"/>
    <w:uiPriority w:val="1"/>
    <w:qFormat/>
    <w:rsid w:val="006F2991"/>
    <w:pPr>
      <w:spacing w:after="0" w:line="240" w:lineRule="auto"/>
    </w:pPr>
    <w:rPr>
      <w:rFonts w:eastAsiaTheme="minorEastAsia"/>
      <w:lang w:eastAsia="en-AU"/>
    </w:rPr>
  </w:style>
  <w:style w:type="paragraph" w:customStyle="1" w:styleId="xmsonormal">
    <w:name w:val="x_msonormal"/>
    <w:basedOn w:val="Normal"/>
    <w:rsid w:val="00343AD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97A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7AE8"/>
  </w:style>
  <w:style w:type="paragraph" w:styleId="Footer">
    <w:name w:val="footer"/>
    <w:basedOn w:val="Normal"/>
    <w:link w:val="FooterChar"/>
    <w:uiPriority w:val="99"/>
    <w:unhideWhenUsed/>
    <w:qFormat/>
    <w:rsid w:val="00997A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7AE8"/>
  </w:style>
  <w:style w:type="paragraph" w:styleId="ListParagraph">
    <w:name w:val="List Paragraph"/>
    <w:basedOn w:val="Normal"/>
    <w:uiPriority w:val="34"/>
    <w:qFormat/>
    <w:rsid w:val="001F7014"/>
    <w:pPr>
      <w:ind w:left="720"/>
      <w:contextualSpacing/>
    </w:pPr>
  </w:style>
  <w:style w:type="table" w:customStyle="1" w:styleId="TableGrid1">
    <w:name w:val="Table Grid1"/>
    <w:basedOn w:val="TableNormal"/>
    <w:next w:val="TableGrid"/>
    <w:uiPriority w:val="59"/>
    <w:rsid w:val="00A30A29"/>
    <w:pPr>
      <w:spacing w:after="0" w:line="240" w:lineRule="auto"/>
    </w:pPr>
    <w:rPr>
      <w:rFonts w:eastAsia="MS Minch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5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5E5"/>
    <w:rPr>
      <w:rFonts w:ascii="Segoe UI" w:hAnsi="Segoe UI" w:cs="Segoe UI"/>
      <w:sz w:val="18"/>
      <w:szCs w:val="18"/>
    </w:rPr>
  </w:style>
  <w:style w:type="character" w:styleId="UnresolvedMention">
    <w:name w:val="Unresolved Mention"/>
    <w:basedOn w:val="DefaultParagraphFont"/>
    <w:uiPriority w:val="99"/>
    <w:semiHidden/>
    <w:unhideWhenUsed/>
    <w:rsid w:val="002F5B95"/>
    <w:rPr>
      <w:color w:val="605E5C"/>
      <w:shd w:val="clear" w:color="auto" w:fill="E1DFDD"/>
    </w:rPr>
  </w:style>
  <w:style w:type="character" w:styleId="CommentReference">
    <w:name w:val="annotation reference"/>
    <w:basedOn w:val="DefaultParagraphFont"/>
    <w:uiPriority w:val="99"/>
    <w:semiHidden/>
    <w:unhideWhenUsed/>
    <w:rsid w:val="000824CB"/>
    <w:rPr>
      <w:sz w:val="16"/>
      <w:szCs w:val="16"/>
    </w:rPr>
  </w:style>
  <w:style w:type="paragraph" w:styleId="CommentText">
    <w:name w:val="annotation text"/>
    <w:basedOn w:val="Normal"/>
    <w:link w:val="CommentTextChar"/>
    <w:uiPriority w:val="99"/>
    <w:semiHidden/>
    <w:unhideWhenUsed/>
    <w:rsid w:val="000824CB"/>
    <w:pPr>
      <w:spacing w:line="240" w:lineRule="auto"/>
    </w:pPr>
    <w:rPr>
      <w:sz w:val="20"/>
      <w:szCs w:val="20"/>
    </w:rPr>
  </w:style>
  <w:style w:type="character" w:customStyle="1" w:styleId="CommentTextChar">
    <w:name w:val="Comment Text Char"/>
    <w:basedOn w:val="DefaultParagraphFont"/>
    <w:link w:val="CommentText"/>
    <w:uiPriority w:val="99"/>
    <w:semiHidden/>
    <w:rsid w:val="000824CB"/>
    <w:rPr>
      <w:sz w:val="20"/>
      <w:szCs w:val="20"/>
    </w:rPr>
  </w:style>
  <w:style w:type="paragraph" w:styleId="CommentSubject">
    <w:name w:val="annotation subject"/>
    <w:basedOn w:val="CommentText"/>
    <w:next w:val="CommentText"/>
    <w:link w:val="CommentSubjectChar"/>
    <w:uiPriority w:val="99"/>
    <w:semiHidden/>
    <w:unhideWhenUsed/>
    <w:rsid w:val="000824CB"/>
    <w:rPr>
      <w:b/>
      <w:bCs/>
    </w:rPr>
  </w:style>
  <w:style w:type="character" w:customStyle="1" w:styleId="CommentSubjectChar">
    <w:name w:val="Comment Subject Char"/>
    <w:basedOn w:val="CommentTextChar"/>
    <w:link w:val="CommentSubject"/>
    <w:uiPriority w:val="99"/>
    <w:semiHidden/>
    <w:rsid w:val="000824CB"/>
    <w:rPr>
      <w:b/>
      <w:bCs/>
      <w:sz w:val="20"/>
      <w:szCs w:val="20"/>
    </w:rPr>
  </w:style>
  <w:style w:type="character" w:styleId="FollowedHyperlink">
    <w:name w:val="FollowedHyperlink"/>
    <w:basedOn w:val="DefaultParagraphFont"/>
    <w:uiPriority w:val="99"/>
    <w:semiHidden/>
    <w:unhideWhenUsed/>
    <w:rsid w:val="0099179F"/>
    <w:rPr>
      <w:color w:val="954F72" w:themeColor="followedHyperlink"/>
      <w:u w:val="single"/>
    </w:rPr>
  </w:style>
  <w:style w:type="paragraph" w:customStyle="1" w:styleId="Default">
    <w:name w:val="Default"/>
    <w:rsid w:val="0045234B"/>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ilas.org.au/2012/11/an-open-letter-to-students-in-australian-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ident@aspa.asn.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3E03B38C4F34587C965B8DC4E6374" ma:contentTypeVersion="13" ma:contentTypeDescription="Create a new document." ma:contentTypeScope="" ma:versionID="c53b8d5258de8203a667a307738c1766">
  <xsd:schema xmlns:xsd="http://www.w3.org/2001/XMLSchema" xmlns:xs="http://www.w3.org/2001/XMLSchema" xmlns:p="http://schemas.microsoft.com/office/2006/metadata/properties" xmlns:ns3="84e2f8bf-b620-433c-accd-ca27a924f37d" xmlns:ns4="ee865e28-24ac-4e8b-bf7f-74d8047df468" targetNamespace="http://schemas.microsoft.com/office/2006/metadata/properties" ma:root="true" ma:fieldsID="aaf3642fc47e8916ddb713182748c015" ns3:_="" ns4:_="">
    <xsd:import namespace="84e2f8bf-b620-433c-accd-ca27a924f37d"/>
    <xsd:import namespace="ee865e28-24ac-4e8b-bf7f-74d8047df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2f8bf-b620-433c-accd-ca27a924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865e28-24ac-4e8b-bf7f-74d8047df4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A2569-E5DD-4D56-B6F1-43471294182B}">
  <ds:schemaRefs>
    <ds:schemaRef ds:uri="http://schemas.microsoft.com/sharepoint/v3/contenttype/forms"/>
  </ds:schemaRefs>
</ds:datastoreItem>
</file>

<file path=customXml/itemProps2.xml><?xml version="1.0" encoding="utf-8"?>
<ds:datastoreItem xmlns:ds="http://schemas.openxmlformats.org/officeDocument/2006/customXml" ds:itemID="{8C68E2ED-200A-47BD-A4A7-712416348097}">
  <ds:schemaRefs>
    <ds:schemaRef ds:uri="http://schemas.openxmlformats.org/officeDocument/2006/bibliography"/>
  </ds:schemaRefs>
</ds:datastoreItem>
</file>

<file path=customXml/itemProps3.xml><?xml version="1.0" encoding="utf-8"?>
<ds:datastoreItem xmlns:ds="http://schemas.openxmlformats.org/officeDocument/2006/customXml" ds:itemID="{A5DEB10B-1D9A-4735-9096-B88F64655E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F6518D-E3BF-4E17-B069-44D006885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2f8bf-b620-433c-accd-ca27a924f37d"/>
    <ds:schemaRef ds:uri="ee865e28-24ac-4e8b-bf7f-74d8047df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Malcolm E</dc:creator>
  <cp:lastModifiedBy>GARNER,Kate</cp:lastModifiedBy>
  <cp:revision>2</cp:revision>
  <cp:lastPrinted>2020-02-08T06:33:00Z</cp:lastPrinted>
  <dcterms:created xsi:type="dcterms:W3CDTF">2021-07-18T23:50:00Z</dcterms:created>
  <dcterms:modified xsi:type="dcterms:W3CDTF">2021-07-18T23:50:00Z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0x010100A7B3E03B38C4F34587C965B8DC4E6374</vt:lpwstr>
  </property>
</Properties>
</file>