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188" w:rsidRPr="00290BD0" w:rsidRDefault="00C10DCF" w:rsidP="00290BD0">
      <w:pPr>
        <w:pStyle w:val="Title"/>
        <w:rPr>
          <w:b/>
          <w:sz w:val="44"/>
        </w:rPr>
      </w:pPr>
      <w:r w:rsidRPr="00290BD0">
        <w:rPr>
          <w:b/>
          <w:sz w:val="44"/>
        </w:rPr>
        <w:t>Submission to the 2020 Review of the Disability Standards for Education</w:t>
      </w:r>
    </w:p>
    <w:p w:rsidR="00C10DCF" w:rsidRPr="00290BD0" w:rsidRDefault="00C10DCF">
      <w:pPr>
        <w:rPr>
          <w:rFonts w:ascii="Arial" w:hAnsi="Arial" w:cs="Arial"/>
          <w:sz w:val="24"/>
          <w:szCs w:val="24"/>
        </w:rPr>
      </w:pPr>
    </w:p>
    <w:p w:rsidR="00C10DCF" w:rsidRPr="00290BD0" w:rsidRDefault="00C10DCF" w:rsidP="00C10DCF">
      <w:pPr>
        <w:spacing w:after="160" w:line="259" w:lineRule="auto"/>
        <w:rPr>
          <w:rFonts w:ascii="Arial" w:hAnsi="Arial" w:cs="Arial"/>
          <w:sz w:val="24"/>
          <w:szCs w:val="24"/>
        </w:rPr>
      </w:pPr>
    </w:p>
    <w:p w:rsidR="00C10DCF" w:rsidRPr="00290BD0" w:rsidRDefault="00C10DCF" w:rsidP="00290BD0">
      <w:pPr>
        <w:pStyle w:val="Subtitle"/>
        <w:rPr>
          <w:rFonts w:ascii="Arial" w:hAnsi="Arial" w:cs="Arial"/>
          <w:b/>
        </w:rPr>
      </w:pPr>
      <w:r w:rsidRPr="00290BD0">
        <w:rPr>
          <w:rFonts w:ascii="Arial" w:hAnsi="Arial" w:cs="Arial"/>
          <w:b/>
        </w:rPr>
        <w:t xml:space="preserve">Dr Kate de Bruin </w:t>
      </w:r>
    </w:p>
    <w:p w:rsidR="00C10DCF" w:rsidRPr="00290BD0" w:rsidRDefault="00CB7F61" w:rsidP="00290BD0">
      <w:pPr>
        <w:pStyle w:val="Subtitle"/>
        <w:rPr>
          <w:rFonts w:ascii="Arial" w:hAnsi="Arial" w:cs="Arial"/>
          <w:i/>
          <w:iCs/>
        </w:rPr>
      </w:pPr>
      <w:r w:rsidRPr="00290BD0">
        <w:rPr>
          <w:rFonts w:ascii="Arial" w:hAnsi="Arial" w:cs="Arial"/>
          <w:b/>
          <w:i/>
          <w:iCs/>
        </w:rPr>
        <w:t>Senior Lecturer, F</w:t>
      </w:r>
      <w:r w:rsidR="00C10DCF" w:rsidRPr="00290BD0">
        <w:rPr>
          <w:rFonts w:ascii="Arial" w:hAnsi="Arial" w:cs="Arial"/>
          <w:b/>
          <w:i/>
          <w:iCs/>
        </w:rPr>
        <w:t>aculty of Education,</w:t>
      </w:r>
      <w:r w:rsidR="00575C5F" w:rsidRPr="00290BD0">
        <w:rPr>
          <w:rFonts w:ascii="Arial" w:hAnsi="Arial" w:cs="Arial"/>
          <w:b/>
          <w:i/>
          <w:iCs/>
        </w:rPr>
        <w:t xml:space="preserve"> </w:t>
      </w:r>
      <w:r w:rsidR="00C10DCF" w:rsidRPr="00290BD0">
        <w:rPr>
          <w:rFonts w:ascii="Arial" w:hAnsi="Arial" w:cs="Arial"/>
          <w:b/>
          <w:i/>
          <w:iCs/>
        </w:rPr>
        <w:t>Monash University</w:t>
      </w:r>
      <w:r w:rsidRPr="00290BD0">
        <w:rPr>
          <w:rFonts w:ascii="Arial" w:hAnsi="Arial" w:cs="Arial"/>
          <w:b/>
          <w:i/>
          <w:iCs/>
        </w:rPr>
        <w:t>, Melbourne</w:t>
      </w:r>
      <w:r w:rsidRPr="00290BD0">
        <w:rPr>
          <w:rFonts w:ascii="Arial" w:hAnsi="Arial" w:cs="Arial"/>
          <w:i/>
          <w:iCs/>
        </w:rPr>
        <w:t>.</w:t>
      </w:r>
    </w:p>
    <w:p w:rsidR="00290BD0" w:rsidRDefault="00290BD0" w:rsidP="00290BD0">
      <w:pPr>
        <w:pStyle w:val="Heading1"/>
      </w:pPr>
    </w:p>
    <w:p w:rsidR="00C10DCF" w:rsidRPr="00290BD0" w:rsidRDefault="00C10DCF" w:rsidP="00290BD0">
      <w:pPr>
        <w:pStyle w:val="Heading1"/>
      </w:pPr>
      <w:r w:rsidRPr="00290BD0">
        <w:t>Summary</w:t>
      </w:r>
    </w:p>
    <w:p w:rsidR="00883710" w:rsidRPr="00883710" w:rsidRDefault="00C10DCF" w:rsidP="00883710">
      <w:pPr>
        <w:rPr>
          <w:rFonts w:ascii="Arial" w:hAnsi="Arial" w:cs="Arial"/>
          <w:sz w:val="24"/>
          <w:szCs w:val="24"/>
        </w:rPr>
      </w:pPr>
      <w:r w:rsidRPr="00290BD0">
        <w:rPr>
          <w:rFonts w:ascii="Arial" w:hAnsi="Arial" w:cs="Arial"/>
          <w:sz w:val="24"/>
          <w:szCs w:val="24"/>
        </w:rPr>
        <w:t>This submission addresses</w:t>
      </w:r>
      <w:r w:rsidR="00CA1737" w:rsidRPr="00290BD0">
        <w:rPr>
          <w:rFonts w:ascii="Arial" w:hAnsi="Arial" w:cs="Arial"/>
          <w:sz w:val="24"/>
          <w:szCs w:val="24"/>
        </w:rPr>
        <w:t xml:space="preserve"> </w:t>
      </w:r>
      <w:r w:rsidR="00C34BEE">
        <w:rPr>
          <w:rFonts w:ascii="Arial" w:hAnsi="Arial" w:cs="Arial"/>
          <w:sz w:val="24"/>
          <w:szCs w:val="24"/>
        </w:rPr>
        <w:t xml:space="preserve">the </w:t>
      </w:r>
      <w:r w:rsidR="004501A2">
        <w:rPr>
          <w:rFonts w:ascii="Arial" w:hAnsi="Arial" w:cs="Arial"/>
          <w:sz w:val="24"/>
          <w:szCs w:val="24"/>
        </w:rPr>
        <w:t>core focus of the DSE review</w:t>
      </w:r>
      <w:r w:rsidR="00104493">
        <w:rPr>
          <w:rFonts w:ascii="Arial" w:hAnsi="Arial" w:cs="Arial"/>
          <w:sz w:val="24"/>
          <w:szCs w:val="24"/>
        </w:rPr>
        <w:t xml:space="preserve"> by</w:t>
      </w:r>
      <w:r w:rsidR="004501A2">
        <w:rPr>
          <w:rFonts w:ascii="Arial" w:hAnsi="Arial" w:cs="Arial"/>
          <w:sz w:val="24"/>
          <w:szCs w:val="24"/>
        </w:rPr>
        <w:t xml:space="preserve"> examining whether the Standards are effective for reducing discrimination, ensuring equality in educational rights, and promoting community acceptance. I discuss these in relation to </w:t>
      </w:r>
      <w:r w:rsidR="00CA1737" w:rsidRPr="00290BD0">
        <w:rPr>
          <w:rFonts w:ascii="Arial" w:hAnsi="Arial" w:cs="Arial"/>
          <w:sz w:val="24"/>
          <w:szCs w:val="24"/>
        </w:rPr>
        <w:t>all terms of reference. The first</w:t>
      </w:r>
      <w:r w:rsidR="009E0B82">
        <w:rPr>
          <w:rFonts w:ascii="Arial" w:hAnsi="Arial" w:cs="Arial"/>
          <w:sz w:val="24"/>
          <w:szCs w:val="24"/>
        </w:rPr>
        <w:t xml:space="preserve"> term of reference</w:t>
      </w:r>
      <w:r w:rsidR="00CA1737" w:rsidRPr="00290BD0">
        <w:rPr>
          <w:rFonts w:ascii="Arial" w:hAnsi="Arial" w:cs="Arial"/>
          <w:sz w:val="24"/>
          <w:szCs w:val="24"/>
        </w:rPr>
        <w:t>, t</w:t>
      </w:r>
      <w:r w:rsidR="00BD2A74" w:rsidRPr="00290BD0">
        <w:rPr>
          <w:rFonts w:ascii="Arial" w:hAnsi="Arial" w:cs="Arial"/>
          <w:sz w:val="24"/>
          <w:szCs w:val="24"/>
        </w:rPr>
        <w:t>he clarity of rights, obligations and measures under the</w:t>
      </w:r>
      <w:r w:rsidR="007320D7" w:rsidRPr="00290BD0">
        <w:rPr>
          <w:rFonts w:ascii="Arial" w:hAnsi="Arial" w:cs="Arial"/>
          <w:sz w:val="24"/>
          <w:szCs w:val="24"/>
        </w:rPr>
        <w:t xml:space="preserve"> Disability Standards for Education (</w:t>
      </w:r>
      <w:r w:rsidR="00BD2A74" w:rsidRPr="00290BD0">
        <w:rPr>
          <w:rFonts w:ascii="Arial" w:hAnsi="Arial" w:cs="Arial"/>
          <w:sz w:val="24"/>
          <w:szCs w:val="24"/>
        </w:rPr>
        <w:t>DSE</w:t>
      </w:r>
      <w:r w:rsidR="007320D7" w:rsidRPr="00290BD0">
        <w:rPr>
          <w:rFonts w:ascii="Arial" w:hAnsi="Arial" w:cs="Arial"/>
          <w:sz w:val="24"/>
          <w:szCs w:val="24"/>
        </w:rPr>
        <w:t>)</w:t>
      </w:r>
      <w:r w:rsidR="00CA1737" w:rsidRPr="00290BD0">
        <w:rPr>
          <w:rFonts w:ascii="Arial" w:hAnsi="Arial" w:cs="Arial"/>
          <w:sz w:val="24"/>
          <w:szCs w:val="24"/>
        </w:rPr>
        <w:t xml:space="preserve">, </w:t>
      </w:r>
      <w:r w:rsidR="009E0B82">
        <w:rPr>
          <w:rFonts w:ascii="Arial" w:hAnsi="Arial" w:cs="Arial"/>
          <w:sz w:val="24"/>
          <w:szCs w:val="24"/>
        </w:rPr>
        <w:t>is</w:t>
      </w:r>
      <w:r w:rsidR="00CA1737" w:rsidRPr="00290BD0">
        <w:rPr>
          <w:rFonts w:ascii="Arial" w:hAnsi="Arial" w:cs="Arial"/>
          <w:sz w:val="24"/>
          <w:szCs w:val="24"/>
        </w:rPr>
        <w:t xml:space="preserve"> discussed with relevance to</w:t>
      </w:r>
      <w:r w:rsidR="009E0B82">
        <w:rPr>
          <w:rFonts w:ascii="Arial" w:hAnsi="Arial" w:cs="Arial"/>
          <w:sz w:val="24"/>
          <w:szCs w:val="24"/>
        </w:rPr>
        <w:t xml:space="preserve"> the standards for </w:t>
      </w:r>
      <w:r w:rsidR="00BD2A74" w:rsidRPr="00290BD0">
        <w:rPr>
          <w:rFonts w:ascii="Arial" w:hAnsi="Arial" w:cs="Arial"/>
          <w:sz w:val="24"/>
          <w:szCs w:val="24"/>
        </w:rPr>
        <w:t xml:space="preserve">consultation and </w:t>
      </w:r>
      <w:r w:rsidR="009E0B82">
        <w:rPr>
          <w:rFonts w:ascii="Arial" w:hAnsi="Arial" w:cs="Arial"/>
          <w:sz w:val="24"/>
          <w:szCs w:val="24"/>
        </w:rPr>
        <w:t>the</w:t>
      </w:r>
      <w:r w:rsidR="00BD2A74" w:rsidRPr="00290BD0">
        <w:rPr>
          <w:rFonts w:ascii="Arial" w:hAnsi="Arial" w:cs="Arial"/>
          <w:sz w:val="24"/>
          <w:szCs w:val="24"/>
        </w:rPr>
        <w:t xml:space="preserve"> planning</w:t>
      </w:r>
      <w:r w:rsidR="009E0B82">
        <w:rPr>
          <w:rFonts w:ascii="Arial" w:hAnsi="Arial" w:cs="Arial"/>
          <w:sz w:val="24"/>
          <w:szCs w:val="24"/>
        </w:rPr>
        <w:t xml:space="preserve"> of reasonable adjustments</w:t>
      </w:r>
      <w:r w:rsidR="00BD2A74" w:rsidRPr="00290BD0">
        <w:rPr>
          <w:rFonts w:ascii="Arial" w:hAnsi="Arial" w:cs="Arial"/>
          <w:sz w:val="24"/>
          <w:szCs w:val="24"/>
        </w:rPr>
        <w:t xml:space="preserve"> for student</w:t>
      </w:r>
      <w:r w:rsidR="00787367">
        <w:rPr>
          <w:rFonts w:ascii="Arial" w:hAnsi="Arial" w:cs="Arial"/>
          <w:sz w:val="24"/>
          <w:szCs w:val="24"/>
        </w:rPr>
        <w:t>s</w:t>
      </w:r>
      <w:r w:rsidR="00BD2A74" w:rsidRPr="00290BD0">
        <w:rPr>
          <w:rFonts w:ascii="Arial" w:hAnsi="Arial" w:cs="Arial"/>
          <w:sz w:val="24"/>
          <w:szCs w:val="24"/>
        </w:rPr>
        <w:t xml:space="preserve"> with </w:t>
      </w:r>
      <w:r w:rsidR="00CA1737" w:rsidRPr="00290BD0">
        <w:rPr>
          <w:rFonts w:ascii="Arial" w:hAnsi="Arial" w:cs="Arial"/>
          <w:sz w:val="24"/>
          <w:szCs w:val="24"/>
        </w:rPr>
        <w:t xml:space="preserve">disabilities. </w:t>
      </w:r>
      <w:r w:rsidR="009E0B82">
        <w:rPr>
          <w:rFonts w:ascii="Arial" w:hAnsi="Arial" w:cs="Arial"/>
          <w:sz w:val="24"/>
          <w:szCs w:val="24"/>
        </w:rPr>
        <w:t>In my submission I outline the clear and pressing</w:t>
      </w:r>
      <w:r w:rsidR="00CA1737" w:rsidRPr="00290BD0">
        <w:rPr>
          <w:rFonts w:ascii="Arial" w:hAnsi="Arial" w:cs="Arial"/>
          <w:sz w:val="24"/>
          <w:szCs w:val="24"/>
        </w:rPr>
        <w:t xml:space="preserve"> </w:t>
      </w:r>
      <w:r w:rsidR="005C6496" w:rsidRPr="00290BD0">
        <w:rPr>
          <w:rFonts w:ascii="Arial" w:hAnsi="Arial" w:cs="Arial"/>
          <w:sz w:val="24"/>
          <w:szCs w:val="24"/>
        </w:rPr>
        <w:t xml:space="preserve">need to </w:t>
      </w:r>
      <w:r w:rsidR="008C3625">
        <w:rPr>
          <w:rFonts w:ascii="Arial" w:hAnsi="Arial" w:cs="Arial"/>
          <w:sz w:val="24"/>
          <w:szCs w:val="24"/>
        </w:rPr>
        <w:t>improve the</w:t>
      </w:r>
      <w:r w:rsidR="00CA1737" w:rsidRPr="00290BD0">
        <w:rPr>
          <w:rFonts w:ascii="Arial" w:hAnsi="Arial" w:cs="Arial"/>
          <w:sz w:val="24"/>
          <w:szCs w:val="24"/>
        </w:rPr>
        <w:t xml:space="preserve"> clarity</w:t>
      </w:r>
      <w:r w:rsidR="009E0B82" w:rsidRPr="009E0B82">
        <w:rPr>
          <w:rFonts w:ascii="Arial" w:hAnsi="Arial" w:cs="Arial"/>
          <w:sz w:val="24"/>
          <w:szCs w:val="24"/>
        </w:rPr>
        <w:t xml:space="preserve"> </w:t>
      </w:r>
      <w:r w:rsidR="009E0B82" w:rsidRPr="00290BD0">
        <w:rPr>
          <w:rFonts w:ascii="Arial" w:hAnsi="Arial" w:cs="Arial"/>
          <w:sz w:val="24"/>
          <w:szCs w:val="24"/>
        </w:rPr>
        <w:t>within the DSE</w:t>
      </w:r>
      <w:r w:rsidR="007F0A95">
        <w:rPr>
          <w:rFonts w:ascii="Arial" w:hAnsi="Arial" w:cs="Arial"/>
          <w:sz w:val="24"/>
          <w:szCs w:val="24"/>
        </w:rPr>
        <w:t xml:space="preserve"> </w:t>
      </w:r>
      <w:r w:rsidR="008C3625">
        <w:rPr>
          <w:rFonts w:ascii="Arial" w:hAnsi="Arial" w:cs="Arial"/>
          <w:sz w:val="24"/>
          <w:szCs w:val="24"/>
        </w:rPr>
        <w:t>for</w:t>
      </w:r>
      <w:r w:rsidR="007F0A95">
        <w:rPr>
          <w:rFonts w:ascii="Arial" w:hAnsi="Arial" w:cs="Arial"/>
          <w:sz w:val="24"/>
          <w:szCs w:val="24"/>
        </w:rPr>
        <w:t xml:space="preserve"> consultative planning</w:t>
      </w:r>
      <w:r w:rsidR="005C6496" w:rsidRPr="00290BD0">
        <w:rPr>
          <w:rFonts w:ascii="Arial" w:hAnsi="Arial" w:cs="Arial"/>
          <w:sz w:val="24"/>
          <w:szCs w:val="24"/>
        </w:rPr>
        <w:t xml:space="preserve">, </w:t>
      </w:r>
      <w:r w:rsidR="007F0A95">
        <w:rPr>
          <w:rFonts w:ascii="Arial" w:hAnsi="Arial" w:cs="Arial"/>
          <w:sz w:val="24"/>
          <w:szCs w:val="24"/>
        </w:rPr>
        <w:t>and recommend</w:t>
      </w:r>
      <w:r w:rsidR="00CA1737" w:rsidRPr="00290BD0">
        <w:rPr>
          <w:rFonts w:ascii="Arial" w:hAnsi="Arial" w:cs="Arial"/>
          <w:sz w:val="24"/>
          <w:szCs w:val="24"/>
        </w:rPr>
        <w:t xml:space="preserve"> </w:t>
      </w:r>
      <w:r w:rsidR="007F0A95">
        <w:rPr>
          <w:rFonts w:ascii="Arial" w:hAnsi="Arial" w:cs="Arial"/>
          <w:sz w:val="24"/>
          <w:szCs w:val="24"/>
        </w:rPr>
        <w:t>articulating</w:t>
      </w:r>
      <w:r w:rsidR="00CA1737" w:rsidRPr="00290BD0">
        <w:rPr>
          <w:rFonts w:ascii="Arial" w:hAnsi="Arial" w:cs="Arial"/>
          <w:sz w:val="24"/>
          <w:szCs w:val="24"/>
        </w:rPr>
        <w:t xml:space="preserve"> compliance measures</w:t>
      </w:r>
      <w:r w:rsidR="005C6496" w:rsidRPr="00290BD0">
        <w:rPr>
          <w:rFonts w:ascii="Arial" w:hAnsi="Arial" w:cs="Arial"/>
          <w:sz w:val="24"/>
          <w:szCs w:val="24"/>
        </w:rPr>
        <w:t xml:space="preserve">. </w:t>
      </w:r>
      <w:r w:rsidR="00883710">
        <w:rPr>
          <w:rFonts w:ascii="Arial" w:hAnsi="Arial" w:cs="Arial"/>
          <w:sz w:val="24"/>
          <w:szCs w:val="24"/>
        </w:rPr>
        <w:t>The second</w:t>
      </w:r>
      <w:r w:rsidR="009E0B82">
        <w:rPr>
          <w:rFonts w:ascii="Arial" w:hAnsi="Arial" w:cs="Arial"/>
          <w:sz w:val="24"/>
          <w:szCs w:val="24"/>
        </w:rPr>
        <w:t xml:space="preserve"> term of reference</w:t>
      </w:r>
      <w:r w:rsidR="00883710">
        <w:rPr>
          <w:rFonts w:ascii="Arial" w:hAnsi="Arial" w:cs="Arial"/>
          <w:sz w:val="24"/>
          <w:szCs w:val="24"/>
        </w:rPr>
        <w:t xml:space="preserve">, the knowledge of </w:t>
      </w:r>
      <w:r w:rsidR="00883710" w:rsidRPr="00883710">
        <w:rPr>
          <w:rFonts w:ascii="Arial" w:hAnsi="Arial" w:cs="Arial"/>
          <w:sz w:val="24"/>
          <w:szCs w:val="24"/>
        </w:rPr>
        <w:t>the rights, obligations and measures of compliance in the Standards</w:t>
      </w:r>
      <w:r w:rsidR="009E0B82">
        <w:rPr>
          <w:rFonts w:ascii="Arial" w:hAnsi="Arial" w:cs="Arial"/>
          <w:sz w:val="24"/>
          <w:szCs w:val="24"/>
        </w:rPr>
        <w:t>,</w:t>
      </w:r>
      <w:r w:rsidR="00883710" w:rsidRPr="00883710">
        <w:rPr>
          <w:rFonts w:ascii="Arial" w:hAnsi="Arial" w:cs="Arial"/>
          <w:sz w:val="24"/>
          <w:szCs w:val="24"/>
        </w:rPr>
        <w:t xml:space="preserve"> </w:t>
      </w:r>
      <w:r w:rsidR="00883710">
        <w:rPr>
          <w:rFonts w:ascii="Arial" w:hAnsi="Arial" w:cs="Arial"/>
          <w:sz w:val="24"/>
          <w:szCs w:val="24"/>
        </w:rPr>
        <w:t>is discussed with regard to</w:t>
      </w:r>
      <w:r w:rsidR="007F0A95">
        <w:rPr>
          <w:rFonts w:ascii="Arial" w:hAnsi="Arial" w:cs="Arial"/>
          <w:sz w:val="24"/>
          <w:szCs w:val="24"/>
        </w:rPr>
        <w:t xml:space="preserve"> the recognition and acceptance of disability rights in education within</w:t>
      </w:r>
      <w:r w:rsidR="00883710">
        <w:rPr>
          <w:rFonts w:ascii="Arial" w:hAnsi="Arial" w:cs="Arial"/>
          <w:sz w:val="24"/>
          <w:szCs w:val="24"/>
        </w:rPr>
        <w:t xml:space="preserve"> pre-service teacher education, teacher registration </w:t>
      </w:r>
      <w:r w:rsidR="009E0B82">
        <w:rPr>
          <w:rFonts w:ascii="Arial" w:hAnsi="Arial" w:cs="Arial"/>
          <w:sz w:val="24"/>
          <w:szCs w:val="24"/>
        </w:rPr>
        <w:t xml:space="preserve">requirements, </w:t>
      </w:r>
      <w:r w:rsidR="00883710">
        <w:rPr>
          <w:rFonts w:ascii="Arial" w:hAnsi="Arial" w:cs="Arial"/>
          <w:sz w:val="24"/>
          <w:szCs w:val="24"/>
        </w:rPr>
        <w:t>and teacher professional learning</w:t>
      </w:r>
      <w:r w:rsidR="007F0A95">
        <w:rPr>
          <w:rFonts w:ascii="Arial" w:hAnsi="Arial" w:cs="Arial"/>
          <w:sz w:val="24"/>
          <w:szCs w:val="24"/>
        </w:rPr>
        <w:t xml:space="preserve">. </w:t>
      </w:r>
      <w:r w:rsidR="009E0B82">
        <w:rPr>
          <w:rFonts w:ascii="Arial" w:hAnsi="Arial" w:cs="Arial"/>
          <w:sz w:val="24"/>
          <w:szCs w:val="24"/>
        </w:rPr>
        <w:t xml:space="preserve">I </w:t>
      </w:r>
      <w:r w:rsidR="007F0A95">
        <w:rPr>
          <w:rFonts w:ascii="Arial" w:hAnsi="Arial" w:cs="Arial"/>
          <w:sz w:val="24"/>
          <w:szCs w:val="24"/>
        </w:rPr>
        <w:t>outline</w:t>
      </w:r>
      <w:r w:rsidR="009E0B82">
        <w:rPr>
          <w:rFonts w:ascii="Arial" w:hAnsi="Arial" w:cs="Arial"/>
          <w:sz w:val="24"/>
          <w:szCs w:val="24"/>
        </w:rPr>
        <w:t xml:space="preserve"> </w:t>
      </w:r>
      <w:r w:rsidR="00883710">
        <w:rPr>
          <w:rFonts w:ascii="Arial" w:hAnsi="Arial" w:cs="Arial"/>
          <w:sz w:val="24"/>
          <w:szCs w:val="24"/>
        </w:rPr>
        <w:t>how these might be improved to enhance the specific knowledge of the standards within the workforce of educators</w:t>
      </w:r>
      <w:r w:rsidR="007F0A95">
        <w:rPr>
          <w:rFonts w:ascii="Arial" w:hAnsi="Arial" w:cs="Arial"/>
          <w:sz w:val="24"/>
          <w:szCs w:val="24"/>
        </w:rPr>
        <w:t xml:space="preserve"> </w:t>
      </w:r>
      <w:r w:rsidR="008C3625">
        <w:rPr>
          <w:rFonts w:ascii="Arial" w:hAnsi="Arial" w:cs="Arial"/>
          <w:sz w:val="24"/>
          <w:szCs w:val="24"/>
        </w:rPr>
        <w:t>as well as school leaders</w:t>
      </w:r>
      <w:r w:rsidR="00883710">
        <w:rPr>
          <w:rFonts w:ascii="Arial" w:hAnsi="Arial" w:cs="Arial"/>
          <w:sz w:val="24"/>
          <w:szCs w:val="24"/>
        </w:rPr>
        <w:t>. The third</w:t>
      </w:r>
      <w:r w:rsidR="009E0B82">
        <w:rPr>
          <w:rFonts w:ascii="Arial" w:hAnsi="Arial" w:cs="Arial"/>
          <w:sz w:val="24"/>
          <w:szCs w:val="24"/>
        </w:rPr>
        <w:t xml:space="preserve"> term of reference</w:t>
      </w:r>
      <w:r w:rsidR="00883710">
        <w:rPr>
          <w:rFonts w:ascii="Arial" w:hAnsi="Arial" w:cs="Arial"/>
          <w:sz w:val="24"/>
          <w:szCs w:val="24"/>
        </w:rPr>
        <w:t xml:space="preserve">, the contribution of the </w:t>
      </w:r>
      <w:r w:rsidR="00883710" w:rsidRPr="00883710">
        <w:rPr>
          <w:rFonts w:ascii="Arial" w:hAnsi="Arial" w:cs="Arial"/>
          <w:sz w:val="24"/>
          <w:szCs w:val="24"/>
        </w:rPr>
        <w:t xml:space="preserve">Standards </w:t>
      </w:r>
      <w:r w:rsidR="00883710" w:rsidRPr="00883710">
        <w:rPr>
          <w:rFonts w:ascii="Arial" w:hAnsi="Arial" w:cs="Arial"/>
          <w:bCs/>
          <w:sz w:val="24"/>
          <w:szCs w:val="24"/>
        </w:rPr>
        <w:t xml:space="preserve">towards students with disability being able to access education and training opportunities </w:t>
      </w:r>
      <w:r w:rsidR="00883710" w:rsidRPr="00883710">
        <w:rPr>
          <w:rFonts w:ascii="Arial" w:hAnsi="Arial" w:cs="Arial"/>
          <w:sz w:val="24"/>
          <w:szCs w:val="24"/>
        </w:rPr>
        <w:t>on the same basis as students without disabilities</w:t>
      </w:r>
      <w:r w:rsidR="009E0B82">
        <w:rPr>
          <w:rFonts w:ascii="Arial" w:hAnsi="Arial" w:cs="Arial"/>
          <w:sz w:val="24"/>
          <w:szCs w:val="24"/>
        </w:rPr>
        <w:t>,</w:t>
      </w:r>
      <w:r w:rsidR="00883710" w:rsidRPr="00883710">
        <w:rPr>
          <w:rFonts w:ascii="Arial" w:hAnsi="Arial" w:cs="Arial"/>
          <w:sz w:val="24"/>
          <w:szCs w:val="24"/>
        </w:rPr>
        <w:t xml:space="preserve"> </w:t>
      </w:r>
      <w:r w:rsidR="00883710">
        <w:rPr>
          <w:rFonts w:ascii="Arial" w:hAnsi="Arial" w:cs="Arial"/>
          <w:sz w:val="24"/>
          <w:szCs w:val="24"/>
        </w:rPr>
        <w:t xml:space="preserve">is discussed with regard to </w:t>
      </w:r>
      <w:r w:rsidR="00BD080C">
        <w:rPr>
          <w:rFonts w:ascii="Arial" w:hAnsi="Arial" w:cs="Arial"/>
          <w:sz w:val="24"/>
          <w:szCs w:val="24"/>
        </w:rPr>
        <w:t>persistent disability discrimination experienced by students.</w:t>
      </w:r>
      <w:r w:rsidR="0087584A">
        <w:rPr>
          <w:rFonts w:ascii="Arial" w:hAnsi="Arial" w:cs="Arial"/>
          <w:sz w:val="24"/>
          <w:szCs w:val="24"/>
        </w:rPr>
        <w:t xml:space="preserve"> I argue that it is imperative that the right of students with disabilities to access an inclusive education be articulated within the DSE</w:t>
      </w:r>
      <w:r w:rsidR="007F0A95">
        <w:rPr>
          <w:rFonts w:ascii="Arial" w:hAnsi="Arial" w:cs="Arial"/>
          <w:sz w:val="24"/>
          <w:szCs w:val="24"/>
        </w:rPr>
        <w:t xml:space="preserve"> consistent with the CRPD,</w:t>
      </w:r>
      <w:r w:rsidR="009E0B82">
        <w:rPr>
          <w:rFonts w:ascii="Arial" w:hAnsi="Arial" w:cs="Arial"/>
          <w:sz w:val="24"/>
          <w:szCs w:val="24"/>
        </w:rPr>
        <w:t xml:space="preserve"> in order to address segregation within Australian education</w:t>
      </w:r>
      <w:r w:rsidR="0087584A">
        <w:rPr>
          <w:rFonts w:ascii="Arial" w:hAnsi="Arial" w:cs="Arial"/>
          <w:sz w:val="24"/>
          <w:szCs w:val="24"/>
        </w:rPr>
        <w:t>.</w:t>
      </w:r>
    </w:p>
    <w:p w:rsidR="00883710" w:rsidRPr="00883710" w:rsidRDefault="00883710" w:rsidP="00883710">
      <w:pPr>
        <w:rPr>
          <w:rFonts w:ascii="Arial" w:hAnsi="Arial" w:cs="Arial"/>
          <w:sz w:val="24"/>
          <w:szCs w:val="24"/>
        </w:rPr>
      </w:pPr>
    </w:p>
    <w:p w:rsidR="00290BD0" w:rsidRPr="00290BD0" w:rsidRDefault="00290BD0" w:rsidP="00290BD0">
      <w:pPr>
        <w:pStyle w:val="Heading1"/>
      </w:pPr>
      <w:r w:rsidRPr="00290BD0">
        <w:t>Submission to the 2020 Review of the Disability Standards for Education</w:t>
      </w:r>
    </w:p>
    <w:p w:rsidR="008048BE" w:rsidRPr="00290BD0" w:rsidRDefault="00F8086D" w:rsidP="00FC1F60">
      <w:pPr>
        <w:rPr>
          <w:rFonts w:ascii="Arial" w:hAnsi="Arial" w:cs="Arial"/>
          <w:sz w:val="24"/>
          <w:szCs w:val="24"/>
        </w:rPr>
      </w:pPr>
      <w:r w:rsidRPr="00290BD0">
        <w:rPr>
          <w:rFonts w:ascii="Arial" w:hAnsi="Arial" w:cs="Arial"/>
          <w:sz w:val="24"/>
          <w:szCs w:val="24"/>
        </w:rPr>
        <w:t xml:space="preserve">My submission </w:t>
      </w:r>
      <w:r w:rsidR="008048BE" w:rsidRPr="00290BD0">
        <w:rPr>
          <w:rFonts w:ascii="Arial" w:hAnsi="Arial" w:cs="Arial"/>
          <w:sz w:val="24"/>
          <w:szCs w:val="24"/>
        </w:rPr>
        <w:t>was invited by the Australian Government Department of Education, Skills and Employment</w:t>
      </w:r>
      <w:r w:rsidR="00575C5F" w:rsidRPr="00290BD0">
        <w:rPr>
          <w:rFonts w:ascii="Arial" w:hAnsi="Arial" w:cs="Arial"/>
          <w:sz w:val="24"/>
          <w:szCs w:val="24"/>
        </w:rPr>
        <w:t xml:space="preserve">. The content of my submission is based on </w:t>
      </w:r>
      <w:r w:rsidRPr="00290BD0">
        <w:rPr>
          <w:rFonts w:ascii="Arial" w:hAnsi="Arial" w:cs="Arial"/>
          <w:sz w:val="24"/>
          <w:szCs w:val="24"/>
        </w:rPr>
        <w:t xml:space="preserve">my experience </w:t>
      </w:r>
      <w:r w:rsidR="008C3625">
        <w:rPr>
          <w:rFonts w:ascii="Arial" w:hAnsi="Arial" w:cs="Arial"/>
          <w:sz w:val="24"/>
          <w:szCs w:val="24"/>
        </w:rPr>
        <w:t xml:space="preserve">as </w:t>
      </w:r>
      <w:r w:rsidRPr="00290BD0">
        <w:rPr>
          <w:rFonts w:ascii="Arial" w:hAnsi="Arial" w:cs="Arial"/>
          <w:sz w:val="24"/>
          <w:szCs w:val="24"/>
        </w:rPr>
        <w:t>a researcher</w:t>
      </w:r>
      <w:r w:rsidR="008048BE" w:rsidRPr="00290BD0">
        <w:rPr>
          <w:rFonts w:ascii="Arial" w:hAnsi="Arial" w:cs="Arial"/>
          <w:sz w:val="24"/>
          <w:szCs w:val="24"/>
        </w:rPr>
        <w:t xml:space="preserve"> in inclusion and disability at Monash University, where I am currently employed as a Senior Lecturer</w:t>
      </w:r>
      <w:r w:rsidR="009E0B82">
        <w:rPr>
          <w:rFonts w:ascii="Arial" w:hAnsi="Arial" w:cs="Arial"/>
          <w:sz w:val="24"/>
          <w:szCs w:val="24"/>
        </w:rPr>
        <w:t>. I teach and research in</w:t>
      </w:r>
      <w:r w:rsidR="00575C5F" w:rsidRPr="00290BD0">
        <w:rPr>
          <w:rFonts w:ascii="Arial" w:hAnsi="Arial" w:cs="Arial"/>
          <w:sz w:val="24"/>
          <w:szCs w:val="24"/>
        </w:rPr>
        <w:t xml:space="preserve"> inclusive education with a focus on disability discrimination legislation and policy, inclusive system transformation, as well as evidence-based professional practice</w:t>
      </w:r>
      <w:r w:rsidR="005F3EA2" w:rsidRPr="00290BD0">
        <w:rPr>
          <w:rFonts w:ascii="Arial" w:hAnsi="Arial" w:cs="Arial"/>
          <w:sz w:val="24"/>
          <w:szCs w:val="24"/>
        </w:rPr>
        <w:t xml:space="preserve"> for school</w:t>
      </w:r>
      <w:r w:rsidR="007320D7" w:rsidRPr="00290BD0">
        <w:rPr>
          <w:rFonts w:ascii="Arial" w:hAnsi="Arial" w:cs="Arial"/>
          <w:sz w:val="24"/>
          <w:szCs w:val="24"/>
        </w:rPr>
        <w:t xml:space="preserve"> leaders</w:t>
      </w:r>
      <w:r w:rsidR="005F3EA2" w:rsidRPr="00290BD0">
        <w:rPr>
          <w:rFonts w:ascii="Arial" w:hAnsi="Arial" w:cs="Arial"/>
          <w:sz w:val="24"/>
          <w:szCs w:val="24"/>
        </w:rPr>
        <w:t xml:space="preserve"> and </w:t>
      </w:r>
      <w:r w:rsidR="007320D7" w:rsidRPr="00290BD0">
        <w:rPr>
          <w:rFonts w:ascii="Arial" w:hAnsi="Arial" w:cs="Arial"/>
          <w:sz w:val="24"/>
          <w:szCs w:val="24"/>
        </w:rPr>
        <w:t>classroom teachers</w:t>
      </w:r>
      <w:r w:rsidR="005F3EA2" w:rsidRPr="00290BD0">
        <w:rPr>
          <w:rFonts w:ascii="Arial" w:hAnsi="Arial" w:cs="Arial"/>
          <w:sz w:val="24"/>
          <w:szCs w:val="24"/>
        </w:rPr>
        <w:t>.</w:t>
      </w:r>
      <w:r w:rsidR="005F3EA2" w:rsidRPr="00290BD0">
        <w:rPr>
          <w:rFonts w:ascii="Arial" w:eastAsia="Times New Roman" w:hAnsi="Arial" w:cs="Arial"/>
          <w:sz w:val="24"/>
          <w:szCs w:val="24"/>
          <w:lang w:eastAsia="en-AU"/>
        </w:rPr>
        <w:t xml:space="preserve"> </w:t>
      </w:r>
      <w:r w:rsidR="005F3EA2" w:rsidRPr="00290BD0">
        <w:rPr>
          <w:rFonts w:ascii="Arial" w:hAnsi="Arial" w:cs="Arial"/>
          <w:sz w:val="24"/>
          <w:szCs w:val="24"/>
        </w:rPr>
        <w:t>Prior to working at Monash University, I worked for ten years in public and independent schools in Melbourne as a classroom English</w:t>
      </w:r>
      <w:r w:rsidR="007320D7" w:rsidRPr="00290BD0">
        <w:rPr>
          <w:rFonts w:ascii="Arial" w:hAnsi="Arial" w:cs="Arial"/>
          <w:sz w:val="24"/>
          <w:szCs w:val="24"/>
        </w:rPr>
        <w:t xml:space="preserve"> and </w:t>
      </w:r>
      <w:r w:rsidR="007320D7" w:rsidRPr="00290BD0">
        <w:rPr>
          <w:rFonts w:ascii="Arial" w:hAnsi="Arial" w:cs="Arial"/>
          <w:sz w:val="24"/>
          <w:szCs w:val="24"/>
        </w:rPr>
        <w:lastRenderedPageBreak/>
        <w:t>Learning Support</w:t>
      </w:r>
      <w:r w:rsidR="005F3EA2" w:rsidRPr="00290BD0">
        <w:rPr>
          <w:rFonts w:ascii="Arial" w:hAnsi="Arial" w:cs="Arial"/>
          <w:sz w:val="24"/>
          <w:szCs w:val="24"/>
        </w:rPr>
        <w:t xml:space="preserve"> teacher for students in years 7-12. </w:t>
      </w:r>
      <w:r w:rsidR="00585F1D" w:rsidRPr="00290BD0">
        <w:rPr>
          <w:rFonts w:ascii="Arial" w:hAnsi="Arial" w:cs="Arial"/>
          <w:sz w:val="24"/>
          <w:szCs w:val="24"/>
        </w:rPr>
        <w:t>In my submission, I address</w:t>
      </w:r>
      <w:r w:rsidR="0018639D" w:rsidRPr="00290BD0">
        <w:rPr>
          <w:rFonts w:ascii="Arial" w:hAnsi="Arial" w:cs="Arial"/>
          <w:sz w:val="24"/>
          <w:szCs w:val="24"/>
        </w:rPr>
        <w:t xml:space="preserve"> each of</w:t>
      </w:r>
      <w:r w:rsidR="00585F1D" w:rsidRPr="00290BD0">
        <w:rPr>
          <w:rFonts w:ascii="Arial" w:hAnsi="Arial" w:cs="Arial"/>
          <w:sz w:val="24"/>
          <w:szCs w:val="24"/>
        </w:rPr>
        <w:t xml:space="preserve"> the terms of reference within the</w:t>
      </w:r>
      <w:r w:rsidR="008048BE" w:rsidRPr="00290BD0">
        <w:rPr>
          <w:rFonts w:ascii="Arial" w:hAnsi="Arial" w:cs="Arial"/>
          <w:sz w:val="24"/>
          <w:szCs w:val="24"/>
        </w:rPr>
        <w:t xml:space="preserve"> Discussion Paper released in relation </w:t>
      </w:r>
      <w:r w:rsidR="005F3EA2" w:rsidRPr="00290BD0">
        <w:rPr>
          <w:rFonts w:ascii="Arial" w:hAnsi="Arial" w:cs="Arial"/>
          <w:sz w:val="24"/>
          <w:szCs w:val="24"/>
        </w:rPr>
        <w:t>to the 2020 Review of the Disability Standards for Education</w:t>
      </w:r>
      <w:r w:rsidR="0018639D" w:rsidRPr="00290BD0">
        <w:rPr>
          <w:rFonts w:ascii="Arial" w:hAnsi="Arial" w:cs="Arial"/>
          <w:sz w:val="24"/>
          <w:szCs w:val="24"/>
        </w:rPr>
        <w:t>.</w:t>
      </w:r>
    </w:p>
    <w:p w:rsidR="005F3EA2" w:rsidRPr="00290BD0" w:rsidRDefault="009E0B82" w:rsidP="00290BD0">
      <w:pPr>
        <w:pStyle w:val="Heading2"/>
      </w:pPr>
      <w:r>
        <w:t xml:space="preserve">Term of Reference 1: </w:t>
      </w:r>
      <w:r w:rsidR="0018639D" w:rsidRPr="00290BD0">
        <w:t>Are the rights, obligations and measures of compliance set out in the Standards (and its Guidance Notes) clear and appropriate?</w:t>
      </w:r>
    </w:p>
    <w:p w:rsidR="008C3625" w:rsidRDefault="00AE05C2" w:rsidP="007F0A95">
      <w:pPr>
        <w:rPr>
          <w:rFonts w:ascii="Arial" w:hAnsi="Arial" w:cs="Arial"/>
          <w:sz w:val="24"/>
          <w:szCs w:val="24"/>
        </w:rPr>
      </w:pPr>
      <w:r>
        <w:rPr>
          <w:rFonts w:ascii="Arial" w:hAnsi="Arial" w:cs="Arial"/>
          <w:sz w:val="24"/>
          <w:szCs w:val="24"/>
        </w:rPr>
        <w:t>T</w:t>
      </w:r>
      <w:r w:rsidR="00CA1737" w:rsidRPr="00290BD0">
        <w:rPr>
          <w:rFonts w:ascii="Arial" w:hAnsi="Arial" w:cs="Arial"/>
          <w:sz w:val="24"/>
          <w:szCs w:val="24"/>
        </w:rPr>
        <w:t>he</w:t>
      </w:r>
      <w:r w:rsidR="007320D7" w:rsidRPr="00290BD0">
        <w:rPr>
          <w:rFonts w:ascii="Arial" w:hAnsi="Arial" w:cs="Arial"/>
          <w:sz w:val="24"/>
          <w:szCs w:val="24"/>
        </w:rPr>
        <w:t xml:space="preserve"> rights, obligations and measures of compliance in relation to consultation and planning</w:t>
      </w:r>
      <w:r w:rsidR="007F0A95">
        <w:rPr>
          <w:rFonts w:ascii="Arial" w:hAnsi="Arial" w:cs="Arial"/>
          <w:sz w:val="24"/>
          <w:szCs w:val="24"/>
        </w:rPr>
        <w:t xml:space="preserve"> of reasonable adjustments</w:t>
      </w:r>
      <w:r w:rsidR="007320D7" w:rsidRPr="00290BD0">
        <w:rPr>
          <w:rFonts w:ascii="Arial" w:hAnsi="Arial" w:cs="Arial"/>
          <w:sz w:val="24"/>
          <w:szCs w:val="24"/>
        </w:rPr>
        <w:t xml:space="preserve"> need greater specificity</w:t>
      </w:r>
      <w:r w:rsidR="008C3625">
        <w:rPr>
          <w:rFonts w:ascii="Arial" w:hAnsi="Arial" w:cs="Arial"/>
          <w:sz w:val="24"/>
          <w:szCs w:val="24"/>
        </w:rPr>
        <w:t xml:space="preserve"> and accountability</w:t>
      </w:r>
      <w:r w:rsidR="007320D7" w:rsidRPr="00290BD0">
        <w:rPr>
          <w:rFonts w:ascii="Arial" w:hAnsi="Arial" w:cs="Arial"/>
          <w:sz w:val="24"/>
          <w:szCs w:val="24"/>
        </w:rPr>
        <w:t xml:space="preserve"> </w:t>
      </w:r>
      <w:r w:rsidR="003C4904" w:rsidRPr="00290BD0">
        <w:rPr>
          <w:rFonts w:ascii="Arial" w:hAnsi="Arial" w:cs="Arial"/>
          <w:sz w:val="24"/>
          <w:szCs w:val="24"/>
        </w:rPr>
        <w:t>in</w:t>
      </w:r>
      <w:r w:rsidR="007320D7" w:rsidRPr="00290BD0">
        <w:rPr>
          <w:rFonts w:ascii="Arial" w:hAnsi="Arial" w:cs="Arial"/>
          <w:sz w:val="24"/>
          <w:szCs w:val="24"/>
        </w:rPr>
        <w:t xml:space="preserve"> the DSE</w:t>
      </w:r>
      <w:r w:rsidR="007F0A95">
        <w:rPr>
          <w:rFonts w:ascii="Arial" w:hAnsi="Arial" w:cs="Arial"/>
          <w:sz w:val="24"/>
          <w:szCs w:val="24"/>
        </w:rPr>
        <w:t xml:space="preserve">. </w:t>
      </w:r>
      <w:r w:rsidR="007420F2" w:rsidRPr="00290BD0">
        <w:rPr>
          <w:rFonts w:ascii="Arial" w:hAnsi="Arial" w:cs="Arial"/>
          <w:sz w:val="24"/>
          <w:szCs w:val="24"/>
        </w:rPr>
        <w:t>The</w:t>
      </w:r>
      <w:r w:rsidR="00CA1737" w:rsidRPr="00290BD0">
        <w:rPr>
          <w:rFonts w:ascii="Arial" w:hAnsi="Arial" w:cs="Arial"/>
          <w:sz w:val="24"/>
          <w:szCs w:val="24"/>
        </w:rPr>
        <w:t xml:space="preserve"> rights of students to be consulted, and the</w:t>
      </w:r>
      <w:r w:rsidR="007420F2" w:rsidRPr="00290BD0">
        <w:rPr>
          <w:rFonts w:ascii="Arial" w:hAnsi="Arial" w:cs="Arial"/>
          <w:sz w:val="24"/>
          <w:szCs w:val="24"/>
        </w:rPr>
        <w:t xml:space="preserve"> </w:t>
      </w:r>
      <w:r w:rsidR="007320D7" w:rsidRPr="00290BD0">
        <w:rPr>
          <w:rFonts w:ascii="Arial" w:hAnsi="Arial" w:cs="Arial"/>
          <w:sz w:val="24"/>
          <w:szCs w:val="24"/>
        </w:rPr>
        <w:t>obligation</w:t>
      </w:r>
      <w:r w:rsidR="007420F2" w:rsidRPr="00290BD0">
        <w:rPr>
          <w:rFonts w:ascii="Arial" w:hAnsi="Arial" w:cs="Arial"/>
          <w:sz w:val="24"/>
          <w:szCs w:val="24"/>
        </w:rPr>
        <w:t xml:space="preserve"> for</w:t>
      </w:r>
      <w:r w:rsidR="00C75D4E" w:rsidRPr="00290BD0">
        <w:rPr>
          <w:rFonts w:ascii="Arial" w:hAnsi="Arial" w:cs="Arial"/>
          <w:sz w:val="24"/>
          <w:szCs w:val="24"/>
        </w:rPr>
        <w:t xml:space="preserve"> </w:t>
      </w:r>
      <w:r w:rsidR="007320D7" w:rsidRPr="00290BD0">
        <w:rPr>
          <w:rFonts w:ascii="Arial" w:hAnsi="Arial" w:cs="Arial"/>
          <w:sz w:val="24"/>
          <w:szCs w:val="24"/>
        </w:rPr>
        <w:t>schools to consult with students or their associate</w:t>
      </w:r>
      <w:r w:rsidR="00C75D4E" w:rsidRPr="00290BD0">
        <w:rPr>
          <w:rFonts w:ascii="Arial" w:hAnsi="Arial" w:cs="Arial"/>
          <w:sz w:val="24"/>
          <w:szCs w:val="24"/>
        </w:rPr>
        <w:t xml:space="preserve"> </w:t>
      </w:r>
      <w:r w:rsidR="00A20ABE" w:rsidRPr="00290BD0">
        <w:rPr>
          <w:rFonts w:ascii="Arial" w:hAnsi="Arial" w:cs="Arial"/>
          <w:sz w:val="24"/>
          <w:szCs w:val="24"/>
        </w:rPr>
        <w:t xml:space="preserve">when planning reasonable adjustments </w:t>
      </w:r>
      <w:r>
        <w:rPr>
          <w:rFonts w:ascii="Arial" w:hAnsi="Arial" w:cs="Arial"/>
          <w:sz w:val="24"/>
          <w:szCs w:val="24"/>
        </w:rPr>
        <w:t>are</w:t>
      </w:r>
      <w:r w:rsidR="00A20ABE" w:rsidRPr="00290BD0">
        <w:rPr>
          <w:rFonts w:ascii="Arial" w:hAnsi="Arial" w:cs="Arial"/>
          <w:sz w:val="24"/>
          <w:szCs w:val="24"/>
        </w:rPr>
        <w:t xml:space="preserve"> </w:t>
      </w:r>
      <w:r w:rsidR="00C75D4E" w:rsidRPr="00290BD0">
        <w:rPr>
          <w:rFonts w:ascii="Arial" w:hAnsi="Arial" w:cs="Arial"/>
          <w:sz w:val="24"/>
          <w:szCs w:val="24"/>
        </w:rPr>
        <w:t>specified within section 3.5 of the DSE</w:t>
      </w:r>
      <w:r w:rsidR="00155B8C" w:rsidRPr="00290BD0">
        <w:rPr>
          <w:rFonts w:ascii="Arial" w:hAnsi="Arial" w:cs="Arial"/>
          <w:sz w:val="24"/>
          <w:szCs w:val="24"/>
        </w:rPr>
        <w:t>. T</w:t>
      </w:r>
      <w:r w:rsidR="007320D7" w:rsidRPr="00290BD0">
        <w:rPr>
          <w:rFonts w:ascii="Arial" w:hAnsi="Arial" w:cs="Arial"/>
          <w:sz w:val="24"/>
          <w:szCs w:val="24"/>
        </w:rPr>
        <w:t xml:space="preserve">he standards and measures for achieving these are </w:t>
      </w:r>
      <w:r w:rsidR="00C75D4E" w:rsidRPr="00290BD0">
        <w:rPr>
          <w:rFonts w:ascii="Arial" w:hAnsi="Arial" w:cs="Arial"/>
          <w:sz w:val="24"/>
          <w:szCs w:val="24"/>
        </w:rPr>
        <w:t xml:space="preserve">elaborated with regard to: </w:t>
      </w:r>
      <w:bookmarkStart w:id="0" w:name="_Hlk51965636"/>
      <w:r w:rsidR="00C75D4E" w:rsidRPr="00290BD0">
        <w:rPr>
          <w:rFonts w:ascii="Arial" w:hAnsi="Arial" w:cs="Arial"/>
          <w:sz w:val="24"/>
          <w:szCs w:val="24"/>
        </w:rPr>
        <w:t>enrolment</w:t>
      </w:r>
      <w:r w:rsidR="007320D7" w:rsidRPr="00290BD0">
        <w:rPr>
          <w:rFonts w:ascii="Arial" w:hAnsi="Arial" w:cs="Arial"/>
          <w:sz w:val="24"/>
          <w:szCs w:val="24"/>
        </w:rPr>
        <w:t xml:space="preserve"> (Section 4.2, 4.3)</w:t>
      </w:r>
      <w:r w:rsidR="00C75D4E" w:rsidRPr="00290BD0">
        <w:rPr>
          <w:rFonts w:ascii="Arial" w:hAnsi="Arial" w:cs="Arial"/>
          <w:sz w:val="24"/>
          <w:szCs w:val="24"/>
        </w:rPr>
        <w:t>; participation</w:t>
      </w:r>
      <w:r w:rsidR="007320D7" w:rsidRPr="00290BD0">
        <w:rPr>
          <w:rFonts w:ascii="Arial" w:hAnsi="Arial" w:cs="Arial"/>
          <w:sz w:val="24"/>
          <w:szCs w:val="24"/>
        </w:rPr>
        <w:t xml:space="preserve"> (Section 5.2</w:t>
      </w:r>
      <w:r w:rsidR="00A20ABE" w:rsidRPr="00290BD0">
        <w:rPr>
          <w:rFonts w:ascii="Arial" w:hAnsi="Arial" w:cs="Arial"/>
          <w:sz w:val="24"/>
          <w:szCs w:val="24"/>
        </w:rPr>
        <w:t>, 5.3</w:t>
      </w:r>
      <w:r w:rsidR="007320D7" w:rsidRPr="00290BD0">
        <w:rPr>
          <w:rFonts w:ascii="Arial" w:hAnsi="Arial" w:cs="Arial"/>
          <w:sz w:val="24"/>
          <w:szCs w:val="24"/>
        </w:rPr>
        <w:t>);</w:t>
      </w:r>
      <w:r w:rsidR="00C75D4E" w:rsidRPr="00290BD0">
        <w:rPr>
          <w:rFonts w:ascii="Arial" w:hAnsi="Arial" w:cs="Arial"/>
          <w:sz w:val="24"/>
          <w:szCs w:val="24"/>
        </w:rPr>
        <w:t xml:space="preserve"> curriculum development, accreditation and delivery</w:t>
      </w:r>
      <w:r w:rsidR="007320D7" w:rsidRPr="00290BD0">
        <w:rPr>
          <w:rFonts w:ascii="Arial" w:hAnsi="Arial" w:cs="Arial"/>
          <w:sz w:val="24"/>
          <w:szCs w:val="24"/>
        </w:rPr>
        <w:t xml:space="preserve"> (Section 6.2</w:t>
      </w:r>
      <w:r w:rsidR="00A20ABE" w:rsidRPr="00290BD0">
        <w:rPr>
          <w:rFonts w:ascii="Arial" w:hAnsi="Arial" w:cs="Arial"/>
          <w:sz w:val="24"/>
          <w:szCs w:val="24"/>
        </w:rPr>
        <w:t>, 6.3</w:t>
      </w:r>
      <w:r w:rsidR="007320D7" w:rsidRPr="00290BD0">
        <w:rPr>
          <w:rFonts w:ascii="Arial" w:hAnsi="Arial" w:cs="Arial"/>
          <w:sz w:val="24"/>
          <w:szCs w:val="24"/>
        </w:rPr>
        <w:t xml:space="preserve">); </w:t>
      </w:r>
      <w:r w:rsidR="00A20ABE" w:rsidRPr="00290BD0">
        <w:rPr>
          <w:rFonts w:ascii="Arial" w:hAnsi="Arial" w:cs="Arial"/>
          <w:sz w:val="24"/>
          <w:szCs w:val="24"/>
        </w:rPr>
        <w:t>and</w:t>
      </w:r>
      <w:r w:rsidR="00C75D4E" w:rsidRPr="00290BD0">
        <w:rPr>
          <w:rFonts w:ascii="Arial" w:hAnsi="Arial" w:cs="Arial"/>
          <w:sz w:val="24"/>
          <w:szCs w:val="24"/>
        </w:rPr>
        <w:t xml:space="preserve"> student support services</w:t>
      </w:r>
      <w:r w:rsidR="007320D7" w:rsidRPr="00290BD0">
        <w:rPr>
          <w:rFonts w:ascii="Arial" w:hAnsi="Arial" w:cs="Arial"/>
          <w:sz w:val="24"/>
          <w:szCs w:val="24"/>
        </w:rPr>
        <w:t xml:space="preserve"> </w:t>
      </w:r>
      <w:bookmarkEnd w:id="0"/>
      <w:r w:rsidR="007320D7" w:rsidRPr="00290BD0">
        <w:rPr>
          <w:rFonts w:ascii="Arial" w:hAnsi="Arial" w:cs="Arial"/>
          <w:sz w:val="24"/>
          <w:szCs w:val="24"/>
        </w:rPr>
        <w:t>(Section 7.2</w:t>
      </w:r>
      <w:r w:rsidR="00A20ABE" w:rsidRPr="00290BD0">
        <w:rPr>
          <w:rFonts w:ascii="Arial" w:hAnsi="Arial" w:cs="Arial"/>
          <w:sz w:val="24"/>
          <w:szCs w:val="24"/>
        </w:rPr>
        <w:t>, 7.3</w:t>
      </w:r>
      <w:r w:rsidR="007320D7" w:rsidRPr="00290BD0">
        <w:rPr>
          <w:rFonts w:ascii="Arial" w:hAnsi="Arial" w:cs="Arial"/>
          <w:sz w:val="24"/>
          <w:szCs w:val="24"/>
        </w:rPr>
        <w:t>)</w:t>
      </w:r>
      <w:r w:rsidR="00C75D4E" w:rsidRPr="00290BD0">
        <w:rPr>
          <w:rFonts w:ascii="Arial" w:hAnsi="Arial" w:cs="Arial"/>
          <w:sz w:val="24"/>
          <w:szCs w:val="24"/>
        </w:rPr>
        <w:t>.</w:t>
      </w:r>
      <w:r w:rsidR="007320D7" w:rsidRPr="00290BD0">
        <w:rPr>
          <w:rFonts w:ascii="Arial" w:hAnsi="Arial" w:cs="Arial"/>
          <w:sz w:val="24"/>
          <w:szCs w:val="24"/>
        </w:rPr>
        <w:t xml:space="preserve"> </w:t>
      </w:r>
      <w:r w:rsidR="00262752">
        <w:rPr>
          <w:rFonts w:ascii="Arial" w:hAnsi="Arial" w:cs="Arial"/>
          <w:sz w:val="24"/>
          <w:szCs w:val="24"/>
        </w:rPr>
        <w:t xml:space="preserve">However, consultation and planning does not </w:t>
      </w:r>
      <w:r w:rsidR="008C3625">
        <w:rPr>
          <w:rFonts w:ascii="Arial" w:hAnsi="Arial" w:cs="Arial"/>
          <w:sz w:val="24"/>
          <w:szCs w:val="24"/>
        </w:rPr>
        <w:t xml:space="preserve">always </w:t>
      </w:r>
      <w:r w:rsidR="00262752">
        <w:rPr>
          <w:rFonts w:ascii="Arial" w:hAnsi="Arial" w:cs="Arial"/>
          <w:sz w:val="24"/>
          <w:szCs w:val="24"/>
        </w:rPr>
        <w:t>take place for many students with disability</w:t>
      </w:r>
      <w:r w:rsidR="008C3625">
        <w:rPr>
          <w:rFonts w:ascii="Arial" w:hAnsi="Arial" w:cs="Arial"/>
          <w:sz w:val="24"/>
          <w:szCs w:val="24"/>
        </w:rPr>
        <w:t xml:space="preserve"> which has been noted as an issue in both previous reviews as well as other reports and research.</w:t>
      </w:r>
    </w:p>
    <w:p w:rsidR="00554C98" w:rsidRDefault="007F0A95" w:rsidP="007F0A95">
      <w:pPr>
        <w:rPr>
          <w:rFonts w:ascii="Arial" w:hAnsi="Arial" w:cs="Arial"/>
          <w:sz w:val="24"/>
          <w:szCs w:val="24"/>
        </w:rPr>
      </w:pPr>
      <w:r>
        <w:rPr>
          <w:rFonts w:ascii="Arial" w:hAnsi="Arial" w:cs="Arial"/>
          <w:sz w:val="24"/>
          <w:szCs w:val="24"/>
        </w:rPr>
        <w:t>Previous DSE reviews have suggested that</w:t>
      </w:r>
      <w:r w:rsidR="00262752">
        <w:rPr>
          <w:rFonts w:ascii="Arial" w:hAnsi="Arial" w:cs="Arial"/>
          <w:sz w:val="24"/>
          <w:szCs w:val="24"/>
        </w:rPr>
        <w:t xml:space="preserve"> “consultation” </w:t>
      </w:r>
      <w:r w:rsidR="00B60F1B">
        <w:rPr>
          <w:rFonts w:ascii="Arial" w:hAnsi="Arial" w:cs="Arial"/>
          <w:sz w:val="24"/>
          <w:szCs w:val="24"/>
        </w:rPr>
        <w:t>require</w:t>
      </w:r>
      <w:r>
        <w:rPr>
          <w:rFonts w:ascii="Arial" w:hAnsi="Arial" w:cs="Arial"/>
          <w:sz w:val="24"/>
          <w:szCs w:val="24"/>
        </w:rPr>
        <w:t>s</w:t>
      </w:r>
      <w:r w:rsidR="00262752">
        <w:rPr>
          <w:rFonts w:ascii="Arial" w:hAnsi="Arial" w:cs="Arial"/>
          <w:sz w:val="24"/>
          <w:szCs w:val="24"/>
        </w:rPr>
        <w:t xml:space="preserve"> further clarification </w:t>
      </w:r>
      <w:r w:rsidR="001A0144">
        <w:rPr>
          <w:rFonts w:ascii="Arial" w:hAnsi="Arial" w:cs="Arial"/>
          <w:sz w:val="24"/>
          <w:szCs w:val="24"/>
        </w:rPr>
        <w:t xml:space="preserve">including </w:t>
      </w:r>
      <w:r w:rsidR="00737446" w:rsidRPr="00290BD0">
        <w:rPr>
          <w:rFonts w:ascii="Arial" w:hAnsi="Arial" w:cs="Arial"/>
          <w:sz w:val="24"/>
          <w:szCs w:val="24"/>
        </w:rPr>
        <w:t>the definition</w:t>
      </w:r>
      <w:r>
        <w:rPr>
          <w:rFonts w:ascii="Arial" w:hAnsi="Arial" w:cs="Arial"/>
          <w:sz w:val="24"/>
          <w:szCs w:val="24"/>
        </w:rPr>
        <w:t xml:space="preserve"> and</w:t>
      </w:r>
      <w:r w:rsidR="003C4904" w:rsidRPr="00290BD0">
        <w:rPr>
          <w:rFonts w:ascii="Arial" w:hAnsi="Arial" w:cs="Arial"/>
          <w:sz w:val="24"/>
          <w:szCs w:val="24"/>
        </w:rPr>
        <w:t xml:space="preserve"> </w:t>
      </w:r>
      <w:r w:rsidR="00737446" w:rsidRPr="00290BD0">
        <w:rPr>
          <w:rFonts w:ascii="Arial" w:hAnsi="Arial" w:cs="Arial"/>
          <w:sz w:val="24"/>
          <w:szCs w:val="24"/>
        </w:rPr>
        <w:t>the specif</w:t>
      </w:r>
      <w:r w:rsidR="00A43D6B">
        <w:rPr>
          <w:rFonts w:ascii="Arial" w:hAnsi="Arial" w:cs="Arial"/>
          <w:sz w:val="24"/>
          <w:szCs w:val="24"/>
        </w:rPr>
        <w:t>icit</w:t>
      </w:r>
      <w:r w:rsidR="00737446" w:rsidRPr="00290BD0">
        <w:rPr>
          <w:rFonts w:ascii="Arial" w:hAnsi="Arial" w:cs="Arial"/>
          <w:sz w:val="24"/>
          <w:szCs w:val="24"/>
        </w:rPr>
        <w:t>y of compliance measures</w:t>
      </w:r>
      <w:r>
        <w:rPr>
          <w:rFonts w:ascii="Arial" w:hAnsi="Arial" w:cs="Arial"/>
          <w:sz w:val="24"/>
          <w:szCs w:val="24"/>
        </w:rPr>
        <w:t xml:space="preserve">. </w:t>
      </w:r>
      <w:r w:rsidR="007420F2" w:rsidRPr="00290BD0">
        <w:rPr>
          <w:rFonts w:ascii="Arial" w:hAnsi="Arial" w:cs="Arial"/>
          <w:sz w:val="24"/>
          <w:szCs w:val="24"/>
        </w:rPr>
        <w:t xml:space="preserve">The </w:t>
      </w:r>
      <w:r w:rsidR="00737446" w:rsidRPr="00290BD0">
        <w:rPr>
          <w:rFonts w:ascii="Arial" w:hAnsi="Arial" w:cs="Arial"/>
          <w:sz w:val="24"/>
          <w:szCs w:val="24"/>
        </w:rPr>
        <w:t xml:space="preserve">2012 review noted the need for greater clarity in </w:t>
      </w:r>
      <w:r w:rsidR="008C3625">
        <w:rPr>
          <w:rFonts w:ascii="Arial" w:hAnsi="Arial" w:cs="Arial"/>
          <w:sz w:val="24"/>
          <w:szCs w:val="24"/>
        </w:rPr>
        <w:t>defining</w:t>
      </w:r>
      <w:r w:rsidR="00737446" w:rsidRPr="00290BD0">
        <w:rPr>
          <w:rFonts w:ascii="Arial" w:hAnsi="Arial" w:cs="Arial"/>
          <w:sz w:val="24"/>
          <w:szCs w:val="24"/>
        </w:rPr>
        <w:t xml:space="preserve"> “consultation” </w:t>
      </w:r>
      <w:r w:rsidR="001A0144">
        <w:rPr>
          <w:rFonts w:ascii="Arial" w:hAnsi="Arial" w:cs="Arial"/>
          <w:sz w:val="24"/>
          <w:szCs w:val="24"/>
        </w:rPr>
        <w:t>as well as</w:t>
      </w:r>
      <w:r w:rsidR="00DD5B3C">
        <w:rPr>
          <w:rFonts w:ascii="Arial" w:hAnsi="Arial" w:cs="Arial"/>
          <w:sz w:val="24"/>
          <w:szCs w:val="24"/>
        </w:rPr>
        <w:t xml:space="preserve"> the need for</w:t>
      </w:r>
      <w:r w:rsidR="00737446" w:rsidRPr="00290BD0">
        <w:rPr>
          <w:rFonts w:ascii="Arial" w:hAnsi="Arial" w:cs="Arial"/>
          <w:sz w:val="24"/>
          <w:szCs w:val="24"/>
        </w:rPr>
        <w:t xml:space="preserve"> </w:t>
      </w:r>
      <w:r w:rsidR="00DD5B3C">
        <w:rPr>
          <w:rFonts w:ascii="Arial" w:hAnsi="Arial" w:cs="Arial"/>
          <w:sz w:val="24"/>
          <w:szCs w:val="24"/>
        </w:rPr>
        <w:t>compliance measures to assist</w:t>
      </w:r>
      <w:r w:rsidR="00737446" w:rsidRPr="00290BD0">
        <w:rPr>
          <w:rFonts w:ascii="Arial" w:hAnsi="Arial" w:cs="Arial"/>
          <w:sz w:val="24"/>
          <w:szCs w:val="24"/>
        </w:rPr>
        <w:t xml:space="preserve"> schools </w:t>
      </w:r>
      <w:r w:rsidR="00DD5B3C">
        <w:rPr>
          <w:rFonts w:ascii="Arial" w:hAnsi="Arial" w:cs="Arial"/>
          <w:sz w:val="24"/>
          <w:szCs w:val="24"/>
        </w:rPr>
        <w:t xml:space="preserve">in fulfilling </w:t>
      </w:r>
      <w:r w:rsidR="008C3625">
        <w:rPr>
          <w:rFonts w:ascii="Arial" w:hAnsi="Arial" w:cs="Arial"/>
          <w:sz w:val="24"/>
          <w:szCs w:val="24"/>
        </w:rPr>
        <w:t>their</w:t>
      </w:r>
      <w:r w:rsidR="00737446" w:rsidRPr="00290BD0">
        <w:rPr>
          <w:rFonts w:ascii="Arial" w:hAnsi="Arial" w:cs="Arial"/>
          <w:sz w:val="24"/>
          <w:szCs w:val="24"/>
        </w:rPr>
        <w:t xml:space="preserve"> obligation</w:t>
      </w:r>
      <w:r w:rsidR="008C3625">
        <w:rPr>
          <w:rFonts w:ascii="Arial" w:hAnsi="Arial" w:cs="Arial"/>
          <w:sz w:val="24"/>
          <w:szCs w:val="24"/>
        </w:rPr>
        <w:t>s</w:t>
      </w:r>
      <w:r w:rsidR="00737446" w:rsidRPr="00290BD0">
        <w:rPr>
          <w:rFonts w:ascii="Arial" w:hAnsi="Arial" w:cs="Arial"/>
          <w:sz w:val="24"/>
          <w:szCs w:val="24"/>
        </w:rPr>
        <w:t xml:space="preserve">. </w:t>
      </w:r>
      <w:r w:rsidR="00EE1673" w:rsidRPr="00290BD0">
        <w:rPr>
          <w:rFonts w:ascii="Arial" w:hAnsi="Arial" w:cs="Arial"/>
          <w:sz w:val="24"/>
          <w:szCs w:val="24"/>
        </w:rPr>
        <w:t>T</w:t>
      </w:r>
      <w:r w:rsidR="002428C4" w:rsidRPr="00290BD0">
        <w:rPr>
          <w:rFonts w:ascii="Arial" w:hAnsi="Arial" w:cs="Arial"/>
          <w:sz w:val="24"/>
          <w:szCs w:val="24"/>
        </w:rPr>
        <w:t xml:space="preserve">he 2015 review </w:t>
      </w:r>
      <w:r w:rsidR="00EE1673" w:rsidRPr="00290BD0">
        <w:rPr>
          <w:rFonts w:ascii="Arial" w:hAnsi="Arial" w:cs="Arial"/>
          <w:sz w:val="24"/>
          <w:szCs w:val="24"/>
        </w:rPr>
        <w:t>noted the persistence of this issue</w:t>
      </w:r>
      <w:r w:rsidR="00244132" w:rsidRPr="00290BD0">
        <w:rPr>
          <w:rFonts w:ascii="Arial" w:hAnsi="Arial" w:cs="Arial"/>
          <w:sz w:val="24"/>
          <w:szCs w:val="24"/>
        </w:rPr>
        <w:t xml:space="preserve"> </w:t>
      </w:r>
      <w:r w:rsidR="00DD5B3C">
        <w:rPr>
          <w:rFonts w:ascii="Arial" w:hAnsi="Arial" w:cs="Arial"/>
          <w:sz w:val="24"/>
          <w:szCs w:val="24"/>
        </w:rPr>
        <w:t>with</w:t>
      </w:r>
      <w:r w:rsidR="002428C4" w:rsidRPr="00290BD0">
        <w:rPr>
          <w:rFonts w:ascii="Arial" w:hAnsi="Arial" w:cs="Arial"/>
          <w:sz w:val="24"/>
          <w:szCs w:val="24"/>
        </w:rPr>
        <w:t xml:space="preserve"> </w:t>
      </w:r>
      <w:r w:rsidR="008C3625">
        <w:rPr>
          <w:rFonts w:ascii="Arial" w:hAnsi="Arial" w:cs="Arial"/>
          <w:sz w:val="24"/>
          <w:szCs w:val="24"/>
        </w:rPr>
        <w:t>variability in</w:t>
      </w:r>
      <w:r w:rsidR="002428C4" w:rsidRPr="00290BD0">
        <w:rPr>
          <w:rFonts w:ascii="Arial" w:hAnsi="Arial" w:cs="Arial"/>
          <w:sz w:val="24"/>
          <w:szCs w:val="24"/>
        </w:rPr>
        <w:t xml:space="preserve"> consultation</w:t>
      </w:r>
      <w:r w:rsidR="00244132" w:rsidRPr="00290BD0">
        <w:rPr>
          <w:rFonts w:ascii="Arial" w:hAnsi="Arial" w:cs="Arial"/>
          <w:sz w:val="24"/>
          <w:szCs w:val="24"/>
        </w:rPr>
        <w:t xml:space="preserve"> and planning</w:t>
      </w:r>
      <w:r w:rsidR="002428C4" w:rsidRPr="00290BD0">
        <w:rPr>
          <w:rFonts w:ascii="Arial" w:hAnsi="Arial" w:cs="Arial"/>
          <w:sz w:val="24"/>
          <w:szCs w:val="24"/>
        </w:rPr>
        <w:t xml:space="preserve"> raised by several submission</w:t>
      </w:r>
      <w:r w:rsidR="008C3625">
        <w:rPr>
          <w:rFonts w:ascii="Arial" w:hAnsi="Arial" w:cs="Arial"/>
          <w:sz w:val="24"/>
          <w:szCs w:val="24"/>
        </w:rPr>
        <w:t>s</w:t>
      </w:r>
      <w:r w:rsidR="002428C4" w:rsidRPr="00290BD0">
        <w:rPr>
          <w:rFonts w:ascii="Arial" w:hAnsi="Arial" w:cs="Arial"/>
          <w:sz w:val="24"/>
          <w:szCs w:val="24"/>
        </w:rPr>
        <w:t xml:space="preserve"> and</w:t>
      </w:r>
      <w:r w:rsidR="0034735C">
        <w:rPr>
          <w:rFonts w:ascii="Arial" w:hAnsi="Arial" w:cs="Arial"/>
          <w:sz w:val="24"/>
          <w:szCs w:val="24"/>
        </w:rPr>
        <w:t xml:space="preserve"> practice in schools</w:t>
      </w:r>
      <w:r w:rsidR="002428C4" w:rsidRPr="00290BD0">
        <w:rPr>
          <w:rFonts w:ascii="Arial" w:hAnsi="Arial" w:cs="Arial"/>
          <w:sz w:val="24"/>
          <w:szCs w:val="24"/>
        </w:rPr>
        <w:t xml:space="preserve"> described as “patchy”. </w:t>
      </w:r>
      <w:r w:rsidR="00BC7A47" w:rsidRPr="00290BD0">
        <w:rPr>
          <w:rFonts w:ascii="Arial" w:hAnsi="Arial" w:cs="Arial"/>
          <w:sz w:val="24"/>
          <w:szCs w:val="24"/>
        </w:rPr>
        <w:t>In the 2015 DSE review, t</w:t>
      </w:r>
      <w:r w:rsidR="007420F2" w:rsidRPr="00290BD0">
        <w:rPr>
          <w:rFonts w:ascii="Arial" w:hAnsi="Arial" w:cs="Arial"/>
          <w:sz w:val="24"/>
          <w:szCs w:val="24"/>
        </w:rPr>
        <w:t>he lack of clarity</w:t>
      </w:r>
      <w:r w:rsidR="00A20ABE" w:rsidRPr="00290BD0">
        <w:rPr>
          <w:rFonts w:ascii="Arial" w:hAnsi="Arial" w:cs="Arial"/>
          <w:sz w:val="24"/>
          <w:szCs w:val="24"/>
        </w:rPr>
        <w:t xml:space="preserve"> </w:t>
      </w:r>
      <w:r w:rsidR="00BC7A47" w:rsidRPr="00290BD0">
        <w:rPr>
          <w:rFonts w:ascii="Arial" w:hAnsi="Arial" w:cs="Arial"/>
          <w:sz w:val="24"/>
          <w:szCs w:val="24"/>
        </w:rPr>
        <w:t xml:space="preserve">in the Standards for consultation and planning of reasonable adjustments, </w:t>
      </w:r>
      <w:r w:rsidR="00A20ABE" w:rsidRPr="00290BD0">
        <w:rPr>
          <w:rFonts w:ascii="Arial" w:hAnsi="Arial" w:cs="Arial"/>
          <w:sz w:val="24"/>
          <w:szCs w:val="24"/>
        </w:rPr>
        <w:t>and</w:t>
      </w:r>
      <w:r w:rsidR="00BC7A47" w:rsidRPr="00290BD0">
        <w:rPr>
          <w:rFonts w:ascii="Arial" w:hAnsi="Arial" w:cs="Arial"/>
          <w:sz w:val="24"/>
          <w:szCs w:val="24"/>
        </w:rPr>
        <w:t xml:space="preserve"> the</w:t>
      </w:r>
      <w:r w:rsidR="00A20ABE" w:rsidRPr="00290BD0">
        <w:rPr>
          <w:rFonts w:ascii="Arial" w:hAnsi="Arial" w:cs="Arial"/>
          <w:sz w:val="24"/>
          <w:szCs w:val="24"/>
        </w:rPr>
        <w:t xml:space="preserve"> </w:t>
      </w:r>
      <w:r w:rsidR="00BC7A47" w:rsidRPr="00290BD0">
        <w:rPr>
          <w:rFonts w:ascii="Arial" w:hAnsi="Arial" w:cs="Arial"/>
          <w:sz w:val="24"/>
          <w:szCs w:val="24"/>
        </w:rPr>
        <w:t>variability</w:t>
      </w:r>
      <w:r w:rsidR="00A20ABE" w:rsidRPr="00290BD0">
        <w:rPr>
          <w:rFonts w:ascii="Arial" w:hAnsi="Arial" w:cs="Arial"/>
          <w:sz w:val="24"/>
          <w:szCs w:val="24"/>
        </w:rPr>
        <w:t xml:space="preserve"> within in practice</w:t>
      </w:r>
      <w:r w:rsidR="007420F2" w:rsidRPr="00290BD0">
        <w:rPr>
          <w:rFonts w:ascii="Arial" w:hAnsi="Arial" w:cs="Arial"/>
          <w:sz w:val="24"/>
          <w:szCs w:val="24"/>
        </w:rPr>
        <w:t xml:space="preserve"> was </w:t>
      </w:r>
      <w:r w:rsidR="008C3625">
        <w:rPr>
          <w:rFonts w:ascii="Arial" w:hAnsi="Arial" w:cs="Arial"/>
          <w:sz w:val="24"/>
          <w:szCs w:val="24"/>
        </w:rPr>
        <w:t xml:space="preserve">also raised, and </w:t>
      </w:r>
      <w:r w:rsidR="007420F2" w:rsidRPr="00290BD0">
        <w:rPr>
          <w:rFonts w:ascii="Arial" w:hAnsi="Arial" w:cs="Arial"/>
          <w:sz w:val="24"/>
          <w:szCs w:val="24"/>
        </w:rPr>
        <w:t>observed to be compounded by misalignment with jurisdictional policy</w:t>
      </w:r>
      <w:r w:rsidR="00A20ABE" w:rsidRPr="00290BD0">
        <w:rPr>
          <w:rFonts w:ascii="Arial" w:hAnsi="Arial" w:cs="Arial"/>
          <w:sz w:val="24"/>
          <w:szCs w:val="24"/>
        </w:rPr>
        <w:t>.</w:t>
      </w:r>
      <w:r w:rsidR="0074741A">
        <w:rPr>
          <w:rFonts w:ascii="Arial" w:hAnsi="Arial" w:cs="Arial"/>
          <w:sz w:val="24"/>
          <w:szCs w:val="24"/>
        </w:rPr>
        <w:t xml:space="preserve"> For example, most states and territories have </w:t>
      </w:r>
      <w:r w:rsidR="00B60F1B">
        <w:rPr>
          <w:rFonts w:ascii="Arial" w:hAnsi="Arial" w:cs="Arial"/>
          <w:sz w:val="24"/>
          <w:szCs w:val="24"/>
        </w:rPr>
        <w:t>articulated</w:t>
      </w:r>
      <w:r w:rsidR="0074741A">
        <w:rPr>
          <w:rFonts w:ascii="Arial" w:hAnsi="Arial" w:cs="Arial"/>
          <w:sz w:val="24"/>
          <w:szCs w:val="24"/>
        </w:rPr>
        <w:t xml:space="preserve"> their own </w:t>
      </w:r>
      <w:r w:rsidR="0034735C">
        <w:rPr>
          <w:rFonts w:ascii="Arial" w:hAnsi="Arial" w:cs="Arial"/>
          <w:sz w:val="24"/>
          <w:szCs w:val="24"/>
        </w:rPr>
        <w:t>guidelines</w:t>
      </w:r>
      <w:r w:rsidR="0074741A">
        <w:rPr>
          <w:rFonts w:ascii="Arial" w:hAnsi="Arial" w:cs="Arial"/>
          <w:sz w:val="24"/>
          <w:szCs w:val="24"/>
        </w:rPr>
        <w:t xml:space="preserve"> for </w:t>
      </w:r>
      <w:r w:rsidR="0034735C">
        <w:rPr>
          <w:rFonts w:ascii="Arial" w:hAnsi="Arial" w:cs="Arial"/>
          <w:sz w:val="24"/>
          <w:szCs w:val="24"/>
        </w:rPr>
        <w:t>consultation</w:t>
      </w:r>
      <w:r w:rsidR="0074741A">
        <w:rPr>
          <w:rFonts w:ascii="Arial" w:hAnsi="Arial" w:cs="Arial"/>
          <w:sz w:val="24"/>
          <w:szCs w:val="24"/>
        </w:rPr>
        <w:t xml:space="preserve"> and planning however these based on their respective disability policies for funding eligibility that use narrower definitions of disability than the broad definition </w:t>
      </w:r>
      <w:r w:rsidR="008C3625">
        <w:rPr>
          <w:rFonts w:ascii="Arial" w:hAnsi="Arial" w:cs="Arial"/>
          <w:sz w:val="24"/>
          <w:szCs w:val="24"/>
        </w:rPr>
        <w:t xml:space="preserve">within </w:t>
      </w:r>
      <w:r w:rsidR="0074741A">
        <w:rPr>
          <w:rFonts w:ascii="Arial" w:hAnsi="Arial" w:cs="Arial"/>
          <w:sz w:val="24"/>
          <w:szCs w:val="24"/>
        </w:rPr>
        <w:t xml:space="preserve">the Disability Discrimination Act. </w:t>
      </w:r>
      <w:r w:rsidR="00C75D4E" w:rsidRPr="00290BD0">
        <w:rPr>
          <w:rFonts w:ascii="Arial" w:hAnsi="Arial" w:cs="Arial"/>
          <w:sz w:val="24"/>
          <w:szCs w:val="24"/>
        </w:rPr>
        <w:t>In recommendation 7</w:t>
      </w:r>
      <w:r w:rsidR="00A20ABE" w:rsidRPr="00290BD0">
        <w:rPr>
          <w:rFonts w:ascii="Arial" w:hAnsi="Arial" w:cs="Arial"/>
          <w:sz w:val="24"/>
          <w:szCs w:val="24"/>
        </w:rPr>
        <w:t xml:space="preserve"> of t</w:t>
      </w:r>
      <w:r w:rsidR="00C75D4E" w:rsidRPr="00290BD0">
        <w:rPr>
          <w:rFonts w:ascii="Arial" w:hAnsi="Arial" w:cs="Arial"/>
          <w:sz w:val="24"/>
          <w:szCs w:val="24"/>
        </w:rPr>
        <w:t>he 2015 DSE review</w:t>
      </w:r>
      <w:r w:rsidR="00A20ABE" w:rsidRPr="00290BD0">
        <w:rPr>
          <w:rFonts w:ascii="Arial" w:hAnsi="Arial" w:cs="Arial"/>
          <w:sz w:val="24"/>
          <w:szCs w:val="24"/>
        </w:rPr>
        <w:t>, the Review Team noted</w:t>
      </w:r>
      <w:r w:rsidR="007420F2" w:rsidRPr="00290BD0">
        <w:rPr>
          <w:rFonts w:ascii="Arial" w:hAnsi="Arial" w:cs="Arial"/>
          <w:sz w:val="24"/>
          <w:szCs w:val="24"/>
        </w:rPr>
        <w:t xml:space="preserve"> the need</w:t>
      </w:r>
      <w:r w:rsidR="00C75D4E" w:rsidRPr="00290BD0">
        <w:rPr>
          <w:rFonts w:ascii="Arial" w:hAnsi="Arial" w:cs="Arial"/>
          <w:sz w:val="24"/>
          <w:szCs w:val="24"/>
        </w:rPr>
        <w:t xml:space="preserve"> </w:t>
      </w:r>
      <w:r w:rsidR="007420F2" w:rsidRPr="00290BD0">
        <w:rPr>
          <w:rFonts w:ascii="Arial" w:hAnsi="Arial" w:cs="Arial"/>
          <w:sz w:val="24"/>
          <w:szCs w:val="24"/>
        </w:rPr>
        <w:t>for Australian and State and Territory government</w:t>
      </w:r>
      <w:r w:rsidR="00A43D6B">
        <w:rPr>
          <w:rFonts w:ascii="Arial" w:hAnsi="Arial" w:cs="Arial"/>
          <w:sz w:val="24"/>
          <w:szCs w:val="24"/>
        </w:rPr>
        <w:t>s</w:t>
      </w:r>
      <w:r w:rsidR="007420F2" w:rsidRPr="00290BD0">
        <w:rPr>
          <w:rFonts w:ascii="Arial" w:hAnsi="Arial" w:cs="Arial"/>
          <w:sz w:val="24"/>
          <w:szCs w:val="24"/>
        </w:rPr>
        <w:t xml:space="preserve"> to work together regarding policies and procedures for </w:t>
      </w:r>
      <w:r w:rsidR="00C75D4E" w:rsidRPr="00290BD0">
        <w:rPr>
          <w:rFonts w:ascii="Arial" w:hAnsi="Arial" w:cs="Arial"/>
          <w:sz w:val="24"/>
          <w:szCs w:val="24"/>
        </w:rPr>
        <w:t xml:space="preserve">consultation in planning reasonable adjustments for students with disability including the </w:t>
      </w:r>
      <w:r w:rsidR="007420F2" w:rsidRPr="00290BD0">
        <w:rPr>
          <w:rFonts w:ascii="Arial" w:hAnsi="Arial" w:cs="Arial"/>
          <w:sz w:val="24"/>
          <w:szCs w:val="24"/>
        </w:rPr>
        <w:t>type of consultation</w:t>
      </w:r>
      <w:r w:rsidR="00C75D4E" w:rsidRPr="00290BD0">
        <w:rPr>
          <w:rFonts w:ascii="Arial" w:hAnsi="Arial" w:cs="Arial"/>
          <w:sz w:val="24"/>
          <w:szCs w:val="24"/>
        </w:rPr>
        <w:t>,</w:t>
      </w:r>
      <w:r w:rsidR="007420F2" w:rsidRPr="00290BD0">
        <w:rPr>
          <w:rFonts w:ascii="Arial" w:hAnsi="Arial" w:cs="Arial"/>
          <w:sz w:val="24"/>
          <w:szCs w:val="24"/>
        </w:rPr>
        <w:t xml:space="preserve"> as well as the</w:t>
      </w:r>
      <w:r w:rsidR="00C75D4E" w:rsidRPr="00290BD0">
        <w:rPr>
          <w:rFonts w:ascii="Arial" w:hAnsi="Arial" w:cs="Arial"/>
          <w:sz w:val="24"/>
          <w:szCs w:val="24"/>
        </w:rPr>
        <w:t xml:space="preserve"> frequency and </w:t>
      </w:r>
      <w:r w:rsidR="007420F2" w:rsidRPr="00290BD0">
        <w:rPr>
          <w:rFonts w:ascii="Arial" w:hAnsi="Arial" w:cs="Arial"/>
          <w:sz w:val="24"/>
          <w:szCs w:val="24"/>
        </w:rPr>
        <w:t xml:space="preserve">the </w:t>
      </w:r>
      <w:r w:rsidR="00C75D4E" w:rsidRPr="00290BD0">
        <w:rPr>
          <w:rFonts w:ascii="Arial" w:hAnsi="Arial" w:cs="Arial"/>
          <w:sz w:val="24"/>
          <w:szCs w:val="24"/>
        </w:rPr>
        <w:t xml:space="preserve">documentation of consultation in planning for personalised learning for students. </w:t>
      </w:r>
      <w:r w:rsidR="007420F2" w:rsidRPr="00290BD0">
        <w:rPr>
          <w:rFonts w:ascii="Arial" w:hAnsi="Arial" w:cs="Arial"/>
          <w:sz w:val="24"/>
          <w:szCs w:val="24"/>
        </w:rPr>
        <w:t xml:space="preserve">Recommendation 8 emphasised the need for guidance on producing personalised (individual) learning plans that </w:t>
      </w:r>
      <w:r w:rsidR="00244132" w:rsidRPr="00290BD0">
        <w:rPr>
          <w:rFonts w:ascii="Arial" w:hAnsi="Arial" w:cs="Arial"/>
          <w:sz w:val="24"/>
          <w:szCs w:val="24"/>
        </w:rPr>
        <w:t>enhances consistency in how the standards are met in schools</w:t>
      </w:r>
      <w:r w:rsidR="007420F2" w:rsidRPr="00290BD0">
        <w:rPr>
          <w:rFonts w:ascii="Arial" w:hAnsi="Arial" w:cs="Arial"/>
          <w:sz w:val="24"/>
          <w:szCs w:val="24"/>
        </w:rPr>
        <w:t xml:space="preserve">. </w:t>
      </w:r>
    </w:p>
    <w:p w:rsidR="007420F2" w:rsidRPr="00290BD0" w:rsidRDefault="001A0144" w:rsidP="00C75D4E">
      <w:pPr>
        <w:rPr>
          <w:rFonts w:ascii="Arial" w:hAnsi="Arial" w:cs="Arial"/>
          <w:sz w:val="24"/>
          <w:szCs w:val="24"/>
        </w:rPr>
      </w:pPr>
      <w:r w:rsidRPr="00290BD0">
        <w:rPr>
          <w:rFonts w:ascii="Arial" w:hAnsi="Arial" w:cs="Arial"/>
          <w:sz w:val="24"/>
          <w:szCs w:val="24"/>
        </w:rPr>
        <w:t xml:space="preserve">In response, the Australian Government subsequently developed and released the </w:t>
      </w:r>
      <w:hyperlink r:id="rId8" w:history="1">
        <w:r w:rsidRPr="00290BD0">
          <w:rPr>
            <w:rStyle w:val="Hyperlink"/>
            <w:rFonts w:ascii="Arial" w:hAnsi="Arial" w:cs="Arial"/>
            <w:sz w:val="24"/>
            <w:szCs w:val="24"/>
          </w:rPr>
          <w:t>Planning for Personalised Learning and Support: A National Resource</w:t>
        </w:r>
      </w:hyperlink>
      <w:r w:rsidRPr="00290BD0">
        <w:rPr>
          <w:rFonts w:ascii="Arial" w:hAnsi="Arial" w:cs="Arial"/>
          <w:sz w:val="24"/>
          <w:szCs w:val="24"/>
        </w:rPr>
        <w:t xml:space="preserve">  </w:t>
      </w:r>
      <w:r w:rsidR="00554C98">
        <w:rPr>
          <w:rFonts w:ascii="Arial" w:hAnsi="Arial" w:cs="Arial"/>
          <w:sz w:val="24"/>
          <w:szCs w:val="24"/>
        </w:rPr>
        <w:t>that outlines</w:t>
      </w:r>
      <w:r w:rsidRPr="00290BD0">
        <w:rPr>
          <w:rFonts w:ascii="Arial" w:hAnsi="Arial" w:cs="Arial"/>
          <w:sz w:val="24"/>
          <w:szCs w:val="24"/>
        </w:rPr>
        <w:t xml:space="preserve"> processes for conducting</w:t>
      </w:r>
      <w:r w:rsidR="00AE05C2">
        <w:rPr>
          <w:rFonts w:ascii="Arial" w:hAnsi="Arial" w:cs="Arial"/>
          <w:sz w:val="24"/>
          <w:szCs w:val="24"/>
        </w:rPr>
        <w:t xml:space="preserve"> consultative planning</w:t>
      </w:r>
      <w:r w:rsidRPr="00290BD0">
        <w:rPr>
          <w:rFonts w:ascii="Arial" w:hAnsi="Arial" w:cs="Arial"/>
          <w:sz w:val="24"/>
          <w:szCs w:val="24"/>
        </w:rPr>
        <w:t xml:space="preserve">, </w:t>
      </w:r>
      <w:r w:rsidR="00AE05C2">
        <w:rPr>
          <w:rFonts w:ascii="Arial" w:hAnsi="Arial" w:cs="Arial"/>
          <w:sz w:val="24"/>
          <w:szCs w:val="24"/>
        </w:rPr>
        <w:t xml:space="preserve">as well as for </w:t>
      </w:r>
      <w:r w:rsidRPr="00290BD0">
        <w:rPr>
          <w:rFonts w:ascii="Arial" w:hAnsi="Arial" w:cs="Arial"/>
          <w:sz w:val="24"/>
          <w:szCs w:val="24"/>
        </w:rPr>
        <w:t>documenting and reviewing personalised learning plans for students. However, these</w:t>
      </w:r>
      <w:r>
        <w:rPr>
          <w:rFonts w:ascii="Arial" w:hAnsi="Arial" w:cs="Arial"/>
          <w:sz w:val="24"/>
          <w:szCs w:val="24"/>
        </w:rPr>
        <w:t xml:space="preserve"> guidelines</w:t>
      </w:r>
      <w:r w:rsidRPr="00290BD0">
        <w:rPr>
          <w:rFonts w:ascii="Arial" w:hAnsi="Arial" w:cs="Arial"/>
          <w:sz w:val="24"/>
          <w:szCs w:val="24"/>
        </w:rPr>
        <w:t xml:space="preserve"> are recommended but not mandat</w:t>
      </w:r>
      <w:r>
        <w:rPr>
          <w:rFonts w:ascii="Arial" w:hAnsi="Arial" w:cs="Arial"/>
          <w:sz w:val="24"/>
          <w:szCs w:val="24"/>
        </w:rPr>
        <w:t>ed</w:t>
      </w:r>
      <w:r w:rsidR="008C3625">
        <w:rPr>
          <w:rFonts w:ascii="Arial" w:hAnsi="Arial" w:cs="Arial"/>
          <w:sz w:val="24"/>
          <w:szCs w:val="24"/>
        </w:rPr>
        <w:t>,</w:t>
      </w:r>
      <w:r w:rsidR="00AE05C2">
        <w:rPr>
          <w:rFonts w:ascii="Arial" w:hAnsi="Arial" w:cs="Arial"/>
          <w:sz w:val="24"/>
          <w:szCs w:val="24"/>
        </w:rPr>
        <w:t xml:space="preserve"> meaning that </w:t>
      </w:r>
      <w:r w:rsidR="00554C98">
        <w:rPr>
          <w:rFonts w:ascii="Arial" w:hAnsi="Arial" w:cs="Arial"/>
          <w:sz w:val="24"/>
          <w:szCs w:val="24"/>
        </w:rPr>
        <w:t xml:space="preserve">there is still considerable jurisdictional inconsistency </w:t>
      </w:r>
      <w:r w:rsidR="008C3625">
        <w:rPr>
          <w:rFonts w:ascii="Arial" w:hAnsi="Arial" w:cs="Arial"/>
          <w:sz w:val="24"/>
          <w:szCs w:val="24"/>
        </w:rPr>
        <w:t>and discretion in decision-making devolved to schools</w:t>
      </w:r>
      <w:r w:rsidR="00554C98">
        <w:rPr>
          <w:rFonts w:ascii="Arial" w:hAnsi="Arial" w:cs="Arial"/>
          <w:sz w:val="24"/>
          <w:szCs w:val="24"/>
        </w:rPr>
        <w:t xml:space="preserve">. </w:t>
      </w:r>
      <w:r w:rsidR="00554C98" w:rsidRPr="00290BD0">
        <w:rPr>
          <w:rFonts w:ascii="Arial" w:hAnsi="Arial" w:cs="Arial"/>
          <w:sz w:val="24"/>
          <w:szCs w:val="24"/>
        </w:rPr>
        <w:t xml:space="preserve">One illustrative example is that of the </w:t>
      </w:r>
      <w:hyperlink r:id="rId9" w:history="1">
        <w:r w:rsidR="00554C98" w:rsidRPr="00290BD0">
          <w:rPr>
            <w:rStyle w:val="Hyperlink"/>
            <w:rFonts w:ascii="Arial" w:hAnsi="Arial" w:cs="Arial"/>
            <w:sz w:val="24"/>
            <w:szCs w:val="24"/>
          </w:rPr>
          <w:t>Operational Guidelines</w:t>
        </w:r>
      </w:hyperlink>
      <w:r w:rsidR="00554C98" w:rsidRPr="00290BD0">
        <w:rPr>
          <w:rFonts w:ascii="Arial" w:hAnsi="Arial" w:cs="Arial"/>
          <w:sz w:val="24"/>
          <w:szCs w:val="24"/>
        </w:rPr>
        <w:t xml:space="preserve"> for the Victorian </w:t>
      </w:r>
      <w:r w:rsidR="00554C98" w:rsidRPr="00290BD0">
        <w:rPr>
          <w:rFonts w:ascii="Arial" w:hAnsi="Arial" w:cs="Arial"/>
          <w:i/>
          <w:sz w:val="24"/>
          <w:szCs w:val="24"/>
        </w:rPr>
        <w:t xml:space="preserve">Program for Students with Disabilities </w:t>
      </w:r>
      <w:r w:rsidR="00554C98" w:rsidRPr="00290BD0">
        <w:rPr>
          <w:rFonts w:ascii="Arial" w:hAnsi="Arial" w:cs="Arial"/>
          <w:sz w:val="24"/>
          <w:szCs w:val="24"/>
        </w:rPr>
        <w:t>(PSD)</w:t>
      </w:r>
      <w:r w:rsidR="00554C98" w:rsidRPr="00290BD0">
        <w:rPr>
          <w:rFonts w:ascii="Arial" w:hAnsi="Arial" w:cs="Arial"/>
          <w:i/>
          <w:sz w:val="24"/>
          <w:szCs w:val="24"/>
        </w:rPr>
        <w:t>,</w:t>
      </w:r>
      <w:r w:rsidR="00554C98" w:rsidRPr="00290BD0">
        <w:rPr>
          <w:rFonts w:ascii="Arial" w:hAnsi="Arial" w:cs="Arial"/>
          <w:sz w:val="24"/>
          <w:szCs w:val="24"/>
        </w:rPr>
        <w:t xml:space="preserve"> the policy outlining the procedures for students with disabilities who are in receipt of targeted funding.  Within the PSD, consultation and planning of adjustments through Student Support Groups are only specified as a requirement for the 15% of students with disabilities who </w:t>
      </w:r>
      <w:r w:rsidR="008C3625">
        <w:rPr>
          <w:rFonts w:ascii="Arial" w:hAnsi="Arial" w:cs="Arial"/>
          <w:sz w:val="24"/>
          <w:szCs w:val="24"/>
        </w:rPr>
        <w:t>receive</w:t>
      </w:r>
      <w:r w:rsidR="00554C98" w:rsidRPr="00290BD0">
        <w:rPr>
          <w:rFonts w:ascii="Arial" w:hAnsi="Arial" w:cs="Arial"/>
          <w:sz w:val="24"/>
          <w:szCs w:val="24"/>
        </w:rPr>
        <w:t xml:space="preserve"> targeted funding, meaning that schools may elect not to undertake consultative planning for the remaining 85% of students with disabilities. </w:t>
      </w:r>
      <w:r w:rsidR="008C3625">
        <w:rPr>
          <w:rFonts w:ascii="Arial" w:hAnsi="Arial" w:cs="Arial"/>
          <w:sz w:val="24"/>
          <w:szCs w:val="24"/>
        </w:rPr>
        <w:t>T</w:t>
      </w:r>
      <w:r w:rsidR="00554C98" w:rsidRPr="00290BD0">
        <w:rPr>
          <w:rFonts w:ascii="Arial" w:hAnsi="Arial" w:cs="Arial"/>
          <w:sz w:val="24"/>
          <w:szCs w:val="24"/>
        </w:rPr>
        <w:t xml:space="preserve">his means that schools </w:t>
      </w:r>
      <w:r w:rsidR="008C3625">
        <w:rPr>
          <w:rFonts w:ascii="Arial" w:hAnsi="Arial" w:cs="Arial"/>
          <w:sz w:val="24"/>
          <w:szCs w:val="24"/>
        </w:rPr>
        <w:t>may</w:t>
      </w:r>
      <w:r w:rsidR="00554C98" w:rsidRPr="00290BD0">
        <w:rPr>
          <w:rFonts w:ascii="Arial" w:hAnsi="Arial" w:cs="Arial"/>
          <w:sz w:val="24"/>
          <w:szCs w:val="24"/>
        </w:rPr>
        <w:t xml:space="preserve"> be technically compliant with jurisdictional policy but in breach of national legislation. While the Victorian DET website is clear that the DSE apply</w:t>
      </w:r>
      <w:r w:rsidR="008C3625">
        <w:rPr>
          <w:rFonts w:ascii="Arial" w:hAnsi="Arial" w:cs="Arial"/>
          <w:sz w:val="24"/>
          <w:szCs w:val="24"/>
        </w:rPr>
        <w:t xml:space="preserve"> to</w:t>
      </w:r>
      <w:r w:rsidR="00554C98" w:rsidRPr="00290BD0">
        <w:rPr>
          <w:rFonts w:ascii="Arial" w:hAnsi="Arial" w:cs="Arial"/>
          <w:sz w:val="24"/>
          <w:szCs w:val="24"/>
        </w:rPr>
        <w:t xml:space="preserve"> all students with disabilities, this inconsistency between jurisdictional and national policy advice, and the lack of specificity in the DSE measures for compliance on consultation and planning, may well explain the variability in practice</w:t>
      </w:r>
      <w:r w:rsidR="00554C98">
        <w:rPr>
          <w:rFonts w:ascii="Arial" w:hAnsi="Arial" w:cs="Arial"/>
          <w:sz w:val="24"/>
          <w:szCs w:val="24"/>
        </w:rPr>
        <w:t xml:space="preserve"> in schools</w:t>
      </w:r>
      <w:r w:rsidR="00AE05C2">
        <w:rPr>
          <w:rFonts w:ascii="Arial" w:hAnsi="Arial" w:cs="Arial"/>
          <w:sz w:val="24"/>
          <w:szCs w:val="24"/>
        </w:rPr>
        <w:t>, given th</w:t>
      </w:r>
      <w:r w:rsidR="008C3625">
        <w:rPr>
          <w:rFonts w:ascii="Arial" w:hAnsi="Arial" w:cs="Arial"/>
          <w:sz w:val="24"/>
          <w:szCs w:val="24"/>
        </w:rPr>
        <w:t>is</w:t>
      </w:r>
      <w:r>
        <w:rPr>
          <w:rFonts w:ascii="Arial" w:hAnsi="Arial" w:cs="Arial"/>
          <w:sz w:val="24"/>
          <w:szCs w:val="24"/>
        </w:rPr>
        <w:t xml:space="preserve"> considerable discretion in </w:t>
      </w:r>
      <w:r w:rsidR="00AE05C2">
        <w:rPr>
          <w:rFonts w:ascii="Arial" w:hAnsi="Arial" w:cs="Arial"/>
          <w:sz w:val="24"/>
          <w:szCs w:val="24"/>
        </w:rPr>
        <w:t>whether or how</w:t>
      </w:r>
      <w:r>
        <w:rPr>
          <w:rFonts w:ascii="Arial" w:hAnsi="Arial" w:cs="Arial"/>
          <w:sz w:val="24"/>
          <w:szCs w:val="24"/>
        </w:rPr>
        <w:t xml:space="preserve"> they conduct consultat</w:t>
      </w:r>
      <w:r w:rsidR="00AE05C2">
        <w:rPr>
          <w:rFonts w:ascii="Arial" w:hAnsi="Arial" w:cs="Arial"/>
          <w:sz w:val="24"/>
          <w:szCs w:val="24"/>
        </w:rPr>
        <w:t>ive planning</w:t>
      </w:r>
      <w:r>
        <w:rPr>
          <w:rFonts w:ascii="Arial" w:hAnsi="Arial" w:cs="Arial"/>
          <w:sz w:val="24"/>
          <w:szCs w:val="24"/>
        </w:rPr>
        <w:t>.</w:t>
      </w:r>
      <w:r w:rsidR="00554C98" w:rsidRPr="00554C98">
        <w:rPr>
          <w:rFonts w:ascii="Arial" w:hAnsi="Arial" w:cs="Arial"/>
          <w:sz w:val="24"/>
          <w:szCs w:val="24"/>
        </w:rPr>
        <w:t xml:space="preserve"> </w:t>
      </w:r>
    </w:p>
    <w:p w:rsidR="00CA1737" w:rsidRPr="00290BD0" w:rsidRDefault="00C75D4E" w:rsidP="00C75D4E">
      <w:pPr>
        <w:rPr>
          <w:rFonts w:ascii="Arial" w:hAnsi="Arial" w:cs="Arial"/>
          <w:sz w:val="24"/>
          <w:szCs w:val="24"/>
        </w:rPr>
      </w:pPr>
      <w:r w:rsidRPr="00290BD0">
        <w:rPr>
          <w:rFonts w:ascii="Arial" w:hAnsi="Arial" w:cs="Arial"/>
          <w:sz w:val="24"/>
          <w:szCs w:val="24"/>
        </w:rPr>
        <w:t xml:space="preserve">The </w:t>
      </w:r>
      <w:r w:rsidR="00AE05C2">
        <w:rPr>
          <w:rFonts w:ascii="Arial" w:hAnsi="Arial" w:cs="Arial"/>
          <w:sz w:val="24"/>
          <w:szCs w:val="24"/>
        </w:rPr>
        <w:t xml:space="preserve">impact </w:t>
      </w:r>
      <w:r w:rsidR="008C3625">
        <w:rPr>
          <w:rFonts w:ascii="Arial" w:hAnsi="Arial" w:cs="Arial"/>
          <w:sz w:val="24"/>
          <w:szCs w:val="24"/>
        </w:rPr>
        <w:t>on practice</w:t>
      </w:r>
      <w:r w:rsidR="008C3625" w:rsidRPr="00290BD0">
        <w:rPr>
          <w:rFonts w:ascii="Arial" w:hAnsi="Arial" w:cs="Arial"/>
          <w:sz w:val="24"/>
          <w:szCs w:val="24"/>
        </w:rPr>
        <w:t xml:space="preserve"> </w:t>
      </w:r>
      <w:r w:rsidRPr="00290BD0">
        <w:rPr>
          <w:rFonts w:ascii="Arial" w:hAnsi="Arial" w:cs="Arial"/>
          <w:sz w:val="24"/>
          <w:szCs w:val="24"/>
        </w:rPr>
        <w:t xml:space="preserve">of </w:t>
      </w:r>
      <w:r w:rsidR="00AE05C2">
        <w:rPr>
          <w:rFonts w:ascii="Arial" w:hAnsi="Arial" w:cs="Arial"/>
          <w:sz w:val="24"/>
          <w:szCs w:val="24"/>
        </w:rPr>
        <w:t xml:space="preserve">this </w:t>
      </w:r>
      <w:r w:rsidR="008C3625">
        <w:rPr>
          <w:rFonts w:ascii="Arial" w:hAnsi="Arial" w:cs="Arial"/>
          <w:sz w:val="24"/>
          <w:szCs w:val="24"/>
        </w:rPr>
        <w:t>jurisdictional misalignment</w:t>
      </w:r>
      <w:r w:rsidR="008C3625">
        <w:rPr>
          <w:rFonts w:ascii="Arial" w:hAnsi="Arial" w:cs="Arial"/>
          <w:sz w:val="24"/>
          <w:szCs w:val="24"/>
        </w:rPr>
        <w:t>,</w:t>
      </w:r>
      <w:r w:rsidR="008C3625" w:rsidRPr="00290BD0">
        <w:rPr>
          <w:rFonts w:ascii="Arial" w:hAnsi="Arial" w:cs="Arial"/>
          <w:sz w:val="24"/>
          <w:szCs w:val="24"/>
        </w:rPr>
        <w:t xml:space="preserve"> </w:t>
      </w:r>
      <w:r w:rsidR="008C3625">
        <w:rPr>
          <w:rFonts w:ascii="Arial" w:hAnsi="Arial" w:cs="Arial"/>
          <w:sz w:val="24"/>
          <w:szCs w:val="24"/>
        </w:rPr>
        <w:t xml:space="preserve">and </w:t>
      </w:r>
      <w:r w:rsidR="00AE05C2">
        <w:rPr>
          <w:rFonts w:ascii="Arial" w:hAnsi="Arial" w:cs="Arial"/>
          <w:sz w:val="24"/>
          <w:szCs w:val="24"/>
        </w:rPr>
        <w:t>discretion by schools</w:t>
      </w:r>
      <w:r w:rsidR="008C3625">
        <w:rPr>
          <w:rFonts w:ascii="Arial" w:hAnsi="Arial" w:cs="Arial"/>
          <w:sz w:val="24"/>
          <w:szCs w:val="24"/>
        </w:rPr>
        <w:t>,</w:t>
      </w:r>
      <w:r w:rsidR="00AE05C2">
        <w:rPr>
          <w:rFonts w:ascii="Arial" w:hAnsi="Arial" w:cs="Arial"/>
          <w:sz w:val="24"/>
          <w:szCs w:val="24"/>
        </w:rPr>
        <w:t xml:space="preserve"> have been detailed within</w:t>
      </w:r>
      <w:r w:rsidR="002428C4" w:rsidRPr="00290BD0">
        <w:rPr>
          <w:rFonts w:ascii="Arial" w:hAnsi="Arial" w:cs="Arial"/>
          <w:sz w:val="24"/>
          <w:szCs w:val="24"/>
        </w:rPr>
        <w:t xml:space="preserve"> the 2016 Senate Report </w:t>
      </w:r>
      <w:hyperlink r:id="rId10" w:history="1">
        <w:r w:rsidR="002428C4" w:rsidRPr="008C3625">
          <w:rPr>
            <w:rStyle w:val="Hyperlink"/>
            <w:rFonts w:ascii="Arial" w:hAnsi="Arial" w:cs="Arial"/>
            <w:sz w:val="24"/>
            <w:szCs w:val="24"/>
          </w:rPr>
          <w:t>Access to Real Learning</w:t>
        </w:r>
      </w:hyperlink>
      <w:r w:rsidR="002428C4" w:rsidRPr="00290BD0">
        <w:rPr>
          <w:rFonts w:ascii="Arial" w:hAnsi="Arial" w:cs="Arial"/>
          <w:sz w:val="24"/>
          <w:szCs w:val="24"/>
        </w:rPr>
        <w:t xml:space="preserve"> as well as the 2018 report by the Castan Centre for Human Rights, </w:t>
      </w:r>
      <w:hyperlink r:id="rId11" w:history="1">
        <w:r w:rsidR="002428C4" w:rsidRPr="00290BD0">
          <w:rPr>
            <w:rStyle w:val="Hyperlink"/>
            <w:rFonts w:ascii="Arial" w:hAnsi="Arial" w:cs="Arial"/>
            <w:sz w:val="24"/>
            <w:szCs w:val="24"/>
          </w:rPr>
          <w:t>Improving Educational Outcomes for Children with Disability in Victoria</w:t>
        </w:r>
      </w:hyperlink>
      <w:r w:rsidR="002428C4" w:rsidRPr="00290BD0">
        <w:rPr>
          <w:rFonts w:ascii="Arial" w:hAnsi="Arial" w:cs="Arial"/>
          <w:sz w:val="24"/>
          <w:szCs w:val="24"/>
        </w:rPr>
        <w:t xml:space="preserve">. </w:t>
      </w:r>
      <w:r w:rsidR="00155B8C" w:rsidRPr="00290BD0">
        <w:rPr>
          <w:rFonts w:ascii="Arial" w:hAnsi="Arial" w:cs="Arial"/>
          <w:sz w:val="24"/>
          <w:szCs w:val="24"/>
        </w:rPr>
        <w:t>Both of these reports observed that the consultation and planning</w:t>
      </w:r>
      <w:r w:rsidR="002428C4" w:rsidRPr="00290BD0">
        <w:rPr>
          <w:rFonts w:ascii="Arial" w:hAnsi="Arial" w:cs="Arial"/>
          <w:sz w:val="24"/>
          <w:szCs w:val="24"/>
        </w:rPr>
        <w:t xml:space="preserve"> process </w:t>
      </w:r>
      <w:r w:rsidR="00AE05C2">
        <w:rPr>
          <w:rFonts w:ascii="Arial" w:hAnsi="Arial" w:cs="Arial"/>
          <w:sz w:val="24"/>
          <w:szCs w:val="24"/>
        </w:rPr>
        <w:t>could be</w:t>
      </w:r>
      <w:r w:rsidR="002428C4" w:rsidRPr="00290BD0">
        <w:rPr>
          <w:rFonts w:ascii="Arial" w:hAnsi="Arial" w:cs="Arial"/>
          <w:sz w:val="24"/>
          <w:szCs w:val="24"/>
        </w:rPr>
        <w:t xml:space="preserve"> superficial or even omitted entirely. </w:t>
      </w:r>
      <w:r w:rsidR="00C00014" w:rsidRPr="00290BD0">
        <w:rPr>
          <w:rFonts w:ascii="Arial" w:hAnsi="Arial" w:cs="Arial"/>
          <w:sz w:val="24"/>
          <w:szCs w:val="24"/>
        </w:rPr>
        <w:t>Th</w:t>
      </w:r>
      <w:r w:rsidR="00244132" w:rsidRPr="00290BD0">
        <w:rPr>
          <w:rFonts w:ascii="Arial" w:hAnsi="Arial" w:cs="Arial"/>
          <w:sz w:val="24"/>
          <w:szCs w:val="24"/>
        </w:rPr>
        <w:t xml:space="preserve">ese </w:t>
      </w:r>
      <w:r w:rsidR="00155B8C" w:rsidRPr="00290BD0">
        <w:rPr>
          <w:rFonts w:ascii="Arial" w:hAnsi="Arial" w:cs="Arial"/>
          <w:sz w:val="24"/>
          <w:szCs w:val="24"/>
        </w:rPr>
        <w:t xml:space="preserve">reports both </w:t>
      </w:r>
      <w:r w:rsidR="00244132" w:rsidRPr="00290BD0">
        <w:rPr>
          <w:rFonts w:ascii="Arial" w:hAnsi="Arial" w:cs="Arial"/>
          <w:sz w:val="24"/>
          <w:szCs w:val="24"/>
        </w:rPr>
        <w:t xml:space="preserve">emphasise the pressing need for the DSE to </w:t>
      </w:r>
      <w:r w:rsidR="00D84FDF" w:rsidRPr="00290BD0">
        <w:rPr>
          <w:rFonts w:ascii="Arial" w:hAnsi="Arial" w:cs="Arial"/>
          <w:sz w:val="24"/>
          <w:szCs w:val="24"/>
        </w:rPr>
        <w:t xml:space="preserve">be amended to </w:t>
      </w:r>
      <w:r w:rsidR="00244132" w:rsidRPr="00290BD0">
        <w:rPr>
          <w:rFonts w:ascii="Arial" w:hAnsi="Arial" w:cs="Arial"/>
          <w:sz w:val="24"/>
          <w:szCs w:val="24"/>
        </w:rPr>
        <w:t>specify measures for compliance regarding the frequency</w:t>
      </w:r>
      <w:r w:rsidR="00D84FDF" w:rsidRPr="00290BD0">
        <w:rPr>
          <w:rFonts w:ascii="Arial" w:hAnsi="Arial" w:cs="Arial"/>
          <w:sz w:val="24"/>
          <w:szCs w:val="24"/>
        </w:rPr>
        <w:t>, process, and documentary requirements in relation to consultation and planning for personalised learning.</w:t>
      </w:r>
      <w:r w:rsidR="00AE05C2">
        <w:rPr>
          <w:rFonts w:ascii="Arial" w:hAnsi="Arial" w:cs="Arial"/>
          <w:sz w:val="24"/>
          <w:szCs w:val="24"/>
        </w:rPr>
        <w:t xml:space="preserve"> I strongly recommend that the DSE is amended to include a compliance measure for both the process of consultative planning as well as documentation of the planned reasonable adjustments</w:t>
      </w:r>
      <w:r w:rsidR="00415176">
        <w:rPr>
          <w:rFonts w:ascii="Arial" w:hAnsi="Arial" w:cs="Arial"/>
          <w:sz w:val="24"/>
          <w:szCs w:val="24"/>
        </w:rPr>
        <w:t>. This could include documenting engagement with the processes of the national resource for planning personalised learning.</w:t>
      </w:r>
    </w:p>
    <w:p w:rsidR="00CA1737" w:rsidRPr="00290BD0" w:rsidRDefault="00CA1737" w:rsidP="00CA1737">
      <w:pPr>
        <w:rPr>
          <w:rFonts w:ascii="Arial" w:hAnsi="Arial" w:cs="Arial"/>
          <w:sz w:val="24"/>
          <w:szCs w:val="24"/>
        </w:rPr>
      </w:pPr>
    </w:p>
    <w:p w:rsidR="00CA1737" w:rsidRPr="00290BD0" w:rsidRDefault="00CA1737" w:rsidP="00290BD0">
      <w:pPr>
        <w:pStyle w:val="Heading2"/>
      </w:pPr>
      <w:r w:rsidRPr="00290BD0">
        <w:t xml:space="preserve">Do students, families and carers, educators, education providers and policy makers </w:t>
      </w:r>
      <w:r w:rsidRPr="00290BD0">
        <w:rPr>
          <w:bCs/>
        </w:rPr>
        <w:t xml:space="preserve">know about, understand, apply and comply with </w:t>
      </w:r>
      <w:r w:rsidRPr="00290BD0">
        <w:t xml:space="preserve">the rights, obligations and measures of compliance in the Standards? </w:t>
      </w:r>
    </w:p>
    <w:p w:rsidR="003D2016" w:rsidRDefault="003D2016" w:rsidP="00C75D4E">
      <w:pPr>
        <w:rPr>
          <w:rFonts w:ascii="Arial" w:hAnsi="Arial" w:cs="Arial"/>
          <w:sz w:val="24"/>
          <w:szCs w:val="24"/>
        </w:rPr>
      </w:pPr>
      <w:r>
        <w:rPr>
          <w:rFonts w:ascii="Arial" w:hAnsi="Arial" w:cs="Arial"/>
          <w:sz w:val="24"/>
          <w:szCs w:val="24"/>
        </w:rPr>
        <w:t>There have been a number of endeavours to improve teacher</w:t>
      </w:r>
      <w:r w:rsidR="008C3625">
        <w:rPr>
          <w:rFonts w:ascii="Arial" w:hAnsi="Arial" w:cs="Arial"/>
          <w:sz w:val="24"/>
          <w:szCs w:val="24"/>
        </w:rPr>
        <w:t>s</w:t>
      </w:r>
      <w:r w:rsidR="00BC08D2">
        <w:rPr>
          <w:rFonts w:ascii="Arial" w:hAnsi="Arial" w:cs="Arial"/>
          <w:sz w:val="24"/>
          <w:szCs w:val="24"/>
        </w:rPr>
        <w:t xml:space="preserve">’ </w:t>
      </w:r>
      <w:r>
        <w:rPr>
          <w:rFonts w:ascii="Arial" w:hAnsi="Arial" w:cs="Arial"/>
          <w:sz w:val="24"/>
          <w:szCs w:val="24"/>
        </w:rPr>
        <w:t xml:space="preserve">knowledge of </w:t>
      </w:r>
      <w:r w:rsidR="009451B0">
        <w:rPr>
          <w:rFonts w:ascii="Arial" w:hAnsi="Arial" w:cs="Arial"/>
          <w:sz w:val="24"/>
          <w:szCs w:val="24"/>
        </w:rPr>
        <w:t>students’</w:t>
      </w:r>
      <w:r>
        <w:rPr>
          <w:rFonts w:ascii="Arial" w:hAnsi="Arial" w:cs="Arial"/>
          <w:sz w:val="24"/>
          <w:szCs w:val="24"/>
        </w:rPr>
        <w:t xml:space="preserve"> rights and the </w:t>
      </w:r>
      <w:r w:rsidR="00AE05C2">
        <w:rPr>
          <w:rFonts w:ascii="Arial" w:hAnsi="Arial" w:cs="Arial"/>
          <w:sz w:val="24"/>
          <w:szCs w:val="24"/>
        </w:rPr>
        <w:t xml:space="preserve">corresponding </w:t>
      </w:r>
      <w:r>
        <w:rPr>
          <w:rFonts w:ascii="Arial" w:hAnsi="Arial" w:cs="Arial"/>
          <w:sz w:val="24"/>
          <w:szCs w:val="24"/>
        </w:rPr>
        <w:t>professional obligations under the DSE</w:t>
      </w:r>
      <w:r w:rsidR="00AE05C2">
        <w:rPr>
          <w:rFonts w:ascii="Arial" w:hAnsi="Arial" w:cs="Arial"/>
          <w:sz w:val="24"/>
          <w:szCs w:val="24"/>
        </w:rPr>
        <w:t>. H</w:t>
      </w:r>
      <w:r>
        <w:rPr>
          <w:rFonts w:ascii="Arial" w:hAnsi="Arial" w:cs="Arial"/>
          <w:sz w:val="24"/>
          <w:szCs w:val="24"/>
        </w:rPr>
        <w:t xml:space="preserve">owever there remains a clear need to </w:t>
      </w:r>
      <w:r w:rsidR="00EA2B48">
        <w:rPr>
          <w:rFonts w:ascii="Arial" w:hAnsi="Arial" w:cs="Arial"/>
          <w:sz w:val="24"/>
          <w:szCs w:val="24"/>
        </w:rPr>
        <w:t xml:space="preserve">further </w:t>
      </w:r>
      <w:r>
        <w:rPr>
          <w:rFonts w:ascii="Arial" w:hAnsi="Arial" w:cs="Arial"/>
          <w:sz w:val="24"/>
          <w:szCs w:val="24"/>
        </w:rPr>
        <w:t>improve the preparation of graduate teachers and the</w:t>
      </w:r>
      <w:r w:rsidR="00AE05C2">
        <w:rPr>
          <w:rFonts w:ascii="Arial" w:hAnsi="Arial" w:cs="Arial"/>
          <w:sz w:val="24"/>
          <w:szCs w:val="24"/>
        </w:rPr>
        <w:t xml:space="preserve"> ongoing</w:t>
      </w:r>
      <w:r>
        <w:rPr>
          <w:rFonts w:ascii="Arial" w:hAnsi="Arial" w:cs="Arial"/>
          <w:sz w:val="24"/>
          <w:szCs w:val="24"/>
        </w:rPr>
        <w:t xml:space="preserve"> professional learning of registered teachers in relation to their obligations</w:t>
      </w:r>
      <w:r w:rsidR="00EA2B48">
        <w:rPr>
          <w:rFonts w:ascii="Arial" w:hAnsi="Arial" w:cs="Arial"/>
          <w:sz w:val="24"/>
          <w:szCs w:val="24"/>
        </w:rPr>
        <w:t>.</w:t>
      </w:r>
    </w:p>
    <w:p w:rsidR="00F42172" w:rsidRPr="00290BD0" w:rsidRDefault="005B72C7" w:rsidP="00C75D4E">
      <w:pPr>
        <w:rPr>
          <w:rFonts w:ascii="Arial" w:hAnsi="Arial" w:cs="Arial"/>
          <w:sz w:val="24"/>
          <w:szCs w:val="24"/>
        </w:rPr>
      </w:pPr>
      <w:r>
        <w:rPr>
          <w:rFonts w:ascii="Arial" w:hAnsi="Arial" w:cs="Arial"/>
          <w:sz w:val="24"/>
          <w:szCs w:val="24"/>
        </w:rPr>
        <w:t xml:space="preserve">This issue is not new. </w:t>
      </w:r>
      <w:r w:rsidR="00F03C2E" w:rsidRPr="00290BD0">
        <w:rPr>
          <w:rFonts w:ascii="Arial" w:hAnsi="Arial" w:cs="Arial"/>
          <w:sz w:val="24"/>
          <w:szCs w:val="24"/>
        </w:rPr>
        <w:t xml:space="preserve">The </w:t>
      </w:r>
      <w:r w:rsidR="00290BD0" w:rsidRPr="00290BD0">
        <w:rPr>
          <w:rFonts w:ascii="Arial" w:hAnsi="Arial" w:cs="Arial"/>
          <w:sz w:val="24"/>
          <w:szCs w:val="24"/>
        </w:rPr>
        <w:t>201</w:t>
      </w:r>
      <w:r w:rsidR="00290BD0">
        <w:rPr>
          <w:rFonts w:ascii="Arial" w:hAnsi="Arial" w:cs="Arial"/>
          <w:sz w:val="24"/>
          <w:szCs w:val="24"/>
        </w:rPr>
        <w:t xml:space="preserve">0 </w:t>
      </w:r>
      <w:r w:rsidR="00F03C2E" w:rsidRPr="00290BD0">
        <w:rPr>
          <w:rFonts w:ascii="Arial" w:hAnsi="Arial" w:cs="Arial"/>
          <w:sz w:val="24"/>
          <w:szCs w:val="24"/>
        </w:rPr>
        <w:t xml:space="preserve">review of the DSE found that </w:t>
      </w:r>
      <w:r w:rsidR="00290BD0">
        <w:rPr>
          <w:rFonts w:ascii="Arial" w:hAnsi="Arial" w:cs="Arial"/>
          <w:sz w:val="24"/>
          <w:szCs w:val="24"/>
        </w:rPr>
        <w:t xml:space="preserve">there was a relative lack of awareness of the Standards </w:t>
      </w:r>
      <w:r w:rsidR="00BC08D2">
        <w:rPr>
          <w:rFonts w:ascii="Arial" w:hAnsi="Arial" w:cs="Arial"/>
          <w:sz w:val="24"/>
          <w:szCs w:val="24"/>
        </w:rPr>
        <w:t>regarding</w:t>
      </w:r>
      <w:r w:rsidR="00290BD0">
        <w:rPr>
          <w:rFonts w:ascii="Arial" w:hAnsi="Arial" w:cs="Arial"/>
          <w:sz w:val="24"/>
          <w:szCs w:val="24"/>
        </w:rPr>
        <w:t xml:space="preserve"> students’ rights and schools</w:t>
      </w:r>
      <w:r w:rsidR="00883710">
        <w:rPr>
          <w:rFonts w:ascii="Arial" w:hAnsi="Arial" w:cs="Arial"/>
          <w:sz w:val="24"/>
          <w:szCs w:val="24"/>
        </w:rPr>
        <w:t>’</w:t>
      </w:r>
      <w:r w:rsidR="00290BD0" w:rsidRPr="00290BD0">
        <w:rPr>
          <w:rFonts w:ascii="Arial" w:hAnsi="Arial" w:cs="Arial"/>
          <w:sz w:val="24"/>
          <w:szCs w:val="24"/>
        </w:rPr>
        <w:t xml:space="preserve"> </w:t>
      </w:r>
      <w:r w:rsidR="00290BD0">
        <w:rPr>
          <w:rFonts w:ascii="Arial" w:hAnsi="Arial" w:cs="Arial"/>
          <w:sz w:val="24"/>
          <w:szCs w:val="24"/>
        </w:rPr>
        <w:t>obligations.</w:t>
      </w:r>
      <w:r w:rsidR="003D2016">
        <w:rPr>
          <w:rFonts w:ascii="Arial" w:hAnsi="Arial" w:cs="Arial"/>
          <w:sz w:val="24"/>
          <w:szCs w:val="24"/>
        </w:rPr>
        <w:t xml:space="preserve"> Amongst many of the recommendations for raising general awareness of the </w:t>
      </w:r>
      <w:r w:rsidR="009451B0">
        <w:rPr>
          <w:rFonts w:ascii="Arial" w:hAnsi="Arial" w:cs="Arial"/>
          <w:sz w:val="24"/>
          <w:szCs w:val="24"/>
        </w:rPr>
        <w:t>S</w:t>
      </w:r>
      <w:r w:rsidR="003D2016">
        <w:rPr>
          <w:rFonts w:ascii="Arial" w:hAnsi="Arial" w:cs="Arial"/>
          <w:sz w:val="24"/>
          <w:szCs w:val="24"/>
        </w:rPr>
        <w:t xml:space="preserve">tandards was the recommendation to develop targeted online information sources for education providers. </w:t>
      </w:r>
      <w:r w:rsidR="00290BD0">
        <w:rPr>
          <w:rFonts w:ascii="Arial" w:hAnsi="Arial" w:cs="Arial"/>
          <w:sz w:val="24"/>
          <w:szCs w:val="24"/>
        </w:rPr>
        <w:t xml:space="preserve"> </w:t>
      </w:r>
      <w:r w:rsidR="00290BD0">
        <w:rPr>
          <w:rFonts w:ascii="Arial" w:hAnsi="Arial" w:cs="Arial"/>
          <w:sz w:val="24"/>
          <w:szCs w:val="24"/>
        </w:rPr>
        <w:lastRenderedPageBreak/>
        <w:t xml:space="preserve">Following this, </w:t>
      </w:r>
      <w:r w:rsidR="00290BD0" w:rsidRPr="00290BD0">
        <w:rPr>
          <w:rFonts w:ascii="Arial" w:hAnsi="Arial" w:cs="Arial"/>
          <w:sz w:val="24"/>
          <w:szCs w:val="24"/>
        </w:rPr>
        <w:t xml:space="preserve">in 2014, the University of Canberra </w:t>
      </w:r>
      <w:r w:rsidR="00BC08D2">
        <w:rPr>
          <w:rFonts w:ascii="Arial" w:hAnsi="Arial" w:cs="Arial"/>
          <w:sz w:val="24"/>
          <w:szCs w:val="24"/>
        </w:rPr>
        <w:t xml:space="preserve">(UC) </w:t>
      </w:r>
      <w:r w:rsidR="003D2016">
        <w:rPr>
          <w:rFonts w:ascii="Arial" w:hAnsi="Arial" w:cs="Arial"/>
          <w:sz w:val="24"/>
          <w:szCs w:val="24"/>
        </w:rPr>
        <w:t>was commissioned to develop</w:t>
      </w:r>
      <w:r w:rsidR="00290BD0" w:rsidRPr="00290BD0">
        <w:rPr>
          <w:rFonts w:ascii="Arial" w:hAnsi="Arial" w:cs="Arial"/>
          <w:sz w:val="24"/>
          <w:szCs w:val="24"/>
        </w:rPr>
        <w:t xml:space="preserve"> professional </w:t>
      </w:r>
      <w:r w:rsidR="00BC08D2">
        <w:rPr>
          <w:rFonts w:ascii="Arial" w:hAnsi="Arial" w:cs="Arial"/>
          <w:sz w:val="24"/>
          <w:szCs w:val="24"/>
        </w:rPr>
        <w:t>e-</w:t>
      </w:r>
      <w:r w:rsidR="00290BD0" w:rsidRPr="00290BD0">
        <w:rPr>
          <w:rFonts w:ascii="Arial" w:hAnsi="Arial" w:cs="Arial"/>
          <w:sz w:val="24"/>
          <w:szCs w:val="24"/>
        </w:rPr>
        <w:t>learning</w:t>
      </w:r>
      <w:r w:rsidR="00BC08D2">
        <w:rPr>
          <w:rFonts w:ascii="Arial" w:hAnsi="Arial" w:cs="Arial"/>
          <w:sz w:val="24"/>
          <w:szCs w:val="24"/>
        </w:rPr>
        <w:t xml:space="preserve"> modules</w:t>
      </w:r>
      <w:r w:rsidR="00290BD0" w:rsidRPr="00290BD0">
        <w:rPr>
          <w:rFonts w:ascii="Arial" w:hAnsi="Arial" w:cs="Arial"/>
          <w:sz w:val="24"/>
          <w:szCs w:val="24"/>
        </w:rPr>
        <w:t xml:space="preserve"> that schools </w:t>
      </w:r>
      <w:r w:rsidR="00EA2B48">
        <w:rPr>
          <w:rFonts w:ascii="Arial" w:hAnsi="Arial" w:cs="Arial"/>
          <w:sz w:val="24"/>
          <w:szCs w:val="24"/>
        </w:rPr>
        <w:t xml:space="preserve">and staff across the country </w:t>
      </w:r>
      <w:r w:rsidR="00290BD0" w:rsidRPr="00290BD0">
        <w:rPr>
          <w:rFonts w:ascii="Arial" w:hAnsi="Arial" w:cs="Arial"/>
          <w:sz w:val="24"/>
          <w:szCs w:val="24"/>
        </w:rPr>
        <w:t>could elect to undertake</w:t>
      </w:r>
      <w:r w:rsidR="003D2016">
        <w:rPr>
          <w:rFonts w:ascii="Arial" w:hAnsi="Arial" w:cs="Arial"/>
          <w:sz w:val="24"/>
          <w:szCs w:val="24"/>
        </w:rPr>
        <w:t>. The 2015 review of the DSE found that general awareness</w:t>
      </w:r>
      <w:r w:rsidR="00EA2B48">
        <w:rPr>
          <w:rFonts w:ascii="Arial" w:hAnsi="Arial" w:cs="Arial"/>
          <w:sz w:val="24"/>
          <w:szCs w:val="24"/>
        </w:rPr>
        <w:t xml:space="preserve"> amongst school teachers was “fairly high”</w:t>
      </w:r>
      <w:r w:rsidR="00BC08D2">
        <w:rPr>
          <w:rFonts w:ascii="Arial" w:hAnsi="Arial" w:cs="Arial"/>
          <w:sz w:val="24"/>
          <w:szCs w:val="24"/>
        </w:rPr>
        <w:t xml:space="preserve"> and </w:t>
      </w:r>
      <w:r w:rsidR="00F42172">
        <w:rPr>
          <w:rFonts w:ascii="Arial" w:hAnsi="Arial" w:cs="Arial"/>
          <w:sz w:val="24"/>
          <w:szCs w:val="24"/>
        </w:rPr>
        <w:t xml:space="preserve">noted the contribution of the </w:t>
      </w:r>
      <w:r w:rsidR="00BC08D2">
        <w:rPr>
          <w:rFonts w:ascii="Arial" w:hAnsi="Arial" w:cs="Arial"/>
          <w:sz w:val="24"/>
          <w:szCs w:val="24"/>
        </w:rPr>
        <w:t>UC e-learning</w:t>
      </w:r>
      <w:r w:rsidR="00F42172">
        <w:rPr>
          <w:rFonts w:ascii="Arial" w:hAnsi="Arial" w:cs="Arial"/>
          <w:sz w:val="24"/>
          <w:szCs w:val="24"/>
        </w:rPr>
        <w:t xml:space="preserve"> modules as well as improvements such as dedicated units in pre-service teacher education to the increased awareness. However, the review also noted that teacher awareness of the standards</w:t>
      </w:r>
      <w:r w:rsidR="00EA2B48">
        <w:rPr>
          <w:rFonts w:ascii="Arial" w:hAnsi="Arial" w:cs="Arial"/>
          <w:sz w:val="24"/>
          <w:szCs w:val="24"/>
        </w:rPr>
        <w:t xml:space="preserve"> lacked specificity in relation to the detail regarding their implementation or even which students meet the DDA definition of disability. </w:t>
      </w:r>
      <w:r w:rsidR="00BC08D2">
        <w:rPr>
          <w:rFonts w:ascii="Arial" w:hAnsi="Arial" w:cs="Arial"/>
          <w:sz w:val="24"/>
          <w:szCs w:val="24"/>
        </w:rPr>
        <w:t>R</w:t>
      </w:r>
      <w:r w:rsidR="00F42172">
        <w:rPr>
          <w:rFonts w:ascii="Arial" w:hAnsi="Arial" w:cs="Arial"/>
          <w:sz w:val="24"/>
          <w:szCs w:val="24"/>
        </w:rPr>
        <w:t>ecommendation 4</w:t>
      </w:r>
      <w:r w:rsidR="00BC08D2">
        <w:rPr>
          <w:rFonts w:ascii="Arial" w:hAnsi="Arial" w:cs="Arial"/>
          <w:sz w:val="24"/>
          <w:szCs w:val="24"/>
        </w:rPr>
        <w:t xml:space="preserve"> outlined</w:t>
      </w:r>
      <w:r w:rsidR="00F42172">
        <w:rPr>
          <w:rFonts w:ascii="Arial" w:hAnsi="Arial" w:cs="Arial"/>
          <w:sz w:val="24"/>
          <w:szCs w:val="24"/>
        </w:rPr>
        <w:t xml:space="preserve"> that professional learning and guidance resources for educators </w:t>
      </w:r>
      <w:r w:rsidR="00BC08D2">
        <w:rPr>
          <w:rFonts w:ascii="Arial" w:hAnsi="Arial" w:cs="Arial"/>
          <w:sz w:val="24"/>
          <w:szCs w:val="24"/>
        </w:rPr>
        <w:t xml:space="preserve">should </w:t>
      </w:r>
      <w:r w:rsidR="00F42172">
        <w:rPr>
          <w:rFonts w:ascii="Arial" w:hAnsi="Arial" w:cs="Arial"/>
          <w:sz w:val="24"/>
          <w:szCs w:val="24"/>
        </w:rPr>
        <w:t>be developed to further strengthen the skills and knowledge within the workforce. The 2016 Senate review echoed this and emphasised better preservice teacher education as well as professional learning for both teachers and school leaders was need</w:t>
      </w:r>
      <w:r w:rsidR="009451B0">
        <w:rPr>
          <w:rFonts w:ascii="Arial" w:hAnsi="Arial" w:cs="Arial"/>
          <w:sz w:val="24"/>
          <w:szCs w:val="24"/>
        </w:rPr>
        <w:t>ed</w:t>
      </w:r>
      <w:r w:rsidR="00F42172">
        <w:rPr>
          <w:rFonts w:ascii="Arial" w:hAnsi="Arial" w:cs="Arial"/>
          <w:sz w:val="24"/>
          <w:szCs w:val="24"/>
        </w:rPr>
        <w:t xml:space="preserve"> to strengthen </w:t>
      </w:r>
      <w:r w:rsidR="00AE05C2">
        <w:rPr>
          <w:rFonts w:ascii="Arial" w:hAnsi="Arial" w:cs="Arial"/>
          <w:sz w:val="24"/>
          <w:szCs w:val="24"/>
        </w:rPr>
        <w:t>the workforce’s</w:t>
      </w:r>
      <w:r w:rsidR="00F42172">
        <w:rPr>
          <w:rFonts w:ascii="Arial" w:hAnsi="Arial" w:cs="Arial"/>
          <w:sz w:val="24"/>
          <w:szCs w:val="24"/>
        </w:rPr>
        <w:t xml:space="preserve"> awareness of the rights of students with disabilities. </w:t>
      </w:r>
    </w:p>
    <w:p w:rsidR="00D45294" w:rsidRDefault="00D45294" w:rsidP="00D45294">
      <w:pPr>
        <w:rPr>
          <w:rFonts w:ascii="Arial" w:hAnsi="Arial" w:cs="Arial"/>
          <w:sz w:val="24"/>
          <w:szCs w:val="24"/>
        </w:rPr>
      </w:pPr>
      <w:r>
        <w:rPr>
          <w:rFonts w:ascii="Arial" w:hAnsi="Arial" w:cs="Arial"/>
          <w:sz w:val="24"/>
          <w:szCs w:val="24"/>
        </w:rPr>
        <w:t xml:space="preserve">Currently, initial teacher education courses at university, and teacher professional learning courses are linked to the </w:t>
      </w:r>
      <w:hyperlink r:id="rId12" w:history="1">
        <w:r w:rsidRPr="00B331CE">
          <w:rPr>
            <w:rStyle w:val="Hyperlink"/>
            <w:rFonts w:ascii="Arial" w:hAnsi="Arial" w:cs="Arial"/>
            <w:sz w:val="24"/>
            <w:szCs w:val="24"/>
          </w:rPr>
          <w:t>Australian Professional Standards for Teachers</w:t>
        </w:r>
      </w:hyperlink>
      <w:r>
        <w:rPr>
          <w:rFonts w:ascii="Arial" w:hAnsi="Arial" w:cs="Arial"/>
          <w:sz w:val="24"/>
          <w:szCs w:val="24"/>
        </w:rPr>
        <w:t xml:space="preserve"> (APST).</w:t>
      </w:r>
      <w:r>
        <w:rPr>
          <w:rFonts w:ascii="Arial" w:hAnsi="Arial" w:cs="Arial"/>
          <w:sz w:val="24"/>
          <w:szCs w:val="24"/>
        </w:rPr>
        <w:t xml:space="preserve"> The three standards</w:t>
      </w:r>
      <w:r>
        <w:rPr>
          <w:rFonts w:ascii="Arial" w:hAnsi="Arial" w:cs="Arial"/>
          <w:sz w:val="24"/>
          <w:szCs w:val="24"/>
        </w:rPr>
        <w:t xml:space="preserve"> within</w:t>
      </w:r>
      <w:proofErr w:type="spellStart"/>
      <w:r>
        <w:rPr>
          <w:rFonts w:ascii="Arial" w:hAnsi="Arial" w:cs="Arial"/>
          <w:sz w:val="24"/>
          <w:szCs w:val="24"/>
        </w:rPr>
        <w:t xml:space="preserve"> th</w:t>
      </w:r>
      <w:proofErr w:type="spellEnd"/>
      <w:r>
        <w:rPr>
          <w:rFonts w:ascii="Arial" w:hAnsi="Arial" w:cs="Arial"/>
          <w:sz w:val="24"/>
          <w:szCs w:val="24"/>
        </w:rPr>
        <w:t xml:space="preserve">e APST </w:t>
      </w:r>
      <w:r w:rsidR="004E5ADA">
        <w:rPr>
          <w:rFonts w:ascii="Arial" w:hAnsi="Arial" w:cs="Arial"/>
          <w:sz w:val="24"/>
          <w:szCs w:val="24"/>
        </w:rPr>
        <w:t xml:space="preserve">against </w:t>
      </w:r>
      <w:proofErr w:type="gramStart"/>
      <w:r w:rsidR="004E5ADA">
        <w:rPr>
          <w:rFonts w:ascii="Arial" w:hAnsi="Arial" w:cs="Arial"/>
          <w:sz w:val="24"/>
          <w:szCs w:val="24"/>
        </w:rPr>
        <w:t xml:space="preserve">which </w:t>
      </w:r>
      <w:r>
        <w:rPr>
          <w:rFonts w:ascii="Arial" w:hAnsi="Arial" w:cs="Arial"/>
          <w:sz w:val="24"/>
          <w:szCs w:val="24"/>
        </w:rPr>
        <w:t xml:space="preserve"> </w:t>
      </w:r>
      <w:r w:rsidR="004E5ADA">
        <w:rPr>
          <w:rFonts w:ascii="Arial" w:hAnsi="Arial" w:cs="Arial"/>
          <w:sz w:val="24"/>
          <w:szCs w:val="24"/>
        </w:rPr>
        <w:t>Initial</w:t>
      </w:r>
      <w:proofErr w:type="gramEnd"/>
      <w:r w:rsidR="004E5ADA">
        <w:rPr>
          <w:rFonts w:ascii="Arial" w:hAnsi="Arial" w:cs="Arial"/>
          <w:sz w:val="24"/>
          <w:szCs w:val="24"/>
        </w:rPr>
        <w:t xml:space="preserve"> Teacher Education (ITE) courses and professional learning (PL) for students</w:t>
      </w:r>
      <w:r>
        <w:rPr>
          <w:rFonts w:ascii="Arial" w:hAnsi="Arial" w:cs="Arial"/>
          <w:sz w:val="24"/>
          <w:szCs w:val="24"/>
        </w:rPr>
        <w:t xml:space="preserve"> with disability</w:t>
      </w:r>
      <w:r>
        <w:rPr>
          <w:rFonts w:ascii="Arial" w:hAnsi="Arial" w:cs="Arial"/>
          <w:sz w:val="24"/>
          <w:szCs w:val="24"/>
        </w:rPr>
        <w:t xml:space="preserve"> are</w:t>
      </w:r>
      <w:r w:rsidR="004E5ADA">
        <w:rPr>
          <w:rFonts w:ascii="Arial" w:hAnsi="Arial" w:cs="Arial"/>
          <w:sz w:val="24"/>
          <w:szCs w:val="24"/>
        </w:rPr>
        <w:t xml:space="preserve"> accredited or linked</w:t>
      </w:r>
      <w:r>
        <w:rPr>
          <w:rFonts w:ascii="Arial" w:hAnsi="Arial" w:cs="Arial"/>
          <w:sz w:val="24"/>
          <w:szCs w:val="24"/>
        </w:rPr>
        <w:t>:</w:t>
      </w:r>
    </w:p>
    <w:p w:rsidR="00D45294" w:rsidRDefault="00D45294" w:rsidP="00D45294">
      <w:pPr>
        <w:pStyle w:val="ListParagraph"/>
        <w:numPr>
          <w:ilvl w:val="0"/>
          <w:numId w:val="2"/>
        </w:numPr>
        <w:rPr>
          <w:rFonts w:ascii="Arial" w:hAnsi="Arial" w:cs="Arial"/>
          <w:sz w:val="24"/>
          <w:szCs w:val="24"/>
        </w:rPr>
      </w:pPr>
      <w:r w:rsidRPr="00B331CE">
        <w:rPr>
          <w:rFonts w:ascii="Arial" w:hAnsi="Arial" w:cs="Arial"/>
          <w:sz w:val="24"/>
          <w:szCs w:val="24"/>
        </w:rPr>
        <w:t xml:space="preserve">Focus Area 1.5: Differentiate teaching to meet the specific learning needs of students across the full range of abilities;  </w:t>
      </w:r>
    </w:p>
    <w:p w:rsidR="00D45294" w:rsidRDefault="00D45294" w:rsidP="00D45294">
      <w:pPr>
        <w:pStyle w:val="ListParagraph"/>
        <w:numPr>
          <w:ilvl w:val="0"/>
          <w:numId w:val="2"/>
        </w:numPr>
        <w:rPr>
          <w:rFonts w:ascii="Arial" w:hAnsi="Arial" w:cs="Arial"/>
          <w:sz w:val="24"/>
          <w:szCs w:val="24"/>
        </w:rPr>
      </w:pPr>
      <w:r w:rsidRPr="00B331CE">
        <w:rPr>
          <w:rFonts w:ascii="Arial" w:hAnsi="Arial" w:cs="Arial"/>
          <w:sz w:val="24"/>
          <w:szCs w:val="24"/>
        </w:rPr>
        <w:t xml:space="preserve">Focus Area 1.6: Strategies to support full participation of students with disability; and </w:t>
      </w:r>
    </w:p>
    <w:p w:rsidR="00D45294" w:rsidRDefault="00D45294" w:rsidP="00D45294">
      <w:pPr>
        <w:pStyle w:val="ListParagraph"/>
        <w:numPr>
          <w:ilvl w:val="0"/>
          <w:numId w:val="2"/>
        </w:numPr>
        <w:rPr>
          <w:rFonts w:ascii="Arial" w:hAnsi="Arial" w:cs="Arial"/>
          <w:sz w:val="24"/>
          <w:szCs w:val="24"/>
        </w:rPr>
      </w:pPr>
      <w:r w:rsidRPr="00B331CE">
        <w:rPr>
          <w:rFonts w:ascii="Arial" w:hAnsi="Arial" w:cs="Arial"/>
          <w:sz w:val="24"/>
          <w:szCs w:val="24"/>
        </w:rPr>
        <w:t>Focus Area 4.1: Support student participation.</w:t>
      </w:r>
    </w:p>
    <w:p w:rsidR="004E5ADA" w:rsidRDefault="00D45294" w:rsidP="004E5ADA">
      <w:pPr>
        <w:rPr>
          <w:rFonts w:ascii="Arial" w:hAnsi="Arial" w:cs="Arial"/>
          <w:sz w:val="24"/>
          <w:szCs w:val="24"/>
        </w:rPr>
      </w:pPr>
      <w:r>
        <w:rPr>
          <w:rFonts w:ascii="Arial" w:hAnsi="Arial" w:cs="Arial"/>
          <w:sz w:val="24"/>
          <w:szCs w:val="24"/>
        </w:rPr>
        <w:t xml:space="preserve">However, these three APST focus areas are not very specific, so </w:t>
      </w:r>
      <w:r w:rsidR="004E5ADA">
        <w:rPr>
          <w:rFonts w:ascii="Arial" w:hAnsi="Arial" w:cs="Arial"/>
          <w:sz w:val="24"/>
          <w:szCs w:val="24"/>
        </w:rPr>
        <w:t>PL</w:t>
      </w:r>
      <w:r>
        <w:rPr>
          <w:rFonts w:ascii="Arial" w:hAnsi="Arial" w:cs="Arial"/>
          <w:sz w:val="24"/>
          <w:szCs w:val="24"/>
        </w:rPr>
        <w:t xml:space="preserve"> linked to these may not necessarily contain sufficient detail of the DSE needed to improve teachers’ knowledge of </w:t>
      </w:r>
      <w:r>
        <w:rPr>
          <w:rFonts w:ascii="Arial" w:hAnsi="Arial" w:cs="Arial"/>
          <w:sz w:val="24"/>
          <w:szCs w:val="24"/>
        </w:rPr>
        <w:t>students’</w:t>
      </w:r>
      <w:r>
        <w:rPr>
          <w:rFonts w:ascii="Arial" w:hAnsi="Arial" w:cs="Arial"/>
          <w:sz w:val="24"/>
          <w:szCs w:val="24"/>
        </w:rPr>
        <w:t xml:space="preserve"> rights or their own obligations under the Standards for</w:t>
      </w:r>
      <w:r w:rsidRPr="00886CEE">
        <w:rPr>
          <w:rFonts w:ascii="Arial" w:hAnsi="Arial" w:cs="Arial"/>
          <w:sz w:val="24"/>
          <w:szCs w:val="24"/>
        </w:rPr>
        <w:t xml:space="preserve"> enrolment</w:t>
      </w:r>
      <w:r>
        <w:rPr>
          <w:rFonts w:ascii="Arial" w:hAnsi="Arial" w:cs="Arial"/>
          <w:sz w:val="24"/>
          <w:szCs w:val="24"/>
        </w:rPr>
        <w:t xml:space="preserve">, </w:t>
      </w:r>
      <w:r w:rsidRPr="00886CEE">
        <w:rPr>
          <w:rFonts w:ascii="Arial" w:hAnsi="Arial" w:cs="Arial"/>
          <w:sz w:val="24"/>
          <w:szCs w:val="24"/>
        </w:rPr>
        <w:t>participation; curriculum development, accreditation and delivery</w:t>
      </w:r>
      <w:r>
        <w:rPr>
          <w:rFonts w:ascii="Arial" w:hAnsi="Arial" w:cs="Arial"/>
          <w:sz w:val="24"/>
          <w:szCs w:val="24"/>
        </w:rPr>
        <w:t>, and</w:t>
      </w:r>
      <w:r w:rsidRPr="00886CEE">
        <w:rPr>
          <w:rFonts w:ascii="Arial" w:hAnsi="Arial" w:cs="Arial"/>
          <w:sz w:val="24"/>
          <w:szCs w:val="24"/>
        </w:rPr>
        <w:t xml:space="preserve"> student support services</w:t>
      </w:r>
      <w:r>
        <w:rPr>
          <w:rFonts w:ascii="Arial" w:hAnsi="Arial" w:cs="Arial"/>
          <w:sz w:val="24"/>
          <w:szCs w:val="24"/>
        </w:rPr>
        <w:t>.</w:t>
      </w:r>
      <w:r>
        <w:rPr>
          <w:rFonts w:ascii="Arial" w:hAnsi="Arial" w:cs="Arial"/>
          <w:sz w:val="24"/>
          <w:szCs w:val="24"/>
        </w:rPr>
        <w:t xml:space="preserve"> Moreover, disability is not even mentioned in the </w:t>
      </w:r>
      <w:hyperlink r:id="rId13" w:history="1">
        <w:r w:rsidRPr="00D45294">
          <w:rPr>
            <w:rStyle w:val="Hyperlink"/>
            <w:rFonts w:ascii="Arial" w:hAnsi="Arial" w:cs="Arial"/>
            <w:sz w:val="24"/>
            <w:szCs w:val="24"/>
          </w:rPr>
          <w:t>Australian Professional Standards for Principals</w:t>
        </w:r>
      </w:hyperlink>
      <w:r w:rsidR="00B638F6">
        <w:rPr>
          <w:rFonts w:ascii="Arial" w:hAnsi="Arial" w:cs="Arial"/>
          <w:sz w:val="24"/>
          <w:szCs w:val="24"/>
        </w:rPr>
        <w:t xml:space="preserve"> (APSP)</w:t>
      </w:r>
      <w:r>
        <w:rPr>
          <w:rFonts w:ascii="Arial" w:hAnsi="Arial" w:cs="Arial"/>
          <w:sz w:val="24"/>
          <w:szCs w:val="24"/>
        </w:rPr>
        <w:t>.</w:t>
      </w:r>
      <w:r>
        <w:rPr>
          <w:rFonts w:ascii="Arial" w:hAnsi="Arial" w:cs="Arial"/>
          <w:sz w:val="24"/>
          <w:szCs w:val="24"/>
        </w:rPr>
        <w:t xml:space="preserve"> </w:t>
      </w:r>
      <w:r w:rsidR="004E5ADA">
        <w:rPr>
          <w:rFonts w:ascii="Arial" w:hAnsi="Arial" w:cs="Arial"/>
          <w:sz w:val="24"/>
          <w:szCs w:val="24"/>
        </w:rPr>
        <w:t>Indeed, t</w:t>
      </w:r>
      <w:r>
        <w:rPr>
          <w:rFonts w:ascii="Arial" w:hAnsi="Arial" w:cs="Arial"/>
          <w:sz w:val="24"/>
          <w:szCs w:val="24"/>
        </w:rPr>
        <w:t xml:space="preserve">he </w:t>
      </w:r>
      <w:r w:rsidR="004E5ADA">
        <w:rPr>
          <w:rFonts w:ascii="Arial" w:hAnsi="Arial" w:cs="Arial"/>
          <w:sz w:val="24"/>
          <w:szCs w:val="24"/>
        </w:rPr>
        <w:t xml:space="preserve">APST </w:t>
      </w:r>
      <w:r>
        <w:rPr>
          <w:rFonts w:ascii="Arial" w:hAnsi="Arial" w:cs="Arial"/>
          <w:sz w:val="24"/>
          <w:szCs w:val="24"/>
        </w:rPr>
        <w:t>have not been found sufficient</w:t>
      </w:r>
      <w:r w:rsidR="004E5ADA">
        <w:rPr>
          <w:rFonts w:ascii="Arial" w:hAnsi="Arial" w:cs="Arial"/>
          <w:sz w:val="24"/>
          <w:szCs w:val="24"/>
        </w:rPr>
        <w:t>ly clear</w:t>
      </w:r>
      <w:r>
        <w:rPr>
          <w:rFonts w:ascii="Arial" w:hAnsi="Arial" w:cs="Arial"/>
          <w:sz w:val="24"/>
          <w:szCs w:val="24"/>
        </w:rPr>
        <w:t xml:space="preserve"> for improving workforce capacity. For example, </w:t>
      </w:r>
      <w:r>
        <w:rPr>
          <w:rFonts w:ascii="Arial" w:hAnsi="Arial" w:cs="Arial"/>
          <w:sz w:val="24"/>
          <w:szCs w:val="24"/>
        </w:rPr>
        <w:t xml:space="preserve">Victoria’s 2016 </w:t>
      </w:r>
      <w:hyperlink r:id="rId14" w:history="1">
        <w:r w:rsidRPr="00B331CE">
          <w:rPr>
            <w:rStyle w:val="Hyperlink"/>
            <w:rFonts w:ascii="Arial" w:hAnsi="Arial" w:cs="Arial"/>
            <w:sz w:val="24"/>
            <w:szCs w:val="24"/>
          </w:rPr>
          <w:t>Victorian Special Needs Plan</w:t>
        </w:r>
      </w:hyperlink>
      <w:r>
        <w:rPr>
          <w:rFonts w:ascii="Arial" w:hAnsi="Arial" w:cs="Arial"/>
          <w:sz w:val="24"/>
          <w:szCs w:val="24"/>
        </w:rPr>
        <w:t xml:space="preserve"> sought to build capacity for teaching students with disabilities</w:t>
      </w:r>
      <w:r>
        <w:rPr>
          <w:rFonts w:ascii="Arial" w:hAnsi="Arial" w:cs="Arial"/>
          <w:sz w:val="24"/>
          <w:szCs w:val="24"/>
        </w:rPr>
        <w:t xml:space="preserve"> by requiring </w:t>
      </w:r>
      <w:r>
        <w:rPr>
          <w:rFonts w:ascii="Arial" w:hAnsi="Arial" w:cs="Arial"/>
          <w:sz w:val="24"/>
          <w:szCs w:val="24"/>
        </w:rPr>
        <w:t xml:space="preserve">targeted </w:t>
      </w:r>
      <w:r w:rsidR="004E5ADA">
        <w:rPr>
          <w:rFonts w:ascii="Arial" w:hAnsi="Arial" w:cs="Arial"/>
          <w:sz w:val="24"/>
          <w:szCs w:val="24"/>
        </w:rPr>
        <w:t>PL</w:t>
      </w:r>
      <w:r>
        <w:rPr>
          <w:rFonts w:ascii="Arial" w:hAnsi="Arial" w:cs="Arial"/>
          <w:sz w:val="24"/>
          <w:szCs w:val="24"/>
        </w:rPr>
        <w:t xml:space="preserve"> </w:t>
      </w:r>
      <w:r>
        <w:rPr>
          <w:rFonts w:ascii="Arial" w:hAnsi="Arial" w:cs="Arial"/>
          <w:sz w:val="24"/>
          <w:szCs w:val="24"/>
        </w:rPr>
        <w:t xml:space="preserve">for teachers </w:t>
      </w:r>
      <w:r w:rsidR="00B638F6">
        <w:rPr>
          <w:rFonts w:ascii="Arial" w:hAnsi="Arial" w:cs="Arial"/>
          <w:sz w:val="24"/>
          <w:szCs w:val="24"/>
        </w:rPr>
        <w:t xml:space="preserve">at </w:t>
      </w:r>
      <w:r>
        <w:rPr>
          <w:rFonts w:ascii="Arial" w:hAnsi="Arial" w:cs="Arial"/>
          <w:sz w:val="24"/>
          <w:szCs w:val="24"/>
        </w:rPr>
        <w:t>registration</w:t>
      </w:r>
      <w:r>
        <w:rPr>
          <w:rFonts w:ascii="Arial" w:hAnsi="Arial" w:cs="Arial"/>
          <w:sz w:val="24"/>
          <w:szCs w:val="24"/>
        </w:rPr>
        <w:t xml:space="preserve"> renewal</w:t>
      </w:r>
      <w:r w:rsidR="004E5ADA">
        <w:rPr>
          <w:rFonts w:ascii="Arial" w:hAnsi="Arial" w:cs="Arial"/>
          <w:sz w:val="24"/>
          <w:szCs w:val="24"/>
        </w:rPr>
        <w:t>,</w:t>
      </w:r>
      <w:r w:rsidR="00B638F6">
        <w:rPr>
          <w:rFonts w:ascii="Arial" w:hAnsi="Arial" w:cs="Arial"/>
          <w:sz w:val="24"/>
          <w:szCs w:val="24"/>
        </w:rPr>
        <w:t xml:space="preserve"> as linked </w:t>
      </w:r>
      <w:r>
        <w:rPr>
          <w:rFonts w:ascii="Arial" w:hAnsi="Arial" w:cs="Arial"/>
          <w:sz w:val="24"/>
          <w:szCs w:val="24"/>
        </w:rPr>
        <w:t>to these three APST focus areas.</w:t>
      </w:r>
      <w:r>
        <w:rPr>
          <w:rFonts w:ascii="Arial" w:hAnsi="Arial" w:cs="Arial"/>
          <w:sz w:val="24"/>
          <w:szCs w:val="24"/>
        </w:rPr>
        <w:t xml:space="preserve"> </w:t>
      </w:r>
      <w:r w:rsidR="00B638F6">
        <w:rPr>
          <w:rFonts w:ascii="Arial" w:hAnsi="Arial" w:cs="Arial"/>
          <w:sz w:val="24"/>
          <w:szCs w:val="24"/>
        </w:rPr>
        <w:t>A</w:t>
      </w:r>
      <w:r>
        <w:rPr>
          <w:rFonts w:ascii="Arial" w:hAnsi="Arial" w:cs="Arial"/>
          <w:sz w:val="24"/>
          <w:szCs w:val="24"/>
        </w:rPr>
        <w:t xml:space="preserve"> </w:t>
      </w:r>
      <w:hyperlink r:id="rId15" w:history="1">
        <w:r w:rsidRPr="00D45294">
          <w:rPr>
            <w:rStyle w:val="Hyperlink"/>
            <w:rFonts w:ascii="Arial" w:hAnsi="Arial" w:cs="Arial"/>
            <w:sz w:val="24"/>
            <w:szCs w:val="24"/>
          </w:rPr>
          <w:t>recent review</w:t>
        </w:r>
      </w:hyperlink>
      <w:r>
        <w:rPr>
          <w:rFonts w:ascii="Arial" w:hAnsi="Arial" w:cs="Arial"/>
          <w:sz w:val="24"/>
          <w:szCs w:val="24"/>
        </w:rPr>
        <w:t xml:space="preserve"> found that it was not possible to determine the success of this initiative due to the lack of specificity or oversight</w:t>
      </w:r>
      <w:r w:rsidR="004E5ADA">
        <w:rPr>
          <w:rFonts w:ascii="Arial" w:hAnsi="Arial" w:cs="Arial"/>
          <w:sz w:val="24"/>
          <w:szCs w:val="24"/>
        </w:rPr>
        <w:t>, or follow-up with teachers who had not sufficiently complied or provided documentation of their compliance with this requirement</w:t>
      </w:r>
      <w:r>
        <w:rPr>
          <w:rFonts w:ascii="Arial" w:hAnsi="Arial" w:cs="Arial"/>
          <w:sz w:val="24"/>
          <w:szCs w:val="24"/>
        </w:rPr>
        <w:t>.</w:t>
      </w:r>
      <w:r>
        <w:rPr>
          <w:rFonts w:ascii="Arial" w:hAnsi="Arial" w:cs="Arial"/>
          <w:sz w:val="24"/>
          <w:szCs w:val="24"/>
        </w:rPr>
        <w:t xml:space="preserve"> </w:t>
      </w:r>
      <w:r>
        <w:rPr>
          <w:rFonts w:ascii="Arial" w:hAnsi="Arial" w:cs="Arial"/>
          <w:sz w:val="24"/>
          <w:szCs w:val="24"/>
        </w:rPr>
        <w:t xml:space="preserve">Clearly </w:t>
      </w:r>
      <w:r w:rsidR="00B638F6">
        <w:rPr>
          <w:rFonts w:ascii="Arial" w:hAnsi="Arial" w:cs="Arial"/>
          <w:sz w:val="24"/>
          <w:szCs w:val="24"/>
        </w:rPr>
        <w:t>n</w:t>
      </w:r>
      <w:r>
        <w:rPr>
          <w:rFonts w:ascii="Arial" w:hAnsi="Arial" w:cs="Arial"/>
          <w:sz w:val="24"/>
          <w:szCs w:val="24"/>
        </w:rPr>
        <w:t xml:space="preserve">either the APST, nor the </w:t>
      </w:r>
      <w:r w:rsidR="00B638F6">
        <w:rPr>
          <w:rFonts w:ascii="Arial" w:hAnsi="Arial" w:cs="Arial"/>
          <w:sz w:val="24"/>
          <w:szCs w:val="24"/>
        </w:rPr>
        <w:t>APSP</w:t>
      </w:r>
      <w:r>
        <w:rPr>
          <w:rFonts w:ascii="Arial" w:hAnsi="Arial" w:cs="Arial"/>
          <w:sz w:val="24"/>
          <w:szCs w:val="24"/>
        </w:rPr>
        <w:t xml:space="preserve"> are fit for purpose in improving </w:t>
      </w:r>
      <w:r w:rsidR="004E5ADA">
        <w:rPr>
          <w:rFonts w:ascii="Arial" w:hAnsi="Arial" w:cs="Arial"/>
          <w:sz w:val="24"/>
          <w:szCs w:val="24"/>
        </w:rPr>
        <w:t xml:space="preserve">workforce </w:t>
      </w:r>
      <w:r>
        <w:rPr>
          <w:rFonts w:ascii="Arial" w:hAnsi="Arial" w:cs="Arial"/>
          <w:sz w:val="24"/>
          <w:szCs w:val="24"/>
        </w:rPr>
        <w:t>knowledge of schools’ obligations under the DSE</w:t>
      </w:r>
      <w:r w:rsidR="00B638F6">
        <w:rPr>
          <w:rFonts w:ascii="Arial" w:hAnsi="Arial" w:cs="Arial"/>
          <w:sz w:val="24"/>
          <w:szCs w:val="24"/>
        </w:rPr>
        <w:t xml:space="preserve">. A better option would be the use of targeted e-modules. </w:t>
      </w:r>
    </w:p>
    <w:p w:rsidR="00B331CE" w:rsidRDefault="00886CEE" w:rsidP="004E5ADA">
      <w:pPr>
        <w:rPr>
          <w:rFonts w:ascii="Arial" w:hAnsi="Arial" w:cs="Arial"/>
          <w:sz w:val="24"/>
          <w:szCs w:val="24"/>
        </w:rPr>
      </w:pPr>
      <w:r>
        <w:rPr>
          <w:rFonts w:ascii="Arial" w:hAnsi="Arial" w:cs="Arial"/>
          <w:sz w:val="24"/>
          <w:szCs w:val="24"/>
        </w:rPr>
        <w:t xml:space="preserve">Since the last DSE review, </w:t>
      </w:r>
      <w:r w:rsidR="004E5ADA">
        <w:rPr>
          <w:rFonts w:ascii="Arial" w:hAnsi="Arial" w:cs="Arial"/>
          <w:sz w:val="24"/>
          <w:szCs w:val="24"/>
        </w:rPr>
        <w:t>the UC modules</w:t>
      </w:r>
      <w:r>
        <w:rPr>
          <w:rFonts w:ascii="Arial" w:hAnsi="Arial" w:cs="Arial"/>
          <w:sz w:val="24"/>
          <w:szCs w:val="24"/>
        </w:rPr>
        <w:t xml:space="preserve"> have been updated and rehoused onto the </w:t>
      </w:r>
      <w:hyperlink r:id="rId16" w:history="1">
        <w:r w:rsidRPr="00886CEE">
          <w:rPr>
            <w:rStyle w:val="Hyperlink"/>
            <w:rFonts w:ascii="Arial" w:hAnsi="Arial" w:cs="Arial"/>
            <w:sz w:val="24"/>
            <w:szCs w:val="24"/>
          </w:rPr>
          <w:t>NCCD professional learning</w:t>
        </w:r>
        <w:r>
          <w:rPr>
            <w:rStyle w:val="Hyperlink"/>
            <w:rFonts w:ascii="Arial" w:hAnsi="Arial" w:cs="Arial"/>
            <w:sz w:val="24"/>
            <w:szCs w:val="24"/>
          </w:rPr>
          <w:t xml:space="preserve"> portal</w:t>
        </w:r>
      </w:hyperlink>
      <w:r>
        <w:rPr>
          <w:rFonts w:ascii="Arial" w:hAnsi="Arial" w:cs="Arial"/>
          <w:sz w:val="24"/>
          <w:szCs w:val="24"/>
        </w:rPr>
        <w:t xml:space="preserve"> </w:t>
      </w:r>
      <w:r w:rsidR="00BC08D2">
        <w:rPr>
          <w:rFonts w:ascii="Arial" w:hAnsi="Arial" w:cs="Arial"/>
          <w:sz w:val="24"/>
          <w:szCs w:val="24"/>
        </w:rPr>
        <w:t xml:space="preserve">where the paywall has been removed </w:t>
      </w:r>
      <w:r w:rsidR="00B638F6">
        <w:rPr>
          <w:rFonts w:ascii="Arial" w:hAnsi="Arial" w:cs="Arial"/>
          <w:sz w:val="24"/>
          <w:szCs w:val="24"/>
        </w:rPr>
        <w:t>and</w:t>
      </w:r>
      <w:r w:rsidR="00BC08D2">
        <w:rPr>
          <w:rFonts w:ascii="Arial" w:hAnsi="Arial" w:cs="Arial"/>
          <w:sz w:val="24"/>
          <w:szCs w:val="24"/>
        </w:rPr>
        <w:t xml:space="preserve"> the content</w:t>
      </w:r>
      <w:r>
        <w:rPr>
          <w:rFonts w:ascii="Arial" w:hAnsi="Arial" w:cs="Arial"/>
          <w:sz w:val="24"/>
          <w:szCs w:val="24"/>
        </w:rPr>
        <w:t xml:space="preserve"> expanded considerably. </w:t>
      </w:r>
      <w:r w:rsidR="00D84FDF" w:rsidRPr="00290BD0">
        <w:rPr>
          <w:rFonts w:ascii="Arial" w:hAnsi="Arial" w:cs="Arial"/>
          <w:sz w:val="24"/>
          <w:szCs w:val="24"/>
        </w:rPr>
        <w:t xml:space="preserve"> </w:t>
      </w:r>
      <w:r w:rsidR="00F42172">
        <w:rPr>
          <w:rFonts w:ascii="Arial" w:hAnsi="Arial" w:cs="Arial"/>
          <w:sz w:val="24"/>
          <w:szCs w:val="24"/>
        </w:rPr>
        <w:t>A recommendation that I make for the 2020 DSE review</w:t>
      </w:r>
      <w:r w:rsidR="00B638F6">
        <w:rPr>
          <w:rFonts w:ascii="Arial" w:hAnsi="Arial" w:cs="Arial"/>
          <w:sz w:val="24"/>
          <w:szCs w:val="24"/>
        </w:rPr>
        <w:t xml:space="preserve"> team</w:t>
      </w:r>
      <w:r w:rsidR="00F42172">
        <w:rPr>
          <w:rFonts w:ascii="Arial" w:hAnsi="Arial" w:cs="Arial"/>
          <w:sz w:val="24"/>
          <w:szCs w:val="24"/>
        </w:rPr>
        <w:t xml:space="preserve"> is to draw on previous lessons that improvements </w:t>
      </w:r>
      <w:r w:rsidR="00B638F6">
        <w:rPr>
          <w:rFonts w:ascii="Arial" w:hAnsi="Arial" w:cs="Arial"/>
          <w:sz w:val="24"/>
          <w:szCs w:val="24"/>
        </w:rPr>
        <w:t>are achievable through carefully targeted</w:t>
      </w:r>
      <w:r w:rsidR="009451B0">
        <w:rPr>
          <w:rFonts w:ascii="Arial" w:hAnsi="Arial" w:cs="Arial"/>
          <w:sz w:val="24"/>
          <w:szCs w:val="24"/>
        </w:rPr>
        <w:t xml:space="preserve"> </w:t>
      </w:r>
      <w:r w:rsidR="00F42172">
        <w:rPr>
          <w:rFonts w:ascii="Arial" w:hAnsi="Arial" w:cs="Arial"/>
          <w:sz w:val="24"/>
          <w:szCs w:val="24"/>
        </w:rPr>
        <w:t xml:space="preserve">pre-service teacher education </w:t>
      </w:r>
      <w:r w:rsidR="00B638F6">
        <w:rPr>
          <w:rFonts w:ascii="Arial" w:hAnsi="Arial" w:cs="Arial"/>
          <w:sz w:val="24"/>
          <w:szCs w:val="24"/>
        </w:rPr>
        <w:t xml:space="preserve">and </w:t>
      </w:r>
      <w:r w:rsidR="00F42172">
        <w:rPr>
          <w:rFonts w:ascii="Arial" w:hAnsi="Arial" w:cs="Arial"/>
          <w:sz w:val="24"/>
          <w:szCs w:val="24"/>
        </w:rPr>
        <w:t>quality professional learning</w:t>
      </w:r>
      <w:r w:rsidR="009451B0">
        <w:rPr>
          <w:rFonts w:ascii="Arial" w:hAnsi="Arial" w:cs="Arial"/>
          <w:sz w:val="24"/>
          <w:szCs w:val="24"/>
        </w:rPr>
        <w:t>, and to</w:t>
      </w:r>
      <w:r w:rsidR="004E5ADA">
        <w:rPr>
          <w:rFonts w:ascii="Arial" w:hAnsi="Arial" w:cs="Arial"/>
          <w:sz w:val="24"/>
          <w:szCs w:val="24"/>
        </w:rPr>
        <w:t xml:space="preserve"> </w:t>
      </w:r>
      <w:r w:rsidR="00B638F6">
        <w:rPr>
          <w:rFonts w:ascii="Arial" w:hAnsi="Arial" w:cs="Arial"/>
          <w:sz w:val="24"/>
          <w:szCs w:val="24"/>
        </w:rPr>
        <w:t>leverage the</w:t>
      </w:r>
      <w:r w:rsidR="00B638F6">
        <w:rPr>
          <w:rFonts w:ascii="Arial" w:hAnsi="Arial" w:cs="Arial"/>
          <w:sz w:val="24"/>
          <w:szCs w:val="24"/>
        </w:rPr>
        <w:t xml:space="preserve"> NCCD professional learning</w:t>
      </w:r>
      <w:r w:rsidR="00B638F6">
        <w:rPr>
          <w:rFonts w:ascii="Arial" w:hAnsi="Arial" w:cs="Arial"/>
          <w:sz w:val="24"/>
          <w:szCs w:val="24"/>
        </w:rPr>
        <w:t xml:space="preserve"> modules that are high in quality for the teaching workforce, but to have these expanded to cater</w:t>
      </w:r>
      <w:r w:rsidR="00FE1BB5">
        <w:rPr>
          <w:rFonts w:ascii="Arial" w:hAnsi="Arial" w:cs="Arial"/>
          <w:sz w:val="24"/>
          <w:szCs w:val="24"/>
        </w:rPr>
        <w:t xml:space="preserve"> also</w:t>
      </w:r>
      <w:r w:rsidR="00B638F6">
        <w:rPr>
          <w:rFonts w:ascii="Arial" w:hAnsi="Arial" w:cs="Arial"/>
          <w:sz w:val="24"/>
          <w:szCs w:val="24"/>
        </w:rPr>
        <w:t xml:space="preserve"> to school leaders</w:t>
      </w:r>
      <w:r w:rsidR="00171621">
        <w:rPr>
          <w:rFonts w:ascii="Arial" w:hAnsi="Arial" w:cs="Arial"/>
          <w:sz w:val="24"/>
          <w:szCs w:val="24"/>
        </w:rPr>
        <w:t xml:space="preserve">. I recommend that in schools’ documentation of their compliance with their obligations </w:t>
      </w:r>
      <w:proofErr w:type="spellStart"/>
      <w:r w:rsidR="00171621">
        <w:rPr>
          <w:rFonts w:ascii="Arial" w:hAnsi="Arial" w:cs="Arial"/>
          <w:sz w:val="24"/>
          <w:szCs w:val="24"/>
        </w:rPr>
        <w:t>under</w:t>
      </w:r>
      <w:proofErr w:type="spellEnd"/>
      <w:r w:rsidR="00171621">
        <w:rPr>
          <w:rFonts w:ascii="Arial" w:hAnsi="Arial" w:cs="Arial"/>
          <w:sz w:val="24"/>
          <w:szCs w:val="24"/>
        </w:rPr>
        <w:t xml:space="preserve"> the DSE </w:t>
      </w:r>
      <w:r w:rsidR="00534F89">
        <w:rPr>
          <w:rFonts w:ascii="Arial" w:hAnsi="Arial" w:cs="Arial"/>
          <w:sz w:val="24"/>
          <w:szCs w:val="24"/>
        </w:rPr>
        <w:t>as captured through the NCCD</w:t>
      </w:r>
      <w:r w:rsidR="00B638F6">
        <w:rPr>
          <w:rFonts w:ascii="Arial" w:hAnsi="Arial" w:cs="Arial"/>
          <w:sz w:val="24"/>
          <w:szCs w:val="24"/>
        </w:rPr>
        <w:t>, they also document the completion of a minimum number of NCCD professional learning modules by the principal and the NCCD team involved in collecting and lodging the school data</w:t>
      </w:r>
      <w:r w:rsidR="00FE1BB5">
        <w:rPr>
          <w:rFonts w:ascii="Arial" w:hAnsi="Arial" w:cs="Arial"/>
          <w:sz w:val="24"/>
          <w:szCs w:val="24"/>
        </w:rPr>
        <w:t>, as</w:t>
      </w:r>
      <w:r w:rsidR="00883710">
        <w:rPr>
          <w:rFonts w:ascii="Arial" w:hAnsi="Arial" w:cs="Arial"/>
          <w:sz w:val="24"/>
          <w:szCs w:val="24"/>
        </w:rPr>
        <w:t xml:space="preserve"> relevant to their</w:t>
      </w:r>
      <w:r w:rsidR="009451B0">
        <w:rPr>
          <w:rFonts w:ascii="Arial" w:hAnsi="Arial" w:cs="Arial"/>
          <w:sz w:val="24"/>
          <w:szCs w:val="24"/>
        </w:rPr>
        <w:t xml:space="preserve"> student cohort</w:t>
      </w:r>
      <w:r w:rsidR="00883710">
        <w:rPr>
          <w:rFonts w:ascii="Arial" w:hAnsi="Arial" w:cs="Arial"/>
          <w:sz w:val="24"/>
          <w:szCs w:val="24"/>
        </w:rPr>
        <w:t xml:space="preserve">. Further, I suggest that the DSE review could recommend the national and state governments work with </w:t>
      </w:r>
      <w:r w:rsidR="00FE1BB5">
        <w:rPr>
          <w:rFonts w:ascii="Arial" w:hAnsi="Arial" w:cs="Arial"/>
          <w:sz w:val="24"/>
          <w:szCs w:val="24"/>
        </w:rPr>
        <w:t xml:space="preserve">their respective </w:t>
      </w:r>
      <w:r w:rsidR="00883710">
        <w:rPr>
          <w:rFonts w:ascii="Arial" w:hAnsi="Arial" w:cs="Arial"/>
          <w:sz w:val="24"/>
          <w:szCs w:val="24"/>
        </w:rPr>
        <w:t xml:space="preserve">teacher registration bodies regarding an appropriate minimum number of these professional learning modules that </w:t>
      </w:r>
      <w:r w:rsidR="009451B0">
        <w:rPr>
          <w:rFonts w:ascii="Arial" w:hAnsi="Arial" w:cs="Arial"/>
          <w:sz w:val="24"/>
          <w:szCs w:val="24"/>
        </w:rPr>
        <w:t>should be undertaken by</w:t>
      </w:r>
      <w:r w:rsidR="00883710">
        <w:rPr>
          <w:rFonts w:ascii="Arial" w:hAnsi="Arial" w:cs="Arial"/>
          <w:sz w:val="24"/>
          <w:szCs w:val="24"/>
        </w:rPr>
        <w:t xml:space="preserve"> graduate </w:t>
      </w:r>
      <w:r w:rsidR="009451B0">
        <w:rPr>
          <w:rFonts w:ascii="Arial" w:hAnsi="Arial" w:cs="Arial"/>
          <w:sz w:val="24"/>
          <w:szCs w:val="24"/>
        </w:rPr>
        <w:t xml:space="preserve">teachers </w:t>
      </w:r>
      <w:r w:rsidR="00883710">
        <w:rPr>
          <w:rFonts w:ascii="Arial" w:hAnsi="Arial" w:cs="Arial"/>
          <w:sz w:val="24"/>
          <w:szCs w:val="24"/>
        </w:rPr>
        <w:t>to achieve full registration</w:t>
      </w:r>
      <w:r w:rsidR="00FE1BB5">
        <w:rPr>
          <w:rFonts w:ascii="Arial" w:hAnsi="Arial" w:cs="Arial"/>
          <w:sz w:val="24"/>
          <w:szCs w:val="24"/>
        </w:rPr>
        <w:t>, and for teachers in renewing their registration</w:t>
      </w:r>
      <w:r w:rsidR="00534F89">
        <w:rPr>
          <w:rFonts w:ascii="Arial" w:hAnsi="Arial" w:cs="Arial"/>
          <w:sz w:val="24"/>
          <w:szCs w:val="24"/>
        </w:rPr>
        <w:t xml:space="preserve">. </w:t>
      </w:r>
    </w:p>
    <w:p w:rsidR="00883710" w:rsidRPr="00883710" w:rsidRDefault="00883710" w:rsidP="00883710">
      <w:pPr>
        <w:pStyle w:val="Heading2"/>
      </w:pPr>
      <w:r w:rsidRPr="00883710">
        <w:t xml:space="preserve">In the 15 years since the Standards were developed, have the Standards contributed towards students with disability being able to access education and training opportunities on the same basis as students without disabilities? </w:t>
      </w:r>
    </w:p>
    <w:p w:rsidR="00883710" w:rsidRDefault="00883710" w:rsidP="00B331CE">
      <w:pPr>
        <w:rPr>
          <w:rFonts w:ascii="Arial" w:hAnsi="Arial" w:cs="Arial"/>
          <w:sz w:val="24"/>
          <w:szCs w:val="24"/>
        </w:rPr>
      </w:pPr>
    </w:p>
    <w:p w:rsidR="00BD080C" w:rsidRDefault="00501F44" w:rsidP="00B331CE">
      <w:pPr>
        <w:rPr>
          <w:rFonts w:ascii="Arial" w:hAnsi="Arial" w:cs="Arial"/>
          <w:sz w:val="24"/>
          <w:szCs w:val="24"/>
        </w:rPr>
      </w:pPr>
      <w:r>
        <w:rPr>
          <w:rFonts w:ascii="Arial" w:hAnsi="Arial" w:cs="Arial"/>
          <w:sz w:val="24"/>
          <w:szCs w:val="24"/>
        </w:rPr>
        <w:t xml:space="preserve">In this section I discuss the failure of the Standards to address </w:t>
      </w:r>
      <w:r>
        <w:rPr>
          <w:rFonts w:ascii="Arial" w:hAnsi="Arial" w:cs="Arial"/>
          <w:sz w:val="24"/>
          <w:szCs w:val="24"/>
        </w:rPr>
        <w:t>the persistent</w:t>
      </w:r>
      <w:r>
        <w:rPr>
          <w:rFonts w:ascii="Arial" w:hAnsi="Arial" w:cs="Arial"/>
          <w:sz w:val="24"/>
          <w:szCs w:val="24"/>
        </w:rPr>
        <w:t xml:space="preserve"> issue of discrimination in Australia</w:t>
      </w:r>
      <w:r>
        <w:rPr>
          <w:rFonts w:ascii="Arial" w:hAnsi="Arial" w:cs="Arial"/>
          <w:sz w:val="24"/>
          <w:szCs w:val="24"/>
        </w:rPr>
        <w:t>n education</w:t>
      </w:r>
      <w:r>
        <w:rPr>
          <w:rFonts w:ascii="Arial" w:hAnsi="Arial" w:cs="Arial"/>
          <w:sz w:val="24"/>
          <w:szCs w:val="24"/>
        </w:rPr>
        <w:t>, and how this undermines the DSE purpose of ensuring students with disability can access an education on the same basis as students without disabilities.</w:t>
      </w:r>
      <w:r>
        <w:rPr>
          <w:rFonts w:ascii="Arial" w:hAnsi="Arial" w:cs="Arial"/>
          <w:sz w:val="24"/>
          <w:szCs w:val="24"/>
        </w:rPr>
        <w:t xml:space="preserve"> </w:t>
      </w:r>
      <w:r w:rsidR="00BD080C">
        <w:rPr>
          <w:rFonts w:ascii="Arial" w:hAnsi="Arial" w:cs="Arial"/>
          <w:sz w:val="24"/>
          <w:szCs w:val="24"/>
        </w:rPr>
        <w:t xml:space="preserve">In the 15 years since the Standards were developed, there have been many improvements in aspects of how education is provided for students with disabilities. However, as noted by the review of the </w:t>
      </w:r>
      <w:hyperlink r:id="rId17" w:history="1">
        <w:r w:rsidR="00BD080C" w:rsidRPr="00BD080C">
          <w:rPr>
            <w:rStyle w:val="Hyperlink"/>
            <w:rFonts w:ascii="Arial" w:hAnsi="Arial" w:cs="Arial"/>
            <w:sz w:val="24"/>
            <w:szCs w:val="24"/>
          </w:rPr>
          <w:t>DDA in 2005</w:t>
        </w:r>
      </w:hyperlink>
      <w:r w:rsidR="00BD080C">
        <w:rPr>
          <w:rFonts w:ascii="Arial" w:hAnsi="Arial" w:cs="Arial"/>
          <w:sz w:val="24"/>
          <w:szCs w:val="24"/>
        </w:rPr>
        <w:t xml:space="preserve"> in the year prior to the release of the Standards,</w:t>
      </w:r>
      <w:r w:rsidR="00BD080C" w:rsidRPr="00BD080C">
        <w:rPr>
          <w:rFonts w:ascii="Arial" w:eastAsia="Times New Roman" w:hAnsi="Arial" w:cs="Arial"/>
          <w:sz w:val="22"/>
          <w:szCs w:val="22"/>
          <w:lang w:eastAsia="en-AU"/>
        </w:rPr>
        <w:t xml:space="preserve"> </w:t>
      </w:r>
      <w:r w:rsidR="00BD080C" w:rsidRPr="00BD080C">
        <w:rPr>
          <w:rFonts w:ascii="Arial" w:hAnsi="Arial" w:cs="Arial"/>
          <w:sz w:val="24"/>
          <w:szCs w:val="24"/>
        </w:rPr>
        <w:t>“arguably, one of the most serious forms of disability discrimination (in terms of long-term effects on individuals) is exclusion from, and segregation in, education”</w:t>
      </w:r>
      <w:r w:rsidR="00BD080C">
        <w:rPr>
          <w:rFonts w:ascii="Arial" w:hAnsi="Arial" w:cs="Arial"/>
          <w:sz w:val="24"/>
          <w:szCs w:val="24"/>
        </w:rPr>
        <w:t xml:space="preserve"> (p. 83). </w:t>
      </w:r>
    </w:p>
    <w:p w:rsidR="00386827" w:rsidRDefault="00386827" w:rsidP="00386827">
      <w:pPr>
        <w:rPr>
          <w:rFonts w:ascii="Arial" w:hAnsi="Arial" w:cs="Arial"/>
          <w:sz w:val="24"/>
          <w:szCs w:val="24"/>
        </w:rPr>
      </w:pPr>
      <w:r>
        <w:rPr>
          <w:rFonts w:ascii="Arial" w:hAnsi="Arial" w:cs="Arial"/>
          <w:sz w:val="24"/>
          <w:szCs w:val="24"/>
        </w:rPr>
        <w:t xml:space="preserve">It is indisputable that segregation in education is discrimination. </w:t>
      </w:r>
      <w:r>
        <w:rPr>
          <w:rFonts w:ascii="Arial" w:hAnsi="Arial" w:cs="Arial"/>
          <w:sz w:val="24"/>
          <w:szCs w:val="24"/>
        </w:rPr>
        <w:t xml:space="preserve">Under the </w:t>
      </w:r>
      <w:hyperlink r:id="rId18" w:history="1">
        <w:r w:rsidRPr="004A2C14">
          <w:rPr>
            <w:rStyle w:val="Hyperlink"/>
            <w:rFonts w:ascii="Arial" w:hAnsi="Arial" w:cs="Arial"/>
            <w:sz w:val="24"/>
            <w:szCs w:val="24"/>
          </w:rPr>
          <w:t>Convention on the Rights of Persons with Disabilities</w:t>
        </w:r>
      </w:hyperlink>
      <w:r>
        <w:rPr>
          <w:rFonts w:ascii="Arial" w:hAnsi="Arial" w:cs="Arial"/>
          <w:sz w:val="24"/>
          <w:szCs w:val="24"/>
        </w:rPr>
        <w:t xml:space="preserve"> (CRPD), the human right to an education is clarified as being the right to an </w:t>
      </w:r>
      <w:r w:rsidRPr="004A2C14">
        <w:rPr>
          <w:rFonts w:ascii="Arial" w:hAnsi="Arial" w:cs="Arial"/>
          <w:i/>
          <w:sz w:val="24"/>
          <w:szCs w:val="24"/>
        </w:rPr>
        <w:t>inclusive</w:t>
      </w:r>
      <w:r>
        <w:rPr>
          <w:rFonts w:ascii="Arial" w:hAnsi="Arial" w:cs="Arial"/>
          <w:sz w:val="24"/>
          <w:szCs w:val="24"/>
        </w:rPr>
        <w:t xml:space="preserve"> education</w:t>
      </w:r>
      <w:r>
        <w:rPr>
          <w:rFonts w:ascii="Arial" w:hAnsi="Arial" w:cs="Arial"/>
          <w:sz w:val="24"/>
          <w:szCs w:val="24"/>
        </w:rPr>
        <w:t>. Inclusive education is then clearly defined within</w:t>
      </w:r>
      <w:r>
        <w:rPr>
          <w:rFonts w:ascii="Arial" w:hAnsi="Arial" w:cs="Arial"/>
          <w:sz w:val="24"/>
          <w:szCs w:val="24"/>
        </w:rPr>
        <w:t xml:space="preserve"> </w:t>
      </w:r>
      <w:hyperlink r:id="rId19" w:history="1">
        <w:r w:rsidRPr="004A2C14">
          <w:rPr>
            <w:rStyle w:val="Hyperlink"/>
            <w:rFonts w:ascii="Arial" w:hAnsi="Arial" w:cs="Arial"/>
            <w:sz w:val="24"/>
            <w:szCs w:val="24"/>
          </w:rPr>
          <w:t>General Comment 4</w:t>
        </w:r>
      </w:hyperlink>
      <w:r>
        <w:rPr>
          <w:rFonts w:ascii="Arial" w:hAnsi="Arial" w:cs="Arial"/>
          <w:sz w:val="24"/>
          <w:szCs w:val="24"/>
        </w:rPr>
        <w:t xml:space="preserve"> on Article 24: Education within the CRPD</w:t>
      </w:r>
      <w:r>
        <w:rPr>
          <w:rFonts w:ascii="Arial" w:hAnsi="Arial" w:cs="Arial"/>
          <w:sz w:val="24"/>
          <w:szCs w:val="24"/>
        </w:rPr>
        <w:t xml:space="preserve"> as in</w:t>
      </w:r>
      <w:r>
        <w:rPr>
          <w:rFonts w:ascii="Arial" w:hAnsi="Arial" w:cs="Arial"/>
          <w:sz w:val="24"/>
          <w:szCs w:val="24"/>
        </w:rPr>
        <w:t>consistent with segregation, integration and exclusion within General paragraph 11</w:t>
      </w:r>
      <w:r w:rsidR="004E5ADA">
        <w:rPr>
          <w:rFonts w:ascii="Arial" w:hAnsi="Arial" w:cs="Arial"/>
          <w:sz w:val="24"/>
          <w:szCs w:val="24"/>
        </w:rPr>
        <w:t xml:space="preserve"> as follows</w:t>
      </w:r>
      <w:r>
        <w:rPr>
          <w:rFonts w:ascii="Arial" w:hAnsi="Arial" w:cs="Arial"/>
          <w:sz w:val="24"/>
          <w:szCs w:val="24"/>
        </w:rPr>
        <w:t>:</w:t>
      </w:r>
    </w:p>
    <w:p w:rsidR="00386827" w:rsidRPr="00602735" w:rsidRDefault="00386827" w:rsidP="00386827">
      <w:pPr>
        <w:ind w:left="720" w:right="804"/>
        <w:rPr>
          <w:rFonts w:ascii="Arial" w:hAnsi="Arial" w:cs="Arial"/>
          <w:szCs w:val="24"/>
        </w:rPr>
      </w:pPr>
      <w:r w:rsidRPr="00602735">
        <w:rPr>
          <w:rFonts w:ascii="Arial" w:hAnsi="Arial" w:cs="Arial"/>
          <w:szCs w:val="24"/>
        </w:rPr>
        <w:t xml:space="preserve">The Committee highlights the importance of recognising the differences between exclusion, segregation, integration and inclusion. </w:t>
      </w:r>
      <w:r w:rsidRPr="00602735">
        <w:rPr>
          <w:rFonts w:ascii="Arial" w:hAnsi="Arial" w:cs="Arial"/>
          <w:i/>
          <w:iCs/>
          <w:szCs w:val="24"/>
        </w:rPr>
        <w:t xml:space="preserve">Exclusion </w:t>
      </w:r>
      <w:r w:rsidRPr="00602735">
        <w:rPr>
          <w:rFonts w:ascii="Arial" w:hAnsi="Arial" w:cs="Arial"/>
          <w:szCs w:val="24"/>
        </w:rPr>
        <w:t xml:space="preserve">occurs when students are directly or indirectly prevented from or denied access to education in any form. </w:t>
      </w:r>
      <w:r w:rsidRPr="00602735">
        <w:rPr>
          <w:rFonts w:ascii="Arial" w:hAnsi="Arial" w:cs="Arial"/>
          <w:i/>
          <w:iCs/>
          <w:szCs w:val="24"/>
        </w:rPr>
        <w:t xml:space="preserve">Segregation </w:t>
      </w:r>
      <w:r w:rsidRPr="00602735">
        <w:rPr>
          <w:rFonts w:ascii="Arial" w:hAnsi="Arial" w:cs="Arial"/>
          <w:szCs w:val="24"/>
        </w:rPr>
        <w:t xml:space="preserve">occurs when the education of students with disabilities is provided in separate environments designed or used to respond to a </w:t>
      </w:r>
      <w:proofErr w:type="gramStart"/>
      <w:r w:rsidRPr="00602735">
        <w:rPr>
          <w:rFonts w:ascii="Arial" w:hAnsi="Arial" w:cs="Arial"/>
          <w:szCs w:val="24"/>
        </w:rPr>
        <w:t>particular or various impairment</w:t>
      </w:r>
      <w:r>
        <w:rPr>
          <w:rFonts w:ascii="Arial" w:hAnsi="Arial" w:cs="Arial"/>
          <w:szCs w:val="24"/>
        </w:rPr>
        <w:t>s</w:t>
      </w:r>
      <w:proofErr w:type="gramEnd"/>
      <w:r w:rsidRPr="00602735">
        <w:rPr>
          <w:rFonts w:ascii="Arial" w:hAnsi="Arial" w:cs="Arial"/>
          <w:szCs w:val="24"/>
        </w:rPr>
        <w:t xml:space="preserve">, in isolation from students without disabilities. </w:t>
      </w:r>
      <w:r w:rsidRPr="00602735">
        <w:rPr>
          <w:rFonts w:ascii="Arial" w:hAnsi="Arial" w:cs="Arial"/>
          <w:i/>
          <w:iCs/>
          <w:szCs w:val="24"/>
        </w:rPr>
        <w:t xml:space="preserve">Integration </w:t>
      </w:r>
      <w:r w:rsidRPr="00602735">
        <w:rPr>
          <w:rFonts w:ascii="Arial" w:hAnsi="Arial" w:cs="Arial"/>
          <w:szCs w:val="24"/>
        </w:rPr>
        <w:t xml:space="preserve">is a process of placing persons with disabilities in existing mainstream educational institutions, as long as the former can adjust to the standardized requirements of such institutions.4 </w:t>
      </w:r>
      <w:r w:rsidRPr="00602735">
        <w:rPr>
          <w:rFonts w:ascii="Arial" w:hAnsi="Arial" w:cs="Arial"/>
          <w:i/>
          <w:iCs/>
          <w:szCs w:val="24"/>
        </w:rPr>
        <w:t xml:space="preserve">Inclusion </w:t>
      </w:r>
      <w:r w:rsidRPr="00602735">
        <w:rPr>
          <w:rFonts w:ascii="Arial" w:hAnsi="Arial" w:cs="Arial"/>
          <w:szCs w:val="24"/>
        </w:rPr>
        <w:t>involves a process of systemic reform embodying changes and modifications in content, teaching methods, approaches, structures and strategies in education to overcome barriers with a vision serving to provide all students of the relevant age range with an equitable and participatory learning experience and environment that best corresponds to their requirements and preferences. Placing students with disabilities within mainstream classes without accompanying structural changes to, for example, organisation, curriculum and teaching and learning strategies, does not constitute inclusion. Furthermore, integration does not automatically guarantee the transition from segregation to inclusion.</w:t>
      </w:r>
    </w:p>
    <w:p w:rsidR="00386827" w:rsidRDefault="00FE1BB5" w:rsidP="00B331CE">
      <w:pPr>
        <w:rPr>
          <w:rFonts w:ascii="Arial" w:hAnsi="Arial" w:cs="Arial"/>
          <w:sz w:val="24"/>
          <w:szCs w:val="24"/>
        </w:rPr>
      </w:pPr>
      <w:r>
        <w:rPr>
          <w:rFonts w:ascii="Arial" w:hAnsi="Arial" w:cs="Arial"/>
          <w:sz w:val="24"/>
          <w:szCs w:val="24"/>
        </w:rPr>
        <w:t>Further</w:t>
      </w:r>
      <w:r w:rsidR="00386827">
        <w:rPr>
          <w:rFonts w:ascii="Arial" w:hAnsi="Arial" w:cs="Arial"/>
          <w:sz w:val="24"/>
          <w:szCs w:val="24"/>
        </w:rPr>
        <w:t>, within</w:t>
      </w:r>
      <w:r w:rsidR="00386827">
        <w:rPr>
          <w:rFonts w:ascii="Arial" w:hAnsi="Arial" w:cs="Arial"/>
          <w:sz w:val="24"/>
          <w:szCs w:val="24"/>
        </w:rPr>
        <w:t xml:space="preserve"> General </w:t>
      </w:r>
      <w:hyperlink r:id="rId20" w:history="1">
        <w:r w:rsidR="00386827" w:rsidRPr="009451B0">
          <w:rPr>
            <w:rStyle w:val="Hyperlink"/>
            <w:rFonts w:ascii="Arial" w:hAnsi="Arial" w:cs="Arial"/>
            <w:sz w:val="24"/>
            <w:szCs w:val="24"/>
          </w:rPr>
          <w:t>Comment 6</w:t>
        </w:r>
      </w:hyperlink>
      <w:r w:rsidR="00386827">
        <w:rPr>
          <w:rFonts w:ascii="Arial" w:hAnsi="Arial" w:cs="Arial"/>
          <w:sz w:val="24"/>
          <w:szCs w:val="24"/>
        </w:rPr>
        <w:t xml:space="preserve"> on equality and non-discrimination, </w:t>
      </w:r>
      <w:r w:rsidR="00386827">
        <w:rPr>
          <w:rFonts w:ascii="Arial" w:hAnsi="Arial" w:cs="Arial"/>
          <w:sz w:val="24"/>
          <w:szCs w:val="24"/>
        </w:rPr>
        <w:t xml:space="preserve">segregation is clearly </w:t>
      </w:r>
      <w:r w:rsidR="004E5ADA">
        <w:rPr>
          <w:rFonts w:ascii="Arial" w:hAnsi="Arial" w:cs="Arial"/>
          <w:sz w:val="24"/>
          <w:szCs w:val="24"/>
        </w:rPr>
        <w:t>specified as constituting</w:t>
      </w:r>
      <w:r w:rsidR="00386827">
        <w:rPr>
          <w:rFonts w:ascii="Arial" w:hAnsi="Arial" w:cs="Arial"/>
          <w:sz w:val="24"/>
          <w:szCs w:val="24"/>
        </w:rPr>
        <w:t xml:space="preserve"> discrimination. </w:t>
      </w:r>
      <w:r w:rsidR="00386827">
        <w:rPr>
          <w:rFonts w:ascii="Arial" w:hAnsi="Arial" w:cs="Arial"/>
          <w:sz w:val="24"/>
          <w:szCs w:val="24"/>
        </w:rPr>
        <w:t>Having ratified the CRPD, and</w:t>
      </w:r>
      <w:r w:rsidR="004E5ADA">
        <w:rPr>
          <w:rFonts w:ascii="Arial" w:hAnsi="Arial" w:cs="Arial"/>
          <w:sz w:val="24"/>
          <w:szCs w:val="24"/>
        </w:rPr>
        <w:t xml:space="preserve"> thus</w:t>
      </w:r>
      <w:r w:rsidR="00386827">
        <w:rPr>
          <w:rFonts w:ascii="Arial" w:hAnsi="Arial" w:cs="Arial"/>
          <w:sz w:val="24"/>
          <w:szCs w:val="24"/>
        </w:rPr>
        <w:t xml:space="preserve"> bound to uphold the obligation for ensuring the inclusivity of the education system, Australia is therefore also bound to end segregation as outlined in General Comment 4, given that this </w:t>
      </w:r>
      <w:r w:rsidR="00386827">
        <w:rPr>
          <w:rFonts w:ascii="Arial" w:hAnsi="Arial" w:cs="Arial"/>
          <w:sz w:val="24"/>
          <w:szCs w:val="24"/>
        </w:rPr>
        <w:t>constitutes</w:t>
      </w:r>
      <w:r w:rsidR="00386827">
        <w:rPr>
          <w:rFonts w:ascii="Arial" w:hAnsi="Arial" w:cs="Arial"/>
          <w:sz w:val="24"/>
          <w:szCs w:val="24"/>
        </w:rPr>
        <w:t xml:space="preserve"> discrimination, as specified in General Comment 6</w:t>
      </w:r>
      <w:r w:rsidR="00386827">
        <w:rPr>
          <w:rFonts w:ascii="Arial" w:hAnsi="Arial" w:cs="Arial"/>
          <w:sz w:val="24"/>
          <w:szCs w:val="24"/>
        </w:rPr>
        <w:t>. Yet within t</w:t>
      </w:r>
      <w:r w:rsidR="00BD080C">
        <w:rPr>
          <w:rFonts w:ascii="Arial" w:hAnsi="Arial" w:cs="Arial"/>
          <w:sz w:val="24"/>
          <w:szCs w:val="24"/>
        </w:rPr>
        <w:t>he DSE</w:t>
      </w:r>
      <w:r w:rsidR="00386827">
        <w:rPr>
          <w:rFonts w:ascii="Arial" w:hAnsi="Arial" w:cs="Arial"/>
          <w:sz w:val="24"/>
          <w:szCs w:val="24"/>
        </w:rPr>
        <w:t>,</w:t>
      </w:r>
      <w:r w:rsidR="00BD080C">
        <w:rPr>
          <w:rFonts w:ascii="Arial" w:hAnsi="Arial" w:cs="Arial"/>
          <w:sz w:val="24"/>
          <w:szCs w:val="24"/>
        </w:rPr>
        <w:t xml:space="preserve"> the Standards by which Australia’s national anti-discrimination legislation</w:t>
      </w:r>
      <w:r w:rsidR="00386827">
        <w:rPr>
          <w:rFonts w:ascii="Arial" w:hAnsi="Arial" w:cs="Arial"/>
          <w:sz w:val="24"/>
          <w:szCs w:val="24"/>
        </w:rPr>
        <w:t xml:space="preserve"> (the DDA) is to be upheld in education, inclusion is neither defined nor the right to it inscribed. This means that our anti-discrimination</w:t>
      </w:r>
      <w:r w:rsidR="00BD080C">
        <w:rPr>
          <w:rFonts w:ascii="Arial" w:hAnsi="Arial" w:cs="Arial"/>
          <w:sz w:val="24"/>
          <w:szCs w:val="24"/>
        </w:rPr>
        <w:t xml:space="preserve"> </w:t>
      </w:r>
      <w:r w:rsidR="00386827">
        <w:rPr>
          <w:rFonts w:ascii="Arial" w:hAnsi="Arial" w:cs="Arial"/>
          <w:sz w:val="24"/>
          <w:szCs w:val="24"/>
        </w:rPr>
        <w:t>legislation is not fully compliant</w:t>
      </w:r>
      <w:r w:rsidR="00BD080C">
        <w:rPr>
          <w:rFonts w:ascii="Arial" w:hAnsi="Arial" w:cs="Arial"/>
          <w:sz w:val="24"/>
          <w:szCs w:val="24"/>
        </w:rPr>
        <w:t xml:space="preserve"> with Australia’s binding obligations </w:t>
      </w:r>
      <w:r w:rsidR="00386827">
        <w:rPr>
          <w:rFonts w:ascii="Arial" w:hAnsi="Arial" w:cs="Arial"/>
          <w:sz w:val="24"/>
          <w:szCs w:val="24"/>
        </w:rPr>
        <w:t xml:space="preserve">under the CRPD. </w:t>
      </w:r>
    </w:p>
    <w:p w:rsidR="00BD080C" w:rsidRDefault="00386827" w:rsidP="00B331CE">
      <w:pPr>
        <w:rPr>
          <w:rFonts w:ascii="Arial" w:hAnsi="Arial" w:cs="Arial"/>
          <w:sz w:val="24"/>
          <w:szCs w:val="24"/>
        </w:rPr>
      </w:pPr>
      <w:r>
        <w:rPr>
          <w:rFonts w:ascii="Arial" w:hAnsi="Arial" w:cs="Arial"/>
          <w:sz w:val="24"/>
          <w:szCs w:val="24"/>
        </w:rPr>
        <w:t>Indeed, since the DDA and the DSE were implemented in Australia,</w:t>
      </w:r>
      <w:r w:rsidR="004A2C14">
        <w:rPr>
          <w:rFonts w:ascii="Arial" w:hAnsi="Arial" w:cs="Arial"/>
          <w:sz w:val="24"/>
          <w:szCs w:val="24"/>
        </w:rPr>
        <w:t xml:space="preserve"> </w:t>
      </w:r>
      <w:hyperlink r:id="rId21" w:history="1">
        <w:r w:rsidR="004A2C14" w:rsidRPr="004A2C14">
          <w:rPr>
            <w:rStyle w:val="Hyperlink"/>
            <w:rFonts w:ascii="Arial" w:hAnsi="Arial" w:cs="Arial"/>
            <w:sz w:val="24"/>
            <w:szCs w:val="24"/>
          </w:rPr>
          <w:t>my research</w:t>
        </w:r>
      </w:hyperlink>
      <w:r w:rsidR="004A2C14">
        <w:rPr>
          <w:rFonts w:ascii="Arial" w:hAnsi="Arial" w:cs="Arial"/>
          <w:sz w:val="24"/>
          <w:szCs w:val="24"/>
        </w:rPr>
        <w:t xml:space="preserve"> on where students with disabilities have been educated </w:t>
      </w:r>
      <w:r>
        <w:rPr>
          <w:rFonts w:ascii="Arial" w:hAnsi="Arial" w:cs="Arial"/>
          <w:sz w:val="24"/>
          <w:szCs w:val="24"/>
        </w:rPr>
        <w:t>shows that</w:t>
      </w:r>
      <w:r w:rsidR="00602735">
        <w:rPr>
          <w:rFonts w:ascii="Arial" w:hAnsi="Arial" w:cs="Arial"/>
          <w:sz w:val="24"/>
          <w:szCs w:val="24"/>
        </w:rPr>
        <w:t xml:space="preserve"> </w:t>
      </w:r>
      <w:r w:rsidR="004A2C14">
        <w:rPr>
          <w:rFonts w:ascii="Arial" w:hAnsi="Arial" w:cs="Arial"/>
          <w:sz w:val="24"/>
          <w:szCs w:val="24"/>
        </w:rPr>
        <w:t>segregation has actually risen</w:t>
      </w:r>
      <w:r w:rsidR="00602735">
        <w:rPr>
          <w:rFonts w:ascii="Arial" w:hAnsi="Arial" w:cs="Arial"/>
          <w:sz w:val="24"/>
          <w:szCs w:val="24"/>
        </w:rPr>
        <w:t xml:space="preserve"> both in terms of segregating students into separate classrooms as well as into separate schools. </w:t>
      </w:r>
      <w:r w:rsidR="00B411B3">
        <w:rPr>
          <w:rFonts w:ascii="Arial" w:hAnsi="Arial" w:cs="Arial"/>
          <w:sz w:val="24"/>
          <w:szCs w:val="24"/>
        </w:rPr>
        <w:t>P</w:t>
      </w:r>
      <w:r w:rsidR="00B411B3" w:rsidRPr="00602735">
        <w:rPr>
          <w:rFonts w:ascii="Arial" w:hAnsi="Arial" w:cs="Arial"/>
          <w:sz w:val="24"/>
          <w:szCs w:val="24"/>
        </w:rPr>
        <w:t>rior to the introduction of the DDA,</w:t>
      </w:r>
      <w:r w:rsidR="00B411B3">
        <w:rPr>
          <w:rFonts w:ascii="Arial" w:hAnsi="Arial" w:cs="Arial"/>
          <w:sz w:val="24"/>
          <w:szCs w:val="24"/>
        </w:rPr>
        <w:t xml:space="preserve"> segregated</w:t>
      </w:r>
      <w:r w:rsidR="00B411B3" w:rsidRPr="00602735">
        <w:rPr>
          <w:rFonts w:ascii="Arial" w:hAnsi="Arial" w:cs="Arial"/>
          <w:sz w:val="24"/>
          <w:szCs w:val="24"/>
        </w:rPr>
        <w:t xml:space="preserve"> </w:t>
      </w:r>
      <w:r w:rsidR="00B411B3">
        <w:rPr>
          <w:rFonts w:ascii="Arial" w:hAnsi="Arial" w:cs="Arial"/>
          <w:sz w:val="24"/>
          <w:szCs w:val="24"/>
        </w:rPr>
        <w:t xml:space="preserve">“special” </w:t>
      </w:r>
      <w:r w:rsidR="00B411B3" w:rsidRPr="00602735">
        <w:rPr>
          <w:rFonts w:ascii="Arial" w:hAnsi="Arial" w:cs="Arial"/>
          <w:sz w:val="24"/>
          <w:szCs w:val="24"/>
        </w:rPr>
        <w:t>school placements fell by 50%; however, in the decade following the DDA, they rose by 115.9% and rose again by 84%</w:t>
      </w:r>
      <w:r w:rsidR="00B411B3">
        <w:rPr>
          <w:rFonts w:ascii="Arial" w:hAnsi="Arial" w:cs="Arial"/>
          <w:sz w:val="24"/>
          <w:szCs w:val="24"/>
        </w:rPr>
        <w:t xml:space="preserve"> </w:t>
      </w:r>
      <w:r w:rsidR="00B411B3" w:rsidRPr="00602735">
        <w:rPr>
          <w:rFonts w:ascii="Arial" w:hAnsi="Arial" w:cs="Arial"/>
          <w:sz w:val="24"/>
          <w:szCs w:val="24"/>
        </w:rPr>
        <w:t>after the introduction of the DSE.</w:t>
      </w:r>
      <w:r w:rsidR="00B411B3" w:rsidRPr="00602735">
        <w:rPr>
          <w:rFonts w:ascii="Arial" w:eastAsia="Times New Roman" w:hAnsi="Arial" w:cs="Arial"/>
          <w:sz w:val="24"/>
          <w:szCs w:val="24"/>
          <w:lang w:eastAsia="en-AU"/>
        </w:rPr>
        <w:t xml:space="preserve"> </w:t>
      </w:r>
      <w:r w:rsidR="00B411B3" w:rsidRPr="00602735">
        <w:rPr>
          <w:rFonts w:ascii="Arial" w:hAnsi="Arial" w:cs="Arial"/>
          <w:sz w:val="24"/>
          <w:szCs w:val="24"/>
        </w:rPr>
        <w:t xml:space="preserve">Following the introduction of the DSE, special class placements fell by 14%. However, given that regular class placements did not rise during this time, but special school placements did, it can be assumed that these students moved into more segregated environments, rather than less segregated ones. </w:t>
      </w:r>
      <w:r w:rsidR="004A2C14">
        <w:rPr>
          <w:rFonts w:ascii="Arial" w:hAnsi="Arial" w:cs="Arial"/>
          <w:sz w:val="24"/>
          <w:szCs w:val="24"/>
        </w:rPr>
        <w:t>This is clearly visible in the following graph taken from my analysis of student placement data from the years 1981-2015:</w:t>
      </w:r>
    </w:p>
    <w:p w:rsidR="004A2C14" w:rsidRDefault="004A2C14" w:rsidP="00B331CE">
      <w:pPr>
        <w:rPr>
          <w:rFonts w:ascii="Arial" w:hAnsi="Arial" w:cs="Arial"/>
          <w:sz w:val="24"/>
          <w:szCs w:val="24"/>
        </w:rPr>
      </w:pPr>
      <w:r>
        <w:rPr>
          <w:noProof/>
        </w:rPr>
        <w:drawing>
          <wp:inline distT="0" distB="0" distL="0" distR="0" wp14:anchorId="1DB77AF2" wp14:editId="7D8CE081">
            <wp:extent cx="5355157" cy="38072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13175" cy="3848476"/>
                    </a:xfrm>
                    <a:prstGeom prst="rect">
                      <a:avLst/>
                    </a:prstGeom>
                  </pic:spPr>
                </pic:pic>
              </a:graphicData>
            </a:graphic>
          </wp:inline>
        </w:drawing>
      </w:r>
    </w:p>
    <w:p w:rsidR="00602735" w:rsidRDefault="00602735" w:rsidP="00602735">
      <w:pPr>
        <w:rPr>
          <w:rFonts w:ascii="Arial" w:hAnsi="Arial" w:cs="Arial"/>
          <w:sz w:val="24"/>
          <w:szCs w:val="24"/>
        </w:rPr>
      </w:pPr>
    </w:p>
    <w:p w:rsidR="00232D86" w:rsidRDefault="00602735" w:rsidP="00232D86">
      <w:pPr>
        <w:rPr>
          <w:rFonts w:ascii="Arial" w:hAnsi="Arial" w:cs="Arial"/>
          <w:sz w:val="24"/>
          <w:szCs w:val="24"/>
        </w:rPr>
      </w:pPr>
      <w:r>
        <w:rPr>
          <w:rFonts w:ascii="Arial" w:hAnsi="Arial" w:cs="Arial"/>
          <w:sz w:val="24"/>
          <w:szCs w:val="24"/>
        </w:rPr>
        <w:t xml:space="preserve">Other </w:t>
      </w:r>
      <w:hyperlink r:id="rId23" w:history="1">
        <w:r w:rsidRPr="00602735">
          <w:rPr>
            <w:rStyle w:val="Hyperlink"/>
            <w:rFonts w:ascii="Arial" w:hAnsi="Arial" w:cs="Arial"/>
            <w:sz w:val="24"/>
            <w:szCs w:val="24"/>
          </w:rPr>
          <w:t>Australian research</w:t>
        </w:r>
      </w:hyperlink>
      <w:r>
        <w:rPr>
          <w:rFonts w:ascii="Arial" w:hAnsi="Arial" w:cs="Arial"/>
          <w:sz w:val="24"/>
          <w:szCs w:val="24"/>
        </w:rPr>
        <w:t xml:space="preserve"> suggests some reasons for this increase in discrimination as being the </w:t>
      </w:r>
      <w:r w:rsidR="00232D86">
        <w:rPr>
          <w:rFonts w:ascii="Arial" w:hAnsi="Arial" w:cs="Arial"/>
          <w:sz w:val="24"/>
          <w:szCs w:val="24"/>
        </w:rPr>
        <w:t>persistence</w:t>
      </w:r>
      <w:r w:rsidR="004E5ADA">
        <w:rPr>
          <w:rFonts w:ascii="Arial" w:hAnsi="Arial" w:cs="Arial"/>
          <w:sz w:val="24"/>
          <w:szCs w:val="24"/>
        </w:rPr>
        <w:t xml:space="preserve"> of</w:t>
      </w:r>
      <w:r w:rsidR="00232D86">
        <w:rPr>
          <w:rFonts w:ascii="Arial" w:hAnsi="Arial" w:cs="Arial"/>
          <w:sz w:val="24"/>
          <w:szCs w:val="24"/>
        </w:rPr>
        <w:t xml:space="preserve"> </w:t>
      </w:r>
      <w:r>
        <w:rPr>
          <w:rFonts w:ascii="Arial" w:hAnsi="Arial" w:cs="Arial"/>
          <w:sz w:val="24"/>
          <w:szCs w:val="24"/>
        </w:rPr>
        <w:t>gatekeeping and restrictive practices</w:t>
      </w:r>
      <w:r w:rsidR="00232D86">
        <w:rPr>
          <w:rFonts w:ascii="Arial" w:hAnsi="Arial" w:cs="Arial"/>
          <w:sz w:val="24"/>
          <w:szCs w:val="24"/>
        </w:rPr>
        <w:t>. In this research, over 70% of surveyed Australian family members of a student with a disability reported having experienced “</w:t>
      </w:r>
      <w:r w:rsidR="00232D86" w:rsidRPr="00232D86">
        <w:rPr>
          <w:rFonts w:ascii="Arial" w:hAnsi="Arial" w:cs="Arial"/>
          <w:sz w:val="24"/>
          <w:szCs w:val="24"/>
        </w:rPr>
        <w:t>gatekeeping practices whereby schools seek to</w:t>
      </w:r>
      <w:r w:rsidR="00232D86">
        <w:rPr>
          <w:rFonts w:ascii="Arial" w:hAnsi="Arial" w:cs="Arial"/>
          <w:sz w:val="24"/>
          <w:szCs w:val="24"/>
        </w:rPr>
        <w:t xml:space="preserve"> </w:t>
      </w:r>
      <w:r w:rsidR="00232D86" w:rsidRPr="00232D86">
        <w:rPr>
          <w:rFonts w:ascii="Arial" w:hAnsi="Arial" w:cs="Arial"/>
          <w:sz w:val="24"/>
          <w:szCs w:val="24"/>
        </w:rPr>
        <w:t>minimise enrolment and participation through the use of a range of Restrictive Behavio</w:t>
      </w:r>
      <w:r w:rsidR="00D00BB3">
        <w:rPr>
          <w:rFonts w:ascii="Arial" w:hAnsi="Arial" w:cs="Arial"/>
          <w:sz w:val="24"/>
          <w:szCs w:val="24"/>
        </w:rPr>
        <w:t>u</w:t>
      </w:r>
      <w:r w:rsidR="00232D86" w:rsidRPr="00232D86">
        <w:rPr>
          <w:rFonts w:ascii="Arial" w:hAnsi="Arial" w:cs="Arial"/>
          <w:sz w:val="24"/>
          <w:szCs w:val="24"/>
        </w:rPr>
        <w:t>r</w:t>
      </w:r>
      <w:r w:rsidR="00232D86">
        <w:rPr>
          <w:rFonts w:ascii="Arial" w:hAnsi="Arial" w:cs="Arial"/>
          <w:sz w:val="24"/>
          <w:szCs w:val="24"/>
        </w:rPr>
        <w:t xml:space="preserve"> </w:t>
      </w:r>
      <w:r w:rsidR="00232D86" w:rsidRPr="00232D86">
        <w:rPr>
          <w:rFonts w:ascii="Arial" w:hAnsi="Arial" w:cs="Arial"/>
          <w:sz w:val="24"/>
          <w:szCs w:val="24"/>
        </w:rPr>
        <w:t>Management Practices</w:t>
      </w:r>
      <w:r w:rsidR="00232D86">
        <w:rPr>
          <w:rFonts w:ascii="Arial" w:hAnsi="Arial" w:cs="Arial"/>
          <w:sz w:val="24"/>
          <w:szCs w:val="24"/>
        </w:rPr>
        <w:t xml:space="preserve">” (p. 2) such as enrolment rejection or discouragement, or limitations placed on attendance or participation. These findings </w:t>
      </w:r>
      <w:r w:rsidR="00232D86">
        <w:rPr>
          <w:rFonts w:ascii="Arial" w:hAnsi="Arial" w:cs="Arial"/>
          <w:sz w:val="24"/>
          <w:szCs w:val="24"/>
        </w:rPr>
        <w:lastRenderedPageBreak/>
        <w:t>have been echoed by annual surveys conducted by</w:t>
      </w:r>
      <w:r w:rsidR="00232D86" w:rsidRPr="00232D86">
        <w:rPr>
          <w:rFonts w:ascii="Arial" w:eastAsia="Times New Roman" w:hAnsi="Arial" w:cs="Arial"/>
          <w:sz w:val="22"/>
          <w:szCs w:val="22"/>
          <w:lang w:eastAsia="en-AU"/>
        </w:rPr>
        <w:t xml:space="preserve"> </w:t>
      </w:r>
      <w:hyperlink r:id="rId24" w:history="1">
        <w:r w:rsidR="00232D86" w:rsidRPr="00561188">
          <w:rPr>
            <w:rStyle w:val="Hyperlink"/>
            <w:rFonts w:ascii="Arial" w:hAnsi="Arial" w:cs="Arial"/>
            <w:sz w:val="24"/>
            <w:szCs w:val="24"/>
          </w:rPr>
          <w:t>Children and Young People with Disability Australia</w:t>
        </w:r>
      </w:hyperlink>
      <w:r w:rsidR="00232D86">
        <w:rPr>
          <w:rFonts w:ascii="Arial" w:hAnsi="Arial" w:cs="Arial"/>
          <w:sz w:val="24"/>
          <w:szCs w:val="24"/>
        </w:rPr>
        <w:t xml:space="preserve"> who have </w:t>
      </w:r>
      <w:r w:rsidR="00232D86" w:rsidRPr="00232D86">
        <w:rPr>
          <w:rFonts w:ascii="Arial" w:hAnsi="Arial" w:cs="Arial"/>
          <w:sz w:val="24"/>
          <w:szCs w:val="24"/>
        </w:rPr>
        <w:t xml:space="preserve">reported that many students with disabilities are pushed out of </w:t>
      </w:r>
      <w:r w:rsidR="00D00BB3">
        <w:rPr>
          <w:rFonts w:ascii="Arial" w:hAnsi="Arial" w:cs="Arial"/>
          <w:sz w:val="24"/>
          <w:szCs w:val="24"/>
        </w:rPr>
        <w:t>regular</w:t>
      </w:r>
      <w:r w:rsidR="00232D86" w:rsidRPr="00232D86">
        <w:rPr>
          <w:rFonts w:ascii="Arial" w:hAnsi="Arial" w:cs="Arial"/>
          <w:sz w:val="24"/>
          <w:szCs w:val="24"/>
        </w:rPr>
        <w:t xml:space="preserve"> schools by having their enrolment application refused</w:t>
      </w:r>
      <w:r w:rsidR="00FE1BB5">
        <w:rPr>
          <w:rFonts w:ascii="Arial" w:hAnsi="Arial" w:cs="Arial"/>
          <w:sz w:val="24"/>
          <w:szCs w:val="24"/>
        </w:rPr>
        <w:t xml:space="preserve"> or discouraged</w:t>
      </w:r>
      <w:r w:rsidR="00232D86" w:rsidRPr="00232D86">
        <w:rPr>
          <w:rFonts w:ascii="Arial" w:hAnsi="Arial" w:cs="Arial"/>
          <w:sz w:val="24"/>
          <w:szCs w:val="24"/>
        </w:rPr>
        <w:t xml:space="preserve">, being excluded through restrictive practices, </w:t>
      </w:r>
      <w:r w:rsidR="00FE1BB5">
        <w:rPr>
          <w:rFonts w:ascii="Arial" w:hAnsi="Arial" w:cs="Arial"/>
          <w:sz w:val="24"/>
          <w:szCs w:val="24"/>
        </w:rPr>
        <w:t xml:space="preserve">being </w:t>
      </w:r>
      <w:r w:rsidR="00232D86" w:rsidRPr="00232D86">
        <w:rPr>
          <w:rFonts w:ascii="Arial" w:hAnsi="Arial" w:cs="Arial"/>
          <w:sz w:val="24"/>
          <w:szCs w:val="24"/>
        </w:rPr>
        <w:t>denied reasonable adjustments, or</w:t>
      </w:r>
      <w:r w:rsidR="00FE1BB5">
        <w:rPr>
          <w:rFonts w:ascii="Arial" w:hAnsi="Arial" w:cs="Arial"/>
          <w:sz w:val="24"/>
          <w:szCs w:val="24"/>
        </w:rPr>
        <w:t xml:space="preserve"> being</w:t>
      </w:r>
      <w:r w:rsidR="00232D86" w:rsidRPr="00232D86">
        <w:rPr>
          <w:rFonts w:ascii="Arial" w:hAnsi="Arial" w:cs="Arial"/>
          <w:sz w:val="24"/>
          <w:szCs w:val="24"/>
        </w:rPr>
        <w:t xml:space="preserve"> excluded from participating in school activities and events.</w:t>
      </w:r>
      <w:r w:rsidR="00232D86">
        <w:rPr>
          <w:rFonts w:ascii="Arial" w:hAnsi="Arial" w:cs="Arial"/>
          <w:sz w:val="24"/>
          <w:szCs w:val="24"/>
        </w:rPr>
        <w:t xml:space="preserve"> It is important to note that while it is commonly reported that parents of children with disabilities “choose” to send their child to a segregated setting, </w:t>
      </w:r>
      <w:r w:rsidR="00232D86" w:rsidRPr="00232D86">
        <w:rPr>
          <w:rFonts w:ascii="Arial" w:hAnsi="Arial" w:cs="Arial"/>
          <w:sz w:val="24"/>
          <w:szCs w:val="24"/>
        </w:rPr>
        <w:t>parental choice of special or regular education for their child is not necessarily a choice made from two options of equal quality</w:t>
      </w:r>
      <w:r w:rsidR="003327BD">
        <w:rPr>
          <w:rFonts w:ascii="Arial" w:hAnsi="Arial" w:cs="Arial"/>
          <w:sz w:val="24"/>
          <w:szCs w:val="24"/>
        </w:rPr>
        <w:t>. This is particularly salient when considering</w:t>
      </w:r>
      <w:r w:rsidR="00232D86">
        <w:rPr>
          <w:rFonts w:ascii="Arial" w:hAnsi="Arial" w:cs="Arial"/>
          <w:sz w:val="24"/>
          <w:szCs w:val="24"/>
        </w:rPr>
        <w:t xml:space="preserve"> “push” factors where schools discourage </w:t>
      </w:r>
      <w:r w:rsidR="003327BD">
        <w:rPr>
          <w:rFonts w:ascii="Arial" w:hAnsi="Arial" w:cs="Arial"/>
          <w:sz w:val="24"/>
          <w:szCs w:val="24"/>
        </w:rPr>
        <w:t>the enrolment of student with disabilities</w:t>
      </w:r>
      <w:r w:rsidR="00FE1BB5">
        <w:rPr>
          <w:rFonts w:ascii="Arial" w:hAnsi="Arial" w:cs="Arial"/>
          <w:sz w:val="24"/>
          <w:szCs w:val="24"/>
        </w:rPr>
        <w:t xml:space="preserve"> claiming insufficient resources</w:t>
      </w:r>
      <w:r w:rsidR="00232D86">
        <w:rPr>
          <w:rFonts w:ascii="Arial" w:hAnsi="Arial" w:cs="Arial"/>
          <w:sz w:val="24"/>
          <w:szCs w:val="24"/>
        </w:rPr>
        <w:t>, and “pull” factors such as the concentration of resources that exist within segregated special schools</w:t>
      </w:r>
      <w:proofErr w:type="gramStart"/>
      <w:r w:rsidR="004E5ADA">
        <w:rPr>
          <w:rFonts w:ascii="Arial" w:hAnsi="Arial" w:cs="Arial"/>
          <w:sz w:val="24"/>
          <w:szCs w:val="24"/>
        </w:rPr>
        <w:t xml:space="preserve">. </w:t>
      </w:r>
      <w:proofErr w:type="gramEnd"/>
      <w:r w:rsidR="004E5ADA">
        <w:rPr>
          <w:rFonts w:ascii="Arial" w:hAnsi="Arial" w:cs="Arial"/>
          <w:sz w:val="24"/>
          <w:szCs w:val="24"/>
        </w:rPr>
        <w:t xml:space="preserve">These </w:t>
      </w:r>
      <w:r w:rsidR="00EA7D14">
        <w:rPr>
          <w:rFonts w:ascii="Arial" w:hAnsi="Arial" w:cs="Arial"/>
          <w:sz w:val="24"/>
          <w:szCs w:val="24"/>
        </w:rPr>
        <w:t>show how important it is to meet the CRPD obligation of ceasing the resourcing of a dual track system of special and regular schools, and to develop a single inclusive system that appropriately supports all students to reach their potential</w:t>
      </w:r>
      <w:r w:rsidR="00232D86">
        <w:rPr>
          <w:rFonts w:ascii="Arial" w:hAnsi="Arial" w:cs="Arial"/>
          <w:sz w:val="24"/>
          <w:szCs w:val="24"/>
        </w:rPr>
        <w:t xml:space="preserve">. </w:t>
      </w:r>
    </w:p>
    <w:p w:rsidR="003327BD" w:rsidRPr="00232D86" w:rsidRDefault="003327BD" w:rsidP="003327BD">
      <w:pPr>
        <w:rPr>
          <w:rFonts w:ascii="Arial" w:hAnsi="Arial" w:cs="Arial"/>
          <w:sz w:val="24"/>
          <w:szCs w:val="24"/>
        </w:rPr>
      </w:pPr>
      <w:r>
        <w:rPr>
          <w:rFonts w:ascii="Arial" w:hAnsi="Arial" w:cs="Arial"/>
          <w:sz w:val="24"/>
          <w:szCs w:val="24"/>
        </w:rPr>
        <w:t>It is clear that the DSE have not had a positive impact on the access of student with a disability to the general education system despite the benefits that flow</w:t>
      </w:r>
      <w:r w:rsidR="00D00BB3">
        <w:rPr>
          <w:rFonts w:ascii="Arial" w:hAnsi="Arial" w:cs="Arial"/>
          <w:sz w:val="24"/>
          <w:szCs w:val="24"/>
        </w:rPr>
        <w:t xml:space="preserve"> when</w:t>
      </w:r>
      <w:r>
        <w:rPr>
          <w:rFonts w:ascii="Arial" w:hAnsi="Arial" w:cs="Arial"/>
          <w:sz w:val="24"/>
          <w:szCs w:val="24"/>
        </w:rPr>
        <w:t xml:space="preserve"> this access is provided</w:t>
      </w:r>
      <w:r w:rsidR="00D00BB3">
        <w:rPr>
          <w:rFonts w:ascii="Arial" w:hAnsi="Arial" w:cs="Arial"/>
          <w:sz w:val="24"/>
          <w:szCs w:val="24"/>
        </w:rPr>
        <w:t>, and despite it being a human right under the CRPD which Australia is bound to implement</w:t>
      </w:r>
      <w:r>
        <w:rPr>
          <w:rFonts w:ascii="Arial" w:hAnsi="Arial" w:cs="Arial"/>
          <w:sz w:val="24"/>
          <w:szCs w:val="24"/>
        </w:rPr>
        <w:t xml:space="preserve">. </w:t>
      </w:r>
      <w:hyperlink r:id="rId25" w:history="1">
        <w:r w:rsidRPr="00EA7D14">
          <w:rPr>
            <w:rStyle w:val="Hyperlink"/>
            <w:rFonts w:ascii="Arial" w:hAnsi="Arial" w:cs="Arial"/>
            <w:sz w:val="24"/>
            <w:szCs w:val="24"/>
          </w:rPr>
          <w:t>My review</w:t>
        </w:r>
      </w:hyperlink>
      <w:r w:rsidRPr="004E5ADA">
        <w:rPr>
          <w:rFonts w:ascii="Arial" w:hAnsi="Arial" w:cs="Arial"/>
          <w:sz w:val="24"/>
          <w:szCs w:val="24"/>
        </w:rPr>
        <w:t xml:space="preserve"> of academic research</w:t>
      </w:r>
      <w:r>
        <w:rPr>
          <w:rFonts w:ascii="Arial" w:hAnsi="Arial" w:cs="Arial"/>
          <w:sz w:val="24"/>
          <w:szCs w:val="24"/>
        </w:rPr>
        <w:t xml:space="preserve"> </w:t>
      </w:r>
      <w:r w:rsidR="00EA7D14">
        <w:rPr>
          <w:rFonts w:ascii="Arial" w:hAnsi="Arial" w:cs="Arial"/>
          <w:sz w:val="24"/>
          <w:szCs w:val="24"/>
        </w:rPr>
        <w:t>found</w:t>
      </w:r>
      <w:r>
        <w:rPr>
          <w:rFonts w:ascii="Arial" w:hAnsi="Arial" w:cs="Arial"/>
          <w:sz w:val="24"/>
          <w:szCs w:val="24"/>
        </w:rPr>
        <w:t xml:space="preserve"> that five decades of </w:t>
      </w:r>
      <w:r w:rsidR="00EA7D14">
        <w:rPr>
          <w:rFonts w:ascii="Arial" w:hAnsi="Arial" w:cs="Arial"/>
          <w:sz w:val="24"/>
          <w:szCs w:val="24"/>
        </w:rPr>
        <w:t xml:space="preserve">academic </w:t>
      </w:r>
      <w:r>
        <w:rPr>
          <w:rFonts w:ascii="Arial" w:hAnsi="Arial" w:cs="Arial"/>
          <w:sz w:val="24"/>
          <w:szCs w:val="24"/>
        </w:rPr>
        <w:t xml:space="preserve">studies </w:t>
      </w:r>
      <w:r w:rsidR="00EA7D14">
        <w:rPr>
          <w:rFonts w:ascii="Arial" w:hAnsi="Arial" w:cs="Arial"/>
          <w:sz w:val="24"/>
          <w:szCs w:val="24"/>
        </w:rPr>
        <w:t>show</w:t>
      </w:r>
      <w:r>
        <w:rPr>
          <w:rFonts w:ascii="Arial" w:hAnsi="Arial" w:cs="Arial"/>
          <w:sz w:val="24"/>
          <w:szCs w:val="24"/>
        </w:rPr>
        <w:t xml:space="preserve"> an inclusive education provides better outcomes for all students, and for students with disabilities this means better access to the academic curriculum,</w:t>
      </w:r>
      <w:r w:rsidR="00D00BB3">
        <w:rPr>
          <w:rFonts w:ascii="Arial" w:hAnsi="Arial" w:cs="Arial"/>
          <w:sz w:val="24"/>
          <w:szCs w:val="24"/>
        </w:rPr>
        <w:t xml:space="preserve"> richer social networks amongst same-aged peers,</w:t>
      </w:r>
      <w:r>
        <w:rPr>
          <w:rFonts w:ascii="Arial" w:hAnsi="Arial" w:cs="Arial"/>
          <w:sz w:val="24"/>
          <w:szCs w:val="24"/>
        </w:rPr>
        <w:t xml:space="preserve"> better academic progress, and better long-term adult outcomes such as further education, independent living, and better employment. Given the strong case for inclusive education both as a human right and as an evidence-based practice, it is vital that the DSE is amended to </w:t>
      </w:r>
      <w:r w:rsidR="00EA7D14">
        <w:rPr>
          <w:rFonts w:ascii="Arial" w:hAnsi="Arial" w:cs="Arial"/>
          <w:sz w:val="24"/>
          <w:szCs w:val="24"/>
        </w:rPr>
        <w:t>articulate</w:t>
      </w:r>
      <w:r>
        <w:rPr>
          <w:rFonts w:ascii="Arial" w:hAnsi="Arial" w:cs="Arial"/>
          <w:sz w:val="24"/>
          <w:szCs w:val="24"/>
        </w:rPr>
        <w:t xml:space="preserve"> the right of every student to </w:t>
      </w:r>
      <w:r w:rsidR="0087584A">
        <w:rPr>
          <w:rFonts w:ascii="Arial" w:hAnsi="Arial" w:cs="Arial"/>
          <w:sz w:val="24"/>
          <w:szCs w:val="24"/>
        </w:rPr>
        <w:t xml:space="preserve">receive a high-quality </w:t>
      </w:r>
      <w:r w:rsidR="00D00BB3">
        <w:rPr>
          <w:rFonts w:ascii="Arial" w:hAnsi="Arial" w:cs="Arial"/>
          <w:sz w:val="24"/>
          <w:szCs w:val="24"/>
        </w:rPr>
        <w:t xml:space="preserve">inclusive </w:t>
      </w:r>
      <w:r w:rsidR="0087584A">
        <w:rPr>
          <w:rFonts w:ascii="Arial" w:hAnsi="Arial" w:cs="Arial"/>
          <w:sz w:val="24"/>
          <w:szCs w:val="24"/>
        </w:rPr>
        <w:t>education with appropriate adjustments support on the basis of need</w:t>
      </w:r>
      <w:r w:rsidR="00EA7D14">
        <w:rPr>
          <w:rFonts w:ascii="Arial" w:hAnsi="Arial" w:cs="Arial"/>
          <w:sz w:val="24"/>
          <w:szCs w:val="24"/>
        </w:rPr>
        <w:t>, consistent with the CRPD</w:t>
      </w:r>
      <w:bookmarkStart w:id="1" w:name="_GoBack"/>
      <w:bookmarkEnd w:id="1"/>
      <w:r w:rsidR="0087584A">
        <w:rPr>
          <w:rFonts w:ascii="Arial" w:hAnsi="Arial" w:cs="Arial"/>
          <w:sz w:val="24"/>
          <w:szCs w:val="24"/>
        </w:rPr>
        <w:t xml:space="preserve">. </w:t>
      </w:r>
    </w:p>
    <w:p w:rsidR="004A2C14" w:rsidRPr="00B331CE" w:rsidRDefault="004A2C14" w:rsidP="00232D86">
      <w:pPr>
        <w:rPr>
          <w:rFonts w:ascii="Arial" w:hAnsi="Arial" w:cs="Arial"/>
          <w:sz w:val="24"/>
          <w:szCs w:val="24"/>
        </w:rPr>
      </w:pPr>
    </w:p>
    <w:sectPr w:rsidR="004A2C14" w:rsidRPr="00B331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188" w:rsidRDefault="00561188" w:rsidP="00232D86">
      <w:pPr>
        <w:spacing w:after="0" w:line="240" w:lineRule="auto"/>
      </w:pPr>
      <w:r>
        <w:separator/>
      </w:r>
    </w:p>
  </w:endnote>
  <w:endnote w:type="continuationSeparator" w:id="0">
    <w:p w:rsidR="00561188" w:rsidRDefault="00561188" w:rsidP="0023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188" w:rsidRDefault="00561188" w:rsidP="00232D86">
      <w:pPr>
        <w:spacing w:after="0" w:line="240" w:lineRule="auto"/>
      </w:pPr>
      <w:r>
        <w:separator/>
      </w:r>
    </w:p>
  </w:footnote>
  <w:footnote w:type="continuationSeparator" w:id="0">
    <w:p w:rsidR="00561188" w:rsidRDefault="00561188" w:rsidP="00232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ED7"/>
    <w:multiLevelType w:val="hybridMultilevel"/>
    <w:tmpl w:val="4EA2F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CD4D4D"/>
    <w:multiLevelType w:val="hybridMultilevel"/>
    <w:tmpl w:val="B15A7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CF"/>
    <w:rsid w:val="00053770"/>
    <w:rsid w:val="00076BDC"/>
    <w:rsid w:val="000B07FD"/>
    <w:rsid w:val="000E3623"/>
    <w:rsid w:val="00104493"/>
    <w:rsid w:val="00155B8C"/>
    <w:rsid w:val="00171621"/>
    <w:rsid w:val="0018639D"/>
    <w:rsid w:val="001A0144"/>
    <w:rsid w:val="00217EE9"/>
    <w:rsid w:val="00232D86"/>
    <w:rsid w:val="002428C4"/>
    <w:rsid w:val="00244132"/>
    <w:rsid w:val="00262752"/>
    <w:rsid w:val="00290BD0"/>
    <w:rsid w:val="003327BD"/>
    <w:rsid w:val="0034735C"/>
    <w:rsid w:val="00386827"/>
    <w:rsid w:val="003C4904"/>
    <w:rsid w:val="003D2016"/>
    <w:rsid w:val="00415176"/>
    <w:rsid w:val="00437980"/>
    <w:rsid w:val="004501A2"/>
    <w:rsid w:val="004A2C14"/>
    <w:rsid w:val="004B5847"/>
    <w:rsid w:val="004E5ADA"/>
    <w:rsid w:val="00501F44"/>
    <w:rsid w:val="00531C17"/>
    <w:rsid w:val="00534F89"/>
    <w:rsid w:val="00554C98"/>
    <w:rsid w:val="00561188"/>
    <w:rsid w:val="00575C5F"/>
    <w:rsid w:val="00585F1D"/>
    <w:rsid w:val="005B72C7"/>
    <w:rsid w:val="005C6496"/>
    <w:rsid w:val="005F3EA2"/>
    <w:rsid w:val="00602735"/>
    <w:rsid w:val="00632A48"/>
    <w:rsid w:val="007320D7"/>
    <w:rsid w:val="00737446"/>
    <w:rsid w:val="007420F2"/>
    <w:rsid w:val="0074741A"/>
    <w:rsid w:val="00781733"/>
    <w:rsid w:val="00783CE8"/>
    <w:rsid w:val="00787367"/>
    <w:rsid w:val="007C7F3A"/>
    <w:rsid w:val="007F0A95"/>
    <w:rsid w:val="008048BE"/>
    <w:rsid w:val="0087584A"/>
    <w:rsid w:val="00883710"/>
    <w:rsid w:val="00886CEE"/>
    <w:rsid w:val="008C3625"/>
    <w:rsid w:val="009451B0"/>
    <w:rsid w:val="009609B8"/>
    <w:rsid w:val="009E0B82"/>
    <w:rsid w:val="00A20ABE"/>
    <w:rsid w:val="00A41651"/>
    <w:rsid w:val="00A43D6B"/>
    <w:rsid w:val="00AE05C2"/>
    <w:rsid w:val="00B331CE"/>
    <w:rsid w:val="00B411B3"/>
    <w:rsid w:val="00B60F1B"/>
    <w:rsid w:val="00B638F6"/>
    <w:rsid w:val="00BC08D2"/>
    <w:rsid w:val="00BC7A47"/>
    <w:rsid w:val="00BD080C"/>
    <w:rsid w:val="00BD2A74"/>
    <w:rsid w:val="00C00014"/>
    <w:rsid w:val="00C10DCF"/>
    <w:rsid w:val="00C34BEE"/>
    <w:rsid w:val="00C75D4E"/>
    <w:rsid w:val="00C7680F"/>
    <w:rsid w:val="00CA1737"/>
    <w:rsid w:val="00CB7F61"/>
    <w:rsid w:val="00CF0C76"/>
    <w:rsid w:val="00D00BB3"/>
    <w:rsid w:val="00D45294"/>
    <w:rsid w:val="00D84FDF"/>
    <w:rsid w:val="00DD5B3C"/>
    <w:rsid w:val="00E655E0"/>
    <w:rsid w:val="00EA2B48"/>
    <w:rsid w:val="00EA7D14"/>
    <w:rsid w:val="00EE1673"/>
    <w:rsid w:val="00F03C2E"/>
    <w:rsid w:val="00F42172"/>
    <w:rsid w:val="00F763BC"/>
    <w:rsid w:val="00F8086D"/>
    <w:rsid w:val="00FC1F60"/>
    <w:rsid w:val="00FE1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0C0F"/>
  <w15:chartTrackingRefBased/>
  <w15:docId w15:val="{9D9EC7BB-80D4-45B4-B915-B1A86048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F61"/>
  </w:style>
  <w:style w:type="paragraph" w:styleId="Heading1">
    <w:name w:val="heading 1"/>
    <w:basedOn w:val="Normal"/>
    <w:next w:val="Normal"/>
    <w:link w:val="Heading1Char"/>
    <w:uiPriority w:val="9"/>
    <w:qFormat/>
    <w:rsid w:val="00290BD0"/>
    <w:pPr>
      <w:keepNext/>
      <w:keepLines/>
      <w:spacing w:before="320" w:after="0" w:line="240" w:lineRule="auto"/>
      <w:outlineLvl w:val="0"/>
    </w:pPr>
    <w:rPr>
      <w:rFonts w:ascii="Arial" w:eastAsiaTheme="majorEastAsia" w:hAnsi="Arial" w:cs="Arial"/>
      <w:b/>
      <w:color w:val="2F5496" w:themeColor="accent1" w:themeShade="BF"/>
      <w:sz w:val="24"/>
      <w:szCs w:val="24"/>
      <w:u w:val="single"/>
    </w:rPr>
  </w:style>
  <w:style w:type="paragraph" w:styleId="Heading2">
    <w:name w:val="heading 2"/>
    <w:basedOn w:val="Heading1"/>
    <w:next w:val="Normal"/>
    <w:link w:val="Heading2Char"/>
    <w:uiPriority w:val="9"/>
    <w:unhideWhenUsed/>
    <w:qFormat/>
    <w:rsid w:val="00290BD0"/>
    <w:pPr>
      <w:outlineLvl w:val="1"/>
    </w:pPr>
    <w:rPr>
      <w:b w:val="0"/>
      <w:i/>
    </w:rPr>
  </w:style>
  <w:style w:type="paragraph" w:styleId="Heading3">
    <w:name w:val="heading 3"/>
    <w:basedOn w:val="Normal"/>
    <w:next w:val="Normal"/>
    <w:link w:val="Heading3Char"/>
    <w:uiPriority w:val="9"/>
    <w:semiHidden/>
    <w:unhideWhenUsed/>
    <w:qFormat/>
    <w:rsid w:val="00CB7F6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B7F6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B7F6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B7F6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B7F6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B7F6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B7F6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7F6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B7F61"/>
    <w:rPr>
      <w:rFonts w:asciiTheme="majorHAnsi" w:eastAsiaTheme="majorEastAsia" w:hAnsiTheme="majorHAnsi" w:cstheme="majorBidi"/>
      <w:color w:val="4472C4" w:themeColor="accent1"/>
      <w:spacing w:val="-10"/>
      <w:sz w:val="56"/>
      <w:szCs w:val="56"/>
    </w:rPr>
  </w:style>
  <w:style w:type="character" w:customStyle="1" w:styleId="Heading1Char">
    <w:name w:val="Heading 1 Char"/>
    <w:basedOn w:val="DefaultParagraphFont"/>
    <w:link w:val="Heading1"/>
    <w:uiPriority w:val="9"/>
    <w:rsid w:val="00290BD0"/>
    <w:rPr>
      <w:rFonts w:ascii="Arial" w:eastAsiaTheme="majorEastAsia" w:hAnsi="Arial" w:cs="Arial"/>
      <w:b/>
      <w:color w:val="2F5496" w:themeColor="accent1" w:themeShade="BF"/>
      <w:sz w:val="24"/>
      <w:szCs w:val="24"/>
      <w:u w:val="single"/>
    </w:rPr>
  </w:style>
  <w:style w:type="paragraph" w:styleId="ListParagraph">
    <w:name w:val="List Paragraph"/>
    <w:basedOn w:val="Normal"/>
    <w:uiPriority w:val="34"/>
    <w:qFormat/>
    <w:rsid w:val="00C10DCF"/>
    <w:pPr>
      <w:ind w:left="720"/>
      <w:contextualSpacing/>
    </w:pPr>
  </w:style>
  <w:style w:type="character" w:styleId="Hyperlink">
    <w:name w:val="Hyperlink"/>
    <w:basedOn w:val="DefaultParagraphFont"/>
    <w:uiPriority w:val="99"/>
    <w:unhideWhenUsed/>
    <w:rsid w:val="002428C4"/>
    <w:rPr>
      <w:color w:val="0563C1" w:themeColor="hyperlink"/>
      <w:u w:val="single"/>
    </w:rPr>
  </w:style>
  <w:style w:type="character" w:styleId="UnresolvedMention">
    <w:name w:val="Unresolved Mention"/>
    <w:basedOn w:val="DefaultParagraphFont"/>
    <w:uiPriority w:val="99"/>
    <w:semiHidden/>
    <w:unhideWhenUsed/>
    <w:rsid w:val="002428C4"/>
    <w:rPr>
      <w:color w:val="605E5C"/>
      <w:shd w:val="clear" w:color="auto" w:fill="E1DFDD"/>
    </w:rPr>
  </w:style>
  <w:style w:type="character" w:customStyle="1" w:styleId="Heading2Char">
    <w:name w:val="Heading 2 Char"/>
    <w:basedOn w:val="DefaultParagraphFont"/>
    <w:link w:val="Heading2"/>
    <w:uiPriority w:val="9"/>
    <w:rsid w:val="00290BD0"/>
    <w:rPr>
      <w:rFonts w:ascii="Arial" w:eastAsiaTheme="majorEastAsia" w:hAnsi="Arial" w:cs="Arial"/>
      <w:i/>
      <w:color w:val="2F5496" w:themeColor="accent1" w:themeShade="BF"/>
      <w:sz w:val="24"/>
      <w:szCs w:val="24"/>
      <w:u w:val="single"/>
    </w:rPr>
  </w:style>
  <w:style w:type="character" w:customStyle="1" w:styleId="Heading3Char">
    <w:name w:val="Heading 3 Char"/>
    <w:basedOn w:val="DefaultParagraphFont"/>
    <w:link w:val="Heading3"/>
    <w:uiPriority w:val="9"/>
    <w:semiHidden/>
    <w:rsid w:val="00CB7F6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B7F6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B7F6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B7F6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B7F6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B7F6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B7F6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B7F61"/>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B7F6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B7F61"/>
    <w:rPr>
      <w:rFonts w:asciiTheme="majorHAnsi" w:eastAsiaTheme="majorEastAsia" w:hAnsiTheme="majorHAnsi" w:cstheme="majorBidi"/>
      <w:sz w:val="24"/>
      <w:szCs w:val="24"/>
    </w:rPr>
  </w:style>
  <w:style w:type="character" w:styleId="Strong">
    <w:name w:val="Strong"/>
    <w:basedOn w:val="DefaultParagraphFont"/>
    <w:uiPriority w:val="22"/>
    <w:qFormat/>
    <w:rsid w:val="00CB7F61"/>
    <w:rPr>
      <w:b/>
      <w:bCs/>
    </w:rPr>
  </w:style>
  <w:style w:type="character" w:styleId="Emphasis">
    <w:name w:val="Emphasis"/>
    <w:basedOn w:val="DefaultParagraphFont"/>
    <w:uiPriority w:val="20"/>
    <w:qFormat/>
    <w:rsid w:val="00CB7F61"/>
    <w:rPr>
      <w:i/>
      <w:iCs/>
    </w:rPr>
  </w:style>
  <w:style w:type="paragraph" w:styleId="NoSpacing">
    <w:name w:val="No Spacing"/>
    <w:uiPriority w:val="1"/>
    <w:qFormat/>
    <w:rsid w:val="00CB7F61"/>
    <w:pPr>
      <w:spacing w:after="0" w:line="240" w:lineRule="auto"/>
    </w:pPr>
  </w:style>
  <w:style w:type="paragraph" w:styleId="Quote">
    <w:name w:val="Quote"/>
    <w:basedOn w:val="Normal"/>
    <w:next w:val="Normal"/>
    <w:link w:val="QuoteChar"/>
    <w:uiPriority w:val="29"/>
    <w:qFormat/>
    <w:rsid w:val="00CB7F6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B7F61"/>
    <w:rPr>
      <w:i/>
      <w:iCs/>
      <w:color w:val="404040" w:themeColor="text1" w:themeTint="BF"/>
    </w:rPr>
  </w:style>
  <w:style w:type="paragraph" w:styleId="IntenseQuote">
    <w:name w:val="Intense Quote"/>
    <w:basedOn w:val="Normal"/>
    <w:next w:val="Normal"/>
    <w:link w:val="IntenseQuoteChar"/>
    <w:uiPriority w:val="30"/>
    <w:qFormat/>
    <w:rsid w:val="00CB7F6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B7F6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B7F61"/>
    <w:rPr>
      <w:i/>
      <w:iCs/>
      <w:color w:val="404040" w:themeColor="text1" w:themeTint="BF"/>
    </w:rPr>
  </w:style>
  <w:style w:type="character" w:styleId="IntenseEmphasis">
    <w:name w:val="Intense Emphasis"/>
    <w:basedOn w:val="DefaultParagraphFont"/>
    <w:uiPriority w:val="21"/>
    <w:qFormat/>
    <w:rsid w:val="00CB7F61"/>
    <w:rPr>
      <w:b/>
      <w:bCs/>
      <w:i/>
      <w:iCs/>
    </w:rPr>
  </w:style>
  <w:style w:type="character" w:styleId="SubtleReference">
    <w:name w:val="Subtle Reference"/>
    <w:basedOn w:val="DefaultParagraphFont"/>
    <w:uiPriority w:val="31"/>
    <w:qFormat/>
    <w:rsid w:val="00CB7F6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B7F61"/>
    <w:rPr>
      <w:b/>
      <w:bCs/>
      <w:smallCaps/>
      <w:spacing w:val="5"/>
      <w:u w:val="single"/>
    </w:rPr>
  </w:style>
  <w:style w:type="character" w:styleId="BookTitle">
    <w:name w:val="Book Title"/>
    <w:basedOn w:val="DefaultParagraphFont"/>
    <w:uiPriority w:val="33"/>
    <w:qFormat/>
    <w:rsid w:val="00CB7F61"/>
    <w:rPr>
      <w:b/>
      <w:bCs/>
      <w:smallCaps/>
    </w:rPr>
  </w:style>
  <w:style w:type="paragraph" w:styleId="TOCHeading">
    <w:name w:val="TOC Heading"/>
    <w:basedOn w:val="Heading1"/>
    <w:next w:val="Normal"/>
    <w:uiPriority w:val="39"/>
    <w:semiHidden/>
    <w:unhideWhenUsed/>
    <w:qFormat/>
    <w:rsid w:val="00CB7F61"/>
    <w:pPr>
      <w:outlineLvl w:val="9"/>
    </w:pPr>
  </w:style>
  <w:style w:type="paragraph" w:styleId="FootnoteText">
    <w:name w:val="footnote text"/>
    <w:basedOn w:val="Normal"/>
    <w:link w:val="FootnoteTextChar"/>
    <w:uiPriority w:val="99"/>
    <w:semiHidden/>
    <w:unhideWhenUsed/>
    <w:rsid w:val="00232D86"/>
    <w:pPr>
      <w:spacing w:after="0" w:line="240" w:lineRule="auto"/>
    </w:pPr>
  </w:style>
  <w:style w:type="character" w:customStyle="1" w:styleId="FootnoteTextChar">
    <w:name w:val="Footnote Text Char"/>
    <w:basedOn w:val="DefaultParagraphFont"/>
    <w:link w:val="FootnoteText"/>
    <w:uiPriority w:val="99"/>
    <w:semiHidden/>
    <w:rsid w:val="00232D86"/>
  </w:style>
  <w:style w:type="character" w:styleId="FootnoteReference">
    <w:name w:val="footnote reference"/>
    <w:basedOn w:val="DefaultParagraphFont"/>
    <w:uiPriority w:val="31"/>
    <w:rsid w:val="00232D86"/>
    <w:rPr>
      <w:rFonts w:ascii="Arial" w:hAnsi="Arial" w:cs="Arial"/>
      <w:b w:val="0"/>
      <w:i w:val="0"/>
      <w:sz w:val="22"/>
      <w:vertAlign w:val="superscript"/>
    </w:rPr>
  </w:style>
  <w:style w:type="paragraph" w:styleId="BalloonText">
    <w:name w:val="Balloon Text"/>
    <w:basedOn w:val="Normal"/>
    <w:link w:val="BalloonTextChar"/>
    <w:uiPriority w:val="99"/>
    <w:semiHidden/>
    <w:unhideWhenUsed/>
    <w:rsid w:val="007F0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5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cation.gov.au/documents/planning-personalised-learning-and-support-national-resource-0" TargetMode="External"/><Relationship Id="rId13" Type="http://schemas.openxmlformats.org/officeDocument/2006/relationships/hyperlink" Target="https://www.aitsl.edu.au/lead-develop/understand-the-principal-standard/unpack-the-principal-standard" TargetMode="External"/><Relationship Id="rId18" Type="http://schemas.openxmlformats.org/officeDocument/2006/relationships/hyperlink" Target="https://www.un.org/development/desa/disabilities/convention-on-the-rights-of-persons-with-disabilitie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andfonline.com/doi/abs/10.1080/13603116.2019.1623327?forwardService=showFullText&amp;tokenAccess=j7AfBzPNtHFixv4hfiqY&amp;tokenDomain=eprints&amp;doi=10.1080%2F13603116.2019.1623327&amp;doi=10.1080%2F13603116.2019.1623327&amp;doi=10.1080%2F13603116.2019.1623327&amp;target=10.1080%2F13603116.2019.1623327&amp;journalCode=tied20" TargetMode="External"/><Relationship Id="rId7" Type="http://schemas.openxmlformats.org/officeDocument/2006/relationships/endnotes" Target="endnotes.xml"/><Relationship Id="rId12" Type="http://schemas.openxmlformats.org/officeDocument/2006/relationships/hyperlink" Target="https://www.aitsl.edu.au/docs/default-source/national-policy-framework/australian-professional-standards-for-teachers.pdf?sfvrsn=5800f33c_74" TargetMode="External"/><Relationship Id="rId17" Type="http://schemas.openxmlformats.org/officeDocument/2006/relationships/hyperlink" Target="https://www.pc.gov.au/projects/inquiry/disability-discrimination/report?a=93982" TargetMode="External"/><Relationship Id="rId25" Type="http://schemas.openxmlformats.org/officeDocument/2006/relationships/hyperlink" Target="https://research.monash.edu/en/publications/does-inclusion-work" TargetMode="External"/><Relationship Id="rId2" Type="http://schemas.openxmlformats.org/officeDocument/2006/relationships/numbering" Target="numbering.xml"/><Relationship Id="rId16" Type="http://schemas.openxmlformats.org/officeDocument/2006/relationships/hyperlink" Target="https://www.nccd.edu.au/resources-and-tools/professional-learning" TargetMode="External"/><Relationship Id="rId20" Type="http://schemas.openxmlformats.org/officeDocument/2006/relationships/hyperlink" Target="https://digitallibrary.un.org/record/1626976?ln=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ash.edu/__data/assets/file/0016/1412170/Castan-Centre-Improving-Educational-Outcomes-for-Students-with-Disability.pdf?utm_source=newsletter&amp;utm_medium=email&amp;utm_campaign=read_our_landmark_report_into_the_education_of_children_with_disability&amp;utm_term=2018-06-28" TargetMode="External"/><Relationship Id="rId24" Type="http://schemas.openxmlformats.org/officeDocument/2006/relationships/hyperlink" Target="https://www.cyda.org.au/images/pdf/time_for_change_2019_education_survey_results.pdf" TargetMode="External"/><Relationship Id="rId5" Type="http://schemas.openxmlformats.org/officeDocument/2006/relationships/webSettings" Target="webSettings.xml"/><Relationship Id="rId15" Type="http://schemas.openxmlformats.org/officeDocument/2006/relationships/hyperlink" Target="https://www.audit.vic.gov.au/report/professional-learning-school-teachers?section=" TargetMode="External"/><Relationship Id="rId23" Type="http://schemas.openxmlformats.org/officeDocument/2006/relationships/hyperlink" Target="https://www.tandfonline.com/doi/abs/10.1080/13603116.2020.1726512?journalCode=tied20" TargetMode="External"/><Relationship Id="rId10" Type="http://schemas.openxmlformats.org/officeDocument/2006/relationships/hyperlink" Target="https://www.aph.gov.au/Parliamentary_Business/Committees/Senate/Education_and_Employment/students_with_disability/Report" TargetMode="External"/><Relationship Id="rId19" Type="http://schemas.openxmlformats.org/officeDocument/2006/relationships/hyperlink" Target="https://www.ohchr.org/Documents/HRBodies/CRPD/GC/RighttoEducation/CRPD-C-GC-4.doc" TargetMode="External"/><Relationship Id="rId4" Type="http://schemas.openxmlformats.org/officeDocument/2006/relationships/settings" Target="settings.xml"/><Relationship Id="rId9" Type="http://schemas.openxmlformats.org/officeDocument/2006/relationships/hyperlink" Target="https://www.education.vic.gov.au/school/teachers/learningneeds/Pages/psdhandbook.aspx" TargetMode="External"/><Relationship Id="rId14" Type="http://schemas.openxmlformats.org/officeDocument/2006/relationships/hyperlink" Target="https://www.vit.vic.edu.au/registered-teacher/special-needs-plan"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88FB-F7D8-4746-B333-4CCCCE39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7</Pages>
  <Words>3344</Words>
  <Characters>19066</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2020-09-30T02:47:00Z</cp:lastPrinted>
  <dcterms:created xsi:type="dcterms:W3CDTF">2020-09-30T03:09:00Z</dcterms:created>
  <dcterms:modified xsi:type="dcterms:W3CDTF">2020-09-30T07:56:00Z</dcterms:modified>
</cp:coreProperties>
</file>