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59D8" w14:textId="5B2A868E" w:rsidR="00E641AB" w:rsidRDefault="00342BE4">
      <w:pPr>
        <w:pStyle w:val="Heading1"/>
        <w:jc w:val="center"/>
      </w:pPr>
      <w:bookmarkStart w:id="0" w:name="_GoBack"/>
      <w:bookmarkEnd w:id="0"/>
      <w:r>
        <w:rPr>
          <w:noProof/>
          <w:lang w:val="en-AU"/>
        </w:rPr>
        <w:drawing>
          <wp:inline distT="0" distB="0" distL="0" distR="0" wp14:anchorId="70636A87" wp14:editId="30FAC26B">
            <wp:extent cx="2910286" cy="825224"/>
            <wp:effectExtent l="0" t="0" r="4445" b="0"/>
            <wp:docPr id="3" name="Picture 3" descr="National Disability Coordination Officer Program. An Australian Government Initiative. " title="ND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CO Program Provider_LOGO-CYMK.tif"/>
                    <pic:cNvPicPr/>
                  </pic:nvPicPr>
                  <pic:blipFill>
                    <a:blip r:embed="rId9">
                      <a:extLst>
                        <a:ext uri="{28A0092B-C50C-407E-A947-70E740481C1C}">
                          <a14:useLocalDpi xmlns:a14="http://schemas.microsoft.com/office/drawing/2010/main" val="0"/>
                        </a:ext>
                      </a:extLst>
                    </a:blip>
                    <a:stretch>
                      <a:fillRect/>
                    </a:stretch>
                  </pic:blipFill>
                  <pic:spPr>
                    <a:xfrm>
                      <a:off x="0" y="0"/>
                      <a:ext cx="2910286" cy="825224"/>
                    </a:xfrm>
                    <a:prstGeom prst="rect">
                      <a:avLst/>
                    </a:prstGeom>
                  </pic:spPr>
                </pic:pic>
              </a:graphicData>
            </a:graphic>
          </wp:inline>
        </w:drawing>
      </w:r>
    </w:p>
    <w:p w14:paraId="551057E8" w14:textId="77777777" w:rsidR="00B168C9" w:rsidRDefault="00B168C9" w:rsidP="003C739A">
      <w:pPr>
        <w:pStyle w:val="Heading1"/>
        <w:jc w:val="center"/>
        <w:rPr>
          <w:sz w:val="40"/>
          <w:szCs w:val="40"/>
        </w:rPr>
      </w:pPr>
    </w:p>
    <w:p w14:paraId="09C647B4" w14:textId="77777777" w:rsidR="00B168C9" w:rsidRDefault="00B168C9" w:rsidP="003C739A">
      <w:pPr>
        <w:pStyle w:val="Heading1"/>
        <w:jc w:val="center"/>
        <w:rPr>
          <w:sz w:val="40"/>
          <w:szCs w:val="40"/>
        </w:rPr>
      </w:pPr>
    </w:p>
    <w:p w14:paraId="4B9568BF" w14:textId="4D1DC2C8" w:rsidR="003C739A" w:rsidRPr="003C739A" w:rsidRDefault="003C739A" w:rsidP="003C739A">
      <w:pPr>
        <w:pStyle w:val="Heading1"/>
        <w:jc w:val="center"/>
        <w:rPr>
          <w:sz w:val="40"/>
          <w:szCs w:val="40"/>
        </w:rPr>
      </w:pPr>
      <w:r w:rsidRPr="003C739A">
        <w:rPr>
          <w:sz w:val="40"/>
          <w:szCs w:val="40"/>
        </w:rPr>
        <w:t>National Disability Coordination Officer Program</w:t>
      </w:r>
    </w:p>
    <w:p w14:paraId="3EEE3A22" w14:textId="69E5E44A" w:rsidR="00465017" w:rsidRDefault="003C739A" w:rsidP="00465017">
      <w:pPr>
        <w:jc w:val="center"/>
        <w:rPr>
          <w:rFonts w:asciiTheme="majorHAnsi" w:eastAsiaTheme="majorEastAsia" w:hAnsiTheme="majorHAnsi" w:cstheme="majorBidi"/>
          <w:color w:val="2F5496" w:themeColor="accent1" w:themeShade="BF"/>
          <w:sz w:val="40"/>
          <w:szCs w:val="40"/>
        </w:rPr>
      </w:pPr>
      <w:r w:rsidRPr="003C739A">
        <w:rPr>
          <w:rFonts w:asciiTheme="majorHAnsi" w:eastAsiaTheme="majorEastAsia" w:hAnsiTheme="majorHAnsi" w:cstheme="majorBidi"/>
          <w:color w:val="2F5496" w:themeColor="accent1" w:themeShade="BF"/>
          <w:sz w:val="40"/>
          <w:szCs w:val="40"/>
        </w:rPr>
        <w:t xml:space="preserve">Submission into </w:t>
      </w:r>
      <w:r w:rsidR="004C10BF">
        <w:rPr>
          <w:rFonts w:asciiTheme="majorHAnsi" w:eastAsiaTheme="majorEastAsia" w:hAnsiTheme="majorHAnsi" w:cstheme="majorBidi"/>
          <w:color w:val="2F5496" w:themeColor="accent1" w:themeShade="BF"/>
          <w:sz w:val="40"/>
          <w:szCs w:val="40"/>
        </w:rPr>
        <w:t>the 2020 Review of the Disability Standards for Education (2005)</w:t>
      </w:r>
    </w:p>
    <w:p w14:paraId="415376C7" w14:textId="627C545A" w:rsidR="00465017" w:rsidRDefault="00465017" w:rsidP="00465017">
      <w:pPr>
        <w:rPr>
          <w:rFonts w:asciiTheme="majorHAnsi" w:eastAsiaTheme="majorEastAsia" w:hAnsiTheme="majorHAnsi" w:cstheme="majorBidi"/>
          <w:color w:val="2F5496" w:themeColor="accent1" w:themeShade="BF"/>
          <w:sz w:val="40"/>
          <w:szCs w:val="40"/>
        </w:rPr>
      </w:pPr>
    </w:p>
    <w:p w14:paraId="579239E2" w14:textId="23DA43DB" w:rsidR="00B168C9" w:rsidRDefault="00465017" w:rsidP="00465017">
      <w:pPr>
        <w:jc w:val="center"/>
        <w:rPr>
          <w:b/>
        </w:rPr>
      </w:pPr>
      <w:r>
        <w:rPr>
          <w:noProof/>
          <w:lang w:val="en-AU"/>
        </w:rPr>
        <w:drawing>
          <wp:inline distT="0" distB="0" distL="0" distR="0" wp14:anchorId="012A2229" wp14:editId="6D96383C">
            <wp:extent cx="5326380" cy="4943475"/>
            <wp:effectExtent l="0" t="0" r="7620" b="0"/>
            <wp:docPr id="1" name="Picture 1" descr="Decorative background image of circles connected by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154" r="13689"/>
                    <a:stretch/>
                  </pic:blipFill>
                  <pic:spPr bwMode="auto">
                    <a:xfrm>
                      <a:off x="0" y="0"/>
                      <a:ext cx="5326718" cy="4943788"/>
                    </a:xfrm>
                    <a:prstGeom prst="rect">
                      <a:avLst/>
                    </a:prstGeom>
                    <a:ln>
                      <a:noFill/>
                    </a:ln>
                    <a:extLst>
                      <a:ext uri="{53640926-AAD7-44D8-BBD7-CCE9431645EC}">
                        <a14:shadowObscured xmlns:a14="http://schemas.microsoft.com/office/drawing/2010/main"/>
                      </a:ext>
                    </a:extLst>
                  </pic:spPr>
                </pic:pic>
              </a:graphicData>
            </a:graphic>
          </wp:inline>
        </w:drawing>
      </w:r>
    </w:p>
    <w:p w14:paraId="39A8DD70" w14:textId="77777777" w:rsidR="00465017" w:rsidRDefault="00465017" w:rsidP="003C739A">
      <w:pPr>
        <w:spacing w:before="240" w:after="240"/>
        <w:rPr>
          <w:b/>
        </w:rPr>
      </w:pPr>
    </w:p>
    <w:p w14:paraId="2F4F1FAC" w14:textId="77777777" w:rsidR="00465017" w:rsidRDefault="00465017" w:rsidP="003C739A">
      <w:pPr>
        <w:spacing w:before="240" w:after="240"/>
        <w:rPr>
          <w:b/>
        </w:rPr>
      </w:pPr>
    </w:p>
    <w:p w14:paraId="207E10CF" w14:textId="25364DB0" w:rsidR="003C739A" w:rsidRPr="00E5165A" w:rsidRDefault="003C739A" w:rsidP="003C739A">
      <w:pPr>
        <w:spacing w:before="240" w:after="240"/>
      </w:pPr>
      <w:r>
        <w:rPr>
          <w:b/>
        </w:rPr>
        <w:t>Submission</w:t>
      </w:r>
      <w:r w:rsidR="001936EE">
        <w:rPr>
          <w:b/>
        </w:rPr>
        <w:t>:</w:t>
      </w:r>
      <w:r w:rsidR="001936EE">
        <w:rPr>
          <w:b/>
        </w:rPr>
        <w:tab/>
      </w:r>
      <w:r w:rsidR="001936EE">
        <w:rPr>
          <w:b/>
        </w:rPr>
        <w:tab/>
      </w:r>
      <w:r w:rsidR="00C76827" w:rsidRPr="00E5165A">
        <w:t>Disability Standards for Education (2005)</w:t>
      </w:r>
    </w:p>
    <w:p w14:paraId="1F579F9B" w14:textId="70430319" w:rsidR="003C739A" w:rsidRPr="00E5165A" w:rsidRDefault="003C739A" w:rsidP="003C739A">
      <w:pPr>
        <w:spacing w:before="240" w:after="240"/>
      </w:pPr>
      <w:r w:rsidRPr="00E5165A">
        <w:rPr>
          <w:b/>
        </w:rPr>
        <w:t>Commissioned by:</w:t>
      </w:r>
      <w:r w:rsidR="001936EE">
        <w:tab/>
      </w:r>
      <w:r w:rsidR="00C76827" w:rsidRPr="00E5165A">
        <w:t>Department of Education, Skills and Employment</w:t>
      </w:r>
    </w:p>
    <w:p w14:paraId="60C05136" w14:textId="6A954CA4" w:rsidR="00307730" w:rsidRPr="00E5165A" w:rsidRDefault="003C739A" w:rsidP="00307730">
      <w:pPr>
        <w:spacing w:before="240" w:after="240"/>
      </w:pPr>
      <w:r w:rsidRPr="00E5165A">
        <w:rPr>
          <w:b/>
        </w:rPr>
        <w:t>Date:</w:t>
      </w:r>
      <w:r w:rsidR="001936EE">
        <w:tab/>
      </w:r>
      <w:r w:rsidR="001936EE">
        <w:tab/>
      </w:r>
      <w:r w:rsidR="001936EE">
        <w:tab/>
      </w:r>
      <w:r w:rsidR="00C76827" w:rsidRPr="00E5165A">
        <w:t>25 September 2020</w:t>
      </w:r>
    </w:p>
    <w:p w14:paraId="0978ED1B" w14:textId="04FF0B18" w:rsidR="003C739A" w:rsidRPr="00E5165A" w:rsidRDefault="003C739A" w:rsidP="003C739A">
      <w:pPr>
        <w:spacing w:before="240" w:after="240"/>
      </w:pPr>
      <w:r w:rsidRPr="00E5165A">
        <w:rPr>
          <w:b/>
        </w:rPr>
        <w:t>Contributors:</w:t>
      </w:r>
      <w:r w:rsidR="001936EE">
        <w:tab/>
      </w:r>
      <w:r w:rsidR="001936EE">
        <w:tab/>
      </w:r>
      <w:r w:rsidRPr="00E5165A">
        <w:t>National Disability Coordination Officers:</w:t>
      </w:r>
    </w:p>
    <w:p w14:paraId="7F2CCDB7" w14:textId="014E7B02" w:rsidR="003C739A" w:rsidRPr="00E5165A" w:rsidRDefault="003C739A" w:rsidP="003C739A">
      <w:pPr>
        <w:spacing w:before="240" w:after="240"/>
        <w:ind w:left="1440" w:firstLine="720"/>
      </w:pPr>
      <w:r w:rsidRPr="00E5165A">
        <w:t xml:space="preserve">Jessica Buhne, Region 1 </w:t>
      </w:r>
      <w:r w:rsidR="00E44FAF" w:rsidRPr="00E5165A">
        <w:t>–</w:t>
      </w:r>
      <w:r w:rsidRPr="00E5165A">
        <w:t xml:space="preserve"> Sydney</w:t>
      </w:r>
      <w:r w:rsidR="00E44FAF" w:rsidRPr="00E5165A">
        <w:t>, NSW</w:t>
      </w:r>
    </w:p>
    <w:p w14:paraId="6FBA1D37" w14:textId="01A3AC4F" w:rsidR="00C76827" w:rsidRPr="00E5165A" w:rsidRDefault="00C76827" w:rsidP="003C739A">
      <w:pPr>
        <w:spacing w:before="240" w:after="240"/>
        <w:ind w:left="1440" w:firstLine="720"/>
      </w:pPr>
      <w:r w:rsidRPr="00E5165A">
        <w:t>Lloyd Gris, Region 2 – New England</w:t>
      </w:r>
      <w:r w:rsidR="00E44FAF" w:rsidRPr="00E5165A">
        <w:t>, NSW</w:t>
      </w:r>
    </w:p>
    <w:p w14:paraId="74DCEC6C" w14:textId="7F43BABA" w:rsidR="003C739A" w:rsidRPr="00E5165A" w:rsidRDefault="003C739A" w:rsidP="001936EE">
      <w:pPr>
        <w:spacing w:before="240" w:after="240"/>
        <w:ind w:left="1440" w:firstLine="720"/>
      </w:pPr>
      <w:r w:rsidRPr="00E5165A">
        <w:t xml:space="preserve">Devan Nathan, Region 3 </w:t>
      </w:r>
      <w:r w:rsidR="00A5497D" w:rsidRPr="00E5165A">
        <w:t>–</w:t>
      </w:r>
      <w:r w:rsidRPr="00E5165A">
        <w:t xml:space="preserve"> Northern</w:t>
      </w:r>
      <w:r w:rsidR="00A5497D" w:rsidRPr="00E5165A">
        <w:t xml:space="preserve"> </w:t>
      </w:r>
      <w:r w:rsidRPr="00E5165A">
        <w:t>Sydney</w:t>
      </w:r>
      <w:r w:rsidR="00E44FAF" w:rsidRPr="00E5165A">
        <w:t>, NSW</w:t>
      </w:r>
    </w:p>
    <w:p w14:paraId="2CB44942" w14:textId="77777777" w:rsidR="001936EE" w:rsidRDefault="00C76827" w:rsidP="001936EE">
      <w:pPr>
        <w:spacing w:before="240" w:after="240"/>
        <w:ind w:left="1440" w:firstLine="720"/>
      </w:pPr>
      <w:r w:rsidRPr="00E5165A">
        <w:t>Jacqui Lentini</w:t>
      </w:r>
      <w:r w:rsidR="003C739A" w:rsidRPr="00E5165A">
        <w:t xml:space="preserve">, Region 4 </w:t>
      </w:r>
      <w:r w:rsidR="00A5497D" w:rsidRPr="00E5165A">
        <w:t>–</w:t>
      </w:r>
      <w:r w:rsidR="003C739A" w:rsidRPr="00E5165A">
        <w:t xml:space="preserve"> South</w:t>
      </w:r>
      <w:r w:rsidR="00A5497D" w:rsidRPr="00E5165A">
        <w:t xml:space="preserve"> </w:t>
      </w:r>
      <w:r w:rsidR="003C739A" w:rsidRPr="00E5165A">
        <w:t>West Sydney</w:t>
      </w:r>
      <w:r w:rsidR="001936EE">
        <w:t>, NSW</w:t>
      </w:r>
    </w:p>
    <w:p w14:paraId="50B93D40" w14:textId="77777777" w:rsidR="001936EE" w:rsidRDefault="003C739A" w:rsidP="001936EE">
      <w:pPr>
        <w:spacing w:before="240" w:after="240"/>
        <w:ind w:left="1440" w:firstLine="720"/>
      </w:pPr>
      <w:r w:rsidRPr="00E5165A">
        <w:t xml:space="preserve">Kay Dean, Region 6 </w:t>
      </w:r>
      <w:r w:rsidR="00A5497D" w:rsidRPr="00E5165A">
        <w:t>–</w:t>
      </w:r>
      <w:r w:rsidRPr="00E5165A">
        <w:t xml:space="preserve"> Hunter/Central Coast</w:t>
      </w:r>
      <w:r w:rsidR="00E44FAF" w:rsidRPr="00E5165A">
        <w:t>, NSW</w:t>
      </w:r>
    </w:p>
    <w:p w14:paraId="40770FE0" w14:textId="77777777" w:rsidR="001936EE" w:rsidRDefault="00C76827" w:rsidP="001936EE">
      <w:pPr>
        <w:spacing w:before="240" w:after="240"/>
        <w:ind w:left="1440" w:firstLine="720"/>
      </w:pPr>
      <w:r w:rsidRPr="00E5165A">
        <w:t>Cynthia Fitzpatrick, Region 7</w:t>
      </w:r>
      <w:r w:rsidR="003C739A" w:rsidRPr="00E5165A">
        <w:t xml:space="preserve"> </w:t>
      </w:r>
      <w:r w:rsidRPr="00E5165A">
        <w:t>–</w:t>
      </w:r>
      <w:r w:rsidR="003C739A" w:rsidRPr="00E5165A">
        <w:t xml:space="preserve"> </w:t>
      </w:r>
      <w:r w:rsidRPr="00E5165A">
        <w:t>North Coast</w:t>
      </w:r>
      <w:r w:rsidR="00E44FAF" w:rsidRPr="00E5165A">
        <w:t>, NSW</w:t>
      </w:r>
    </w:p>
    <w:p w14:paraId="55E866C0" w14:textId="77777777" w:rsidR="001936EE" w:rsidRDefault="00C76827" w:rsidP="001936EE">
      <w:pPr>
        <w:spacing w:before="240" w:after="240"/>
        <w:ind w:left="1440" w:firstLine="720"/>
      </w:pPr>
      <w:r w:rsidRPr="00E5165A">
        <w:t>Audrey Housbey, Region 9 – Western NSW</w:t>
      </w:r>
    </w:p>
    <w:p w14:paraId="593B8C3C" w14:textId="77777777" w:rsidR="001936EE" w:rsidRDefault="003C739A" w:rsidP="001936EE">
      <w:pPr>
        <w:spacing w:before="240" w:after="240"/>
        <w:ind w:left="1440" w:firstLine="720"/>
      </w:pPr>
      <w:r w:rsidRPr="00E5165A">
        <w:t xml:space="preserve">Tracy Hetherton, Region 10 </w:t>
      </w:r>
      <w:r w:rsidR="00A5497D" w:rsidRPr="00E5165A">
        <w:t>–</w:t>
      </w:r>
      <w:r w:rsidRPr="00E5165A">
        <w:t xml:space="preserve"> ACT and </w:t>
      </w:r>
      <w:proofErr w:type="spellStart"/>
      <w:r w:rsidRPr="00E5165A">
        <w:t>Riverina</w:t>
      </w:r>
      <w:proofErr w:type="spellEnd"/>
    </w:p>
    <w:p w14:paraId="1AB35BA5" w14:textId="77777777" w:rsidR="001936EE" w:rsidRDefault="00C76827" w:rsidP="001936EE">
      <w:pPr>
        <w:spacing w:before="240" w:after="240"/>
        <w:ind w:left="1440" w:firstLine="720"/>
      </w:pPr>
      <w:r w:rsidRPr="00E5165A">
        <w:t>Amii Demanuele, Region 13 – Eastern Melbourne</w:t>
      </w:r>
      <w:r w:rsidR="00E44FAF" w:rsidRPr="00E5165A">
        <w:t>, VIC</w:t>
      </w:r>
    </w:p>
    <w:p w14:paraId="64A0EC1A" w14:textId="77777777" w:rsidR="001936EE" w:rsidRDefault="00C76827" w:rsidP="001936EE">
      <w:pPr>
        <w:spacing w:before="240" w:after="240"/>
        <w:ind w:left="1440" w:firstLine="720"/>
      </w:pPr>
      <w:r w:rsidRPr="00E5165A">
        <w:t>Pam Anderson, Region 16 – Western Victoria</w:t>
      </w:r>
    </w:p>
    <w:p w14:paraId="755E9C08" w14:textId="77777777" w:rsidR="001936EE" w:rsidRDefault="00C76827" w:rsidP="001936EE">
      <w:pPr>
        <w:spacing w:before="240" w:after="240"/>
        <w:ind w:left="1440" w:firstLine="720"/>
      </w:pPr>
      <w:r w:rsidRPr="00E5165A">
        <w:t>Theresa Madson, Region 18 – South East Queensland and Brisbane</w:t>
      </w:r>
      <w:r w:rsidR="00E44FAF" w:rsidRPr="00E5165A">
        <w:t>, QLD</w:t>
      </w:r>
    </w:p>
    <w:p w14:paraId="79AF68BA" w14:textId="77777777" w:rsidR="001936EE" w:rsidRDefault="00C76827" w:rsidP="001936EE">
      <w:pPr>
        <w:spacing w:before="240" w:after="240"/>
        <w:ind w:left="1440" w:firstLine="720"/>
      </w:pPr>
      <w:r w:rsidRPr="00E5165A">
        <w:t>Ben Hugo, Region 19 – South East Queensland and Gold Coast</w:t>
      </w:r>
      <w:r w:rsidR="00E44FAF" w:rsidRPr="00E5165A">
        <w:t>, QLD</w:t>
      </w:r>
    </w:p>
    <w:p w14:paraId="74421D8B" w14:textId="77777777" w:rsidR="001936EE" w:rsidRDefault="00C76827" w:rsidP="001936EE">
      <w:pPr>
        <w:spacing w:before="240" w:after="240"/>
        <w:ind w:left="1440" w:firstLine="720"/>
      </w:pPr>
      <w:r w:rsidRPr="00E5165A">
        <w:t>Gary Kerridge, Region 24 – South and South East South Australia</w:t>
      </w:r>
      <w:r w:rsidR="00E44FAF" w:rsidRPr="00E5165A">
        <w:t>, SA</w:t>
      </w:r>
    </w:p>
    <w:p w14:paraId="40FC5D2F" w14:textId="77777777" w:rsidR="001936EE" w:rsidRDefault="00C76827" w:rsidP="001936EE">
      <w:pPr>
        <w:spacing w:before="240" w:after="240"/>
        <w:ind w:left="1440" w:firstLine="720"/>
      </w:pPr>
      <w:r w:rsidRPr="00E5165A">
        <w:t xml:space="preserve">Isabel </w:t>
      </w:r>
      <w:proofErr w:type="spellStart"/>
      <w:r w:rsidRPr="00E5165A">
        <w:t>Osana-Gatty</w:t>
      </w:r>
      <w:proofErr w:type="spellEnd"/>
      <w:r w:rsidRPr="00E5165A">
        <w:t>, Region 25 – Central and Northern South Australia</w:t>
      </w:r>
      <w:r w:rsidR="00E44FAF" w:rsidRPr="00E5165A">
        <w:t>, SA</w:t>
      </w:r>
    </w:p>
    <w:p w14:paraId="05081B99" w14:textId="0D7AF457" w:rsidR="00C76827" w:rsidRPr="00E5165A" w:rsidRDefault="00C76827" w:rsidP="001936EE">
      <w:pPr>
        <w:spacing w:before="240" w:after="240"/>
        <w:ind w:left="1440" w:firstLine="720"/>
      </w:pPr>
      <w:r w:rsidRPr="00E5165A">
        <w:t xml:space="preserve">Kirsty Runciman, Region 27 </w:t>
      </w:r>
      <w:r w:rsidR="00E44FAF" w:rsidRPr="00E5165A">
        <w:t>–</w:t>
      </w:r>
      <w:r w:rsidRPr="00E5165A">
        <w:t xml:space="preserve"> Perth</w:t>
      </w:r>
      <w:r w:rsidR="00E44FAF" w:rsidRPr="00E5165A">
        <w:t>, WA</w:t>
      </w:r>
      <w:r w:rsidRPr="00E5165A">
        <w:tab/>
      </w:r>
    </w:p>
    <w:p w14:paraId="1AB818BB" w14:textId="63498332" w:rsidR="00B47233" w:rsidRPr="003C739A" w:rsidRDefault="00B47233" w:rsidP="001936EE">
      <w:pPr>
        <w:spacing w:before="240" w:after="240"/>
      </w:pPr>
      <w:r>
        <w:rPr>
          <w:b/>
          <w:color w:val="222222"/>
        </w:rPr>
        <w:t xml:space="preserve">Please Note: </w:t>
      </w:r>
      <w:r w:rsidRPr="00E5165A">
        <w:t>The following submission represents the views of the contributors and does not necessarily reflect the views of the Australian Government, Department of Education</w:t>
      </w:r>
      <w:r w:rsidR="00C76827" w:rsidRPr="00E5165A">
        <w:t xml:space="preserve">, Skills and Employment. </w:t>
      </w:r>
    </w:p>
    <w:p w14:paraId="170DE817" w14:textId="77777777" w:rsidR="001936EE" w:rsidRDefault="001936EE">
      <w:pPr>
        <w:rPr>
          <w:rFonts w:asciiTheme="majorHAnsi" w:eastAsiaTheme="majorEastAsia" w:hAnsiTheme="majorHAnsi" w:cstheme="majorBidi"/>
          <w:color w:val="2F5496" w:themeColor="accent1" w:themeShade="BF"/>
          <w:sz w:val="32"/>
          <w:szCs w:val="32"/>
        </w:rPr>
      </w:pPr>
      <w:r>
        <w:br w:type="page"/>
      </w:r>
    </w:p>
    <w:p w14:paraId="00000001" w14:textId="1F18D772" w:rsidR="00655781" w:rsidRDefault="004C10BF">
      <w:pPr>
        <w:pStyle w:val="Heading1"/>
        <w:jc w:val="center"/>
      </w:pPr>
      <w:r>
        <w:lastRenderedPageBreak/>
        <w:t>2020 Review of the Disability Standards for Education (2005)</w:t>
      </w:r>
    </w:p>
    <w:p w14:paraId="00000002" w14:textId="77777777" w:rsidR="00655781" w:rsidRDefault="00655781"/>
    <w:p w14:paraId="00000003" w14:textId="77777777" w:rsidR="00655781" w:rsidRDefault="00594002" w:rsidP="00EC7D98">
      <w:pPr>
        <w:keepNext/>
        <w:keepLines/>
        <w:pBdr>
          <w:top w:val="nil"/>
          <w:left w:val="nil"/>
          <w:bottom w:val="nil"/>
          <w:right w:val="nil"/>
          <w:between w:val="nil"/>
        </w:pBdr>
        <w:spacing w:before="240" w:after="0"/>
        <w:rPr>
          <w:color w:val="2F5496"/>
          <w:sz w:val="32"/>
          <w:szCs w:val="32"/>
        </w:rPr>
      </w:pPr>
      <w:r>
        <w:rPr>
          <w:color w:val="2F5496"/>
          <w:sz w:val="32"/>
          <w:szCs w:val="32"/>
        </w:rPr>
        <w:t>Contents</w:t>
      </w:r>
    </w:p>
    <w:sdt>
      <w:sdtPr>
        <w:id w:val="990448089"/>
        <w:docPartObj>
          <w:docPartGallery w:val="Table of Contents"/>
          <w:docPartUnique/>
        </w:docPartObj>
      </w:sdtPr>
      <w:sdtEndPr/>
      <w:sdtContent>
        <w:p w14:paraId="00000005" w14:textId="430C763A" w:rsidR="00655781" w:rsidRDefault="00594002" w:rsidP="00EC7D98">
          <w:pPr>
            <w:pBdr>
              <w:top w:val="nil"/>
              <w:left w:val="nil"/>
              <w:bottom w:val="nil"/>
              <w:right w:val="nil"/>
              <w:between w:val="nil"/>
            </w:pBdr>
            <w:tabs>
              <w:tab w:val="right" w:pos="9016"/>
            </w:tabs>
            <w:spacing w:after="100"/>
            <w:rPr>
              <w:color w:val="000000"/>
            </w:rPr>
          </w:pPr>
          <w:r>
            <w:fldChar w:fldCharType="begin"/>
          </w:r>
          <w:r>
            <w:instrText xml:space="preserve"> TOC \h \u \z </w:instrText>
          </w:r>
          <w:r>
            <w:fldChar w:fldCharType="separate"/>
          </w:r>
          <w:hyperlink w:anchor="_heading=h.30j0zll">
            <w:r w:rsidR="004C10BF">
              <w:rPr>
                <w:color w:val="000000"/>
              </w:rPr>
              <w:t>NDCO Program O</w:t>
            </w:r>
            <w:r>
              <w:rPr>
                <w:color w:val="000000"/>
              </w:rPr>
              <w:t>verview</w:t>
            </w:r>
            <w:r>
              <w:rPr>
                <w:color w:val="000000"/>
              </w:rPr>
              <w:tab/>
            </w:r>
          </w:hyperlink>
          <w:r w:rsidR="00342BE4">
            <w:rPr>
              <w:color w:val="000000"/>
            </w:rPr>
            <w:t>4</w:t>
          </w:r>
        </w:p>
        <w:p w14:paraId="00000006" w14:textId="52EE3F37" w:rsidR="00655781" w:rsidRDefault="004C10BF" w:rsidP="00EC7D98">
          <w:pPr>
            <w:pBdr>
              <w:top w:val="nil"/>
              <w:left w:val="nil"/>
              <w:bottom w:val="nil"/>
              <w:right w:val="nil"/>
              <w:between w:val="nil"/>
            </w:pBdr>
            <w:tabs>
              <w:tab w:val="right" w:pos="9016"/>
            </w:tabs>
            <w:spacing w:after="100"/>
            <w:rPr>
              <w:color w:val="000000"/>
            </w:rPr>
          </w:pPr>
          <w:r>
            <w:t>Introduction</w:t>
          </w:r>
          <w:hyperlink w:anchor="_heading=h.1fob9te">
            <w:r w:rsidR="00594002">
              <w:rPr>
                <w:color w:val="000000"/>
              </w:rPr>
              <w:tab/>
            </w:r>
          </w:hyperlink>
          <w:r w:rsidR="00E44FAF">
            <w:rPr>
              <w:color w:val="000000"/>
            </w:rPr>
            <w:t>4</w:t>
          </w:r>
        </w:p>
        <w:p w14:paraId="00000007" w14:textId="61DD8B40" w:rsidR="00655781" w:rsidRDefault="00CD6341" w:rsidP="00EC7D98">
          <w:pPr>
            <w:pBdr>
              <w:top w:val="nil"/>
              <w:left w:val="nil"/>
              <w:bottom w:val="nil"/>
              <w:right w:val="nil"/>
              <w:between w:val="nil"/>
            </w:pBdr>
            <w:tabs>
              <w:tab w:val="right" w:pos="9016"/>
            </w:tabs>
            <w:spacing w:after="100"/>
            <w:rPr>
              <w:color w:val="000000"/>
            </w:rPr>
          </w:pPr>
          <w:hyperlink w:anchor="_heading=h.3znysh7">
            <w:r w:rsidR="004C10BF">
              <w:rPr>
                <w:color w:val="000000"/>
              </w:rPr>
              <w:t>Awareness Raising</w:t>
            </w:r>
            <w:r w:rsidR="00594002">
              <w:rPr>
                <w:color w:val="000000"/>
              </w:rPr>
              <w:tab/>
            </w:r>
          </w:hyperlink>
          <w:r w:rsidR="00E44FAF">
            <w:rPr>
              <w:color w:val="000000"/>
            </w:rPr>
            <w:t>5</w:t>
          </w:r>
        </w:p>
        <w:p w14:paraId="00000008" w14:textId="3FAF91BD" w:rsidR="00655781" w:rsidRDefault="00CD6341" w:rsidP="00EC7D98">
          <w:pPr>
            <w:pBdr>
              <w:top w:val="nil"/>
              <w:left w:val="nil"/>
              <w:bottom w:val="nil"/>
              <w:right w:val="nil"/>
              <w:between w:val="nil"/>
            </w:pBdr>
            <w:tabs>
              <w:tab w:val="right" w:pos="9016"/>
            </w:tabs>
            <w:spacing w:after="100"/>
            <w:rPr>
              <w:color w:val="000000"/>
            </w:rPr>
          </w:pPr>
          <w:hyperlink w:anchor="_heading=h.2et92p0">
            <w:r w:rsidR="004C10BF">
              <w:rPr>
                <w:color w:val="000000"/>
              </w:rPr>
              <w:t>Clarity, Understanding and Capability</w:t>
            </w:r>
            <w:r w:rsidR="00594002">
              <w:rPr>
                <w:color w:val="000000"/>
              </w:rPr>
              <w:tab/>
            </w:r>
          </w:hyperlink>
          <w:r w:rsidR="00E44FAF">
            <w:rPr>
              <w:color w:val="000000"/>
            </w:rPr>
            <w:t>7</w:t>
          </w:r>
        </w:p>
        <w:p w14:paraId="00000009" w14:textId="7ABF8E9A" w:rsidR="00655781" w:rsidRDefault="00CD6341" w:rsidP="00EC7D98">
          <w:pPr>
            <w:pBdr>
              <w:top w:val="nil"/>
              <w:left w:val="nil"/>
              <w:bottom w:val="nil"/>
              <w:right w:val="nil"/>
              <w:between w:val="nil"/>
            </w:pBdr>
            <w:tabs>
              <w:tab w:val="right" w:pos="9016"/>
            </w:tabs>
            <w:spacing w:after="100"/>
            <w:rPr>
              <w:color w:val="000000"/>
            </w:rPr>
          </w:pPr>
          <w:hyperlink w:anchor="_heading=h.tyjcwt">
            <w:r w:rsidR="004C10BF">
              <w:rPr>
                <w:color w:val="000000"/>
              </w:rPr>
              <w:t>Complaints</w:t>
            </w:r>
            <w:r w:rsidR="00594002">
              <w:rPr>
                <w:color w:val="000000"/>
              </w:rPr>
              <w:tab/>
            </w:r>
          </w:hyperlink>
          <w:r w:rsidR="00E44FAF">
            <w:rPr>
              <w:color w:val="000000"/>
            </w:rPr>
            <w:t>8</w:t>
          </w:r>
        </w:p>
        <w:p w14:paraId="0000000A" w14:textId="6D2134F0" w:rsidR="00655781" w:rsidRDefault="00CD6341" w:rsidP="00EC7D98">
          <w:pPr>
            <w:pBdr>
              <w:top w:val="nil"/>
              <w:left w:val="nil"/>
              <w:bottom w:val="nil"/>
              <w:right w:val="nil"/>
              <w:between w:val="nil"/>
            </w:pBdr>
            <w:tabs>
              <w:tab w:val="right" w:pos="9016"/>
            </w:tabs>
            <w:spacing w:after="100"/>
            <w:rPr>
              <w:color w:val="000000"/>
            </w:rPr>
          </w:pPr>
          <w:hyperlink w:anchor="_heading=h.3dy6vkm">
            <w:r w:rsidR="004C10BF">
              <w:rPr>
                <w:color w:val="000000"/>
                <w:sz w:val="21"/>
                <w:szCs w:val="21"/>
              </w:rPr>
              <w:t>Accountability</w:t>
            </w:r>
          </w:hyperlink>
          <w:r w:rsidR="004C10BF">
            <w:rPr>
              <w:color w:val="000000"/>
              <w:sz w:val="21"/>
              <w:szCs w:val="21"/>
            </w:rPr>
            <w:t xml:space="preserve"> and Compliance </w:t>
          </w:r>
          <w:r w:rsidR="004C10BF">
            <w:rPr>
              <w:color w:val="000000"/>
              <w:sz w:val="21"/>
              <w:szCs w:val="21"/>
            </w:rPr>
            <w:tab/>
          </w:r>
          <w:r w:rsidR="00E44FAF">
            <w:rPr>
              <w:color w:val="000000"/>
              <w:sz w:val="21"/>
              <w:szCs w:val="21"/>
            </w:rPr>
            <w:t>10</w:t>
          </w:r>
        </w:p>
        <w:p w14:paraId="0000000B" w14:textId="2E0F6956" w:rsidR="00655781" w:rsidRDefault="00CD6341" w:rsidP="00EC7D98">
          <w:pPr>
            <w:pBdr>
              <w:top w:val="nil"/>
              <w:left w:val="nil"/>
              <w:bottom w:val="nil"/>
              <w:right w:val="nil"/>
              <w:between w:val="nil"/>
            </w:pBdr>
            <w:tabs>
              <w:tab w:val="right" w:pos="9016"/>
            </w:tabs>
            <w:spacing w:after="100"/>
            <w:rPr>
              <w:color w:val="000000"/>
            </w:rPr>
          </w:pPr>
          <w:hyperlink w:anchor="_heading=h.17dp8vu">
            <w:r w:rsidR="00594002">
              <w:rPr>
                <w:color w:val="000000"/>
              </w:rPr>
              <w:t>Recommendations</w:t>
            </w:r>
            <w:r w:rsidR="00594002">
              <w:rPr>
                <w:color w:val="000000"/>
              </w:rPr>
              <w:tab/>
            </w:r>
          </w:hyperlink>
          <w:r w:rsidR="00E44FAF">
            <w:rPr>
              <w:color w:val="000000"/>
            </w:rPr>
            <w:t>1</w:t>
          </w:r>
          <w:r w:rsidR="00E01458">
            <w:rPr>
              <w:color w:val="000000"/>
            </w:rPr>
            <w:t>1</w:t>
          </w:r>
        </w:p>
        <w:p w14:paraId="2D913055" w14:textId="7F19F6D7" w:rsidR="00E01458" w:rsidRDefault="00E01458" w:rsidP="00EC7D98">
          <w:pPr>
            <w:pBdr>
              <w:top w:val="nil"/>
              <w:left w:val="nil"/>
              <w:bottom w:val="nil"/>
              <w:right w:val="nil"/>
              <w:between w:val="nil"/>
            </w:pBdr>
            <w:tabs>
              <w:tab w:val="right" w:pos="9016"/>
            </w:tabs>
            <w:spacing w:after="100"/>
            <w:rPr>
              <w:color w:val="000000"/>
            </w:rPr>
          </w:pPr>
          <w:r>
            <w:rPr>
              <w:color w:val="000000"/>
            </w:rPr>
            <w:tab/>
          </w:r>
        </w:p>
        <w:p w14:paraId="2C3ECBFC" w14:textId="3367A4E6" w:rsidR="003C739A" w:rsidRDefault="00594002">
          <w:r>
            <w:fldChar w:fldCharType="end"/>
          </w:r>
        </w:p>
      </w:sdtContent>
    </w:sdt>
    <w:p w14:paraId="3C3A3C9C" w14:textId="77777777" w:rsidR="001936EE" w:rsidRDefault="001936EE">
      <w:pPr>
        <w:rPr>
          <w:rFonts w:asciiTheme="majorHAnsi" w:eastAsiaTheme="majorEastAsia" w:hAnsiTheme="majorHAnsi" w:cstheme="majorBidi"/>
          <w:color w:val="2F5496" w:themeColor="accent1" w:themeShade="BF"/>
          <w:sz w:val="32"/>
          <w:szCs w:val="32"/>
        </w:rPr>
      </w:pPr>
      <w:bookmarkStart w:id="1" w:name="_heading=h.30j0zll" w:colFirst="0" w:colLast="0"/>
      <w:bookmarkEnd w:id="1"/>
      <w:r>
        <w:br w:type="page"/>
      </w:r>
    </w:p>
    <w:p w14:paraId="0000001C" w14:textId="4A0BA809" w:rsidR="00655781" w:rsidRDefault="004C10BF" w:rsidP="003B7CB9">
      <w:pPr>
        <w:pStyle w:val="Heading1"/>
        <w:jc w:val="both"/>
      </w:pPr>
      <w:r>
        <w:lastRenderedPageBreak/>
        <w:t>NDCO Program O</w:t>
      </w:r>
      <w:r w:rsidR="00594002">
        <w:t>verview</w:t>
      </w:r>
    </w:p>
    <w:p w14:paraId="13B9FB18" w14:textId="141F0044" w:rsidR="007C2974" w:rsidRPr="00E44FAF" w:rsidRDefault="00594002" w:rsidP="003B7CB9">
      <w:pPr>
        <w:jc w:val="both"/>
        <w:rPr>
          <w:sz w:val="24"/>
          <w:szCs w:val="24"/>
        </w:rPr>
      </w:pPr>
      <w:r w:rsidRPr="00E44FAF">
        <w:rPr>
          <w:sz w:val="24"/>
          <w:szCs w:val="24"/>
        </w:rPr>
        <w:t>The Australian Government Department of Education</w:t>
      </w:r>
      <w:r w:rsidR="00E5165A">
        <w:rPr>
          <w:sz w:val="24"/>
          <w:szCs w:val="24"/>
        </w:rPr>
        <w:t>, Skills and Employment</w:t>
      </w:r>
      <w:r w:rsidRPr="00E44FAF">
        <w:rPr>
          <w:sz w:val="24"/>
          <w:szCs w:val="24"/>
        </w:rPr>
        <w:t xml:space="preserve"> funds the National Disability Coordination Officer (NDCO) Program. There are 31 NDCOs across Australia who work strategically to drive change so that p</w:t>
      </w:r>
      <w:r w:rsidR="001D2FC4" w:rsidRPr="00E44FAF">
        <w:rPr>
          <w:sz w:val="24"/>
          <w:szCs w:val="24"/>
        </w:rPr>
        <w:t xml:space="preserve">eople with disability </w:t>
      </w:r>
      <w:r w:rsidRPr="00E44FAF">
        <w:rPr>
          <w:sz w:val="24"/>
          <w:szCs w:val="24"/>
        </w:rPr>
        <w:t xml:space="preserve">have equitable opportunity to access, participate and achieve their goals </w:t>
      </w:r>
      <w:r w:rsidR="001D2FC4" w:rsidRPr="00E44FAF">
        <w:rPr>
          <w:sz w:val="24"/>
          <w:szCs w:val="24"/>
        </w:rPr>
        <w:t xml:space="preserve">in tertiary education and subsequent employment. </w:t>
      </w:r>
    </w:p>
    <w:p w14:paraId="415B27D5" w14:textId="005EC6DE" w:rsidR="00E5165A" w:rsidRPr="00386728" w:rsidRDefault="00EC7D98" w:rsidP="00386728">
      <w:pPr>
        <w:tabs>
          <w:tab w:val="left" w:pos="5138"/>
        </w:tabs>
        <w:spacing w:line="256" w:lineRule="auto"/>
        <w:jc w:val="both"/>
        <w:rPr>
          <w:sz w:val="24"/>
          <w:szCs w:val="24"/>
        </w:rPr>
      </w:pPr>
      <w:r w:rsidRPr="00E44FAF">
        <w:rPr>
          <w:sz w:val="24"/>
          <w:szCs w:val="24"/>
        </w:rPr>
        <w:t xml:space="preserve">For more information on the NDCO Program visit </w:t>
      </w:r>
      <w:r w:rsidR="001936EE">
        <w:rPr>
          <w:sz w:val="24"/>
          <w:szCs w:val="24"/>
        </w:rPr>
        <w:t xml:space="preserve">the </w:t>
      </w:r>
      <w:hyperlink r:id="rId11" w:history="1">
        <w:r w:rsidR="001936EE" w:rsidRPr="001936EE">
          <w:rPr>
            <w:rStyle w:val="Hyperlink"/>
            <w:sz w:val="24"/>
            <w:szCs w:val="24"/>
          </w:rPr>
          <w:t>website.</w:t>
        </w:r>
      </w:hyperlink>
      <w:r w:rsidR="001936EE">
        <w:rPr>
          <w:sz w:val="24"/>
          <w:szCs w:val="24"/>
        </w:rPr>
        <w:t xml:space="preserve"> </w:t>
      </w:r>
    </w:p>
    <w:p w14:paraId="2514E84D" w14:textId="42E47DA4" w:rsidR="004E3425" w:rsidRDefault="00386728" w:rsidP="003B7CB9">
      <w:pPr>
        <w:pStyle w:val="Heading1"/>
        <w:jc w:val="both"/>
      </w:pPr>
      <w:r>
        <w:t>Intro</w:t>
      </w:r>
      <w:r w:rsidR="001D2FC4">
        <w:t>duction</w:t>
      </w:r>
    </w:p>
    <w:p w14:paraId="443D9590" w14:textId="70D39E29" w:rsidR="00AA56F9" w:rsidRPr="00E44FAF" w:rsidRDefault="00AA56F9" w:rsidP="003B7CB9">
      <w:pPr>
        <w:jc w:val="both"/>
        <w:rPr>
          <w:sz w:val="24"/>
          <w:szCs w:val="24"/>
        </w:rPr>
      </w:pPr>
      <w:r w:rsidRPr="00E44FAF">
        <w:rPr>
          <w:sz w:val="24"/>
          <w:szCs w:val="24"/>
        </w:rPr>
        <w:t xml:space="preserve">This </w:t>
      </w:r>
      <w:r w:rsidR="00E44FAF">
        <w:rPr>
          <w:sz w:val="24"/>
          <w:szCs w:val="24"/>
        </w:rPr>
        <w:t>NDCO s</w:t>
      </w:r>
      <w:r w:rsidRPr="00E44FAF">
        <w:rPr>
          <w:sz w:val="24"/>
          <w:szCs w:val="24"/>
        </w:rPr>
        <w:t xml:space="preserve">ubmission </w:t>
      </w:r>
      <w:r w:rsidR="00E44FAF">
        <w:rPr>
          <w:sz w:val="24"/>
          <w:szCs w:val="24"/>
        </w:rPr>
        <w:t xml:space="preserve">to the 2020 Review of the Disability Standards for Education 2005 (The Standards) </w:t>
      </w:r>
      <w:r w:rsidRPr="00E44FAF">
        <w:rPr>
          <w:sz w:val="24"/>
          <w:szCs w:val="24"/>
        </w:rPr>
        <w:t>refers to the broad themes that were identified in the 2010 and 2015 Reviews:</w:t>
      </w:r>
    </w:p>
    <w:p w14:paraId="099FA077" w14:textId="77777777" w:rsidR="00AA56F9" w:rsidRPr="00E44FAF" w:rsidRDefault="00AA56F9" w:rsidP="003B7CB9">
      <w:pPr>
        <w:pStyle w:val="ListParagraph"/>
        <w:numPr>
          <w:ilvl w:val="0"/>
          <w:numId w:val="27"/>
        </w:numPr>
        <w:jc w:val="both"/>
        <w:rPr>
          <w:sz w:val="24"/>
          <w:szCs w:val="24"/>
        </w:rPr>
      </w:pPr>
      <w:r w:rsidRPr="00E44FAF">
        <w:rPr>
          <w:sz w:val="24"/>
          <w:szCs w:val="24"/>
        </w:rPr>
        <w:t>Awareness Raising</w:t>
      </w:r>
    </w:p>
    <w:p w14:paraId="4BDB9EF7" w14:textId="77777777" w:rsidR="00AA56F9" w:rsidRPr="00E44FAF" w:rsidRDefault="00AA56F9" w:rsidP="003B7CB9">
      <w:pPr>
        <w:pStyle w:val="ListParagraph"/>
        <w:numPr>
          <w:ilvl w:val="0"/>
          <w:numId w:val="27"/>
        </w:numPr>
        <w:jc w:val="both"/>
        <w:rPr>
          <w:sz w:val="24"/>
          <w:szCs w:val="24"/>
        </w:rPr>
      </w:pPr>
      <w:r w:rsidRPr="00E44FAF">
        <w:rPr>
          <w:sz w:val="24"/>
          <w:szCs w:val="24"/>
        </w:rPr>
        <w:t>Clarity, Understanding and Capability</w:t>
      </w:r>
    </w:p>
    <w:p w14:paraId="436E4A3D" w14:textId="77777777" w:rsidR="00AA56F9" w:rsidRPr="00E44FAF" w:rsidRDefault="00AA56F9" w:rsidP="003B7CB9">
      <w:pPr>
        <w:pStyle w:val="ListParagraph"/>
        <w:numPr>
          <w:ilvl w:val="0"/>
          <w:numId w:val="27"/>
        </w:numPr>
        <w:jc w:val="both"/>
        <w:rPr>
          <w:sz w:val="24"/>
          <w:szCs w:val="24"/>
        </w:rPr>
      </w:pPr>
      <w:r w:rsidRPr="00E44FAF">
        <w:rPr>
          <w:sz w:val="24"/>
          <w:szCs w:val="24"/>
        </w:rPr>
        <w:t>Complaints</w:t>
      </w:r>
    </w:p>
    <w:p w14:paraId="50327D6E" w14:textId="1D9D6E73" w:rsidR="00AA56F9" w:rsidRPr="00E44FAF" w:rsidRDefault="00AA56F9" w:rsidP="003B7CB9">
      <w:pPr>
        <w:pStyle w:val="ListParagraph"/>
        <w:numPr>
          <w:ilvl w:val="0"/>
          <w:numId w:val="27"/>
        </w:numPr>
        <w:jc w:val="both"/>
        <w:rPr>
          <w:sz w:val="24"/>
          <w:szCs w:val="24"/>
        </w:rPr>
      </w:pPr>
      <w:r w:rsidRPr="00E44FAF">
        <w:rPr>
          <w:sz w:val="24"/>
          <w:szCs w:val="24"/>
        </w:rPr>
        <w:t xml:space="preserve">Accountability and Compliance. </w:t>
      </w:r>
    </w:p>
    <w:p w14:paraId="349ABD56" w14:textId="71B6B191" w:rsidR="001D2FC4" w:rsidRPr="00E44FAF" w:rsidRDefault="00E15364" w:rsidP="003B7CB9">
      <w:pPr>
        <w:jc w:val="both"/>
        <w:rPr>
          <w:sz w:val="24"/>
          <w:szCs w:val="24"/>
        </w:rPr>
      </w:pPr>
      <w:r w:rsidRPr="00E44FAF">
        <w:rPr>
          <w:sz w:val="24"/>
          <w:szCs w:val="24"/>
        </w:rPr>
        <w:t xml:space="preserve">During August 2020 the NDCO Program surveyed 131 people with disability, disability practitioners, families and supporters </w:t>
      </w:r>
      <w:r w:rsidR="001D2FC4" w:rsidRPr="00E44FAF">
        <w:rPr>
          <w:sz w:val="24"/>
          <w:szCs w:val="24"/>
        </w:rPr>
        <w:t xml:space="preserve">to better understand the knowledge, awareness, capability and compliance </w:t>
      </w:r>
      <w:r w:rsidR="00E44FAF">
        <w:rPr>
          <w:sz w:val="24"/>
          <w:szCs w:val="24"/>
        </w:rPr>
        <w:t>with The Standards</w:t>
      </w:r>
      <w:r w:rsidR="001D2FC4" w:rsidRPr="00E44FAF">
        <w:rPr>
          <w:sz w:val="24"/>
          <w:szCs w:val="24"/>
        </w:rPr>
        <w:t xml:space="preserve">. </w:t>
      </w:r>
      <w:r w:rsidR="00AA56F9" w:rsidRPr="00E44FAF">
        <w:rPr>
          <w:sz w:val="24"/>
          <w:szCs w:val="24"/>
        </w:rPr>
        <w:t xml:space="preserve">This submission draws on the collective expertise of the contributors and feedback sought from stakeholders across Australia through the </w:t>
      </w:r>
      <w:r w:rsidRPr="00E44FAF">
        <w:rPr>
          <w:sz w:val="24"/>
          <w:szCs w:val="24"/>
        </w:rPr>
        <w:t>NDCO Stakeholder S</w:t>
      </w:r>
      <w:r w:rsidR="00AA56F9" w:rsidRPr="00E44FAF">
        <w:rPr>
          <w:sz w:val="24"/>
          <w:szCs w:val="24"/>
        </w:rPr>
        <w:t xml:space="preserve">urvey. </w:t>
      </w:r>
      <w:r w:rsidR="001D2FC4" w:rsidRPr="00E44FAF">
        <w:rPr>
          <w:sz w:val="24"/>
          <w:szCs w:val="24"/>
        </w:rPr>
        <w:t xml:space="preserve">The </w:t>
      </w:r>
      <w:r w:rsidRPr="00E44FAF">
        <w:rPr>
          <w:sz w:val="24"/>
          <w:szCs w:val="24"/>
        </w:rPr>
        <w:t>NDCO Stakeholder S</w:t>
      </w:r>
      <w:r w:rsidR="001D2FC4" w:rsidRPr="00E44FAF">
        <w:rPr>
          <w:sz w:val="24"/>
          <w:szCs w:val="24"/>
        </w:rPr>
        <w:t xml:space="preserve">urvey is </w:t>
      </w:r>
      <w:r w:rsidR="00386728">
        <w:rPr>
          <w:sz w:val="24"/>
          <w:szCs w:val="24"/>
        </w:rPr>
        <w:t>included as an additional document with this submission</w:t>
      </w:r>
      <w:r w:rsidR="001D2FC4" w:rsidRPr="00E44FAF">
        <w:rPr>
          <w:sz w:val="24"/>
          <w:szCs w:val="24"/>
        </w:rPr>
        <w:t>.</w:t>
      </w:r>
    </w:p>
    <w:p w14:paraId="2CDC4E39" w14:textId="77777777" w:rsidR="00E15364" w:rsidRDefault="00E15364" w:rsidP="003B7CB9">
      <w:pPr>
        <w:jc w:val="both"/>
        <w:rPr>
          <w:sz w:val="24"/>
          <w:szCs w:val="24"/>
        </w:rPr>
      </w:pPr>
    </w:p>
    <w:p w14:paraId="00000023" w14:textId="1F8783E9" w:rsidR="00655781" w:rsidRDefault="00594002" w:rsidP="003B7CB9">
      <w:pPr>
        <w:jc w:val="both"/>
      </w:pPr>
      <w:r>
        <w:br w:type="page"/>
      </w:r>
    </w:p>
    <w:p w14:paraId="5BC14BD4" w14:textId="3437F10B" w:rsidR="00AA56F9" w:rsidRDefault="004C10BF" w:rsidP="003B7CB9">
      <w:pPr>
        <w:pStyle w:val="Heading1"/>
        <w:jc w:val="both"/>
      </w:pPr>
      <w:bookmarkStart w:id="2" w:name="_heading=h.1fob9te" w:colFirst="0" w:colLast="0"/>
      <w:bookmarkStart w:id="3" w:name="_heading=h.3znysh7" w:colFirst="0" w:colLast="0"/>
      <w:bookmarkStart w:id="4" w:name="_Hlk27141579"/>
      <w:bookmarkEnd w:id="2"/>
      <w:bookmarkEnd w:id="3"/>
      <w:r>
        <w:lastRenderedPageBreak/>
        <w:t xml:space="preserve">Awareness Raising </w:t>
      </w:r>
    </w:p>
    <w:p w14:paraId="00D48E76" w14:textId="77777777" w:rsidR="004E3425" w:rsidRDefault="004E3425" w:rsidP="003B7CB9">
      <w:pPr>
        <w:pStyle w:val="NoSpacing"/>
        <w:jc w:val="both"/>
      </w:pPr>
    </w:p>
    <w:p w14:paraId="787EFE56" w14:textId="59D0CFF1" w:rsidR="00CC6765" w:rsidRDefault="00AA56F9" w:rsidP="003B7CB9">
      <w:pPr>
        <w:jc w:val="both"/>
        <w:rPr>
          <w:sz w:val="24"/>
          <w:szCs w:val="24"/>
        </w:rPr>
      </w:pPr>
      <w:r>
        <w:rPr>
          <w:sz w:val="24"/>
          <w:szCs w:val="24"/>
        </w:rPr>
        <w:t>Final reports of the 2010 and 2015 reviews of The Standards revealed a lack</w:t>
      </w:r>
      <w:r w:rsidR="00824378">
        <w:rPr>
          <w:sz w:val="24"/>
          <w:szCs w:val="24"/>
        </w:rPr>
        <w:t xml:space="preserve"> of awareness and knowledge of T</w:t>
      </w:r>
      <w:r>
        <w:rPr>
          <w:sz w:val="24"/>
          <w:szCs w:val="24"/>
        </w:rPr>
        <w:t xml:space="preserve">he Standards by the general population. This lack of awareness was </w:t>
      </w:r>
      <w:r w:rsidR="00E44FAF">
        <w:rPr>
          <w:sz w:val="24"/>
          <w:szCs w:val="24"/>
        </w:rPr>
        <w:t>substantiated through the NDCO Stakeholder S</w:t>
      </w:r>
      <w:r>
        <w:rPr>
          <w:sz w:val="24"/>
          <w:szCs w:val="24"/>
        </w:rPr>
        <w:t xml:space="preserve">urvey </w:t>
      </w:r>
      <w:r w:rsidRPr="00E15364">
        <w:rPr>
          <w:sz w:val="24"/>
          <w:szCs w:val="24"/>
        </w:rPr>
        <w:t>where 31% of respondents indicated that they were un</w:t>
      </w:r>
      <w:r w:rsidR="00E44FAF">
        <w:rPr>
          <w:sz w:val="24"/>
          <w:szCs w:val="24"/>
        </w:rPr>
        <w:t>aware of where to access The Standards</w:t>
      </w:r>
      <w:r w:rsidRPr="00E15364">
        <w:rPr>
          <w:sz w:val="24"/>
          <w:szCs w:val="24"/>
        </w:rPr>
        <w:t>, and many were still unsure of their purpose:</w:t>
      </w:r>
    </w:p>
    <w:p w14:paraId="41F08462" w14:textId="0FDE0FC1" w:rsidR="00AA56F9" w:rsidRDefault="00AA56F9" w:rsidP="003B7CB9">
      <w:pPr>
        <w:shd w:val="clear" w:color="auto" w:fill="FFFFFF"/>
        <w:spacing w:before="240" w:after="240"/>
        <w:ind w:left="720"/>
        <w:jc w:val="both"/>
        <w:rPr>
          <w:i/>
          <w:sz w:val="24"/>
          <w:szCs w:val="24"/>
        </w:rPr>
      </w:pPr>
      <w:r>
        <w:rPr>
          <w:i/>
          <w:sz w:val="24"/>
          <w:szCs w:val="24"/>
        </w:rPr>
        <w:t>“I am very aware of the general disability service standards but not education specific standards</w:t>
      </w:r>
      <w:r w:rsidR="00E15364">
        <w:rPr>
          <w:i/>
          <w:sz w:val="24"/>
          <w:szCs w:val="24"/>
        </w:rPr>
        <w:t>”</w:t>
      </w:r>
      <w:r>
        <w:rPr>
          <w:i/>
          <w:sz w:val="24"/>
          <w:szCs w:val="24"/>
        </w:rPr>
        <w:t xml:space="preserve"> </w:t>
      </w:r>
    </w:p>
    <w:p w14:paraId="43137473" w14:textId="77777777" w:rsidR="00AA56F9" w:rsidRDefault="00AA56F9" w:rsidP="003B7CB9">
      <w:pPr>
        <w:shd w:val="clear" w:color="auto" w:fill="FFFFFF"/>
        <w:spacing w:before="240" w:after="240"/>
        <w:ind w:firstLine="720"/>
        <w:jc w:val="both"/>
        <w:rPr>
          <w:i/>
          <w:sz w:val="24"/>
          <w:szCs w:val="24"/>
        </w:rPr>
      </w:pPr>
      <w:r>
        <w:rPr>
          <w:i/>
          <w:sz w:val="24"/>
          <w:szCs w:val="24"/>
        </w:rPr>
        <w:t>“Have little knowledge about the standards”</w:t>
      </w:r>
    </w:p>
    <w:p w14:paraId="5C67393E" w14:textId="77777777" w:rsidR="00AA56F9" w:rsidRDefault="00AA56F9" w:rsidP="003B7CB9">
      <w:pPr>
        <w:shd w:val="clear" w:color="auto" w:fill="FFFFFF"/>
        <w:spacing w:before="240" w:after="240"/>
        <w:ind w:firstLine="720"/>
        <w:jc w:val="both"/>
        <w:rPr>
          <w:i/>
          <w:sz w:val="24"/>
          <w:szCs w:val="24"/>
        </w:rPr>
      </w:pPr>
      <w:r>
        <w:rPr>
          <w:i/>
          <w:sz w:val="24"/>
          <w:szCs w:val="24"/>
        </w:rPr>
        <w:t>“To be honest I have never even heard of them before”</w:t>
      </w:r>
    </w:p>
    <w:p w14:paraId="7F0BD4B7" w14:textId="77777777" w:rsidR="00AA56F9" w:rsidRPr="00AA56F9" w:rsidRDefault="00AA56F9" w:rsidP="003B7CB9">
      <w:pPr>
        <w:shd w:val="clear" w:color="auto" w:fill="FFFFFF"/>
        <w:spacing w:before="240" w:after="240"/>
        <w:ind w:firstLine="720"/>
        <w:jc w:val="both"/>
        <w:rPr>
          <w:i/>
          <w:sz w:val="24"/>
          <w:szCs w:val="24"/>
        </w:rPr>
      </w:pPr>
      <w:r w:rsidRPr="00AA56F9">
        <w:rPr>
          <w:i/>
          <w:sz w:val="24"/>
          <w:szCs w:val="24"/>
        </w:rPr>
        <w:t>“I have minimal understanding”</w:t>
      </w:r>
    </w:p>
    <w:p w14:paraId="03EC5E7B" w14:textId="4C2A0410" w:rsidR="00AA56F9" w:rsidRDefault="00AA56F9" w:rsidP="003B7CB9">
      <w:pPr>
        <w:shd w:val="clear" w:color="auto" w:fill="FFFFFF"/>
        <w:spacing w:before="240" w:after="240"/>
        <w:jc w:val="both"/>
        <w:rPr>
          <w:sz w:val="24"/>
          <w:szCs w:val="24"/>
        </w:rPr>
      </w:pPr>
      <w:r>
        <w:rPr>
          <w:sz w:val="24"/>
          <w:szCs w:val="24"/>
        </w:rPr>
        <w:t>The NDCO Program acknowledges the effort that has been ap</w:t>
      </w:r>
      <w:r w:rsidR="00A5497D">
        <w:rPr>
          <w:sz w:val="24"/>
          <w:szCs w:val="24"/>
        </w:rPr>
        <w:t>plied to building awareness of T</w:t>
      </w:r>
      <w:r>
        <w:rPr>
          <w:sz w:val="24"/>
          <w:szCs w:val="24"/>
        </w:rPr>
        <w:t>he Standards across different stakeholder groups. However, these campaigns have failed to bring about the systemic change that is necessary to ensure that the Australian education system upholds the right of every person with disability to access education and training opportunities on the same basis as students without disability.</w:t>
      </w:r>
    </w:p>
    <w:p w14:paraId="1DF13AAD" w14:textId="1DD300CE" w:rsidR="00AA56F9" w:rsidRDefault="00AA56F9" w:rsidP="003B7CB9">
      <w:pPr>
        <w:shd w:val="clear" w:color="auto" w:fill="FFFFFF"/>
        <w:spacing w:before="240" w:after="240"/>
        <w:jc w:val="both"/>
        <w:rPr>
          <w:sz w:val="24"/>
          <w:szCs w:val="24"/>
        </w:rPr>
      </w:pPr>
      <w:r>
        <w:rPr>
          <w:sz w:val="24"/>
          <w:szCs w:val="24"/>
        </w:rPr>
        <w:t>While many resources have been d</w:t>
      </w:r>
      <w:r w:rsidR="00A5497D">
        <w:rPr>
          <w:sz w:val="24"/>
          <w:szCs w:val="24"/>
        </w:rPr>
        <w:t>eveloped to build awareness of T</w:t>
      </w:r>
      <w:r>
        <w:rPr>
          <w:sz w:val="24"/>
          <w:szCs w:val="24"/>
        </w:rPr>
        <w:t>he Standards, the onus remains on the individual to have knowledge that they are in place, and where to access them. This has led to a system where students with disability are often unaware of their rights, limiting access to an equitable education. A divide grows between those willing and able to advocate for themselves and those who are not.</w:t>
      </w:r>
    </w:p>
    <w:p w14:paraId="4A64B5D8" w14:textId="69C4A6A3" w:rsidR="00AA56F9" w:rsidRDefault="00AA56F9" w:rsidP="003B7CB9">
      <w:pPr>
        <w:shd w:val="clear" w:color="auto" w:fill="FFFFFF"/>
        <w:spacing w:before="240" w:after="240"/>
        <w:jc w:val="both"/>
        <w:rPr>
          <w:sz w:val="24"/>
          <w:szCs w:val="24"/>
        </w:rPr>
      </w:pPr>
      <w:r>
        <w:rPr>
          <w:sz w:val="24"/>
          <w:szCs w:val="24"/>
        </w:rPr>
        <w:t xml:space="preserve">Submissions to previous reviews have been punctuated with discussions to ensure that all students with disability, their supporters and educators are aware of the right to access education on the same basis as any other student. The lack of knowledge in how to achieve this is proof that awareness is yet to be </w:t>
      </w:r>
      <w:proofErr w:type="spellStart"/>
      <w:r>
        <w:rPr>
          <w:sz w:val="24"/>
          <w:szCs w:val="24"/>
        </w:rPr>
        <w:t>realised</w:t>
      </w:r>
      <w:proofErr w:type="spellEnd"/>
      <w:r>
        <w:rPr>
          <w:sz w:val="24"/>
          <w:szCs w:val="24"/>
        </w:rPr>
        <w:t>. Students with disability and their families living in metropoli</w:t>
      </w:r>
      <w:r w:rsidR="00E44FAF">
        <w:rPr>
          <w:sz w:val="24"/>
          <w:szCs w:val="24"/>
        </w:rPr>
        <w:t>tan areas may be more aware of T</w:t>
      </w:r>
      <w:r>
        <w:rPr>
          <w:sz w:val="24"/>
          <w:szCs w:val="24"/>
        </w:rPr>
        <w:t>he Standards and be much more confident in advocating for their rights as they have additional access to, and support from advocacy groups and their resources. Tertiary students may also have more</w:t>
      </w:r>
      <w:r w:rsidR="00E44FAF">
        <w:rPr>
          <w:sz w:val="24"/>
          <w:szCs w:val="24"/>
        </w:rPr>
        <w:t xml:space="preserve"> support to </w:t>
      </w:r>
      <w:proofErr w:type="spellStart"/>
      <w:r w:rsidR="00E44FAF">
        <w:rPr>
          <w:sz w:val="24"/>
          <w:szCs w:val="24"/>
        </w:rPr>
        <w:t>utilise</w:t>
      </w:r>
      <w:proofErr w:type="spellEnd"/>
      <w:r w:rsidR="00E44FAF">
        <w:rPr>
          <w:sz w:val="24"/>
          <w:szCs w:val="24"/>
        </w:rPr>
        <w:t xml:space="preserve"> T</w:t>
      </w:r>
      <w:r>
        <w:rPr>
          <w:sz w:val="24"/>
          <w:szCs w:val="24"/>
        </w:rPr>
        <w:t>he Standards through access to disability advisers employed by their university.</w:t>
      </w:r>
    </w:p>
    <w:p w14:paraId="14A105C0" w14:textId="020FB54F" w:rsidR="00AA56F9" w:rsidRDefault="00E44FAF" w:rsidP="003B7CB9">
      <w:pPr>
        <w:shd w:val="clear" w:color="auto" w:fill="FFFFFF"/>
        <w:spacing w:before="240" w:after="240"/>
        <w:jc w:val="both"/>
        <w:rPr>
          <w:sz w:val="24"/>
          <w:szCs w:val="24"/>
        </w:rPr>
      </w:pPr>
      <w:r>
        <w:rPr>
          <w:sz w:val="24"/>
          <w:szCs w:val="24"/>
        </w:rPr>
        <w:t>However, T</w:t>
      </w:r>
      <w:r w:rsidR="00AA56F9">
        <w:rPr>
          <w:sz w:val="24"/>
          <w:szCs w:val="24"/>
        </w:rPr>
        <w:t>he Standards are often inaccessible to families living in regio</w:t>
      </w:r>
      <w:r w:rsidR="00E15364">
        <w:rPr>
          <w:sz w:val="24"/>
          <w:szCs w:val="24"/>
        </w:rPr>
        <w:t xml:space="preserve">nal or remote areas, or from </w:t>
      </w:r>
      <w:r w:rsidR="00AA56F9">
        <w:rPr>
          <w:sz w:val="24"/>
          <w:szCs w:val="24"/>
        </w:rPr>
        <w:t>Aboriginal and Torres Strait Islander communities</w:t>
      </w:r>
      <w:r w:rsidR="00E15364">
        <w:rPr>
          <w:sz w:val="24"/>
          <w:szCs w:val="24"/>
        </w:rPr>
        <w:t xml:space="preserve"> or c</w:t>
      </w:r>
      <w:r w:rsidR="00AA56F9">
        <w:rPr>
          <w:sz w:val="24"/>
          <w:szCs w:val="24"/>
        </w:rPr>
        <w:t xml:space="preserve">ulturally </w:t>
      </w:r>
      <w:r w:rsidR="00E15364">
        <w:rPr>
          <w:sz w:val="24"/>
          <w:szCs w:val="24"/>
        </w:rPr>
        <w:t>diverse communities</w:t>
      </w:r>
      <w:r w:rsidR="00AA56F9">
        <w:rPr>
          <w:sz w:val="24"/>
          <w:szCs w:val="24"/>
        </w:rPr>
        <w:t>, without the availability of specific resources and advocacy support.</w:t>
      </w:r>
    </w:p>
    <w:p w14:paraId="59DC6492" w14:textId="1EDA54E3" w:rsidR="00AA56F9" w:rsidRDefault="00AA56F9" w:rsidP="003B7CB9">
      <w:pPr>
        <w:jc w:val="both"/>
        <w:rPr>
          <w:sz w:val="24"/>
          <w:szCs w:val="24"/>
        </w:rPr>
      </w:pPr>
      <w:r>
        <w:rPr>
          <w:sz w:val="24"/>
          <w:szCs w:val="24"/>
        </w:rPr>
        <w:t>Previous submissions have also highlighted the need for a ca</w:t>
      </w:r>
      <w:r w:rsidR="00A5497D">
        <w:rPr>
          <w:sz w:val="24"/>
          <w:szCs w:val="24"/>
        </w:rPr>
        <w:t>mpaign to promote awareness of T</w:t>
      </w:r>
      <w:r w:rsidR="00E5165A">
        <w:rPr>
          <w:sz w:val="24"/>
          <w:szCs w:val="24"/>
        </w:rPr>
        <w:t>he S</w:t>
      </w:r>
      <w:r>
        <w:rPr>
          <w:sz w:val="24"/>
          <w:szCs w:val="24"/>
        </w:rPr>
        <w:t>tandards and increase understanding of:</w:t>
      </w:r>
    </w:p>
    <w:p w14:paraId="770B0F53" w14:textId="6563AE2D" w:rsidR="00AA56F9" w:rsidRDefault="00A5497D" w:rsidP="003B7CB9">
      <w:pPr>
        <w:numPr>
          <w:ilvl w:val="0"/>
          <w:numId w:val="28"/>
        </w:numPr>
        <w:spacing w:after="0" w:line="276" w:lineRule="auto"/>
        <w:jc w:val="both"/>
        <w:rPr>
          <w:sz w:val="24"/>
          <w:szCs w:val="24"/>
        </w:rPr>
      </w:pPr>
      <w:r>
        <w:rPr>
          <w:sz w:val="24"/>
          <w:szCs w:val="24"/>
        </w:rPr>
        <w:t>t</w:t>
      </w:r>
      <w:r w:rsidR="00AA56F9">
        <w:rPr>
          <w:sz w:val="24"/>
          <w:szCs w:val="24"/>
        </w:rPr>
        <w:t xml:space="preserve">heir purpose  </w:t>
      </w:r>
    </w:p>
    <w:p w14:paraId="7E57DEA1" w14:textId="5F6C86DC" w:rsidR="00AA56F9" w:rsidRDefault="00A5497D" w:rsidP="003B7CB9">
      <w:pPr>
        <w:numPr>
          <w:ilvl w:val="0"/>
          <w:numId w:val="28"/>
        </w:numPr>
        <w:spacing w:after="0" w:line="276" w:lineRule="auto"/>
        <w:jc w:val="both"/>
        <w:rPr>
          <w:sz w:val="24"/>
          <w:szCs w:val="24"/>
        </w:rPr>
      </w:pPr>
      <w:r>
        <w:rPr>
          <w:sz w:val="24"/>
          <w:szCs w:val="24"/>
        </w:rPr>
        <w:t>h</w:t>
      </w:r>
      <w:r w:rsidR="00AA56F9">
        <w:rPr>
          <w:sz w:val="24"/>
          <w:szCs w:val="24"/>
        </w:rPr>
        <w:t>ow to access them, and</w:t>
      </w:r>
    </w:p>
    <w:p w14:paraId="0C04D3E2" w14:textId="728635E9" w:rsidR="00AA56F9" w:rsidRDefault="00A5497D" w:rsidP="003B7CB9">
      <w:pPr>
        <w:numPr>
          <w:ilvl w:val="0"/>
          <w:numId w:val="28"/>
        </w:numPr>
        <w:spacing w:after="0" w:line="276" w:lineRule="auto"/>
        <w:jc w:val="both"/>
        <w:rPr>
          <w:sz w:val="24"/>
          <w:szCs w:val="24"/>
        </w:rPr>
      </w:pPr>
      <w:r>
        <w:rPr>
          <w:sz w:val="24"/>
          <w:szCs w:val="24"/>
        </w:rPr>
        <w:lastRenderedPageBreak/>
        <w:t>t</w:t>
      </w:r>
      <w:r w:rsidR="00824378">
        <w:rPr>
          <w:sz w:val="24"/>
          <w:szCs w:val="24"/>
        </w:rPr>
        <w:t>he complaints process when The S</w:t>
      </w:r>
      <w:r w:rsidR="00AA56F9">
        <w:rPr>
          <w:sz w:val="24"/>
          <w:szCs w:val="24"/>
        </w:rPr>
        <w:t>tandards are not being upheld</w:t>
      </w:r>
      <w:r>
        <w:rPr>
          <w:sz w:val="24"/>
          <w:szCs w:val="24"/>
        </w:rPr>
        <w:t>.</w:t>
      </w:r>
    </w:p>
    <w:p w14:paraId="006647E8" w14:textId="77777777" w:rsidR="00AA56F9" w:rsidRDefault="00AA56F9" w:rsidP="003B7CB9">
      <w:pPr>
        <w:shd w:val="clear" w:color="auto" w:fill="FFFFFF"/>
        <w:spacing w:before="240" w:after="240"/>
        <w:jc w:val="both"/>
        <w:rPr>
          <w:sz w:val="24"/>
          <w:szCs w:val="24"/>
        </w:rPr>
      </w:pPr>
      <w:r>
        <w:rPr>
          <w:sz w:val="24"/>
          <w:szCs w:val="24"/>
        </w:rPr>
        <w:t xml:space="preserve">It is also noted that awareness campaigns have led to a seasonal effect with efforts of informing stakeholders being applied post regular reviews. Knowledge and effort then sit with individuals who inevitably move on, taking that initiative away once they leave. </w:t>
      </w:r>
    </w:p>
    <w:p w14:paraId="6EE148C0" w14:textId="1740CDB0" w:rsidR="00AA56F9" w:rsidRDefault="00AA56F9" w:rsidP="003B7CB9">
      <w:pPr>
        <w:shd w:val="clear" w:color="auto" w:fill="FFFFFF"/>
        <w:spacing w:before="240" w:after="240"/>
        <w:jc w:val="both"/>
        <w:rPr>
          <w:sz w:val="24"/>
          <w:szCs w:val="24"/>
        </w:rPr>
      </w:pPr>
      <w:r>
        <w:rPr>
          <w:sz w:val="24"/>
          <w:szCs w:val="24"/>
        </w:rPr>
        <w:t>Any future</w:t>
      </w:r>
      <w:r w:rsidR="00A5497D">
        <w:rPr>
          <w:sz w:val="24"/>
          <w:szCs w:val="24"/>
        </w:rPr>
        <w:t xml:space="preserve"> work in building awareness of T</w:t>
      </w:r>
      <w:r>
        <w:rPr>
          <w:sz w:val="24"/>
          <w:szCs w:val="24"/>
        </w:rPr>
        <w:t xml:space="preserve">he Standards must be driven by the goal to create systematic and enduring change. The Standards must become the guiding directive in the educational experience of every student living with disability needing support to meet their education goals in Australian education institutions. </w:t>
      </w:r>
    </w:p>
    <w:p w14:paraId="7CAC7FBC" w14:textId="7C3E1DB2" w:rsidR="004D5419" w:rsidRDefault="00AA56F9" w:rsidP="001936EE">
      <w:pPr>
        <w:shd w:val="clear" w:color="auto" w:fill="FFFFFF"/>
        <w:spacing w:before="240" w:after="240"/>
        <w:jc w:val="both"/>
        <w:rPr>
          <w:sz w:val="24"/>
          <w:szCs w:val="24"/>
        </w:rPr>
      </w:pPr>
      <w:r>
        <w:rPr>
          <w:sz w:val="24"/>
          <w:szCs w:val="24"/>
        </w:rPr>
        <w:t>In order to achieve this, it is imperative that we move away from the current ‘marketing’ style approach that encourag</w:t>
      </w:r>
      <w:r w:rsidR="00A5497D">
        <w:rPr>
          <w:sz w:val="24"/>
          <w:szCs w:val="24"/>
        </w:rPr>
        <w:t>es stakeholders to ‘opt in’ to T</w:t>
      </w:r>
      <w:r>
        <w:rPr>
          <w:sz w:val="24"/>
          <w:szCs w:val="24"/>
        </w:rPr>
        <w:t xml:space="preserve">he Standards and resulting supports. Systemic change must be driven by the insistence that ALL students are </w:t>
      </w:r>
      <w:r w:rsidR="00824378">
        <w:rPr>
          <w:sz w:val="24"/>
          <w:szCs w:val="24"/>
        </w:rPr>
        <w:t>informed of their rights under T</w:t>
      </w:r>
      <w:r>
        <w:rPr>
          <w:sz w:val="24"/>
          <w:szCs w:val="24"/>
        </w:rPr>
        <w:t>he Standards and ALL educators and education instituti</w:t>
      </w:r>
      <w:r w:rsidR="00A5497D">
        <w:rPr>
          <w:sz w:val="24"/>
          <w:szCs w:val="24"/>
        </w:rPr>
        <w:t>ons be mandated to ensure that T</w:t>
      </w:r>
      <w:r>
        <w:rPr>
          <w:sz w:val="24"/>
          <w:szCs w:val="24"/>
        </w:rPr>
        <w:t>he Standards are upheld. The Standards must be built into the everyday processes of the education sector through building awareness</w:t>
      </w:r>
      <w:r w:rsidR="00A5497D">
        <w:rPr>
          <w:sz w:val="24"/>
          <w:szCs w:val="24"/>
        </w:rPr>
        <w:t xml:space="preserve"> and knowledge of how to apply The S</w:t>
      </w:r>
      <w:r>
        <w:rPr>
          <w:sz w:val="24"/>
          <w:szCs w:val="24"/>
        </w:rPr>
        <w:t xml:space="preserve">tandards into daily processes; this will ensure that change will be systemic and enduring. </w:t>
      </w:r>
      <w:bookmarkEnd w:id="4"/>
    </w:p>
    <w:p w14:paraId="76062C1F" w14:textId="58D19412" w:rsidR="001936EE" w:rsidRDefault="001936EE">
      <w:pPr>
        <w:rPr>
          <w:sz w:val="24"/>
          <w:szCs w:val="24"/>
        </w:rPr>
      </w:pPr>
      <w:r>
        <w:rPr>
          <w:sz w:val="24"/>
          <w:szCs w:val="24"/>
        </w:rPr>
        <w:br w:type="page"/>
      </w:r>
    </w:p>
    <w:p w14:paraId="00000088" w14:textId="7CED5B43" w:rsidR="00655781" w:rsidRDefault="004C10BF" w:rsidP="003B7CB9">
      <w:pPr>
        <w:pStyle w:val="Heading1"/>
        <w:jc w:val="both"/>
      </w:pPr>
      <w:bookmarkStart w:id="5" w:name="_heading=h.2et92p0" w:colFirst="0" w:colLast="0"/>
      <w:bookmarkStart w:id="6" w:name="_Hlk27141592"/>
      <w:bookmarkEnd w:id="5"/>
      <w:r>
        <w:lastRenderedPageBreak/>
        <w:t>Clarity, Understanding and Capability</w:t>
      </w:r>
    </w:p>
    <w:bookmarkEnd w:id="6"/>
    <w:p w14:paraId="1F919DBE" w14:textId="5DFCF0C6" w:rsidR="004E3425" w:rsidRDefault="00FD5FE5" w:rsidP="00916194">
      <w:pPr>
        <w:spacing w:line="240" w:lineRule="auto"/>
        <w:jc w:val="both"/>
        <w:rPr>
          <w:sz w:val="24"/>
          <w:szCs w:val="24"/>
        </w:rPr>
      </w:pPr>
      <w:r w:rsidRPr="00E15364">
        <w:rPr>
          <w:sz w:val="24"/>
          <w:szCs w:val="24"/>
        </w:rPr>
        <w:t xml:space="preserve">Most surveyed stakeholders indicated they are aware of the purpose of </w:t>
      </w:r>
      <w:r w:rsidR="00A5497D">
        <w:rPr>
          <w:sz w:val="24"/>
          <w:szCs w:val="24"/>
        </w:rPr>
        <w:t>T</w:t>
      </w:r>
      <w:r w:rsidRPr="00E15364">
        <w:rPr>
          <w:sz w:val="24"/>
          <w:szCs w:val="24"/>
        </w:rPr>
        <w:t xml:space="preserve">he </w:t>
      </w:r>
      <w:r>
        <w:rPr>
          <w:sz w:val="24"/>
          <w:szCs w:val="24"/>
        </w:rPr>
        <w:t>S</w:t>
      </w:r>
      <w:r w:rsidRPr="00E15364">
        <w:rPr>
          <w:sz w:val="24"/>
          <w:szCs w:val="24"/>
        </w:rPr>
        <w:t xml:space="preserve">tandards to provide structure and guidance to allow access to reasonable adjustments and </w:t>
      </w:r>
      <w:proofErr w:type="spellStart"/>
      <w:r w:rsidRPr="00E15364">
        <w:rPr>
          <w:sz w:val="24"/>
          <w:szCs w:val="24"/>
        </w:rPr>
        <w:t>individualised</w:t>
      </w:r>
      <w:proofErr w:type="spellEnd"/>
      <w:r w:rsidRPr="00E15364">
        <w:rPr>
          <w:sz w:val="24"/>
          <w:szCs w:val="24"/>
        </w:rPr>
        <w:t xml:space="preserve"> tailored support for s</w:t>
      </w:r>
      <w:r>
        <w:rPr>
          <w:sz w:val="24"/>
          <w:szCs w:val="24"/>
        </w:rPr>
        <w:t>tudents with disability. The Standards</w:t>
      </w:r>
      <w:r w:rsidRPr="00E15364">
        <w:rPr>
          <w:sz w:val="24"/>
          <w:szCs w:val="24"/>
        </w:rPr>
        <w:t xml:space="preserve"> </w:t>
      </w:r>
      <w:r>
        <w:rPr>
          <w:sz w:val="24"/>
          <w:szCs w:val="24"/>
        </w:rPr>
        <w:t xml:space="preserve">attempt to </w:t>
      </w:r>
      <w:r w:rsidRPr="00E15364">
        <w:rPr>
          <w:sz w:val="24"/>
          <w:szCs w:val="24"/>
        </w:rPr>
        <w:t>clarif</w:t>
      </w:r>
      <w:r>
        <w:rPr>
          <w:sz w:val="24"/>
          <w:szCs w:val="24"/>
        </w:rPr>
        <w:t>y</w:t>
      </w:r>
      <w:r w:rsidRPr="00E15364">
        <w:rPr>
          <w:sz w:val="24"/>
          <w:szCs w:val="24"/>
        </w:rPr>
        <w:t xml:space="preserve"> the obligations of education providers to ensure equitable access and the appropriate modifications to accommodate the needs of a student</w:t>
      </w:r>
      <w:r>
        <w:rPr>
          <w:sz w:val="24"/>
          <w:szCs w:val="24"/>
        </w:rPr>
        <w:t>. However a</w:t>
      </w:r>
      <w:r w:rsidR="004E3425" w:rsidRPr="00E15364">
        <w:rPr>
          <w:sz w:val="24"/>
          <w:szCs w:val="24"/>
        </w:rPr>
        <w:t xml:space="preserve"> lesser number of stakeholders disclosed they had little knowledge of reasonable adjustments and were more aware of the National Standards for Disability Services</w:t>
      </w:r>
      <w:r w:rsidR="00E15364">
        <w:rPr>
          <w:sz w:val="24"/>
          <w:szCs w:val="24"/>
        </w:rPr>
        <w:t>,</w:t>
      </w:r>
      <w:r w:rsidR="004E3425" w:rsidRPr="00E15364">
        <w:rPr>
          <w:sz w:val="24"/>
          <w:szCs w:val="24"/>
        </w:rPr>
        <w:t xml:space="preserve"> and a smaller number of stakeholders shared they had no knowledge of reasonable adjustments at all.</w:t>
      </w:r>
    </w:p>
    <w:p w14:paraId="305D3952" w14:textId="00A6D5F4" w:rsidR="004E3425" w:rsidRDefault="004E3425" w:rsidP="00916194">
      <w:pPr>
        <w:jc w:val="both"/>
        <w:rPr>
          <w:sz w:val="24"/>
          <w:szCs w:val="24"/>
        </w:rPr>
      </w:pPr>
      <w:r w:rsidRPr="00E15364">
        <w:rPr>
          <w:sz w:val="24"/>
          <w:szCs w:val="24"/>
        </w:rPr>
        <w:t>Despite stakeholders reporting they have a good theoretical understanding of reasonable adjustments, and knowing there are many ways to apply them, there seems to be a disconnect in applying adjustments in practice and the application in real education settings are vague and unclear. While it is known, making modifications to the curriculum and providing tools to support students with disability increases inclusiveness in the education setting</w:t>
      </w:r>
      <w:r w:rsidR="00A5497D">
        <w:rPr>
          <w:sz w:val="24"/>
          <w:szCs w:val="24"/>
        </w:rPr>
        <w:t>,</w:t>
      </w:r>
      <w:r w:rsidRPr="00E15364">
        <w:rPr>
          <w:sz w:val="24"/>
          <w:szCs w:val="24"/>
        </w:rPr>
        <w:t xml:space="preserve"> some education providers are unaware of the extent of the adjustments that could be made. </w:t>
      </w:r>
    </w:p>
    <w:p w14:paraId="72BC6A88" w14:textId="2C705057" w:rsidR="00FD5FE5" w:rsidRPr="00FD5FE5" w:rsidRDefault="00FD5FE5" w:rsidP="003B7CB9">
      <w:pPr>
        <w:ind w:left="720"/>
        <w:jc w:val="both"/>
        <w:rPr>
          <w:i/>
          <w:sz w:val="24"/>
          <w:szCs w:val="24"/>
        </w:rPr>
      </w:pPr>
      <w:r>
        <w:rPr>
          <w:i/>
          <w:sz w:val="24"/>
          <w:szCs w:val="24"/>
        </w:rPr>
        <w:t>“</w:t>
      </w:r>
      <w:r w:rsidRPr="00FD5FE5">
        <w:rPr>
          <w:i/>
          <w:sz w:val="24"/>
          <w:szCs w:val="24"/>
        </w:rPr>
        <w:t>The term 'reasonable adjustment' is a little vague and so wide in application depending on the context. More concrete examples or case scenarios would help.</w:t>
      </w:r>
      <w:r>
        <w:rPr>
          <w:i/>
          <w:sz w:val="24"/>
          <w:szCs w:val="24"/>
        </w:rPr>
        <w:t>”</w:t>
      </w:r>
    </w:p>
    <w:p w14:paraId="036CDA95" w14:textId="77777777" w:rsidR="004E3425" w:rsidRPr="00E15364" w:rsidRDefault="004E3425" w:rsidP="003B7CB9">
      <w:pPr>
        <w:jc w:val="both"/>
        <w:rPr>
          <w:sz w:val="24"/>
          <w:szCs w:val="24"/>
        </w:rPr>
      </w:pPr>
      <w:r w:rsidRPr="00E15364">
        <w:rPr>
          <w:sz w:val="24"/>
          <w:szCs w:val="24"/>
        </w:rPr>
        <w:t xml:space="preserve">Unfortunately, it is perceived that reasonable adjustments can diminish the quality of the education experience. Quite often educators use their limited knowledge of reasonable adjustments as an excuse to not provide adequate support and subsequently applying adjustments is placed in the “too hard basket”. It was also expressed that many students have experienced tokenistic inclusion which resulted in ‘loopholes’ that allowed exclusion. If we were to extrapolate these findings on a bigger scale, it is very likely the result will indicate a similar trend. </w:t>
      </w:r>
    </w:p>
    <w:p w14:paraId="5A7F4171" w14:textId="0D08B08A" w:rsidR="004E3425" w:rsidRPr="00E15364" w:rsidRDefault="004E3425" w:rsidP="003B7CB9">
      <w:pPr>
        <w:jc w:val="both"/>
        <w:rPr>
          <w:sz w:val="24"/>
          <w:szCs w:val="24"/>
        </w:rPr>
      </w:pPr>
      <w:r w:rsidRPr="00E15364">
        <w:rPr>
          <w:sz w:val="24"/>
          <w:szCs w:val="24"/>
        </w:rPr>
        <w:t xml:space="preserve">While some people have a thorough understanding of the term reasonable adjustment, they lack the knowledge and understanding regarding the term unjustifiable hardship. There is a misconception that the two terms are interchangeable and have the same meaning. </w:t>
      </w:r>
      <w:r w:rsidR="00494125">
        <w:rPr>
          <w:sz w:val="24"/>
          <w:szCs w:val="24"/>
        </w:rPr>
        <w:t>The NDCO Stakeholder S</w:t>
      </w:r>
      <w:r w:rsidR="00FD5FE5">
        <w:rPr>
          <w:sz w:val="24"/>
          <w:szCs w:val="24"/>
        </w:rPr>
        <w:t xml:space="preserve">urvey </w:t>
      </w:r>
      <w:r w:rsidR="00494125">
        <w:rPr>
          <w:sz w:val="24"/>
          <w:szCs w:val="24"/>
        </w:rPr>
        <w:t xml:space="preserve">also </w:t>
      </w:r>
      <w:r w:rsidR="00FD5FE5">
        <w:rPr>
          <w:sz w:val="24"/>
          <w:szCs w:val="24"/>
        </w:rPr>
        <w:t>revealed that m</w:t>
      </w:r>
      <w:r w:rsidRPr="00E15364">
        <w:rPr>
          <w:sz w:val="24"/>
          <w:szCs w:val="24"/>
        </w:rPr>
        <w:t>any people believe</w:t>
      </w:r>
      <w:r w:rsidR="00FD5FE5">
        <w:rPr>
          <w:sz w:val="24"/>
          <w:szCs w:val="24"/>
        </w:rPr>
        <w:t xml:space="preserve"> unjustifiable hardship refers</w:t>
      </w:r>
      <w:r w:rsidRPr="00E15364">
        <w:rPr>
          <w:sz w:val="24"/>
          <w:szCs w:val="24"/>
        </w:rPr>
        <w:t xml:space="preserve"> to the individual person with disability and were unaware it a</w:t>
      </w:r>
      <w:r w:rsidR="00896567">
        <w:rPr>
          <w:sz w:val="24"/>
          <w:szCs w:val="24"/>
        </w:rPr>
        <w:t>pplied to the education</w:t>
      </w:r>
      <w:r w:rsidRPr="00E15364">
        <w:rPr>
          <w:sz w:val="24"/>
          <w:szCs w:val="24"/>
        </w:rPr>
        <w:t xml:space="preserve"> provider. </w:t>
      </w:r>
    </w:p>
    <w:p w14:paraId="1CDA0B1C" w14:textId="1EB41DBD" w:rsidR="00494125" w:rsidRPr="00494125" w:rsidRDefault="00494125" w:rsidP="00494125">
      <w:pPr>
        <w:ind w:left="720"/>
        <w:jc w:val="both"/>
        <w:rPr>
          <w:i/>
          <w:sz w:val="24"/>
          <w:szCs w:val="24"/>
        </w:rPr>
      </w:pPr>
      <w:r>
        <w:rPr>
          <w:i/>
          <w:sz w:val="24"/>
          <w:szCs w:val="24"/>
        </w:rPr>
        <w:t>“</w:t>
      </w:r>
      <w:r w:rsidR="00896567">
        <w:rPr>
          <w:i/>
          <w:sz w:val="24"/>
          <w:szCs w:val="24"/>
        </w:rPr>
        <w:t>unjustifiable hardship is</w:t>
      </w:r>
      <w:r w:rsidRPr="00494125">
        <w:rPr>
          <w:i/>
          <w:sz w:val="24"/>
          <w:szCs w:val="24"/>
        </w:rPr>
        <w:t xml:space="preserve"> where I maybe struggling with things that aren't related to my studies but do impact me being in classroom or on campus.</w:t>
      </w:r>
      <w:r>
        <w:rPr>
          <w:i/>
          <w:sz w:val="24"/>
          <w:szCs w:val="24"/>
        </w:rPr>
        <w:t>”</w:t>
      </w:r>
    </w:p>
    <w:p w14:paraId="076B9CDC" w14:textId="47B0BC73" w:rsidR="00494125" w:rsidRPr="00E15364" w:rsidRDefault="00494125" w:rsidP="00494125">
      <w:pPr>
        <w:jc w:val="both"/>
        <w:rPr>
          <w:sz w:val="24"/>
          <w:szCs w:val="24"/>
        </w:rPr>
      </w:pPr>
      <w:r w:rsidRPr="00E15364">
        <w:rPr>
          <w:sz w:val="24"/>
          <w:szCs w:val="24"/>
        </w:rPr>
        <w:t xml:space="preserve">Often unjustifiable hardship is an </w:t>
      </w:r>
      <w:r w:rsidR="00896567">
        <w:rPr>
          <w:sz w:val="24"/>
          <w:szCs w:val="24"/>
        </w:rPr>
        <w:t>exception for education</w:t>
      </w:r>
      <w:r w:rsidRPr="00E15364">
        <w:rPr>
          <w:sz w:val="24"/>
          <w:szCs w:val="24"/>
        </w:rPr>
        <w:t xml:space="preserve"> providers to not make reasonable adjustment on </w:t>
      </w:r>
      <w:r w:rsidR="00896567">
        <w:rPr>
          <w:sz w:val="24"/>
          <w:szCs w:val="24"/>
        </w:rPr>
        <w:t xml:space="preserve">the </w:t>
      </w:r>
      <w:r w:rsidRPr="00E15364">
        <w:rPr>
          <w:sz w:val="24"/>
          <w:szCs w:val="24"/>
        </w:rPr>
        <w:t>basis of cost, and the impact on provider and others is too great or puts others at risk.</w:t>
      </w:r>
      <w:r>
        <w:rPr>
          <w:sz w:val="24"/>
          <w:szCs w:val="24"/>
        </w:rPr>
        <w:t xml:space="preserve"> The survey results are indicative that further clarification of terms such as reasonable adjustments and unjustifiable hardship is needed. </w:t>
      </w:r>
    </w:p>
    <w:p w14:paraId="2DC595AF" w14:textId="77777777" w:rsidR="001936EE" w:rsidRDefault="001936EE">
      <w:pPr>
        <w:rPr>
          <w:highlight w:val="yellow"/>
        </w:rPr>
      </w:pPr>
      <w:bookmarkStart w:id="7" w:name="_heading=h.tyjcwt" w:colFirst="0" w:colLast="0"/>
      <w:bookmarkStart w:id="8" w:name="_Hlk27141609"/>
      <w:bookmarkEnd w:id="7"/>
      <w:r>
        <w:rPr>
          <w:highlight w:val="yellow"/>
        </w:rPr>
        <w:br w:type="page"/>
      </w:r>
    </w:p>
    <w:p w14:paraId="331EBB65" w14:textId="535CE4E2" w:rsidR="008513E5" w:rsidRDefault="004C10BF" w:rsidP="003B7CB9">
      <w:pPr>
        <w:pStyle w:val="Heading1"/>
        <w:jc w:val="both"/>
      </w:pPr>
      <w:r>
        <w:lastRenderedPageBreak/>
        <w:t>Complaints</w:t>
      </w:r>
      <w:bookmarkEnd w:id="8"/>
    </w:p>
    <w:p w14:paraId="089ABA91" w14:textId="3683DE55" w:rsidR="00CC6765" w:rsidRDefault="00E15364" w:rsidP="00916194">
      <w:pPr>
        <w:spacing w:line="240" w:lineRule="auto"/>
        <w:jc w:val="both"/>
        <w:rPr>
          <w:sz w:val="24"/>
          <w:szCs w:val="24"/>
        </w:rPr>
      </w:pPr>
      <w:r>
        <w:rPr>
          <w:sz w:val="24"/>
          <w:szCs w:val="24"/>
        </w:rPr>
        <w:t>T</w:t>
      </w:r>
      <w:r w:rsidR="008513E5" w:rsidRPr="008513E5">
        <w:rPr>
          <w:sz w:val="24"/>
          <w:szCs w:val="24"/>
        </w:rPr>
        <w:t xml:space="preserve">he </w:t>
      </w:r>
      <w:r w:rsidR="00CC6765">
        <w:rPr>
          <w:sz w:val="24"/>
          <w:szCs w:val="24"/>
        </w:rPr>
        <w:t xml:space="preserve">NDCO </w:t>
      </w:r>
      <w:r w:rsidR="003B7CB9">
        <w:rPr>
          <w:sz w:val="24"/>
          <w:szCs w:val="24"/>
        </w:rPr>
        <w:t>Stakeholder Su</w:t>
      </w:r>
      <w:r>
        <w:rPr>
          <w:sz w:val="24"/>
          <w:szCs w:val="24"/>
        </w:rPr>
        <w:t>rvey indicates that the u</w:t>
      </w:r>
      <w:r w:rsidR="008513E5" w:rsidRPr="00E15364">
        <w:rPr>
          <w:sz w:val="24"/>
          <w:szCs w:val="24"/>
        </w:rPr>
        <w:t xml:space="preserve">nderstanding of the complaints process </w:t>
      </w:r>
      <w:r>
        <w:rPr>
          <w:sz w:val="24"/>
          <w:szCs w:val="24"/>
        </w:rPr>
        <w:t>is very low</w:t>
      </w:r>
      <w:r w:rsidR="008513E5" w:rsidRPr="00E15364">
        <w:rPr>
          <w:sz w:val="24"/>
          <w:szCs w:val="24"/>
        </w:rPr>
        <w:t xml:space="preserve"> </w:t>
      </w:r>
      <w:r w:rsidR="00896567">
        <w:rPr>
          <w:sz w:val="24"/>
          <w:szCs w:val="24"/>
        </w:rPr>
        <w:t>with</w:t>
      </w:r>
      <w:r>
        <w:rPr>
          <w:sz w:val="24"/>
          <w:szCs w:val="24"/>
        </w:rPr>
        <w:t xml:space="preserve"> the overall understanding of the process o</w:t>
      </w:r>
      <w:r w:rsidR="00494125">
        <w:rPr>
          <w:sz w:val="24"/>
          <w:szCs w:val="24"/>
        </w:rPr>
        <w:t>n a scale of 1 to 5</w:t>
      </w:r>
      <w:r w:rsidR="008513E5" w:rsidRPr="00E15364">
        <w:rPr>
          <w:sz w:val="24"/>
          <w:szCs w:val="24"/>
        </w:rPr>
        <w:t xml:space="preserve"> rated at 2.8</w:t>
      </w:r>
      <w:r>
        <w:rPr>
          <w:sz w:val="24"/>
          <w:szCs w:val="24"/>
        </w:rPr>
        <w:t xml:space="preserve">. Further, </w:t>
      </w:r>
      <w:r w:rsidR="00494125">
        <w:rPr>
          <w:sz w:val="24"/>
          <w:szCs w:val="24"/>
        </w:rPr>
        <w:t>85</w:t>
      </w:r>
      <w:r w:rsidR="008513E5" w:rsidRPr="00E15364">
        <w:rPr>
          <w:sz w:val="24"/>
          <w:szCs w:val="24"/>
        </w:rPr>
        <w:t>% of people had not engaged with the complaints pro</w:t>
      </w:r>
      <w:r w:rsidR="00896567">
        <w:rPr>
          <w:sz w:val="24"/>
          <w:szCs w:val="24"/>
        </w:rPr>
        <w:t>cess or assisted a person with</w:t>
      </w:r>
      <w:r w:rsidR="008513E5" w:rsidRPr="00E15364">
        <w:rPr>
          <w:sz w:val="24"/>
          <w:szCs w:val="24"/>
        </w:rPr>
        <w:t xml:space="preserve"> disability </w:t>
      </w:r>
      <w:r w:rsidR="00896567">
        <w:rPr>
          <w:sz w:val="24"/>
          <w:szCs w:val="24"/>
        </w:rPr>
        <w:t xml:space="preserve">to </w:t>
      </w:r>
      <w:r w:rsidR="008513E5" w:rsidRPr="00E15364">
        <w:rPr>
          <w:sz w:val="24"/>
          <w:szCs w:val="24"/>
        </w:rPr>
        <w:t>engage with the complaint</w:t>
      </w:r>
      <w:r w:rsidR="003B7CB9">
        <w:rPr>
          <w:sz w:val="24"/>
          <w:szCs w:val="24"/>
        </w:rPr>
        <w:t>s process</w:t>
      </w:r>
      <w:r w:rsidR="00494125">
        <w:rPr>
          <w:sz w:val="24"/>
          <w:szCs w:val="24"/>
        </w:rPr>
        <w:t>,</w:t>
      </w:r>
      <w:r w:rsidR="003B7CB9">
        <w:rPr>
          <w:sz w:val="24"/>
          <w:szCs w:val="24"/>
        </w:rPr>
        <w:t xml:space="preserve"> and only</w:t>
      </w:r>
      <w:r w:rsidR="008513E5" w:rsidRPr="00E15364">
        <w:rPr>
          <w:sz w:val="24"/>
          <w:szCs w:val="24"/>
        </w:rPr>
        <w:t xml:space="preserve"> 13 people indicated that they had enga</w:t>
      </w:r>
      <w:r w:rsidR="00E31D4F">
        <w:rPr>
          <w:sz w:val="24"/>
          <w:szCs w:val="24"/>
        </w:rPr>
        <w:t xml:space="preserve">ged in the complaints process. </w:t>
      </w:r>
    </w:p>
    <w:p w14:paraId="2DF001B8" w14:textId="2B12AA05" w:rsidR="008513E5" w:rsidRDefault="00CC6765" w:rsidP="00916194">
      <w:pPr>
        <w:jc w:val="both"/>
        <w:rPr>
          <w:sz w:val="24"/>
          <w:szCs w:val="24"/>
        </w:rPr>
      </w:pPr>
      <w:r>
        <w:rPr>
          <w:sz w:val="24"/>
          <w:szCs w:val="24"/>
        </w:rPr>
        <w:t xml:space="preserve">The </w:t>
      </w:r>
      <w:r w:rsidR="00E15364">
        <w:rPr>
          <w:sz w:val="24"/>
          <w:szCs w:val="24"/>
        </w:rPr>
        <w:t>NDCO Stakeholder S</w:t>
      </w:r>
      <w:r>
        <w:rPr>
          <w:sz w:val="24"/>
          <w:szCs w:val="24"/>
        </w:rPr>
        <w:t>urvey also identified that people f</w:t>
      </w:r>
      <w:r w:rsidR="00E15364">
        <w:rPr>
          <w:sz w:val="24"/>
          <w:szCs w:val="24"/>
        </w:rPr>
        <w:t xml:space="preserve">elt the complaints process was </w:t>
      </w:r>
      <w:r w:rsidR="008513E5" w:rsidRPr="008513E5">
        <w:rPr>
          <w:sz w:val="24"/>
          <w:szCs w:val="24"/>
        </w:rPr>
        <w:t>long and drawn out which meant</w:t>
      </w:r>
      <w:r w:rsidR="00E15364">
        <w:rPr>
          <w:sz w:val="24"/>
          <w:szCs w:val="24"/>
        </w:rPr>
        <w:t xml:space="preserve"> a lot of education was missed, </w:t>
      </w:r>
      <w:r w:rsidRPr="00E15364">
        <w:rPr>
          <w:sz w:val="24"/>
          <w:szCs w:val="24"/>
        </w:rPr>
        <w:t>caused a lot of stress</w:t>
      </w:r>
      <w:r w:rsidR="00494125">
        <w:rPr>
          <w:sz w:val="24"/>
          <w:szCs w:val="24"/>
        </w:rPr>
        <w:t>, was</w:t>
      </w:r>
      <w:r w:rsidR="00E15364">
        <w:rPr>
          <w:sz w:val="24"/>
          <w:szCs w:val="24"/>
        </w:rPr>
        <w:t xml:space="preserve"> </w:t>
      </w:r>
      <w:r w:rsidRPr="00E15364">
        <w:rPr>
          <w:sz w:val="24"/>
          <w:szCs w:val="24"/>
        </w:rPr>
        <w:t>hard to understand</w:t>
      </w:r>
      <w:r w:rsidR="00E15364">
        <w:rPr>
          <w:sz w:val="24"/>
          <w:szCs w:val="24"/>
        </w:rPr>
        <w:t xml:space="preserve">, </w:t>
      </w:r>
      <w:r w:rsidR="003B7CB9">
        <w:rPr>
          <w:sz w:val="24"/>
          <w:szCs w:val="24"/>
        </w:rPr>
        <w:t xml:space="preserve">was </w:t>
      </w:r>
      <w:r w:rsidR="008513E5" w:rsidRPr="00E15364">
        <w:rPr>
          <w:sz w:val="24"/>
          <w:szCs w:val="24"/>
        </w:rPr>
        <w:t>often not satisfactorily resolved</w:t>
      </w:r>
      <w:r w:rsidR="00E15364">
        <w:rPr>
          <w:sz w:val="24"/>
          <w:szCs w:val="24"/>
        </w:rPr>
        <w:t xml:space="preserve">, </w:t>
      </w:r>
      <w:r w:rsidR="003B7CB9">
        <w:rPr>
          <w:sz w:val="24"/>
          <w:szCs w:val="24"/>
        </w:rPr>
        <w:t xml:space="preserve">and </w:t>
      </w:r>
      <w:r w:rsidR="00E15364">
        <w:rPr>
          <w:sz w:val="24"/>
          <w:szCs w:val="24"/>
        </w:rPr>
        <w:t>r</w:t>
      </w:r>
      <w:r w:rsidR="008513E5" w:rsidRPr="00E15364">
        <w:rPr>
          <w:sz w:val="24"/>
          <w:szCs w:val="24"/>
        </w:rPr>
        <w:t>ecommendations that may have come from conciliation were not implemented consistently.</w:t>
      </w:r>
    </w:p>
    <w:p w14:paraId="4CCDF4D9" w14:textId="49926958" w:rsidR="00E15364" w:rsidRDefault="003B7CB9" w:rsidP="003B7CB9">
      <w:pPr>
        <w:ind w:left="720"/>
        <w:jc w:val="both"/>
        <w:rPr>
          <w:i/>
          <w:sz w:val="24"/>
          <w:szCs w:val="24"/>
        </w:rPr>
      </w:pPr>
      <w:r>
        <w:rPr>
          <w:i/>
          <w:sz w:val="24"/>
          <w:szCs w:val="24"/>
        </w:rPr>
        <w:t>“</w:t>
      </w:r>
      <w:r w:rsidR="00E15364" w:rsidRPr="00E15364">
        <w:rPr>
          <w:i/>
          <w:sz w:val="24"/>
          <w:szCs w:val="24"/>
        </w:rPr>
        <w:t>Would like to know how to make complaints and make the whole thing a lot clearer for parents</w:t>
      </w:r>
      <w:r>
        <w:rPr>
          <w:i/>
          <w:sz w:val="24"/>
          <w:szCs w:val="24"/>
        </w:rPr>
        <w:t>”</w:t>
      </w:r>
    </w:p>
    <w:p w14:paraId="5141BF45" w14:textId="48D631D7" w:rsidR="00E31D4F" w:rsidRDefault="00E31D4F" w:rsidP="003B7CB9">
      <w:pPr>
        <w:autoSpaceDE w:val="0"/>
        <w:autoSpaceDN w:val="0"/>
        <w:adjustRightInd w:val="0"/>
        <w:spacing w:after="0" w:line="240" w:lineRule="auto"/>
        <w:jc w:val="both"/>
        <w:rPr>
          <w:sz w:val="24"/>
          <w:szCs w:val="24"/>
        </w:rPr>
      </w:pPr>
      <w:r>
        <w:rPr>
          <w:sz w:val="24"/>
          <w:szCs w:val="24"/>
        </w:rPr>
        <w:t>In some instances i</w:t>
      </w:r>
      <w:r w:rsidRPr="00CC6765">
        <w:rPr>
          <w:sz w:val="24"/>
          <w:szCs w:val="24"/>
        </w:rPr>
        <w:t>nformation was provided on the complaints process to people that required it</w:t>
      </w:r>
      <w:r w:rsidR="003B7CB9">
        <w:rPr>
          <w:sz w:val="24"/>
          <w:szCs w:val="24"/>
        </w:rPr>
        <w:t xml:space="preserve"> however </w:t>
      </w:r>
      <w:r w:rsidRPr="00CC6765">
        <w:rPr>
          <w:sz w:val="24"/>
          <w:szCs w:val="24"/>
        </w:rPr>
        <w:t>no follow up occurred after this.</w:t>
      </w:r>
    </w:p>
    <w:p w14:paraId="6D95AF1A" w14:textId="77777777" w:rsidR="00E31D4F" w:rsidRPr="00E31D4F" w:rsidRDefault="00E31D4F" w:rsidP="003B7CB9">
      <w:pPr>
        <w:autoSpaceDE w:val="0"/>
        <w:autoSpaceDN w:val="0"/>
        <w:adjustRightInd w:val="0"/>
        <w:spacing w:after="0" w:line="240" w:lineRule="auto"/>
        <w:jc w:val="both"/>
        <w:rPr>
          <w:sz w:val="24"/>
          <w:szCs w:val="24"/>
        </w:rPr>
      </w:pPr>
    </w:p>
    <w:p w14:paraId="0FC8573D" w14:textId="1C26B8E7" w:rsidR="00E15364" w:rsidRDefault="003B7CB9" w:rsidP="003B7CB9">
      <w:pPr>
        <w:ind w:left="720"/>
        <w:jc w:val="both"/>
        <w:rPr>
          <w:i/>
          <w:sz w:val="24"/>
          <w:szCs w:val="24"/>
        </w:rPr>
      </w:pPr>
      <w:r>
        <w:rPr>
          <w:i/>
          <w:sz w:val="24"/>
          <w:szCs w:val="24"/>
        </w:rPr>
        <w:t>“</w:t>
      </w:r>
      <w:r w:rsidR="00E15364" w:rsidRPr="00E15364">
        <w:rPr>
          <w:i/>
          <w:sz w:val="24"/>
          <w:szCs w:val="24"/>
        </w:rPr>
        <w:t>Several instances where a complaint could have been warranted however the students chose not to proceed</w:t>
      </w:r>
      <w:r>
        <w:rPr>
          <w:i/>
          <w:sz w:val="24"/>
          <w:szCs w:val="24"/>
        </w:rPr>
        <w:t>”</w:t>
      </w:r>
    </w:p>
    <w:p w14:paraId="01D608CF" w14:textId="606E4903" w:rsidR="00CC6765" w:rsidRPr="003B7CB9" w:rsidRDefault="003B7CB9" w:rsidP="003B7CB9">
      <w:pPr>
        <w:ind w:left="720"/>
        <w:jc w:val="both"/>
        <w:rPr>
          <w:i/>
          <w:sz w:val="24"/>
          <w:szCs w:val="24"/>
        </w:rPr>
      </w:pPr>
      <w:r>
        <w:rPr>
          <w:i/>
          <w:sz w:val="24"/>
          <w:szCs w:val="24"/>
        </w:rPr>
        <w:t>“</w:t>
      </w:r>
      <w:r w:rsidR="00E31D4F" w:rsidRPr="00E15364">
        <w:rPr>
          <w:i/>
          <w:sz w:val="24"/>
          <w:szCs w:val="24"/>
        </w:rPr>
        <w:t>I was supporting a person who was also doing a course with an RTO and the person disclosed me to me that the trainer was rude, unhel</w:t>
      </w:r>
      <w:r w:rsidR="00896567">
        <w:rPr>
          <w:i/>
          <w:sz w:val="24"/>
          <w:szCs w:val="24"/>
        </w:rPr>
        <w:t>pful and made fun of him in [front]</w:t>
      </w:r>
      <w:r w:rsidR="00E31D4F" w:rsidRPr="00E15364">
        <w:rPr>
          <w:i/>
          <w:sz w:val="24"/>
          <w:szCs w:val="24"/>
        </w:rPr>
        <w:t xml:space="preserve"> of the rest class. The person I was supporting did not wish to make a complaint despite my encouragement.</w:t>
      </w:r>
      <w:r>
        <w:rPr>
          <w:i/>
          <w:sz w:val="24"/>
          <w:szCs w:val="24"/>
        </w:rPr>
        <w:t xml:space="preserve">” </w:t>
      </w:r>
    </w:p>
    <w:p w14:paraId="398DC99C" w14:textId="3D66AFD8" w:rsidR="00CC6765" w:rsidRDefault="008513E5" w:rsidP="003B7CB9">
      <w:pPr>
        <w:autoSpaceDE w:val="0"/>
        <w:autoSpaceDN w:val="0"/>
        <w:adjustRightInd w:val="0"/>
        <w:spacing w:after="0" w:line="240" w:lineRule="auto"/>
        <w:jc w:val="both"/>
        <w:rPr>
          <w:sz w:val="24"/>
          <w:szCs w:val="24"/>
        </w:rPr>
      </w:pPr>
      <w:r w:rsidRPr="00CC6765">
        <w:rPr>
          <w:sz w:val="24"/>
          <w:szCs w:val="24"/>
        </w:rPr>
        <w:t xml:space="preserve">13 </w:t>
      </w:r>
      <w:r w:rsidR="00CC6765">
        <w:rPr>
          <w:sz w:val="24"/>
          <w:szCs w:val="24"/>
        </w:rPr>
        <w:t>of the respondents</w:t>
      </w:r>
      <w:r w:rsidRPr="00CC6765">
        <w:rPr>
          <w:sz w:val="24"/>
          <w:szCs w:val="24"/>
        </w:rPr>
        <w:t xml:space="preserve"> </w:t>
      </w:r>
      <w:r w:rsidR="00CC6765">
        <w:rPr>
          <w:sz w:val="24"/>
          <w:szCs w:val="24"/>
        </w:rPr>
        <w:t xml:space="preserve">stated they had </w:t>
      </w:r>
      <w:r w:rsidRPr="00CC6765">
        <w:rPr>
          <w:sz w:val="24"/>
          <w:szCs w:val="24"/>
        </w:rPr>
        <w:t xml:space="preserve">made a complaint </w:t>
      </w:r>
      <w:r w:rsidR="00CC6765">
        <w:rPr>
          <w:sz w:val="24"/>
          <w:szCs w:val="24"/>
        </w:rPr>
        <w:t xml:space="preserve">however </w:t>
      </w:r>
      <w:r w:rsidRPr="00CC6765">
        <w:rPr>
          <w:sz w:val="24"/>
          <w:szCs w:val="24"/>
        </w:rPr>
        <w:t>only 2 appeared satisfied with the outcome of their complaint.</w:t>
      </w:r>
      <w:r w:rsidR="00CC6765">
        <w:rPr>
          <w:sz w:val="24"/>
          <w:szCs w:val="24"/>
        </w:rPr>
        <w:t xml:space="preserve"> </w:t>
      </w:r>
      <w:r w:rsidR="00494125">
        <w:rPr>
          <w:sz w:val="24"/>
          <w:szCs w:val="24"/>
        </w:rPr>
        <w:t xml:space="preserve">In one instance the </w:t>
      </w:r>
      <w:r w:rsidR="00B44E8C">
        <w:rPr>
          <w:sz w:val="24"/>
          <w:szCs w:val="24"/>
        </w:rPr>
        <w:t>impact</w:t>
      </w:r>
      <w:r w:rsidRPr="00CC6765">
        <w:rPr>
          <w:sz w:val="24"/>
          <w:szCs w:val="24"/>
        </w:rPr>
        <w:t xml:space="preserve"> of this process </w:t>
      </w:r>
      <w:r w:rsidR="00B44E8C">
        <w:rPr>
          <w:sz w:val="24"/>
          <w:szCs w:val="24"/>
        </w:rPr>
        <w:t xml:space="preserve">resulted in </w:t>
      </w:r>
      <w:r w:rsidRPr="00CC6765">
        <w:rPr>
          <w:sz w:val="24"/>
          <w:szCs w:val="24"/>
        </w:rPr>
        <w:t>a complete withdrawal from current education, and an indication that the individual would not consider education again in the future due to the trauma caused by the education provider (humiliation and bullying)</w:t>
      </w:r>
      <w:r w:rsidR="00E31D4F">
        <w:rPr>
          <w:sz w:val="24"/>
          <w:szCs w:val="24"/>
        </w:rPr>
        <w:t xml:space="preserve">. </w:t>
      </w:r>
    </w:p>
    <w:p w14:paraId="1E74F7CC" w14:textId="77777777" w:rsidR="003B7CB9" w:rsidRDefault="003B7CB9" w:rsidP="003B7CB9">
      <w:pPr>
        <w:autoSpaceDE w:val="0"/>
        <w:autoSpaceDN w:val="0"/>
        <w:adjustRightInd w:val="0"/>
        <w:spacing w:after="0" w:line="240" w:lineRule="auto"/>
        <w:jc w:val="both"/>
        <w:rPr>
          <w:sz w:val="24"/>
          <w:szCs w:val="24"/>
        </w:rPr>
      </w:pPr>
    </w:p>
    <w:p w14:paraId="5B54366D" w14:textId="304BF897" w:rsidR="008513E5" w:rsidRPr="008513E5" w:rsidRDefault="008513E5" w:rsidP="003B7CB9">
      <w:pPr>
        <w:autoSpaceDE w:val="0"/>
        <w:autoSpaceDN w:val="0"/>
        <w:adjustRightInd w:val="0"/>
        <w:jc w:val="both"/>
        <w:rPr>
          <w:sz w:val="24"/>
          <w:szCs w:val="24"/>
        </w:rPr>
      </w:pPr>
      <w:r w:rsidRPr="008513E5">
        <w:rPr>
          <w:sz w:val="24"/>
          <w:szCs w:val="24"/>
        </w:rPr>
        <w:t>54 people responded that they felt they should have made a complaint. A variety of reasons were provided as to why they did not:</w:t>
      </w:r>
    </w:p>
    <w:p w14:paraId="48B8E7F6" w14:textId="7D3EA8F8"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Time constraints</w:t>
      </w:r>
      <w:r>
        <w:rPr>
          <w:i/>
          <w:sz w:val="24"/>
          <w:szCs w:val="24"/>
        </w:rPr>
        <w:t>”</w:t>
      </w:r>
    </w:p>
    <w:p w14:paraId="78A7A593" w14:textId="11B5F2DF"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Work family commitments</w:t>
      </w:r>
      <w:r>
        <w:rPr>
          <w:i/>
          <w:sz w:val="24"/>
          <w:szCs w:val="24"/>
        </w:rPr>
        <w:t>”</w:t>
      </w:r>
    </w:p>
    <w:p w14:paraId="5287F71B" w14:textId="010AFE9E"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Feelings of powerlessness and the DDA having no impact</w:t>
      </w:r>
      <w:r>
        <w:rPr>
          <w:i/>
          <w:sz w:val="24"/>
          <w:szCs w:val="24"/>
        </w:rPr>
        <w:t>”</w:t>
      </w:r>
    </w:p>
    <w:p w14:paraId="451FA6A4" w14:textId="68035715"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Discrimination happened. But disabled person did not wish to cause trouble</w:t>
      </w:r>
      <w:r>
        <w:rPr>
          <w:i/>
          <w:sz w:val="24"/>
          <w:szCs w:val="24"/>
        </w:rPr>
        <w:t>”</w:t>
      </w:r>
      <w:r w:rsidR="008513E5" w:rsidRPr="00250DB9">
        <w:rPr>
          <w:i/>
          <w:sz w:val="24"/>
          <w:szCs w:val="24"/>
        </w:rPr>
        <w:t xml:space="preserve"> </w:t>
      </w:r>
    </w:p>
    <w:p w14:paraId="6A48C7A1" w14:textId="2BF1A4C4"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Didn’t know how to engage the complaints process</w:t>
      </w:r>
      <w:r>
        <w:rPr>
          <w:i/>
          <w:sz w:val="24"/>
          <w:szCs w:val="24"/>
        </w:rPr>
        <w:t>”</w:t>
      </w:r>
    </w:p>
    <w:p w14:paraId="051F5477" w14:textId="1F9E8AC4"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No training or information provided about discrimination and how to make a complaint</w:t>
      </w:r>
      <w:r>
        <w:rPr>
          <w:i/>
          <w:sz w:val="24"/>
          <w:szCs w:val="24"/>
        </w:rPr>
        <w:t>”</w:t>
      </w:r>
    </w:p>
    <w:p w14:paraId="1DF81F11" w14:textId="315C23EE"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Access should not have to rely on a complaint, it should be mandated</w:t>
      </w:r>
      <w:r>
        <w:rPr>
          <w:i/>
          <w:sz w:val="24"/>
          <w:szCs w:val="24"/>
        </w:rPr>
        <w:t>”</w:t>
      </w:r>
    </w:p>
    <w:p w14:paraId="52CC8DBD" w14:textId="69353931"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Not feeling safe to complain</w:t>
      </w:r>
      <w:r>
        <w:rPr>
          <w:i/>
          <w:sz w:val="24"/>
          <w:szCs w:val="24"/>
        </w:rPr>
        <w:t>”</w:t>
      </w:r>
    </w:p>
    <w:p w14:paraId="0C667F34" w14:textId="4D7CE4DD"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Lack of emotional capacity to deal with the process</w:t>
      </w:r>
      <w:r>
        <w:rPr>
          <w:i/>
          <w:sz w:val="24"/>
          <w:szCs w:val="24"/>
        </w:rPr>
        <w:t>”</w:t>
      </w:r>
    </w:p>
    <w:p w14:paraId="532AA4D0" w14:textId="249163AC"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Education providers actually discouraging people from making complaints</w:t>
      </w:r>
      <w:r>
        <w:rPr>
          <w:i/>
          <w:sz w:val="24"/>
          <w:szCs w:val="24"/>
        </w:rPr>
        <w:t>”</w:t>
      </w:r>
    </w:p>
    <w:p w14:paraId="26019EE0" w14:textId="699AD38C"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No support to make the complaint</w:t>
      </w:r>
      <w:r>
        <w:rPr>
          <w:i/>
          <w:sz w:val="24"/>
          <w:szCs w:val="24"/>
        </w:rPr>
        <w:t>”</w:t>
      </w:r>
    </w:p>
    <w:p w14:paraId="2738ACA7" w14:textId="62432589"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Cuts in advocacy services</w:t>
      </w:r>
      <w:r>
        <w:rPr>
          <w:i/>
          <w:sz w:val="24"/>
          <w:szCs w:val="24"/>
        </w:rPr>
        <w:t>”</w:t>
      </w:r>
    </w:p>
    <w:p w14:paraId="44443BC3" w14:textId="732EAE90" w:rsidR="008513E5" w:rsidRPr="00250DB9" w:rsidRDefault="00896567" w:rsidP="003B7CB9">
      <w:pPr>
        <w:pStyle w:val="ListParagraph"/>
        <w:numPr>
          <w:ilvl w:val="0"/>
          <w:numId w:val="37"/>
        </w:numPr>
        <w:autoSpaceDE w:val="0"/>
        <w:autoSpaceDN w:val="0"/>
        <w:adjustRightInd w:val="0"/>
        <w:spacing w:after="0" w:line="240" w:lineRule="auto"/>
        <w:jc w:val="both"/>
        <w:rPr>
          <w:i/>
          <w:sz w:val="24"/>
          <w:szCs w:val="24"/>
        </w:rPr>
      </w:pPr>
      <w:r>
        <w:rPr>
          <w:i/>
          <w:sz w:val="24"/>
          <w:szCs w:val="24"/>
        </w:rPr>
        <w:t>“</w:t>
      </w:r>
      <w:r w:rsidR="008513E5" w:rsidRPr="00250DB9">
        <w:rPr>
          <w:i/>
          <w:sz w:val="24"/>
          <w:szCs w:val="24"/>
        </w:rPr>
        <w:t>Inadequate support and expertise</w:t>
      </w:r>
      <w:r>
        <w:rPr>
          <w:i/>
          <w:sz w:val="24"/>
          <w:szCs w:val="24"/>
        </w:rPr>
        <w:t>”</w:t>
      </w:r>
    </w:p>
    <w:p w14:paraId="08B5916B" w14:textId="77777777" w:rsidR="008513E5" w:rsidRPr="008513E5" w:rsidRDefault="008513E5" w:rsidP="003B7CB9">
      <w:pPr>
        <w:pStyle w:val="NoSpacing"/>
      </w:pPr>
    </w:p>
    <w:p w14:paraId="6EC7AD71" w14:textId="672E1481" w:rsidR="008513E5" w:rsidRPr="008513E5" w:rsidRDefault="00CC6765" w:rsidP="003B7CB9">
      <w:pPr>
        <w:autoSpaceDE w:val="0"/>
        <w:autoSpaceDN w:val="0"/>
        <w:adjustRightInd w:val="0"/>
        <w:jc w:val="both"/>
        <w:rPr>
          <w:sz w:val="24"/>
          <w:szCs w:val="24"/>
        </w:rPr>
      </w:pPr>
      <w:r>
        <w:rPr>
          <w:sz w:val="24"/>
          <w:szCs w:val="24"/>
        </w:rPr>
        <w:t xml:space="preserve">The NDCO </w:t>
      </w:r>
      <w:r w:rsidR="003B7CB9">
        <w:rPr>
          <w:sz w:val="24"/>
          <w:szCs w:val="24"/>
        </w:rPr>
        <w:t xml:space="preserve">Stakeholder </w:t>
      </w:r>
      <w:r>
        <w:rPr>
          <w:sz w:val="24"/>
          <w:szCs w:val="24"/>
        </w:rPr>
        <w:t xml:space="preserve">Survey suggests that </w:t>
      </w:r>
      <w:r w:rsidR="008513E5" w:rsidRPr="008513E5">
        <w:rPr>
          <w:sz w:val="24"/>
          <w:szCs w:val="24"/>
        </w:rPr>
        <w:t>very few people actually understand or are aware of the compl</w:t>
      </w:r>
      <w:r w:rsidR="00B44E8C">
        <w:rPr>
          <w:sz w:val="24"/>
          <w:szCs w:val="24"/>
        </w:rPr>
        <w:t>aints process. This is shown by:</w:t>
      </w:r>
    </w:p>
    <w:p w14:paraId="7D55B2AC" w14:textId="5E7DBFD3" w:rsidR="008513E5" w:rsidRPr="008513E5" w:rsidRDefault="008513E5" w:rsidP="003B7CB9">
      <w:pPr>
        <w:pStyle w:val="ListParagraph"/>
        <w:numPr>
          <w:ilvl w:val="0"/>
          <w:numId w:val="35"/>
        </w:numPr>
        <w:autoSpaceDE w:val="0"/>
        <w:autoSpaceDN w:val="0"/>
        <w:adjustRightInd w:val="0"/>
        <w:spacing w:after="0" w:line="240" w:lineRule="auto"/>
        <w:jc w:val="both"/>
        <w:rPr>
          <w:sz w:val="24"/>
          <w:szCs w:val="24"/>
        </w:rPr>
      </w:pPr>
      <w:r w:rsidRPr="008513E5">
        <w:rPr>
          <w:sz w:val="24"/>
          <w:szCs w:val="24"/>
        </w:rPr>
        <w:t>Low rating</w:t>
      </w:r>
      <w:r w:rsidR="003B7CB9">
        <w:rPr>
          <w:sz w:val="24"/>
          <w:szCs w:val="24"/>
        </w:rPr>
        <w:t xml:space="preserve"> on the scale of understanding </w:t>
      </w:r>
      <w:r w:rsidRPr="008513E5">
        <w:rPr>
          <w:sz w:val="24"/>
          <w:szCs w:val="24"/>
        </w:rPr>
        <w:t>(2.8)</w:t>
      </w:r>
    </w:p>
    <w:p w14:paraId="5BB45C9B" w14:textId="5CAA5073" w:rsidR="008513E5" w:rsidRPr="008513E5" w:rsidRDefault="008513E5" w:rsidP="003B7CB9">
      <w:pPr>
        <w:pStyle w:val="ListParagraph"/>
        <w:numPr>
          <w:ilvl w:val="0"/>
          <w:numId w:val="35"/>
        </w:numPr>
        <w:autoSpaceDE w:val="0"/>
        <w:autoSpaceDN w:val="0"/>
        <w:adjustRightInd w:val="0"/>
        <w:spacing w:after="0" w:line="240" w:lineRule="auto"/>
        <w:jc w:val="both"/>
        <w:rPr>
          <w:sz w:val="24"/>
          <w:szCs w:val="24"/>
        </w:rPr>
      </w:pPr>
      <w:r w:rsidRPr="008513E5">
        <w:rPr>
          <w:sz w:val="24"/>
          <w:szCs w:val="24"/>
        </w:rPr>
        <w:t xml:space="preserve">That 85% of respondents had not </w:t>
      </w:r>
      <w:proofErr w:type="spellStart"/>
      <w:r w:rsidR="00B44E8C">
        <w:rPr>
          <w:sz w:val="24"/>
          <w:szCs w:val="24"/>
        </w:rPr>
        <w:t>utilised</w:t>
      </w:r>
      <w:proofErr w:type="spellEnd"/>
      <w:r w:rsidR="00B44E8C">
        <w:rPr>
          <w:sz w:val="24"/>
          <w:szCs w:val="24"/>
        </w:rPr>
        <w:t xml:space="preserve"> the complaints process</w:t>
      </w:r>
    </w:p>
    <w:p w14:paraId="31518458" w14:textId="594A01E1" w:rsidR="008513E5" w:rsidRPr="008513E5" w:rsidRDefault="008513E5" w:rsidP="003B7CB9">
      <w:pPr>
        <w:pStyle w:val="ListParagraph"/>
        <w:numPr>
          <w:ilvl w:val="0"/>
          <w:numId w:val="35"/>
        </w:numPr>
        <w:autoSpaceDE w:val="0"/>
        <w:autoSpaceDN w:val="0"/>
        <w:adjustRightInd w:val="0"/>
        <w:spacing w:after="0" w:line="240" w:lineRule="auto"/>
        <w:jc w:val="both"/>
        <w:rPr>
          <w:sz w:val="24"/>
          <w:szCs w:val="24"/>
        </w:rPr>
      </w:pPr>
      <w:r w:rsidRPr="008513E5">
        <w:rPr>
          <w:sz w:val="24"/>
          <w:szCs w:val="24"/>
        </w:rPr>
        <w:t xml:space="preserve">Only 13 of 132 </w:t>
      </w:r>
      <w:r w:rsidR="00B168C9">
        <w:rPr>
          <w:sz w:val="24"/>
          <w:szCs w:val="24"/>
        </w:rPr>
        <w:t xml:space="preserve">(9%) </w:t>
      </w:r>
      <w:r w:rsidRPr="008513E5">
        <w:rPr>
          <w:sz w:val="24"/>
          <w:szCs w:val="24"/>
        </w:rPr>
        <w:t>people that responded to the overall survey indicated that they had engaged with the complaints process.</w:t>
      </w:r>
    </w:p>
    <w:p w14:paraId="1F4EFC3D" w14:textId="77777777" w:rsidR="008513E5" w:rsidRPr="008513E5" w:rsidRDefault="008513E5" w:rsidP="00174D87">
      <w:pPr>
        <w:pStyle w:val="NoSpacing"/>
      </w:pPr>
    </w:p>
    <w:p w14:paraId="18E5F7B3" w14:textId="6EFAE362" w:rsidR="008513E5" w:rsidRPr="008513E5" w:rsidRDefault="008513E5" w:rsidP="003B7CB9">
      <w:pPr>
        <w:autoSpaceDE w:val="0"/>
        <w:autoSpaceDN w:val="0"/>
        <w:adjustRightInd w:val="0"/>
        <w:jc w:val="both"/>
        <w:rPr>
          <w:sz w:val="24"/>
          <w:szCs w:val="24"/>
        </w:rPr>
      </w:pPr>
      <w:r w:rsidRPr="008513E5">
        <w:rPr>
          <w:sz w:val="24"/>
          <w:szCs w:val="24"/>
        </w:rPr>
        <w:t xml:space="preserve">It is clear that the time </w:t>
      </w:r>
      <w:r w:rsidR="00CC6765">
        <w:rPr>
          <w:sz w:val="24"/>
          <w:szCs w:val="24"/>
        </w:rPr>
        <w:t xml:space="preserve">required </w:t>
      </w:r>
      <w:r w:rsidR="00B44E8C">
        <w:rPr>
          <w:sz w:val="24"/>
          <w:szCs w:val="24"/>
        </w:rPr>
        <w:t>to resolve any complaint</w:t>
      </w:r>
      <w:r w:rsidRPr="008513E5">
        <w:rPr>
          <w:sz w:val="24"/>
          <w:szCs w:val="24"/>
        </w:rPr>
        <w:t xml:space="preserve"> is long and drawn out. This means people with d</w:t>
      </w:r>
      <w:r w:rsidR="00174D87">
        <w:rPr>
          <w:sz w:val="24"/>
          <w:szCs w:val="24"/>
        </w:rPr>
        <w:t>isability miss out on access to</w:t>
      </w:r>
      <w:r w:rsidRPr="008513E5">
        <w:rPr>
          <w:sz w:val="24"/>
          <w:szCs w:val="24"/>
        </w:rPr>
        <w:t xml:space="preserve"> their education and is a disincentive to make a complaint. Indeed one indicate</w:t>
      </w:r>
      <w:r w:rsidR="00B44E8C">
        <w:rPr>
          <w:sz w:val="24"/>
          <w:szCs w:val="24"/>
        </w:rPr>
        <w:t xml:space="preserve">d that as a result of their negative </w:t>
      </w:r>
      <w:r w:rsidRPr="008513E5">
        <w:rPr>
          <w:sz w:val="24"/>
          <w:szCs w:val="24"/>
        </w:rPr>
        <w:t>experience</w:t>
      </w:r>
      <w:r w:rsidR="003B7CB9">
        <w:rPr>
          <w:sz w:val="24"/>
          <w:szCs w:val="24"/>
        </w:rPr>
        <w:t xml:space="preserve"> of The Standards</w:t>
      </w:r>
      <w:r w:rsidR="00B44E8C">
        <w:rPr>
          <w:sz w:val="24"/>
          <w:szCs w:val="24"/>
        </w:rPr>
        <w:t xml:space="preserve"> and d</w:t>
      </w:r>
      <w:r w:rsidR="003B7CB9">
        <w:rPr>
          <w:sz w:val="24"/>
          <w:szCs w:val="24"/>
        </w:rPr>
        <w:t xml:space="preserve">isability </w:t>
      </w:r>
      <w:r w:rsidR="00B44E8C">
        <w:rPr>
          <w:sz w:val="24"/>
          <w:szCs w:val="24"/>
        </w:rPr>
        <w:t>discrimination</w:t>
      </w:r>
      <w:r w:rsidRPr="008513E5">
        <w:rPr>
          <w:sz w:val="24"/>
          <w:szCs w:val="24"/>
        </w:rPr>
        <w:t xml:space="preserve"> that they have withdrawn from education completely.</w:t>
      </w:r>
    </w:p>
    <w:p w14:paraId="761E22F1" w14:textId="34D5D45C" w:rsidR="008513E5" w:rsidRPr="008513E5" w:rsidRDefault="008513E5" w:rsidP="003B7CB9">
      <w:pPr>
        <w:autoSpaceDE w:val="0"/>
        <w:autoSpaceDN w:val="0"/>
        <w:adjustRightInd w:val="0"/>
        <w:jc w:val="both"/>
        <w:rPr>
          <w:sz w:val="24"/>
          <w:szCs w:val="24"/>
        </w:rPr>
      </w:pPr>
      <w:r w:rsidRPr="008513E5">
        <w:rPr>
          <w:sz w:val="24"/>
          <w:szCs w:val="24"/>
        </w:rPr>
        <w:t>When conciliation happens, it appears education providers are sometimes inconsistent in implementing recommendations. If this occurs the only course of action is to complain again. There appears to be ineffective mechanisms to follow up resolved complaints and ensure agreements for access are actually followed.</w:t>
      </w:r>
    </w:p>
    <w:p w14:paraId="20993E4B" w14:textId="06928DE2" w:rsidR="008513E5" w:rsidRPr="008513E5" w:rsidRDefault="008513E5" w:rsidP="003B7CB9">
      <w:pPr>
        <w:autoSpaceDE w:val="0"/>
        <w:autoSpaceDN w:val="0"/>
        <w:adjustRightInd w:val="0"/>
        <w:jc w:val="both"/>
        <w:rPr>
          <w:sz w:val="24"/>
          <w:szCs w:val="24"/>
        </w:rPr>
      </w:pPr>
      <w:r w:rsidRPr="008513E5">
        <w:rPr>
          <w:sz w:val="24"/>
          <w:szCs w:val="24"/>
        </w:rPr>
        <w:t>Several people indicated that they were unaware of support and advocacy that might be available or where to access this support. There was a suggestion that when support was received that the organisation or person providing support lacked the knowledge or expertise to effectively assist in engaging with the complaints process.</w:t>
      </w:r>
    </w:p>
    <w:p w14:paraId="31F790F3" w14:textId="28CA0996" w:rsidR="008513E5" w:rsidRPr="008513E5" w:rsidRDefault="008513E5" w:rsidP="003B7CB9">
      <w:pPr>
        <w:autoSpaceDE w:val="0"/>
        <w:autoSpaceDN w:val="0"/>
        <w:adjustRightInd w:val="0"/>
        <w:jc w:val="both"/>
        <w:rPr>
          <w:sz w:val="24"/>
          <w:szCs w:val="24"/>
        </w:rPr>
      </w:pPr>
      <w:r w:rsidRPr="008513E5">
        <w:rPr>
          <w:sz w:val="24"/>
          <w:szCs w:val="24"/>
        </w:rPr>
        <w:t>There were a number of responders who indicated that they avoided the process due to concerns that the education provider would "punish" the student, or feelings that this had already occurred following a complaints process.</w:t>
      </w:r>
      <w:r w:rsidR="00174D87">
        <w:rPr>
          <w:sz w:val="24"/>
          <w:szCs w:val="24"/>
        </w:rPr>
        <w:t xml:space="preserve"> </w:t>
      </w:r>
    </w:p>
    <w:p w14:paraId="38FFCC67" w14:textId="56EC6C94" w:rsidR="000E1265" w:rsidRPr="00D9618D" w:rsidRDefault="00896567" w:rsidP="003B7CB9">
      <w:pPr>
        <w:pStyle w:val="NormalWeb"/>
        <w:spacing w:before="0" w:beforeAutospacing="0" w:after="0" w:afterAutospacing="0"/>
        <w:jc w:val="both"/>
        <w:textAlignment w:val="baseline"/>
        <w:rPr>
          <w:rFonts w:ascii="Calibri" w:eastAsia="Calibri" w:hAnsi="Calibri" w:cs="Calibri"/>
          <w:lang w:val="en-US"/>
        </w:rPr>
      </w:pPr>
      <w:r>
        <w:rPr>
          <w:rFonts w:ascii="Calibri" w:eastAsia="Calibri" w:hAnsi="Calibri" w:cs="Calibri"/>
          <w:lang w:val="en-US"/>
        </w:rPr>
        <w:t>The need for the person with</w:t>
      </w:r>
      <w:r w:rsidR="000E1265" w:rsidRPr="00D9618D">
        <w:rPr>
          <w:rFonts w:ascii="Calibri" w:eastAsia="Calibri" w:hAnsi="Calibri" w:cs="Calibri"/>
          <w:lang w:val="en-US"/>
        </w:rPr>
        <w:t xml:space="preserve"> disability or their assoc</w:t>
      </w:r>
      <w:r w:rsidR="00B44E8C">
        <w:rPr>
          <w:rFonts w:ascii="Calibri" w:eastAsia="Calibri" w:hAnsi="Calibri" w:cs="Calibri"/>
          <w:lang w:val="en-US"/>
        </w:rPr>
        <w:t>iates to have to trigger The Standards</w:t>
      </w:r>
      <w:r w:rsidR="000E1265" w:rsidRPr="00D9618D">
        <w:rPr>
          <w:rFonts w:ascii="Calibri" w:eastAsia="Calibri" w:hAnsi="Calibri" w:cs="Calibri"/>
          <w:lang w:val="en-US"/>
        </w:rPr>
        <w:t xml:space="preserve"> into action by complaining causes a lot of stress and is unfair. The low number of people engaging with the process may indicate that the complaints process is ineffective and not protecting people with disability. What this means is that </w:t>
      </w:r>
      <w:r w:rsidR="008A5DD9">
        <w:rPr>
          <w:rFonts w:ascii="Calibri" w:eastAsia="Calibri" w:hAnsi="Calibri" w:cs="Calibri"/>
          <w:lang w:val="en-US"/>
        </w:rPr>
        <w:t xml:space="preserve">The </w:t>
      </w:r>
      <w:r w:rsidR="000E1265" w:rsidRPr="00D9618D">
        <w:rPr>
          <w:rFonts w:ascii="Calibri" w:eastAsia="Calibri" w:hAnsi="Calibri" w:cs="Calibri"/>
          <w:lang w:val="en-US"/>
        </w:rPr>
        <w:t xml:space="preserve">Standards need to be made stronger and obligations of providers need to be </w:t>
      </w:r>
      <w:r w:rsidR="008A5DD9">
        <w:rPr>
          <w:rFonts w:ascii="Calibri" w:eastAsia="Calibri" w:hAnsi="Calibri" w:cs="Calibri"/>
          <w:lang w:val="en-US"/>
        </w:rPr>
        <w:t>firmly</w:t>
      </w:r>
      <w:r w:rsidR="000E1265" w:rsidRPr="00D9618D">
        <w:rPr>
          <w:rFonts w:ascii="Calibri" w:eastAsia="Calibri" w:hAnsi="Calibri" w:cs="Calibri"/>
          <w:lang w:val="en-US"/>
        </w:rPr>
        <w:t xml:space="preserve"> documented and policed.</w:t>
      </w:r>
    </w:p>
    <w:p w14:paraId="17FF8DA6" w14:textId="77777777" w:rsidR="001936EE" w:rsidRDefault="001936EE">
      <w:pPr>
        <w:rPr>
          <w:b/>
        </w:rPr>
      </w:pPr>
      <w:bookmarkStart w:id="9" w:name="_heading=h.3dy6vkm" w:colFirst="0" w:colLast="0"/>
      <w:bookmarkStart w:id="10" w:name="_Hlk27141633"/>
      <w:bookmarkEnd w:id="9"/>
      <w:r>
        <w:rPr>
          <w:b/>
        </w:rPr>
        <w:br w:type="page"/>
      </w:r>
    </w:p>
    <w:p w14:paraId="000000C9" w14:textId="46AA8D67" w:rsidR="00655781" w:rsidRDefault="004C10BF">
      <w:pPr>
        <w:pStyle w:val="Heading1"/>
      </w:pPr>
      <w:r>
        <w:lastRenderedPageBreak/>
        <w:t>Accountability and Compliance</w:t>
      </w:r>
    </w:p>
    <w:bookmarkEnd w:id="10"/>
    <w:p w14:paraId="74D0DA0E" w14:textId="1A4950D6" w:rsidR="008513E5" w:rsidRPr="00D9618D" w:rsidRDefault="00BF6CC3" w:rsidP="00E5165A">
      <w:pPr>
        <w:autoSpaceDE w:val="0"/>
        <w:autoSpaceDN w:val="0"/>
        <w:adjustRightInd w:val="0"/>
        <w:jc w:val="both"/>
        <w:rPr>
          <w:sz w:val="24"/>
          <w:szCs w:val="24"/>
        </w:rPr>
      </w:pPr>
      <w:r>
        <w:rPr>
          <w:sz w:val="24"/>
          <w:szCs w:val="24"/>
        </w:rPr>
        <w:t>T</w:t>
      </w:r>
      <w:r w:rsidR="008A5DD9">
        <w:rPr>
          <w:sz w:val="24"/>
          <w:szCs w:val="24"/>
        </w:rPr>
        <w:t>here is</w:t>
      </w:r>
      <w:r w:rsidR="008513E5" w:rsidRPr="00D9618D">
        <w:rPr>
          <w:sz w:val="24"/>
          <w:szCs w:val="24"/>
        </w:rPr>
        <w:t xml:space="preserve"> no consistent requirement for education providers </w:t>
      </w:r>
      <w:r>
        <w:rPr>
          <w:sz w:val="24"/>
          <w:szCs w:val="24"/>
        </w:rPr>
        <w:t>to demonstrate compliance with T</w:t>
      </w:r>
      <w:r w:rsidR="008513E5" w:rsidRPr="00D9618D">
        <w:rPr>
          <w:sz w:val="24"/>
          <w:szCs w:val="24"/>
        </w:rPr>
        <w:t>he Standards outside of the legal framework of the Disability D</w:t>
      </w:r>
      <w:r>
        <w:rPr>
          <w:sz w:val="24"/>
          <w:szCs w:val="24"/>
        </w:rPr>
        <w:t>iscrimination Act. Breaches of T</w:t>
      </w:r>
      <w:r w:rsidR="008513E5" w:rsidRPr="00D9618D">
        <w:rPr>
          <w:sz w:val="24"/>
          <w:szCs w:val="24"/>
        </w:rPr>
        <w:t>he Standards are only identif</w:t>
      </w:r>
      <w:r w:rsidR="00896567">
        <w:rPr>
          <w:sz w:val="24"/>
          <w:szCs w:val="24"/>
        </w:rPr>
        <w:t>ied when a student, their parent/guardian</w:t>
      </w:r>
      <w:r w:rsidR="008513E5" w:rsidRPr="00D9618D">
        <w:rPr>
          <w:sz w:val="24"/>
          <w:szCs w:val="24"/>
        </w:rPr>
        <w:t xml:space="preserve"> or an educator complains about a process or </w:t>
      </w:r>
      <w:proofErr w:type="spellStart"/>
      <w:r w:rsidR="008513E5" w:rsidRPr="00D9618D">
        <w:rPr>
          <w:sz w:val="24"/>
          <w:szCs w:val="24"/>
        </w:rPr>
        <w:t>behaviour</w:t>
      </w:r>
      <w:proofErr w:type="spellEnd"/>
      <w:r w:rsidR="008513E5" w:rsidRPr="00D9618D">
        <w:rPr>
          <w:sz w:val="24"/>
          <w:szCs w:val="24"/>
        </w:rPr>
        <w:t xml:space="preserve">. It is impossible to determine how many individuals </w:t>
      </w:r>
      <w:r w:rsidR="00F8296C">
        <w:rPr>
          <w:sz w:val="24"/>
          <w:szCs w:val="24"/>
        </w:rPr>
        <w:t xml:space="preserve">choose </w:t>
      </w:r>
      <w:r w:rsidR="008513E5" w:rsidRPr="00D9618D">
        <w:rPr>
          <w:sz w:val="24"/>
          <w:szCs w:val="24"/>
        </w:rPr>
        <w:t>not</w:t>
      </w:r>
      <w:r w:rsidR="00F0592C">
        <w:rPr>
          <w:sz w:val="24"/>
          <w:szCs w:val="24"/>
        </w:rPr>
        <w:t xml:space="preserve"> to</w:t>
      </w:r>
      <w:r>
        <w:rPr>
          <w:sz w:val="24"/>
          <w:szCs w:val="24"/>
        </w:rPr>
        <w:t xml:space="preserve"> proceed</w:t>
      </w:r>
      <w:r w:rsidR="008513E5" w:rsidRPr="00D9618D">
        <w:rPr>
          <w:sz w:val="24"/>
          <w:szCs w:val="24"/>
        </w:rPr>
        <w:t xml:space="preserve"> with a complaint</w:t>
      </w:r>
      <w:r w:rsidR="00F8296C">
        <w:rPr>
          <w:sz w:val="24"/>
          <w:szCs w:val="24"/>
        </w:rPr>
        <w:t xml:space="preserve">, however a variety of reasons as to why not has been provided on page 8 of this submission. </w:t>
      </w:r>
    </w:p>
    <w:p w14:paraId="0B4A5316" w14:textId="3BE7DBBA" w:rsidR="008513E5" w:rsidRDefault="00BF6CC3" w:rsidP="00E5165A">
      <w:pPr>
        <w:autoSpaceDE w:val="0"/>
        <w:autoSpaceDN w:val="0"/>
        <w:adjustRightInd w:val="0"/>
        <w:jc w:val="both"/>
        <w:rPr>
          <w:sz w:val="24"/>
          <w:szCs w:val="24"/>
        </w:rPr>
      </w:pPr>
      <w:r>
        <w:rPr>
          <w:sz w:val="24"/>
          <w:szCs w:val="24"/>
        </w:rPr>
        <w:t>For educators who breach T</w:t>
      </w:r>
      <w:r w:rsidR="008513E5" w:rsidRPr="00D9618D">
        <w:rPr>
          <w:sz w:val="24"/>
          <w:szCs w:val="24"/>
        </w:rPr>
        <w:t xml:space="preserve">he Standards, but receive no complaints, there is no process for ensuring future compliance. Resolution of formal complaints usually occurs through confidential conciliation and this limits the contribution the complaints process makes to allow for systemic improvement over time </w:t>
      </w:r>
      <w:r w:rsidR="00F0592C">
        <w:rPr>
          <w:sz w:val="24"/>
          <w:szCs w:val="24"/>
        </w:rPr>
        <w:t xml:space="preserve">due to </w:t>
      </w:r>
      <w:r w:rsidR="008513E5" w:rsidRPr="00D9618D">
        <w:rPr>
          <w:sz w:val="24"/>
          <w:szCs w:val="24"/>
        </w:rPr>
        <w:t>no publicity or precedent setting. </w:t>
      </w:r>
    </w:p>
    <w:p w14:paraId="6574F78E" w14:textId="17311A8F" w:rsidR="00C43E0C" w:rsidRPr="00D5511F" w:rsidRDefault="00C43E0C" w:rsidP="00C43E0C">
      <w:pPr>
        <w:spacing w:line="240" w:lineRule="auto"/>
        <w:ind w:left="720"/>
        <w:rPr>
          <w:rFonts w:ascii="Times New Roman" w:eastAsia="Times New Roman" w:hAnsi="Times New Roman" w:cs="Times New Roman"/>
          <w:sz w:val="24"/>
          <w:szCs w:val="24"/>
          <w:lang w:val="en-AU"/>
        </w:rPr>
      </w:pPr>
      <w:r w:rsidRPr="00D5511F">
        <w:rPr>
          <w:rFonts w:eastAsia="Times New Roman"/>
          <w:i/>
          <w:iCs/>
          <w:color w:val="000000"/>
          <w:sz w:val="24"/>
          <w:szCs w:val="24"/>
          <w:lang w:val="en-AU"/>
        </w:rPr>
        <w:t>“I have not seen or heard enough of the success that comes from making a genuine complaint and how this is applied nationally and consistently.”</w:t>
      </w:r>
    </w:p>
    <w:p w14:paraId="3D621A2E" w14:textId="20B23761" w:rsidR="008513E5" w:rsidRDefault="008513E5" w:rsidP="00E5165A">
      <w:pPr>
        <w:autoSpaceDE w:val="0"/>
        <w:autoSpaceDN w:val="0"/>
        <w:adjustRightInd w:val="0"/>
        <w:jc w:val="both"/>
        <w:rPr>
          <w:sz w:val="24"/>
          <w:szCs w:val="24"/>
        </w:rPr>
      </w:pPr>
      <w:r w:rsidRPr="00D9618D">
        <w:rPr>
          <w:sz w:val="24"/>
          <w:szCs w:val="24"/>
        </w:rPr>
        <w:t>Complaints-based compliance frameworks disadvantages those who are less able to initiate and pursue a complaint. This includes Aboriginal and Torres Strait Islanders, culturally diverse community members, people with intellectual disability, and those from low socio-econom</w:t>
      </w:r>
      <w:r w:rsidR="00BF6CC3">
        <w:rPr>
          <w:sz w:val="24"/>
          <w:szCs w:val="24"/>
        </w:rPr>
        <w:t>ic areas. The effectiveness of T</w:t>
      </w:r>
      <w:r w:rsidRPr="00D9618D">
        <w:rPr>
          <w:sz w:val="24"/>
          <w:szCs w:val="24"/>
        </w:rPr>
        <w:t xml:space="preserve">he Standards in these cases is </w:t>
      </w:r>
      <w:r w:rsidR="00F0592C">
        <w:rPr>
          <w:sz w:val="24"/>
          <w:szCs w:val="24"/>
        </w:rPr>
        <w:t xml:space="preserve">driven </w:t>
      </w:r>
      <w:r w:rsidRPr="00D9618D">
        <w:rPr>
          <w:sz w:val="24"/>
          <w:szCs w:val="24"/>
        </w:rPr>
        <w:t xml:space="preserve">by the knowledge and capacity </w:t>
      </w:r>
      <w:r w:rsidR="00F8296C">
        <w:rPr>
          <w:sz w:val="24"/>
          <w:szCs w:val="24"/>
        </w:rPr>
        <w:t>of</w:t>
      </w:r>
      <w:r w:rsidRPr="00D9618D">
        <w:rPr>
          <w:sz w:val="24"/>
          <w:szCs w:val="24"/>
        </w:rPr>
        <w:t xml:space="preserve"> </w:t>
      </w:r>
      <w:r w:rsidR="00F8296C">
        <w:rPr>
          <w:sz w:val="24"/>
          <w:szCs w:val="24"/>
        </w:rPr>
        <w:t xml:space="preserve">an </w:t>
      </w:r>
      <w:r w:rsidRPr="00D9618D">
        <w:rPr>
          <w:sz w:val="24"/>
          <w:szCs w:val="24"/>
        </w:rPr>
        <w:t>advocate</w:t>
      </w:r>
      <w:r w:rsidR="00F0592C">
        <w:rPr>
          <w:sz w:val="24"/>
          <w:szCs w:val="24"/>
        </w:rPr>
        <w:t>,</w:t>
      </w:r>
      <w:r w:rsidRPr="00D9618D">
        <w:rPr>
          <w:sz w:val="24"/>
          <w:szCs w:val="24"/>
        </w:rPr>
        <w:t xml:space="preserve"> or places the onus on people with disability to make a complaint. </w:t>
      </w:r>
    </w:p>
    <w:p w14:paraId="7BD936F7" w14:textId="75E39383" w:rsidR="008E2308" w:rsidRDefault="00007221" w:rsidP="00007221">
      <w:pPr>
        <w:ind w:left="720"/>
        <w:rPr>
          <w:rFonts w:eastAsia="Times New Roman"/>
          <w:i/>
          <w:iCs/>
          <w:color w:val="000000"/>
          <w:sz w:val="24"/>
          <w:szCs w:val="24"/>
          <w:lang w:val="en-AU"/>
        </w:rPr>
      </w:pPr>
      <w:r>
        <w:rPr>
          <w:rFonts w:eastAsia="Times New Roman"/>
          <w:i/>
          <w:iCs/>
          <w:color w:val="000000"/>
          <w:sz w:val="24"/>
          <w:szCs w:val="24"/>
          <w:lang w:val="en-AU"/>
        </w:rPr>
        <w:t xml:space="preserve"> “</w:t>
      </w:r>
      <w:r w:rsidRPr="008E2308">
        <w:rPr>
          <w:rFonts w:eastAsia="Times New Roman"/>
          <w:i/>
          <w:iCs/>
          <w:color w:val="000000"/>
          <w:sz w:val="24"/>
          <w:szCs w:val="24"/>
          <w:lang w:val="en-AU"/>
        </w:rPr>
        <w:t>I am greatly disappointed that while my education was made accessi</w:t>
      </w:r>
      <w:r>
        <w:rPr>
          <w:rFonts w:eastAsia="Times New Roman"/>
          <w:i/>
          <w:iCs/>
          <w:color w:val="000000"/>
          <w:sz w:val="24"/>
          <w:szCs w:val="24"/>
          <w:lang w:val="en-AU"/>
        </w:rPr>
        <w:t>ble through tireless advocacy f</w:t>
      </w:r>
      <w:r w:rsidRPr="008E2308">
        <w:rPr>
          <w:rFonts w:eastAsia="Times New Roman"/>
          <w:i/>
          <w:iCs/>
          <w:color w:val="000000"/>
          <w:sz w:val="24"/>
          <w:szCs w:val="24"/>
          <w:lang w:val="en-AU"/>
        </w:rPr>
        <w:t>r</w:t>
      </w:r>
      <w:r>
        <w:rPr>
          <w:rFonts w:eastAsia="Times New Roman"/>
          <w:i/>
          <w:iCs/>
          <w:color w:val="000000"/>
          <w:sz w:val="24"/>
          <w:szCs w:val="24"/>
          <w:lang w:val="en-AU"/>
        </w:rPr>
        <w:t>o</w:t>
      </w:r>
      <w:r w:rsidRPr="008E2308">
        <w:rPr>
          <w:rFonts w:eastAsia="Times New Roman"/>
          <w:i/>
          <w:iCs/>
          <w:color w:val="000000"/>
          <w:sz w:val="24"/>
          <w:szCs w:val="24"/>
          <w:lang w:val="en-AU"/>
        </w:rPr>
        <w:t>m my family, it was a hard battle, and that students who have come after me have not had the same level of access</w:t>
      </w:r>
      <w:r>
        <w:rPr>
          <w:rFonts w:eastAsia="Times New Roman"/>
          <w:i/>
          <w:iCs/>
          <w:color w:val="000000"/>
          <w:sz w:val="24"/>
          <w:szCs w:val="24"/>
          <w:lang w:val="en-AU"/>
        </w:rPr>
        <w:t>”</w:t>
      </w:r>
    </w:p>
    <w:p w14:paraId="25CA27BD" w14:textId="77777777" w:rsidR="00007221" w:rsidRDefault="00007221" w:rsidP="00007221">
      <w:pPr>
        <w:autoSpaceDE w:val="0"/>
        <w:autoSpaceDN w:val="0"/>
        <w:adjustRightInd w:val="0"/>
        <w:jc w:val="both"/>
        <w:rPr>
          <w:sz w:val="24"/>
          <w:szCs w:val="24"/>
        </w:rPr>
      </w:pPr>
      <w:r w:rsidRPr="00D9618D">
        <w:rPr>
          <w:sz w:val="24"/>
          <w:szCs w:val="24"/>
        </w:rPr>
        <w:t>Conciliation processes generally lead to agreements that are confidential, and do not establish</w:t>
      </w:r>
      <w:r>
        <w:rPr>
          <w:sz w:val="24"/>
          <w:szCs w:val="24"/>
        </w:rPr>
        <w:t xml:space="preserve"> precedent </w:t>
      </w:r>
      <w:r w:rsidRPr="00D9618D">
        <w:rPr>
          <w:sz w:val="24"/>
          <w:szCs w:val="24"/>
        </w:rPr>
        <w:t>or generate publicity</w:t>
      </w:r>
      <w:r>
        <w:rPr>
          <w:sz w:val="24"/>
          <w:szCs w:val="24"/>
        </w:rPr>
        <w:t>. This contributes</w:t>
      </w:r>
      <w:r w:rsidRPr="00D9618D">
        <w:rPr>
          <w:sz w:val="24"/>
          <w:szCs w:val="24"/>
        </w:rPr>
        <w:t xml:space="preserve"> to a lack of knowledge on previous fin</w:t>
      </w:r>
      <w:r>
        <w:rPr>
          <w:sz w:val="24"/>
          <w:szCs w:val="24"/>
        </w:rPr>
        <w:t>dings or cases that have used The Standards to meet</w:t>
      </w:r>
      <w:r w:rsidRPr="00D9618D">
        <w:rPr>
          <w:sz w:val="24"/>
          <w:szCs w:val="24"/>
        </w:rPr>
        <w:t xml:space="preserve"> education needs. Better access to this ty</w:t>
      </w:r>
      <w:r>
        <w:rPr>
          <w:sz w:val="24"/>
          <w:szCs w:val="24"/>
        </w:rPr>
        <w:t>pe of information would assist e</w:t>
      </w:r>
      <w:r w:rsidRPr="00D9618D">
        <w:rPr>
          <w:sz w:val="24"/>
          <w:szCs w:val="24"/>
        </w:rPr>
        <w:t xml:space="preserve">ducation providers in all sectors to be guided in moderating their own decision-making and actions. This would also assist people with disability and their supporters in </w:t>
      </w:r>
      <w:proofErr w:type="spellStart"/>
      <w:r w:rsidRPr="00D9618D">
        <w:rPr>
          <w:sz w:val="24"/>
          <w:szCs w:val="24"/>
        </w:rPr>
        <w:t>recognising</w:t>
      </w:r>
      <w:proofErr w:type="spellEnd"/>
      <w:r w:rsidRPr="00D9618D">
        <w:rPr>
          <w:sz w:val="24"/>
          <w:szCs w:val="24"/>
        </w:rPr>
        <w:t xml:space="preserve"> breaches of compliance, as well as better understand the process of making a complaint.  </w:t>
      </w:r>
    </w:p>
    <w:p w14:paraId="1123126C" w14:textId="0D78E482" w:rsidR="00F0592C" w:rsidRPr="00D9618D" w:rsidRDefault="008513E5" w:rsidP="00E5165A">
      <w:pPr>
        <w:autoSpaceDE w:val="0"/>
        <w:autoSpaceDN w:val="0"/>
        <w:adjustRightInd w:val="0"/>
        <w:jc w:val="both"/>
        <w:rPr>
          <w:sz w:val="24"/>
          <w:szCs w:val="24"/>
        </w:rPr>
      </w:pPr>
      <w:r w:rsidRPr="00D9618D">
        <w:rPr>
          <w:sz w:val="24"/>
          <w:szCs w:val="24"/>
        </w:rPr>
        <w:t>The Guidance Notes</w:t>
      </w:r>
      <w:r w:rsidR="00F0592C">
        <w:rPr>
          <w:sz w:val="24"/>
          <w:szCs w:val="24"/>
        </w:rPr>
        <w:t xml:space="preserve"> are a useful accompaniment to T</w:t>
      </w:r>
      <w:r w:rsidRPr="00D9618D">
        <w:rPr>
          <w:sz w:val="24"/>
          <w:szCs w:val="24"/>
        </w:rPr>
        <w:t>he Standards setting out explanatory notes to assist the reade</w:t>
      </w:r>
      <w:r w:rsidR="00F0592C">
        <w:rPr>
          <w:sz w:val="24"/>
          <w:szCs w:val="24"/>
        </w:rPr>
        <w:t>r to interpret and comply with T</w:t>
      </w:r>
      <w:r w:rsidRPr="00D9618D">
        <w:rPr>
          <w:sz w:val="24"/>
          <w:szCs w:val="24"/>
        </w:rPr>
        <w:t>he Standards. However the Guidance notes, whilst helpful, are still too high level with not enough practical examples</w:t>
      </w:r>
      <w:r w:rsidR="00D9618D">
        <w:rPr>
          <w:sz w:val="24"/>
          <w:szCs w:val="24"/>
        </w:rPr>
        <w:t>.</w:t>
      </w:r>
      <w:r w:rsidR="005A2CEB">
        <w:rPr>
          <w:sz w:val="24"/>
          <w:szCs w:val="24"/>
        </w:rPr>
        <w:t xml:space="preserve"> </w:t>
      </w:r>
      <w:r w:rsidR="00F0592C">
        <w:rPr>
          <w:sz w:val="24"/>
          <w:szCs w:val="24"/>
        </w:rPr>
        <w:t>Further, t</w:t>
      </w:r>
      <w:r w:rsidR="005A2CEB">
        <w:rPr>
          <w:sz w:val="24"/>
          <w:szCs w:val="24"/>
        </w:rPr>
        <w:t>he Guidance Notes require updating</w:t>
      </w:r>
      <w:r w:rsidR="00F0592C">
        <w:rPr>
          <w:sz w:val="24"/>
          <w:szCs w:val="24"/>
        </w:rPr>
        <w:t xml:space="preserve"> as they currently refer to the </w:t>
      </w:r>
      <w:r w:rsidR="005A2CEB">
        <w:rPr>
          <w:sz w:val="24"/>
          <w:szCs w:val="24"/>
        </w:rPr>
        <w:t>H</w:t>
      </w:r>
      <w:r w:rsidR="00F0592C">
        <w:rPr>
          <w:sz w:val="24"/>
          <w:szCs w:val="24"/>
        </w:rPr>
        <w:t xml:space="preserve">uman Rights and Equal Opportunity Commission which was renamed to the Australian Human Rights Commission in 2008. </w:t>
      </w:r>
      <w:r w:rsidR="00007221">
        <w:rPr>
          <w:sz w:val="24"/>
          <w:szCs w:val="24"/>
        </w:rPr>
        <w:t xml:space="preserve">The Standards, along with the Guidance Notes needs to be clear, accessible and available in alternative formats </w:t>
      </w:r>
      <w:r w:rsidR="00007221" w:rsidRPr="00D9618D">
        <w:rPr>
          <w:sz w:val="24"/>
          <w:szCs w:val="24"/>
        </w:rPr>
        <w:t>to assist in the</w:t>
      </w:r>
      <w:r w:rsidR="00007221">
        <w:rPr>
          <w:sz w:val="24"/>
          <w:szCs w:val="24"/>
        </w:rPr>
        <w:t xml:space="preserve"> application and compliance of The Standards</w:t>
      </w:r>
    </w:p>
    <w:p w14:paraId="66F65DFD" w14:textId="77777777" w:rsidR="001936EE" w:rsidRDefault="001936EE">
      <w:pPr>
        <w:rPr>
          <w:sz w:val="24"/>
          <w:szCs w:val="24"/>
        </w:rPr>
      </w:pPr>
      <w:bookmarkStart w:id="11" w:name="_heading=h.17dp8vu" w:colFirst="0" w:colLast="0"/>
      <w:bookmarkEnd w:id="11"/>
      <w:r>
        <w:rPr>
          <w:sz w:val="24"/>
          <w:szCs w:val="24"/>
        </w:rPr>
        <w:br w:type="page"/>
      </w:r>
    </w:p>
    <w:p w14:paraId="16584072" w14:textId="7C7671BD" w:rsidR="00C6073C" w:rsidRPr="00C6073C" w:rsidRDefault="00594002" w:rsidP="00916194">
      <w:pPr>
        <w:pStyle w:val="Heading1"/>
      </w:pPr>
      <w:r>
        <w:lastRenderedPageBreak/>
        <w:t>Recommendations</w:t>
      </w:r>
    </w:p>
    <w:p w14:paraId="348990FF" w14:textId="53219FD4" w:rsidR="00174D87" w:rsidRDefault="00AA56F9" w:rsidP="004D5419">
      <w:pPr>
        <w:pStyle w:val="ListParagraph"/>
        <w:numPr>
          <w:ilvl w:val="0"/>
          <w:numId w:val="42"/>
        </w:numPr>
        <w:spacing w:after="0" w:line="276" w:lineRule="auto"/>
        <w:rPr>
          <w:sz w:val="24"/>
          <w:szCs w:val="24"/>
        </w:rPr>
      </w:pPr>
      <w:r w:rsidRPr="003A7EC2">
        <w:rPr>
          <w:sz w:val="24"/>
          <w:szCs w:val="24"/>
        </w:rPr>
        <w:t xml:space="preserve">An Awareness campaign </w:t>
      </w:r>
      <w:r w:rsidR="00F0592C">
        <w:rPr>
          <w:sz w:val="24"/>
          <w:szCs w:val="24"/>
        </w:rPr>
        <w:t>on how to access and use The Standards</w:t>
      </w:r>
      <w:r w:rsidRPr="003A7EC2">
        <w:rPr>
          <w:sz w:val="24"/>
          <w:szCs w:val="24"/>
        </w:rPr>
        <w:t xml:space="preserve"> to target a variety of stakeholders, for example social media campaigns and webinars</w:t>
      </w:r>
      <w:r w:rsidR="00174D87">
        <w:rPr>
          <w:sz w:val="24"/>
          <w:szCs w:val="24"/>
        </w:rPr>
        <w:t xml:space="preserve"> including the following: </w:t>
      </w:r>
    </w:p>
    <w:p w14:paraId="686F29FB" w14:textId="55E18F98" w:rsidR="00174D87" w:rsidRDefault="00AA56F9" w:rsidP="00174D87">
      <w:pPr>
        <w:pStyle w:val="ListParagraph"/>
        <w:numPr>
          <w:ilvl w:val="0"/>
          <w:numId w:val="27"/>
        </w:numPr>
        <w:spacing w:after="0" w:line="276" w:lineRule="auto"/>
        <w:rPr>
          <w:sz w:val="24"/>
          <w:szCs w:val="24"/>
        </w:rPr>
      </w:pPr>
      <w:r w:rsidRPr="00174D87">
        <w:rPr>
          <w:sz w:val="24"/>
          <w:szCs w:val="24"/>
        </w:rPr>
        <w:t>All students, regardless of identified disability, be p</w:t>
      </w:r>
      <w:r w:rsidR="00824378">
        <w:rPr>
          <w:sz w:val="24"/>
          <w:szCs w:val="24"/>
        </w:rPr>
        <w:t>rovided with information about T</w:t>
      </w:r>
      <w:r w:rsidRPr="00174D87">
        <w:rPr>
          <w:sz w:val="24"/>
          <w:szCs w:val="24"/>
        </w:rPr>
        <w:t xml:space="preserve">he Standards on commencement of each learning event and at key transition points. This would function on a similar basis to the Fair Work Information Statement, it would be the education institutions’ responsibility to provide and discuss the statement with students and their </w:t>
      </w:r>
      <w:proofErr w:type="spellStart"/>
      <w:r w:rsidRPr="00174D87">
        <w:rPr>
          <w:sz w:val="24"/>
          <w:szCs w:val="24"/>
        </w:rPr>
        <w:t>carers</w:t>
      </w:r>
      <w:proofErr w:type="spellEnd"/>
      <w:r w:rsidRPr="00174D87">
        <w:rPr>
          <w:sz w:val="24"/>
          <w:szCs w:val="24"/>
        </w:rPr>
        <w:t xml:space="preserve">. </w:t>
      </w:r>
    </w:p>
    <w:p w14:paraId="5085A4B0" w14:textId="3C35C9A8" w:rsidR="00174D87" w:rsidRDefault="00AA56F9" w:rsidP="00174D87">
      <w:pPr>
        <w:pStyle w:val="ListParagraph"/>
        <w:numPr>
          <w:ilvl w:val="0"/>
          <w:numId w:val="27"/>
        </w:numPr>
        <w:spacing w:after="0" w:line="276" w:lineRule="auto"/>
        <w:rPr>
          <w:sz w:val="24"/>
          <w:szCs w:val="24"/>
        </w:rPr>
      </w:pPr>
      <w:r w:rsidRPr="00174D87">
        <w:rPr>
          <w:sz w:val="24"/>
          <w:szCs w:val="24"/>
        </w:rPr>
        <w:t>Design and provision of mandatory posters to be displayed in all educational set</w:t>
      </w:r>
      <w:r w:rsidR="005F5CB0">
        <w:rPr>
          <w:sz w:val="24"/>
          <w:szCs w:val="24"/>
        </w:rPr>
        <w:t>tings outlining the purpose of T</w:t>
      </w:r>
      <w:r w:rsidRPr="00174D87">
        <w:rPr>
          <w:sz w:val="24"/>
          <w:szCs w:val="24"/>
        </w:rPr>
        <w:t>he Standards and where to access more information. This strategy has been successfully used by WorkSafe Victoria in their “If you are injured at work” poster campaign.</w:t>
      </w:r>
    </w:p>
    <w:p w14:paraId="0AB24335" w14:textId="25E66825" w:rsidR="008513E5" w:rsidRPr="00174D87" w:rsidRDefault="00AA56F9" w:rsidP="00174D87">
      <w:pPr>
        <w:pStyle w:val="ListParagraph"/>
        <w:numPr>
          <w:ilvl w:val="0"/>
          <w:numId w:val="27"/>
        </w:numPr>
        <w:spacing w:after="0" w:line="276" w:lineRule="auto"/>
        <w:rPr>
          <w:sz w:val="24"/>
          <w:szCs w:val="24"/>
        </w:rPr>
      </w:pPr>
      <w:r w:rsidRPr="00174D87">
        <w:rPr>
          <w:sz w:val="24"/>
          <w:szCs w:val="24"/>
        </w:rPr>
        <w:t>Short videos in Aboriginal and Torres Str</w:t>
      </w:r>
      <w:r w:rsidR="00174D87" w:rsidRPr="00174D87">
        <w:rPr>
          <w:sz w:val="24"/>
          <w:szCs w:val="24"/>
        </w:rPr>
        <w:t xml:space="preserve">ait Islander languages and key </w:t>
      </w:r>
      <w:r w:rsidRPr="00174D87">
        <w:rPr>
          <w:sz w:val="24"/>
          <w:szCs w:val="24"/>
        </w:rPr>
        <w:t xml:space="preserve">multicultural languages. All posters need to use culturally appropriate images and </w:t>
      </w:r>
      <w:r w:rsidR="005F5CB0">
        <w:rPr>
          <w:sz w:val="24"/>
          <w:szCs w:val="24"/>
        </w:rPr>
        <w:t xml:space="preserve">be available in </w:t>
      </w:r>
      <w:r w:rsidRPr="00174D87">
        <w:rPr>
          <w:sz w:val="24"/>
          <w:szCs w:val="24"/>
        </w:rPr>
        <w:t xml:space="preserve">plain </w:t>
      </w:r>
      <w:r w:rsidR="004D5419">
        <w:rPr>
          <w:sz w:val="24"/>
          <w:szCs w:val="24"/>
        </w:rPr>
        <w:t xml:space="preserve">and Easy </w:t>
      </w:r>
      <w:r w:rsidRPr="00174D87">
        <w:rPr>
          <w:sz w:val="24"/>
          <w:szCs w:val="24"/>
        </w:rPr>
        <w:t>English.</w:t>
      </w:r>
    </w:p>
    <w:p w14:paraId="06518F3B" w14:textId="473B58B6" w:rsidR="004D5419" w:rsidRDefault="00AA56F9" w:rsidP="00A538C9">
      <w:pPr>
        <w:pStyle w:val="ListParagraph"/>
        <w:numPr>
          <w:ilvl w:val="0"/>
          <w:numId w:val="42"/>
        </w:numPr>
        <w:spacing w:after="0" w:line="276" w:lineRule="auto"/>
        <w:rPr>
          <w:sz w:val="24"/>
          <w:szCs w:val="24"/>
        </w:rPr>
      </w:pPr>
      <w:r w:rsidRPr="008513E5">
        <w:rPr>
          <w:sz w:val="24"/>
          <w:szCs w:val="24"/>
        </w:rPr>
        <w:t>T</w:t>
      </w:r>
      <w:r w:rsidR="00174D87">
        <w:rPr>
          <w:sz w:val="24"/>
          <w:szCs w:val="24"/>
        </w:rPr>
        <w:t>he Australian Government</w:t>
      </w:r>
      <w:r w:rsidRPr="008513E5">
        <w:rPr>
          <w:sz w:val="24"/>
          <w:szCs w:val="24"/>
        </w:rPr>
        <w:t xml:space="preserve"> to investigate how it can systemically</w:t>
      </w:r>
      <w:r w:rsidR="00F0592C">
        <w:rPr>
          <w:sz w:val="24"/>
          <w:szCs w:val="24"/>
        </w:rPr>
        <w:t xml:space="preserve"> embed information about T</w:t>
      </w:r>
      <w:r w:rsidR="00D9618D">
        <w:rPr>
          <w:sz w:val="24"/>
          <w:szCs w:val="24"/>
        </w:rPr>
        <w:t>he Standards</w:t>
      </w:r>
      <w:r w:rsidRPr="008513E5">
        <w:rPr>
          <w:sz w:val="24"/>
          <w:szCs w:val="24"/>
        </w:rPr>
        <w:t xml:space="preserve"> within all of its portfolios to increa</w:t>
      </w:r>
      <w:r w:rsidR="00174D87">
        <w:rPr>
          <w:sz w:val="24"/>
          <w:szCs w:val="24"/>
        </w:rPr>
        <w:t xml:space="preserve">se awareness generally, rather </w:t>
      </w:r>
      <w:r w:rsidR="005F5CB0">
        <w:rPr>
          <w:sz w:val="24"/>
          <w:szCs w:val="24"/>
        </w:rPr>
        <w:t xml:space="preserve">than just within the </w:t>
      </w:r>
      <w:r w:rsidR="00824378">
        <w:rPr>
          <w:sz w:val="24"/>
          <w:szCs w:val="24"/>
        </w:rPr>
        <w:t>e</w:t>
      </w:r>
      <w:r w:rsidRPr="008513E5">
        <w:rPr>
          <w:sz w:val="24"/>
          <w:szCs w:val="24"/>
        </w:rPr>
        <w:t xml:space="preserve">ducation system. </w:t>
      </w:r>
    </w:p>
    <w:p w14:paraId="21E6B1E1" w14:textId="6E2D8A0D" w:rsidR="00D77026" w:rsidRDefault="00EE6F05" w:rsidP="00A538C9">
      <w:pPr>
        <w:pStyle w:val="ListParagraph"/>
        <w:numPr>
          <w:ilvl w:val="0"/>
          <w:numId w:val="42"/>
        </w:numPr>
        <w:spacing w:after="0" w:line="276" w:lineRule="auto"/>
        <w:rPr>
          <w:sz w:val="24"/>
          <w:szCs w:val="24"/>
        </w:rPr>
      </w:pPr>
      <w:r>
        <w:rPr>
          <w:sz w:val="24"/>
          <w:szCs w:val="24"/>
        </w:rPr>
        <w:t xml:space="preserve">Obligate </w:t>
      </w:r>
      <w:r w:rsidR="00824378">
        <w:rPr>
          <w:sz w:val="24"/>
          <w:szCs w:val="24"/>
        </w:rPr>
        <w:t>e</w:t>
      </w:r>
      <w:r w:rsidR="004D5419" w:rsidRPr="00D9618D">
        <w:rPr>
          <w:sz w:val="24"/>
          <w:szCs w:val="24"/>
        </w:rPr>
        <w:t xml:space="preserve">ducation institutes to provide a list of rights to enrolling </w:t>
      </w:r>
      <w:r w:rsidR="00587632">
        <w:rPr>
          <w:sz w:val="24"/>
          <w:szCs w:val="24"/>
        </w:rPr>
        <w:t>students clearly articulating T</w:t>
      </w:r>
      <w:r w:rsidR="004D5419" w:rsidRPr="00D9618D">
        <w:rPr>
          <w:sz w:val="24"/>
          <w:szCs w:val="24"/>
        </w:rPr>
        <w:t>he Standards.</w:t>
      </w:r>
    </w:p>
    <w:p w14:paraId="416C96B6" w14:textId="67F75BB9" w:rsidR="00A5497D" w:rsidRPr="00A5497D" w:rsidRDefault="005F5CB0" w:rsidP="00A5497D">
      <w:pPr>
        <w:pStyle w:val="ListParagraph"/>
        <w:numPr>
          <w:ilvl w:val="0"/>
          <w:numId w:val="42"/>
        </w:numPr>
        <w:autoSpaceDE w:val="0"/>
        <w:autoSpaceDN w:val="0"/>
        <w:spacing w:after="0" w:line="240" w:lineRule="auto"/>
        <w:jc w:val="both"/>
        <w:rPr>
          <w:sz w:val="24"/>
          <w:szCs w:val="24"/>
        </w:rPr>
      </w:pPr>
      <w:r>
        <w:rPr>
          <w:sz w:val="24"/>
          <w:szCs w:val="24"/>
        </w:rPr>
        <w:t xml:space="preserve">Recommendations 1 &amp; 3 to be made compulsory in all </w:t>
      </w:r>
      <w:r w:rsidR="00824378">
        <w:rPr>
          <w:sz w:val="24"/>
          <w:szCs w:val="24"/>
        </w:rPr>
        <w:t>e</w:t>
      </w:r>
      <w:r w:rsidR="00344897">
        <w:rPr>
          <w:sz w:val="24"/>
          <w:szCs w:val="24"/>
        </w:rPr>
        <w:t>ducation institutes</w:t>
      </w:r>
      <w:r w:rsidR="00A5497D">
        <w:rPr>
          <w:sz w:val="24"/>
          <w:szCs w:val="24"/>
        </w:rPr>
        <w:t xml:space="preserve"> and regular Government </w:t>
      </w:r>
      <w:r w:rsidR="00344897">
        <w:rPr>
          <w:sz w:val="24"/>
          <w:szCs w:val="24"/>
        </w:rPr>
        <w:t>audits to ensure compliance fail</w:t>
      </w:r>
      <w:r w:rsidR="00A5497D">
        <w:rPr>
          <w:sz w:val="24"/>
          <w:szCs w:val="24"/>
        </w:rPr>
        <w:t xml:space="preserve">ing which </w:t>
      </w:r>
      <w:r w:rsidR="00A5497D" w:rsidRPr="00A5497D">
        <w:rPr>
          <w:sz w:val="24"/>
          <w:szCs w:val="24"/>
        </w:rPr>
        <w:t>punitive measures be enforced.</w:t>
      </w:r>
    </w:p>
    <w:p w14:paraId="7DFCA877" w14:textId="06F39FE9" w:rsidR="00D77026" w:rsidRPr="00D9618D" w:rsidRDefault="00D77026" w:rsidP="00A538C9">
      <w:pPr>
        <w:pStyle w:val="NormalWeb"/>
        <w:numPr>
          <w:ilvl w:val="0"/>
          <w:numId w:val="42"/>
        </w:numPr>
        <w:spacing w:before="0" w:beforeAutospacing="0" w:after="0" w:afterAutospacing="0"/>
        <w:textAlignment w:val="baseline"/>
        <w:rPr>
          <w:rFonts w:ascii="Calibri" w:eastAsia="Calibri" w:hAnsi="Calibri" w:cs="Calibri"/>
          <w:lang w:val="en-US"/>
        </w:rPr>
      </w:pPr>
      <w:r w:rsidRPr="00D9618D">
        <w:rPr>
          <w:rFonts w:ascii="Calibri" w:eastAsia="Calibri" w:hAnsi="Calibri" w:cs="Calibri"/>
          <w:lang w:val="en-US"/>
        </w:rPr>
        <w:t>Ensure there is strong governance led by people with disability</w:t>
      </w:r>
      <w:r w:rsidR="00587632">
        <w:rPr>
          <w:rFonts w:ascii="Calibri" w:eastAsia="Calibri" w:hAnsi="Calibri" w:cs="Calibri"/>
          <w:lang w:val="en-US"/>
        </w:rPr>
        <w:t xml:space="preserve"> </w:t>
      </w:r>
      <w:r w:rsidRPr="00D9618D">
        <w:rPr>
          <w:rFonts w:ascii="Calibri" w:eastAsia="Calibri" w:hAnsi="Calibri" w:cs="Calibri"/>
          <w:lang w:val="en-US"/>
        </w:rPr>
        <w:t>that can continue to monitor and undertake audits to ensure that the whole of the institution is across what is expected and o</w:t>
      </w:r>
      <w:r w:rsidR="00587632">
        <w:rPr>
          <w:rFonts w:ascii="Calibri" w:eastAsia="Calibri" w:hAnsi="Calibri" w:cs="Calibri"/>
          <w:lang w:val="en-US"/>
        </w:rPr>
        <w:t>bligated to provide</w:t>
      </w:r>
      <w:r w:rsidRPr="00D9618D">
        <w:rPr>
          <w:rFonts w:ascii="Calibri" w:eastAsia="Calibri" w:hAnsi="Calibri" w:cs="Calibri"/>
          <w:lang w:val="en-US"/>
        </w:rPr>
        <w:t>.</w:t>
      </w:r>
    </w:p>
    <w:p w14:paraId="5D784657" w14:textId="63DFF1FB" w:rsidR="00E00714" w:rsidRPr="00E00714" w:rsidRDefault="00E00714" w:rsidP="00A538C9">
      <w:pPr>
        <w:numPr>
          <w:ilvl w:val="0"/>
          <w:numId w:val="42"/>
        </w:numPr>
        <w:spacing w:after="0" w:line="276" w:lineRule="auto"/>
        <w:rPr>
          <w:sz w:val="24"/>
          <w:szCs w:val="24"/>
        </w:rPr>
      </w:pPr>
      <w:r w:rsidRPr="00E00714">
        <w:rPr>
          <w:color w:val="000000"/>
          <w:sz w:val="24"/>
          <w:szCs w:val="24"/>
        </w:rPr>
        <w:t>Develop a mandatory unit of compe</w:t>
      </w:r>
      <w:r w:rsidR="00587632">
        <w:rPr>
          <w:color w:val="000000"/>
          <w:sz w:val="24"/>
          <w:szCs w:val="24"/>
        </w:rPr>
        <w:t>tency on the access and use of T</w:t>
      </w:r>
      <w:r w:rsidRPr="00E00714">
        <w:rPr>
          <w:color w:val="000000"/>
          <w:sz w:val="24"/>
          <w:szCs w:val="24"/>
        </w:rPr>
        <w:t>he Standards which can be delivered as a standalone unit o</w:t>
      </w:r>
      <w:r w:rsidR="00344897">
        <w:rPr>
          <w:color w:val="000000"/>
          <w:sz w:val="24"/>
          <w:szCs w:val="24"/>
        </w:rPr>
        <w:t>r as part of any university or vocational education and t</w:t>
      </w:r>
      <w:r w:rsidRPr="00E00714">
        <w:rPr>
          <w:color w:val="000000"/>
          <w:sz w:val="24"/>
          <w:szCs w:val="24"/>
        </w:rPr>
        <w:t>raining component (</w:t>
      </w:r>
      <w:r w:rsidR="00344897">
        <w:rPr>
          <w:color w:val="000000"/>
          <w:sz w:val="24"/>
          <w:szCs w:val="24"/>
        </w:rPr>
        <w:t xml:space="preserve">qualification, skill set, other). </w:t>
      </w:r>
    </w:p>
    <w:p w14:paraId="7DEF210B" w14:textId="15262995" w:rsidR="00B72104" w:rsidRPr="00B72104" w:rsidRDefault="00E00714" w:rsidP="00A538C9">
      <w:pPr>
        <w:pStyle w:val="ListParagraph"/>
        <w:numPr>
          <w:ilvl w:val="0"/>
          <w:numId w:val="42"/>
        </w:numPr>
        <w:spacing w:after="0" w:line="276" w:lineRule="auto"/>
        <w:rPr>
          <w:sz w:val="24"/>
          <w:szCs w:val="24"/>
        </w:rPr>
      </w:pPr>
      <w:r w:rsidRPr="00E00714">
        <w:rPr>
          <w:color w:val="000000"/>
          <w:sz w:val="24"/>
          <w:szCs w:val="24"/>
        </w:rPr>
        <w:t xml:space="preserve">Develop a mandatory unit of competency on the access and use of </w:t>
      </w:r>
      <w:r w:rsidR="00587632">
        <w:rPr>
          <w:color w:val="000000"/>
          <w:sz w:val="24"/>
          <w:szCs w:val="24"/>
        </w:rPr>
        <w:t>T</w:t>
      </w:r>
      <w:r w:rsidR="00A538C9">
        <w:rPr>
          <w:color w:val="000000"/>
          <w:sz w:val="24"/>
          <w:szCs w:val="24"/>
        </w:rPr>
        <w:t xml:space="preserve">he </w:t>
      </w:r>
      <w:r w:rsidRPr="00E00714">
        <w:rPr>
          <w:color w:val="000000"/>
          <w:sz w:val="24"/>
          <w:szCs w:val="24"/>
        </w:rPr>
        <w:t xml:space="preserve">Standards </w:t>
      </w:r>
      <w:r>
        <w:rPr>
          <w:color w:val="000000"/>
          <w:sz w:val="24"/>
          <w:szCs w:val="24"/>
        </w:rPr>
        <w:t xml:space="preserve">as a </w:t>
      </w:r>
      <w:r w:rsidR="00B72104">
        <w:rPr>
          <w:color w:val="000000"/>
          <w:sz w:val="24"/>
          <w:szCs w:val="24"/>
        </w:rPr>
        <w:t xml:space="preserve">part </w:t>
      </w:r>
      <w:r w:rsidR="00587632">
        <w:rPr>
          <w:sz w:val="24"/>
          <w:szCs w:val="24"/>
        </w:rPr>
        <w:t>of teacher</w:t>
      </w:r>
      <w:r w:rsidRPr="00AD0D96">
        <w:rPr>
          <w:sz w:val="24"/>
          <w:szCs w:val="24"/>
        </w:rPr>
        <w:t>s</w:t>
      </w:r>
      <w:r w:rsidR="00587632">
        <w:rPr>
          <w:sz w:val="24"/>
          <w:szCs w:val="24"/>
        </w:rPr>
        <w:t>’</w:t>
      </w:r>
      <w:r w:rsidRPr="00AD0D96">
        <w:rPr>
          <w:sz w:val="24"/>
          <w:szCs w:val="24"/>
        </w:rPr>
        <w:t xml:space="preserve"> Professional Development requirements in </w:t>
      </w:r>
      <w:r w:rsidR="00B72104">
        <w:rPr>
          <w:sz w:val="24"/>
          <w:szCs w:val="24"/>
        </w:rPr>
        <w:t>each State and Territory to maintain</w:t>
      </w:r>
      <w:r w:rsidRPr="00AD0D96">
        <w:rPr>
          <w:sz w:val="24"/>
          <w:szCs w:val="24"/>
        </w:rPr>
        <w:t xml:space="preserve"> their registration.</w:t>
      </w:r>
    </w:p>
    <w:p w14:paraId="470E9F28" w14:textId="5B2D431C" w:rsidR="000E1265" w:rsidRPr="00B72104" w:rsidRDefault="00587632" w:rsidP="00A538C9">
      <w:pPr>
        <w:pStyle w:val="ListParagraph"/>
        <w:numPr>
          <w:ilvl w:val="0"/>
          <w:numId w:val="42"/>
        </w:numPr>
        <w:spacing w:after="0" w:line="276" w:lineRule="auto"/>
        <w:rPr>
          <w:sz w:val="24"/>
          <w:szCs w:val="24"/>
        </w:rPr>
      </w:pPr>
      <w:r>
        <w:rPr>
          <w:sz w:val="24"/>
          <w:szCs w:val="24"/>
        </w:rPr>
        <w:t>Consideration of T</w:t>
      </w:r>
      <w:r w:rsidR="00DC2BE6">
        <w:rPr>
          <w:sz w:val="24"/>
          <w:szCs w:val="24"/>
        </w:rPr>
        <w:t>he Standards to be included specifically in the Certificate IV Training and Assessment in the same way that Literacy and Numeracy for Adults has been included.</w:t>
      </w:r>
    </w:p>
    <w:p w14:paraId="0C624A6C" w14:textId="783F3746" w:rsidR="0048288E" w:rsidRDefault="00770D45" w:rsidP="00217BA9">
      <w:pPr>
        <w:pStyle w:val="ListParagraph"/>
        <w:numPr>
          <w:ilvl w:val="0"/>
          <w:numId w:val="42"/>
        </w:numPr>
        <w:spacing w:after="0" w:line="276" w:lineRule="auto"/>
        <w:rPr>
          <w:sz w:val="24"/>
          <w:szCs w:val="24"/>
        </w:rPr>
      </w:pPr>
      <w:r w:rsidRPr="0048288E">
        <w:rPr>
          <w:sz w:val="24"/>
          <w:szCs w:val="24"/>
        </w:rPr>
        <w:t xml:space="preserve">Ensure </w:t>
      </w:r>
      <w:r w:rsidR="00344897">
        <w:rPr>
          <w:sz w:val="24"/>
          <w:szCs w:val="24"/>
        </w:rPr>
        <w:t xml:space="preserve">that </w:t>
      </w:r>
      <w:r w:rsidR="00587632" w:rsidRPr="0048288E">
        <w:rPr>
          <w:sz w:val="24"/>
          <w:szCs w:val="24"/>
        </w:rPr>
        <w:t>T</w:t>
      </w:r>
      <w:r w:rsidR="00B72104" w:rsidRPr="0048288E">
        <w:rPr>
          <w:sz w:val="24"/>
          <w:szCs w:val="24"/>
        </w:rPr>
        <w:t>he Standards reinforce</w:t>
      </w:r>
      <w:r w:rsidRPr="0048288E">
        <w:rPr>
          <w:sz w:val="24"/>
          <w:szCs w:val="24"/>
        </w:rPr>
        <w:t xml:space="preserve"> the need for Reasonable </w:t>
      </w:r>
      <w:r w:rsidR="00587632" w:rsidRPr="0048288E">
        <w:rPr>
          <w:sz w:val="24"/>
          <w:szCs w:val="24"/>
        </w:rPr>
        <w:t>A</w:t>
      </w:r>
      <w:r w:rsidRPr="0048288E">
        <w:rPr>
          <w:sz w:val="24"/>
          <w:szCs w:val="24"/>
        </w:rPr>
        <w:t xml:space="preserve">djustments to have a person </w:t>
      </w:r>
      <w:proofErr w:type="spellStart"/>
      <w:r w:rsidRPr="0048288E">
        <w:rPr>
          <w:sz w:val="24"/>
          <w:szCs w:val="24"/>
        </w:rPr>
        <w:t>centre</w:t>
      </w:r>
      <w:r w:rsidR="00A538C9" w:rsidRPr="0048288E">
        <w:rPr>
          <w:sz w:val="24"/>
          <w:szCs w:val="24"/>
        </w:rPr>
        <w:t>d</w:t>
      </w:r>
      <w:proofErr w:type="spellEnd"/>
      <w:r w:rsidRPr="0048288E">
        <w:rPr>
          <w:sz w:val="24"/>
          <w:szCs w:val="24"/>
        </w:rPr>
        <w:t xml:space="preserve"> approach</w:t>
      </w:r>
      <w:r w:rsidR="00844762">
        <w:rPr>
          <w:sz w:val="24"/>
          <w:szCs w:val="24"/>
        </w:rPr>
        <w:t>.</w:t>
      </w:r>
      <w:r w:rsidRPr="0048288E">
        <w:rPr>
          <w:sz w:val="24"/>
          <w:szCs w:val="24"/>
        </w:rPr>
        <w:t xml:space="preserve"> </w:t>
      </w:r>
    </w:p>
    <w:p w14:paraId="7343E134" w14:textId="66707F56" w:rsidR="00770D45" w:rsidRPr="00844762" w:rsidRDefault="0048288E" w:rsidP="00217BA9">
      <w:pPr>
        <w:pStyle w:val="ListParagraph"/>
        <w:numPr>
          <w:ilvl w:val="0"/>
          <w:numId w:val="42"/>
        </w:numPr>
        <w:spacing w:after="0" w:line="276" w:lineRule="auto"/>
        <w:rPr>
          <w:sz w:val="23"/>
          <w:szCs w:val="23"/>
        </w:rPr>
      </w:pPr>
      <w:r w:rsidRPr="00844762">
        <w:rPr>
          <w:sz w:val="23"/>
          <w:szCs w:val="23"/>
        </w:rPr>
        <w:t xml:space="preserve">Ensure </w:t>
      </w:r>
      <w:r w:rsidR="00BF3D25">
        <w:rPr>
          <w:sz w:val="23"/>
          <w:szCs w:val="23"/>
        </w:rPr>
        <w:t xml:space="preserve">the Standards reinforce the </w:t>
      </w:r>
      <w:r w:rsidRPr="00844762">
        <w:rPr>
          <w:sz w:val="23"/>
          <w:szCs w:val="23"/>
        </w:rPr>
        <w:t>application of</w:t>
      </w:r>
      <w:r w:rsidR="005B39FF" w:rsidRPr="00844762">
        <w:rPr>
          <w:sz w:val="23"/>
          <w:szCs w:val="23"/>
        </w:rPr>
        <w:t xml:space="preserve"> </w:t>
      </w:r>
      <w:r w:rsidR="00B72104" w:rsidRPr="00844762">
        <w:rPr>
          <w:sz w:val="23"/>
          <w:szCs w:val="23"/>
        </w:rPr>
        <w:t>Universal Design for Learning principles</w:t>
      </w:r>
      <w:r w:rsidR="005B39FF" w:rsidRPr="00844762">
        <w:rPr>
          <w:sz w:val="23"/>
          <w:szCs w:val="23"/>
        </w:rPr>
        <w:t xml:space="preserve"> in the development of all curriculum</w:t>
      </w:r>
      <w:r w:rsidR="00BF3D25">
        <w:rPr>
          <w:sz w:val="23"/>
          <w:szCs w:val="23"/>
        </w:rPr>
        <w:t>, and</w:t>
      </w:r>
      <w:r w:rsidRPr="00844762">
        <w:rPr>
          <w:sz w:val="23"/>
          <w:szCs w:val="23"/>
        </w:rPr>
        <w:t xml:space="preserve"> compulsory training for all educators</w:t>
      </w:r>
      <w:r w:rsidR="00844762" w:rsidRPr="00844762">
        <w:rPr>
          <w:sz w:val="23"/>
          <w:szCs w:val="23"/>
        </w:rPr>
        <w:t xml:space="preserve"> on Universal Design Principles.</w:t>
      </w:r>
      <w:r w:rsidR="00B72104" w:rsidRPr="00844762">
        <w:rPr>
          <w:sz w:val="23"/>
          <w:szCs w:val="23"/>
        </w:rPr>
        <w:t xml:space="preserve"> </w:t>
      </w:r>
    </w:p>
    <w:p w14:paraId="2F71BE3D" w14:textId="37011830" w:rsidR="0048288E" w:rsidRDefault="0048288E" w:rsidP="00A538C9">
      <w:pPr>
        <w:pStyle w:val="ListParagraph"/>
        <w:numPr>
          <w:ilvl w:val="0"/>
          <w:numId w:val="42"/>
        </w:numPr>
        <w:spacing w:after="0" w:line="276" w:lineRule="auto"/>
        <w:rPr>
          <w:sz w:val="24"/>
          <w:szCs w:val="24"/>
        </w:rPr>
      </w:pPr>
      <w:r>
        <w:rPr>
          <w:sz w:val="24"/>
          <w:szCs w:val="24"/>
        </w:rPr>
        <w:t>Establish a</w:t>
      </w:r>
      <w:r w:rsidR="00FD4E79" w:rsidRPr="00D9618D">
        <w:rPr>
          <w:sz w:val="24"/>
          <w:szCs w:val="24"/>
        </w:rPr>
        <w:t xml:space="preserve"> national advocate or system of national advocates </w:t>
      </w:r>
      <w:r>
        <w:rPr>
          <w:sz w:val="24"/>
          <w:szCs w:val="24"/>
        </w:rPr>
        <w:t>to assist student</w:t>
      </w:r>
      <w:r w:rsidR="00344897">
        <w:rPr>
          <w:sz w:val="24"/>
          <w:szCs w:val="24"/>
        </w:rPr>
        <w:t>s with disability to interpret T</w:t>
      </w:r>
      <w:r>
        <w:rPr>
          <w:sz w:val="24"/>
          <w:szCs w:val="24"/>
        </w:rPr>
        <w:t>he Standards and progress c</w:t>
      </w:r>
      <w:r w:rsidR="00344897">
        <w:rPr>
          <w:sz w:val="24"/>
          <w:szCs w:val="24"/>
        </w:rPr>
        <w:t>omplaints with advocacy support if required.</w:t>
      </w:r>
    </w:p>
    <w:p w14:paraId="17747FBB" w14:textId="047E9363" w:rsidR="008513E5" w:rsidRPr="00D9618D" w:rsidRDefault="00D77026" w:rsidP="00A538C9">
      <w:pPr>
        <w:pStyle w:val="ListParagraph"/>
        <w:numPr>
          <w:ilvl w:val="0"/>
          <w:numId w:val="42"/>
        </w:numPr>
        <w:spacing w:after="0" w:line="276" w:lineRule="auto"/>
        <w:rPr>
          <w:sz w:val="24"/>
          <w:szCs w:val="24"/>
        </w:rPr>
      </w:pPr>
      <w:r w:rsidRPr="00D9618D">
        <w:rPr>
          <w:sz w:val="24"/>
          <w:szCs w:val="24"/>
        </w:rPr>
        <w:lastRenderedPageBreak/>
        <w:t>D</w:t>
      </w:r>
      <w:r w:rsidR="008513E5" w:rsidRPr="00D9618D">
        <w:rPr>
          <w:sz w:val="24"/>
          <w:szCs w:val="24"/>
        </w:rPr>
        <w:t>evelop nationally consistent tools to enable education institutions to conduct 'self-au</w:t>
      </w:r>
      <w:r w:rsidR="00344897">
        <w:rPr>
          <w:sz w:val="24"/>
          <w:szCs w:val="24"/>
        </w:rPr>
        <w:t>dits' of their compliance with T</w:t>
      </w:r>
      <w:r w:rsidR="008513E5" w:rsidRPr="00D9618D">
        <w:rPr>
          <w:sz w:val="24"/>
          <w:szCs w:val="24"/>
        </w:rPr>
        <w:t>he Standards (Re</w:t>
      </w:r>
      <w:r w:rsidR="00D9618D">
        <w:rPr>
          <w:sz w:val="24"/>
          <w:szCs w:val="24"/>
        </w:rPr>
        <w:t>commendation 6 from the 2015</w:t>
      </w:r>
      <w:r w:rsidR="008513E5" w:rsidRPr="00D9618D">
        <w:rPr>
          <w:sz w:val="24"/>
          <w:szCs w:val="24"/>
        </w:rPr>
        <w:t xml:space="preserve"> Review)</w:t>
      </w:r>
    </w:p>
    <w:p w14:paraId="601E2F2C" w14:textId="67CA8601" w:rsidR="00E77BC6" w:rsidRPr="00D9618D" w:rsidRDefault="00E77BC6" w:rsidP="00A538C9">
      <w:pPr>
        <w:pStyle w:val="ListParagraph"/>
        <w:numPr>
          <w:ilvl w:val="0"/>
          <w:numId w:val="42"/>
        </w:numPr>
        <w:spacing w:after="0" w:line="276" w:lineRule="auto"/>
        <w:rPr>
          <w:sz w:val="24"/>
          <w:szCs w:val="24"/>
        </w:rPr>
      </w:pPr>
      <w:r w:rsidRPr="00D9618D">
        <w:rPr>
          <w:sz w:val="24"/>
          <w:szCs w:val="24"/>
        </w:rPr>
        <w:t>E</w:t>
      </w:r>
      <w:r w:rsidR="008513E5" w:rsidRPr="00D9618D">
        <w:rPr>
          <w:sz w:val="24"/>
          <w:szCs w:val="24"/>
        </w:rPr>
        <w:t>ducation providers to establish a</w:t>
      </w:r>
      <w:r w:rsidRPr="00D9618D">
        <w:rPr>
          <w:sz w:val="24"/>
          <w:szCs w:val="24"/>
        </w:rPr>
        <w:t>n internal</w:t>
      </w:r>
      <w:r w:rsidR="008513E5" w:rsidRPr="00D9618D">
        <w:rPr>
          <w:sz w:val="24"/>
          <w:szCs w:val="24"/>
        </w:rPr>
        <w:t xml:space="preserve"> </w:t>
      </w:r>
      <w:r w:rsidRPr="00D9618D">
        <w:rPr>
          <w:sz w:val="24"/>
          <w:szCs w:val="24"/>
        </w:rPr>
        <w:t xml:space="preserve">framework </w:t>
      </w:r>
      <w:r w:rsidR="008513E5" w:rsidRPr="00D9618D">
        <w:rPr>
          <w:sz w:val="24"/>
          <w:szCs w:val="24"/>
        </w:rPr>
        <w:t xml:space="preserve">to </w:t>
      </w:r>
      <w:r w:rsidRPr="00D9618D">
        <w:rPr>
          <w:sz w:val="24"/>
          <w:szCs w:val="24"/>
        </w:rPr>
        <w:t xml:space="preserve">proactively </w:t>
      </w:r>
      <w:r w:rsidR="008513E5" w:rsidRPr="00D9618D">
        <w:rPr>
          <w:sz w:val="24"/>
          <w:szCs w:val="24"/>
        </w:rPr>
        <w:t xml:space="preserve">monitor </w:t>
      </w:r>
      <w:r w:rsidRPr="00D9618D">
        <w:rPr>
          <w:sz w:val="24"/>
          <w:szCs w:val="24"/>
        </w:rPr>
        <w:t xml:space="preserve">and strengthen </w:t>
      </w:r>
      <w:r w:rsidR="008513E5" w:rsidRPr="00D9618D">
        <w:rPr>
          <w:sz w:val="24"/>
          <w:szCs w:val="24"/>
        </w:rPr>
        <w:t>compliance</w:t>
      </w:r>
      <w:r w:rsidRPr="00D9618D">
        <w:rPr>
          <w:sz w:val="24"/>
          <w:szCs w:val="24"/>
        </w:rPr>
        <w:t xml:space="preserve"> linked to Government funding. </w:t>
      </w:r>
      <w:r w:rsidR="008513E5" w:rsidRPr="00D9618D">
        <w:rPr>
          <w:sz w:val="24"/>
          <w:szCs w:val="24"/>
        </w:rPr>
        <w:t xml:space="preserve"> </w:t>
      </w:r>
    </w:p>
    <w:p w14:paraId="1BD865B9" w14:textId="66967550" w:rsidR="00344897" w:rsidRDefault="0048288E" w:rsidP="00F45021">
      <w:pPr>
        <w:pStyle w:val="ListParagraph"/>
        <w:numPr>
          <w:ilvl w:val="0"/>
          <w:numId w:val="42"/>
        </w:numPr>
        <w:autoSpaceDE w:val="0"/>
        <w:autoSpaceDN w:val="0"/>
        <w:spacing w:after="0" w:line="276" w:lineRule="auto"/>
        <w:jc w:val="both"/>
        <w:rPr>
          <w:sz w:val="24"/>
          <w:szCs w:val="24"/>
        </w:rPr>
      </w:pPr>
      <w:r w:rsidRPr="00344897">
        <w:rPr>
          <w:sz w:val="24"/>
          <w:szCs w:val="24"/>
        </w:rPr>
        <w:t>Funding s</w:t>
      </w:r>
      <w:r w:rsidR="00A538C9" w:rsidRPr="00344897">
        <w:rPr>
          <w:sz w:val="24"/>
          <w:szCs w:val="24"/>
        </w:rPr>
        <w:t xml:space="preserve">upport be given to private providers so that </w:t>
      </w:r>
      <w:r w:rsidRPr="00344897">
        <w:rPr>
          <w:sz w:val="24"/>
          <w:szCs w:val="24"/>
        </w:rPr>
        <w:t>they</w:t>
      </w:r>
      <w:r w:rsidR="00344897" w:rsidRPr="00344897">
        <w:rPr>
          <w:sz w:val="24"/>
          <w:szCs w:val="24"/>
        </w:rPr>
        <w:t xml:space="preserve"> are able to fund r</w:t>
      </w:r>
      <w:r w:rsidR="00344897">
        <w:rPr>
          <w:sz w:val="24"/>
          <w:szCs w:val="24"/>
        </w:rPr>
        <w:t>easonable a</w:t>
      </w:r>
      <w:r w:rsidR="00A538C9" w:rsidRPr="00344897">
        <w:rPr>
          <w:sz w:val="24"/>
          <w:szCs w:val="24"/>
        </w:rPr>
        <w:t>djustments in order to reduce the claim of unjustifiable hardship.</w:t>
      </w:r>
    </w:p>
    <w:p w14:paraId="46213D09" w14:textId="3567A524" w:rsidR="001936EE" w:rsidRPr="001936EE" w:rsidRDefault="00C43E0C" w:rsidP="001936EE">
      <w:pPr>
        <w:pStyle w:val="ListParagraph"/>
        <w:numPr>
          <w:ilvl w:val="0"/>
          <w:numId w:val="42"/>
        </w:numPr>
        <w:autoSpaceDE w:val="0"/>
        <w:autoSpaceDN w:val="0"/>
        <w:spacing w:after="0" w:line="276" w:lineRule="auto"/>
        <w:jc w:val="both"/>
        <w:rPr>
          <w:sz w:val="24"/>
          <w:szCs w:val="24"/>
        </w:rPr>
      </w:pPr>
      <w:r w:rsidRPr="00344897">
        <w:rPr>
          <w:sz w:val="24"/>
          <w:szCs w:val="24"/>
        </w:rPr>
        <w:t xml:space="preserve">Update the Guidance Notes </w:t>
      </w:r>
      <w:r w:rsidR="00277339" w:rsidRPr="00344897">
        <w:rPr>
          <w:sz w:val="24"/>
          <w:szCs w:val="24"/>
        </w:rPr>
        <w:t xml:space="preserve">to include </w:t>
      </w:r>
      <w:r w:rsidR="00844762" w:rsidRPr="00344897">
        <w:rPr>
          <w:sz w:val="24"/>
          <w:szCs w:val="24"/>
        </w:rPr>
        <w:t xml:space="preserve">practical examples to assist in the application </w:t>
      </w:r>
      <w:r w:rsidR="00344897">
        <w:rPr>
          <w:sz w:val="24"/>
          <w:szCs w:val="24"/>
        </w:rPr>
        <w:t>and compliance of T</w:t>
      </w:r>
      <w:r w:rsidR="00844762" w:rsidRPr="00344897">
        <w:rPr>
          <w:sz w:val="24"/>
          <w:szCs w:val="24"/>
        </w:rPr>
        <w:t xml:space="preserve">he Standards, </w:t>
      </w:r>
      <w:r w:rsidR="00844762" w:rsidRPr="00B31562">
        <w:rPr>
          <w:sz w:val="24"/>
          <w:szCs w:val="24"/>
        </w:rPr>
        <w:t>and develop alternative</w:t>
      </w:r>
      <w:r w:rsidR="00277339" w:rsidRPr="00B31562">
        <w:rPr>
          <w:sz w:val="24"/>
          <w:szCs w:val="24"/>
        </w:rPr>
        <w:t xml:space="preserve"> for</w:t>
      </w:r>
      <w:r w:rsidR="00344897" w:rsidRPr="00B31562">
        <w:rPr>
          <w:sz w:val="24"/>
          <w:szCs w:val="24"/>
        </w:rPr>
        <w:t xml:space="preserve">mats of the Guidance Notes, including </w:t>
      </w:r>
      <w:r w:rsidR="00277339" w:rsidRPr="00B31562">
        <w:rPr>
          <w:sz w:val="24"/>
          <w:szCs w:val="24"/>
        </w:rPr>
        <w:t xml:space="preserve">Easy English and in multiple languages. </w:t>
      </w:r>
    </w:p>
    <w:p w14:paraId="28592364" w14:textId="71DC96CD" w:rsidR="001936EE" w:rsidRPr="001936EE" w:rsidRDefault="001936EE" w:rsidP="001936EE">
      <w:pPr>
        <w:autoSpaceDE w:val="0"/>
        <w:autoSpaceDN w:val="0"/>
        <w:spacing w:after="0" w:line="276" w:lineRule="auto"/>
        <w:ind w:left="7200"/>
        <w:jc w:val="both"/>
        <w:rPr>
          <w:sz w:val="24"/>
          <w:szCs w:val="24"/>
        </w:rPr>
      </w:pPr>
      <w:r>
        <w:rPr>
          <w:sz w:val="24"/>
          <w:szCs w:val="24"/>
        </w:rPr>
        <w:t>End of Submission.</w:t>
      </w:r>
    </w:p>
    <w:sectPr w:rsidR="001936EE" w:rsidRPr="001936EE" w:rsidSect="00E55A45">
      <w:headerReference w:type="even" r:id="rId12"/>
      <w:headerReference w:type="default" r:id="rId13"/>
      <w:footerReference w:type="even" r:id="rId14"/>
      <w:footerReference w:type="default" r:id="rId15"/>
      <w:headerReference w:type="first" r:id="rId16"/>
      <w:footerReference w:type="first" r:id="rId17"/>
      <w:pgSz w:w="11906" w:h="16838"/>
      <w:pgMar w:top="1440" w:right="110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5DAD9" w14:textId="77777777" w:rsidR="004C10BF" w:rsidRDefault="004C10BF">
      <w:pPr>
        <w:spacing w:after="0" w:line="240" w:lineRule="auto"/>
      </w:pPr>
      <w:r>
        <w:separator/>
      </w:r>
    </w:p>
  </w:endnote>
  <w:endnote w:type="continuationSeparator" w:id="0">
    <w:p w14:paraId="0BF02EA0" w14:textId="77777777" w:rsidR="004C10BF" w:rsidRDefault="004C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C020" w14:textId="77777777" w:rsidR="00D5511F" w:rsidRDefault="00D5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C" w14:textId="72AC6090" w:rsidR="004C10BF" w:rsidRDefault="004C10B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65017">
      <w:rPr>
        <w:noProof/>
        <w:color w:val="000000"/>
      </w:rPr>
      <w:t>12</w:t>
    </w:r>
    <w:r>
      <w:rPr>
        <w:color w:val="000000"/>
      </w:rPr>
      <w:fldChar w:fldCharType="end"/>
    </w:r>
  </w:p>
  <w:p w14:paraId="000000FD" w14:textId="77777777" w:rsidR="004C10BF" w:rsidRDefault="004C10BF">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89B1" w14:textId="77777777" w:rsidR="00D5511F" w:rsidRDefault="00D5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A392E" w14:textId="77777777" w:rsidR="004C10BF" w:rsidRDefault="004C10BF">
      <w:pPr>
        <w:spacing w:after="0" w:line="240" w:lineRule="auto"/>
      </w:pPr>
      <w:r>
        <w:separator/>
      </w:r>
    </w:p>
  </w:footnote>
  <w:footnote w:type="continuationSeparator" w:id="0">
    <w:p w14:paraId="5BAE6C2F" w14:textId="77777777" w:rsidR="004C10BF" w:rsidRDefault="004C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C0A1" w14:textId="77777777" w:rsidR="00D5511F" w:rsidRDefault="00D5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0CE" w14:textId="71636D34" w:rsidR="00D5511F" w:rsidRDefault="00D5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C6D6" w14:textId="77777777" w:rsidR="00D5511F" w:rsidRDefault="00D5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3400"/>
    <w:multiLevelType w:val="multilevel"/>
    <w:tmpl w:val="1D7CA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94573"/>
    <w:multiLevelType w:val="hybridMultilevel"/>
    <w:tmpl w:val="3F227E30"/>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2DD0"/>
    <w:multiLevelType w:val="hybridMultilevel"/>
    <w:tmpl w:val="2F2A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C1FD4"/>
    <w:multiLevelType w:val="multilevel"/>
    <w:tmpl w:val="62282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305A9D"/>
    <w:multiLevelType w:val="multilevel"/>
    <w:tmpl w:val="13260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B0699A"/>
    <w:multiLevelType w:val="multilevel"/>
    <w:tmpl w:val="0B925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F5081"/>
    <w:multiLevelType w:val="multilevel"/>
    <w:tmpl w:val="58729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981181"/>
    <w:multiLevelType w:val="hybridMultilevel"/>
    <w:tmpl w:val="31B08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C255D9F"/>
    <w:multiLevelType w:val="hybridMultilevel"/>
    <w:tmpl w:val="D3E458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0F17"/>
    <w:multiLevelType w:val="multilevel"/>
    <w:tmpl w:val="126E8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D345CB"/>
    <w:multiLevelType w:val="hybridMultilevel"/>
    <w:tmpl w:val="081EBF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09724C"/>
    <w:multiLevelType w:val="multilevel"/>
    <w:tmpl w:val="179C2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2E4040"/>
    <w:multiLevelType w:val="multilevel"/>
    <w:tmpl w:val="161A4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F70410"/>
    <w:multiLevelType w:val="multilevel"/>
    <w:tmpl w:val="254A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C1E77"/>
    <w:multiLevelType w:val="hybridMultilevel"/>
    <w:tmpl w:val="D12063E6"/>
    <w:lvl w:ilvl="0" w:tplc="7F6263D8">
      <w:numFmt w:val="bullet"/>
      <w:lvlText w:val="•"/>
      <w:lvlJc w:val="left"/>
      <w:pPr>
        <w:ind w:left="1200" w:hanging="360"/>
      </w:pPr>
      <w:rPr>
        <w:rFonts w:ascii="Arial" w:eastAsia="Arial" w:hAnsi="Arial" w:cs="Arial" w:hint="default"/>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1E0E9D"/>
    <w:multiLevelType w:val="hybridMultilevel"/>
    <w:tmpl w:val="812AB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E6E42B6"/>
    <w:multiLevelType w:val="multilevel"/>
    <w:tmpl w:val="04D6D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4705D1"/>
    <w:multiLevelType w:val="multilevel"/>
    <w:tmpl w:val="B340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86421C"/>
    <w:multiLevelType w:val="multilevel"/>
    <w:tmpl w:val="ED5A3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5B0DD4"/>
    <w:multiLevelType w:val="multilevel"/>
    <w:tmpl w:val="AACA80CC"/>
    <w:lvl w:ilvl="0">
      <w:start w:val="1"/>
      <w:numFmt w:val="decimal"/>
      <w:lvlText w:val="%1."/>
      <w:lvlJc w:val="left"/>
      <w:pPr>
        <w:ind w:left="360" w:hanging="360"/>
      </w:pPr>
      <w:rPr>
        <w:rFonts w:ascii="Calibri" w:eastAsia="Calibri" w:hAnsi="Calibri" w:cs="Calibri"/>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D613731"/>
    <w:multiLevelType w:val="multilevel"/>
    <w:tmpl w:val="36AA9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FB0F24"/>
    <w:multiLevelType w:val="multilevel"/>
    <w:tmpl w:val="2D2E9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3D2ED4"/>
    <w:multiLevelType w:val="multilevel"/>
    <w:tmpl w:val="6DAA7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1B00AC"/>
    <w:multiLevelType w:val="hybridMultilevel"/>
    <w:tmpl w:val="CDE44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D63E9B"/>
    <w:multiLevelType w:val="multilevel"/>
    <w:tmpl w:val="0D98E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5A6B73"/>
    <w:multiLevelType w:val="multilevel"/>
    <w:tmpl w:val="B0F4F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AC3669"/>
    <w:multiLevelType w:val="multilevel"/>
    <w:tmpl w:val="53E8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3E67E6"/>
    <w:multiLevelType w:val="multilevel"/>
    <w:tmpl w:val="75721C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E516B3"/>
    <w:multiLevelType w:val="hybridMultilevel"/>
    <w:tmpl w:val="0F22EE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461A2"/>
    <w:multiLevelType w:val="hybridMultilevel"/>
    <w:tmpl w:val="FC9A2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3924AB"/>
    <w:multiLevelType w:val="multilevel"/>
    <w:tmpl w:val="B5C6D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C80A2A"/>
    <w:multiLevelType w:val="hybridMultilevel"/>
    <w:tmpl w:val="3EB6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FC3466"/>
    <w:multiLevelType w:val="multilevel"/>
    <w:tmpl w:val="EA7E6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FB5832"/>
    <w:multiLevelType w:val="multilevel"/>
    <w:tmpl w:val="62F02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1852A0"/>
    <w:multiLevelType w:val="hybridMultilevel"/>
    <w:tmpl w:val="890C3708"/>
    <w:lvl w:ilvl="0" w:tplc="90FCB95C">
      <w:start w:val="202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7B23B5"/>
    <w:multiLevelType w:val="multilevel"/>
    <w:tmpl w:val="390E3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B82E00"/>
    <w:multiLevelType w:val="multilevel"/>
    <w:tmpl w:val="DA5C7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0246858"/>
    <w:multiLevelType w:val="hybridMultilevel"/>
    <w:tmpl w:val="AAEC90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4531B"/>
    <w:multiLevelType w:val="multilevel"/>
    <w:tmpl w:val="06904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2D2895"/>
    <w:multiLevelType w:val="multilevel"/>
    <w:tmpl w:val="2E167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721525"/>
    <w:multiLevelType w:val="hybridMultilevel"/>
    <w:tmpl w:val="DB7A71C2"/>
    <w:lvl w:ilvl="0" w:tplc="52308DC8">
      <w:start w:val="202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86AC4"/>
    <w:multiLevelType w:val="multilevel"/>
    <w:tmpl w:val="486E0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CB5A36"/>
    <w:multiLevelType w:val="multilevel"/>
    <w:tmpl w:val="246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5"/>
  </w:num>
  <w:num w:numId="3">
    <w:abstractNumId w:val="22"/>
  </w:num>
  <w:num w:numId="4">
    <w:abstractNumId w:val="5"/>
  </w:num>
  <w:num w:numId="5">
    <w:abstractNumId w:val="0"/>
  </w:num>
  <w:num w:numId="6">
    <w:abstractNumId w:val="20"/>
  </w:num>
  <w:num w:numId="7">
    <w:abstractNumId w:val="41"/>
  </w:num>
  <w:num w:numId="8">
    <w:abstractNumId w:val="9"/>
  </w:num>
  <w:num w:numId="9">
    <w:abstractNumId w:val="6"/>
  </w:num>
  <w:num w:numId="10">
    <w:abstractNumId w:val="3"/>
  </w:num>
  <w:num w:numId="11">
    <w:abstractNumId w:val="21"/>
  </w:num>
  <w:num w:numId="12">
    <w:abstractNumId w:val="38"/>
  </w:num>
  <w:num w:numId="13">
    <w:abstractNumId w:val="4"/>
  </w:num>
  <w:num w:numId="14">
    <w:abstractNumId w:val="33"/>
  </w:num>
  <w:num w:numId="15">
    <w:abstractNumId w:val="18"/>
  </w:num>
  <w:num w:numId="16">
    <w:abstractNumId w:val="36"/>
  </w:num>
  <w:num w:numId="17">
    <w:abstractNumId w:val="17"/>
  </w:num>
  <w:num w:numId="18">
    <w:abstractNumId w:val="16"/>
  </w:num>
  <w:num w:numId="19">
    <w:abstractNumId w:val="32"/>
  </w:num>
  <w:num w:numId="20">
    <w:abstractNumId w:val="39"/>
  </w:num>
  <w:num w:numId="21">
    <w:abstractNumId w:val="11"/>
  </w:num>
  <w:num w:numId="22">
    <w:abstractNumId w:val="12"/>
  </w:num>
  <w:num w:numId="23">
    <w:abstractNumId w:val="25"/>
  </w:num>
  <w:num w:numId="24">
    <w:abstractNumId w:val="14"/>
  </w:num>
  <w:num w:numId="25">
    <w:abstractNumId w:val="15"/>
  </w:num>
  <w:num w:numId="26">
    <w:abstractNumId w:val="34"/>
  </w:num>
  <w:num w:numId="27">
    <w:abstractNumId w:val="40"/>
  </w:num>
  <w:num w:numId="28">
    <w:abstractNumId w:val="30"/>
  </w:num>
  <w:num w:numId="29">
    <w:abstractNumId w:val="27"/>
  </w:num>
  <w:num w:numId="30">
    <w:abstractNumId w:val="24"/>
  </w:num>
  <w:num w:numId="31">
    <w:abstractNumId w:val="19"/>
  </w:num>
  <w:num w:numId="32">
    <w:abstractNumId w:val="8"/>
  </w:num>
  <w:num w:numId="33">
    <w:abstractNumId w:val="23"/>
  </w:num>
  <w:num w:numId="34">
    <w:abstractNumId w:val="37"/>
  </w:num>
  <w:num w:numId="35">
    <w:abstractNumId w:val="31"/>
  </w:num>
  <w:num w:numId="36">
    <w:abstractNumId w:val="2"/>
  </w:num>
  <w:num w:numId="37">
    <w:abstractNumId w:val="28"/>
  </w:num>
  <w:num w:numId="38">
    <w:abstractNumId w:val="29"/>
  </w:num>
  <w:num w:numId="39">
    <w:abstractNumId w:val="13"/>
  </w:num>
  <w:num w:numId="40">
    <w:abstractNumId w:val="42"/>
  </w:num>
  <w:num w:numId="41">
    <w:abstractNumId w:val="1"/>
  </w:num>
  <w:num w:numId="42">
    <w:abstractNumId w:val="1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81"/>
    <w:rsid w:val="00007221"/>
    <w:rsid w:val="000E1265"/>
    <w:rsid w:val="00166470"/>
    <w:rsid w:val="00174D87"/>
    <w:rsid w:val="0018428C"/>
    <w:rsid w:val="001936EE"/>
    <w:rsid w:val="001C1ABF"/>
    <w:rsid w:val="001D2FC4"/>
    <w:rsid w:val="001E4DD6"/>
    <w:rsid w:val="001F7A35"/>
    <w:rsid w:val="0020098B"/>
    <w:rsid w:val="002138B8"/>
    <w:rsid w:val="00224B9A"/>
    <w:rsid w:val="00250DB9"/>
    <w:rsid w:val="00265831"/>
    <w:rsid w:val="00277339"/>
    <w:rsid w:val="002B5C50"/>
    <w:rsid w:val="00307730"/>
    <w:rsid w:val="00322BC0"/>
    <w:rsid w:val="00342BE4"/>
    <w:rsid w:val="00344897"/>
    <w:rsid w:val="003552F8"/>
    <w:rsid w:val="00386728"/>
    <w:rsid w:val="003A5CBA"/>
    <w:rsid w:val="003A7EC2"/>
    <w:rsid w:val="003B7CB9"/>
    <w:rsid w:val="003C739A"/>
    <w:rsid w:val="00453B9A"/>
    <w:rsid w:val="00465017"/>
    <w:rsid w:val="0048288E"/>
    <w:rsid w:val="00494125"/>
    <w:rsid w:val="004C10BF"/>
    <w:rsid w:val="004D5419"/>
    <w:rsid w:val="004E3425"/>
    <w:rsid w:val="00502C6F"/>
    <w:rsid w:val="00546FA5"/>
    <w:rsid w:val="0055560A"/>
    <w:rsid w:val="00581216"/>
    <w:rsid w:val="00584F78"/>
    <w:rsid w:val="00586486"/>
    <w:rsid w:val="00587632"/>
    <w:rsid w:val="00594002"/>
    <w:rsid w:val="005A2CEB"/>
    <w:rsid w:val="005B39FF"/>
    <w:rsid w:val="005F5CB0"/>
    <w:rsid w:val="00655781"/>
    <w:rsid w:val="006877B6"/>
    <w:rsid w:val="007356BF"/>
    <w:rsid w:val="00745E85"/>
    <w:rsid w:val="00751B94"/>
    <w:rsid w:val="00770D45"/>
    <w:rsid w:val="007C2974"/>
    <w:rsid w:val="007D0034"/>
    <w:rsid w:val="008130DA"/>
    <w:rsid w:val="00824378"/>
    <w:rsid w:val="00844762"/>
    <w:rsid w:val="008513E5"/>
    <w:rsid w:val="00881AD6"/>
    <w:rsid w:val="00887740"/>
    <w:rsid w:val="00896567"/>
    <w:rsid w:val="008A5DD9"/>
    <w:rsid w:val="008B5243"/>
    <w:rsid w:val="008C2285"/>
    <w:rsid w:val="008D1045"/>
    <w:rsid w:val="008E2308"/>
    <w:rsid w:val="00916194"/>
    <w:rsid w:val="00930BF7"/>
    <w:rsid w:val="00933C32"/>
    <w:rsid w:val="00965304"/>
    <w:rsid w:val="00972FF3"/>
    <w:rsid w:val="00A001DF"/>
    <w:rsid w:val="00A26124"/>
    <w:rsid w:val="00A405E6"/>
    <w:rsid w:val="00A417A5"/>
    <w:rsid w:val="00A458C2"/>
    <w:rsid w:val="00A538C9"/>
    <w:rsid w:val="00A5497D"/>
    <w:rsid w:val="00A54AE3"/>
    <w:rsid w:val="00A86325"/>
    <w:rsid w:val="00AA56F9"/>
    <w:rsid w:val="00AD0706"/>
    <w:rsid w:val="00AD0D96"/>
    <w:rsid w:val="00B0071B"/>
    <w:rsid w:val="00B14CC3"/>
    <w:rsid w:val="00B168C9"/>
    <w:rsid w:val="00B31562"/>
    <w:rsid w:val="00B44E8C"/>
    <w:rsid w:val="00B47233"/>
    <w:rsid w:val="00B72104"/>
    <w:rsid w:val="00BF1AC3"/>
    <w:rsid w:val="00BF3D25"/>
    <w:rsid w:val="00BF6CC3"/>
    <w:rsid w:val="00C2127A"/>
    <w:rsid w:val="00C43E0C"/>
    <w:rsid w:val="00C6073C"/>
    <w:rsid w:val="00C76827"/>
    <w:rsid w:val="00C94593"/>
    <w:rsid w:val="00CB204B"/>
    <w:rsid w:val="00CC0ECB"/>
    <w:rsid w:val="00CC6765"/>
    <w:rsid w:val="00CD6341"/>
    <w:rsid w:val="00CE1B95"/>
    <w:rsid w:val="00CE5954"/>
    <w:rsid w:val="00D02F72"/>
    <w:rsid w:val="00D5511F"/>
    <w:rsid w:val="00D77026"/>
    <w:rsid w:val="00D81C70"/>
    <w:rsid w:val="00D9618D"/>
    <w:rsid w:val="00DB7EB7"/>
    <w:rsid w:val="00DC2BE6"/>
    <w:rsid w:val="00E00714"/>
    <w:rsid w:val="00E01458"/>
    <w:rsid w:val="00E15364"/>
    <w:rsid w:val="00E20690"/>
    <w:rsid w:val="00E31D4F"/>
    <w:rsid w:val="00E44FAF"/>
    <w:rsid w:val="00E5165A"/>
    <w:rsid w:val="00E55A45"/>
    <w:rsid w:val="00E6233B"/>
    <w:rsid w:val="00E641AB"/>
    <w:rsid w:val="00E77BC6"/>
    <w:rsid w:val="00E8713D"/>
    <w:rsid w:val="00EA63FA"/>
    <w:rsid w:val="00EC7D98"/>
    <w:rsid w:val="00EE6F05"/>
    <w:rsid w:val="00F0592C"/>
    <w:rsid w:val="00F8296C"/>
    <w:rsid w:val="00FB34D5"/>
    <w:rsid w:val="00FB3C05"/>
    <w:rsid w:val="00FD4E79"/>
    <w:rsid w:val="00FD5FE5"/>
    <w:rsid w:val="00FF6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56B01"/>
  <w15:docId w15:val="{C089EC03-7138-4A3A-97CF-97075244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B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95B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5B14"/>
    <w:pPr>
      <w:outlineLvl w:val="9"/>
    </w:pPr>
  </w:style>
  <w:style w:type="paragraph" w:styleId="TOC2">
    <w:name w:val="toc 2"/>
    <w:basedOn w:val="Normal"/>
    <w:next w:val="Normal"/>
    <w:autoRedefine/>
    <w:uiPriority w:val="39"/>
    <w:unhideWhenUsed/>
    <w:rsid w:val="00A95B14"/>
    <w:pPr>
      <w:spacing w:after="100"/>
      <w:ind w:left="220"/>
    </w:pPr>
    <w:rPr>
      <w:rFonts w:eastAsiaTheme="minorEastAsia" w:cs="Times New Roman"/>
    </w:rPr>
  </w:style>
  <w:style w:type="paragraph" w:styleId="TOC1">
    <w:name w:val="toc 1"/>
    <w:basedOn w:val="Normal"/>
    <w:next w:val="Normal"/>
    <w:autoRedefine/>
    <w:uiPriority w:val="39"/>
    <w:unhideWhenUsed/>
    <w:rsid w:val="00A95B14"/>
    <w:pPr>
      <w:spacing w:after="100"/>
    </w:pPr>
    <w:rPr>
      <w:rFonts w:eastAsiaTheme="minorEastAsia" w:cs="Times New Roman"/>
    </w:rPr>
  </w:style>
  <w:style w:type="paragraph" w:styleId="TOC3">
    <w:name w:val="toc 3"/>
    <w:basedOn w:val="Normal"/>
    <w:next w:val="Normal"/>
    <w:autoRedefine/>
    <w:uiPriority w:val="39"/>
    <w:unhideWhenUsed/>
    <w:rsid w:val="00A95B14"/>
    <w:pPr>
      <w:spacing w:after="100"/>
      <w:ind w:left="440"/>
    </w:pPr>
    <w:rPr>
      <w:rFonts w:eastAsiaTheme="minorEastAsia" w:cs="Times New Roman"/>
    </w:rPr>
  </w:style>
  <w:style w:type="character" w:styleId="Hyperlink">
    <w:name w:val="Hyperlink"/>
    <w:basedOn w:val="DefaultParagraphFont"/>
    <w:uiPriority w:val="99"/>
    <w:unhideWhenUsed/>
    <w:rsid w:val="00012508"/>
    <w:rPr>
      <w:color w:val="0563C1" w:themeColor="hyperlink"/>
      <w:u w:val="single"/>
    </w:rPr>
  </w:style>
  <w:style w:type="character" w:customStyle="1" w:styleId="UnresolvedMention1">
    <w:name w:val="Unresolved Mention1"/>
    <w:basedOn w:val="DefaultParagraphFont"/>
    <w:uiPriority w:val="99"/>
    <w:semiHidden/>
    <w:unhideWhenUsed/>
    <w:rsid w:val="00012508"/>
    <w:rPr>
      <w:color w:val="605E5C"/>
      <w:shd w:val="clear" w:color="auto" w:fill="E1DFDD"/>
    </w:rPr>
  </w:style>
  <w:style w:type="paragraph" w:styleId="Header">
    <w:name w:val="header"/>
    <w:basedOn w:val="Normal"/>
    <w:link w:val="HeaderChar"/>
    <w:uiPriority w:val="99"/>
    <w:unhideWhenUsed/>
    <w:rsid w:val="0028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1FE"/>
  </w:style>
  <w:style w:type="paragraph" w:styleId="Footer">
    <w:name w:val="footer"/>
    <w:basedOn w:val="Normal"/>
    <w:link w:val="FooterChar"/>
    <w:uiPriority w:val="99"/>
    <w:unhideWhenUsed/>
    <w:rsid w:val="0028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1F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5E85"/>
    <w:pPr>
      <w:ind w:left="720"/>
      <w:contextualSpacing/>
    </w:pPr>
  </w:style>
  <w:style w:type="character" w:styleId="FootnoteReference">
    <w:name w:val="footnote reference"/>
    <w:basedOn w:val="DefaultParagraphFont"/>
    <w:uiPriority w:val="99"/>
    <w:semiHidden/>
    <w:unhideWhenUsed/>
    <w:rsid w:val="00930BF7"/>
    <w:rPr>
      <w:vertAlign w:val="superscript"/>
    </w:rPr>
  </w:style>
  <w:style w:type="paragraph" w:styleId="NoSpacing">
    <w:name w:val="No Spacing"/>
    <w:uiPriority w:val="1"/>
    <w:qFormat/>
    <w:rsid w:val="00930BF7"/>
    <w:pPr>
      <w:spacing w:after="0" w:line="240" w:lineRule="auto"/>
    </w:pPr>
    <w:rPr>
      <w:rFonts w:asciiTheme="minorHAnsi" w:eastAsiaTheme="minorHAnsi" w:hAnsiTheme="minorHAnsi" w:cstheme="minorBidi"/>
      <w:sz w:val="18"/>
      <w:lang w:val="en-AU" w:eastAsia="en-US"/>
    </w:rPr>
  </w:style>
  <w:style w:type="paragraph" w:styleId="FootnoteText">
    <w:name w:val="footnote text"/>
    <w:basedOn w:val="Normal"/>
    <w:link w:val="FootnoteTextChar"/>
    <w:uiPriority w:val="99"/>
    <w:semiHidden/>
    <w:unhideWhenUsed/>
    <w:rsid w:val="003C7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39A"/>
    <w:rPr>
      <w:sz w:val="20"/>
      <w:szCs w:val="20"/>
    </w:rPr>
  </w:style>
  <w:style w:type="character" w:styleId="IntenseReference">
    <w:name w:val="Intense Reference"/>
    <w:basedOn w:val="DefaultParagraphFont"/>
    <w:uiPriority w:val="32"/>
    <w:qFormat/>
    <w:rsid w:val="00751B94"/>
    <w:rPr>
      <w:b/>
      <w:bCs/>
      <w:smallCaps/>
      <w:color w:val="4472C4" w:themeColor="accent1"/>
      <w:spacing w:val="5"/>
    </w:rPr>
  </w:style>
  <w:style w:type="paragraph" w:styleId="BalloonText">
    <w:name w:val="Balloon Text"/>
    <w:basedOn w:val="Normal"/>
    <w:link w:val="BalloonTextChar"/>
    <w:uiPriority w:val="99"/>
    <w:semiHidden/>
    <w:unhideWhenUsed/>
    <w:rsid w:val="007C2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74"/>
    <w:rPr>
      <w:rFonts w:ascii="Segoe UI" w:hAnsi="Segoe UI" w:cs="Segoe UI"/>
      <w:sz w:val="18"/>
      <w:szCs w:val="18"/>
    </w:rPr>
  </w:style>
  <w:style w:type="character" w:styleId="IntenseEmphasis">
    <w:name w:val="Intense Emphasis"/>
    <w:basedOn w:val="DefaultParagraphFont"/>
    <w:uiPriority w:val="21"/>
    <w:qFormat/>
    <w:rsid w:val="00C6073C"/>
    <w:rPr>
      <w:i/>
      <w:iCs/>
      <w:color w:val="4472C4" w:themeColor="accent1"/>
    </w:rPr>
  </w:style>
  <w:style w:type="character" w:styleId="FollowedHyperlink">
    <w:name w:val="FollowedHyperlink"/>
    <w:basedOn w:val="DefaultParagraphFont"/>
    <w:uiPriority w:val="99"/>
    <w:semiHidden/>
    <w:unhideWhenUsed/>
    <w:rsid w:val="00A54AE3"/>
    <w:rPr>
      <w:color w:val="954F72" w:themeColor="followedHyperlink"/>
      <w:u w:val="single"/>
    </w:rPr>
  </w:style>
  <w:style w:type="paragraph" w:styleId="NormalWeb">
    <w:name w:val="Normal (Web)"/>
    <w:basedOn w:val="Normal"/>
    <w:uiPriority w:val="99"/>
    <w:unhideWhenUsed/>
    <w:rsid w:val="008513E5"/>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41664">
      <w:bodyDiv w:val="1"/>
      <w:marLeft w:val="0"/>
      <w:marRight w:val="0"/>
      <w:marTop w:val="0"/>
      <w:marBottom w:val="0"/>
      <w:divBdr>
        <w:top w:val="none" w:sz="0" w:space="0" w:color="auto"/>
        <w:left w:val="none" w:sz="0" w:space="0" w:color="auto"/>
        <w:bottom w:val="none" w:sz="0" w:space="0" w:color="auto"/>
        <w:right w:val="none" w:sz="0" w:space="0" w:color="auto"/>
      </w:divBdr>
    </w:div>
    <w:div w:id="1011445477">
      <w:bodyDiv w:val="1"/>
      <w:marLeft w:val="0"/>
      <w:marRight w:val="0"/>
      <w:marTop w:val="0"/>
      <w:marBottom w:val="0"/>
      <w:divBdr>
        <w:top w:val="none" w:sz="0" w:space="0" w:color="auto"/>
        <w:left w:val="none" w:sz="0" w:space="0" w:color="auto"/>
        <w:bottom w:val="none" w:sz="0" w:space="0" w:color="auto"/>
        <w:right w:val="none" w:sz="0" w:space="0" w:color="auto"/>
      </w:divBdr>
    </w:div>
    <w:div w:id="1177498288">
      <w:bodyDiv w:val="1"/>
      <w:marLeft w:val="0"/>
      <w:marRight w:val="0"/>
      <w:marTop w:val="0"/>
      <w:marBottom w:val="0"/>
      <w:divBdr>
        <w:top w:val="none" w:sz="0" w:space="0" w:color="auto"/>
        <w:left w:val="none" w:sz="0" w:space="0" w:color="auto"/>
        <w:bottom w:val="none" w:sz="0" w:space="0" w:color="auto"/>
        <w:right w:val="none" w:sz="0" w:space="0" w:color="auto"/>
      </w:divBdr>
    </w:div>
    <w:div w:id="1482306321">
      <w:bodyDiv w:val="1"/>
      <w:marLeft w:val="0"/>
      <w:marRight w:val="0"/>
      <w:marTop w:val="0"/>
      <w:marBottom w:val="0"/>
      <w:divBdr>
        <w:top w:val="none" w:sz="0" w:space="0" w:color="auto"/>
        <w:left w:val="none" w:sz="0" w:space="0" w:color="auto"/>
        <w:bottom w:val="none" w:sz="0" w:space="0" w:color="auto"/>
        <w:right w:val="none" w:sz="0" w:space="0" w:color="auto"/>
      </w:divBdr>
    </w:div>
    <w:div w:id="1581449350">
      <w:bodyDiv w:val="1"/>
      <w:marLeft w:val="0"/>
      <w:marRight w:val="0"/>
      <w:marTop w:val="0"/>
      <w:marBottom w:val="0"/>
      <w:divBdr>
        <w:top w:val="none" w:sz="0" w:space="0" w:color="auto"/>
        <w:left w:val="none" w:sz="0" w:space="0" w:color="auto"/>
        <w:bottom w:val="none" w:sz="0" w:space="0" w:color="auto"/>
        <w:right w:val="none" w:sz="0" w:space="0" w:color="auto"/>
      </w:divBdr>
    </w:div>
    <w:div w:id="1886092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DCOProgra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mYJjtMffC4b+F9BYYAINbZhNg==">AMUW2mXC2o8zL1y5Iio+hNYH9QNi8OPuIeRsge9Lo/yvxio3LshOTnak8fTXBP2CW13ne//dCyn4T2iX7Xv4iO3T8CJjE9BYH+wk1vRtMofQy2rEKaujyXQPS4EVDSBVZ7urQhJ2epbXuPI2a6FL6YEUCDc/dHJWRYkzJHXs2dKM8X+/UwAq4m1pLy3+njdHdCNajiZ4vxbJGWWc8w4m3aAGDkE/LmES6mUA6qcJmqrzT2K+wYMGsSU=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635FE9-3424-43EF-BD82-DF17E65E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3125</Words>
  <Characters>17818</Characters>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2020-09-28T01:47:00Z</cp:lastPrinted>
  <dcterms:created xsi:type="dcterms:W3CDTF">2020-12-03T01:10:00Z</dcterms:created>
  <dcterms:modified xsi:type="dcterms:W3CDTF">2020-12-03T01:10:00Z</dcterms:modified>
</cp:coreProperties>
</file>