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E82D5" w14:textId="7BD0BEC8" w:rsidR="008F3BD5" w:rsidRPr="00551F97" w:rsidRDefault="008F3BD5" w:rsidP="009C3C69">
      <w:pPr>
        <w:rPr>
          <w:rFonts w:asciiTheme="minorHAnsi" w:hAnsiTheme="minorHAnsi" w:cstheme="minorHAnsi"/>
        </w:rPr>
      </w:pPr>
      <w:bookmarkStart w:id="0" w:name="_GoBack"/>
      <w:bookmarkEnd w:id="0"/>
    </w:p>
    <w:p w14:paraId="051B2BC4" w14:textId="77777777" w:rsidR="00551F97" w:rsidRPr="00551F97" w:rsidRDefault="00551F97" w:rsidP="00551F97">
      <w:pPr>
        <w:autoSpaceDE w:val="0"/>
        <w:autoSpaceDN w:val="0"/>
        <w:adjustRightInd w:val="0"/>
        <w:spacing w:after="0" w:line="240" w:lineRule="auto"/>
        <w:rPr>
          <w:rFonts w:asciiTheme="minorHAnsi" w:hAnsiTheme="minorHAnsi" w:cstheme="minorHAnsi"/>
          <w:bCs/>
          <w:color w:val="000000"/>
        </w:rPr>
      </w:pPr>
    </w:p>
    <w:p w14:paraId="1F921678" w14:textId="77777777" w:rsidR="00C215A3" w:rsidRDefault="00C215A3" w:rsidP="00551F97">
      <w:pPr>
        <w:autoSpaceDE w:val="0"/>
        <w:autoSpaceDN w:val="0"/>
        <w:adjustRightInd w:val="0"/>
        <w:spacing w:after="0" w:line="240" w:lineRule="auto"/>
        <w:rPr>
          <w:rFonts w:asciiTheme="minorHAnsi" w:hAnsiTheme="minorHAnsi" w:cstheme="minorHAnsi"/>
        </w:rPr>
      </w:pPr>
    </w:p>
    <w:p w14:paraId="3E6B63E5" w14:textId="1A6B4065" w:rsidR="00551F97" w:rsidRPr="00551F97" w:rsidRDefault="00551F97" w:rsidP="00551F97">
      <w:pPr>
        <w:autoSpaceDE w:val="0"/>
        <w:autoSpaceDN w:val="0"/>
        <w:adjustRightInd w:val="0"/>
        <w:spacing w:after="0" w:line="240" w:lineRule="auto"/>
        <w:rPr>
          <w:rFonts w:asciiTheme="minorHAnsi" w:hAnsiTheme="minorHAnsi" w:cstheme="minorHAnsi"/>
        </w:rPr>
      </w:pPr>
      <w:r w:rsidRPr="00551F97">
        <w:rPr>
          <w:rFonts w:asciiTheme="minorHAnsi" w:hAnsiTheme="minorHAnsi" w:cstheme="minorHAnsi"/>
        </w:rPr>
        <w:t>Disability Standards for Education Review Team</w:t>
      </w:r>
    </w:p>
    <w:p w14:paraId="38E40B1A" w14:textId="77777777" w:rsidR="00551F97" w:rsidRPr="00551F97" w:rsidRDefault="00551F97" w:rsidP="00551F97">
      <w:pPr>
        <w:autoSpaceDE w:val="0"/>
        <w:autoSpaceDN w:val="0"/>
        <w:adjustRightInd w:val="0"/>
        <w:spacing w:after="0" w:line="240" w:lineRule="auto"/>
        <w:rPr>
          <w:rFonts w:asciiTheme="minorHAnsi" w:hAnsiTheme="minorHAnsi" w:cstheme="minorHAnsi"/>
        </w:rPr>
      </w:pPr>
      <w:r w:rsidRPr="00551F97">
        <w:rPr>
          <w:rFonts w:asciiTheme="minorHAnsi" w:hAnsiTheme="minorHAnsi" w:cstheme="minorHAnsi"/>
        </w:rPr>
        <w:t>Disability Strategy Taskforce</w:t>
      </w:r>
    </w:p>
    <w:p w14:paraId="7C340E64" w14:textId="30FB52D0" w:rsidR="004238DA" w:rsidRPr="00551F97" w:rsidRDefault="00551F97" w:rsidP="00551F97">
      <w:pPr>
        <w:autoSpaceDE w:val="0"/>
        <w:autoSpaceDN w:val="0"/>
        <w:adjustRightInd w:val="0"/>
        <w:spacing w:after="100" w:afterAutospacing="1" w:line="240" w:lineRule="auto"/>
        <w:rPr>
          <w:rFonts w:asciiTheme="minorHAnsi" w:hAnsiTheme="minorHAnsi" w:cstheme="minorHAnsi"/>
        </w:rPr>
      </w:pPr>
      <w:r w:rsidRPr="00551F97">
        <w:rPr>
          <w:rFonts w:asciiTheme="minorHAnsi" w:hAnsiTheme="minorHAnsi" w:cstheme="minorHAnsi"/>
        </w:rPr>
        <w:t xml:space="preserve">Canberra City ACT 2601 </w:t>
      </w:r>
    </w:p>
    <w:p w14:paraId="58A3C7CE" w14:textId="74965AD8" w:rsidR="00B251E7" w:rsidRPr="00551F97" w:rsidRDefault="00551F97" w:rsidP="004238DA">
      <w:pPr>
        <w:jc w:val="right"/>
        <w:rPr>
          <w:rFonts w:asciiTheme="minorHAnsi" w:hAnsiTheme="minorHAnsi" w:cstheme="minorHAnsi"/>
        </w:rPr>
      </w:pPr>
      <w:r>
        <w:rPr>
          <w:rFonts w:asciiTheme="minorHAnsi" w:hAnsiTheme="minorHAnsi" w:cstheme="minorHAnsi"/>
        </w:rPr>
        <w:t>25</w:t>
      </w:r>
      <w:r w:rsidR="004238DA" w:rsidRPr="00551F97">
        <w:rPr>
          <w:rFonts w:asciiTheme="minorHAnsi" w:hAnsiTheme="minorHAnsi" w:cstheme="minorHAnsi"/>
        </w:rPr>
        <w:t xml:space="preserve"> September 2020</w:t>
      </w:r>
    </w:p>
    <w:p w14:paraId="5972F6D0" w14:textId="77777777" w:rsidR="00D42DCD" w:rsidRDefault="00D42DCD" w:rsidP="004238DA">
      <w:pPr>
        <w:jc w:val="both"/>
        <w:rPr>
          <w:rFonts w:asciiTheme="minorHAnsi" w:hAnsiTheme="minorHAnsi" w:cstheme="minorHAnsi"/>
          <w:b/>
          <w:bCs/>
        </w:rPr>
      </w:pPr>
    </w:p>
    <w:p w14:paraId="7EF493A7" w14:textId="258E26CB" w:rsidR="004238DA" w:rsidRPr="00551F97" w:rsidRDefault="00551F97" w:rsidP="004238DA">
      <w:pPr>
        <w:jc w:val="both"/>
        <w:rPr>
          <w:rFonts w:asciiTheme="minorHAnsi" w:hAnsiTheme="minorHAnsi" w:cstheme="minorHAnsi"/>
          <w:b/>
          <w:bCs/>
        </w:rPr>
      </w:pPr>
      <w:r>
        <w:rPr>
          <w:rFonts w:asciiTheme="minorHAnsi" w:hAnsiTheme="minorHAnsi" w:cstheme="minorHAnsi"/>
          <w:b/>
          <w:bCs/>
        </w:rPr>
        <w:t>Submission for the 2020 Review of the Disability Standards for Education</w:t>
      </w:r>
      <w:r w:rsidR="00741782">
        <w:rPr>
          <w:rFonts w:asciiTheme="minorHAnsi" w:hAnsiTheme="minorHAnsi" w:cstheme="minorHAnsi"/>
          <w:b/>
          <w:bCs/>
        </w:rPr>
        <w:t xml:space="preserve"> 2005</w:t>
      </w:r>
      <w:r>
        <w:rPr>
          <w:rFonts w:asciiTheme="minorHAnsi" w:hAnsiTheme="minorHAnsi" w:cstheme="minorHAnsi"/>
          <w:b/>
          <w:bCs/>
        </w:rPr>
        <w:t>.</w:t>
      </w:r>
    </w:p>
    <w:p w14:paraId="4FE6A4CB" w14:textId="3DD1090E" w:rsidR="00A50D51" w:rsidRDefault="00551F97" w:rsidP="00A50D51">
      <w:pPr>
        <w:jc w:val="both"/>
        <w:rPr>
          <w:rFonts w:asciiTheme="minorHAnsi" w:hAnsiTheme="minorHAnsi" w:cstheme="minorHAnsi"/>
        </w:rPr>
      </w:pPr>
      <w:r>
        <w:rPr>
          <w:rFonts w:asciiTheme="minorHAnsi" w:hAnsiTheme="minorHAnsi" w:cstheme="minorHAnsi"/>
          <w:i/>
          <w:iCs/>
        </w:rPr>
        <w:t xml:space="preserve">Inclusive Schools Australia </w:t>
      </w:r>
      <w:r>
        <w:rPr>
          <w:rFonts w:asciiTheme="minorHAnsi" w:hAnsiTheme="minorHAnsi" w:cstheme="minorHAnsi"/>
        </w:rPr>
        <w:t>is an educational consultancy service for schools and school systems</w:t>
      </w:r>
      <w:r w:rsidR="00A50D51">
        <w:rPr>
          <w:rFonts w:asciiTheme="minorHAnsi" w:hAnsiTheme="minorHAnsi" w:cstheme="minorHAnsi"/>
        </w:rPr>
        <w:t xml:space="preserve"> across the country</w:t>
      </w:r>
      <w:r>
        <w:rPr>
          <w:rFonts w:asciiTheme="minorHAnsi" w:hAnsiTheme="minorHAnsi" w:cstheme="minorHAnsi"/>
        </w:rPr>
        <w:t xml:space="preserve">, and </w:t>
      </w:r>
      <w:r w:rsidR="00A50D51">
        <w:rPr>
          <w:rFonts w:asciiTheme="minorHAnsi" w:hAnsiTheme="minorHAnsi" w:cstheme="minorHAnsi"/>
        </w:rPr>
        <w:t>an</w:t>
      </w:r>
      <w:r>
        <w:rPr>
          <w:rFonts w:asciiTheme="minorHAnsi" w:hAnsiTheme="minorHAnsi" w:cstheme="minorHAnsi"/>
        </w:rPr>
        <w:t xml:space="preserve"> advoca</w:t>
      </w:r>
      <w:r w:rsidR="00A50D51">
        <w:rPr>
          <w:rFonts w:asciiTheme="minorHAnsi" w:hAnsiTheme="minorHAnsi" w:cstheme="minorHAnsi"/>
        </w:rPr>
        <w:t xml:space="preserve">te </w:t>
      </w:r>
      <w:r>
        <w:rPr>
          <w:rFonts w:asciiTheme="minorHAnsi" w:hAnsiTheme="minorHAnsi" w:cstheme="minorHAnsi"/>
        </w:rPr>
        <w:t xml:space="preserve">for young people with disability and their families. </w:t>
      </w:r>
      <w:r w:rsidRPr="00551F97">
        <w:rPr>
          <w:rFonts w:asciiTheme="minorHAnsi" w:hAnsiTheme="minorHAnsi" w:cstheme="minorHAnsi"/>
        </w:rPr>
        <w:t xml:space="preserve">Our mission is to support every child to access and achieve from the same curriculum and to uphold their rights to an inclusive education under UNESCO’s Article 24 and the Disability Standards for Education, 2005. </w:t>
      </w:r>
      <w:r w:rsidR="00A50D51">
        <w:rPr>
          <w:rFonts w:asciiTheme="minorHAnsi" w:hAnsiTheme="minorHAnsi" w:cstheme="minorHAnsi"/>
        </w:rPr>
        <w:t>We welcome this opportunity to contribute to the Review of the Standards.</w:t>
      </w:r>
    </w:p>
    <w:p w14:paraId="4289B77E" w14:textId="335CE199" w:rsidR="002F6C00" w:rsidRDefault="00A50D51" w:rsidP="00A50D51">
      <w:pPr>
        <w:jc w:val="both"/>
        <w:rPr>
          <w:rFonts w:asciiTheme="minorHAnsi" w:hAnsiTheme="minorHAnsi" w:cstheme="minorHAnsi"/>
        </w:rPr>
      </w:pPr>
      <w:r>
        <w:rPr>
          <w:rFonts w:asciiTheme="minorHAnsi" w:hAnsiTheme="minorHAnsi" w:cstheme="minorHAnsi"/>
        </w:rPr>
        <w:t xml:space="preserve">Our response </w:t>
      </w:r>
      <w:r w:rsidR="00D56FEE">
        <w:rPr>
          <w:rFonts w:asciiTheme="minorHAnsi" w:hAnsiTheme="minorHAnsi" w:cstheme="minorHAnsi"/>
        </w:rPr>
        <w:t xml:space="preserve">draws </w:t>
      </w:r>
      <w:r w:rsidR="001B2F63">
        <w:rPr>
          <w:rFonts w:asciiTheme="minorHAnsi" w:hAnsiTheme="minorHAnsi" w:cstheme="minorHAnsi"/>
        </w:rPr>
        <w:t xml:space="preserve">directly </w:t>
      </w:r>
      <w:r w:rsidR="00D56FEE">
        <w:rPr>
          <w:rFonts w:asciiTheme="minorHAnsi" w:hAnsiTheme="minorHAnsi" w:cstheme="minorHAnsi"/>
        </w:rPr>
        <w:t>from</w:t>
      </w:r>
      <w:r w:rsidR="001B2F63">
        <w:rPr>
          <w:rFonts w:asciiTheme="minorHAnsi" w:hAnsiTheme="minorHAnsi" w:cstheme="minorHAnsi"/>
        </w:rPr>
        <w:t xml:space="preserve"> our experiences of working with schools and school systems across different states and territories</w:t>
      </w:r>
      <w:r w:rsidR="002F6C00">
        <w:rPr>
          <w:rFonts w:asciiTheme="minorHAnsi" w:hAnsiTheme="minorHAnsi" w:cstheme="minorHAnsi"/>
        </w:rPr>
        <w:t xml:space="preserve"> and </w:t>
      </w:r>
      <w:r w:rsidR="00741782">
        <w:rPr>
          <w:rFonts w:asciiTheme="minorHAnsi" w:hAnsiTheme="minorHAnsi" w:cstheme="minorHAnsi"/>
        </w:rPr>
        <w:t>emphasises the importance of addressing the recurring</w:t>
      </w:r>
      <w:r w:rsidR="002F6C00">
        <w:rPr>
          <w:rFonts w:asciiTheme="minorHAnsi" w:hAnsiTheme="minorHAnsi" w:cstheme="minorHAnsi"/>
        </w:rPr>
        <w:t xml:space="preserve"> theme of ‘</w:t>
      </w:r>
      <w:r w:rsidR="002F6C00">
        <w:rPr>
          <w:rFonts w:asciiTheme="minorHAnsi" w:hAnsiTheme="minorHAnsi" w:cstheme="minorHAnsi"/>
          <w:i/>
          <w:iCs/>
        </w:rPr>
        <w:t>clarity, understanding and capability’</w:t>
      </w:r>
      <w:r w:rsidR="002F6C00">
        <w:rPr>
          <w:rFonts w:asciiTheme="minorHAnsi" w:hAnsiTheme="minorHAnsi" w:cstheme="minorHAnsi"/>
        </w:rPr>
        <w:t xml:space="preserve"> identified in previous reviews.</w:t>
      </w:r>
      <w:r w:rsidR="002F6C00">
        <w:rPr>
          <w:rStyle w:val="FootnoteReference"/>
          <w:rFonts w:asciiTheme="minorHAnsi" w:hAnsiTheme="minorHAnsi" w:cstheme="minorHAnsi"/>
        </w:rPr>
        <w:footnoteReference w:id="1"/>
      </w:r>
    </w:p>
    <w:p w14:paraId="78B3544F" w14:textId="52E28491" w:rsidR="003455FF" w:rsidRDefault="003D1640" w:rsidP="003455FF">
      <w:pPr>
        <w:pStyle w:val="GNText"/>
        <w:shd w:val="clear" w:color="auto" w:fill="auto"/>
        <w:ind w:right="95"/>
        <w:rPr>
          <w:rFonts w:asciiTheme="minorHAnsi" w:hAnsiTheme="minorHAnsi" w:cstheme="minorHAnsi"/>
          <w:b/>
          <w:lang w:val="en-AU"/>
        </w:rPr>
      </w:pPr>
      <w:r>
        <w:rPr>
          <w:rFonts w:asciiTheme="minorHAnsi" w:hAnsiTheme="minorHAnsi" w:cstheme="minorHAnsi"/>
          <w:b/>
          <w:lang w:val="en-AU"/>
        </w:rPr>
        <w:t>T</w:t>
      </w:r>
      <w:r w:rsidR="003455FF" w:rsidRPr="00551F97">
        <w:rPr>
          <w:rFonts w:asciiTheme="minorHAnsi" w:hAnsiTheme="minorHAnsi" w:cstheme="minorHAnsi"/>
          <w:b/>
          <w:lang w:val="en-AU"/>
        </w:rPr>
        <w:t xml:space="preserve">he Review asks whether the Standards are doing their job and, if not, how they could be improved. </w:t>
      </w:r>
    </w:p>
    <w:p w14:paraId="7224845D" w14:textId="78D50ABA" w:rsidR="003E0F79" w:rsidRPr="003E0F79" w:rsidRDefault="003E0F79" w:rsidP="00E10459">
      <w:pPr>
        <w:jc w:val="both"/>
        <w:rPr>
          <w:rStyle w:val="IntenseEmphasis"/>
        </w:rPr>
      </w:pPr>
      <w:r w:rsidRPr="003E0F79">
        <w:rPr>
          <w:rStyle w:val="IntenseEmphasis"/>
        </w:rPr>
        <w:t>From the perspective of an inclusion consultant:</w:t>
      </w:r>
    </w:p>
    <w:p w14:paraId="2F270610" w14:textId="2534A93B" w:rsidR="00A622C7" w:rsidRDefault="001A2325" w:rsidP="00E10459">
      <w:pPr>
        <w:jc w:val="both"/>
        <w:rPr>
          <w:rFonts w:asciiTheme="minorHAnsi" w:hAnsiTheme="minorHAnsi" w:cstheme="minorHAnsi"/>
        </w:rPr>
      </w:pPr>
      <w:r>
        <w:rPr>
          <w:rFonts w:asciiTheme="minorHAnsi" w:hAnsiTheme="minorHAnsi" w:cstheme="minorHAnsi"/>
        </w:rPr>
        <w:t>In our consultancy</w:t>
      </w:r>
      <w:r w:rsidR="00A622C7">
        <w:rPr>
          <w:rFonts w:asciiTheme="minorHAnsi" w:hAnsiTheme="minorHAnsi" w:cstheme="minorHAnsi"/>
        </w:rPr>
        <w:t xml:space="preserve"> and advocacy</w:t>
      </w:r>
      <w:r>
        <w:rPr>
          <w:rFonts w:asciiTheme="minorHAnsi" w:hAnsiTheme="minorHAnsi" w:cstheme="minorHAnsi"/>
        </w:rPr>
        <w:t xml:space="preserve"> roles the Standards play</w:t>
      </w:r>
      <w:r w:rsidR="00A622C7">
        <w:rPr>
          <w:rFonts w:asciiTheme="minorHAnsi" w:hAnsiTheme="minorHAnsi" w:cstheme="minorHAnsi"/>
        </w:rPr>
        <w:t xml:space="preserve"> </w:t>
      </w:r>
      <w:r>
        <w:rPr>
          <w:rFonts w:asciiTheme="minorHAnsi" w:hAnsiTheme="minorHAnsi" w:cstheme="minorHAnsi"/>
        </w:rPr>
        <w:t xml:space="preserve">a positive role in supporting the rights and obligations of young people with disability and in guiding more inclusive practices. </w:t>
      </w:r>
      <w:r w:rsidR="00A622C7">
        <w:rPr>
          <w:rFonts w:asciiTheme="minorHAnsi" w:hAnsiTheme="minorHAnsi" w:cstheme="minorHAnsi"/>
          <w:i/>
          <w:iCs/>
        </w:rPr>
        <w:t>Inclusive Schools Australia</w:t>
      </w:r>
      <w:r w:rsidR="00F137B7">
        <w:rPr>
          <w:rFonts w:asciiTheme="minorHAnsi" w:hAnsiTheme="minorHAnsi" w:cstheme="minorHAnsi"/>
        </w:rPr>
        <w:t xml:space="preserve"> receive requests for whole-school professional learning on the Standards to meet compliance needs</w:t>
      </w:r>
      <w:r w:rsidR="005D6A31">
        <w:rPr>
          <w:rFonts w:asciiTheme="minorHAnsi" w:hAnsiTheme="minorHAnsi" w:cstheme="minorHAnsi"/>
        </w:rPr>
        <w:t>;</w:t>
      </w:r>
      <w:r w:rsidR="00F137B7">
        <w:rPr>
          <w:rFonts w:asciiTheme="minorHAnsi" w:hAnsiTheme="minorHAnsi" w:cstheme="minorHAnsi"/>
        </w:rPr>
        <w:t xml:space="preserve"> or consultancy support to address the specific needs of individual student</w:t>
      </w:r>
      <w:r w:rsidR="00965631">
        <w:rPr>
          <w:rFonts w:asciiTheme="minorHAnsi" w:hAnsiTheme="minorHAnsi" w:cstheme="minorHAnsi"/>
        </w:rPr>
        <w:t>s</w:t>
      </w:r>
      <w:r w:rsidR="00F137B7">
        <w:rPr>
          <w:rFonts w:asciiTheme="minorHAnsi" w:hAnsiTheme="minorHAnsi" w:cstheme="minorHAnsi"/>
        </w:rPr>
        <w:t xml:space="preserve"> with disability.</w:t>
      </w:r>
      <w:r w:rsidR="00A622C7">
        <w:rPr>
          <w:rFonts w:asciiTheme="minorHAnsi" w:hAnsiTheme="minorHAnsi" w:cstheme="minorHAnsi"/>
        </w:rPr>
        <w:t xml:space="preserve"> </w:t>
      </w:r>
      <w:r w:rsidR="003D63FC">
        <w:rPr>
          <w:rFonts w:asciiTheme="minorHAnsi" w:hAnsiTheme="minorHAnsi" w:cstheme="minorHAnsi"/>
        </w:rPr>
        <w:t>The Standards support us to shift mindset as well as practice</w:t>
      </w:r>
      <w:r w:rsidR="003E0F79">
        <w:rPr>
          <w:rFonts w:asciiTheme="minorHAnsi" w:hAnsiTheme="minorHAnsi" w:cstheme="minorHAnsi"/>
        </w:rPr>
        <w:t xml:space="preserve"> </w:t>
      </w:r>
      <w:r w:rsidR="001E67AA">
        <w:rPr>
          <w:rFonts w:asciiTheme="minorHAnsi" w:hAnsiTheme="minorHAnsi" w:cstheme="minorHAnsi"/>
        </w:rPr>
        <w:t>by responding directly to need as well as more proactive strategies that involve whole school or district improvement plans</w:t>
      </w:r>
      <w:r w:rsidR="003E0F79">
        <w:rPr>
          <w:rFonts w:asciiTheme="minorHAnsi" w:hAnsiTheme="minorHAnsi" w:cstheme="minorHAnsi"/>
        </w:rPr>
        <w:t>.</w:t>
      </w:r>
    </w:p>
    <w:p w14:paraId="24C4DD22" w14:textId="4D80EA26" w:rsidR="003E0F79" w:rsidRPr="003E0F79" w:rsidRDefault="003E0F79" w:rsidP="00E10459">
      <w:pPr>
        <w:jc w:val="both"/>
        <w:rPr>
          <w:rStyle w:val="IntenseEmphasis"/>
        </w:rPr>
      </w:pPr>
      <w:r w:rsidRPr="003E0F79">
        <w:rPr>
          <w:rStyle w:val="IntenseEmphasis"/>
        </w:rPr>
        <w:t>From the perspective of a parent or carer:</w:t>
      </w:r>
    </w:p>
    <w:p w14:paraId="602A196A" w14:textId="75901467" w:rsidR="001A2325" w:rsidRDefault="00A622C7" w:rsidP="00E10459">
      <w:pPr>
        <w:jc w:val="both"/>
        <w:rPr>
          <w:rFonts w:asciiTheme="minorHAnsi" w:hAnsiTheme="minorHAnsi" w:cstheme="minorHAnsi"/>
        </w:rPr>
      </w:pPr>
      <w:r>
        <w:rPr>
          <w:rFonts w:asciiTheme="minorHAnsi" w:hAnsiTheme="minorHAnsi" w:cstheme="minorHAnsi"/>
        </w:rPr>
        <w:t xml:space="preserve">The experience for our families is less positive. </w:t>
      </w:r>
      <w:r w:rsidR="00E10459">
        <w:rPr>
          <w:rFonts w:asciiTheme="minorHAnsi" w:hAnsiTheme="minorHAnsi" w:cstheme="minorHAnsi"/>
        </w:rPr>
        <w:t>We have first-hand experience of working with p</w:t>
      </w:r>
      <w:r w:rsidR="00F137B7">
        <w:rPr>
          <w:rFonts w:asciiTheme="minorHAnsi" w:hAnsiTheme="minorHAnsi" w:cstheme="minorHAnsi"/>
        </w:rPr>
        <w:t xml:space="preserve">arents </w:t>
      </w:r>
      <w:r w:rsidR="00E10459">
        <w:rPr>
          <w:rFonts w:asciiTheme="minorHAnsi" w:hAnsiTheme="minorHAnsi" w:cstheme="minorHAnsi"/>
        </w:rPr>
        <w:t xml:space="preserve">who know what they want for their child (e.g. access to an inclusive classroom; access to the regular curriculum) but who are persuaded by </w:t>
      </w:r>
      <w:r w:rsidR="003E0F79">
        <w:rPr>
          <w:rFonts w:asciiTheme="minorHAnsi" w:hAnsiTheme="minorHAnsi" w:cstheme="minorHAnsi"/>
        </w:rPr>
        <w:t>schools</w:t>
      </w:r>
      <w:r w:rsidR="003D63FC">
        <w:rPr>
          <w:rFonts w:asciiTheme="minorHAnsi" w:hAnsiTheme="minorHAnsi" w:cstheme="minorHAnsi"/>
        </w:rPr>
        <w:t xml:space="preserve"> or </w:t>
      </w:r>
      <w:r w:rsidR="00965631">
        <w:rPr>
          <w:rFonts w:asciiTheme="minorHAnsi" w:hAnsiTheme="minorHAnsi" w:cstheme="minorHAnsi"/>
        </w:rPr>
        <w:t>schools systems</w:t>
      </w:r>
      <w:r w:rsidR="003D63FC">
        <w:rPr>
          <w:rFonts w:asciiTheme="minorHAnsi" w:hAnsiTheme="minorHAnsi" w:cstheme="minorHAnsi"/>
        </w:rPr>
        <w:t xml:space="preserve"> that</w:t>
      </w:r>
      <w:r w:rsidR="00E10459">
        <w:rPr>
          <w:rFonts w:asciiTheme="minorHAnsi" w:hAnsiTheme="minorHAnsi" w:cstheme="minorHAnsi"/>
        </w:rPr>
        <w:t xml:space="preserve"> </w:t>
      </w:r>
      <w:r w:rsidR="003D63FC">
        <w:rPr>
          <w:rFonts w:asciiTheme="minorHAnsi" w:hAnsiTheme="minorHAnsi" w:cstheme="minorHAnsi"/>
        </w:rPr>
        <w:t xml:space="preserve">an </w:t>
      </w:r>
      <w:r w:rsidR="00E10459">
        <w:rPr>
          <w:rFonts w:asciiTheme="minorHAnsi" w:hAnsiTheme="minorHAnsi" w:cstheme="minorHAnsi"/>
        </w:rPr>
        <w:t>alternative is a better option (e.g. support class; Life Skills curriculum in NSW)</w:t>
      </w:r>
      <w:r w:rsidR="00CA3183">
        <w:rPr>
          <w:rFonts w:asciiTheme="minorHAnsi" w:hAnsiTheme="minorHAnsi" w:cstheme="minorHAnsi"/>
        </w:rPr>
        <w:t xml:space="preserve">. </w:t>
      </w:r>
      <w:r w:rsidR="003D63FC">
        <w:rPr>
          <w:rFonts w:asciiTheme="minorHAnsi" w:hAnsiTheme="minorHAnsi" w:cstheme="minorHAnsi"/>
        </w:rPr>
        <w:t xml:space="preserve">Even when parent knowledge of the Standards is strong, they can be literally </w:t>
      </w:r>
      <w:r w:rsidR="00965631">
        <w:rPr>
          <w:rFonts w:asciiTheme="minorHAnsi" w:hAnsiTheme="minorHAnsi" w:cstheme="minorHAnsi"/>
        </w:rPr>
        <w:t xml:space="preserve">be </w:t>
      </w:r>
      <w:r w:rsidR="003D63FC">
        <w:rPr>
          <w:rFonts w:asciiTheme="minorHAnsi" w:hAnsiTheme="minorHAnsi" w:cstheme="minorHAnsi"/>
        </w:rPr>
        <w:t>outnumbered by the school</w:t>
      </w:r>
      <w:r w:rsidR="003E0F79">
        <w:rPr>
          <w:rFonts w:asciiTheme="minorHAnsi" w:hAnsiTheme="minorHAnsi" w:cstheme="minorHAnsi"/>
        </w:rPr>
        <w:t xml:space="preserve"> system</w:t>
      </w:r>
      <w:r w:rsidR="003D63FC">
        <w:rPr>
          <w:rFonts w:asciiTheme="minorHAnsi" w:hAnsiTheme="minorHAnsi" w:cstheme="minorHAnsi"/>
        </w:rPr>
        <w:t xml:space="preserve">. </w:t>
      </w:r>
      <w:r>
        <w:rPr>
          <w:rFonts w:asciiTheme="minorHAnsi" w:hAnsiTheme="minorHAnsi" w:cstheme="minorHAnsi"/>
        </w:rPr>
        <w:t>This lack of understanding in relation to inclusive education and the rights of the child ‘</w:t>
      </w:r>
      <w:r>
        <w:rPr>
          <w:rFonts w:asciiTheme="minorHAnsi" w:hAnsiTheme="minorHAnsi" w:cstheme="minorHAnsi"/>
          <w:i/>
          <w:iCs/>
        </w:rPr>
        <w:t xml:space="preserve">on the same basis’ </w:t>
      </w:r>
      <w:r>
        <w:rPr>
          <w:rFonts w:asciiTheme="minorHAnsi" w:hAnsiTheme="minorHAnsi" w:cstheme="minorHAnsi"/>
        </w:rPr>
        <w:t xml:space="preserve">has </w:t>
      </w:r>
      <w:r w:rsidR="001E67AA">
        <w:rPr>
          <w:rFonts w:asciiTheme="minorHAnsi" w:hAnsiTheme="minorHAnsi" w:cstheme="minorHAnsi"/>
        </w:rPr>
        <w:t>also been highlighted</w:t>
      </w:r>
      <w:r>
        <w:rPr>
          <w:rFonts w:asciiTheme="minorHAnsi" w:hAnsiTheme="minorHAnsi" w:cstheme="minorHAnsi"/>
        </w:rPr>
        <w:t xml:space="preserve"> as part of the Royal Commission into Violence, Abuse, Neglect and Exploitation of People with Disability.</w:t>
      </w:r>
      <w:r w:rsidR="00E10459">
        <w:rPr>
          <w:rStyle w:val="FootnoteReference"/>
          <w:rFonts w:asciiTheme="minorHAnsi" w:hAnsiTheme="minorHAnsi" w:cstheme="minorHAnsi"/>
        </w:rPr>
        <w:footnoteReference w:id="2"/>
      </w:r>
    </w:p>
    <w:p w14:paraId="516922FD" w14:textId="77777777" w:rsidR="003E0F79" w:rsidRDefault="003E0F79" w:rsidP="00E10459">
      <w:pPr>
        <w:jc w:val="both"/>
        <w:rPr>
          <w:rFonts w:asciiTheme="minorHAnsi" w:hAnsiTheme="minorHAnsi" w:cstheme="minorHAnsi"/>
        </w:rPr>
      </w:pPr>
    </w:p>
    <w:p w14:paraId="6714A524" w14:textId="5361F1EB" w:rsidR="003E0F79" w:rsidRPr="003E0F79" w:rsidRDefault="003E0F79" w:rsidP="00E10459">
      <w:pPr>
        <w:jc w:val="both"/>
        <w:rPr>
          <w:rStyle w:val="IntenseEmphasis"/>
        </w:rPr>
      </w:pPr>
      <w:r w:rsidRPr="003E0F79">
        <w:rPr>
          <w:rStyle w:val="IntenseEmphasis"/>
        </w:rPr>
        <w:t>From the perspective of schools:</w:t>
      </w:r>
    </w:p>
    <w:p w14:paraId="06E1C542" w14:textId="336BA250" w:rsidR="003E0F79" w:rsidRPr="00B24C76" w:rsidRDefault="003E0F79" w:rsidP="00907347">
      <w:pPr>
        <w:jc w:val="both"/>
        <w:rPr>
          <w:rFonts w:asciiTheme="minorHAnsi" w:hAnsiTheme="minorHAnsi" w:cstheme="minorHAnsi"/>
        </w:rPr>
      </w:pPr>
      <w:r>
        <w:rPr>
          <w:rFonts w:asciiTheme="minorHAnsi" w:hAnsiTheme="minorHAnsi" w:cstheme="minorHAnsi"/>
        </w:rPr>
        <w:t xml:space="preserve">When working with individual teachers and schools to support </w:t>
      </w:r>
      <w:r w:rsidR="00B24C76">
        <w:rPr>
          <w:rFonts w:asciiTheme="minorHAnsi" w:hAnsiTheme="minorHAnsi" w:cstheme="minorHAnsi"/>
        </w:rPr>
        <w:t>inclusive access to curriculum and assessment</w:t>
      </w:r>
      <w:r w:rsidR="00831E6F">
        <w:rPr>
          <w:rFonts w:asciiTheme="minorHAnsi" w:hAnsiTheme="minorHAnsi" w:cstheme="minorHAnsi"/>
        </w:rPr>
        <w:t>,</w:t>
      </w:r>
      <w:r>
        <w:rPr>
          <w:rFonts w:asciiTheme="minorHAnsi" w:hAnsiTheme="minorHAnsi" w:cstheme="minorHAnsi"/>
        </w:rPr>
        <w:t xml:space="preserve"> </w:t>
      </w:r>
      <w:r w:rsidR="00B24C76">
        <w:rPr>
          <w:rFonts w:asciiTheme="minorHAnsi" w:hAnsiTheme="minorHAnsi" w:cstheme="minorHAnsi"/>
        </w:rPr>
        <w:t xml:space="preserve">a frequent barrier is </w:t>
      </w:r>
      <w:r w:rsidR="00BB740E">
        <w:rPr>
          <w:rFonts w:asciiTheme="minorHAnsi" w:hAnsiTheme="minorHAnsi" w:cstheme="minorHAnsi"/>
        </w:rPr>
        <w:t>the</w:t>
      </w:r>
      <w:r w:rsidR="00B24C76">
        <w:rPr>
          <w:rFonts w:asciiTheme="minorHAnsi" w:hAnsiTheme="minorHAnsi" w:cstheme="minorHAnsi"/>
        </w:rPr>
        <w:t xml:space="preserve"> lack of consistency in </w:t>
      </w:r>
      <w:r w:rsidR="00907347">
        <w:rPr>
          <w:rFonts w:asciiTheme="minorHAnsi" w:hAnsiTheme="minorHAnsi" w:cstheme="minorHAnsi"/>
        </w:rPr>
        <w:t>how ‘</w:t>
      </w:r>
      <w:r w:rsidR="00B24C76">
        <w:rPr>
          <w:rFonts w:asciiTheme="minorHAnsi" w:hAnsiTheme="minorHAnsi" w:cstheme="minorHAnsi"/>
          <w:i/>
          <w:iCs/>
        </w:rPr>
        <w:t xml:space="preserve">on the same basis’ </w:t>
      </w:r>
      <w:r w:rsidR="00B24C76">
        <w:rPr>
          <w:rFonts w:asciiTheme="minorHAnsi" w:hAnsiTheme="minorHAnsi" w:cstheme="minorHAnsi"/>
        </w:rPr>
        <w:t>is interpreted</w:t>
      </w:r>
      <w:r w:rsidR="00907347">
        <w:rPr>
          <w:rFonts w:asciiTheme="minorHAnsi" w:hAnsiTheme="minorHAnsi" w:cstheme="minorHAnsi"/>
        </w:rPr>
        <w:t xml:space="preserve">. </w:t>
      </w:r>
      <w:r w:rsidR="00370A03">
        <w:rPr>
          <w:rFonts w:asciiTheme="minorHAnsi" w:hAnsiTheme="minorHAnsi" w:cstheme="minorHAnsi"/>
        </w:rPr>
        <w:t>The Guidance Notes</w:t>
      </w:r>
      <w:r w:rsidR="00370A03">
        <w:rPr>
          <w:rStyle w:val="FootnoteReference"/>
          <w:rFonts w:asciiTheme="minorHAnsi" w:hAnsiTheme="minorHAnsi" w:cstheme="minorHAnsi"/>
          <w:i/>
          <w:iCs/>
        </w:rPr>
        <w:footnoteReference w:id="3"/>
      </w:r>
      <w:r w:rsidR="00370A03">
        <w:rPr>
          <w:rFonts w:asciiTheme="minorHAnsi" w:hAnsiTheme="minorHAnsi" w:cstheme="minorHAnsi"/>
        </w:rPr>
        <w:t xml:space="preserve"> offer a definition for ‘</w:t>
      </w:r>
      <w:r w:rsidR="00370A03">
        <w:rPr>
          <w:rFonts w:asciiTheme="minorHAnsi" w:hAnsiTheme="minorHAnsi" w:cstheme="minorHAnsi"/>
          <w:i/>
          <w:iCs/>
        </w:rPr>
        <w:t>on the same basis’</w:t>
      </w:r>
      <w:r w:rsidR="00370A03">
        <w:rPr>
          <w:rFonts w:asciiTheme="minorHAnsi" w:hAnsiTheme="minorHAnsi" w:cstheme="minorHAnsi"/>
        </w:rPr>
        <w:t>, yet this is wordy and unclear and rarely referred to by the regular class teacher or parent.</w:t>
      </w:r>
    </w:p>
    <w:p w14:paraId="59439227" w14:textId="5AE27E00" w:rsidR="005B2CD5" w:rsidRDefault="00907347" w:rsidP="00907347">
      <w:pPr>
        <w:jc w:val="both"/>
        <w:rPr>
          <w:rFonts w:asciiTheme="minorHAnsi" w:hAnsiTheme="minorHAnsi" w:cstheme="minorHAnsi"/>
        </w:rPr>
      </w:pPr>
      <w:r>
        <w:rPr>
          <w:rFonts w:asciiTheme="minorHAnsi" w:hAnsiTheme="minorHAnsi" w:cstheme="minorHAnsi"/>
        </w:rPr>
        <w:t xml:space="preserve">What we consistently find is that schools refer to the advice of their </w:t>
      </w:r>
      <w:r w:rsidR="001904F8">
        <w:rPr>
          <w:rFonts w:asciiTheme="minorHAnsi" w:hAnsiTheme="minorHAnsi" w:cstheme="minorHAnsi"/>
        </w:rPr>
        <w:t>curriculum</w:t>
      </w:r>
      <w:r>
        <w:rPr>
          <w:rFonts w:asciiTheme="minorHAnsi" w:hAnsiTheme="minorHAnsi" w:cstheme="minorHAnsi"/>
        </w:rPr>
        <w:t xml:space="preserve"> authority rather than to the Standards directly.</w:t>
      </w:r>
      <w:r w:rsidR="001904F8">
        <w:rPr>
          <w:rFonts w:asciiTheme="minorHAnsi" w:hAnsiTheme="minorHAnsi" w:cstheme="minorHAnsi"/>
        </w:rPr>
        <w:t xml:space="preserve"> Working at a national level we are very aware that states and territories have interpreted ‘</w:t>
      </w:r>
      <w:r w:rsidR="001904F8" w:rsidRPr="008224D7">
        <w:rPr>
          <w:rFonts w:asciiTheme="minorHAnsi" w:hAnsiTheme="minorHAnsi" w:cstheme="minorHAnsi"/>
          <w:i/>
          <w:iCs/>
        </w:rPr>
        <w:t>on the same basis</w:t>
      </w:r>
      <w:r w:rsidR="001904F8">
        <w:rPr>
          <w:rFonts w:asciiTheme="minorHAnsi" w:hAnsiTheme="minorHAnsi" w:cstheme="minorHAnsi"/>
        </w:rPr>
        <w:t xml:space="preserve">’ differently when it comes to </w:t>
      </w:r>
      <w:r w:rsidR="001904F8" w:rsidRPr="00907347">
        <w:rPr>
          <w:rFonts w:asciiTheme="minorHAnsi" w:hAnsiTheme="minorHAnsi" w:cstheme="minorHAnsi"/>
        </w:rPr>
        <w:t>curriculum development, accreditation and delivery</w:t>
      </w:r>
      <w:r w:rsidR="001904F8">
        <w:rPr>
          <w:rFonts w:asciiTheme="minorHAnsi" w:hAnsiTheme="minorHAnsi" w:cstheme="minorHAnsi"/>
        </w:rPr>
        <w:t xml:space="preserve">. </w:t>
      </w:r>
      <w:r w:rsidR="005B2CD5">
        <w:rPr>
          <w:rFonts w:asciiTheme="minorHAnsi" w:hAnsiTheme="minorHAnsi" w:cstheme="minorHAnsi"/>
        </w:rPr>
        <w:t>At a national level the Australian Curriculum, Assessment and Reporting Authority (ACARA) provides a definition for ‘</w:t>
      </w:r>
      <w:r w:rsidR="005B2CD5" w:rsidRPr="008224D7">
        <w:rPr>
          <w:rFonts w:asciiTheme="minorHAnsi" w:hAnsiTheme="minorHAnsi" w:cstheme="minorHAnsi"/>
          <w:i/>
          <w:iCs/>
        </w:rPr>
        <w:t>on the same basis</w:t>
      </w:r>
      <w:r w:rsidR="005B2CD5">
        <w:rPr>
          <w:rFonts w:asciiTheme="minorHAnsi" w:hAnsiTheme="minorHAnsi" w:cstheme="minorHAnsi"/>
        </w:rPr>
        <w:t>’ that emphasis</w:t>
      </w:r>
      <w:r w:rsidR="008224D7">
        <w:rPr>
          <w:rFonts w:asciiTheme="minorHAnsi" w:hAnsiTheme="minorHAnsi" w:cstheme="minorHAnsi"/>
        </w:rPr>
        <w:t>es</w:t>
      </w:r>
      <w:r w:rsidR="005B2CD5">
        <w:rPr>
          <w:rFonts w:asciiTheme="minorHAnsi" w:hAnsiTheme="minorHAnsi" w:cstheme="minorHAnsi"/>
        </w:rPr>
        <w:t xml:space="preserve"> the right of the child to access content that aligns with their chronological age:</w:t>
      </w:r>
    </w:p>
    <w:p w14:paraId="2AAF01F3" w14:textId="1620D86F" w:rsidR="005B2CD5" w:rsidRPr="005B2CD5" w:rsidRDefault="005B2CD5" w:rsidP="005B2CD5">
      <w:pPr>
        <w:spacing w:after="0" w:line="240" w:lineRule="auto"/>
        <w:ind w:left="720"/>
        <w:rPr>
          <w:rFonts w:asciiTheme="minorHAnsi" w:hAnsiTheme="minorHAnsi" w:cstheme="minorHAnsi"/>
          <w:i/>
          <w:iCs/>
        </w:rPr>
      </w:pPr>
      <w:r w:rsidRPr="005B2CD5">
        <w:rPr>
          <w:rFonts w:asciiTheme="minorHAnsi" w:hAnsiTheme="minorHAnsi" w:cstheme="minorHAnsi"/>
          <w:i/>
          <w:iCs/>
        </w:rPr>
        <w:t>'ACARA responds to ‘on the same basis’ through a curriculum that provide</w:t>
      </w:r>
      <w:r>
        <w:rPr>
          <w:rFonts w:asciiTheme="minorHAnsi" w:hAnsiTheme="minorHAnsi" w:cstheme="minorHAnsi"/>
          <w:i/>
          <w:iCs/>
        </w:rPr>
        <w:t>s…</w:t>
      </w:r>
      <w:r w:rsidRPr="005B2CD5">
        <w:rPr>
          <w:rFonts w:asciiTheme="minorHAnsi" w:hAnsiTheme="minorHAnsi" w:cstheme="minorHAnsi"/>
          <w:i/>
          <w:iCs/>
        </w:rPr>
        <w:t>age and/or year level content to identify key concepts that align with students’ interests and abilities.</w:t>
      </w:r>
      <w:r>
        <w:rPr>
          <w:rFonts w:asciiTheme="minorHAnsi" w:hAnsiTheme="minorHAnsi" w:cstheme="minorHAnsi"/>
          <w:i/>
          <w:iCs/>
        </w:rPr>
        <w:t>’</w:t>
      </w:r>
      <w:r w:rsidRPr="005B2CD5">
        <w:rPr>
          <w:rStyle w:val="FootnoteReference"/>
          <w:rFonts w:asciiTheme="minorHAnsi" w:hAnsiTheme="minorHAnsi" w:cstheme="minorHAnsi"/>
        </w:rPr>
        <w:t xml:space="preserve"> </w:t>
      </w:r>
      <w:r>
        <w:rPr>
          <w:rStyle w:val="FootnoteReference"/>
          <w:rFonts w:asciiTheme="minorHAnsi" w:hAnsiTheme="minorHAnsi" w:cstheme="minorHAnsi"/>
        </w:rPr>
        <w:footnoteReference w:id="4"/>
      </w:r>
    </w:p>
    <w:p w14:paraId="24D638A6" w14:textId="77777777" w:rsidR="005B2CD5" w:rsidRDefault="005B2CD5" w:rsidP="00370A03">
      <w:pPr>
        <w:spacing w:after="0"/>
        <w:jc w:val="both"/>
        <w:rPr>
          <w:rFonts w:asciiTheme="minorHAnsi" w:hAnsiTheme="minorHAnsi" w:cstheme="minorHAnsi"/>
        </w:rPr>
      </w:pPr>
    </w:p>
    <w:p w14:paraId="62312B25" w14:textId="3E08B678" w:rsidR="005B2CD5" w:rsidRDefault="005B2CD5" w:rsidP="00907347">
      <w:pPr>
        <w:jc w:val="both"/>
        <w:rPr>
          <w:rFonts w:asciiTheme="minorHAnsi" w:hAnsiTheme="minorHAnsi" w:cstheme="minorHAnsi"/>
        </w:rPr>
      </w:pPr>
      <w:proofErr w:type="gramStart"/>
      <w:r>
        <w:rPr>
          <w:rFonts w:asciiTheme="minorHAnsi" w:hAnsiTheme="minorHAnsi" w:cstheme="minorHAnsi"/>
        </w:rPr>
        <w:t>However</w:t>
      </w:r>
      <w:proofErr w:type="gramEnd"/>
      <w:r>
        <w:rPr>
          <w:rFonts w:asciiTheme="minorHAnsi" w:hAnsiTheme="minorHAnsi" w:cstheme="minorHAnsi"/>
        </w:rPr>
        <w:t xml:space="preserve"> this has been interpreted differently across the country. In </w:t>
      </w:r>
      <w:r w:rsidR="001904F8">
        <w:rPr>
          <w:rFonts w:asciiTheme="minorHAnsi" w:hAnsiTheme="minorHAnsi" w:cstheme="minorHAnsi"/>
        </w:rPr>
        <w:t xml:space="preserve">some </w:t>
      </w:r>
      <w:r>
        <w:rPr>
          <w:rFonts w:asciiTheme="minorHAnsi" w:hAnsiTheme="minorHAnsi" w:cstheme="minorHAnsi"/>
        </w:rPr>
        <w:t>states the advice</w:t>
      </w:r>
      <w:r w:rsidR="000A740E">
        <w:rPr>
          <w:rFonts w:asciiTheme="minorHAnsi" w:hAnsiTheme="minorHAnsi" w:cstheme="minorHAnsi"/>
        </w:rPr>
        <w:t xml:space="preserve"> regarding students with disability</w:t>
      </w:r>
      <w:r>
        <w:rPr>
          <w:rFonts w:asciiTheme="minorHAnsi" w:hAnsiTheme="minorHAnsi" w:cstheme="minorHAnsi"/>
        </w:rPr>
        <w:t xml:space="preserve"> is to program and report on content and achievement standards from a lower year level, such as in Queensland:</w:t>
      </w:r>
    </w:p>
    <w:p w14:paraId="51D52607" w14:textId="68CBE1D6" w:rsidR="005B2CD5" w:rsidRPr="000A740E" w:rsidRDefault="000A740E" w:rsidP="000A740E">
      <w:pPr>
        <w:ind w:left="720"/>
        <w:jc w:val="both"/>
        <w:rPr>
          <w:rFonts w:asciiTheme="minorHAnsi" w:hAnsiTheme="minorHAnsi" w:cstheme="minorHAnsi"/>
          <w:i/>
          <w:iCs/>
        </w:rPr>
      </w:pPr>
      <w:r w:rsidRPr="000A740E">
        <w:rPr>
          <w:i/>
          <w:iCs/>
        </w:rPr>
        <w:t>A different year level (DYL) of the Australian Curriculum is provided for most students requiring an ICP for one or more learning areas and/or subjects.</w:t>
      </w:r>
      <w:r>
        <w:rPr>
          <w:rStyle w:val="FootnoteReference"/>
          <w:i/>
          <w:iCs/>
        </w:rPr>
        <w:footnoteReference w:id="5"/>
      </w:r>
    </w:p>
    <w:p w14:paraId="76983DE0" w14:textId="4986DDA8" w:rsidR="001904F8" w:rsidRDefault="000A740E" w:rsidP="00907347">
      <w:pPr>
        <w:jc w:val="both"/>
        <w:rPr>
          <w:rFonts w:asciiTheme="minorHAnsi" w:hAnsiTheme="minorHAnsi" w:cstheme="minorHAnsi"/>
        </w:rPr>
      </w:pPr>
      <w:r>
        <w:rPr>
          <w:rFonts w:asciiTheme="minorHAnsi" w:hAnsiTheme="minorHAnsi" w:cstheme="minorHAnsi"/>
        </w:rPr>
        <w:t xml:space="preserve">In other states </w:t>
      </w:r>
      <w:r w:rsidR="001904F8">
        <w:rPr>
          <w:rFonts w:asciiTheme="minorHAnsi" w:hAnsiTheme="minorHAnsi" w:cstheme="minorHAnsi"/>
        </w:rPr>
        <w:t>alternative curriculum</w:t>
      </w:r>
      <w:r>
        <w:rPr>
          <w:rFonts w:asciiTheme="minorHAnsi" w:hAnsiTheme="minorHAnsi" w:cstheme="minorHAnsi"/>
        </w:rPr>
        <w:t xml:space="preserve"> has been developed</w:t>
      </w:r>
      <w:r w:rsidR="001904F8">
        <w:rPr>
          <w:rFonts w:asciiTheme="minorHAnsi" w:hAnsiTheme="minorHAnsi" w:cstheme="minorHAnsi"/>
        </w:rPr>
        <w:t xml:space="preserve"> for students with disability</w:t>
      </w:r>
      <w:r w:rsidR="00A65B69">
        <w:rPr>
          <w:rFonts w:asciiTheme="minorHAnsi" w:hAnsiTheme="minorHAnsi" w:cstheme="minorHAnsi"/>
        </w:rPr>
        <w:t>, such as in New South Wales</w:t>
      </w:r>
      <w:r>
        <w:rPr>
          <w:rFonts w:asciiTheme="minorHAnsi" w:hAnsiTheme="minorHAnsi" w:cstheme="minorHAnsi"/>
        </w:rPr>
        <w:t xml:space="preserve"> (Life Skills</w:t>
      </w:r>
      <w:r w:rsidR="00370A03">
        <w:rPr>
          <w:rFonts w:asciiTheme="minorHAnsi" w:hAnsiTheme="minorHAnsi" w:cstheme="minorHAnsi"/>
        </w:rPr>
        <w:t>)</w:t>
      </w:r>
      <w:r w:rsidR="00A65B69">
        <w:rPr>
          <w:rFonts w:asciiTheme="minorHAnsi" w:hAnsiTheme="minorHAnsi" w:cstheme="minorHAnsi"/>
        </w:rPr>
        <w:t xml:space="preserve"> Victoria</w:t>
      </w:r>
      <w:r>
        <w:rPr>
          <w:rFonts w:asciiTheme="minorHAnsi" w:hAnsiTheme="minorHAnsi" w:cstheme="minorHAnsi"/>
        </w:rPr>
        <w:t xml:space="preserve"> </w:t>
      </w:r>
      <w:r w:rsidR="00A65B69">
        <w:rPr>
          <w:rFonts w:asciiTheme="minorHAnsi" w:hAnsiTheme="minorHAnsi" w:cstheme="minorHAnsi"/>
        </w:rPr>
        <w:t>and Western Australia</w:t>
      </w:r>
      <w:r w:rsidR="00370A03">
        <w:rPr>
          <w:rFonts w:asciiTheme="minorHAnsi" w:hAnsiTheme="minorHAnsi" w:cstheme="minorHAnsi"/>
        </w:rPr>
        <w:t xml:space="preserve"> (Towards Foundation Level)</w:t>
      </w:r>
      <w:r w:rsidR="001904F8">
        <w:rPr>
          <w:rStyle w:val="FootnoteReference"/>
          <w:rFonts w:asciiTheme="minorHAnsi" w:hAnsiTheme="minorHAnsi" w:cstheme="minorHAnsi"/>
        </w:rPr>
        <w:footnoteReference w:id="6"/>
      </w:r>
      <w:r w:rsidR="001904F8">
        <w:rPr>
          <w:rFonts w:asciiTheme="minorHAnsi" w:hAnsiTheme="minorHAnsi" w:cstheme="minorHAnsi"/>
        </w:rPr>
        <w:t xml:space="preserve">. </w:t>
      </w:r>
    </w:p>
    <w:p w14:paraId="4F781F73" w14:textId="1E434129" w:rsidR="00411200" w:rsidRDefault="00370A03" w:rsidP="00411200">
      <w:pPr>
        <w:jc w:val="both"/>
        <w:rPr>
          <w:rFonts w:asciiTheme="minorHAnsi" w:hAnsiTheme="minorHAnsi" w:cstheme="minorHAnsi"/>
        </w:rPr>
      </w:pPr>
      <w:r>
        <w:rPr>
          <w:rFonts w:asciiTheme="minorHAnsi" w:hAnsiTheme="minorHAnsi" w:cstheme="minorHAnsi"/>
        </w:rPr>
        <w:t xml:space="preserve">This highlights </w:t>
      </w:r>
      <w:r w:rsidR="008224D7">
        <w:rPr>
          <w:rFonts w:asciiTheme="minorHAnsi" w:hAnsiTheme="minorHAnsi" w:cstheme="minorHAnsi"/>
        </w:rPr>
        <w:t xml:space="preserve">the challenge </w:t>
      </w:r>
      <w:r w:rsidR="00411200">
        <w:rPr>
          <w:rFonts w:asciiTheme="minorHAnsi" w:hAnsiTheme="minorHAnsi" w:cstheme="minorHAnsi"/>
        </w:rPr>
        <w:t>for schools and teacher</w:t>
      </w:r>
      <w:r w:rsidR="00965631">
        <w:rPr>
          <w:rFonts w:asciiTheme="minorHAnsi" w:hAnsiTheme="minorHAnsi" w:cstheme="minorHAnsi"/>
        </w:rPr>
        <w:t>s</w:t>
      </w:r>
      <w:r w:rsidR="00411200">
        <w:rPr>
          <w:rFonts w:asciiTheme="minorHAnsi" w:hAnsiTheme="minorHAnsi" w:cstheme="minorHAnsi"/>
        </w:rPr>
        <w:t xml:space="preserve"> to </w:t>
      </w:r>
      <w:r w:rsidR="008224D7">
        <w:rPr>
          <w:rFonts w:asciiTheme="minorHAnsi" w:hAnsiTheme="minorHAnsi" w:cstheme="minorHAnsi"/>
        </w:rPr>
        <w:t xml:space="preserve">implement the Standards </w:t>
      </w:r>
      <w:r w:rsidR="00965631">
        <w:rPr>
          <w:rFonts w:asciiTheme="minorHAnsi" w:hAnsiTheme="minorHAnsi" w:cstheme="minorHAnsi"/>
        </w:rPr>
        <w:t xml:space="preserve">and support the rights of the child, </w:t>
      </w:r>
      <w:r w:rsidR="008224D7">
        <w:rPr>
          <w:rFonts w:asciiTheme="minorHAnsi" w:hAnsiTheme="minorHAnsi" w:cstheme="minorHAnsi"/>
        </w:rPr>
        <w:t xml:space="preserve">when </w:t>
      </w:r>
      <w:r w:rsidR="00411200">
        <w:rPr>
          <w:rFonts w:asciiTheme="minorHAnsi" w:hAnsiTheme="minorHAnsi" w:cstheme="minorHAnsi"/>
        </w:rPr>
        <w:t>‘</w:t>
      </w:r>
      <w:r w:rsidR="00411200">
        <w:rPr>
          <w:rFonts w:asciiTheme="minorHAnsi" w:hAnsiTheme="minorHAnsi" w:cstheme="minorHAnsi"/>
          <w:i/>
          <w:iCs/>
        </w:rPr>
        <w:t xml:space="preserve">on the same basis’ </w:t>
      </w:r>
      <w:r w:rsidR="00411200">
        <w:rPr>
          <w:rFonts w:asciiTheme="minorHAnsi" w:hAnsiTheme="minorHAnsi" w:cstheme="minorHAnsi"/>
        </w:rPr>
        <w:t>is interpreted so differently from one state to another by their curriculum authorities.</w:t>
      </w:r>
    </w:p>
    <w:p w14:paraId="259378CD" w14:textId="77777777" w:rsidR="00D42DCD" w:rsidRDefault="00D42DCD">
      <w:pPr>
        <w:rPr>
          <w:rFonts w:asciiTheme="minorHAnsi" w:hAnsiTheme="minorHAnsi" w:cstheme="minorHAnsi"/>
          <w:b/>
          <w:bCs/>
        </w:rPr>
      </w:pPr>
      <w:r>
        <w:rPr>
          <w:rFonts w:asciiTheme="minorHAnsi" w:hAnsiTheme="minorHAnsi" w:cstheme="minorHAnsi"/>
          <w:b/>
          <w:bCs/>
        </w:rPr>
        <w:br w:type="page"/>
      </w:r>
    </w:p>
    <w:p w14:paraId="116AD7BE" w14:textId="466ED94F" w:rsidR="00B24C76" w:rsidRDefault="00B24C76" w:rsidP="00411200">
      <w:pPr>
        <w:jc w:val="both"/>
        <w:rPr>
          <w:rFonts w:asciiTheme="minorHAnsi" w:hAnsiTheme="minorHAnsi" w:cstheme="minorHAnsi"/>
          <w:b/>
          <w:bCs/>
        </w:rPr>
      </w:pPr>
      <w:r>
        <w:rPr>
          <w:rFonts w:asciiTheme="minorHAnsi" w:hAnsiTheme="minorHAnsi" w:cstheme="minorHAnsi"/>
          <w:b/>
          <w:bCs/>
        </w:rPr>
        <w:lastRenderedPageBreak/>
        <w:t>Recommendations for improvement</w:t>
      </w:r>
    </w:p>
    <w:p w14:paraId="0234021C" w14:textId="48D966F9" w:rsidR="001A2325" w:rsidRDefault="001A2325" w:rsidP="00B24C76">
      <w:pPr>
        <w:pStyle w:val="ListParagraph"/>
        <w:numPr>
          <w:ilvl w:val="0"/>
          <w:numId w:val="13"/>
        </w:numPr>
        <w:spacing w:after="100" w:afterAutospacing="1" w:line="240" w:lineRule="auto"/>
        <w:rPr>
          <w:rFonts w:asciiTheme="minorHAnsi" w:hAnsiTheme="minorHAnsi" w:cstheme="minorHAnsi"/>
        </w:rPr>
      </w:pPr>
      <w:r w:rsidRPr="00B24C76">
        <w:rPr>
          <w:rFonts w:asciiTheme="minorHAnsi" w:hAnsiTheme="minorHAnsi" w:cstheme="minorHAnsi"/>
        </w:rPr>
        <w:t>The</w:t>
      </w:r>
      <w:r w:rsidR="003D63FC" w:rsidRPr="00B24C76">
        <w:rPr>
          <w:rFonts w:asciiTheme="minorHAnsi" w:hAnsiTheme="minorHAnsi" w:cstheme="minorHAnsi"/>
        </w:rPr>
        <w:t xml:space="preserve"> accessibility and relevance of the</w:t>
      </w:r>
      <w:r w:rsidRPr="00B24C76">
        <w:rPr>
          <w:rFonts w:asciiTheme="minorHAnsi" w:hAnsiTheme="minorHAnsi" w:cstheme="minorHAnsi"/>
        </w:rPr>
        <w:t xml:space="preserve"> Standards </w:t>
      </w:r>
      <w:r w:rsidR="00F137B7" w:rsidRPr="00B24C76">
        <w:rPr>
          <w:rFonts w:asciiTheme="minorHAnsi" w:hAnsiTheme="minorHAnsi" w:cstheme="minorHAnsi"/>
        </w:rPr>
        <w:t xml:space="preserve">to all students, families and carers, educators, education providers and policy makers could be improved </w:t>
      </w:r>
      <w:r w:rsidR="00F96B3C">
        <w:rPr>
          <w:rFonts w:asciiTheme="minorHAnsi" w:hAnsiTheme="minorHAnsi" w:cstheme="minorHAnsi"/>
        </w:rPr>
        <w:t>through</w:t>
      </w:r>
      <w:r w:rsidR="00F137B7" w:rsidRPr="00B24C76">
        <w:rPr>
          <w:rFonts w:asciiTheme="minorHAnsi" w:hAnsiTheme="minorHAnsi" w:cstheme="minorHAnsi"/>
        </w:rPr>
        <w:t xml:space="preserve"> the development of </w:t>
      </w:r>
      <w:r w:rsidR="003D63FC" w:rsidRPr="00B24C76">
        <w:rPr>
          <w:rFonts w:asciiTheme="minorHAnsi" w:hAnsiTheme="minorHAnsi" w:cstheme="minorHAnsi"/>
        </w:rPr>
        <w:t xml:space="preserve">quality </w:t>
      </w:r>
      <w:r w:rsidR="00F137B7" w:rsidRPr="00B24C76">
        <w:rPr>
          <w:rFonts w:asciiTheme="minorHAnsi" w:hAnsiTheme="minorHAnsi" w:cstheme="minorHAnsi"/>
        </w:rPr>
        <w:t xml:space="preserve">resources </w:t>
      </w:r>
      <w:r w:rsidR="006206F5" w:rsidRPr="00B24C76">
        <w:rPr>
          <w:rFonts w:asciiTheme="minorHAnsi" w:hAnsiTheme="minorHAnsi" w:cstheme="minorHAnsi"/>
        </w:rPr>
        <w:t xml:space="preserve">(such as video vignettes) </w:t>
      </w:r>
      <w:r w:rsidR="00F137B7" w:rsidRPr="00B24C76">
        <w:rPr>
          <w:rFonts w:asciiTheme="minorHAnsi" w:hAnsiTheme="minorHAnsi" w:cstheme="minorHAnsi"/>
        </w:rPr>
        <w:t>that illustrate how they translate into practice</w:t>
      </w:r>
      <w:r w:rsidR="006206F5" w:rsidRPr="00B24C76">
        <w:rPr>
          <w:rFonts w:asciiTheme="minorHAnsi" w:hAnsiTheme="minorHAnsi" w:cstheme="minorHAnsi"/>
        </w:rPr>
        <w:t xml:space="preserve"> and </w:t>
      </w:r>
      <w:r w:rsidR="00965631">
        <w:rPr>
          <w:rFonts w:asciiTheme="minorHAnsi" w:hAnsiTheme="minorHAnsi" w:cstheme="minorHAnsi"/>
        </w:rPr>
        <w:t xml:space="preserve">thus </w:t>
      </w:r>
      <w:r w:rsidR="006206F5" w:rsidRPr="00B24C76">
        <w:rPr>
          <w:rFonts w:asciiTheme="minorHAnsi" w:hAnsiTheme="minorHAnsi" w:cstheme="minorHAnsi"/>
        </w:rPr>
        <w:t>promote a consistent message.</w:t>
      </w:r>
    </w:p>
    <w:p w14:paraId="4ADDAF34" w14:textId="77777777" w:rsidR="00F96B3C" w:rsidRPr="00411200" w:rsidRDefault="00F96B3C" w:rsidP="00F96B3C">
      <w:pPr>
        <w:pStyle w:val="ListParagraph"/>
        <w:rPr>
          <w:rFonts w:asciiTheme="minorHAnsi" w:hAnsiTheme="minorHAnsi" w:cstheme="minorHAnsi"/>
        </w:rPr>
      </w:pPr>
    </w:p>
    <w:p w14:paraId="69F72F47" w14:textId="5733A97C" w:rsidR="00F96B3C" w:rsidRPr="00F96B3C" w:rsidRDefault="00F96B3C" w:rsidP="00F96B3C">
      <w:pPr>
        <w:pStyle w:val="ListParagraph"/>
        <w:numPr>
          <w:ilvl w:val="0"/>
          <w:numId w:val="13"/>
        </w:numPr>
        <w:spacing w:after="100" w:afterAutospacing="1" w:line="240" w:lineRule="auto"/>
        <w:rPr>
          <w:rFonts w:asciiTheme="minorHAnsi" w:hAnsiTheme="minorHAnsi" w:cstheme="minorHAnsi"/>
        </w:rPr>
      </w:pPr>
      <w:r w:rsidRPr="00411200">
        <w:rPr>
          <w:rFonts w:asciiTheme="minorHAnsi" w:hAnsiTheme="minorHAnsi" w:cstheme="minorHAnsi"/>
        </w:rPr>
        <w:t xml:space="preserve">Additional </w:t>
      </w:r>
      <w:r w:rsidRPr="00411200">
        <w:rPr>
          <w:rFonts w:asciiTheme="minorHAnsi" w:hAnsiTheme="minorHAnsi" w:cstheme="minorHAnsi"/>
          <w:i/>
          <w:iCs/>
        </w:rPr>
        <w:t xml:space="preserve">Compliance Measures </w:t>
      </w:r>
      <w:r w:rsidRPr="00411200">
        <w:rPr>
          <w:rFonts w:asciiTheme="minorHAnsi" w:hAnsiTheme="minorHAnsi" w:cstheme="minorHAnsi"/>
        </w:rPr>
        <w:t>within the Standards that make explicit that ‘</w:t>
      </w:r>
      <w:r w:rsidRPr="00411200">
        <w:rPr>
          <w:rFonts w:asciiTheme="minorHAnsi" w:hAnsiTheme="minorHAnsi" w:cstheme="minorHAnsi"/>
          <w:i/>
          <w:iCs/>
        </w:rPr>
        <w:t>on the basis’</w:t>
      </w:r>
      <w:r w:rsidRPr="00411200">
        <w:rPr>
          <w:rFonts w:asciiTheme="minorHAnsi" w:hAnsiTheme="minorHAnsi" w:cstheme="minorHAnsi"/>
        </w:rPr>
        <w:t xml:space="preserve"> applies to </w:t>
      </w:r>
      <w:r w:rsidRPr="00411200">
        <w:rPr>
          <w:rFonts w:asciiTheme="minorHAnsi" w:hAnsiTheme="minorHAnsi" w:cstheme="minorHAnsi"/>
          <w:u w:val="single"/>
        </w:rPr>
        <w:t xml:space="preserve">all </w:t>
      </w:r>
      <w:r w:rsidRPr="00411200">
        <w:rPr>
          <w:rFonts w:asciiTheme="minorHAnsi" w:hAnsiTheme="minorHAnsi" w:cstheme="minorHAnsi"/>
        </w:rPr>
        <w:t>students with disability without exception</w:t>
      </w:r>
      <w:r>
        <w:rPr>
          <w:rFonts w:asciiTheme="minorHAnsi" w:hAnsiTheme="minorHAnsi" w:cstheme="minorHAnsi"/>
        </w:rPr>
        <w:t xml:space="preserve"> and support this with examples and non-examples of curriculum access ‘</w:t>
      </w:r>
      <w:r>
        <w:rPr>
          <w:rFonts w:asciiTheme="minorHAnsi" w:hAnsiTheme="minorHAnsi" w:cstheme="minorHAnsi"/>
          <w:i/>
          <w:iCs/>
        </w:rPr>
        <w:t>on the same basis’</w:t>
      </w:r>
      <w:r>
        <w:rPr>
          <w:rFonts w:asciiTheme="minorHAnsi" w:hAnsiTheme="minorHAnsi" w:cstheme="minorHAnsi"/>
        </w:rPr>
        <w:t>.</w:t>
      </w:r>
    </w:p>
    <w:p w14:paraId="1E591386" w14:textId="77777777" w:rsidR="001D6686" w:rsidRPr="00B24C76" w:rsidRDefault="001D6686" w:rsidP="001D6686">
      <w:pPr>
        <w:pStyle w:val="ListParagraph"/>
        <w:spacing w:after="100" w:afterAutospacing="1" w:line="240" w:lineRule="auto"/>
        <w:rPr>
          <w:rFonts w:asciiTheme="minorHAnsi" w:hAnsiTheme="minorHAnsi" w:cstheme="minorHAnsi"/>
        </w:rPr>
      </w:pPr>
    </w:p>
    <w:p w14:paraId="53E12851" w14:textId="219C1492" w:rsidR="00B24C76" w:rsidRDefault="00B24C76" w:rsidP="00B24C76">
      <w:pPr>
        <w:pStyle w:val="ListParagraph"/>
        <w:numPr>
          <w:ilvl w:val="0"/>
          <w:numId w:val="13"/>
        </w:numPr>
        <w:spacing w:after="100" w:afterAutospacing="1" w:line="240" w:lineRule="auto"/>
        <w:rPr>
          <w:rFonts w:asciiTheme="minorHAnsi" w:hAnsiTheme="minorHAnsi" w:cstheme="minorHAnsi"/>
        </w:rPr>
      </w:pPr>
      <w:r w:rsidRPr="00B24C76">
        <w:rPr>
          <w:rFonts w:asciiTheme="minorHAnsi" w:hAnsiTheme="minorHAnsi" w:cstheme="minorHAnsi"/>
        </w:rPr>
        <w:t>A revised explanation of ‘</w:t>
      </w:r>
      <w:r w:rsidRPr="00B24C76">
        <w:rPr>
          <w:rFonts w:asciiTheme="minorHAnsi" w:hAnsiTheme="minorHAnsi" w:cstheme="minorHAnsi"/>
          <w:i/>
          <w:iCs/>
        </w:rPr>
        <w:t xml:space="preserve">on the same basis’ </w:t>
      </w:r>
      <w:r w:rsidRPr="00B24C76">
        <w:rPr>
          <w:rFonts w:asciiTheme="minorHAnsi" w:hAnsiTheme="minorHAnsi" w:cstheme="minorHAnsi"/>
        </w:rPr>
        <w:t xml:space="preserve">in the Guidance notes that is </w:t>
      </w:r>
      <w:r>
        <w:rPr>
          <w:rFonts w:asciiTheme="minorHAnsi" w:hAnsiTheme="minorHAnsi" w:cstheme="minorHAnsi"/>
        </w:rPr>
        <w:t>simply put</w:t>
      </w:r>
      <w:r w:rsidRPr="00B24C76">
        <w:rPr>
          <w:rFonts w:asciiTheme="minorHAnsi" w:hAnsiTheme="minorHAnsi" w:cstheme="minorHAnsi"/>
        </w:rPr>
        <w:t xml:space="preserve"> and reduces opportunities for broad interpretation.</w:t>
      </w:r>
    </w:p>
    <w:p w14:paraId="41EA4225" w14:textId="62407F31" w:rsidR="00C215A3" w:rsidRPr="00C215A3" w:rsidRDefault="00C215A3" w:rsidP="00C215A3">
      <w:pPr>
        <w:spacing w:after="100" w:afterAutospacing="1" w:line="240" w:lineRule="auto"/>
        <w:rPr>
          <w:rFonts w:asciiTheme="minorHAnsi" w:hAnsiTheme="minorHAnsi" w:cstheme="minorHAnsi"/>
        </w:rPr>
      </w:pPr>
    </w:p>
    <w:p w14:paraId="7BA0748F" w14:textId="39785F84" w:rsidR="003455FF" w:rsidRPr="00C215A3" w:rsidRDefault="00C215A3" w:rsidP="00C215A3">
      <w:pPr>
        <w:pStyle w:val="NoSpacing"/>
        <w:rPr>
          <w:b/>
          <w:bCs/>
        </w:rPr>
      </w:pPr>
      <w:r w:rsidRPr="00C215A3">
        <w:rPr>
          <w:b/>
          <w:bCs/>
        </w:rPr>
        <w:t>Sarah Humphreys</w:t>
      </w:r>
    </w:p>
    <w:p w14:paraId="59F51701" w14:textId="0674D5C4" w:rsidR="00C215A3" w:rsidRPr="00C215A3" w:rsidRDefault="00C215A3" w:rsidP="00C215A3">
      <w:pPr>
        <w:pStyle w:val="NoSpacing"/>
      </w:pPr>
      <w:r w:rsidRPr="00C215A3">
        <w:t>Inclusion Consultant and Co-Founder of Inclusive Schools Australia</w:t>
      </w:r>
    </w:p>
    <w:p w14:paraId="4B398390" w14:textId="612D53C7" w:rsidR="00C215A3" w:rsidRDefault="00D65139" w:rsidP="00C215A3">
      <w:pPr>
        <w:pStyle w:val="NoSpacing"/>
      </w:pPr>
      <w:hyperlink r:id="rId8" w:history="1">
        <w:r w:rsidR="00C215A3" w:rsidRPr="00C20E01">
          <w:rPr>
            <w:rStyle w:val="Hyperlink"/>
          </w:rPr>
          <w:t>sarah@inclusiveschools.com.au</w:t>
        </w:r>
      </w:hyperlink>
    </w:p>
    <w:p w14:paraId="16A9F46C" w14:textId="5E856CEE" w:rsidR="00C215A3" w:rsidRDefault="00C215A3" w:rsidP="00C215A3">
      <w:pPr>
        <w:pStyle w:val="NoSpacing"/>
      </w:pPr>
      <w:r>
        <w:t>0402 974 040</w:t>
      </w:r>
    </w:p>
    <w:p w14:paraId="3FB0CFBC" w14:textId="1C6F25A9" w:rsidR="00C215A3" w:rsidRPr="00C215A3" w:rsidRDefault="00C215A3" w:rsidP="00C215A3">
      <w:pPr>
        <w:pStyle w:val="NoSpacing"/>
      </w:pPr>
      <w:r>
        <w:t>www.inclusiveschools.com.au</w:t>
      </w:r>
    </w:p>
    <w:p w14:paraId="33BF2459" w14:textId="77777777" w:rsidR="00F93715" w:rsidRPr="00551F97" w:rsidRDefault="00F93715" w:rsidP="004238DA">
      <w:pPr>
        <w:jc w:val="both"/>
        <w:rPr>
          <w:rFonts w:asciiTheme="minorHAnsi" w:hAnsiTheme="minorHAnsi" w:cstheme="minorHAnsi"/>
          <w:b/>
          <w:bCs/>
        </w:rPr>
      </w:pPr>
    </w:p>
    <w:sectPr w:rsidR="00F93715" w:rsidRPr="00551F97" w:rsidSect="00F93715">
      <w:footerReference w:type="default" r:id="rId9"/>
      <w:headerReference w:type="first" r:id="rId10"/>
      <w:pgSz w:w="12240" w:h="15840"/>
      <w:pgMar w:top="1440" w:right="144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D01A9" w14:textId="77777777" w:rsidR="00D57DC6" w:rsidRDefault="00D57DC6" w:rsidP="00761545">
      <w:pPr>
        <w:spacing w:after="0" w:line="240" w:lineRule="auto"/>
      </w:pPr>
      <w:r>
        <w:separator/>
      </w:r>
    </w:p>
  </w:endnote>
  <w:endnote w:type="continuationSeparator" w:id="0">
    <w:p w14:paraId="03D7F6B4" w14:textId="77777777" w:rsidR="00D57DC6" w:rsidRDefault="00D57DC6" w:rsidP="00761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86019530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865C135" w14:textId="10049CAB" w:rsidR="000953ED" w:rsidRPr="000953ED" w:rsidRDefault="000953ED">
            <w:pPr>
              <w:pStyle w:val="Footer"/>
              <w:jc w:val="right"/>
              <w:rPr>
                <w:sz w:val="20"/>
                <w:szCs w:val="20"/>
              </w:rPr>
            </w:pPr>
            <w:r w:rsidRPr="000953ED">
              <w:rPr>
                <w:sz w:val="20"/>
                <w:szCs w:val="20"/>
              </w:rPr>
              <w:t xml:space="preserve">Page </w:t>
            </w:r>
            <w:r w:rsidRPr="000953ED">
              <w:rPr>
                <w:b/>
                <w:bCs/>
              </w:rPr>
              <w:fldChar w:fldCharType="begin"/>
            </w:r>
            <w:r w:rsidRPr="000953ED">
              <w:rPr>
                <w:b/>
                <w:bCs/>
                <w:sz w:val="20"/>
                <w:szCs w:val="20"/>
              </w:rPr>
              <w:instrText xml:space="preserve"> PAGE </w:instrText>
            </w:r>
            <w:r w:rsidRPr="000953ED">
              <w:rPr>
                <w:b/>
                <w:bCs/>
              </w:rPr>
              <w:fldChar w:fldCharType="separate"/>
            </w:r>
            <w:r w:rsidRPr="000953ED">
              <w:rPr>
                <w:b/>
                <w:bCs/>
                <w:noProof/>
                <w:sz w:val="20"/>
                <w:szCs w:val="20"/>
              </w:rPr>
              <w:t>2</w:t>
            </w:r>
            <w:r w:rsidRPr="000953ED">
              <w:rPr>
                <w:b/>
                <w:bCs/>
              </w:rPr>
              <w:fldChar w:fldCharType="end"/>
            </w:r>
            <w:r w:rsidRPr="000953ED">
              <w:rPr>
                <w:sz w:val="20"/>
                <w:szCs w:val="20"/>
              </w:rPr>
              <w:t xml:space="preserve"> of </w:t>
            </w:r>
            <w:r w:rsidRPr="000953ED">
              <w:rPr>
                <w:b/>
                <w:bCs/>
              </w:rPr>
              <w:fldChar w:fldCharType="begin"/>
            </w:r>
            <w:r w:rsidRPr="000953ED">
              <w:rPr>
                <w:b/>
                <w:bCs/>
                <w:sz w:val="20"/>
                <w:szCs w:val="20"/>
              </w:rPr>
              <w:instrText xml:space="preserve"> NUMPAGES  </w:instrText>
            </w:r>
            <w:r w:rsidRPr="000953ED">
              <w:rPr>
                <w:b/>
                <w:bCs/>
              </w:rPr>
              <w:fldChar w:fldCharType="separate"/>
            </w:r>
            <w:r w:rsidRPr="000953ED">
              <w:rPr>
                <w:b/>
                <w:bCs/>
                <w:noProof/>
                <w:sz w:val="20"/>
                <w:szCs w:val="20"/>
              </w:rPr>
              <w:t>2</w:t>
            </w:r>
            <w:r w:rsidRPr="000953ED">
              <w:rPr>
                <w:b/>
                <w:bCs/>
              </w:rPr>
              <w:fldChar w:fldCharType="end"/>
            </w:r>
          </w:p>
        </w:sdtContent>
      </w:sdt>
    </w:sdtContent>
  </w:sdt>
  <w:p w14:paraId="4D0E63F5" w14:textId="77777777" w:rsidR="000953ED" w:rsidRDefault="00095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8B050" w14:textId="77777777" w:rsidR="00D57DC6" w:rsidRDefault="00D57DC6" w:rsidP="00761545">
      <w:pPr>
        <w:spacing w:after="0" w:line="240" w:lineRule="auto"/>
      </w:pPr>
      <w:r>
        <w:separator/>
      </w:r>
    </w:p>
  </w:footnote>
  <w:footnote w:type="continuationSeparator" w:id="0">
    <w:p w14:paraId="41788832" w14:textId="77777777" w:rsidR="00D57DC6" w:rsidRDefault="00D57DC6" w:rsidP="00761545">
      <w:pPr>
        <w:spacing w:after="0" w:line="240" w:lineRule="auto"/>
      </w:pPr>
      <w:r>
        <w:continuationSeparator/>
      </w:r>
    </w:p>
  </w:footnote>
  <w:footnote w:id="1">
    <w:p w14:paraId="3B73AAF3" w14:textId="19B14D6C" w:rsidR="002F6C00" w:rsidRPr="00E10459" w:rsidRDefault="002F6C00">
      <w:pPr>
        <w:pStyle w:val="FootnoteText"/>
        <w:rPr>
          <w:sz w:val="18"/>
          <w:szCs w:val="18"/>
        </w:rPr>
      </w:pPr>
      <w:r>
        <w:rPr>
          <w:rStyle w:val="FootnoteReference"/>
        </w:rPr>
        <w:footnoteRef/>
      </w:r>
      <w:r>
        <w:t xml:space="preserve"> </w:t>
      </w:r>
      <w:r w:rsidR="00E10459" w:rsidRPr="00E10459">
        <w:rPr>
          <w:sz w:val="18"/>
          <w:szCs w:val="18"/>
        </w:rPr>
        <w:t>Australian Government Department of Education, Skills and Employment (</w:t>
      </w:r>
      <w:r w:rsidRPr="00E10459">
        <w:rPr>
          <w:sz w:val="18"/>
          <w:szCs w:val="18"/>
        </w:rPr>
        <w:t>2020</w:t>
      </w:r>
      <w:r w:rsidR="00E10459" w:rsidRPr="00E10459">
        <w:rPr>
          <w:sz w:val="18"/>
          <w:szCs w:val="18"/>
        </w:rPr>
        <w:t>).</w:t>
      </w:r>
      <w:r w:rsidRPr="00E10459">
        <w:rPr>
          <w:sz w:val="18"/>
          <w:szCs w:val="18"/>
        </w:rPr>
        <w:t xml:space="preserve"> </w:t>
      </w:r>
      <w:r w:rsidRPr="00C80E80">
        <w:rPr>
          <w:i/>
          <w:iCs/>
          <w:sz w:val="18"/>
          <w:szCs w:val="18"/>
        </w:rPr>
        <w:t>Review of the Disability Standards for Education 2005 – Discussion paper.</w:t>
      </w:r>
      <w:r w:rsidRPr="00E10459">
        <w:rPr>
          <w:sz w:val="18"/>
          <w:szCs w:val="18"/>
        </w:rPr>
        <w:t xml:space="preserve"> Retrieved from </w:t>
      </w:r>
      <w:hyperlink r:id="rId1" w:history="1">
        <w:r w:rsidRPr="00E10459">
          <w:rPr>
            <w:rStyle w:val="Hyperlink"/>
            <w:sz w:val="18"/>
            <w:szCs w:val="18"/>
          </w:rPr>
          <w:t>https://disabilitystandardsreview.education.gov.au/discussion_paper/</w:t>
        </w:r>
      </w:hyperlink>
      <w:r w:rsidRPr="00E10459">
        <w:rPr>
          <w:sz w:val="18"/>
          <w:szCs w:val="18"/>
        </w:rPr>
        <w:t xml:space="preserve"> </w:t>
      </w:r>
    </w:p>
  </w:footnote>
  <w:footnote w:id="2">
    <w:p w14:paraId="1AD1184D" w14:textId="7327530A" w:rsidR="00E10459" w:rsidRPr="00E10459" w:rsidRDefault="00E10459">
      <w:pPr>
        <w:pStyle w:val="FootnoteText"/>
        <w:rPr>
          <w:sz w:val="18"/>
          <w:szCs w:val="18"/>
        </w:rPr>
      </w:pPr>
      <w:r w:rsidRPr="00E10459">
        <w:rPr>
          <w:rStyle w:val="FootnoteReference"/>
          <w:sz w:val="18"/>
          <w:szCs w:val="18"/>
        </w:rPr>
        <w:footnoteRef/>
      </w:r>
      <w:r w:rsidRPr="00E10459">
        <w:rPr>
          <w:sz w:val="18"/>
          <w:szCs w:val="18"/>
        </w:rPr>
        <w:t xml:space="preserve"> Royal Commission (2020). </w:t>
      </w:r>
      <w:r w:rsidRPr="00C80E80">
        <w:rPr>
          <w:i/>
          <w:iCs/>
          <w:sz w:val="18"/>
          <w:szCs w:val="18"/>
        </w:rPr>
        <w:t xml:space="preserve">Issues paper – Overview of responses to the first Education and learning Issues paper. </w:t>
      </w:r>
      <w:r w:rsidRPr="00E10459">
        <w:rPr>
          <w:sz w:val="18"/>
          <w:szCs w:val="18"/>
        </w:rPr>
        <w:t xml:space="preserve">Retrieved from </w:t>
      </w:r>
      <w:hyperlink r:id="rId2" w:history="1">
        <w:r w:rsidRPr="00E10459">
          <w:rPr>
            <w:rStyle w:val="Hyperlink"/>
            <w:sz w:val="18"/>
            <w:szCs w:val="18"/>
          </w:rPr>
          <w:t>https://disability.royalcommission.gov.au/system/files/2020-08/Overview%20of%20responses%20to%20the%20first%20Education%20and%20learning%20Issues%20paper.pdf</w:t>
        </w:r>
      </w:hyperlink>
      <w:r w:rsidRPr="00E10459">
        <w:rPr>
          <w:sz w:val="18"/>
          <w:szCs w:val="18"/>
        </w:rPr>
        <w:t xml:space="preserve"> </w:t>
      </w:r>
    </w:p>
  </w:footnote>
  <w:footnote w:id="3">
    <w:p w14:paraId="11BA9557" w14:textId="77777777" w:rsidR="00370A03" w:rsidRDefault="00370A03" w:rsidP="00370A03">
      <w:pPr>
        <w:pStyle w:val="FootnoteText"/>
      </w:pPr>
      <w:r>
        <w:rPr>
          <w:rStyle w:val="FootnoteReference"/>
        </w:rPr>
        <w:footnoteRef/>
      </w:r>
      <w:r>
        <w:t xml:space="preserve"> </w:t>
      </w:r>
      <w:r w:rsidRPr="00C80E80">
        <w:rPr>
          <w:sz w:val="18"/>
          <w:szCs w:val="18"/>
        </w:rPr>
        <w:t xml:space="preserve">Australian Government Department of Education, Skills and Employment (2005). </w:t>
      </w:r>
      <w:r w:rsidRPr="00C80E80">
        <w:rPr>
          <w:i/>
          <w:iCs/>
          <w:sz w:val="18"/>
          <w:szCs w:val="18"/>
        </w:rPr>
        <w:t xml:space="preserve">Disability Standards for Education 2005 plus Guidance Notes. </w:t>
      </w:r>
      <w:r w:rsidRPr="00C80E80">
        <w:rPr>
          <w:sz w:val="18"/>
          <w:szCs w:val="18"/>
        </w:rPr>
        <w:t xml:space="preserve">Retrieved from </w:t>
      </w:r>
      <w:hyperlink r:id="rId3" w:history="1">
        <w:r w:rsidRPr="00C80E80">
          <w:rPr>
            <w:rStyle w:val="Hyperlink"/>
            <w:sz w:val="18"/>
            <w:szCs w:val="18"/>
          </w:rPr>
          <w:t>https://docs.education.gov.au/node/16354</w:t>
        </w:r>
      </w:hyperlink>
      <w:r w:rsidRPr="00C80E80">
        <w:rPr>
          <w:sz w:val="18"/>
          <w:szCs w:val="18"/>
        </w:rPr>
        <w:t xml:space="preserve"> </w:t>
      </w:r>
    </w:p>
  </w:footnote>
  <w:footnote w:id="4">
    <w:p w14:paraId="24456AD9" w14:textId="77777777" w:rsidR="005B2CD5" w:rsidRPr="005B2CD5" w:rsidRDefault="005B2CD5" w:rsidP="005B2CD5">
      <w:pPr>
        <w:pStyle w:val="FootnoteText"/>
        <w:rPr>
          <w:sz w:val="18"/>
          <w:szCs w:val="18"/>
        </w:rPr>
      </w:pPr>
      <w:r>
        <w:rPr>
          <w:rStyle w:val="FootnoteReference"/>
        </w:rPr>
        <w:footnoteRef/>
      </w:r>
      <w:r>
        <w:t xml:space="preserve"> </w:t>
      </w:r>
      <w:r w:rsidRPr="005B2CD5">
        <w:rPr>
          <w:sz w:val="18"/>
          <w:szCs w:val="18"/>
        </w:rPr>
        <w:t xml:space="preserve">ACARA. Student Diversity – Meeting the needs of students with disability. Retrieved from </w:t>
      </w:r>
      <w:hyperlink r:id="rId4" w:history="1">
        <w:r w:rsidRPr="005B2CD5">
          <w:rPr>
            <w:rStyle w:val="Hyperlink"/>
            <w:sz w:val="18"/>
            <w:szCs w:val="18"/>
          </w:rPr>
          <w:t>https://www.australiancurriculum.edu.au/resources/student-diversity/meeting-the-needs-of-students-with-a-disability/</w:t>
        </w:r>
      </w:hyperlink>
      <w:r w:rsidRPr="005B2CD5">
        <w:rPr>
          <w:sz w:val="18"/>
          <w:szCs w:val="18"/>
        </w:rPr>
        <w:t xml:space="preserve">  </w:t>
      </w:r>
    </w:p>
  </w:footnote>
  <w:footnote w:id="5">
    <w:p w14:paraId="70A3AB6D" w14:textId="56905864" w:rsidR="000A740E" w:rsidRDefault="000A740E">
      <w:pPr>
        <w:pStyle w:val="FootnoteText"/>
      </w:pPr>
      <w:r>
        <w:rPr>
          <w:rStyle w:val="FootnoteReference"/>
        </w:rPr>
        <w:footnoteRef/>
      </w:r>
      <w:r>
        <w:t xml:space="preserve"> </w:t>
      </w:r>
      <w:r w:rsidRPr="000A740E">
        <w:rPr>
          <w:sz w:val="18"/>
          <w:szCs w:val="18"/>
        </w:rPr>
        <w:t xml:space="preserve">Queensland Government (2020). </w:t>
      </w:r>
      <w:r w:rsidRPr="000A740E">
        <w:rPr>
          <w:i/>
          <w:iCs/>
          <w:sz w:val="18"/>
          <w:szCs w:val="18"/>
        </w:rPr>
        <w:t>Individual Curriculum Plan.</w:t>
      </w:r>
      <w:r w:rsidRPr="000A740E">
        <w:rPr>
          <w:sz w:val="18"/>
          <w:szCs w:val="18"/>
        </w:rPr>
        <w:t xml:space="preserve"> (Retrieved from </w:t>
      </w:r>
      <w:hyperlink r:id="rId5" w:history="1">
        <w:r w:rsidRPr="000A740E">
          <w:rPr>
            <w:rStyle w:val="Hyperlink"/>
            <w:sz w:val="18"/>
            <w:szCs w:val="18"/>
          </w:rPr>
          <w:t>https://education.qld.gov.au/curriculums/Documents/individual-curriculum-plan.pdf</w:t>
        </w:r>
      </w:hyperlink>
      <w:r w:rsidRPr="000A740E">
        <w:rPr>
          <w:sz w:val="18"/>
          <w:szCs w:val="18"/>
        </w:rPr>
        <w:t xml:space="preserve"> </w:t>
      </w:r>
    </w:p>
  </w:footnote>
  <w:footnote w:id="6">
    <w:p w14:paraId="3AF9D3A6" w14:textId="56179BA5" w:rsidR="001904F8" w:rsidRPr="00A65B69" w:rsidRDefault="001904F8">
      <w:pPr>
        <w:pStyle w:val="FootnoteText"/>
      </w:pPr>
      <w:r>
        <w:rPr>
          <w:rStyle w:val="FootnoteReference"/>
        </w:rPr>
        <w:footnoteRef/>
      </w:r>
      <w:r>
        <w:t xml:space="preserve"> </w:t>
      </w:r>
      <w:r w:rsidRPr="00A65B69">
        <w:rPr>
          <w:sz w:val="18"/>
          <w:szCs w:val="18"/>
        </w:rPr>
        <w:t>Humphreys, S., Jimenez, B. (201</w:t>
      </w:r>
      <w:r w:rsidR="00A65B69" w:rsidRPr="00A65B69">
        <w:rPr>
          <w:sz w:val="18"/>
          <w:szCs w:val="18"/>
        </w:rPr>
        <w:t xml:space="preserve">8) </w:t>
      </w:r>
      <w:r w:rsidR="00A65B69" w:rsidRPr="00A65B69">
        <w:rPr>
          <w:i/>
          <w:iCs/>
          <w:sz w:val="18"/>
          <w:szCs w:val="18"/>
        </w:rPr>
        <w:t>The Evolution of Personalised Learning – from Different, to Differentiated and Now to Universally Designed.</w:t>
      </w:r>
      <w:r w:rsidR="00A65B69" w:rsidRPr="00A65B69">
        <w:rPr>
          <w:sz w:val="18"/>
          <w:szCs w:val="18"/>
        </w:rPr>
        <w:t xml:space="preserve"> Global Journal of Intellectual and Developmental Disabilities. Retrieved from </w:t>
      </w:r>
      <w:hyperlink r:id="rId6" w:history="1">
        <w:r w:rsidR="00A65B69" w:rsidRPr="00A65B69">
          <w:rPr>
            <w:rStyle w:val="Hyperlink"/>
            <w:sz w:val="18"/>
            <w:szCs w:val="18"/>
          </w:rPr>
          <w:t>https://inclusiveschools.com.au/the-evolution-of-personalised-learning/</w:t>
        </w:r>
      </w:hyperlink>
      <w:r w:rsidR="00A65B69" w:rsidRPr="00A65B69">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0BFF" w14:textId="176DB6E7" w:rsidR="00D71268" w:rsidRDefault="00C215A3">
    <w:pPr>
      <w:pStyle w:val="Header"/>
    </w:pPr>
    <w:r>
      <w:rPr>
        <w:noProof/>
      </w:rPr>
      <w:drawing>
        <wp:anchor distT="0" distB="0" distL="114300" distR="114300" simplePos="0" relativeHeight="251658240" behindDoc="0" locked="0" layoutInCell="1" allowOverlap="1" wp14:anchorId="1FE63DC9" wp14:editId="4250376E">
          <wp:simplePos x="0" y="0"/>
          <wp:positionH relativeFrom="column">
            <wp:posOffset>2184400</wp:posOffset>
          </wp:positionH>
          <wp:positionV relativeFrom="paragraph">
            <wp:posOffset>-190500</wp:posOffset>
          </wp:positionV>
          <wp:extent cx="1524000" cy="105473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0547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B57C2"/>
    <w:multiLevelType w:val="hybridMultilevel"/>
    <w:tmpl w:val="F886B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E07D6A"/>
    <w:multiLevelType w:val="hybridMultilevel"/>
    <w:tmpl w:val="0B0C21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38B286D"/>
    <w:multiLevelType w:val="multilevel"/>
    <w:tmpl w:val="10C6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305B15"/>
    <w:multiLevelType w:val="hybridMultilevel"/>
    <w:tmpl w:val="F94ED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13D12A0"/>
    <w:multiLevelType w:val="hybridMultilevel"/>
    <w:tmpl w:val="4BF427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17B2A6E"/>
    <w:multiLevelType w:val="hybridMultilevel"/>
    <w:tmpl w:val="EDCADD1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45808E1"/>
    <w:multiLevelType w:val="hybridMultilevel"/>
    <w:tmpl w:val="82CE9B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4A04A79"/>
    <w:multiLevelType w:val="hybridMultilevel"/>
    <w:tmpl w:val="9A564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89586A"/>
    <w:multiLevelType w:val="hybridMultilevel"/>
    <w:tmpl w:val="629A3A2A"/>
    <w:lvl w:ilvl="0" w:tplc="E6422C88">
      <w:start w:val="1"/>
      <w:numFmt w:val="bullet"/>
      <w:pStyle w:val="NormalWeb"/>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4F42FDA"/>
    <w:multiLevelType w:val="multilevel"/>
    <w:tmpl w:val="E91ED3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702E7400"/>
    <w:multiLevelType w:val="multilevel"/>
    <w:tmpl w:val="E280E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4693A6B"/>
    <w:multiLevelType w:val="hybridMultilevel"/>
    <w:tmpl w:val="8530188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2" w15:restartNumberingAfterBreak="0">
    <w:nsid w:val="7D3B0D1B"/>
    <w:multiLevelType w:val="hybridMultilevel"/>
    <w:tmpl w:val="0E52E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0"/>
  </w:num>
  <w:num w:numId="3">
    <w:abstractNumId w:val="3"/>
  </w:num>
  <w:num w:numId="4">
    <w:abstractNumId w:val="7"/>
  </w:num>
  <w:num w:numId="5">
    <w:abstractNumId w:val="1"/>
  </w:num>
  <w:num w:numId="6">
    <w:abstractNumId w:val="10"/>
  </w:num>
  <w:num w:numId="7">
    <w:abstractNumId w:val="2"/>
  </w:num>
  <w:num w:numId="8">
    <w:abstractNumId w:val="5"/>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40D457"/>
    <w:rsid w:val="0006336C"/>
    <w:rsid w:val="0007019D"/>
    <w:rsid w:val="000953ED"/>
    <w:rsid w:val="000A740E"/>
    <w:rsid w:val="000C546C"/>
    <w:rsid w:val="000D125B"/>
    <w:rsid w:val="000E5A47"/>
    <w:rsid w:val="001679BA"/>
    <w:rsid w:val="00186C9E"/>
    <w:rsid w:val="001904F8"/>
    <w:rsid w:val="001A2325"/>
    <w:rsid w:val="001A2856"/>
    <w:rsid w:val="001A7ED6"/>
    <w:rsid w:val="001B2F63"/>
    <w:rsid w:val="001D6686"/>
    <w:rsid w:val="001E67AA"/>
    <w:rsid w:val="002745B3"/>
    <w:rsid w:val="002D04B3"/>
    <w:rsid w:val="002F6C00"/>
    <w:rsid w:val="003432DA"/>
    <w:rsid w:val="003455FF"/>
    <w:rsid w:val="003701F8"/>
    <w:rsid w:val="00370A03"/>
    <w:rsid w:val="003D1640"/>
    <w:rsid w:val="003D63FC"/>
    <w:rsid w:val="003E0F79"/>
    <w:rsid w:val="00411200"/>
    <w:rsid w:val="004238DA"/>
    <w:rsid w:val="00474211"/>
    <w:rsid w:val="004865E3"/>
    <w:rsid w:val="004910B6"/>
    <w:rsid w:val="0050324D"/>
    <w:rsid w:val="00551F97"/>
    <w:rsid w:val="005607DD"/>
    <w:rsid w:val="005A5FAE"/>
    <w:rsid w:val="005B05BE"/>
    <w:rsid w:val="005B2CD5"/>
    <w:rsid w:val="005C6332"/>
    <w:rsid w:val="005D6A31"/>
    <w:rsid w:val="00610673"/>
    <w:rsid w:val="006122B5"/>
    <w:rsid w:val="006206F5"/>
    <w:rsid w:val="007028C7"/>
    <w:rsid w:val="00712724"/>
    <w:rsid w:val="00741782"/>
    <w:rsid w:val="007461EA"/>
    <w:rsid w:val="00761545"/>
    <w:rsid w:val="00766D4D"/>
    <w:rsid w:val="007D52E5"/>
    <w:rsid w:val="007E79CB"/>
    <w:rsid w:val="008224D7"/>
    <w:rsid w:val="00831E6F"/>
    <w:rsid w:val="008E57F2"/>
    <w:rsid w:val="008F3BD5"/>
    <w:rsid w:val="00907347"/>
    <w:rsid w:val="00950C7F"/>
    <w:rsid w:val="00965631"/>
    <w:rsid w:val="009A1B6C"/>
    <w:rsid w:val="009A484C"/>
    <w:rsid w:val="009C333F"/>
    <w:rsid w:val="009C3C69"/>
    <w:rsid w:val="009D1104"/>
    <w:rsid w:val="00A02D18"/>
    <w:rsid w:val="00A41CBF"/>
    <w:rsid w:val="00A50D51"/>
    <w:rsid w:val="00A622C7"/>
    <w:rsid w:val="00A65B69"/>
    <w:rsid w:val="00B00671"/>
    <w:rsid w:val="00B107C4"/>
    <w:rsid w:val="00B24C76"/>
    <w:rsid w:val="00B251E7"/>
    <w:rsid w:val="00B42A9B"/>
    <w:rsid w:val="00B87B80"/>
    <w:rsid w:val="00BA6B74"/>
    <w:rsid w:val="00BB740E"/>
    <w:rsid w:val="00C215A3"/>
    <w:rsid w:val="00C80E80"/>
    <w:rsid w:val="00CA3183"/>
    <w:rsid w:val="00D42DCD"/>
    <w:rsid w:val="00D56FEE"/>
    <w:rsid w:val="00D57DC6"/>
    <w:rsid w:val="00D65139"/>
    <w:rsid w:val="00D71268"/>
    <w:rsid w:val="00D94364"/>
    <w:rsid w:val="00E10459"/>
    <w:rsid w:val="00EB07AC"/>
    <w:rsid w:val="00F137B7"/>
    <w:rsid w:val="00F268CE"/>
    <w:rsid w:val="00F93715"/>
    <w:rsid w:val="00F96B3C"/>
    <w:rsid w:val="00F976CA"/>
    <w:rsid w:val="00FF4039"/>
    <w:rsid w:val="1EA557B5"/>
    <w:rsid w:val="2E40D457"/>
    <w:rsid w:val="61AC0635"/>
    <w:rsid w:val="66BDFF0F"/>
    <w:rsid w:val="6FDD6F36"/>
    <w:rsid w:val="738D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3B409"/>
  <w15:chartTrackingRefBased/>
  <w15:docId w15:val="{EA602765-49BF-4165-988A-2E7CAD95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6B74"/>
    <w:rPr>
      <w:rFonts w:ascii="Calibri" w:eastAsia="Calibri" w:hAnsi="Calibri" w:cs="Calibri"/>
      <w:lang w:val="en-AU" w:eastAsia="en-AU"/>
    </w:rPr>
  </w:style>
  <w:style w:type="paragraph" w:styleId="Heading2">
    <w:name w:val="heading 2"/>
    <w:basedOn w:val="Normal"/>
    <w:next w:val="Normal"/>
    <w:link w:val="Heading2Char"/>
    <w:uiPriority w:val="9"/>
    <w:semiHidden/>
    <w:unhideWhenUsed/>
    <w:qFormat/>
    <w:rsid w:val="00F93715"/>
    <w:pPr>
      <w:spacing w:line="256" w:lineRule="auto"/>
      <w:outlineLvl w:val="1"/>
    </w:pPr>
    <w:rPr>
      <w:rFonts w:asciiTheme="majorHAnsi" w:eastAsiaTheme="minorHAnsi" w:hAnsiTheme="majorHAnsi" w:cstheme="majorHAnsi"/>
      <w:b/>
      <w:color w:val="2A7FB3"/>
      <w:sz w:val="32"/>
      <w:szCs w:val="32"/>
      <w:lang w:eastAsia="en-US"/>
    </w:rPr>
  </w:style>
  <w:style w:type="paragraph" w:styleId="Heading3">
    <w:name w:val="heading 3"/>
    <w:basedOn w:val="Normal"/>
    <w:next w:val="Normal"/>
    <w:link w:val="Heading3Char"/>
    <w:uiPriority w:val="9"/>
    <w:semiHidden/>
    <w:unhideWhenUsed/>
    <w:qFormat/>
    <w:rsid w:val="00F93715"/>
    <w:pPr>
      <w:spacing w:line="276" w:lineRule="auto"/>
      <w:outlineLvl w:val="2"/>
    </w:pPr>
    <w:rPr>
      <w:rFonts w:eastAsiaTheme="minorHAnsi"/>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3701F8"/>
    <w:rPr>
      <w:color w:val="808080"/>
      <w:shd w:val="clear" w:color="auto" w:fill="E6E6E6"/>
    </w:rPr>
  </w:style>
  <w:style w:type="paragraph" w:styleId="Header">
    <w:name w:val="header"/>
    <w:basedOn w:val="Normal"/>
    <w:link w:val="HeaderChar"/>
    <w:uiPriority w:val="99"/>
    <w:unhideWhenUsed/>
    <w:rsid w:val="00761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545"/>
  </w:style>
  <w:style w:type="paragraph" w:styleId="Footer">
    <w:name w:val="footer"/>
    <w:basedOn w:val="Normal"/>
    <w:link w:val="FooterChar"/>
    <w:uiPriority w:val="99"/>
    <w:unhideWhenUsed/>
    <w:rsid w:val="00761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545"/>
  </w:style>
  <w:style w:type="paragraph" w:styleId="EndnoteText">
    <w:name w:val="endnote text"/>
    <w:basedOn w:val="Normal"/>
    <w:link w:val="EndnoteTextChar"/>
    <w:uiPriority w:val="99"/>
    <w:semiHidden/>
    <w:unhideWhenUsed/>
    <w:rsid w:val="008E57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57F2"/>
    <w:rPr>
      <w:sz w:val="20"/>
      <w:szCs w:val="20"/>
    </w:rPr>
  </w:style>
  <w:style w:type="character" w:styleId="EndnoteReference">
    <w:name w:val="endnote reference"/>
    <w:basedOn w:val="DefaultParagraphFont"/>
    <w:uiPriority w:val="99"/>
    <w:semiHidden/>
    <w:unhideWhenUsed/>
    <w:rsid w:val="008E57F2"/>
    <w:rPr>
      <w:vertAlign w:val="superscript"/>
    </w:rPr>
  </w:style>
  <w:style w:type="paragraph" w:styleId="ListParagraph">
    <w:name w:val="List Paragraph"/>
    <w:basedOn w:val="Normal"/>
    <w:uiPriority w:val="34"/>
    <w:qFormat/>
    <w:rsid w:val="007D52E5"/>
    <w:pPr>
      <w:ind w:left="720"/>
      <w:contextualSpacing/>
    </w:pPr>
  </w:style>
  <w:style w:type="paragraph" w:customStyle="1" w:styleId="GNText">
    <w:name w:val="GN Text"/>
    <w:basedOn w:val="Normal"/>
    <w:next w:val="Normal"/>
    <w:rsid w:val="0006336C"/>
    <w:pPr>
      <w:shd w:val="clear" w:color="auto" w:fill="FFFFFF"/>
      <w:spacing w:after="240" w:line="240" w:lineRule="auto"/>
    </w:pPr>
    <w:rPr>
      <w:rFonts w:ascii="Times New Roman" w:eastAsia="Times New Roman" w:hAnsi="Times New Roman" w:cs="Times New Roman"/>
      <w:lang w:val="en-US" w:eastAsia="en-US"/>
    </w:rPr>
  </w:style>
  <w:style w:type="paragraph" w:customStyle="1" w:styleId="P1">
    <w:name w:val="P1"/>
    <w:aliases w:val="(a)"/>
    <w:basedOn w:val="Normal"/>
    <w:rsid w:val="003455FF"/>
    <w:pPr>
      <w:tabs>
        <w:tab w:val="right" w:pos="1191"/>
      </w:tabs>
      <w:spacing w:before="60" w:after="0" w:line="260" w:lineRule="exact"/>
      <w:ind w:left="1418" w:hanging="1418"/>
      <w:jc w:val="both"/>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F93715"/>
    <w:rPr>
      <w:rFonts w:asciiTheme="majorHAnsi" w:hAnsiTheme="majorHAnsi" w:cstheme="majorHAnsi"/>
      <w:b/>
      <w:color w:val="2A7FB3"/>
      <w:sz w:val="32"/>
      <w:szCs w:val="32"/>
      <w:lang w:val="en-AU"/>
    </w:rPr>
  </w:style>
  <w:style w:type="character" w:customStyle="1" w:styleId="Heading3Char">
    <w:name w:val="Heading 3 Char"/>
    <w:basedOn w:val="DefaultParagraphFont"/>
    <w:link w:val="Heading3"/>
    <w:uiPriority w:val="9"/>
    <w:semiHidden/>
    <w:rsid w:val="00F93715"/>
    <w:rPr>
      <w:rFonts w:ascii="Calibri" w:hAnsi="Calibri" w:cs="Calibri"/>
      <w:b/>
      <w:bCs/>
      <w:lang w:val="en-AU"/>
    </w:rPr>
  </w:style>
  <w:style w:type="paragraph" w:styleId="NormalWeb">
    <w:name w:val="Normal (Web)"/>
    <w:basedOn w:val="Normal"/>
    <w:uiPriority w:val="99"/>
    <w:semiHidden/>
    <w:unhideWhenUsed/>
    <w:rsid w:val="00F93715"/>
    <w:pPr>
      <w:numPr>
        <w:numId w:val="11"/>
      </w:numPr>
      <w:spacing w:after="120" w:line="276" w:lineRule="auto"/>
    </w:pPr>
    <w:rPr>
      <w:rFonts w:eastAsia="Times New Roman"/>
      <w:color w:val="000000"/>
    </w:rPr>
  </w:style>
  <w:style w:type="paragraph" w:styleId="FootnoteText">
    <w:name w:val="footnote text"/>
    <w:basedOn w:val="Normal"/>
    <w:link w:val="FootnoteTextChar"/>
    <w:uiPriority w:val="99"/>
    <w:semiHidden/>
    <w:unhideWhenUsed/>
    <w:rsid w:val="002F6C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C00"/>
    <w:rPr>
      <w:rFonts w:ascii="Calibri" w:eastAsia="Calibri" w:hAnsi="Calibri" w:cs="Calibri"/>
      <w:sz w:val="20"/>
      <w:szCs w:val="20"/>
      <w:lang w:val="en-AU" w:eastAsia="en-AU"/>
    </w:rPr>
  </w:style>
  <w:style w:type="character" w:styleId="FootnoteReference">
    <w:name w:val="footnote reference"/>
    <w:basedOn w:val="DefaultParagraphFont"/>
    <w:uiPriority w:val="99"/>
    <w:semiHidden/>
    <w:unhideWhenUsed/>
    <w:rsid w:val="002F6C00"/>
    <w:rPr>
      <w:vertAlign w:val="superscript"/>
    </w:rPr>
  </w:style>
  <w:style w:type="character" w:styleId="IntenseEmphasis">
    <w:name w:val="Intense Emphasis"/>
    <w:basedOn w:val="DefaultParagraphFont"/>
    <w:uiPriority w:val="21"/>
    <w:qFormat/>
    <w:rsid w:val="003E0F79"/>
    <w:rPr>
      <w:i/>
      <w:iCs/>
      <w:color w:val="5B9BD5" w:themeColor="accent1"/>
    </w:rPr>
  </w:style>
  <w:style w:type="paragraph" w:styleId="NoSpacing">
    <w:name w:val="No Spacing"/>
    <w:uiPriority w:val="1"/>
    <w:qFormat/>
    <w:rsid w:val="00C215A3"/>
    <w:pPr>
      <w:spacing w:after="0" w:line="240" w:lineRule="auto"/>
    </w:pPr>
    <w:rPr>
      <w:rFonts w:ascii="Calibri" w:eastAsia="Calibri" w:hAnsi="Calibri" w:cs="Calibri"/>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91251">
      <w:bodyDiv w:val="1"/>
      <w:marLeft w:val="0"/>
      <w:marRight w:val="0"/>
      <w:marTop w:val="0"/>
      <w:marBottom w:val="0"/>
      <w:divBdr>
        <w:top w:val="none" w:sz="0" w:space="0" w:color="auto"/>
        <w:left w:val="none" w:sz="0" w:space="0" w:color="auto"/>
        <w:bottom w:val="none" w:sz="0" w:space="0" w:color="auto"/>
        <w:right w:val="none" w:sz="0" w:space="0" w:color="auto"/>
      </w:divBdr>
    </w:div>
    <w:div w:id="142702374">
      <w:bodyDiv w:val="1"/>
      <w:marLeft w:val="0"/>
      <w:marRight w:val="0"/>
      <w:marTop w:val="0"/>
      <w:marBottom w:val="0"/>
      <w:divBdr>
        <w:top w:val="none" w:sz="0" w:space="0" w:color="auto"/>
        <w:left w:val="none" w:sz="0" w:space="0" w:color="auto"/>
        <w:bottom w:val="none" w:sz="0" w:space="0" w:color="auto"/>
        <w:right w:val="none" w:sz="0" w:space="0" w:color="auto"/>
      </w:divBdr>
    </w:div>
    <w:div w:id="206643110">
      <w:bodyDiv w:val="1"/>
      <w:marLeft w:val="0"/>
      <w:marRight w:val="0"/>
      <w:marTop w:val="0"/>
      <w:marBottom w:val="0"/>
      <w:divBdr>
        <w:top w:val="none" w:sz="0" w:space="0" w:color="auto"/>
        <w:left w:val="none" w:sz="0" w:space="0" w:color="auto"/>
        <w:bottom w:val="none" w:sz="0" w:space="0" w:color="auto"/>
        <w:right w:val="none" w:sz="0" w:space="0" w:color="auto"/>
      </w:divBdr>
    </w:div>
    <w:div w:id="602962293">
      <w:bodyDiv w:val="1"/>
      <w:marLeft w:val="0"/>
      <w:marRight w:val="0"/>
      <w:marTop w:val="0"/>
      <w:marBottom w:val="0"/>
      <w:divBdr>
        <w:top w:val="none" w:sz="0" w:space="0" w:color="auto"/>
        <w:left w:val="none" w:sz="0" w:space="0" w:color="auto"/>
        <w:bottom w:val="none" w:sz="0" w:space="0" w:color="auto"/>
        <w:right w:val="none" w:sz="0" w:space="0" w:color="auto"/>
      </w:divBdr>
    </w:div>
    <w:div w:id="678890477">
      <w:bodyDiv w:val="1"/>
      <w:marLeft w:val="0"/>
      <w:marRight w:val="0"/>
      <w:marTop w:val="0"/>
      <w:marBottom w:val="0"/>
      <w:divBdr>
        <w:top w:val="none" w:sz="0" w:space="0" w:color="auto"/>
        <w:left w:val="none" w:sz="0" w:space="0" w:color="auto"/>
        <w:bottom w:val="none" w:sz="0" w:space="0" w:color="auto"/>
        <w:right w:val="none" w:sz="0" w:space="0" w:color="auto"/>
      </w:divBdr>
    </w:div>
    <w:div w:id="719591267">
      <w:bodyDiv w:val="1"/>
      <w:marLeft w:val="0"/>
      <w:marRight w:val="0"/>
      <w:marTop w:val="0"/>
      <w:marBottom w:val="0"/>
      <w:divBdr>
        <w:top w:val="none" w:sz="0" w:space="0" w:color="auto"/>
        <w:left w:val="none" w:sz="0" w:space="0" w:color="auto"/>
        <w:bottom w:val="none" w:sz="0" w:space="0" w:color="auto"/>
        <w:right w:val="none" w:sz="0" w:space="0" w:color="auto"/>
      </w:divBdr>
    </w:div>
    <w:div w:id="804659941">
      <w:bodyDiv w:val="1"/>
      <w:marLeft w:val="0"/>
      <w:marRight w:val="0"/>
      <w:marTop w:val="0"/>
      <w:marBottom w:val="0"/>
      <w:divBdr>
        <w:top w:val="none" w:sz="0" w:space="0" w:color="auto"/>
        <w:left w:val="none" w:sz="0" w:space="0" w:color="auto"/>
        <w:bottom w:val="none" w:sz="0" w:space="0" w:color="auto"/>
        <w:right w:val="none" w:sz="0" w:space="0" w:color="auto"/>
      </w:divBdr>
    </w:div>
    <w:div w:id="976841446">
      <w:bodyDiv w:val="1"/>
      <w:marLeft w:val="0"/>
      <w:marRight w:val="0"/>
      <w:marTop w:val="0"/>
      <w:marBottom w:val="0"/>
      <w:divBdr>
        <w:top w:val="none" w:sz="0" w:space="0" w:color="auto"/>
        <w:left w:val="none" w:sz="0" w:space="0" w:color="auto"/>
        <w:bottom w:val="none" w:sz="0" w:space="0" w:color="auto"/>
        <w:right w:val="none" w:sz="0" w:space="0" w:color="auto"/>
      </w:divBdr>
    </w:div>
    <w:div w:id="1103263064">
      <w:bodyDiv w:val="1"/>
      <w:marLeft w:val="0"/>
      <w:marRight w:val="0"/>
      <w:marTop w:val="0"/>
      <w:marBottom w:val="0"/>
      <w:divBdr>
        <w:top w:val="none" w:sz="0" w:space="0" w:color="auto"/>
        <w:left w:val="none" w:sz="0" w:space="0" w:color="auto"/>
        <w:bottom w:val="none" w:sz="0" w:space="0" w:color="auto"/>
        <w:right w:val="none" w:sz="0" w:space="0" w:color="auto"/>
      </w:divBdr>
    </w:div>
    <w:div w:id="1581718316">
      <w:bodyDiv w:val="1"/>
      <w:marLeft w:val="0"/>
      <w:marRight w:val="0"/>
      <w:marTop w:val="0"/>
      <w:marBottom w:val="0"/>
      <w:divBdr>
        <w:top w:val="none" w:sz="0" w:space="0" w:color="auto"/>
        <w:left w:val="none" w:sz="0" w:space="0" w:color="auto"/>
        <w:bottom w:val="none" w:sz="0" w:space="0" w:color="auto"/>
        <w:right w:val="none" w:sz="0" w:space="0" w:color="auto"/>
      </w:divBdr>
    </w:div>
    <w:div w:id="179432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inclusiveschools.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ocs.education.gov.au/node/16354" TargetMode="External"/><Relationship Id="rId2" Type="http://schemas.openxmlformats.org/officeDocument/2006/relationships/hyperlink" Target="https://disability.royalcommission.gov.au/system/files/2020-08/Overview%20of%20responses%20to%20the%20first%20Education%20and%20learning%20Issues%20paper.pdf" TargetMode="External"/><Relationship Id="rId1" Type="http://schemas.openxmlformats.org/officeDocument/2006/relationships/hyperlink" Target="https://disabilitystandardsreview.education.gov.au/discussion_paper/" TargetMode="External"/><Relationship Id="rId6" Type="http://schemas.openxmlformats.org/officeDocument/2006/relationships/hyperlink" Target="https://inclusiveschools.com.au/the-evolution-of-personalised-learning/" TargetMode="External"/><Relationship Id="rId5" Type="http://schemas.openxmlformats.org/officeDocument/2006/relationships/hyperlink" Target="https://education.qld.gov.au/curriculums/Documents/individual-curriculum-plan.pdf" TargetMode="External"/><Relationship Id="rId4" Type="http://schemas.openxmlformats.org/officeDocument/2006/relationships/hyperlink" Target="https://www.australiancurriculum.edu.au/resources/student-diversity/meeting-the-needs-of-students-with-a-disa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113B1-B04D-4222-A5AF-A3CA3A48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4537</Characters>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2018-07-26T23:51:00Z</cp:lastPrinted>
  <dcterms:created xsi:type="dcterms:W3CDTF">2020-12-21T05:13:00Z</dcterms:created>
  <dcterms:modified xsi:type="dcterms:W3CDTF">2020-12-21T05:13:00Z</dcterms:modified>
</cp:coreProperties>
</file>