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9AAE" w14:textId="77777777" w:rsidR="003F2CAC" w:rsidRPr="003F2CAC" w:rsidRDefault="003F2CAC" w:rsidP="00FB1398">
      <w:pPr>
        <w:pStyle w:val="Heading1"/>
        <w:jc w:val="left"/>
        <w:rPr>
          <w:lang w:val="en-GB"/>
        </w:rPr>
      </w:pPr>
      <w:r w:rsidRPr="003F2CAC">
        <w:rPr>
          <w:lang w:val="en-GB"/>
        </w:rPr>
        <w:t>About ADCET</w:t>
      </w:r>
    </w:p>
    <w:p w14:paraId="43C913E0" w14:textId="365C27C4" w:rsidR="003F2CAC" w:rsidRPr="003F2CAC" w:rsidRDefault="003F2CAC" w:rsidP="003F2CAC">
      <w:pPr>
        <w:rPr>
          <w:lang w:val="en-GB"/>
        </w:rPr>
      </w:pPr>
      <w:r w:rsidRPr="003F2CAC">
        <w:rPr>
          <w:lang w:val="en-GB"/>
        </w:rPr>
        <w:t xml:space="preserve">The </w:t>
      </w:r>
      <w:hyperlink r:id="rId11" w:history="1">
        <w:r w:rsidRPr="005E603C">
          <w:rPr>
            <w:rStyle w:val="Hyperlink"/>
            <w:lang w:val="en-GB"/>
          </w:rPr>
          <w:t>Australian Disability Clearinghouse on Education and Training (ADCET)</w:t>
        </w:r>
      </w:hyperlink>
      <w:r w:rsidRPr="003F2CAC">
        <w:rPr>
          <w:lang w:val="en-GB"/>
        </w:rPr>
        <w:t xml:space="preserve"> is funded by the Department of Education, Skills and Employment as a component of the Higher Education Disability Support Program</w:t>
      </w:r>
      <w:r w:rsidR="00E27E31">
        <w:rPr>
          <w:lang w:val="en-GB"/>
        </w:rPr>
        <w:t xml:space="preserve"> and is hosted by the University of Tasmania</w:t>
      </w:r>
      <w:r w:rsidRPr="003F2CAC">
        <w:rPr>
          <w:lang w:val="en-GB"/>
        </w:rPr>
        <w:t>. The aim of ADCET is to facilitate equitable access to education and training for people with disability by facilitating the exchange of information and resources to support disability practitioners, academic staff, teachers and students with disability in the post-secondary education and training sector.  This includes relevant information on reasonable adjustments, inclusive teaching and assessment strategies. ADCET therefore plays a critical role in enabling fair and equitable access to and participation of students with disability in tertiary education.</w:t>
      </w:r>
      <w:bookmarkStart w:id="0" w:name="_GoBack"/>
      <w:bookmarkEnd w:id="0"/>
    </w:p>
    <w:p w14:paraId="64146DDA" w14:textId="15DE04CF" w:rsidR="003F2CAC" w:rsidRPr="00BA688C" w:rsidRDefault="00F94D7E" w:rsidP="00BA688C">
      <w:pPr>
        <w:pStyle w:val="Heading2"/>
        <w:jc w:val="left"/>
        <w:rPr>
          <w:lang w:val="en-GB"/>
        </w:rPr>
      </w:pPr>
      <w:r>
        <w:rPr>
          <w:lang w:val="en-GB"/>
        </w:rPr>
        <w:t xml:space="preserve">Our </w:t>
      </w:r>
      <w:r w:rsidR="003F2CAC" w:rsidRPr="00BA688C">
        <w:rPr>
          <w:lang w:val="en-GB"/>
        </w:rPr>
        <w:t xml:space="preserve">Response </w:t>
      </w:r>
    </w:p>
    <w:p w14:paraId="124463A0" w14:textId="779AC609" w:rsidR="00514AA2" w:rsidRDefault="00514AA2" w:rsidP="00514AA2">
      <w:r>
        <w:t xml:space="preserve">ADCET has approached this submission through the lens of access, participation, and success in tertiary education.  </w:t>
      </w:r>
      <w:r w:rsidR="002204A1">
        <w:t xml:space="preserve">ADCET’s </w:t>
      </w:r>
      <w:r w:rsidR="00725929">
        <w:t xml:space="preserve">usage </w:t>
      </w:r>
      <w:r w:rsidR="002204A1">
        <w:t xml:space="preserve">data </w:t>
      </w:r>
      <w:r>
        <w:t>on pages, topics and recordings relating to the</w:t>
      </w:r>
      <w:r w:rsidR="00105EF4">
        <w:t xml:space="preserve"> Disability</w:t>
      </w:r>
      <w:r>
        <w:t xml:space="preserve"> </w:t>
      </w:r>
      <w:r w:rsidR="00105EF4">
        <w:t>S</w:t>
      </w:r>
      <w:r>
        <w:t xml:space="preserve">tandards </w:t>
      </w:r>
      <w:r w:rsidR="00105EF4">
        <w:t xml:space="preserve">for Education (the Standards) </w:t>
      </w:r>
      <w:r w:rsidR="00BE221F">
        <w:t xml:space="preserve">indicates </w:t>
      </w:r>
      <w:r w:rsidR="00826778">
        <w:t xml:space="preserve">that interest </w:t>
      </w:r>
      <w:r w:rsidR="00845165">
        <w:t>in</w:t>
      </w:r>
      <w:r w:rsidR="00826778">
        <w:t xml:space="preserve"> this information continues to grow. </w:t>
      </w:r>
    </w:p>
    <w:p w14:paraId="64AEA652" w14:textId="72A1B6CE" w:rsidR="00514AA2" w:rsidRDefault="00514AA2" w:rsidP="00514AA2">
      <w:r>
        <w:t xml:space="preserve">ADCET plays a role in the dissemination, education, and facilitation of </w:t>
      </w:r>
      <w:r w:rsidR="00CE71F7">
        <w:t>the Standards</w:t>
      </w:r>
      <w:r>
        <w:t>,</w:t>
      </w:r>
      <w:r w:rsidR="0009064F">
        <w:t xml:space="preserve"> </w:t>
      </w:r>
      <w:r w:rsidR="009A5BC7">
        <w:t xml:space="preserve">however </w:t>
      </w:r>
      <w:r w:rsidR="0009064F">
        <w:t>it is not involved in the direct delivery of education or training.</w:t>
      </w:r>
      <w:r>
        <w:t xml:space="preserve">  This </w:t>
      </w:r>
      <w:r w:rsidR="00C734C2">
        <w:t xml:space="preserve">enables </w:t>
      </w:r>
      <w:r>
        <w:t xml:space="preserve">ADCET to have a broad and unique perspective on issues relating to the </w:t>
      </w:r>
      <w:r w:rsidR="00105EF4">
        <w:t>S</w:t>
      </w:r>
      <w:r>
        <w:t xml:space="preserve">tandards and the communities, projects and programs that support the access, participation, and success of students with disability in tertiary education. </w:t>
      </w:r>
    </w:p>
    <w:p w14:paraId="1B2F96A5" w14:textId="48E5ACF4" w:rsidR="00514AA2" w:rsidRDefault="00357A56" w:rsidP="00514AA2">
      <w:pPr>
        <w:autoSpaceDE w:val="0"/>
        <w:autoSpaceDN w:val="0"/>
        <w:spacing w:before="200" w:after="200"/>
        <w:rPr>
          <w:rFonts w:ascii="Calibri" w:hAnsi="Calibri" w:cs="Calibri"/>
          <w:lang w:val="en-GB"/>
        </w:rPr>
      </w:pPr>
      <w:r>
        <w:rPr>
          <w:rFonts w:ascii="Calibri" w:hAnsi="Calibri" w:cs="Calibri"/>
          <w:lang w:val="en-GB"/>
        </w:rPr>
        <w:t>Whil</w:t>
      </w:r>
      <w:r w:rsidR="00CE71F7">
        <w:rPr>
          <w:rFonts w:ascii="Calibri" w:hAnsi="Calibri" w:cs="Calibri"/>
          <w:lang w:val="en-GB"/>
        </w:rPr>
        <w:t>st</w:t>
      </w:r>
      <w:r w:rsidR="00514AA2">
        <w:rPr>
          <w:rFonts w:ascii="Calibri" w:hAnsi="Calibri" w:cs="Calibri"/>
          <w:lang w:val="en-GB"/>
        </w:rPr>
        <w:t xml:space="preserve"> the </w:t>
      </w:r>
      <w:r w:rsidR="00CE71F7">
        <w:rPr>
          <w:rFonts w:ascii="Calibri" w:hAnsi="Calibri" w:cs="Calibri"/>
          <w:lang w:val="en-GB"/>
        </w:rPr>
        <w:t>S</w:t>
      </w:r>
      <w:r w:rsidR="00514AA2">
        <w:rPr>
          <w:rFonts w:ascii="Calibri" w:hAnsi="Calibri" w:cs="Calibri"/>
          <w:lang w:val="en-GB"/>
        </w:rPr>
        <w:t xml:space="preserve">tandards </w:t>
      </w:r>
      <w:r w:rsidR="00CE71F7">
        <w:rPr>
          <w:rFonts w:ascii="Calibri" w:hAnsi="Calibri" w:cs="Calibri"/>
          <w:lang w:val="en-GB"/>
        </w:rPr>
        <w:t xml:space="preserve">do </w:t>
      </w:r>
      <w:r w:rsidR="00514AA2">
        <w:rPr>
          <w:rFonts w:ascii="Calibri" w:hAnsi="Calibri" w:cs="Calibri"/>
          <w:lang w:val="en-GB"/>
        </w:rPr>
        <w:t xml:space="preserve">provide </w:t>
      </w:r>
      <w:r w:rsidR="00A86D9F">
        <w:rPr>
          <w:rFonts w:ascii="Calibri" w:hAnsi="Calibri" w:cs="Calibri"/>
          <w:lang w:val="en-GB"/>
        </w:rPr>
        <w:t>a</w:t>
      </w:r>
      <w:r w:rsidR="00845165">
        <w:rPr>
          <w:rFonts w:ascii="Calibri" w:hAnsi="Calibri" w:cs="Calibri"/>
          <w:lang w:val="en-GB"/>
        </w:rPr>
        <w:t>n</w:t>
      </w:r>
      <w:r w:rsidR="00BB5836">
        <w:rPr>
          <w:rFonts w:ascii="Calibri" w:hAnsi="Calibri" w:cs="Calibri"/>
          <w:lang w:val="en-GB"/>
        </w:rPr>
        <w:t xml:space="preserve"> essential </w:t>
      </w:r>
      <w:r w:rsidR="00A86D9F">
        <w:rPr>
          <w:rFonts w:ascii="Calibri" w:hAnsi="Calibri" w:cs="Calibri"/>
          <w:lang w:val="en-GB"/>
        </w:rPr>
        <w:t xml:space="preserve">legislative framework </w:t>
      </w:r>
      <w:r w:rsidR="00CE71F7">
        <w:rPr>
          <w:rFonts w:ascii="Calibri" w:hAnsi="Calibri" w:cs="Calibri"/>
          <w:lang w:val="en-GB"/>
        </w:rPr>
        <w:t>to support the</w:t>
      </w:r>
      <w:r w:rsidR="00A86D9F">
        <w:rPr>
          <w:rFonts w:ascii="Calibri" w:hAnsi="Calibri" w:cs="Calibri"/>
          <w:lang w:val="en-GB"/>
        </w:rPr>
        <w:t xml:space="preserve"> rights of </w:t>
      </w:r>
      <w:r w:rsidR="0090696E">
        <w:rPr>
          <w:rFonts w:ascii="Calibri" w:hAnsi="Calibri" w:cs="Calibri"/>
          <w:lang w:val="en-GB"/>
        </w:rPr>
        <w:t xml:space="preserve">students </w:t>
      </w:r>
      <w:r w:rsidR="00514AA2">
        <w:rPr>
          <w:rFonts w:ascii="Calibri" w:hAnsi="Calibri" w:cs="Calibri"/>
          <w:lang w:val="en-GB"/>
        </w:rPr>
        <w:t xml:space="preserve">with </w:t>
      </w:r>
      <w:r w:rsidR="0090696E">
        <w:rPr>
          <w:rFonts w:ascii="Calibri" w:hAnsi="Calibri" w:cs="Calibri"/>
          <w:lang w:val="en-GB"/>
        </w:rPr>
        <w:t xml:space="preserve">disability </w:t>
      </w:r>
      <w:r w:rsidR="00BB5836">
        <w:rPr>
          <w:rFonts w:ascii="Calibri" w:hAnsi="Calibri" w:cs="Calibri"/>
          <w:lang w:val="en-GB"/>
        </w:rPr>
        <w:t>to fair</w:t>
      </w:r>
      <w:r w:rsidR="00CE71F7">
        <w:rPr>
          <w:rFonts w:ascii="Calibri" w:hAnsi="Calibri" w:cs="Calibri"/>
          <w:lang w:val="en-GB"/>
        </w:rPr>
        <w:t>ly</w:t>
      </w:r>
      <w:r w:rsidR="00BB5836">
        <w:rPr>
          <w:rFonts w:ascii="Calibri" w:hAnsi="Calibri" w:cs="Calibri"/>
          <w:lang w:val="en-GB"/>
        </w:rPr>
        <w:t xml:space="preserve"> and equitabl</w:t>
      </w:r>
      <w:r w:rsidR="00CE71F7">
        <w:rPr>
          <w:rFonts w:ascii="Calibri" w:hAnsi="Calibri" w:cs="Calibri"/>
          <w:lang w:val="en-GB"/>
        </w:rPr>
        <w:t>y access and participate in</w:t>
      </w:r>
      <w:r w:rsidR="00BB5836">
        <w:rPr>
          <w:rFonts w:ascii="Calibri" w:hAnsi="Calibri" w:cs="Calibri"/>
          <w:lang w:val="en-GB"/>
        </w:rPr>
        <w:t xml:space="preserve"> education, ADCET </w:t>
      </w:r>
      <w:r w:rsidR="005D38C9">
        <w:rPr>
          <w:rFonts w:ascii="Calibri" w:hAnsi="Calibri" w:cs="Calibri"/>
          <w:lang w:val="en-GB"/>
        </w:rPr>
        <w:t xml:space="preserve">advocates for </w:t>
      </w:r>
      <w:r w:rsidR="003A6506">
        <w:rPr>
          <w:rFonts w:ascii="Calibri" w:hAnsi="Calibri" w:cs="Calibri"/>
          <w:lang w:val="en-GB"/>
        </w:rPr>
        <w:t xml:space="preserve">strengthening </w:t>
      </w:r>
      <w:r w:rsidR="005D38C9">
        <w:rPr>
          <w:rFonts w:ascii="Calibri" w:hAnsi="Calibri" w:cs="Calibri"/>
          <w:lang w:val="en-GB"/>
        </w:rPr>
        <w:t xml:space="preserve">of </w:t>
      </w:r>
      <w:r w:rsidR="00F125E2">
        <w:rPr>
          <w:rFonts w:ascii="Calibri" w:hAnsi="Calibri" w:cs="Calibri"/>
          <w:lang w:val="en-GB"/>
        </w:rPr>
        <w:t xml:space="preserve">the Standards’ alignment with other relevant legislative instruments to overcome legislative and policy conflicts, and to ensure the provision of an inclusive education environment underpinned by Universal Design for Learning principles. </w:t>
      </w:r>
      <w:r w:rsidR="003207E8">
        <w:rPr>
          <w:rFonts w:ascii="Calibri" w:hAnsi="Calibri" w:cs="Calibri"/>
          <w:lang w:val="en-GB"/>
        </w:rPr>
        <w:t xml:space="preserve"> </w:t>
      </w:r>
      <w:r w:rsidR="00514AA2">
        <w:rPr>
          <w:rFonts w:ascii="Calibri" w:hAnsi="Calibri" w:cs="Calibri"/>
          <w:lang w:val="en-GB"/>
        </w:rPr>
        <w:t xml:space="preserve"> </w:t>
      </w:r>
    </w:p>
    <w:p w14:paraId="4DA83382" w14:textId="1D84D6E8" w:rsidR="007A7559" w:rsidRDefault="007A7559">
      <w:pPr>
        <w:rPr>
          <w:lang w:val="en-GB"/>
        </w:rPr>
      </w:pPr>
      <w:r>
        <w:rPr>
          <w:lang w:val="en-GB"/>
        </w:rPr>
        <w:br w:type="page"/>
      </w:r>
    </w:p>
    <w:p w14:paraId="7F0933CE" w14:textId="769D54AD" w:rsidR="003432D3" w:rsidRPr="004176C9" w:rsidRDefault="006B7490" w:rsidP="007A7559">
      <w:pPr>
        <w:pStyle w:val="Heading2"/>
        <w:jc w:val="left"/>
        <w:rPr>
          <w:lang w:val="en-GB"/>
        </w:rPr>
      </w:pPr>
      <w:r w:rsidRPr="004176C9">
        <w:rPr>
          <w:lang w:val="en-GB"/>
        </w:rPr>
        <w:lastRenderedPageBreak/>
        <w:t xml:space="preserve">Data from </w:t>
      </w:r>
      <w:r w:rsidR="00FE2449" w:rsidRPr="004176C9">
        <w:rPr>
          <w:lang w:val="en-GB"/>
        </w:rPr>
        <w:t>ADCET</w:t>
      </w:r>
    </w:p>
    <w:p w14:paraId="0970F36C" w14:textId="18F7BD2C" w:rsidR="00FE2449" w:rsidRDefault="00FE2449" w:rsidP="00FE2449">
      <w:r>
        <w:t>ADCET analytics demonstrate a strong upward trend of people looking for information relating to the</w:t>
      </w:r>
      <w:r w:rsidR="00105EF4">
        <w:t xml:space="preserve"> Standards</w:t>
      </w:r>
      <w:r>
        <w:t xml:space="preserve"> in the tertiary </w:t>
      </w:r>
      <w:r w:rsidR="00F125E2">
        <w:t xml:space="preserve">education </w:t>
      </w:r>
      <w:r>
        <w:t xml:space="preserve">context. </w:t>
      </w:r>
    </w:p>
    <w:p w14:paraId="4EBB7921" w14:textId="77777777" w:rsidR="00FE2449" w:rsidRDefault="00FE2449" w:rsidP="00FE2449">
      <w:pPr>
        <w:keepNext/>
      </w:pPr>
      <w:r>
        <w:rPr>
          <w:noProof/>
        </w:rPr>
        <w:drawing>
          <wp:inline distT="0" distB="0" distL="0" distR="0" wp14:anchorId="473FC235" wp14:editId="0B858C62">
            <wp:extent cx="5676900" cy="3619500"/>
            <wp:effectExtent l="0" t="0" r="0" b="0"/>
            <wp:docPr id="1" name="Chart 1" descr="Chart is titled 'Visitors to ADCET's Disability Standards for Education page, per year'.  The chart depicts a strong upward trend line with the years 2015 - 455 visitors, 2016 - 1396 visitors, 2017 - 2911 visitors, 2018 - 2409 visitors, 2019 - 3977 visitors.">
              <a:extLst xmlns:a="http://schemas.openxmlformats.org/drawingml/2006/main">
                <a:ext uri="{FF2B5EF4-FFF2-40B4-BE49-F238E27FC236}">
                  <a16:creationId xmlns:a16="http://schemas.microsoft.com/office/drawing/2014/main" id="{C99DA69C-1598-42E9-9294-494C2954E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4D8734" w14:textId="0E1037C8" w:rsidR="00FE2449" w:rsidRDefault="00FE2449" w:rsidP="00FE2449">
      <w:pPr>
        <w:pStyle w:val="Caption"/>
      </w:pPr>
      <w:r>
        <w:t xml:space="preserve">Figure </w:t>
      </w:r>
      <w:r w:rsidR="00AF7811">
        <w:fldChar w:fldCharType="begin"/>
      </w:r>
      <w:r w:rsidR="00AF7811">
        <w:instrText xml:space="preserve"> SEQ Figure \* ARABIC </w:instrText>
      </w:r>
      <w:r w:rsidR="00AF7811">
        <w:fldChar w:fldCharType="separate"/>
      </w:r>
      <w:r w:rsidR="00C626FC">
        <w:rPr>
          <w:noProof/>
        </w:rPr>
        <w:t>1</w:t>
      </w:r>
      <w:r w:rsidR="00AF7811">
        <w:rPr>
          <w:noProof/>
        </w:rPr>
        <w:fldChar w:fldCharType="end"/>
      </w:r>
      <w:r>
        <w:t xml:space="preserve"> Trend of visits to information relating to the Disability Standards for Education 2015-2019</w:t>
      </w:r>
    </w:p>
    <w:p w14:paraId="66793FC9" w14:textId="42B240B4" w:rsidR="00BA688C" w:rsidRDefault="00164693" w:rsidP="00BA688C">
      <w:r>
        <w:t xml:space="preserve">Fifty-eight </w:t>
      </w:r>
      <w:r w:rsidR="00F67D7D">
        <w:t xml:space="preserve">percent </w:t>
      </w:r>
      <w:r w:rsidR="00BA688C">
        <w:t xml:space="preserve">of visitors who </w:t>
      </w:r>
      <w:r w:rsidR="00F67D7D">
        <w:t>have visited</w:t>
      </w:r>
      <w:r w:rsidR="00BA688C">
        <w:t xml:space="preserve"> </w:t>
      </w:r>
      <w:r w:rsidR="00794608">
        <w:t xml:space="preserve">the Disability Standards </w:t>
      </w:r>
      <w:r w:rsidR="00105EF4">
        <w:t xml:space="preserve">for Education </w:t>
      </w:r>
      <w:r w:rsidR="00BA688C">
        <w:t xml:space="preserve">page since 2015 have then gone forward to the downloads page where they can obtain a copy of the </w:t>
      </w:r>
      <w:r w:rsidR="00105EF4">
        <w:t>S</w:t>
      </w:r>
      <w:r w:rsidR="00BA688C">
        <w:t xml:space="preserve">tandards.  This data demonstrates that ADCET has seen growth in its users looking for and downloading the </w:t>
      </w:r>
      <w:r w:rsidR="00105EF4">
        <w:t>S</w:t>
      </w:r>
      <w:r w:rsidR="00BA688C">
        <w:t xml:space="preserve">tandards since the last review. </w:t>
      </w:r>
    </w:p>
    <w:p w14:paraId="584506AB" w14:textId="4B6901FF" w:rsidR="002327B9" w:rsidRDefault="002327B9" w:rsidP="002327B9">
      <w:r>
        <w:t xml:space="preserve">ADCET </w:t>
      </w:r>
      <w:r w:rsidR="00210E25">
        <w:t xml:space="preserve">also </w:t>
      </w:r>
      <w:r>
        <w:t xml:space="preserve">has a </w:t>
      </w:r>
      <w:hyperlink r:id="rId13" w:history="1">
        <w:r w:rsidRPr="00863FE7">
          <w:rPr>
            <w:rStyle w:val="Hyperlink"/>
          </w:rPr>
          <w:t>general information page</w:t>
        </w:r>
      </w:hyperlink>
      <w:r>
        <w:t xml:space="preserve"> regarding obligations under the Disability Discrimination Act (1992) and the Disability Standards for </w:t>
      </w:r>
      <w:r w:rsidR="00105EF4">
        <w:t>E</w:t>
      </w:r>
      <w:r>
        <w:t xml:space="preserve">ducation, which has had 9,024 visitors since the last review period. </w:t>
      </w:r>
    </w:p>
    <w:p w14:paraId="6B1DC1BC" w14:textId="56FBA795" w:rsidR="002327B9" w:rsidRPr="00387CCF" w:rsidRDefault="002327B9" w:rsidP="002327B9">
      <w:r>
        <w:t xml:space="preserve">Of particular note and relevant to the themes within this submission is the growth of interest in the </w:t>
      </w:r>
      <w:hyperlink r:id="rId14" w:history="1">
        <w:r w:rsidRPr="00863FE7">
          <w:rPr>
            <w:rStyle w:val="Hyperlink"/>
          </w:rPr>
          <w:t>Universal Design for Learning content</w:t>
        </w:r>
      </w:hyperlink>
      <w:r>
        <w:t xml:space="preserve"> over the last five years. </w:t>
      </w:r>
    </w:p>
    <w:p w14:paraId="6F9E2D8C" w14:textId="77777777" w:rsidR="002327B9" w:rsidRPr="00387CCF" w:rsidRDefault="002327B9" w:rsidP="002327B9">
      <w:pPr>
        <w:rPr>
          <w:highlight w:val="yellow"/>
        </w:rPr>
      </w:pPr>
    </w:p>
    <w:p w14:paraId="22465590" w14:textId="77777777" w:rsidR="002327B9" w:rsidRDefault="002327B9" w:rsidP="002327B9">
      <w:pPr>
        <w:rPr>
          <w:highlight w:val="yellow"/>
        </w:rPr>
      </w:pPr>
    </w:p>
    <w:p w14:paraId="7F4D38F8" w14:textId="77777777" w:rsidR="002327B9" w:rsidRPr="00387CCF" w:rsidRDefault="002327B9" w:rsidP="002327B9">
      <w:pPr>
        <w:rPr>
          <w:highlight w:val="yellow"/>
        </w:rPr>
      </w:pPr>
      <w:r>
        <w:rPr>
          <w:noProof/>
        </w:rPr>
        <w:lastRenderedPageBreak/>
        <w:drawing>
          <wp:inline distT="0" distB="0" distL="0" distR="0" wp14:anchorId="2CA60E03" wp14:editId="79744315">
            <wp:extent cx="5731510" cy="3497580"/>
            <wp:effectExtent l="0" t="0" r="2540" b="7620"/>
            <wp:docPr id="2" name="Chart 2">
              <a:extLst xmlns:a="http://schemas.openxmlformats.org/drawingml/2006/main">
                <a:ext uri="{FF2B5EF4-FFF2-40B4-BE49-F238E27FC236}">
                  <a16:creationId xmlns:a16="http://schemas.microsoft.com/office/drawing/2014/main" id="{3276CA98-83EE-4A25-8FC7-2169307F8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B25D92" w14:textId="0B491259" w:rsidR="002327B9" w:rsidRDefault="002327B9" w:rsidP="00FB1398">
      <w:r>
        <w:t xml:space="preserve">This demonstrates a growing swell of interest in Universal Design for </w:t>
      </w:r>
      <w:r w:rsidR="00105EF4">
        <w:t>L</w:t>
      </w:r>
      <w:r>
        <w:t xml:space="preserve">earning within </w:t>
      </w:r>
      <w:r w:rsidR="00347515">
        <w:t>t</w:t>
      </w:r>
      <w:r>
        <w:t xml:space="preserve">ertiary </w:t>
      </w:r>
      <w:r w:rsidR="00347515">
        <w:t>e</w:t>
      </w:r>
      <w:r>
        <w:t xml:space="preserve">ducation, which at this time is not supported in current policy or legislation, including the Disability Standards for Education (2005). </w:t>
      </w:r>
      <w:r w:rsidR="00210E25">
        <w:tab/>
      </w:r>
    </w:p>
    <w:p w14:paraId="2D6F9F0F" w14:textId="508A58B0" w:rsidR="007F561E" w:rsidRDefault="007F561E" w:rsidP="009E4274">
      <w:pPr>
        <w:pStyle w:val="Heading3"/>
      </w:pPr>
      <w:r>
        <w:t>Disability Awareness in VET</w:t>
      </w:r>
    </w:p>
    <w:p w14:paraId="5FDCA38D" w14:textId="0D51A51F" w:rsidR="0083696A" w:rsidRDefault="00A65FA9" w:rsidP="00D66FE8">
      <w:r>
        <w:rPr>
          <w:lang w:val="en-GB"/>
        </w:rPr>
        <w:t xml:space="preserve">ADCET plays an active role in </w:t>
      </w:r>
      <w:r w:rsidR="00D66FE8">
        <w:rPr>
          <w:lang w:val="en-GB"/>
        </w:rPr>
        <w:t xml:space="preserve">raising disability awareness. </w:t>
      </w:r>
      <w:r w:rsidR="00BA688C">
        <w:rPr>
          <w:lang w:val="en-GB"/>
        </w:rPr>
        <w:t xml:space="preserve">In 2018 ADCET began managing </w:t>
      </w:r>
      <w:hyperlink r:id="rId16" w:history="1">
        <w:r w:rsidR="00347515">
          <w:rPr>
            <w:rStyle w:val="Hyperlink"/>
            <w:lang w:val="en-GB"/>
          </w:rPr>
          <w:t>https://disabilityawareness.com.au/</w:t>
        </w:r>
      </w:hyperlink>
      <w:r w:rsidR="00BA688C">
        <w:rPr>
          <w:lang w:val="en-GB"/>
        </w:rPr>
        <w:t xml:space="preserve"> website that host</w:t>
      </w:r>
      <w:r w:rsidR="005B7968">
        <w:rPr>
          <w:lang w:val="en-GB"/>
        </w:rPr>
        <w:t>s</w:t>
      </w:r>
      <w:r w:rsidR="00BA688C">
        <w:rPr>
          <w:lang w:val="en-GB"/>
        </w:rPr>
        <w:t xml:space="preserve"> an introduction to disability awareness.  In the most recent metrics available about the training usage, </w:t>
      </w:r>
      <w:r w:rsidR="00D66FE8">
        <w:rPr>
          <w:lang w:val="en-GB"/>
        </w:rPr>
        <w:t xml:space="preserve">9,512 people have completed </w:t>
      </w:r>
      <w:r w:rsidR="00BA688C">
        <w:rPr>
          <w:lang w:val="en-GB"/>
        </w:rPr>
        <w:t>this training.</w:t>
      </w:r>
      <w:r w:rsidR="0083696A">
        <w:rPr>
          <w:lang w:val="en-GB"/>
        </w:rPr>
        <w:t xml:space="preserve"> </w:t>
      </w:r>
      <w:r w:rsidR="00347515">
        <w:rPr>
          <w:lang w:val="en-GB"/>
        </w:rPr>
        <w:t>T</w:t>
      </w:r>
      <w:r w:rsidR="00546EE4">
        <w:t>h</w:t>
      </w:r>
      <w:r w:rsidR="0083696A">
        <w:t>is</w:t>
      </w:r>
      <w:r w:rsidR="00546EE4">
        <w:t xml:space="preserve"> generalist training program now sits alongside specialist training in VET.  </w:t>
      </w:r>
    </w:p>
    <w:p w14:paraId="7EB04A7D" w14:textId="551573ED" w:rsidR="00D66FE8" w:rsidRDefault="0083696A" w:rsidP="00D66FE8">
      <w:r>
        <w:t xml:space="preserve">The </w:t>
      </w:r>
      <w:hyperlink r:id="rId17" w:history="1">
        <w:r w:rsidR="00546EE4" w:rsidRPr="00347515">
          <w:rPr>
            <w:rStyle w:val="Hyperlink"/>
          </w:rPr>
          <w:t>Disability Awareness in VET</w:t>
        </w:r>
      </w:hyperlink>
      <w:r w:rsidR="00546EE4">
        <w:t xml:space="preserve"> was</w:t>
      </w:r>
      <w:r w:rsidR="00D66FE8">
        <w:t xml:space="preserve"> designed in collaboration with the NDCO Program</w:t>
      </w:r>
      <w:r>
        <w:t xml:space="preserve">, and </w:t>
      </w:r>
      <w:r w:rsidR="0021458C">
        <w:t>is separated</w:t>
      </w:r>
      <w:r w:rsidR="00D66FE8">
        <w:t xml:space="preserve"> in to two categories – one for VET staff, and one for VET educators.  </w:t>
      </w:r>
      <w:r>
        <w:t xml:space="preserve">Since it was launched in late 2019 there have been </w:t>
      </w:r>
      <w:r w:rsidRPr="0083696A">
        <w:t>1,428 people complete th</w:t>
      </w:r>
      <w:r>
        <w:t xml:space="preserve">is VET </w:t>
      </w:r>
      <w:r w:rsidRPr="0083696A">
        <w:t>training</w:t>
      </w:r>
      <w:r>
        <w:t>.</w:t>
      </w:r>
    </w:p>
    <w:p w14:paraId="01C36C9C" w14:textId="10384000" w:rsidR="00742D69" w:rsidRDefault="00A65FA9" w:rsidP="007F561E">
      <w:r>
        <w:rPr>
          <w:lang w:val="en-GB"/>
        </w:rPr>
        <w:t>The</w:t>
      </w:r>
      <w:r w:rsidR="00546EE4">
        <w:rPr>
          <w:lang w:val="en-GB"/>
        </w:rPr>
        <w:t xml:space="preserve"> Disability Awareness in VET</w:t>
      </w:r>
      <w:r>
        <w:rPr>
          <w:lang w:val="en-GB"/>
        </w:rPr>
        <w:t xml:space="preserve"> </w:t>
      </w:r>
      <w:r w:rsidR="00D66FE8">
        <w:rPr>
          <w:lang w:val="en-GB"/>
        </w:rPr>
        <w:t xml:space="preserve">training </w:t>
      </w:r>
      <w:r w:rsidR="00546EE4">
        <w:rPr>
          <w:lang w:val="en-GB"/>
        </w:rPr>
        <w:t>program</w:t>
      </w:r>
      <w:r>
        <w:rPr>
          <w:lang w:val="en-GB"/>
        </w:rPr>
        <w:t xml:space="preserve"> includes information about VET providers’ obligations under the </w:t>
      </w:r>
      <w:r w:rsidR="00347515">
        <w:rPr>
          <w:lang w:val="en-GB"/>
        </w:rPr>
        <w:t>S</w:t>
      </w:r>
      <w:r w:rsidR="0083696A">
        <w:rPr>
          <w:lang w:val="en-GB"/>
        </w:rPr>
        <w:t xml:space="preserve">tandards </w:t>
      </w:r>
      <w:r>
        <w:rPr>
          <w:lang w:val="en-GB"/>
        </w:rPr>
        <w:t xml:space="preserve">and collects usage data and feedback from educators and practitioners.  Data from this resource is included in this submission, to highlight some of the opportunities and gaps emerging in the sector relevant to the </w:t>
      </w:r>
      <w:r w:rsidR="005B7968">
        <w:rPr>
          <w:lang w:val="en-GB"/>
        </w:rPr>
        <w:t>S</w:t>
      </w:r>
      <w:r>
        <w:rPr>
          <w:lang w:val="en-GB"/>
        </w:rPr>
        <w:t xml:space="preserve">tandards.  </w:t>
      </w:r>
    </w:p>
    <w:p w14:paraId="33266A4F" w14:textId="5DA3B828" w:rsidR="00FB1398" w:rsidRPr="008C3867" w:rsidRDefault="00C12F1C" w:rsidP="008C3867">
      <w:r>
        <w:t>The fee</w:t>
      </w:r>
      <w:r w:rsidR="00D855B3">
        <w:t>d</w:t>
      </w:r>
      <w:r>
        <w:t xml:space="preserve">back gathered from VET </w:t>
      </w:r>
      <w:r w:rsidR="00E46DE0">
        <w:t xml:space="preserve">educators indicates the critical value of providing </w:t>
      </w:r>
      <w:r w:rsidR="00C4536A">
        <w:t xml:space="preserve">awareness about </w:t>
      </w:r>
      <w:r w:rsidR="00170D0F">
        <w:t>the</w:t>
      </w:r>
      <w:r w:rsidR="00387C8F">
        <w:t xml:space="preserve"> inherent requirements and obligations </w:t>
      </w:r>
      <w:r w:rsidR="00505FBD">
        <w:t xml:space="preserve">under the </w:t>
      </w:r>
      <w:r w:rsidR="00C4536A">
        <w:t>Stand</w:t>
      </w:r>
      <w:r w:rsidR="00170D0F">
        <w:t>ards</w:t>
      </w:r>
      <w:r w:rsidR="00546EE4">
        <w:t>.</w:t>
      </w:r>
      <w:r w:rsidR="00505FBD">
        <w:t xml:space="preserve"> </w:t>
      </w:r>
      <w:r w:rsidR="00170D0F">
        <w:t xml:space="preserve"> </w:t>
      </w:r>
      <w:r w:rsidR="008C3867">
        <w:t xml:space="preserve">The </w:t>
      </w:r>
      <w:r w:rsidR="00D855B3">
        <w:t xml:space="preserve">results suggest that </w:t>
      </w:r>
      <w:r w:rsidR="00606D3D">
        <w:t xml:space="preserve">almost </w:t>
      </w:r>
      <w:r w:rsidR="00D855B3">
        <w:t xml:space="preserve">one third of </w:t>
      </w:r>
      <w:r w:rsidR="00D855B3" w:rsidRPr="00D855B3">
        <w:t xml:space="preserve">VET Educators surveyed </w:t>
      </w:r>
      <w:r w:rsidR="00D855B3" w:rsidRPr="00D855B3">
        <w:rPr>
          <w:b/>
          <w:bCs/>
        </w:rPr>
        <w:t>did not</w:t>
      </w:r>
      <w:r w:rsidR="00D855B3" w:rsidRPr="00D855B3">
        <w:t xml:space="preserve"> </w:t>
      </w:r>
      <w:proofErr w:type="gramStart"/>
      <w:r w:rsidR="00D855B3" w:rsidRPr="00D855B3">
        <w:t>have an understanding of</w:t>
      </w:r>
      <w:proofErr w:type="gramEnd"/>
      <w:r w:rsidR="00D855B3" w:rsidRPr="00D855B3">
        <w:t xml:space="preserve"> </w:t>
      </w:r>
      <w:r w:rsidR="00606D3D">
        <w:t>the Standards, or relevant practices</w:t>
      </w:r>
      <w:r w:rsidR="00D855B3" w:rsidRPr="00D855B3">
        <w:t xml:space="preserve"> prior to engaging in the training</w:t>
      </w:r>
      <w:r w:rsidR="0083696A">
        <w:t xml:space="preserve">, however this substantially dropped </w:t>
      </w:r>
      <w:r w:rsidR="00C63D7E">
        <w:t>after training (see Table 1)</w:t>
      </w:r>
      <w:r w:rsidR="00D855B3" w:rsidRPr="00D855B3">
        <w:t xml:space="preserve">. </w:t>
      </w:r>
    </w:p>
    <w:tbl>
      <w:tblPr>
        <w:tblStyle w:val="TableGrid"/>
        <w:tblW w:w="0" w:type="auto"/>
        <w:tblInd w:w="5" w:type="dxa"/>
        <w:tblLook w:val="04A0" w:firstRow="1" w:lastRow="0" w:firstColumn="1" w:lastColumn="0" w:noHBand="0" w:noVBand="1"/>
      </w:tblPr>
      <w:tblGrid>
        <w:gridCol w:w="4248"/>
        <w:gridCol w:w="2410"/>
        <w:gridCol w:w="2358"/>
      </w:tblGrid>
      <w:tr w:rsidR="00FB1398" w:rsidRPr="00606D3D" w14:paraId="7AD16F21" w14:textId="77777777" w:rsidTr="002123DE">
        <w:trPr>
          <w:tblHeader/>
        </w:trPr>
        <w:tc>
          <w:tcPr>
            <w:tcW w:w="4248" w:type="dxa"/>
            <w:tcBorders>
              <w:top w:val="nil"/>
              <w:left w:val="nil"/>
            </w:tcBorders>
          </w:tcPr>
          <w:p w14:paraId="63C92353" w14:textId="77777777" w:rsidR="00FB1398" w:rsidRPr="00BA688C" w:rsidRDefault="00FB1398" w:rsidP="002123DE">
            <w:pPr>
              <w:rPr>
                <w:b/>
                <w:bCs/>
              </w:rPr>
            </w:pPr>
            <w:bookmarkStart w:id="1" w:name="ColumnTitle_1"/>
          </w:p>
        </w:tc>
        <w:tc>
          <w:tcPr>
            <w:tcW w:w="2410" w:type="dxa"/>
          </w:tcPr>
          <w:p w14:paraId="365D240F" w14:textId="77777777" w:rsidR="00FB1398" w:rsidRPr="00BA688C" w:rsidRDefault="00FB1398" w:rsidP="002123DE">
            <w:pPr>
              <w:rPr>
                <w:b/>
                <w:bCs/>
              </w:rPr>
            </w:pPr>
            <w:r w:rsidRPr="00BA688C">
              <w:rPr>
                <w:b/>
                <w:bCs/>
              </w:rPr>
              <w:t>Before undertaking Disability Awareness in VET training</w:t>
            </w:r>
          </w:p>
        </w:tc>
        <w:tc>
          <w:tcPr>
            <w:tcW w:w="2358" w:type="dxa"/>
          </w:tcPr>
          <w:p w14:paraId="2E3D256C" w14:textId="77777777" w:rsidR="00FB1398" w:rsidRPr="00BA688C" w:rsidRDefault="00FB1398" w:rsidP="002123DE">
            <w:pPr>
              <w:rPr>
                <w:b/>
                <w:bCs/>
              </w:rPr>
            </w:pPr>
            <w:r w:rsidRPr="00BA688C">
              <w:rPr>
                <w:b/>
                <w:bCs/>
              </w:rPr>
              <w:t>After completing Disability Awareness in VET training</w:t>
            </w:r>
          </w:p>
        </w:tc>
      </w:tr>
      <w:bookmarkEnd w:id="1"/>
      <w:tr w:rsidR="00FB1398" w14:paraId="799BC97C" w14:textId="77777777" w:rsidTr="002123DE">
        <w:tc>
          <w:tcPr>
            <w:tcW w:w="4248" w:type="dxa"/>
          </w:tcPr>
          <w:p w14:paraId="4FA14F75" w14:textId="77777777" w:rsidR="00FB1398" w:rsidRDefault="00FB1398" w:rsidP="002123DE">
            <w:r w:rsidRPr="00B85B29">
              <w:t xml:space="preserve"> </w:t>
            </w:r>
            <w:r w:rsidRPr="00B85B29">
              <w:rPr>
                <w:i/>
                <w:iCs/>
              </w:rPr>
              <w:t>‘I have an understanding of inherent requirements and reasonable adjustments’</w:t>
            </w:r>
          </w:p>
        </w:tc>
        <w:tc>
          <w:tcPr>
            <w:tcW w:w="2410" w:type="dxa"/>
          </w:tcPr>
          <w:p w14:paraId="7A7208C0" w14:textId="77777777" w:rsidR="00FB1398" w:rsidRDefault="00FB1398" w:rsidP="002123DE">
            <w:r>
              <w:t>66.67%</w:t>
            </w:r>
          </w:p>
        </w:tc>
        <w:tc>
          <w:tcPr>
            <w:tcW w:w="2358" w:type="dxa"/>
          </w:tcPr>
          <w:p w14:paraId="03C6B85F" w14:textId="77777777" w:rsidR="00FB1398" w:rsidRDefault="00FB1398" w:rsidP="002123DE">
            <w:r>
              <w:t>96.67%</w:t>
            </w:r>
          </w:p>
        </w:tc>
      </w:tr>
      <w:tr w:rsidR="00FB1398" w14:paraId="32FDC0C3" w14:textId="77777777" w:rsidTr="002123DE">
        <w:tc>
          <w:tcPr>
            <w:tcW w:w="4248" w:type="dxa"/>
          </w:tcPr>
          <w:p w14:paraId="688D83FE" w14:textId="77777777" w:rsidR="00FB1398" w:rsidRDefault="00FB1398" w:rsidP="002123DE">
            <w:r w:rsidRPr="00733ED3">
              <w:rPr>
                <w:i/>
                <w:iCs/>
              </w:rPr>
              <w:t>I have an understanding of the legislative framework that supports the rights of students with disability in education and training’</w:t>
            </w:r>
          </w:p>
        </w:tc>
        <w:tc>
          <w:tcPr>
            <w:tcW w:w="2410" w:type="dxa"/>
          </w:tcPr>
          <w:p w14:paraId="180DA17C" w14:textId="77777777" w:rsidR="00FB1398" w:rsidRDefault="00FB1398" w:rsidP="002123DE"/>
          <w:p w14:paraId="5DF8CF56" w14:textId="77777777" w:rsidR="00FB1398" w:rsidRDefault="00FB1398" w:rsidP="002123DE">
            <w:r>
              <w:t>65%</w:t>
            </w:r>
          </w:p>
        </w:tc>
        <w:tc>
          <w:tcPr>
            <w:tcW w:w="2358" w:type="dxa"/>
          </w:tcPr>
          <w:p w14:paraId="2D370669" w14:textId="77777777" w:rsidR="00FB1398" w:rsidRDefault="00FB1398" w:rsidP="002123DE">
            <w:r>
              <w:t>95%</w:t>
            </w:r>
          </w:p>
        </w:tc>
      </w:tr>
      <w:tr w:rsidR="00FB1398" w14:paraId="5BD78690" w14:textId="77777777" w:rsidTr="002123DE">
        <w:tc>
          <w:tcPr>
            <w:tcW w:w="4248" w:type="dxa"/>
          </w:tcPr>
          <w:p w14:paraId="4BD8D1C8" w14:textId="77777777" w:rsidR="00FB1398" w:rsidRDefault="00FB1398" w:rsidP="002123DE">
            <w:r w:rsidRPr="00733ED3">
              <w:rPr>
                <w:i/>
                <w:iCs/>
              </w:rPr>
              <w:t>I felt confident in promoting and applying access and inclusion strategies within my teaching practice’</w:t>
            </w:r>
          </w:p>
        </w:tc>
        <w:tc>
          <w:tcPr>
            <w:tcW w:w="2410" w:type="dxa"/>
          </w:tcPr>
          <w:p w14:paraId="57F4B06F" w14:textId="77777777" w:rsidR="00FB1398" w:rsidRDefault="00FB1398" w:rsidP="002123DE">
            <w:r>
              <w:t>70%</w:t>
            </w:r>
          </w:p>
        </w:tc>
        <w:tc>
          <w:tcPr>
            <w:tcW w:w="2358" w:type="dxa"/>
          </w:tcPr>
          <w:p w14:paraId="612176CD" w14:textId="77777777" w:rsidR="00FB1398" w:rsidRDefault="00FB1398" w:rsidP="002123DE">
            <w:r>
              <w:t>96.67%</w:t>
            </w:r>
          </w:p>
        </w:tc>
      </w:tr>
    </w:tbl>
    <w:p w14:paraId="44917399" w14:textId="77777777" w:rsidR="00D66FE8" w:rsidRDefault="00D66FE8" w:rsidP="00D855B3"/>
    <w:p w14:paraId="3F6B285B" w14:textId="077B1883" w:rsidR="00D165BA" w:rsidRDefault="00546EE4" w:rsidP="00D165BA">
      <w:pPr>
        <w:rPr>
          <w:i/>
          <w:iCs/>
        </w:rPr>
      </w:pPr>
      <w:r>
        <w:rPr>
          <w:b/>
          <w:bCs/>
        </w:rPr>
        <w:t xml:space="preserve">The following </w:t>
      </w:r>
      <w:r w:rsidR="00D165BA">
        <w:rPr>
          <w:b/>
          <w:bCs/>
        </w:rPr>
        <w:t>are s</w:t>
      </w:r>
      <w:r w:rsidR="00D165BA" w:rsidRPr="00D165BA">
        <w:rPr>
          <w:b/>
          <w:bCs/>
        </w:rPr>
        <w:t>ome key quotes</w:t>
      </w:r>
      <w:r w:rsidR="00D165BA">
        <w:rPr>
          <w:b/>
          <w:bCs/>
        </w:rPr>
        <w:t xml:space="preserve"> from VET Educators</w:t>
      </w:r>
      <w:r w:rsidR="00D165BA" w:rsidRPr="00D165BA">
        <w:t xml:space="preserve"> in response to the question</w:t>
      </w:r>
      <w:r w:rsidR="00D165BA">
        <w:rPr>
          <w:i/>
          <w:iCs/>
        </w:rPr>
        <w:t xml:space="preserve"> ‘What might you do differently after undertaking this training?’:</w:t>
      </w:r>
    </w:p>
    <w:p w14:paraId="3A533173" w14:textId="6BAFA532" w:rsidR="00D165BA" w:rsidRDefault="00D165BA" w:rsidP="00D165BA">
      <w:pPr>
        <w:pStyle w:val="ListParagraph"/>
        <w:numPr>
          <w:ilvl w:val="0"/>
          <w:numId w:val="14"/>
        </w:numPr>
        <w:rPr>
          <w:i/>
          <w:iCs/>
        </w:rPr>
      </w:pPr>
      <w:r>
        <w:rPr>
          <w:i/>
          <w:iCs/>
        </w:rPr>
        <w:t>“</w:t>
      </w:r>
      <w:r w:rsidR="00792986">
        <w:rPr>
          <w:i/>
          <w:iCs/>
        </w:rPr>
        <w:t>M</w:t>
      </w:r>
      <w:r>
        <w:rPr>
          <w:i/>
          <w:iCs/>
        </w:rPr>
        <w:t>ore recording and documentation of reasonable adjustments”</w:t>
      </w:r>
    </w:p>
    <w:p w14:paraId="7E19DE41" w14:textId="214FFCB1" w:rsidR="00D165BA" w:rsidRDefault="00D165BA" w:rsidP="00D165BA">
      <w:pPr>
        <w:pStyle w:val="ListParagraph"/>
        <w:numPr>
          <w:ilvl w:val="0"/>
          <w:numId w:val="14"/>
        </w:numPr>
        <w:rPr>
          <w:i/>
          <w:iCs/>
        </w:rPr>
      </w:pPr>
      <w:r>
        <w:rPr>
          <w:i/>
          <w:iCs/>
        </w:rPr>
        <w:t>“Take more time discussing different learning strategies with staff and students”</w:t>
      </w:r>
    </w:p>
    <w:p w14:paraId="09A4EDD1" w14:textId="01F15C77" w:rsidR="00D165BA" w:rsidRPr="00546EE4" w:rsidRDefault="00D165BA" w:rsidP="00546EE4">
      <w:pPr>
        <w:pStyle w:val="ListParagraph"/>
        <w:numPr>
          <w:ilvl w:val="0"/>
          <w:numId w:val="14"/>
        </w:numPr>
        <w:rPr>
          <w:i/>
          <w:iCs/>
        </w:rPr>
      </w:pPr>
      <w:r>
        <w:rPr>
          <w:i/>
          <w:iCs/>
        </w:rPr>
        <w:t>“I will be more careful forming individual judgements about students”</w:t>
      </w:r>
    </w:p>
    <w:p w14:paraId="790BFE8C" w14:textId="240DC6D7" w:rsidR="00D165BA" w:rsidRDefault="00D165BA" w:rsidP="00D165BA">
      <w:pPr>
        <w:pStyle w:val="ListParagraph"/>
        <w:numPr>
          <w:ilvl w:val="0"/>
          <w:numId w:val="14"/>
        </w:numPr>
        <w:rPr>
          <w:i/>
          <w:iCs/>
        </w:rPr>
      </w:pPr>
      <w:r>
        <w:rPr>
          <w:i/>
          <w:iCs/>
        </w:rPr>
        <w:t>“Revisit training resources to ensure accessibility”</w:t>
      </w:r>
    </w:p>
    <w:p w14:paraId="3BF113E2" w14:textId="5363F297" w:rsidR="00D165BA" w:rsidRDefault="00D165BA" w:rsidP="00D165BA">
      <w:pPr>
        <w:pStyle w:val="ListParagraph"/>
        <w:numPr>
          <w:ilvl w:val="0"/>
          <w:numId w:val="14"/>
        </w:numPr>
        <w:rPr>
          <w:i/>
          <w:iCs/>
        </w:rPr>
      </w:pPr>
      <w:r>
        <w:rPr>
          <w:i/>
          <w:iCs/>
        </w:rPr>
        <w:t>“Recognise that the way individuals learn can be unique”</w:t>
      </w:r>
    </w:p>
    <w:p w14:paraId="1D042971" w14:textId="597FEB97" w:rsidR="00D165BA" w:rsidRDefault="00D165BA" w:rsidP="00D165BA">
      <w:pPr>
        <w:pStyle w:val="ListParagraph"/>
        <w:numPr>
          <w:ilvl w:val="0"/>
          <w:numId w:val="14"/>
        </w:numPr>
        <w:rPr>
          <w:i/>
          <w:iCs/>
        </w:rPr>
      </w:pPr>
      <w:r>
        <w:rPr>
          <w:i/>
          <w:iCs/>
        </w:rPr>
        <w:t>“Change my language – no longer say “special needs” for example”</w:t>
      </w:r>
    </w:p>
    <w:p w14:paraId="2C243771" w14:textId="2FE2284B" w:rsidR="00742D69" w:rsidRDefault="00606D3D" w:rsidP="00742D69">
      <w:r>
        <w:t>W</w:t>
      </w:r>
      <w:r w:rsidR="00B26FF2">
        <w:t xml:space="preserve">hile our feedback indicates that the VET Disability Awareness training is valuable and </w:t>
      </w:r>
      <w:r w:rsidR="00546EE4">
        <w:t>effective at</w:t>
      </w:r>
      <w:r w:rsidR="00742D69">
        <w:t xml:space="preserve"> addressing </w:t>
      </w:r>
      <w:r w:rsidR="00B26FF2">
        <w:t xml:space="preserve">current gaps in knowledge and skills in the sector, there is still scope for much more to be done. </w:t>
      </w:r>
      <w:r w:rsidR="00546EE4">
        <w:t xml:space="preserve">Specifically, the training is voluntary and would benefit from stronger commitment from the VET sector to embed this into their staff training processes. </w:t>
      </w:r>
    </w:p>
    <w:p w14:paraId="562A8B95" w14:textId="2B2277D6" w:rsidR="00387CCF" w:rsidRDefault="00B93CD9" w:rsidP="00742D69">
      <w:r>
        <w:t xml:space="preserve">Additionally, </w:t>
      </w:r>
      <w:r w:rsidR="00387CCF">
        <w:t xml:space="preserve">ADCET, in collaboration with the NDCO Program, is in the planning process for the development of a ‘Disability Awareness in Higher Education’ training </w:t>
      </w:r>
      <w:r w:rsidR="00546EE4">
        <w:t>program</w:t>
      </w:r>
      <w:r w:rsidR="00387CCF">
        <w:t xml:space="preserve">, and a ‘Universal Design for Learning in Tertiary Education’ training </w:t>
      </w:r>
      <w:r w:rsidR="00546EE4">
        <w:t>program</w:t>
      </w:r>
      <w:r w:rsidR="00387CCF">
        <w:t xml:space="preserve">. </w:t>
      </w:r>
    </w:p>
    <w:p w14:paraId="645C253B" w14:textId="3E0D3621" w:rsidR="00A17491" w:rsidRDefault="00A17491">
      <w:r>
        <w:br w:type="page"/>
      </w:r>
    </w:p>
    <w:p w14:paraId="2B1EA162" w14:textId="0F58611D" w:rsidR="00FB1398" w:rsidRPr="00FB1398" w:rsidRDefault="00291AF3" w:rsidP="00FB1398">
      <w:pPr>
        <w:pStyle w:val="Heading2"/>
        <w:jc w:val="left"/>
        <w:rPr>
          <w:lang w:val="en-GB"/>
        </w:rPr>
      </w:pPr>
      <w:r>
        <w:rPr>
          <w:lang w:val="en-GB"/>
        </w:rPr>
        <w:lastRenderedPageBreak/>
        <w:t xml:space="preserve">ADCET’s Response </w:t>
      </w:r>
      <w:r w:rsidR="00156627">
        <w:rPr>
          <w:lang w:val="en-GB"/>
        </w:rPr>
        <w:t xml:space="preserve">to the </w:t>
      </w:r>
      <w:r w:rsidR="004C6EEB">
        <w:rPr>
          <w:lang w:val="en-GB"/>
        </w:rPr>
        <w:t>Disability Standards for Education</w:t>
      </w:r>
    </w:p>
    <w:p w14:paraId="58FE3895" w14:textId="7710C8F5" w:rsidR="00291AF3" w:rsidRPr="00291AF3" w:rsidRDefault="00291AF3" w:rsidP="00156627">
      <w:r w:rsidRPr="00291AF3">
        <w:rPr>
          <w:b/>
          <w:bCs/>
        </w:rPr>
        <w:t xml:space="preserve">Staff within </w:t>
      </w:r>
      <w:r w:rsidR="00347515">
        <w:rPr>
          <w:b/>
          <w:bCs/>
        </w:rPr>
        <w:t>t</w:t>
      </w:r>
      <w:r w:rsidRPr="00291AF3">
        <w:rPr>
          <w:b/>
          <w:bCs/>
        </w:rPr>
        <w:t>ertiary providers have varied knowledge</w:t>
      </w:r>
      <w:r w:rsidRPr="00291AF3">
        <w:t xml:space="preserve"> about students with disability and their needs, which impacts upon an inclusive culture and curriculum.  All </w:t>
      </w:r>
      <w:r w:rsidR="00A17491">
        <w:t>s</w:t>
      </w:r>
      <w:r w:rsidRPr="00291AF3">
        <w:t xml:space="preserve">taff </w:t>
      </w:r>
      <w:r w:rsidR="00A17491">
        <w:t xml:space="preserve">would benefit from </w:t>
      </w:r>
      <w:r w:rsidR="00BE4DAE">
        <w:t xml:space="preserve">having </w:t>
      </w:r>
      <w:r w:rsidR="00E83BC0">
        <w:t>a comprehensive</w:t>
      </w:r>
      <w:r w:rsidR="00BE4DAE">
        <w:t xml:space="preserve"> </w:t>
      </w:r>
      <w:r w:rsidRPr="00291AF3">
        <w:t xml:space="preserve">understanding of their responsibilities under the Disability Standards for Education and a sound knowledge about the application of strategies and solutions.  Data from our Disability Awareness in VET training indicates that educators are open to training opportunities and that the training improves their understanding of their obligations under the </w:t>
      </w:r>
      <w:r w:rsidR="005B7968">
        <w:t>S</w:t>
      </w:r>
      <w:r w:rsidRPr="00291AF3">
        <w:t>tandards.</w:t>
      </w:r>
    </w:p>
    <w:p w14:paraId="05DE752D" w14:textId="59FA49ED" w:rsidR="00291AF3" w:rsidRPr="00291AF3" w:rsidRDefault="003D15D0" w:rsidP="00B37C03">
      <w:pPr>
        <w:ind w:left="720"/>
        <w:rPr>
          <w:i/>
          <w:iCs/>
        </w:rPr>
      </w:pPr>
      <w:r w:rsidRPr="003D15D0">
        <w:rPr>
          <w:b/>
          <w:bCs/>
          <w:i/>
          <w:iCs/>
        </w:rPr>
        <w:t>Recommendation</w:t>
      </w:r>
      <w:r w:rsidR="0031232B">
        <w:rPr>
          <w:b/>
          <w:bCs/>
          <w:i/>
          <w:iCs/>
        </w:rPr>
        <w:t xml:space="preserve"> 1 </w:t>
      </w:r>
      <w:r w:rsidRPr="003D15D0">
        <w:rPr>
          <w:b/>
          <w:bCs/>
          <w:i/>
          <w:iCs/>
        </w:rPr>
        <w:t>:</w:t>
      </w:r>
      <w:r>
        <w:rPr>
          <w:i/>
          <w:iCs/>
        </w:rPr>
        <w:t xml:space="preserve"> </w:t>
      </w:r>
      <w:r w:rsidR="00291AF3" w:rsidRPr="00291AF3">
        <w:rPr>
          <w:i/>
          <w:iCs/>
        </w:rPr>
        <w:t xml:space="preserve">Build in obligations across other legislative and policy instruments (for example TEQSA and ASQA regulation) relative to tertiary education provider registration </w:t>
      </w:r>
      <w:r w:rsidR="00546CAD">
        <w:rPr>
          <w:i/>
          <w:iCs/>
        </w:rPr>
        <w:t xml:space="preserve">for </w:t>
      </w:r>
      <w:r w:rsidR="00291AF3" w:rsidRPr="00291AF3">
        <w:rPr>
          <w:i/>
          <w:iCs/>
        </w:rPr>
        <w:t xml:space="preserve">compulsory annual staff training in the </w:t>
      </w:r>
      <w:r w:rsidR="005B7968">
        <w:rPr>
          <w:i/>
          <w:iCs/>
        </w:rPr>
        <w:t>S</w:t>
      </w:r>
      <w:r w:rsidR="00291AF3" w:rsidRPr="00291AF3">
        <w:rPr>
          <w:i/>
          <w:iCs/>
        </w:rPr>
        <w:t xml:space="preserve">tandards and Disability Awareness for all (academic and professional) staff, similar to training such as cultural awareness, code of conduct, privacy and confidentiality. This regulation should extend to TEQSA and ASQA’s internal staff being required to undertake this training, to support structural understanding and change.  </w:t>
      </w:r>
    </w:p>
    <w:p w14:paraId="4241F1B3" w14:textId="11CE5D6D" w:rsidR="00291AF3" w:rsidRPr="00033DBF" w:rsidRDefault="0031232B" w:rsidP="00291AF3">
      <w:r>
        <w:rPr>
          <w:i/>
          <w:iCs/>
        </w:rPr>
        <w:tab/>
      </w:r>
      <w:r w:rsidRPr="00033DBF">
        <w:rPr>
          <w:b/>
          <w:bCs/>
          <w:i/>
          <w:iCs/>
        </w:rPr>
        <w:t xml:space="preserve"> </w:t>
      </w:r>
    </w:p>
    <w:p w14:paraId="6FCBCE21" w14:textId="32CB4B29" w:rsidR="001069AA" w:rsidRDefault="00291AF3" w:rsidP="00033DBF">
      <w:pPr>
        <w:rPr>
          <w:lang w:val="en-GB"/>
        </w:rPr>
      </w:pPr>
      <w:r w:rsidRPr="00291AF3">
        <w:rPr>
          <w:b/>
          <w:bCs/>
          <w:lang w:val="en-GB"/>
        </w:rPr>
        <w:t>A lack of clear commitment to professionalising the sector and adequately funding practitioners.</w:t>
      </w:r>
      <w:r w:rsidRPr="00291AF3">
        <w:rPr>
          <w:lang w:val="en-GB"/>
        </w:rPr>
        <w:t xml:space="preserve"> </w:t>
      </w:r>
      <w:r w:rsidR="00BF1053">
        <w:rPr>
          <w:lang w:val="en-GB"/>
        </w:rPr>
        <w:t xml:space="preserve"> While it is important that all staff are knowledgeable and work within the Standard’s legislative framework, t</w:t>
      </w:r>
      <w:r w:rsidRPr="00291AF3">
        <w:rPr>
          <w:lang w:val="en-GB"/>
        </w:rPr>
        <w:t xml:space="preserve">he role of Disability/Access Practitioners within the tertiary sector </w:t>
      </w:r>
      <w:r w:rsidR="0099600C">
        <w:rPr>
          <w:lang w:val="en-GB"/>
        </w:rPr>
        <w:t xml:space="preserve">remains </w:t>
      </w:r>
      <w:r w:rsidRPr="00291AF3">
        <w:rPr>
          <w:lang w:val="en-GB"/>
        </w:rPr>
        <w:t>vital</w:t>
      </w:r>
      <w:r w:rsidR="0083087C">
        <w:rPr>
          <w:lang w:val="en-GB"/>
        </w:rPr>
        <w:t xml:space="preserve">. </w:t>
      </w:r>
      <w:r w:rsidRPr="00291AF3">
        <w:rPr>
          <w:lang w:val="en-GB"/>
        </w:rPr>
        <w:t>The</w:t>
      </w:r>
      <w:r w:rsidR="0080740A">
        <w:rPr>
          <w:lang w:val="en-GB"/>
        </w:rPr>
        <w:t xml:space="preserve">ir </w:t>
      </w:r>
      <w:r w:rsidRPr="00291AF3">
        <w:rPr>
          <w:lang w:val="en-GB"/>
        </w:rPr>
        <w:t xml:space="preserve">expertise cannot be underestimated, as the practitioners are the </w:t>
      </w:r>
      <w:r w:rsidR="002D6D7A">
        <w:rPr>
          <w:lang w:val="en-GB"/>
        </w:rPr>
        <w:t xml:space="preserve">drivers </w:t>
      </w:r>
      <w:r w:rsidRPr="00291AF3">
        <w:rPr>
          <w:lang w:val="en-GB"/>
        </w:rPr>
        <w:t xml:space="preserve">of disability inclusion </w:t>
      </w:r>
      <w:r w:rsidR="0083087C">
        <w:rPr>
          <w:lang w:val="en-GB"/>
        </w:rPr>
        <w:t xml:space="preserve">across the tertiary </w:t>
      </w:r>
      <w:r w:rsidR="0099600C">
        <w:rPr>
          <w:lang w:val="en-GB"/>
        </w:rPr>
        <w:t>sector and</w:t>
      </w:r>
      <w:r w:rsidR="007754ED">
        <w:rPr>
          <w:lang w:val="en-GB"/>
        </w:rPr>
        <w:t xml:space="preserve"> play a pivotal role in enabling their institution’s obligation to consult with students regarding reasona</w:t>
      </w:r>
      <w:r w:rsidR="00F93E17">
        <w:rPr>
          <w:lang w:val="en-GB"/>
        </w:rPr>
        <w:t>ble adjustments.</w:t>
      </w:r>
      <w:r w:rsidR="007754ED">
        <w:rPr>
          <w:lang w:val="en-GB"/>
        </w:rPr>
        <w:t xml:space="preserve"> </w:t>
      </w:r>
      <w:r w:rsidRPr="00291AF3">
        <w:rPr>
          <w:lang w:val="en-GB"/>
        </w:rPr>
        <w:t xml:space="preserve"> </w:t>
      </w:r>
      <w:r w:rsidR="00E5225C">
        <w:rPr>
          <w:lang w:val="en-GB"/>
        </w:rPr>
        <w:t>For example, r</w:t>
      </w:r>
      <w:r w:rsidR="00B657CA">
        <w:rPr>
          <w:lang w:val="en-GB"/>
        </w:rPr>
        <w:t xml:space="preserve">ecently a scoping survey of </w:t>
      </w:r>
      <w:r w:rsidR="00E5225C">
        <w:rPr>
          <w:lang w:val="en-GB"/>
        </w:rPr>
        <w:t xml:space="preserve">practitioners in the sector </w:t>
      </w:r>
      <w:r w:rsidR="00615AF2">
        <w:rPr>
          <w:lang w:val="en-GB"/>
        </w:rPr>
        <w:t>highlighted the depth and breadth of the</w:t>
      </w:r>
      <w:r w:rsidR="001A1834">
        <w:rPr>
          <w:lang w:val="en-GB"/>
        </w:rPr>
        <w:t>ir</w:t>
      </w:r>
      <w:r w:rsidR="00615AF2">
        <w:rPr>
          <w:lang w:val="en-GB"/>
        </w:rPr>
        <w:t xml:space="preserve"> commitment </w:t>
      </w:r>
      <w:r w:rsidR="001A1834">
        <w:rPr>
          <w:lang w:val="en-GB"/>
        </w:rPr>
        <w:t xml:space="preserve">to ensuring equity in education, even in very challenging times. </w:t>
      </w:r>
      <w:r w:rsidR="00C91931">
        <w:rPr>
          <w:rStyle w:val="FootnoteReference"/>
          <w:lang w:val="en-GB"/>
        </w:rPr>
        <w:footnoteReference w:id="1"/>
      </w:r>
      <w:r w:rsidR="001069AA">
        <w:rPr>
          <w:lang w:val="en-GB"/>
        </w:rPr>
        <w:t>T</w:t>
      </w:r>
      <w:r w:rsidR="00760F7D">
        <w:rPr>
          <w:lang w:val="en-GB"/>
        </w:rPr>
        <w:t xml:space="preserve">here are currently no benchmarks or indicators for appropriate level of </w:t>
      </w:r>
      <w:r w:rsidR="009B7B28">
        <w:rPr>
          <w:lang w:val="en-GB"/>
        </w:rPr>
        <w:t xml:space="preserve">service or caseload numbers. </w:t>
      </w:r>
    </w:p>
    <w:p w14:paraId="02D1F49F" w14:textId="5178E508" w:rsidR="004001DF" w:rsidRDefault="001069AA" w:rsidP="00033DBF">
      <w:pPr>
        <w:rPr>
          <w:lang w:val="en-GB"/>
        </w:rPr>
      </w:pPr>
      <w:r w:rsidRPr="001069AA">
        <w:rPr>
          <w:lang w:val="en-GB"/>
        </w:rPr>
        <w:t xml:space="preserve">The risks of the unavailability of knowledgeable staff within institutions has been compounded during COVID-19, with news of redundancies and restructures effecting these vital student support services.  </w:t>
      </w:r>
      <w:r w:rsidR="00291AF3" w:rsidRPr="00291AF3">
        <w:rPr>
          <w:lang w:val="en-GB"/>
        </w:rPr>
        <w:t>Expert individual advice for students is necessary and should be universally available regardless of budget constraints, inclination, or leadership within individual institutions.</w:t>
      </w:r>
      <w:r w:rsidR="004001DF">
        <w:rPr>
          <w:lang w:val="en-GB"/>
        </w:rPr>
        <w:t xml:space="preserve">  </w:t>
      </w:r>
    </w:p>
    <w:p w14:paraId="225A619F" w14:textId="68B39C2F" w:rsidR="00291AF3" w:rsidRDefault="00291AF3" w:rsidP="005C0EE4">
      <w:pPr>
        <w:ind w:left="720"/>
        <w:rPr>
          <w:i/>
          <w:iCs/>
        </w:rPr>
      </w:pPr>
      <w:r w:rsidRPr="00291AF3">
        <w:rPr>
          <w:b/>
          <w:bCs/>
          <w:i/>
          <w:iCs/>
        </w:rPr>
        <w:t>Recommendation</w:t>
      </w:r>
      <w:r w:rsidR="004001DF">
        <w:rPr>
          <w:b/>
          <w:bCs/>
          <w:i/>
          <w:iCs/>
        </w:rPr>
        <w:t xml:space="preserve"> 2</w:t>
      </w:r>
      <w:r w:rsidRPr="00291AF3">
        <w:rPr>
          <w:b/>
          <w:bCs/>
          <w:i/>
          <w:iCs/>
        </w:rPr>
        <w:t>:</w:t>
      </w:r>
      <w:r w:rsidR="004001DF">
        <w:rPr>
          <w:b/>
          <w:bCs/>
          <w:i/>
          <w:iCs/>
        </w:rPr>
        <w:t xml:space="preserve"> </w:t>
      </w:r>
      <w:r w:rsidR="00F93E17">
        <w:rPr>
          <w:b/>
          <w:bCs/>
          <w:i/>
          <w:iCs/>
        </w:rPr>
        <w:t xml:space="preserve"> </w:t>
      </w:r>
      <w:r w:rsidRPr="00291AF3">
        <w:rPr>
          <w:i/>
          <w:iCs/>
        </w:rPr>
        <w:t xml:space="preserve">Professionalise the practice of disability practitioners in tertiary education by scoping the development of a Graduate level qualification in disability practice and </w:t>
      </w:r>
      <w:r w:rsidR="000F630F">
        <w:rPr>
          <w:i/>
          <w:iCs/>
        </w:rPr>
        <w:t xml:space="preserve">a </w:t>
      </w:r>
      <w:r w:rsidRPr="00291AF3">
        <w:rPr>
          <w:i/>
          <w:iCs/>
        </w:rPr>
        <w:t>Continued Professional Development system.</w:t>
      </w:r>
    </w:p>
    <w:p w14:paraId="120FB30D" w14:textId="64CCFFA7" w:rsidR="005C0EE4" w:rsidRPr="00291AF3" w:rsidRDefault="005C0EE4" w:rsidP="005C0EE4">
      <w:pPr>
        <w:ind w:left="720"/>
        <w:rPr>
          <w:i/>
          <w:iCs/>
        </w:rPr>
      </w:pPr>
      <w:r>
        <w:rPr>
          <w:b/>
          <w:bCs/>
          <w:i/>
          <w:iCs/>
        </w:rPr>
        <w:t>Recommendation 3:</w:t>
      </w:r>
      <w:r>
        <w:rPr>
          <w:i/>
          <w:iCs/>
        </w:rPr>
        <w:t xml:space="preserve"> Establish nationally consistent benchmark</w:t>
      </w:r>
      <w:r w:rsidR="00893934">
        <w:rPr>
          <w:i/>
          <w:iCs/>
        </w:rPr>
        <w:t>s</w:t>
      </w:r>
      <w:r>
        <w:rPr>
          <w:i/>
          <w:iCs/>
        </w:rPr>
        <w:t xml:space="preserve"> or indicators o</w:t>
      </w:r>
      <w:r w:rsidR="00750DE2">
        <w:rPr>
          <w:i/>
          <w:iCs/>
        </w:rPr>
        <w:t xml:space="preserve">f student caseloads across the tertiary sector. </w:t>
      </w:r>
      <w:r w:rsidR="00F56411">
        <w:rPr>
          <w:i/>
          <w:iCs/>
        </w:rPr>
        <w:t xml:space="preserve"> While we real</w:t>
      </w:r>
      <w:r w:rsidR="005B7968">
        <w:rPr>
          <w:i/>
          <w:iCs/>
        </w:rPr>
        <w:t>is</w:t>
      </w:r>
      <w:r w:rsidR="00F56411">
        <w:rPr>
          <w:i/>
          <w:iCs/>
        </w:rPr>
        <w:t xml:space="preserve">e that institutions can vary in expectations of the requirements of the role, this would enable conversations about </w:t>
      </w:r>
      <w:r w:rsidR="00470DE1">
        <w:rPr>
          <w:i/>
          <w:iCs/>
        </w:rPr>
        <w:t xml:space="preserve">quality consultations and provision of adjustments. </w:t>
      </w:r>
    </w:p>
    <w:p w14:paraId="7A941C53" w14:textId="38B561FE" w:rsidR="00F233A7" w:rsidRDefault="00F233A7" w:rsidP="00F233A7">
      <w:pPr>
        <w:pStyle w:val="ListParagraph"/>
        <w:rPr>
          <w:rFonts w:eastAsia="Times New Roman"/>
          <w:sz w:val="22"/>
          <w:szCs w:val="22"/>
        </w:rPr>
      </w:pPr>
    </w:p>
    <w:p w14:paraId="217D1DAC" w14:textId="77777777" w:rsidR="0018682D" w:rsidRPr="00F233A7" w:rsidRDefault="0018682D" w:rsidP="00F233A7">
      <w:pPr>
        <w:pStyle w:val="ListParagraph"/>
        <w:rPr>
          <w:rFonts w:eastAsia="Times New Roman"/>
          <w:sz w:val="22"/>
          <w:szCs w:val="22"/>
        </w:rPr>
      </w:pPr>
    </w:p>
    <w:p w14:paraId="5A24A191" w14:textId="5961D578" w:rsidR="00286C8F" w:rsidRDefault="00DE305D" w:rsidP="00A652BD">
      <w:pPr>
        <w:rPr>
          <w:rFonts w:eastAsia="Times New Roman"/>
          <w:sz w:val="22"/>
          <w:szCs w:val="22"/>
        </w:rPr>
      </w:pPr>
      <w:r w:rsidRPr="00A652BD">
        <w:rPr>
          <w:rFonts w:eastAsia="Times New Roman"/>
          <w:b/>
          <w:bCs/>
          <w:sz w:val="22"/>
          <w:szCs w:val="22"/>
        </w:rPr>
        <w:lastRenderedPageBreak/>
        <w:t>Adjustment requests, c</w:t>
      </w:r>
      <w:r w:rsidR="00286C8F" w:rsidRPr="00A652BD">
        <w:rPr>
          <w:rFonts w:eastAsia="Times New Roman"/>
          <w:b/>
          <w:bCs/>
          <w:sz w:val="22"/>
          <w:szCs w:val="22"/>
        </w:rPr>
        <w:t xml:space="preserve">omplaints and resolutions occur at the individual level </w:t>
      </w:r>
      <w:r w:rsidR="00286C8F" w:rsidRPr="00A652BD">
        <w:rPr>
          <w:rFonts w:eastAsia="Times New Roman"/>
          <w:sz w:val="22"/>
          <w:szCs w:val="22"/>
        </w:rPr>
        <w:t>within institutions</w:t>
      </w:r>
      <w:r w:rsidR="00464E25" w:rsidRPr="00A652BD">
        <w:rPr>
          <w:rFonts w:eastAsia="Times New Roman"/>
          <w:sz w:val="22"/>
          <w:szCs w:val="22"/>
        </w:rPr>
        <w:t xml:space="preserve">, driven by the way the </w:t>
      </w:r>
      <w:r w:rsidR="005B7968">
        <w:rPr>
          <w:rFonts w:eastAsia="Times New Roman"/>
          <w:sz w:val="22"/>
          <w:szCs w:val="22"/>
        </w:rPr>
        <w:t>S</w:t>
      </w:r>
      <w:r w:rsidR="00464E25" w:rsidRPr="00A652BD">
        <w:rPr>
          <w:rFonts w:eastAsia="Times New Roman"/>
          <w:sz w:val="22"/>
          <w:szCs w:val="22"/>
        </w:rPr>
        <w:t xml:space="preserve">tandards are written </w:t>
      </w:r>
      <w:r w:rsidR="009B2EA2">
        <w:rPr>
          <w:rFonts w:eastAsia="Times New Roman"/>
          <w:sz w:val="22"/>
          <w:szCs w:val="22"/>
        </w:rPr>
        <w:t xml:space="preserve">and </w:t>
      </w:r>
      <w:r w:rsidR="00464E25" w:rsidRPr="00A652BD">
        <w:rPr>
          <w:rFonts w:eastAsia="Times New Roman"/>
          <w:sz w:val="22"/>
          <w:szCs w:val="22"/>
        </w:rPr>
        <w:t>constructed</w:t>
      </w:r>
      <w:r w:rsidR="00286C8F" w:rsidRPr="00A652BD">
        <w:rPr>
          <w:rFonts w:eastAsia="Times New Roman"/>
          <w:b/>
          <w:bCs/>
          <w:sz w:val="22"/>
          <w:szCs w:val="22"/>
        </w:rPr>
        <w:t>.</w:t>
      </w:r>
      <w:r w:rsidRPr="00A652BD">
        <w:rPr>
          <w:rFonts w:eastAsia="Times New Roman"/>
          <w:b/>
          <w:bCs/>
          <w:sz w:val="22"/>
          <w:szCs w:val="22"/>
        </w:rPr>
        <w:t xml:space="preserve"> </w:t>
      </w:r>
      <w:r w:rsidRPr="00A652BD">
        <w:rPr>
          <w:rFonts w:eastAsia="Times New Roman"/>
          <w:sz w:val="22"/>
          <w:szCs w:val="22"/>
        </w:rPr>
        <w:t>There is</w:t>
      </w:r>
      <w:r w:rsidR="00286C8F" w:rsidRPr="00A652BD">
        <w:rPr>
          <w:rFonts w:eastAsia="Times New Roman"/>
          <w:sz w:val="22"/>
          <w:szCs w:val="22"/>
        </w:rPr>
        <w:t xml:space="preserve"> </w:t>
      </w:r>
      <w:r w:rsidRPr="00A652BD">
        <w:rPr>
          <w:rFonts w:eastAsia="Times New Roman"/>
          <w:sz w:val="22"/>
          <w:szCs w:val="22"/>
        </w:rPr>
        <w:t>n</w:t>
      </w:r>
      <w:r w:rsidR="00286C8F" w:rsidRPr="00A652BD">
        <w:rPr>
          <w:rFonts w:eastAsia="Times New Roman"/>
          <w:sz w:val="22"/>
          <w:szCs w:val="22"/>
        </w:rPr>
        <w:t>o central platform for building on and sharing experiences</w:t>
      </w:r>
      <w:r w:rsidR="00286C8F" w:rsidRPr="00A652BD">
        <w:rPr>
          <w:rFonts w:eastAsia="Times New Roman"/>
          <w:b/>
          <w:bCs/>
          <w:sz w:val="22"/>
          <w:szCs w:val="22"/>
        </w:rPr>
        <w:t xml:space="preserve"> </w:t>
      </w:r>
      <w:r w:rsidR="00286C8F" w:rsidRPr="00A652BD">
        <w:rPr>
          <w:rFonts w:eastAsia="Times New Roman"/>
          <w:sz w:val="22"/>
          <w:szCs w:val="22"/>
        </w:rPr>
        <w:t xml:space="preserve">of meeting obligations under the </w:t>
      </w:r>
      <w:r w:rsidR="009B2EA2">
        <w:rPr>
          <w:rFonts w:eastAsia="Times New Roman"/>
          <w:sz w:val="22"/>
          <w:szCs w:val="22"/>
        </w:rPr>
        <w:t xml:space="preserve">Standards </w:t>
      </w:r>
      <w:r w:rsidR="00286C8F" w:rsidRPr="00A652BD">
        <w:rPr>
          <w:rFonts w:eastAsia="Times New Roman"/>
          <w:sz w:val="22"/>
          <w:szCs w:val="22"/>
        </w:rPr>
        <w:t>to promote a culture of continuous improvement</w:t>
      </w:r>
      <w:r w:rsidRPr="00A652BD">
        <w:rPr>
          <w:rFonts w:eastAsia="Times New Roman"/>
          <w:sz w:val="22"/>
          <w:szCs w:val="22"/>
        </w:rPr>
        <w:t xml:space="preserve"> – in particular, one that is accessible to students. </w:t>
      </w:r>
      <w:r w:rsidR="00B47232" w:rsidRPr="00A652BD">
        <w:rPr>
          <w:rFonts w:eastAsia="Times New Roman"/>
          <w:sz w:val="22"/>
          <w:szCs w:val="22"/>
        </w:rPr>
        <w:t xml:space="preserve"> This is perpetuated by the </w:t>
      </w:r>
      <w:r w:rsidR="005B7968">
        <w:rPr>
          <w:rFonts w:eastAsia="Times New Roman"/>
          <w:sz w:val="22"/>
          <w:szCs w:val="22"/>
        </w:rPr>
        <w:t>S</w:t>
      </w:r>
      <w:r w:rsidR="00B47232" w:rsidRPr="00A652BD">
        <w:rPr>
          <w:rFonts w:eastAsia="Times New Roman"/>
          <w:sz w:val="22"/>
          <w:szCs w:val="22"/>
        </w:rPr>
        <w:t xml:space="preserve">tandards as a one-person </w:t>
      </w:r>
      <w:r w:rsidR="00464E25" w:rsidRPr="00A652BD">
        <w:rPr>
          <w:rFonts w:eastAsia="Times New Roman"/>
          <w:sz w:val="22"/>
          <w:szCs w:val="22"/>
        </w:rPr>
        <w:t>focus</w:t>
      </w:r>
      <w:r w:rsidR="00B47232" w:rsidRPr="00A652BD">
        <w:rPr>
          <w:rFonts w:eastAsia="Times New Roman"/>
          <w:sz w:val="22"/>
          <w:szCs w:val="22"/>
        </w:rPr>
        <w:t>.</w:t>
      </w:r>
    </w:p>
    <w:p w14:paraId="615CDFC5" w14:textId="5444FFC4" w:rsidR="00A36022" w:rsidRPr="00A36022" w:rsidRDefault="00A36022" w:rsidP="00A36022">
      <w:pPr>
        <w:rPr>
          <w:rFonts w:eastAsia="Times New Roman"/>
          <w:sz w:val="22"/>
          <w:szCs w:val="22"/>
        </w:rPr>
      </w:pPr>
      <w:r w:rsidRPr="00A36022">
        <w:rPr>
          <w:rFonts w:eastAsia="Times New Roman"/>
          <w:sz w:val="22"/>
          <w:szCs w:val="22"/>
        </w:rPr>
        <w:t xml:space="preserve">ADCET </w:t>
      </w:r>
      <w:r w:rsidR="00835C18">
        <w:rPr>
          <w:rFonts w:eastAsia="Times New Roman"/>
          <w:sz w:val="22"/>
          <w:szCs w:val="22"/>
        </w:rPr>
        <w:t xml:space="preserve">is often contacted by </w:t>
      </w:r>
      <w:r w:rsidRPr="00A36022">
        <w:rPr>
          <w:rFonts w:eastAsia="Times New Roman"/>
          <w:sz w:val="22"/>
          <w:szCs w:val="22"/>
        </w:rPr>
        <w:t>individual students asking about their rights and seeking ideas for potential solutions and remedies</w:t>
      </w:r>
      <w:r w:rsidR="00005A22">
        <w:rPr>
          <w:rFonts w:eastAsia="Times New Roman"/>
          <w:sz w:val="22"/>
          <w:szCs w:val="22"/>
        </w:rPr>
        <w:t>. H</w:t>
      </w:r>
      <w:r w:rsidRPr="00A36022">
        <w:rPr>
          <w:rFonts w:eastAsia="Times New Roman"/>
          <w:sz w:val="22"/>
          <w:szCs w:val="22"/>
        </w:rPr>
        <w:t xml:space="preserve">owever, </w:t>
      </w:r>
      <w:r w:rsidR="00A61EEC">
        <w:rPr>
          <w:rFonts w:eastAsia="Times New Roman"/>
          <w:sz w:val="22"/>
          <w:szCs w:val="22"/>
        </w:rPr>
        <w:t xml:space="preserve">ADCET does not have </w:t>
      </w:r>
      <w:r w:rsidR="005A75CC">
        <w:rPr>
          <w:rFonts w:eastAsia="Times New Roman"/>
          <w:sz w:val="22"/>
          <w:szCs w:val="22"/>
        </w:rPr>
        <w:t xml:space="preserve">the resources to </w:t>
      </w:r>
      <w:r w:rsidR="00827DDA">
        <w:rPr>
          <w:rFonts w:eastAsia="Times New Roman"/>
          <w:sz w:val="22"/>
          <w:szCs w:val="22"/>
        </w:rPr>
        <w:t xml:space="preserve">employ </w:t>
      </w:r>
      <w:r w:rsidR="00A61EEC">
        <w:rPr>
          <w:rFonts w:eastAsia="Times New Roman"/>
          <w:sz w:val="22"/>
          <w:szCs w:val="22"/>
        </w:rPr>
        <w:t>legal expertise to provide advice</w:t>
      </w:r>
      <w:r w:rsidR="00005A22">
        <w:rPr>
          <w:rFonts w:eastAsia="Times New Roman"/>
          <w:sz w:val="22"/>
          <w:szCs w:val="22"/>
        </w:rPr>
        <w:t xml:space="preserve">, nor is </w:t>
      </w:r>
      <w:r w:rsidR="005D5AB4">
        <w:rPr>
          <w:rFonts w:eastAsia="Times New Roman"/>
          <w:sz w:val="22"/>
          <w:szCs w:val="22"/>
        </w:rPr>
        <w:t xml:space="preserve">able to identify any </w:t>
      </w:r>
      <w:r>
        <w:rPr>
          <w:rFonts w:eastAsia="Times New Roman"/>
          <w:sz w:val="22"/>
          <w:szCs w:val="22"/>
        </w:rPr>
        <w:t xml:space="preserve">appropriate and affordable </w:t>
      </w:r>
      <w:r w:rsidR="00FD104C">
        <w:rPr>
          <w:rFonts w:eastAsia="Times New Roman"/>
          <w:sz w:val="22"/>
          <w:szCs w:val="22"/>
        </w:rPr>
        <w:t xml:space="preserve">alternative </w:t>
      </w:r>
      <w:r>
        <w:rPr>
          <w:rFonts w:eastAsia="Times New Roman"/>
          <w:sz w:val="22"/>
          <w:szCs w:val="22"/>
        </w:rPr>
        <w:t>point</w:t>
      </w:r>
      <w:r w:rsidR="00FD104C">
        <w:rPr>
          <w:rFonts w:eastAsia="Times New Roman"/>
          <w:sz w:val="22"/>
          <w:szCs w:val="22"/>
        </w:rPr>
        <w:t>s</w:t>
      </w:r>
      <w:r>
        <w:rPr>
          <w:rFonts w:eastAsia="Times New Roman"/>
          <w:sz w:val="22"/>
          <w:szCs w:val="22"/>
        </w:rPr>
        <w:t xml:space="preserve"> of referral</w:t>
      </w:r>
      <w:r w:rsidR="00FD104C">
        <w:rPr>
          <w:rFonts w:eastAsia="Times New Roman"/>
          <w:sz w:val="22"/>
          <w:szCs w:val="22"/>
        </w:rPr>
        <w:t xml:space="preserve">.  </w:t>
      </w:r>
      <w:r w:rsidR="001F00C0">
        <w:rPr>
          <w:rFonts w:eastAsia="Times New Roman"/>
          <w:sz w:val="22"/>
          <w:szCs w:val="22"/>
        </w:rPr>
        <w:t xml:space="preserve"> </w:t>
      </w:r>
      <w:r w:rsidR="001F1BB7">
        <w:rPr>
          <w:rFonts w:eastAsia="Times New Roman"/>
          <w:sz w:val="22"/>
          <w:szCs w:val="22"/>
        </w:rPr>
        <w:t xml:space="preserve">Potentially the system </w:t>
      </w:r>
      <w:r w:rsidR="004A201E">
        <w:rPr>
          <w:rFonts w:eastAsia="Times New Roman"/>
          <w:sz w:val="22"/>
          <w:szCs w:val="22"/>
        </w:rPr>
        <w:t>could</w:t>
      </w:r>
      <w:r w:rsidR="001F1BB7">
        <w:rPr>
          <w:rFonts w:eastAsia="Times New Roman"/>
          <w:sz w:val="22"/>
          <w:szCs w:val="22"/>
        </w:rPr>
        <w:t xml:space="preserve"> therefore </w:t>
      </w:r>
      <w:r w:rsidR="004A201E">
        <w:rPr>
          <w:rFonts w:eastAsia="Times New Roman"/>
          <w:sz w:val="22"/>
          <w:szCs w:val="22"/>
        </w:rPr>
        <w:t xml:space="preserve">be </w:t>
      </w:r>
      <w:r w:rsidR="001F1BB7">
        <w:rPr>
          <w:rFonts w:eastAsia="Times New Roman"/>
          <w:sz w:val="22"/>
          <w:szCs w:val="22"/>
        </w:rPr>
        <w:t xml:space="preserve">discriminating </w:t>
      </w:r>
      <w:r w:rsidR="00BA75EA">
        <w:rPr>
          <w:rFonts w:eastAsia="Times New Roman"/>
          <w:sz w:val="22"/>
          <w:szCs w:val="22"/>
        </w:rPr>
        <w:t>against</w:t>
      </w:r>
      <w:r w:rsidR="001F1BB7">
        <w:rPr>
          <w:rFonts w:eastAsia="Times New Roman"/>
          <w:sz w:val="22"/>
          <w:szCs w:val="22"/>
        </w:rPr>
        <w:t xml:space="preserve"> those who do not have the financial or psychological resources to </w:t>
      </w:r>
      <w:r w:rsidR="00BA75EA">
        <w:rPr>
          <w:rFonts w:eastAsia="Times New Roman"/>
          <w:sz w:val="22"/>
          <w:szCs w:val="22"/>
        </w:rPr>
        <w:t xml:space="preserve">pursue a complaint through to </w:t>
      </w:r>
      <w:proofErr w:type="gramStart"/>
      <w:r w:rsidR="00BA75EA">
        <w:rPr>
          <w:rFonts w:eastAsia="Times New Roman"/>
          <w:sz w:val="22"/>
          <w:szCs w:val="22"/>
        </w:rPr>
        <w:t>resolution</w:t>
      </w:r>
      <w:r w:rsidR="008C3867">
        <w:rPr>
          <w:rFonts w:eastAsia="Times New Roman"/>
          <w:sz w:val="22"/>
          <w:szCs w:val="22"/>
        </w:rPr>
        <w:t>, and</w:t>
      </w:r>
      <w:proofErr w:type="gramEnd"/>
      <w:r w:rsidR="008C3867">
        <w:rPr>
          <w:rFonts w:eastAsia="Times New Roman"/>
          <w:sz w:val="22"/>
          <w:szCs w:val="22"/>
        </w:rPr>
        <w:t xml:space="preserve"> is a significant gap in the system.</w:t>
      </w:r>
      <w:r w:rsidR="00C519EA">
        <w:rPr>
          <w:rFonts w:eastAsia="Times New Roman"/>
          <w:sz w:val="22"/>
          <w:szCs w:val="22"/>
        </w:rPr>
        <w:t xml:space="preserve"> </w:t>
      </w:r>
    </w:p>
    <w:p w14:paraId="49D63C87" w14:textId="1CEF29DC" w:rsidR="004D7C8B" w:rsidRDefault="003671E9" w:rsidP="00A26168">
      <w:pPr>
        <w:rPr>
          <w:rFonts w:eastAsia="Times New Roman"/>
          <w:sz w:val="22"/>
          <w:szCs w:val="22"/>
        </w:rPr>
      </w:pPr>
      <w:r>
        <w:rPr>
          <w:rFonts w:eastAsia="Times New Roman"/>
          <w:sz w:val="22"/>
          <w:szCs w:val="22"/>
        </w:rPr>
        <w:t>Over the last 15 years</w:t>
      </w:r>
      <w:r w:rsidR="001F3853">
        <w:rPr>
          <w:rFonts w:eastAsia="Times New Roman"/>
          <w:sz w:val="22"/>
          <w:szCs w:val="22"/>
        </w:rPr>
        <w:t xml:space="preserve"> d</w:t>
      </w:r>
      <w:r w:rsidR="00A25D63">
        <w:rPr>
          <w:rFonts w:eastAsia="Times New Roman"/>
          <w:sz w:val="22"/>
          <w:szCs w:val="22"/>
        </w:rPr>
        <w:t xml:space="preserve">isability practitioners from the </w:t>
      </w:r>
      <w:r w:rsidR="00226695">
        <w:rPr>
          <w:rFonts w:eastAsia="Times New Roman"/>
          <w:sz w:val="22"/>
          <w:szCs w:val="22"/>
        </w:rPr>
        <w:t xml:space="preserve">Australian and New Zealand </w:t>
      </w:r>
      <w:r w:rsidR="00A25D63">
        <w:rPr>
          <w:rFonts w:eastAsia="Times New Roman"/>
          <w:sz w:val="22"/>
          <w:szCs w:val="22"/>
        </w:rPr>
        <w:t xml:space="preserve">tertiary sector have shown initiative </w:t>
      </w:r>
      <w:r w:rsidR="004F62E6">
        <w:rPr>
          <w:rFonts w:eastAsia="Times New Roman"/>
          <w:sz w:val="22"/>
          <w:szCs w:val="22"/>
        </w:rPr>
        <w:t>in developing</w:t>
      </w:r>
      <w:r>
        <w:rPr>
          <w:rFonts w:eastAsia="Times New Roman"/>
          <w:sz w:val="22"/>
          <w:szCs w:val="22"/>
        </w:rPr>
        <w:t xml:space="preserve"> a peer support network </w:t>
      </w:r>
      <w:r w:rsidR="00A25D63">
        <w:rPr>
          <w:rFonts w:eastAsia="Times New Roman"/>
          <w:sz w:val="22"/>
          <w:szCs w:val="22"/>
        </w:rPr>
        <w:t>through an email list</w:t>
      </w:r>
      <w:r w:rsidR="00226695">
        <w:rPr>
          <w:rFonts w:eastAsia="Times New Roman"/>
          <w:sz w:val="22"/>
          <w:szCs w:val="22"/>
        </w:rPr>
        <w:t xml:space="preserve">  - </w:t>
      </w:r>
      <w:r w:rsidR="00A25D63">
        <w:rPr>
          <w:rFonts w:eastAsia="Times New Roman"/>
          <w:sz w:val="22"/>
          <w:szCs w:val="22"/>
        </w:rPr>
        <w:t xml:space="preserve"> </w:t>
      </w:r>
      <w:r w:rsidR="00286C8F" w:rsidRPr="00DE305D">
        <w:rPr>
          <w:rFonts w:eastAsia="Times New Roman"/>
          <w:sz w:val="22"/>
          <w:szCs w:val="22"/>
        </w:rPr>
        <w:t>established by ATEND</w:t>
      </w:r>
      <w:r w:rsidR="00226695">
        <w:rPr>
          <w:rFonts w:eastAsia="Times New Roman"/>
          <w:sz w:val="22"/>
          <w:szCs w:val="22"/>
        </w:rPr>
        <w:t xml:space="preserve">, </w:t>
      </w:r>
      <w:r w:rsidR="00286C8F" w:rsidRPr="00DE305D">
        <w:rPr>
          <w:rFonts w:eastAsia="Times New Roman"/>
          <w:sz w:val="22"/>
          <w:szCs w:val="22"/>
        </w:rPr>
        <w:t>Australian Tertiary Education Network</w:t>
      </w:r>
      <w:r w:rsidR="00A25D63">
        <w:rPr>
          <w:rFonts w:eastAsia="Times New Roman"/>
          <w:sz w:val="22"/>
          <w:szCs w:val="22"/>
        </w:rPr>
        <w:t xml:space="preserve"> </w:t>
      </w:r>
      <w:r w:rsidR="00893934">
        <w:rPr>
          <w:rFonts w:eastAsia="Times New Roman"/>
          <w:sz w:val="22"/>
          <w:szCs w:val="22"/>
        </w:rPr>
        <w:t xml:space="preserve">on Disability </w:t>
      </w:r>
      <w:r w:rsidR="00CC0E49">
        <w:rPr>
          <w:rFonts w:eastAsia="Times New Roman"/>
          <w:sz w:val="22"/>
          <w:szCs w:val="22"/>
        </w:rPr>
        <w:t xml:space="preserve">– to share information and knowledge about complex scenarios and reasonable adjustments.  </w:t>
      </w:r>
      <w:r w:rsidR="00955A6F">
        <w:rPr>
          <w:rFonts w:eastAsia="Times New Roman"/>
          <w:sz w:val="22"/>
          <w:szCs w:val="22"/>
        </w:rPr>
        <w:t>This list serves as an exemplar i</w:t>
      </w:r>
      <w:r w:rsidR="008E1A0D">
        <w:rPr>
          <w:rFonts w:eastAsia="Times New Roman"/>
          <w:sz w:val="22"/>
          <w:szCs w:val="22"/>
        </w:rPr>
        <w:t xml:space="preserve">n the </w:t>
      </w:r>
      <w:r w:rsidR="00E20570">
        <w:rPr>
          <w:rFonts w:eastAsia="Times New Roman"/>
          <w:sz w:val="22"/>
          <w:szCs w:val="22"/>
        </w:rPr>
        <w:t xml:space="preserve">tertiary education </w:t>
      </w:r>
      <w:r w:rsidR="008E1A0D">
        <w:rPr>
          <w:rFonts w:eastAsia="Times New Roman"/>
          <w:sz w:val="22"/>
          <w:szCs w:val="22"/>
        </w:rPr>
        <w:t xml:space="preserve">sector </w:t>
      </w:r>
      <w:r w:rsidR="00D30A06">
        <w:rPr>
          <w:rFonts w:eastAsia="Times New Roman"/>
          <w:sz w:val="22"/>
          <w:szCs w:val="22"/>
        </w:rPr>
        <w:t xml:space="preserve">in the manner it </w:t>
      </w:r>
      <w:r w:rsidR="00D30A06" w:rsidRPr="00D30A06">
        <w:rPr>
          <w:rFonts w:eastAsia="Times New Roman"/>
          <w:sz w:val="22"/>
          <w:szCs w:val="22"/>
        </w:rPr>
        <w:t>facilitate</w:t>
      </w:r>
      <w:r w:rsidR="00D30A06">
        <w:rPr>
          <w:rFonts w:eastAsia="Times New Roman"/>
          <w:sz w:val="22"/>
          <w:szCs w:val="22"/>
        </w:rPr>
        <w:t>s</w:t>
      </w:r>
      <w:r w:rsidR="00D30A06" w:rsidRPr="00D30A06">
        <w:rPr>
          <w:rFonts w:eastAsia="Times New Roman"/>
          <w:sz w:val="22"/>
          <w:szCs w:val="22"/>
        </w:rPr>
        <w:t xml:space="preserve"> discussion and information-sharing </w:t>
      </w:r>
      <w:r w:rsidR="00C57FE5" w:rsidRPr="00C57FE5">
        <w:rPr>
          <w:rFonts w:eastAsia="Times New Roman"/>
          <w:sz w:val="22"/>
          <w:szCs w:val="22"/>
        </w:rPr>
        <w:t>on inclusive teaching, learning and support for people with disability</w:t>
      </w:r>
      <w:r w:rsidR="00A26168">
        <w:rPr>
          <w:rFonts w:eastAsia="Times New Roman"/>
          <w:sz w:val="22"/>
          <w:szCs w:val="22"/>
        </w:rPr>
        <w:t>.</w:t>
      </w:r>
      <w:r w:rsidR="00C57FE5" w:rsidRPr="00C57FE5">
        <w:rPr>
          <w:rFonts w:eastAsia="Times New Roman"/>
          <w:sz w:val="22"/>
          <w:szCs w:val="22"/>
        </w:rPr>
        <w:t xml:space="preserve"> </w:t>
      </w:r>
    </w:p>
    <w:p w14:paraId="23B633E7" w14:textId="7614F763" w:rsidR="00BF5F1F" w:rsidRPr="00C164CC" w:rsidRDefault="00BF5F1F" w:rsidP="00C164CC">
      <w:pPr>
        <w:ind w:left="720"/>
        <w:rPr>
          <w:rFonts w:eastAsia="Times New Roman"/>
          <w:i/>
          <w:iCs/>
          <w:sz w:val="22"/>
          <w:szCs w:val="22"/>
        </w:rPr>
      </w:pPr>
      <w:r w:rsidRPr="00C164CC">
        <w:rPr>
          <w:rFonts w:eastAsia="Times New Roman"/>
          <w:b/>
          <w:bCs/>
          <w:i/>
          <w:iCs/>
          <w:sz w:val="22"/>
          <w:szCs w:val="22"/>
        </w:rPr>
        <w:t>Recommendation 4:</w:t>
      </w:r>
      <w:r w:rsidRPr="00C164CC">
        <w:rPr>
          <w:rFonts w:eastAsia="Times New Roman"/>
          <w:i/>
          <w:iCs/>
          <w:sz w:val="22"/>
          <w:szCs w:val="22"/>
        </w:rPr>
        <w:t xml:space="preserve">  The provision of a central, specific contact point for students to receive advice about requesting adjustments and lodging complaints regarding their access to</w:t>
      </w:r>
      <w:r w:rsidR="005B7968">
        <w:rPr>
          <w:rFonts w:eastAsia="Times New Roman"/>
          <w:i/>
          <w:iCs/>
          <w:sz w:val="22"/>
          <w:szCs w:val="22"/>
        </w:rPr>
        <w:t xml:space="preserve"> </w:t>
      </w:r>
      <w:r w:rsidR="00893934">
        <w:rPr>
          <w:rFonts w:eastAsia="Times New Roman"/>
          <w:i/>
          <w:iCs/>
          <w:sz w:val="22"/>
          <w:szCs w:val="22"/>
        </w:rPr>
        <w:t>t</w:t>
      </w:r>
      <w:r w:rsidR="00893934" w:rsidRPr="00C164CC">
        <w:rPr>
          <w:rFonts w:eastAsia="Times New Roman"/>
          <w:i/>
          <w:iCs/>
          <w:sz w:val="22"/>
          <w:szCs w:val="22"/>
        </w:rPr>
        <w:t xml:space="preserve">ertiary </w:t>
      </w:r>
      <w:r w:rsidR="00893934">
        <w:rPr>
          <w:rFonts w:eastAsia="Times New Roman"/>
          <w:i/>
          <w:iCs/>
          <w:sz w:val="22"/>
          <w:szCs w:val="22"/>
        </w:rPr>
        <w:t>e</w:t>
      </w:r>
      <w:r w:rsidR="00893934" w:rsidRPr="00C164CC">
        <w:rPr>
          <w:rFonts w:eastAsia="Times New Roman"/>
          <w:i/>
          <w:iCs/>
          <w:sz w:val="22"/>
          <w:szCs w:val="22"/>
        </w:rPr>
        <w:t>ducation</w:t>
      </w:r>
      <w:r w:rsidRPr="00C164CC">
        <w:rPr>
          <w:rFonts w:eastAsia="Times New Roman"/>
          <w:i/>
          <w:iCs/>
          <w:sz w:val="22"/>
          <w:szCs w:val="22"/>
        </w:rPr>
        <w:t xml:space="preserve">. </w:t>
      </w:r>
      <w:r w:rsidR="004C031F" w:rsidRPr="00C164CC">
        <w:rPr>
          <w:rFonts w:eastAsia="Times New Roman"/>
          <w:i/>
          <w:iCs/>
          <w:sz w:val="22"/>
          <w:szCs w:val="22"/>
        </w:rPr>
        <w:t xml:space="preserve">Ideally this would include free </w:t>
      </w:r>
      <w:r w:rsidRPr="00C164CC">
        <w:rPr>
          <w:rFonts w:eastAsia="Times New Roman"/>
          <w:i/>
          <w:iCs/>
          <w:sz w:val="22"/>
          <w:szCs w:val="22"/>
        </w:rPr>
        <w:t>expert legal advice</w:t>
      </w:r>
      <w:r w:rsidR="004C031F" w:rsidRPr="00C164CC">
        <w:rPr>
          <w:rFonts w:eastAsia="Times New Roman"/>
          <w:i/>
          <w:iCs/>
          <w:sz w:val="22"/>
          <w:szCs w:val="22"/>
        </w:rPr>
        <w:t xml:space="preserve"> for students with disability</w:t>
      </w:r>
      <w:r w:rsidR="00C164CC" w:rsidRPr="00C164CC">
        <w:rPr>
          <w:rFonts w:eastAsia="Times New Roman"/>
          <w:i/>
          <w:iCs/>
          <w:sz w:val="22"/>
          <w:szCs w:val="22"/>
        </w:rPr>
        <w:t xml:space="preserve"> and staff on appropriate adjustments, rights and obligations</w:t>
      </w:r>
      <w:r w:rsidR="004C031F" w:rsidRPr="00C164CC">
        <w:rPr>
          <w:rFonts w:eastAsia="Times New Roman"/>
          <w:i/>
          <w:iCs/>
          <w:sz w:val="22"/>
          <w:szCs w:val="22"/>
        </w:rPr>
        <w:t xml:space="preserve">. </w:t>
      </w:r>
      <w:r w:rsidRPr="00C164CC">
        <w:rPr>
          <w:rFonts w:eastAsia="Times New Roman"/>
          <w:i/>
          <w:iCs/>
          <w:sz w:val="22"/>
          <w:szCs w:val="22"/>
        </w:rPr>
        <w:t xml:space="preserve"> </w:t>
      </w:r>
    </w:p>
    <w:p w14:paraId="1EF84C02" w14:textId="434C08A0" w:rsidR="007F5CF1" w:rsidRDefault="007F5CF1" w:rsidP="00C164CC">
      <w:pPr>
        <w:tabs>
          <w:tab w:val="left" w:pos="950"/>
        </w:tabs>
        <w:ind w:left="720"/>
        <w:rPr>
          <w:rFonts w:eastAsia="Times New Roman"/>
          <w:i/>
          <w:iCs/>
          <w:sz w:val="22"/>
          <w:szCs w:val="22"/>
        </w:rPr>
      </w:pPr>
      <w:r w:rsidRPr="007F5CF1">
        <w:rPr>
          <w:rFonts w:eastAsia="Times New Roman"/>
          <w:b/>
          <w:bCs/>
          <w:i/>
          <w:iCs/>
          <w:sz w:val="22"/>
          <w:szCs w:val="22"/>
        </w:rPr>
        <w:t xml:space="preserve">Recommendation </w:t>
      </w:r>
      <w:r w:rsidR="00C164CC">
        <w:rPr>
          <w:rFonts w:eastAsia="Times New Roman"/>
          <w:b/>
          <w:bCs/>
          <w:i/>
          <w:iCs/>
          <w:sz w:val="22"/>
          <w:szCs w:val="22"/>
        </w:rPr>
        <w:t>5</w:t>
      </w:r>
      <w:r w:rsidRPr="007F5CF1">
        <w:rPr>
          <w:rFonts w:eastAsia="Times New Roman"/>
          <w:b/>
          <w:bCs/>
          <w:i/>
          <w:iCs/>
          <w:sz w:val="22"/>
          <w:szCs w:val="22"/>
        </w:rPr>
        <w:t xml:space="preserve">: </w:t>
      </w:r>
      <w:r w:rsidRPr="007F5CF1">
        <w:rPr>
          <w:rFonts w:eastAsia="Times New Roman"/>
          <w:i/>
          <w:iCs/>
          <w:sz w:val="22"/>
          <w:szCs w:val="22"/>
        </w:rPr>
        <w:t xml:space="preserve">Students and staff should have easy access to national </w:t>
      </w:r>
      <w:r>
        <w:rPr>
          <w:rFonts w:eastAsia="Times New Roman"/>
          <w:i/>
          <w:iCs/>
          <w:sz w:val="22"/>
          <w:szCs w:val="22"/>
        </w:rPr>
        <w:t xml:space="preserve">information </w:t>
      </w:r>
      <w:r w:rsidRPr="007F5CF1">
        <w:rPr>
          <w:rFonts w:eastAsia="Times New Roman"/>
          <w:i/>
          <w:iCs/>
          <w:sz w:val="22"/>
          <w:szCs w:val="22"/>
        </w:rPr>
        <w:t xml:space="preserve">about requests </w:t>
      </w:r>
      <w:r w:rsidR="008066B5">
        <w:rPr>
          <w:rFonts w:eastAsia="Times New Roman"/>
          <w:i/>
          <w:iCs/>
          <w:sz w:val="22"/>
          <w:szCs w:val="22"/>
        </w:rPr>
        <w:t xml:space="preserve">and precedents </w:t>
      </w:r>
      <w:r w:rsidRPr="007F5CF1">
        <w:rPr>
          <w:rFonts w:eastAsia="Times New Roman"/>
          <w:i/>
          <w:iCs/>
          <w:sz w:val="22"/>
          <w:szCs w:val="22"/>
        </w:rPr>
        <w:t xml:space="preserve">for reasonable adjustments &amp; resolutions, aggregated from all tertiary providers.  </w:t>
      </w:r>
      <w:r w:rsidR="00BA6F27">
        <w:rPr>
          <w:rFonts w:eastAsia="Times New Roman"/>
          <w:i/>
          <w:iCs/>
          <w:sz w:val="22"/>
          <w:szCs w:val="22"/>
        </w:rPr>
        <w:t>This c</w:t>
      </w:r>
      <w:r w:rsidRPr="007F5CF1">
        <w:rPr>
          <w:rFonts w:eastAsia="Times New Roman"/>
          <w:i/>
          <w:iCs/>
          <w:sz w:val="22"/>
          <w:szCs w:val="22"/>
        </w:rPr>
        <w:t xml:space="preserve">ould </w:t>
      </w:r>
      <w:r w:rsidR="00BA6F27">
        <w:rPr>
          <w:rFonts w:eastAsia="Times New Roman"/>
          <w:i/>
          <w:iCs/>
          <w:sz w:val="22"/>
          <w:szCs w:val="22"/>
        </w:rPr>
        <w:t xml:space="preserve">enhance </w:t>
      </w:r>
      <w:r w:rsidRPr="007F5CF1">
        <w:rPr>
          <w:rFonts w:eastAsia="Times New Roman"/>
          <w:i/>
          <w:iCs/>
          <w:sz w:val="22"/>
          <w:szCs w:val="22"/>
        </w:rPr>
        <w:t xml:space="preserve">practitioner </w:t>
      </w:r>
      <w:r w:rsidR="00312596" w:rsidRPr="007F5CF1">
        <w:rPr>
          <w:rFonts w:eastAsia="Times New Roman"/>
          <w:i/>
          <w:iCs/>
          <w:sz w:val="22"/>
          <w:szCs w:val="22"/>
        </w:rPr>
        <w:t>knowledge and</w:t>
      </w:r>
      <w:r w:rsidRPr="007F5CF1">
        <w:rPr>
          <w:rFonts w:eastAsia="Times New Roman"/>
          <w:i/>
          <w:iCs/>
          <w:sz w:val="22"/>
          <w:szCs w:val="22"/>
        </w:rPr>
        <w:t xml:space="preserve"> empower students to know their options. </w:t>
      </w:r>
    </w:p>
    <w:p w14:paraId="5D3BFC83" w14:textId="5BCD176F" w:rsidR="001D52AE" w:rsidRDefault="004D7C8B" w:rsidP="00750CAE">
      <w:pPr>
        <w:ind w:left="720"/>
        <w:rPr>
          <w:rFonts w:eastAsia="Times New Roman"/>
          <w:i/>
          <w:iCs/>
          <w:sz w:val="22"/>
          <w:szCs w:val="22"/>
        </w:rPr>
      </w:pPr>
      <w:r w:rsidRPr="00A26168">
        <w:rPr>
          <w:rFonts w:eastAsia="Times New Roman"/>
          <w:b/>
          <w:bCs/>
          <w:i/>
          <w:iCs/>
          <w:sz w:val="22"/>
          <w:szCs w:val="22"/>
        </w:rPr>
        <w:t>Recommendation</w:t>
      </w:r>
      <w:r w:rsidR="00C164CC">
        <w:rPr>
          <w:rFonts w:eastAsia="Times New Roman"/>
          <w:b/>
          <w:bCs/>
          <w:i/>
          <w:iCs/>
          <w:sz w:val="22"/>
          <w:szCs w:val="22"/>
        </w:rPr>
        <w:t xml:space="preserve"> 6</w:t>
      </w:r>
      <w:r w:rsidR="007F5CF1">
        <w:rPr>
          <w:rFonts w:eastAsia="Times New Roman"/>
          <w:b/>
          <w:bCs/>
          <w:i/>
          <w:iCs/>
          <w:sz w:val="22"/>
          <w:szCs w:val="22"/>
        </w:rPr>
        <w:t xml:space="preserve">: </w:t>
      </w:r>
      <w:r w:rsidR="001D52AE" w:rsidRPr="00750CAE">
        <w:rPr>
          <w:rFonts w:eastAsia="Times New Roman"/>
          <w:i/>
          <w:iCs/>
          <w:sz w:val="22"/>
          <w:szCs w:val="22"/>
        </w:rPr>
        <w:t>While ADCET utilises th</w:t>
      </w:r>
      <w:r w:rsidR="005C256D">
        <w:rPr>
          <w:rFonts w:eastAsia="Times New Roman"/>
          <w:i/>
          <w:iCs/>
          <w:sz w:val="22"/>
          <w:szCs w:val="22"/>
        </w:rPr>
        <w:t>e ATEND</w:t>
      </w:r>
      <w:r w:rsidR="001D52AE" w:rsidRPr="00750CAE">
        <w:rPr>
          <w:rFonts w:eastAsia="Times New Roman"/>
          <w:i/>
          <w:iCs/>
          <w:sz w:val="22"/>
          <w:szCs w:val="22"/>
        </w:rPr>
        <w:t xml:space="preserve"> list to inform content, remain informed of current trends and develop resources on key issues</w:t>
      </w:r>
      <w:r w:rsidR="007C246F" w:rsidRPr="00750CAE">
        <w:rPr>
          <w:rFonts w:eastAsia="Times New Roman"/>
          <w:i/>
          <w:iCs/>
          <w:sz w:val="22"/>
          <w:szCs w:val="22"/>
        </w:rPr>
        <w:t>, there exists a missed opportunity to maximise the learnings and</w:t>
      </w:r>
      <w:r w:rsidR="00E27D98" w:rsidRPr="00750CAE">
        <w:rPr>
          <w:rFonts w:eastAsia="Times New Roman"/>
          <w:i/>
          <w:iCs/>
          <w:sz w:val="22"/>
          <w:szCs w:val="22"/>
        </w:rPr>
        <w:t xml:space="preserve"> information </w:t>
      </w:r>
      <w:r w:rsidR="00C8724A" w:rsidRPr="00750CAE">
        <w:rPr>
          <w:rFonts w:eastAsia="Times New Roman"/>
          <w:i/>
          <w:iCs/>
          <w:sz w:val="22"/>
          <w:szCs w:val="22"/>
        </w:rPr>
        <w:t xml:space="preserve">from this due to inadequate resources.  </w:t>
      </w:r>
      <w:r w:rsidR="00841CDC" w:rsidRPr="00750CAE">
        <w:rPr>
          <w:rFonts w:eastAsia="Times New Roman"/>
          <w:i/>
          <w:iCs/>
          <w:sz w:val="22"/>
          <w:szCs w:val="22"/>
        </w:rPr>
        <w:t>The</w:t>
      </w:r>
      <w:r w:rsidR="00AC36DC">
        <w:rPr>
          <w:rFonts w:eastAsia="Times New Roman"/>
          <w:i/>
          <w:iCs/>
          <w:sz w:val="22"/>
          <w:szCs w:val="22"/>
        </w:rPr>
        <w:t xml:space="preserve"> </w:t>
      </w:r>
      <w:r w:rsidR="00EF6181">
        <w:rPr>
          <w:rFonts w:eastAsia="Times New Roman"/>
          <w:i/>
          <w:iCs/>
          <w:sz w:val="22"/>
          <w:szCs w:val="22"/>
        </w:rPr>
        <w:t>sector</w:t>
      </w:r>
      <w:r w:rsidR="00AC36DC">
        <w:rPr>
          <w:rFonts w:eastAsia="Times New Roman"/>
          <w:i/>
          <w:iCs/>
          <w:sz w:val="22"/>
          <w:szCs w:val="22"/>
        </w:rPr>
        <w:t xml:space="preserve"> would benefit from </w:t>
      </w:r>
      <w:r w:rsidR="00841CDC" w:rsidRPr="00750CAE">
        <w:rPr>
          <w:rFonts w:eastAsia="Times New Roman"/>
          <w:i/>
          <w:iCs/>
          <w:sz w:val="22"/>
          <w:szCs w:val="22"/>
        </w:rPr>
        <w:t>captur</w:t>
      </w:r>
      <w:r w:rsidR="00EF6181">
        <w:rPr>
          <w:rFonts w:eastAsia="Times New Roman"/>
          <w:i/>
          <w:iCs/>
          <w:sz w:val="22"/>
          <w:szCs w:val="22"/>
        </w:rPr>
        <w:t>ing</w:t>
      </w:r>
      <w:r w:rsidR="00841CDC" w:rsidRPr="00750CAE">
        <w:rPr>
          <w:rFonts w:eastAsia="Times New Roman"/>
          <w:i/>
          <w:iCs/>
          <w:sz w:val="22"/>
          <w:szCs w:val="22"/>
        </w:rPr>
        <w:t xml:space="preserve"> and collati</w:t>
      </w:r>
      <w:r w:rsidR="00EF6181">
        <w:rPr>
          <w:rFonts w:eastAsia="Times New Roman"/>
          <w:i/>
          <w:iCs/>
          <w:sz w:val="22"/>
          <w:szCs w:val="22"/>
        </w:rPr>
        <w:t>ng more</w:t>
      </w:r>
      <w:r w:rsidR="00841CDC" w:rsidRPr="00750CAE">
        <w:rPr>
          <w:rFonts w:eastAsia="Times New Roman"/>
          <w:i/>
          <w:iCs/>
          <w:sz w:val="22"/>
          <w:szCs w:val="22"/>
        </w:rPr>
        <w:t xml:space="preserve"> of the information </w:t>
      </w:r>
      <w:r w:rsidR="00750CAE" w:rsidRPr="00750CAE">
        <w:rPr>
          <w:rFonts w:eastAsia="Times New Roman"/>
          <w:i/>
          <w:iCs/>
          <w:sz w:val="22"/>
          <w:szCs w:val="22"/>
        </w:rPr>
        <w:t xml:space="preserve">to inform practice </w:t>
      </w:r>
      <w:r w:rsidR="00841CDC" w:rsidRPr="00750CAE">
        <w:rPr>
          <w:rFonts w:eastAsia="Times New Roman"/>
          <w:i/>
          <w:iCs/>
          <w:sz w:val="22"/>
          <w:szCs w:val="22"/>
        </w:rPr>
        <w:t xml:space="preserve">both within and beyond the group membership. </w:t>
      </w:r>
    </w:p>
    <w:p w14:paraId="735C2CC7" w14:textId="77777777" w:rsidR="00FB1398" w:rsidRDefault="00FB1398" w:rsidP="00750CAE">
      <w:pPr>
        <w:ind w:left="720"/>
        <w:rPr>
          <w:rFonts w:eastAsia="Times New Roman"/>
          <w:i/>
          <w:iCs/>
          <w:sz w:val="22"/>
          <w:szCs w:val="22"/>
        </w:rPr>
      </w:pPr>
    </w:p>
    <w:p w14:paraId="4DA62A5F" w14:textId="1D639477" w:rsidR="007B34E3" w:rsidRDefault="00067CC6" w:rsidP="007E59D8">
      <w:pPr>
        <w:rPr>
          <w:rFonts w:eastAsia="Times New Roman"/>
          <w:sz w:val="22"/>
          <w:szCs w:val="22"/>
        </w:rPr>
      </w:pPr>
      <w:r w:rsidRPr="00C21FDD">
        <w:rPr>
          <w:rFonts w:eastAsia="Times New Roman"/>
          <w:b/>
          <w:bCs/>
          <w:sz w:val="22"/>
          <w:szCs w:val="22"/>
        </w:rPr>
        <w:t xml:space="preserve">Accessing </w:t>
      </w:r>
      <w:r w:rsidR="00F90B1B" w:rsidRPr="00C21FDD">
        <w:rPr>
          <w:rFonts w:eastAsia="Times New Roman"/>
          <w:b/>
          <w:bCs/>
          <w:sz w:val="22"/>
          <w:szCs w:val="22"/>
        </w:rPr>
        <w:t xml:space="preserve">print </w:t>
      </w:r>
      <w:r w:rsidR="007A568D">
        <w:rPr>
          <w:rFonts w:eastAsia="Times New Roman"/>
          <w:b/>
          <w:bCs/>
          <w:sz w:val="22"/>
          <w:szCs w:val="22"/>
        </w:rPr>
        <w:t>in an</w:t>
      </w:r>
      <w:r w:rsidR="007A568D" w:rsidRPr="00C21FDD">
        <w:rPr>
          <w:rFonts w:eastAsia="Times New Roman"/>
          <w:b/>
          <w:bCs/>
          <w:sz w:val="22"/>
          <w:szCs w:val="22"/>
        </w:rPr>
        <w:t xml:space="preserve"> </w:t>
      </w:r>
      <w:r w:rsidR="00F90B1B" w:rsidRPr="00C21FDD">
        <w:rPr>
          <w:rFonts w:eastAsia="Times New Roman"/>
          <w:b/>
          <w:bCs/>
          <w:sz w:val="22"/>
          <w:szCs w:val="22"/>
        </w:rPr>
        <w:t>online tertiary education environment</w:t>
      </w:r>
      <w:r w:rsidR="0095518F" w:rsidRPr="007E59D8">
        <w:rPr>
          <w:rFonts w:eastAsia="Times New Roman"/>
          <w:sz w:val="22"/>
          <w:szCs w:val="22"/>
        </w:rPr>
        <w:t xml:space="preserve"> including </w:t>
      </w:r>
      <w:r w:rsidR="00933EE8">
        <w:rPr>
          <w:rFonts w:eastAsia="Times New Roman"/>
          <w:sz w:val="22"/>
          <w:szCs w:val="22"/>
        </w:rPr>
        <w:t>textbooks</w:t>
      </w:r>
      <w:r w:rsidR="00B026F5">
        <w:rPr>
          <w:rFonts w:eastAsia="Times New Roman"/>
          <w:sz w:val="22"/>
          <w:szCs w:val="22"/>
        </w:rPr>
        <w:t xml:space="preserve">, </w:t>
      </w:r>
      <w:r w:rsidR="0095518F" w:rsidRPr="007E59D8">
        <w:rPr>
          <w:rFonts w:eastAsia="Times New Roman"/>
          <w:sz w:val="22"/>
          <w:szCs w:val="22"/>
        </w:rPr>
        <w:t xml:space="preserve">learning management </w:t>
      </w:r>
      <w:r w:rsidR="007E59D8" w:rsidRPr="007E59D8">
        <w:rPr>
          <w:rFonts w:eastAsia="Times New Roman"/>
          <w:sz w:val="22"/>
          <w:szCs w:val="22"/>
        </w:rPr>
        <w:t>systems</w:t>
      </w:r>
      <w:r w:rsidR="007E59D8">
        <w:rPr>
          <w:rFonts w:eastAsia="Times New Roman"/>
          <w:sz w:val="22"/>
          <w:szCs w:val="22"/>
        </w:rPr>
        <w:t>,</w:t>
      </w:r>
      <w:r w:rsidR="00B026F5">
        <w:rPr>
          <w:rFonts w:eastAsia="Times New Roman"/>
          <w:sz w:val="22"/>
          <w:szCs w:val="22"/>
        </w:rPr>
        <w:t xml:space="preserve"> </w:t>
      </w:r>
      <w:r w:rsidR="00F90B1B">
        <w:rPr>
          <w:rFonts w:eastAsia="Times New Roman"/>
          <w:sz w:val="22"/>
          <w:szCs w:val="22"/>
        </w:rPr>
        <w:t xml:space="preserve">booking appointments, </w:t>
      </w:r>
      <w:r w:rsidR="00B026F5">
        <w:rPr>
          <w:rFonts w:eastAsia="Times New Roman"/>
          <w:sz w:val="22"/>
          <w:szCs w:val="22"/>
        </w:rPr>
        <w:t>on-line learning content</w:t>
      </w:r>
      <w:r w:rsidR="007518C3">
        <w:rPr>
          <w:rFonts w:eastAsia="Times New Roman"/>
          <w:sz w:val="22"/>
          <w:szCs w:val="22"/>
        </w:rPr>
        <w:t xml:space="preserve">, and </w:t>
      </w:r>
      <w:r w:rsidR="00A23710">
        <w:rPr>
          <w:rFonts w:eastAsia="Times New Roman"/>
          <w:sz w:val="22"/>
          <w:szCs w:val="22"/>
        </w:rPr>
        <w:t xml:space="preserve">accessing and using </w:t>
      </w:r>
      <w:r w:rsidR="007518C3">
        <w:rPr>
          <w:rFonts w:eastAsia="Times New Roman"/>
          <w:sz w:val="22"/>
          <w:szCs w:val="22"/>
        </w:rPr>
        <w:t xml:space="preserve">relevant assistive technology options. </w:t>
      </w:r>
      <w:r w:rsidR="00B026F5">
        <w:rPr>
          <w:rFonts w:eastAsia="Times New Roman"/>
          <w:sz w:val="22"/>
          <w:szCs w:val="22"/>
        </w:rPr>
        <w:t xml:space="preserve"> </w:t>
      </w:r>
      <w:r w:rsidR="00933EE8">
        <w:rPr>
          <w:rFonts w:eastAsia="Times New Roman"/>
          <w:sz w:val="22"/>
          <w:szCs w:val="22"/>
        </w:rPr>
        <w:t xml:space="preserve"> </w:t>
      </w:r>
      <w:r w:rsidR="00F90B1B">
        <w:rPr>
          <w:rFonts w:eastAsia="Times New Roman"/>
          <w:sz w:val="22"/>
          <w:szCs w:val="22"/>
        </w:rPr>
        <w:t xml:space="preserve">For example, </w:t>
      </w:r>
      <w:r w:rsidR="00933EE8">
        <w:rPr>
          <w:rFonts w:eastAsia="Times New Roman"/>
          <w:sz w:val="22"/>
          <w:szCs w:val="22"/>
        </w:rPr>
        <w:t>w</w:t>
      </w:r>
      <w:r w:rsidR="007B34E3" w:rsidRPr="007E59D8">
        <w:rPr>
          <w:rFonts w:eastAsia="Times New Roman"/>
          <w:sz w:val="22"/>
          <w:szCs w:val="22"/>
        </w:rPr>
        <w:t xml:space="preserve">hen students come across materials that are inaccessible, there is no requirement in the </w:t>
      </w:r>
      <w:r w:rsidR="005B7968">
        <w:rPr>
          <w:rFonts w:eastAsia="Times New Roman"/>
          <w:sz w:val="22"/>
          <w:szCs w:val="22"/>
        </w:rPr>
        <w:t>S</w:t>
      </w:r>
      <w:r w:rsidR="007B34E3" w:rsidRPr="007E59D8">
        <w:rPr>
          <w:rFonts w:eastAsia="Times New Roman"/>
          <w:sz w:val="22"/>
          <w:szCs w:val="22"/>
        </w:rPr>
        <w:t xml:space="preserve">tandards for education providers to rectify this in a specific timeframe beyond a ‘reasonable’ time frame.  </w:t>
      </w:r>
      <w:r w:rsidR="00A61352">
        <w:rPr>
          <w:rFonts w:eastAsia="Times New Roman"/>
          <w:sz w:val="22"/>
          <w:szCs w:val="22"/>
        </w:rPr>
        <w:t xml:space="preserve">However, the </w:t>
      </w:r>
      <w:r w:rsidR="007B34E3" w:rsidRPr="007E59D8">
        <w:rPr>
          <w:rFonts w:eastAsia="Times New Roman"/>
          <w:sz w:val="22"/>
          <w:szCs w:val="22"/>
        </w:rPr>
        <w:t xml:space="preserve">significant roadblocks with </w:t>
      </w:r>
      <w:r w:rsidR="00A23710" w:rsidRPr="007E59D8">
        <w:rPr>
          <w:rFonts w:eastAsia="Times New Roman"/>
          <w:sz w:val="22"/>
          <w:szCs w:val="22"/>
        </w:rPr>
        <w:lastRenderedPageBreak/>
        <w:t>publishers</w:t>
      </w:r>
      <w:r w:rsidR="00A61352">
        <w:rPr>
          <w:rFonts w:eastAsia="Times New Roman"/>
          <w:sz w:val="22"/>
          <w:szCs w:val="22"/>
        </w:rPr>
        <w:t xml:space="preserve"> can delay access to materials which sets back </w:t>
      </w:r>
      <w:r w:rsidR="007B34E3" w:rsidRPr="007E59D8">
        <w:rPr>
          <w:rFonts w:eastAsia="Times New Roman"/>
          <w:sz w:val="22"/>
          <w:szCs w:val="22"/>
        </w:rPr>
        <w:t xml:space="preserve">the students learning.  </w:t>
      </w:r>
      <w:r w:rsidR="00612461">
        <w:rPr>
          <w:rFonts w:eastAsia="Times New Roman"/>
          <w:sz w:val="22"/>
          <w:szCs w:val="22"/>
        </w:rPr>
        <w:t xml:space="preserve">Also, while some </w:t>
      </w:r>
      <w:r w:rsidR="00F7127D">
        <w:rPr>
          <w:rFonts w:eastAsia="Times New Roman"/>
          <w:sz w:val="22"/>
          <w:szCs w:val="22"/>
        </w:rPr>
        <w:t>institutions</w:t>
      </w:r>
      <w:r w:rsidR="00612461">
        <w:rPr>
          <w:rFonts w:eastAsia="Times New Roman"/>
          <w:sz w:val="22"/>
          <w:szCs w:val="22"/>
        </w:rPr>
        <w:t xml:space="preserve"> are well resourced with assistive technology advice, there is scope to </w:t>
      </w:r>
      <w:r w:rsidR="00C21FDD">
        <w:rPr>
          <w:rFonts w:eastAsia="Times New Roman"/>
          <w:sz w:val="22"/>
          <w:szCs w:val="22"/>
        </w:rPr>
        <w:t xml:space="preserve">take </w:t>
      </w:r>
      <w:r w:rsidR="00F7127D">
        <w:rPr>
          <w:rFonts w:eastAsia="Times New Roman"/>
          <w:sz w:val="22"/>
          <w:szCs w:val="22"/>
        </w:rPr>
        <w:t>a</w:t>
      </w:r>
      <w:r w:rsidR="00C21FDD">
        <w:rPr>
          <w:rFonts w:eastAsia="Times New Roman"/>
          <w:sz w:val="22"/>
          <w:szCs w:val="22"/>
        </w:rPr>
        <w:t xml:space="preserve"> more coordinated </w:t>
      </w:r>
      <w:r w:rsidR="00F7127D">
        <w:rPr>
          <w:rFonts w:eastAsia="Times New Roman"/>
          <w:sz w:val="22"/>
          <w:szCs w:val="22"/>
        </w:rPr>
        <w:t xml:space="preserve">national </w:t>
      </w:r>
      <w:r w:rsidR="00C21FDD">
        <w:rPr>
          <w:rFonts w:eastAsia="Times New Roman"/>
          <w:sz w:val="22"/>
          <w:szCs w:val="22"/>
        </w:rPr>
        <w:t xml:space="preserve">approach. </w:t>
      </w:r>
    </w:p>
    <w:p w14:paraId="693E179C" w14:textId="77777777" w:rsidR="00C427C1" w:rsidRPr="00B47699" w:rsidRDefault="00C21FDD" w:rsidP="00B47699">
      <w:pPr>
        <w:ind w:left="720"/>
        <w:rPr>
          <w:rFonts w:eastAsia="Times New Roman"/>
          <w:i/>
          <w:iCs/>
          <w:sz w:val="22"/>
          <w:szCs w:val="22"/>
        </w:rPr>
      </w:pPr>
      <w:r w:rsidRPr="00B47699">
        <w:rPr>
          <w:rFonts w:eastAsia="Times New Roman"/>
          <w:b/>
          <w:bCs/>
          <w:i/>
          <w:iCs/>
          <w:sz w:val="22"/>
          <w:szCs w:val="22"/>
        </w:rPr>
        <w:t>Recommendation 7:</w:t>
      </w:r>
      <w:r w:rsidRPr="00B47699">
        <w:rPr>
          <w:rFonts w:eastAsia="Times New Roman"/>
          <w:i/>
          <w:iCs/>
          <w:sz w:val="22"/>
          <w:szCs w:val="22"/>
        </w:rPr>
        <w:t xml:space="preserve"> </w:t>
      </w:r>
      <w:r w:rsidR="00F72270" w:rsidRPr="00B47699">
        <w:rPr>
          <w:rFonts w:eastAsia="Times New Roman"/>
          <w:i/>
          <w:iCs/>
          <w:sz w:val="22"/>
          <w:szCs w:val="22"/>
        </w:rPr>
        <w:t xml:space="preserve"> Considerations to </w:t>
      </w:r>
      <w:r w:rsidR="00C40AF4" w:rsidRPr="00B47699">
        <w:rPr>
          <w:rFonts w:eastAsia="Times New Roman"/>
          <w:i/>
          <w:iCs/>
          <w:sz w:val="22"/>
          <w:szCs w:val="22"/>
        </w:rPr>
        <w:t xml:space="preserve">support providers to learn from and pivot toward better collaborative practice regarding the design and construction of materials correctly in the first instance.  Where materials are retrofitted for students, legislation </w:t>
      </w:r>
      <w:r w:rsidR="00C427C1" w:rsidRPr="00B47699">
        <w:rPr>
          <w:rFonts w:eastAsia="Times New Roman"/>
          <w:i/>
          <w:iCs/>
          <w:sz w:val="22"/>
          <w:szCs w:val="22"/>
        </w:rPr>
        <w:t>c</w:t>
      </w:r>
      <w:r w:rsidR="00C40AF4" w:rsidRPr="00B47699">
        <w:rPr>
          <w:rFonts w:eastAsia="Times New Roman"/>
          <w:i/>
          <w:iCs/>
          <w:sz w:val="22"/>
          <w:szCs w:val="22"/>
        </w:rPr>
        <w:t xml:space="preserve">ould enable the sharing of this with other tertiary institutions to avoid the duplication of this work.  </w:t>
      </w:r>
    </w:p>
    <w:p w14:paraId="0EBB0848" w14:textId="0575AA5B" w:rsidR="00B47699" w:rsidRPr="00B47699" w:rsidRDefault="00C427C1" w:rsidP="00B47699">
      <w:pPr>
        <w:ind w:left="720"/>
        <w:rPr>
          <w:rFonts w:eastAsia="Times New Roman"/>
          <w:i/>
          <w:iCs/>
          <w:sz w:val="22"/>
          <w:szCs w:val="22"/>
        </w:rPr>
      </w:pPr>
      <w:r w:rsidRPr="00B47699">
        <w:rPr>
          <w:rFonts w:eastAsia="Times New Roman"/>
          <w:b/>
          <w:bCs/>
          <w:i/>
          <w:iCs/>
          <w:sz w:val="22"/>
          <w:szCs w:val="22"/>
        </w:rPr>
        <w:t xml:space="preserve">Recommendation 8: </w:t>
      </w:r>
      <w:r w:rsidR="000166E0" w:rsidRPr="00B47699">
        <w:rPr>
          <w:rFonts w:eastAsia="Times New Roman"/>
          <w:b/>
          <w:bCs/>
          <w:i/>
          <w:iCs/>
          <w:sz w:val="22"/>
          <w:szCs w:val="22"/>
        </w:rPr>
        <w:t xml:space="preserve"> </w:t>
      </w:r>
      <w:r w:rsidR="000166E0" w:rsidRPr="00B47699">
        <w:rPr>
          <w:rFonts w:eastAsia="Times New Roman"/>
          <w:i/>
          <w:iCs/>
          <w:sz w:val="22"/>
          <w:szCs w:val="22"/>
        </w:rPr>
        <w:t xml:space="preserve">A more coordinated and informed resourcing of a central point of excellence for assistive technology within tertiary education environments.  </w:t>
      </w:r>
      <w:r w:rsidR="00B47699" w:rsidRPr="00B47699">
        <w:rPr>
          <w:rFonts w:eastAsia="Times New Roman"/>
          <w:i/>
          <w:iCs/>
          <w:sz w:val="22"/>
          <w:szCs w:val="22"/>
        </w:rPr>
        <w:t xml:space="preserve">For example, the provision of an Assistive Technology position within ADCET. </w:t>
      </w:r>
    </w:p>
    <w:p w14:paraId="5A862F80" w14:textId="77777777" w:rsidR="00B47699" w:rsidRDefault="00B47699" w:rsidP="00B47699">
      <w:pPr>
        <w:rPr>
          <w:rFonts w:ascii="Calibri" w:hAnsi="Calibri" w:cs="Calibri"/>
          <w:b/>
          <w:bCs/>
          <w:lang w:val="en-GB"/>
        </w:rPr>
      </w:pPr>
    </w:p>
    <w:p w14:paraId="059DB6C9" w14:textId="3C7CBF38" w:rsidR="00687EA8" w:rsidRPr="008C3867" w:rsidRDefault="00F233A7" w:rsidP="008C3867">
      <w:pPr>
        <w:rPr>
          <w:rFonts w:ascii="Calibri" w:hAnsi="Calibri" w:cs="Calibri"/>
          <w:lang w:val="en-GB"/>
        </w:rPr>
      </w:pPr>
      <w:r w:rsidRPr="009226E6">
        <w:rPr>
          <w:rFonts w:ascii="Calibri" w:hAnsi="Calibri" w:cs="Calibri"/>
          <w:b/>
          <w:bCs/>
          <w:lang w:val="en-GB"/>
        </w:rPr>
        <w:t>A requirement for stronger strategy regarding the inclusion of</w:t>
      </w:r>
      <w:r w:rsidR="006820AD" w:rsidRPr="009226E6">
        <w:rPr>
          <w:rFonts w:ascii="Calibri" w:hAnsi="Calibri" w:cs="Calibri"/>
          <w:b/>
          <w:bCs/>
          <w:lang w:val="en-GB"/>
        </w:rPr>
        <w:t xml:space="preserve"> students with disability in tertiary education.  </w:t>
      </w:r>
      <w:r w:rsidR="00EF6181">
        <w:rPr>
          <w:rFonts w:ascii="Calibri" w:hAnsi="Calibri" w:cs="Calibri"/>
          <w:lang w:val="en-GB"/>
        </w:rPr>
        <w:t>T</w:t>
      </w:r>
      <w:r w:rsidR="00E84DFA" w:rsidRPr="00E84DFA">
        <w:rPr>
          <w:rFonts w:ascii="Calibri" w:hAnsi="Calibri" w:cs="Calibri"/>
          <w:lang w:val="en-GB"/>
        </w:rPr>
        <w:t>here is a critical need for a</w:t>
      </w:r>
      <w:r w:rsidR="00E84DFA">
        <w:rPr>
          <w:rFonts w:ascii="Calibri" w:hAnsi="Calibri" w:cs="Calibri"/>
          <w:b/>
          <w:bCs/>
          <w:lang w:val="en-GB"/>
        </w:rPr>
        <w:t xml:space="preserve"> </w:t>
      </w:r>
      <w:r w:rsidRPr="00D65A94">
        <w:rPr>
          <w:rFonts w:ascii="Calibri" w:hAnsi="Calibri" w:cs="Calibri"/>
          <w:i/>
          <w:iCs/>
          <w:lang w:val="en-GB"/>
        </w:rPr>
        <w:t>Students with Disability</w:t>
      </w:r>
      <w:r w:rsidR="00286C8F" w:rsidRPr="00D65A94">
        <w:rPr>
          <w:rFonts w:ascii="Calibri" w:hAnsi="Calibri" w:cs="Calibri"/>
          <w:i/>
          <w:iCs/>
          <w:lang w:val="en-GB"/>
        </w:rPr>
        <w:t xml:space="preserve"> in Tertiary Education Strategy</w:t>
      </w:r>
      <w:r w:rsidR="006820AD" w:rsidRPr="009226E6">
        <w:rPr>
          <w:rFonts w:ascii="Calibri" w:hAnsi="Calibri" w:cs="Calibri"/>
          <w:lang w:val="en-GB"/>
        </w:rPr>
        <w:t xml:space="preserve"> </w:t>
      </w:r>
      <w:r w:rsidR="00E84DFA">
        <w:rPr>
          <w:rFonts w:ascii="Calibri" w:hAnsi="Calibri" w:cs="Calibri"/>
          <w:lang w:val="en-GB"/>
        </w:rPr>
        <w:t xml:space="preserve">in order to </w:t>
      </w:r>
      <w:r w:rsidR="00A517E5" w:rsidRPr="009226E6">
        <w:rPr>
          <w:rFonts w:ascii="Calibri" w:hAnsi="Calibri" w:cs="Calibri"/>
          <w:lang w:val="en-GB"/>
        </w:rPr>
        <w:t xml:space="preserve">propel </w:t>
      </w:r>
      <w:r w:rsidR="00E84DFA">
        <w:rPr>
          <w:rFonts w:ascii="Calibri" w:hAnsi="Calibri" w:cs="Calibri"/>
          <w:lang w:val="en-GB"/>
        </w:rPr>
        <w:t xml:space="preserve">the sector </w:t>
      </w:r>
      <w:r w:rsidR="00A517E5" w:rsidRPr="009226E6">
        <w:rPr>
          <w:rFonts w:ascii="Calibri" w:hAnsi="Calibri" w:cs="Calibri"/>
          <w:lang w:val="en-GB"/>
        </w:rPr>
        <w:t>beyond the individual focu</w:t>
      </w:r>
      <w:r w:rsidR="00E84DFA">
        <w:rPr>
          <w:rFonts w:ascii="Calibri" w:hAnsi="Calibri" w:cs="Calibri"/>
          <w:lang w:val="en-GB"/>
        </w:rPr>
        <w:t>sed approach of the</w:t>
      </w:r>
      <w:r w:rsidR="00A517E5" w:rsidRPr="009226E6">
        <w:rPr>
          <w:rFonts w:ascii="Calibri" w:hAnsi="Calibri" w:cs="Calibri"/>
          <w:lang w:val="en-GB"/>
        </w:rPr>
        <w:t xml:space="preserve"> </w:t>
      </w:r>
      <w:r w:rsidR="006820AD" w:rsidRPr="009226E6">
        <w:rPr>
          <w:rFonts w:ascii="Calibri" w:hAnsi="Calibri" w:cs="Calibri"/>
          <w:lang w:val="en-GB"/>
        </w:rPr>
        <w:t>DDA and</w:t>
      </w:r>
      <w:r w:rsidR="00E84DFA">
        <w:rPr>
          <w:rFonts w:ascii="Calibri" w:hAnsi="Calibri" w:cs="Calibri"/>
          <w:lang w:val="en-GB"/>
        </w:rPr>
        <w:t xml:space="preserve"> Standards</w:t>
      </w:r>
      <w:r w:rsidR="008512BE">
        <w:rPr>
          <w:rFonts w:ascii="Calibri" w:hAnsi="Calibri" w:cs="Calibri"/>
          <w:lang w:val="en-GB"/>
        </w:rPr>
        <w:t>, particular</w:t>
      </w:r>
      <w:r w:rsidR="005B7968">
        <w:rPr>
          <w:rFonts w:ascii="Calibri" w:hAnsi="Calibri" w:cs="Calibri"/>
          <w:lang w:val="en-GB"/>
        </w:rPr>
        <w:t>ly</w:t>
      </w:r>
      <w:r w:rsidR="008512BE">
        <w:rPr>
          <w:rFonts w:ascii="Calibri" w:hAnsi="Calibri" w:cs="Calibri"/>
          <w:lang w:val="en-GB"/>
        </w:rPr>
        <w:t xml:space="preserve"> g</w:t>
      </w:r>
      <w:r w:rsidR="00F22493">
        <w:rPr>
          <w:rFonts w:ascii="Calibri" w:hAnsi="Calibri" w:cs="Calibri"/>
          <w:lang w:val="en-GB"/>
        </w:rPr>
        <w:t xml:space="preserve">iven the rapid growth of </w:t>
      </w:r>
      <w:r w:rsidR="00FE2449" w:rsidRPr="009226E6">
        <w:rPr>
          <w:rFonts w:ascii="Calibri" w:hAnsi="Calibri" w:cs="Calibri"/>
          <w:lang w:val="en-GB"/>
        </w:rPr>
        <w:t>students with disability in Higher Education</w:t>
      </w:r>
      <w:r w:rsidR="00FE2449">
        <w:rPr>
          <w:rStyle w:val="FootnoteReference"/>
          <w:rFonts w:ascii="Calibri" w:hAnsi="Calibri" w:cs="Calibri"/>
          <w:lang w:val="en-GB"/>
        </w:rPr>
        <w:footnoteReference w:id="2"/>
      </w:r>
      <w:r w:rsidR="00B47232" w:rsidRPr="009226E6">
        <w:rPr>
          <w:rFonts w:ascii="Calibri" w:hAnsi="Calibri" w:cs="Calibri"/>
          <w:lang w:val="en-GB"/>
        </w:rPr>
        <w:t xml:space="preserve"> and VET</w:t>
      </w:r>
      <w:r w:rsidR="00464E25">
        <w:rPr>
          <w:rStyle w:val="FootnoteReference"/>
          <w:rFonts w:ascii="Calibri" w:hAnsi="Calibri" w:cs="Calibri"/>
          <w:lang w:val="en-GB"/>
        </w:rPr>
        <w:footnoteReference w:id="3"/>
      </w:r>
      <w:r w:rsidR="00F22493">
        <w:rPr>
          <w:rFonts w:ascii="Calibri" w:hAnsi="Calibri" w:cs="Calibri"/>
          <w:lang w:val="en-GB"/>
        </w:rPr>
        <w:t xml:space="preserve"> </w:t>
      </w:r>
      <w:r w:rsidR="008512BE">
        <w:rPr>
          <w:rFonts w:ascii="Calibri" w:hAnsi="Calibri" w:cs="Calibri"/>
          <w:lang w:val="en-GB"/>
        </w:rPr>
        <w:t>.</w:t>
      </w:r>
      <w:r w:rsidR="00527A71">
        <w:rPr>
          <w:rFonts w:ascii="Calibri" w:hAnsi="Calibri" w:cs="Calibri"/>
          <w:lang w:val="en-GB"/>
        </w:rPr>
        <w:t xml:space="preserve">For example, </w:t>
      </w:r>
      <w:r w:rsidR="00390989">
        <w:rPr>
          <w:rFonts w:ascii="Calibri" w:hAnsi="Calibri" w:cs="Calibri"/>
          <w:lang w:val="en-GB"/>
        </w:rPr>
        <w:t>recently t</w:t>
      </w:r>
      <w:r w:rsidR="00A517E5" w:rsidRPr="009226E6">
        <w:rPr>
          <w:rFonts w:ascii="Calibri" w:hAnsi="Calibri" w:cs="Calibri"/>
          <w:lang w:val="en-GB"/>
        </w:rPr>
        <w:t xml:space="preserve">he Australian Government invested in a National Regional, Rural and Remote Education strategy.  This strategy has arguably been the impetus of recent increases in funding allocations for this cohort </w:t>
      </w:r>
      <w:r w:rsidR="00A517E5" w:rsidRPr="009226E6">
        <w:rPr>
          <w:rFonts w:ascii="Calibri" w:hAnsi="Calibri" w:cs="Calibri"/>
          <w:i/>
          <w:iCs/>
          <w:lang w:val="en-GB"/>
        </w:rPr>
        <w:t>(IRLSAF, Regional University Centres, Rural and Regional Enterprise Scholarships Program, Demand driven funding for Indigenous students from regional and remote areas</w:t>
      </w:r>
      <w:r w:rsidR="00A517E5" w:rsidRPr="009226E6">
        <w:rPr>
          <w:rFonts w:ascii="Calibri" w:hAnsi="Calibri" w:cs="Calibri"/>
          <w:lang w:val="en-GB"/>
        </w:rPr>
        <w:t xml:space="preserve">), yet students with disability remain left behind in per student funding allocations. </w:t>
      </w:r>
    </w:p>
    <w:p w14:paraId="797D8442" w14:textId="0AAC1AB0" w:rsidR="00687EA8" w:rsidRPr="00687EA8" w:rsidRDefault="00973741" w:rsidP="00687EA8">
      <w:pPr>
        <w:pStyle w:val="ListParagraph"/>
        <w:autoSpaceDE w:val="0"/>
        <w:autoSpaceDN w:val="0"/>
        <w:spacing w:before="200" w:after="200"/>
        <w:rPr>
          <w:i/>
          <w:iCs/>
        </w:rPr>
      </w:pPr>
      <w:r>
        <w:rPr>
          <w:rFonts w:ascii="Calibri" w:hAnsi="Calibri" w:cs="Calibri"/>
          <w:b/>
          <w:bCs/>
          <w:lang w:val="en-GB"/>
        </w:rPr>
        <w:t xml:space="preserve">Recommendation </w:t>
      </w:r>
      <w:r w:rsidR="00DB5184">
        <w:rPr>
          <w:rFonts w:ascii="Calibri" w:hAnsi="Calibri" w:cs="Calibri"/>
          <w:b/>
          <w:bCs/>
          <w:lang w:val="en-GB"/>
        </w:rPr>
        <w:t>9</w:t>
      </w:r>
      <w:r w:rsidR="00687EA8">
        <w:rPr>
          <w:rFonts w:ascii="Calibri" w:hAnsi="Calibri" w:cs="Calibri"/>
          <w:b/>
          <w:bCs/>
          <w:lang w:val="en-GB"/>
        </w:rPr>
        <w:t xml:space="preserve">: </w:t>
      </w:r>
      <w:r>
        <w:rPr>
          <w:rFonts w:ascii="Calibri" w:hAnsi="Calibri" w:cs="Calibri"/>
          <w:b/>
          <w:bCs/>
          <w:lang w:val="en-GB"/>
        </w:rPr>
        <w:t xml:space="preserve"> </w:t>
      </w:r>
      <w:r w:rsidR="00687EA8" w:rsidRPr="00687EA8">
        <w:rPr>
          <w:rFonts w:ascii="Calibri" w:hAnsi="Calibri" w:cs="Calibri"/>
          <w:i/>
          <w:iCs/>
          <w:lang w:val="en-GB"/>
        </w:rPr>
        <w:t>Adequately resource</w:t>
      </w:r>
      <w:r w:rsidR="00DB5EF1">
        <w:rPr>
          <w:rFonts w:ascii="Calibri" w:hAnsi="Calibri" w:cs="Calibri"/>
          <w:i/>
          <w:iCs/>
          <w:lang w:val="en-GB"/>
        </w:rPr>
        <w:t>, develop and implement</w:t>
      </w:r>
      <w:r w:rsidR="00687EA8" w:rsidRPr="00687EA8">
        <w:rPr>
          <w:rFonts w:ascii="Calibri" w:hAnsi="Calibri" w:cs="Calibri"/>
          <w:i/>
          <w:iCs/>
          <w:lang w:val="en-GB"/>
        </w:rPr>
        <w:t xml:space="preserve"> a National Strategy for Students with Disability in Tertiary Education.</w:t>
      </w:r>
    </w:p>
    <w:p w14:paraId="1B0AC3B4" w14:textId="77777777" w:rsidR="00B37DBD" w:rsidRPr="00FB1398" w:rsidRDefault="00B37DBD" w:rsidP="00DB5184">
      <w:pPr>
        <w:pStyle w:val="ListParagraph"/>
        <w:jc w:val="center"/>
        <w:rPr>
          <w:i/>
          <w:iCs/>
          <w:lang w:val="en-GB"/>
        </w:rPr>
      </w:pPr>
    </w:p>
    <w:p w14:paraId="5C53E726" w14:textId="076C53AD" w:rsidR="00A922FE" w:rsidRDefault="00A922FE" w:rsidP="00FB1398">
      <w:pPr>
        <w:pStyle w:val="Heading3"/>
      </w:pPr>
      <w:r>
        <w:t>Conclusion</w:t>
      </w:r>
    </w:p>
    <w:p w14:paraId="61D2C453" w14:textId="42B1F1F2" w:rsidR="00A922FE" w:rsidRDefault="008A4808" w:rsidP="00A922FE">
      <w:r>
        <w:t xml:space="preserve">Prior to conclusion ADCET would like to reiterate that ultimately </w:t>
      </w:r>
      <w:r w:rsidR="0089595C">
        <w:t>the Universal Design in Lea</w:t>
      </w:r>
      <w:r w:rsidR="005B7968">
        <w:t>r</w:t>
      </w:r>
      <w:r w:rsidR="0089595C">
        <w:t xml:space="preserve">ning </w:t>
      </w:r>
      <w:r w:rsidR="00E64886">
        <w:t xml:space="preserve">principles need to be embedded in all </w:t>
      </w:r>
      <w:r w:rsidR="0089595C">
        <w:t xml:space="preserve">tertiary education </w:t>
      </w:r>
      <w:r w:rsidR="00E64886">
        <w:t>settings</w:t>
      </w:r>
      <w:r w:rsidR="002E5FAF">
        <w:t xml:space="preserve"> and thereby reducing the need for </w:t>
      </w:r>
      <w:r w:rsidR="000B2834">
        <w:t xml:space="preserve">an individual </w:t>
      </w:r>
      <w:r w:rsidR="002E5FAF">
        <w:t>adjustment</w:t>
      </w:r>
      <w:r w:rsidR="000B2834">
        <w:t xml:space="preserve"> approach.  </w:t>
      </w:r>
    </w:p>
    <w:p w14:paraId="5B6608E1" w14:textId="5121E40C" w:rsidR="00F06D9F" w:rsidRPr="00F06D9F" w:rsidRDefault="00A517E5" w:rsidP="00FB1398">
      <w:r>
        <w:t xml:space="preserve">ADCET thanks the Department of Education, Skills and Employment for receiving this submission for the review of the Disability Standards for Education, 2020.  We look forward to continuing to work in partnership to propel the success of students with disability as they access, participate &amp; succeed in tertiary education in Australia.  </w:t>
      </w:r>
      <w:r w:rsidR="00666418">
        <w:t xml:space="preserve">ADCET is open to further consultation about this </w:t>
      </w:r>
      <w:r w:rsidR="00F35529">
        <w:t>submission and</w:t>
      </w:r>
      <w:r w:rsidR="00666418">
        <w:t xml:space="preserve"> welcomes open communication throughout the review process.</w:t>
      </w:r>
      <w:r w:rsidR="00F06D9F">
        <w:tab/>
      </w:r>
    </w:p>
    <w:sectPr w:rsidR="00F06D9F" w:rsidRPr="00F06D9F" w:rsidSect="00105EF4">
      <w:headerReference w:type="default" r:id="rId18"/>
      <w:footerReference w:type="even" r:id="rId19"/>
      <w:footerReference w:type="default" r:id="rId20"/>
      <w:pgSz w:w="11906" w:h="16838"/>
      <w:pgMar w:top="198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E8C2" w14:textId="77777777" w:rsidR="0055209E" w:rsidRDefault="0055209E" w:rsidP="001E3E77">
      <w:pPr>
        <w:spacing w:after="0" w:line="240" w:lineRule="auto"/>
      </w:pPr>
      <w:r>
        <w:separator/>
      </w:r>
    </w:p>
  </w:endnote>
  <w:endnote w:type="continuationSeparator" w:id="0">
    <w:p w14:paraId="08A31C68" w14:textId="77777777" w:rsidR="0055209E" w:rsidRDefault="0055209E" w:rsidP="001E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0437974"/>
      <w:docPartObj>
        <w:docPartGallery w:val="Page Numbers (Bottom of Page)"/>
        <w:docPartUnique/>
      </w:docPartObj>
    </w:sdtPr>
    <w:sdtEndPr>
      <w:rPr>
        <w:rStyle w:val="PageNumber"/>
      </w:rPr>
    </w:sdtEndPr>
    <w:sdtContent>
      <w:p w14:paraId="7D8890B6" w14:textId="428B5D6F" w:rsidR="00845165" w:rsidRDefault="00845165" w:rsidP="00FF24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9F478B" w14:textId="77777777" w:rsidR="00845165" w:rsidRDefault="00845165" w:rsidP="00BA68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7172299"/>
      <w:docPartObj>
        <w:docPartGallery w:val="Page Numbers (Bottom of Page)"/>
        <w:docPartUnique/>
      </w:docPartObj>
    </w:sdtPr>
    <w:sdtEndPr>
      <w:rPr>
        <w:rStyle w:val="PageNumber"/>
      </w:rPr>
    </w:sdtEndPr>
    <w:sdtContent>
      <w:p w14:paraId="1F1CE6BA" w14:textId="5D037F4A" w:rsidR="00845165" w:rsidRDefault="00845165" w:rsidP="00FF24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DCE3D2" w14:textId="77777777" w:rsidR="00845165" w:rsidRDefault="00845165" w:rsidP="00BA68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B8FB" w14:textId="77777777" w:rsidR="0055209E" w:rsidRDefault="0055209E" w:rsidP="001E3E77">
      <w:pPr>
        <w:spacing w:after="0" w:line="240" w:lineRule="auto"/>
      </w:pPr>
      <w:r>
        <w:separator/>
      </w:r>
    </w:p>
  </w:footnote>
  <w:footnote w:type="continuationSeparator" w:id="0">
    <w:p w14:paraId="28F69152" w14:textId="77777777" w:rsidR="0055209E" w:rsidRDefault="0055209E" w:rsidP="001E3E77">
      <w:pPr>
        <w:spacing w:after="0" w:line="240" w:lineRule="auto"/>
      </w:pPr>
      <w:r>
        <w:continuationSeparator/>
      </w:r>
    </w:p>
  </w:footnote>
  <w:footnote w:id="1">
    <w:p w14:paraId="3C0F3D5C" w14:textId="3C58F0B8" w:rsidR="00C91931" w:rsidRDefault="00C91931">
      <w:pPr>
        <w:pStyle w:val="FootnoteText"/>
      </w:pPr>
      <w:r>
        <w:rPr>
          <w:rStyle w:val="FootnoteReference"/>
        </w:rPr>
        <w:footnoteRef/>
      </w:r>
      <w:r>
        <w:t xml:space="preserve"> </w:t>
      </w:r>
      <w:r w:rsidRPr="00C91931">
        <w:t>https://www.adcet.edu.au/resource/10398/survey-report-beyond-covid-19/</w:t>
      </w:r>
    </w:p>
  </w:footnote>
  <w:footnote w:id="2">
    <w:p w14:paraId="6F78E9B3" w14:textId="3F5ACA71" w:rsidR="00FE2449" w:rsidRDefault="00FE2449">
      <w:pPr>
        <w:pStyle w:val="FootnoteText"/>
      </w:pPr>
      <w:r>
        <w:rPr>
          <w:rStyle w:val="FootnoteReference"/>
        </w:rPr>
        <w:footnoteRef/>
      </w:r>
      <w:r>
        <w:t xml:space="preserve"> </w:t>
      </w:r>
      <w:r w:rsidRPr="00FE2449">
        <w:t>https://www.adcet.edu.au/inclusive-teaching/understanding-disability/Higher-Education-Statistics/</w:t>
      </w:r>
    </w:p>
  </w:footnote>
  <w:footnote w:id="3">
    <w:p w14:paraId="12F75228" w14:textId="4CF50FEC" w:rsidR="00464E25" w:rsidRDefault="00464E25">
      <w:pPr>
        <w:pStyle w:val="FootnoteText"/>
      </w:pPr>
      <w:r>
        <w:rPr>
          <w:rStyle w:val="FootnoteReference"/>
        </w:rPr>
        <w:footnoteRef/>
      </w:r>
      <w:r>
        <w:t xml:space="preserve"> </w:t>
      </w:r>
      <w:r w:rsidRPr="00464E25">
        <w:t>https://www.ncver.edu.au/research-and-statistics/data/databuilder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50C2" w14:textId="6E5248B4" w:rsidR="00FB1398" w:rsidRDefault="00FB1398">
    <w:pPr>
      <w:pStyle w:val="Header"/>
    </w:pPr>
  </w:p>
  <w:p w14:paraId="53CF9E5A" w14:textId="3C0AC563" w:rsidR="00FB1398" w:rsidRDefault="00FB1398" w:rsidP="00FB1398">
    <w:pPr>
      <w:pStyle w:val="Header"/>
      <w:jc w:val="right"/>
    </w:pPr>
    <w:r>
      <w:rPr>
        <w:noProof/>
      </w:rPr>
      <w:drawing>
        <wp:inline distT="0" distB="0" distL="0" distR="0" wp14:anchorId="4BA39EFF" wp14:editId="53A10317">
          <wp:extent cx="1336997" cy="576726"/>
          <wp:effectExtent l="0" t="0" r="0" b="0"/>
          <wp:docPr id="10" name="Picture 10" descr="Australian Disability Clearinghouse on Education and Training (ADCE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Disability Clearinghouse on Education and Training (ADCE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878" cy="587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962"/>
    <w:multiLevelType w:val="hybridMultilevel"/>
    <w:tmpl w:val="A9BA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62D43"/>
    <w:multiLevelType w:val="hybridMultilevel"/>
    <w:tmpl w:val="21D09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26659"/>
    <w:multiLevelType w:val="hybridMultilevel"/>
    <w:tmpl w:val="1B54C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22160A"/>
    <w:multiLevelType w:val="hybridMultilevel"/>
    <w:tmpl w:val="EBBA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9C2F58"/>
    <w:multiLevelType w:val="hybridMultilevel"/>
    <w:tmpl w:val="F1F8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94533"/>
    <w:multiLevelType w:val="hybridMultilevel"/>
    <w:tmpl w:val="E97E2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4E1148"/>
    <w:multiLevelType w:val="hybridMultilevel"/>
    <w:tmpl w:val="CE228846"/>
    <w:lvl w:ilvl="0" w:tplc="51B6486C">
      <w:start w:val="1"/>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50AF3"/>
    <w:multiLevelType w:val="hybridMultilevel"/>
    <w:tmpl w:val="3B0CA70C"/>
    <w:lvl w:ilvl="0" w:tplc="3CF6F72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40AD7B51"/>
    <w:multiLevelType w:val="hybridMultilevel"/>
    <w:tmpl w:val="4A621A8A"/>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9" w15:restartNumberingAfterBreak="0">
    <w:nsid w:val="4A281AF7"/>
    <w:multiLevelType w:val="hybridMultilevel"/>
    <w:tmpl w:val="555ADA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3936EA"/>
    <w:multiLevelType w:val="hybridMultilevel"/>
    <w:tmpl w:val="E0FA55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0F5437"/>
    <w:multiLevelType w:val="hybridMultilevel"/>
    <w:tmpl w:val="1A06D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870416"/>
    <w:multiLevelType w:val="hybridMultilevel"/>
    <w:tmpl w:val="C65C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0DA5F06"/>
    <w:multiLevelType w:val="hybridMultilevel"/>
    <w:tmpl w:val="866E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A53B5A"/>
    <w:multiLevelType w:val="hybridMultilevel"/>
    <w:tmpl w:val="E6E2EE1A"/>
    <w:lvl w:ilvl="0" w:tplc="125CD02A">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0"/>
  </w:num>
  <w:num w:numId="6">
    <w:abstractNumId w:val="11"/>
  </w:num>
  <w:num w:numId="7">
    <w:abstractNumId w:val="9"/>
  </w:num>
  <w:num w:numId="8">
    <w:abstractNumId w:val="10"/>
  </w:num>
  <w:num w:numId="9">
    <w:abstractNumId w:val="8"/>
  </w:num>
  <w:num w:numId="10">
    <w:abstractNumId w:val="5"/>
  </w:num>
  <w:num w:numId="11">
    <w:abstractNumId w:val="3"/>
  </w:num>
  <w:num w:numId="12">
    <w:abstractNumId w:val="1"/>
  </w:num>
  <w:num w:numId="13">
    <w:abstractNumId w:val="1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F4"/>
    <w:rsid w:val="00005A22"/>
    <w:rsid w:val="000166E0"/>
    <w:rsid w:val="00033A5B"/>
    <w:rsid w:val="00033DBF"/>
    <w:rsid w:val="00067CC6"/>
    <w:rsid w:val="0007249B"/>
    <w:rsid w:val="0009064F"/>
    <w:rsid w:val="000924B3"/>
    <w:rsid w:val="000A6505"/>
    <w:rsid w:val="000B2834"/>
    <w:rsid w:val="000D3804"/>
    <w:rsid w:val="000F1F8F"/>
    <w:rsid w:val="000F630F"/>
    <w:rsid w:val="00105EF4"/>
    <w:rsid w:val="001069AA"/>
    <w:rsid w:val="00114F8F"/>
    <w:rsid w:val="00132DD4"/>
    <w:rsid w:val="001330D8"/>
    <w:rsid w:val="0015363D"/>
    <w:rsid w:val="00156627"/>
    <w:rsid w:val="00164693"/>
    <w:rsid w:val="00170D0F"/>
    <w:rsid w:val="00181607"/>
    <w:rsid w:val="00182F9E"/>
    <w:rsid w:val="0018682D"/>
    <w:rsid w:val="001A1834"/>
    <w:rsid w:val="001B1A0F"/>
    <w:rsid w:val="001B5D72"/>
    <w:rsid w:val="001C6243"/>
    <w:rsid w:val="001D52AE"/>
    <w:rsid w:val="001E3E77"/>
    <w:rsid w:val="001F00C0"/>
    <w:rsid w:val="001F1BB7"/>
    <w:rsid w:val="001F3853"/>
    <w:rsid w:val="00203CBC"/>
    <w:rsid w:val="00204BC1"/>
    <w:rsid w:val="00210E25"/>
    <w:rsid w:val="00212580"/>
    <w:rsid w:val="0021458C"/>
    <w:rsid w:val="002204A1"/>
    <w:rsid w:val="00226695"/>
    <w:rsid w:val="002327B9"/>
    <w:rsid w:val="002439DB"/>
    <w:rsid w:val="00253152"/>
    <w:rsid w:val="00286C8F"/>
    <w:rsid w:val="00291AF3"/>
    <w:rsid w:val="00293E36"/>
    <w:rsid w:val="002D6D7A"/>
    <w:rsid w:val="002E5FAF"/>
    <w:rsid w:val="002F263E"/>
    <w:rsid w:val="002F6503"/>
    <w:rsid w:val="0031232B"/>
    <w:rsid w:val="00312596"/>
    <w:rsid w:val="003207E8"/>
    <w:rsid w:val="003432D3"/>
    <w:rsid w:val="00347515"/>
    <w:rsid w:val="00357A56"/>
    <w:rsid w:val="003671E9"/>
    <w:rsid w:val="0037481B"/>
    <w:rsid w:val="00387C8F"/>
    <w:rsid w:val="00387CCF"/>
    <w:rsid w:val="00390989"/>
    <w:rsid w:val="003A6506"/>
    <w:rsid w:val="003D15D0"/>
    <w:rsid w:val="003D3DC6"/>
    <w:rsid w:val="003F2CAC"/>
    <w:rsid w:val="003F699B"/>
    <w:rsid w:val="004001DF"/>
    <w:rsid w:val="00411DE1"/>
    <w:rsid w:val="004176C9"/>
    <w:rsid w:val="00464E25"/>
    <w:rsid w:val="00470DE1"/>
    <w:rsid w:val="004A095E"/>
    <w:rsid w:val="004A201E"/>
    <w:rsid w:val="004C0199"/>
    <w:rsid w:val="004C031F"/>
    <w:rsid w:val="004C3381"/>
    <w:rsid w:val="004C6EEB"/>
    <w:rsid w:val="004D493A"/>
    <w:rsid w:val="004D7C8B"/>
    <w:rsid w:val="004F62E6"/>
    <w:rsid w:val="005001B3"/>
    <w:rsid w:val="00505FBD"/>
    <w:rsid w:val="00514AA2"/>
    <w:rsid w:val="005220C7"/>
    <w:rsid w:val="00527A71"/>
    <w:rsid w:val="00535426"/>
    <w:rsid w:val="00546CAD"/>
    <w:rsid w:val="00546EE4"/>
    <w:rsid w:val="0055209E"/>
    <w:rsid w:val="00581B53"/>
    <w:rsid w:val="00592231"/>
    <w:rsid w:val="005A75CC"/>
    <w:rsid w:val="005B7968"/>
    <w:rsid w:val="005C0EE4"/>
    <w:rsid w:val="005C256D"/>
    <w:rsid w:val="005D38C9"/>
    <w:rsid w:val="005D5AB4"/>
    <w:rsid w:val="005E5880"/>
    <w:rsid w:val="005E603C"/>
    <w:rsid w:val="005F1270"/>
    <w:rsid w:val="005F494F"/>
    <w:rsid w:val="00606D3D"/>
    <w:rsid w:val="00610CA3"/>
    <w:rsid w:val="00612461"/>
    <w:rsid w:val="00615AF2"/>
    <w:rsid w:val="006162A2"/>
    <w:rsid w:val="00666418"/>
    <w:rsid w:val="00671406"/>
    <w:rsid w:val="006820AD"/>
    <w:rsid w:val="00687EA8"/>
    <w:rsid w:val="006A17BE"/>
    <w:rsid w:val="006B7490"/>
    <w:rsid w:val="00714DDB"/>
    <w:rsid w:val="007234A2"/>
    <w:rsid w:val="00725929"/>
    <w:rsid w:val="00733ED3"/>
    <w:rsid w:val="00742D69"/>
    <w:rsid w:val="00750CAE"/>
    <w:rsid w:val="00750DE2"/>
    <w:rsid w:val="007518C3"/>
    <w:rsid w:val="00760E85"/>
    <w:rsid w:val="00760F7D"/>
    <w:rsid w:val="007754ED"/>
    <w:rsid w:val="00792986"/>
    <w:rsid w:val="00794608"/>
    <w:rsid w:val="007A568D"/>
    <w:rsid w:val="007A7559"/>
    <w:rsid w:val="007B34E3"/>
    <w:rsid w:val="007C246F"/>
    <w:rsid w:val="007C77C8"/>
    <w:rsid w:val="007E59D8"/>
    <w:rsid w:val="007F561E"/>
    <w:rsid w:val="007F5CF1"/>
    <w:rsid w:val="008066B5"/>
    <w:rsid w:val="0080740A"/>
    <w:rsid w:val="00813E82"/>
    <w:rsid w:val="00826778"/>
    <w:rsid w:val="00827DDA"/>
    <w:rsid w:val="0083087C"/>
    <w:rsid w:val="00833AB6"/>
    <w:rsid w:val="00835C18"/>
    <w:rsid w:val="0083696A"/>
    <w:rsid w:val="00841CDC"/>
    <w:rsid w:val="00845165"/>
    <w:rsid w:val="008512BE"/>
    <w:rsid w:val="00863FE7"/>
    <w:rsid w:val="008716B2"/>
    <w:rsid w:val="008915A9"/>
    <w:rsid w:val="00893934"/>
    <w:rsid w:val="0089595C"/>
    <w:rsid w:val="008970F4"/>
    <w:rsid w:val="008A4808"/>
    <w:rsid w:val="008C3867"/>
    <w:rsid w:val="008D09E6"/>
    <w:rsid w:val="008D3D55"/>
    <w:rsid w:val="008E1A0D"/>
    <w:rsid w:val="008F3054"/>
    <w:rsid w:val="0090696E"/>
    <w:rsid w:val="009226E6"/>
    <w:rsid w:val="00927BA6"/>
    <w:rsid w:val="00930963"/>
    <w:rsid w:val="00933EE8"/>
    <w:rsid w:val="0093688E"/>
    <w:rsid w:val="0095518F"/>
    <w:rsid w:val="00955A6F"/>
    <w:rsid w:val="009676E1"/>
    <w:rsid w:val="00973741"/>
    <w:rsid w:val="0098200B"/>
    <w:rsid w:val="0099600C"/>
    <w:rsid w:val="009A5BC7"/>
    <w:rsid w:val="009B1DD1"/>
    <w:rsid w:val="009B2EA2"/>
    <w:rsid w:val="009B5160"/>
    <w:rsid w:val="009B7B28"/>
    <w:rsid w:val="009C5FA2"/>
    <w:rsid w:val="009D263B"/>
    <w:rsid w:val="009E4274"/>
    <w:rsid w:val="009E55E4"/>
    <w:rsid w:val="009F01FE"/>
    <w:rsid w:val="00A0776C"/>
    <w:rsid w:val="00A17491"/>
    <w:rsid w:val="00A23710"/>
    <w:rsid w:val="00A25D63"/>
    <w:rsid w:val="00A26168"/>
    <w:rsid w:val="00A30E5A"/>
    <w:rsid w:val="00A36022"/>
    <w:rsid w:val="00A446BC"/>
    <w:rsid w:val="00A517E5"/>
    <w:rsid w:val="00A61352"/>
    <w:rsid w:val="00A61EEC"/>
    <w:rsid w:val="00A652BD"/>
    <w:rsid w:val="00A65FA9"/>
    <w:rsid w:val="00A725DB"/>
    <w:rsid w:val="00A86D9F"/>
    <w:rsid w:val="00A922FE"/>
    <w:rsid w:val="00A9536C"/>
    <w:rsid w:val="00AC36DC"/>
    <w:rsid w:val="00AC6E11"/>
    <w:rsid w:val="00AD28F4"/>
    <w:rsid w:val="00AD3938"/>
    <w:rsid w:val="00AE2F89"/>
    <w:rsid w:val="00AF1EF4"/>
    <w:rsid w:val="00AF7811"/>
    <w:rsid w:val="00B026F5"/>
    <w:rsid w:val="00B1078A"/>
    <w:rsid w:val="00B26FF2"/>
    <w:rsid w:val="00B37C03"/>
    <w:rsid w:val="00B37DBD"/>
    <w:rsid w:val="00B462F3"/>
    <w:rsid w:val="00B47232"/>
    <w:rsid w:val="00B47699"/>
    <w:rsid w:val="00B657CA"/>
    <w:rsid w:val="00B74801"/>
    <w:rsid w:val="00B85B29"/>
    <w:rsid w:val="00B93CD9"/>
    <w:rsid w:val="00BA688C"/>
    <w:rsid w:val="00BA6D68"/>
    <w:rsid w:val="00BA6F27"/>
    <w:rsid w:val="00BA75EA"/>
    <w:rsid w:val="00BB5836"/>
    <w:rsid w:val="00BC3A94"/>
    <w:rsid w:val="00BC4FFD"/>
    <w:rsid w:val="00BC5C91"/>
    <w:rsid w:val="00BE221F"/>
    <w:rsid w:val="00BE4DAE"/>
    <w:rsid w:val="00BF1053"/>
    <w:rsid w:val="00BF5F1F"/>
    <w:rsid w:val="00C1102E"/>
    <w:rsid w:val="00C11C5E"/>
    <w:rsid w:val="00C12F1C"/>
    <w:rsid w:val="00C164CC"/>
    <w:rsid w:val="00C21FDD"/>
    <w:rsid w:val="00C40AF4"/>
    <w:rsid w:val="00C427C1"/>
    <w:rsid w:val="00C4536A"/>
    <w:rsid w:val="00C46661"/>
    <w:rsid w:val="00C519EA"/>
    <w:rsid w:val="00C57FE5"/>
    <w:rsid w:val="00C62399"/>
    <w:rsid w:val="00C626FC"/>
    <w:rsid w:val="00C63D7E"/>
    <w:rsid w:val="00C734C2"/>
    <w:rsid w:val="00C73F3D"/>
    <w:rsid w:val="00C82C19"/>
    <w:rsid w:val="00C86739"/>
    <w:rsid w:val="00C8724A"/>
    <w:rsid w:val="00C9174B"/>
    <w:rsid w:val="00C91931"/>
    <w:rsid w:val="00CC0E49"/>
    <w:rsid w:val="00CE71F7"/>
    <w:rsid w:val="00D165BA"/>
    <w:rsid w:val="00D26260"/>
    <w:rsid w:val="00D30A06"/>
    <w:rsid w:val="00D4652B"/>
    <w:rsid w:val="00D50FCA"/>
    <w:rsid w:val="00D65A94"/>
    <w:rsid w:val="00D66FE8"/>
    <w:rsid w:val="00D855B3"/>
    <w:rsid w:val="00D94EE2"/>
    <w:rsid w:val="00DB5184"/>
    <w:rsid w:val="00DB5EF1"/>
    <w:rsid w:val="00DE305D"/>
    <w:rsid w:val="00DE5C6D"/>
    <w:rsid w:val="00E01F42"/>
    <w:rsid w:val="00E20570"/>
    <w:rsid w:val="00E27D98"/>
    <w:rsid w:val="00E27E31"/>
    <w:rsid w:val="00E46DE0"/>
    <w:rsid w:val="00E5225C"/>
    <w:rsid w:val="00E607BA"/>
    <w:rsid w:val="00E64886"/>
    <w:rsid w:val="00E83BC0"/>
    <w:rsid w:val="00E84DFA"/>
    <w:rsid w:val="00E92C14"/>
    <w:rsid w:val="00EF6181"/>
    <w:rsid w:val="00EF7266"/>
    <w:rsid w:val="00F06D9F"/>
    <w:rsid w:val="00F125E2"/>
    <w:rsid w:val="00F22493"/>
    <w:rsid w:val="00F233A7"/>
    <w:rsid w:val="00F35529"/>
    <w:rsid w:val="00F56411"/>
    <w:rsid w:val="00F602BD"/>
    <w:rsid w:val="00F67D7D"/>
    <w:rsid w:val="00F7127D"/>
    <w:rsid w:val="00F72270"/>
    <w:rsid w:val="00F90B1B"/>
    <w:rsid w:val="00F93E17"/>
    <w:rsid w:val="00F94D7E"/>
    <w:rsid w:val="00FA63E8"/>
    <w:rsid w:val="00FB1398"/>
    <w:rsid w:val="00FD104C"/>
    <w:rsid w:val="00FE24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82DE6"/>
  <w15:chartTrackingRefBased/>
  <w15:docId w15:val="{182FD2C1-71D9-4FBE-89C5-E376EBA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0963"/>
  </w:style>
  <w:style w:type="paragraph" w:styleId="Heading1">
    <w:name w:val="heading 1"/>
    <w:basedOn w:val="Normal"/>
    <w:next w:val="Normal"/>
    <w:link w:val="Heading1Char"/>
    <w:uiPriority w:val="9"/>
    <w:qFormat/>
    <w:rsid w:val="00FB1398"/>
    <w:pPr>
      <w:keepNext/>
      <w:keepLines/>
      <w:spacing w:before="320" w:after="80" w:line="240" w:lineRule="auto"/>
      <w:jc w:val="center"/>
      <w:outlineLvl w:val="0"/>
    </w:pPr>
    <w:rPr>
      <w:rFonts w:asciiTheme="majorHAnsi" w:eastAsiaTheme="majorEastAsia" w:hAnsiTheme="majorHAnsi" w:cstheme="majorBidi"/>
      <w:sz w:val="36"/>
      <w:szCs w:val="40"/>
    </w:rPr>
  </w:style>
  <w:style w:type="paragraph" w:styleId="Heading2">
    <w:name w:val="heading 2"/>
    <w:basedOn w:val="Normal"/>
    <w:next w:val="Normal"/>
    <w:link w:val="Heading2Char"/>
    <w:uiPriority w:val="9"/>
    <w:unhideWhenUsed/>
    <w:qFormat/>
    <w:rsid w:val="009309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3096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3096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3096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3096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3096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3096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3096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AD28F4"/>
    <w:pPr>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basedOn w:val="DefaultParagraphFont"/>
    <w:link w:val="ListParagraph"/>
    <w:uiPriority w:val="34"/>
    <w:locked/>
    <w:rsid w:val="00A9536C"/>
  </w:style>
  <w:style w:type="character" w:customStyle="1" w:styleId="Heading1Char">
    <w:name w:val="Heading 1 Char"/>
    <w:basedOn w:val="DefaultParagraphFont"/>
    <w:link w:val="Heading1"/>
    <w:uiPriority w:val="9"/>
    <w:rsid w:val="00FB1398"/>
    <w:rPr>
      <w:rFonts w:asciiTheme="majorHAnsi" w:eastAsiaTheme="majorEastAsia" w:hAnsiTheme="majorHAnsi" w:cstheme="majorBidi"/>
      <w:sz w:val="36"/>
      <w:szCs w:val="40"/>
    </w:rPr>
  </w:style>
  <w:style w:type="character" w:customStyle="1" w:styleId="Heading2Char">
    <w:name w:val="Heading 2 Char"/>
    <w:basedOn w:val="DefaultParagraphFont"/>
    <w:link w:val="Heading2"/>
    <w:uiPriority w:val="9"/>
    <w:rsid w:val="0093096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3096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3096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3096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3096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3096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3096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30963"/>
    <w:rPr>
      <w:b/>
      <w:bCs/>
      <w:i/>
      <w:iCs/>
    </w:rPr>
  </w:style>
  <w:style w:type="paragraph" w:styleId="Caption">
    <w:name w:val="caption"/>
    <w:basedOn w:val="Normal"/>
    <w:next w:val="Normal"/>
    <w:uiPriority w:val="35"/>
    <w:unhideWhenUsed/>
    <w:qFormat/>
    <w:rsid w:val="0093096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309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3096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3096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30963"/>
    <w:rPr>
      <w:color w:val="44546A" w:themeColor="text2"/>
      <w:sz w:val="28"/>
      <w:szCs w:val="28"/>
    </w:rPr>
  </w:style>
  <w:style w:type="character" w:styleId="Strong">
    <w:name w:val="Strong"/>
    <w:basedOn w:val="DefaultParagraphFont"/>
    <w:uiPriority w:val="22"/>
    <w:qFormat/>
    <w:rsid w:val="00930963"/>
    <w:rPr>
      <w:b/>
      <w:bCs/>
    </w:rPr>
  </w:style>
  <w:style w:type="character" w:styleId="Emphasis">
    <w:name w:val="Emphasis"/>
    <w:basedOn w:val="DefaultParagraphFont"/>
    <w:uiPriority w:val="20"/>
    <w:qFormat/>
    <w:rsid w:val="00930963"/>
    <w:rPr>
      <w:i/>
      <w:iCs/>
      <w:color w:val="000000" w:themeColor="text1"/>
    </w:rPr>
  </w:style>
  <w:style w:type="paragraph" w:styleId="NoSpacing">
    <w:name w:val="No Spacing"/>
    <w:uiPriority w:val="1"/>
    <w:qFormat/>
    <w:rsid w:val="00930963"/>
    <w:pPr>
      <w:spacing w:after="0" w:line="240" w:lineRule="auto"/>
    </w:pPr>
  </w:style>
  <w:style w:type="paragraph" w:styleId="Quote">
    <w:name w:val="Quote"/>
    <w:basedOn w:val="Normal"/>
    <w:next w:val="Normal"/>
    <w:link w:val="QuoteChar"/>
    <w:uiPriority w:val="29"/>
    <w:qFormat/>
    <w:rsid w:val="0093096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30963"/>
    <w:rPr>
      <w:i/>
      <w:iCs/>
      <w:color w:val="7B7B7B" w:themeColor="accent3" w:themeShade="BF"/>
      <w:sz w:val="24"/>
      <w:szCs w:val="24"/>
    </w:rPr>
  </w:style>
  <w:style w:type="paragraph" w:styleId="IntenseQuote">
    <w:name w:val="Intense Quote"/>
    <w:basedOn w:val="Normal"/>
    <w:next w:val="Normal"/>
    <w:link w:val="IntenseQuoteChar"/>
    <w:uiPriority w:val="30"/>
    <w:qFormat/>
    <w:rsid w:val="0093096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3096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30963"/>
    <w:rPr>
      <w:i/>
      <w:iCs/>
      <w:color w:val="595959" w:themeColor="text1" w:themeTint="A6"/>
    </w:rPr>
  </w:style>
  <w:style w:type="character" w:styleId="IntenseEmphasis">
    <w:name w:val="Intense Emphasis"/>
    <w:basedOn w:val="DefaultParagraphFont"/>
    <w:uiPriority w:val="21"/>
    <w:qFormat/>
    <w:rsid w:val="00930963"/>
    <w:rPr>
      <w:b/>
      <w:bCs/>
      <w:i/>
      <w:iCs/>
      <w:color w:val="auto"/>
    </w:rPr>
  </w:style>
  <w:style w:type="character" w:styleId="SubtleReference">
    <w:name w:val="Subtle Reference"/>
    <w:basedOn w:val="DefaultParagraphFont"/>
    <w:uiPriority w:val="31"/>
    <w:qFormat/>
    <w:rsid w:val="0093096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30963"/>
    <w:rPr>
      <w:b/>
      <w:bCs/>
      <w:caps w:val="0"/>
      <w:smallCaps/>
      <w:color w:val="auto"/>
      <w:spacing w:val="0"/>
      <w:u w:val="single"/>
    </w:rPr>
  </w:style>
  <w:style w:type="character" w:styleId="BookTitle">
    <w:name w:val="Book Title"/>
    <w:basedOn w:val="DefaultParagraphFont"/>
    <w:uiPriority w:val="33"/>
    <w:qFormat/>
    <w:rsid w:val="00930963"/>
    <w:rPr>
      <w:b/>
      <w:bCs/>
      <w:caps w:val="0"/>
      <w:smallCaps/>
      <w:spacing w:val="0"/>
    </w:rPr>
  </w:style>
  <w:style w:type="paragraph" w:styleId="TOCHeading">
    <w:name w:val="TOC Heading"/>
    <w:basedOn w:val="Heading1"/>
    <w:next w:val="Normal"/>
    <w:uiPriority w:val="39"/>
    <w:unhideWhenUsed/>
    <w:qFormat/>
    <w:rsid w:val="00930963"/>
    <w:pPr>
      <w:outlineLvl w:val="9"/>
    </w:pPr>
  </w:style>
  <w:style w:type="paragraph" w:customStyle="1" w:styleId="xxmsonormal">
    <w:name w:val="x_x_msonormal"/>
    <w:basedOn w:val="Normal"/>
    <w:rsid w:val="000A6505"/>
    <w:pPr>
      <w:spacing w:after="0" w:line="240" w:lineRule="auto"/>
    </w:pPr>
    <w:rPr>
      <w:rFonts w:ascii="Calibri" w:eastAsiaTheme="minorHAnsi" w:hAnsi="Calibri" w:cs="Calibri"/>
      <w:sz w:val="22"/>
      <w:szCs w:val="22"/>
      <w:lang w:eastAsia="en-AU"/>
    </w:rPr>
  </w:style>
  <w:style w:type="paragraph" w:styleId="FootnoteText">
    <w:name w:val="footnote text"/>
    <w:basedOn w:val="Normal"/>
    <w:link w:val="FootnoteTextChar"/>
    <w:uiPriority w:val="99"/>
    <w:semiHidden/>
    <w:unhideWhenUsed/>
    <w:rsid w:val="001E3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E77"/>
    <w:rPr>
      <w:sz w:val="20"/>
      <w:szCs w:val="20"/>
    </w:rPr>
  </w:style>
  <w:style w:type="character" w:styleId="FootnoteReference">
    <w:name w:val="footnote reference"/>
    <w:basedOn w:val="DefaultParagraphFont"/>
    <w:uiPriority w:val="99"/>
    <w:semiHidden/>
    <w:unhideWhenUsed/>
    <w:rsid w:val="001E3E77"/>
    <w:rPr>
      <w:vertAlign w:val="superscript"/>
    </w:rPr>
  </w:style>
  <w:style w:type="character" w:styleId="CommentReference">
    <w:name w:val="annotation reference"/>
    <w:basedOn w:val="DefaultParagraphFont"/>
    <w:uiPriority w:val="99"/>
    <w:semiHidden/>
    <w:unhideWhenUsed/>
    <w:rsid w:val="007234A2"/>
    <w:rPr>
      <w:sz w:val="16"/>
      <w:szCs w:val="16"/>
    </w:rPr>
  </w:style>
  <w:style w:type="paragraph" w:styleId="CommentText">
    <w:name w:val="annotation text"/>
    <w:basedOn w:val="Normal"/>
    <w:link w:val="CommentTextChar"/>
    <w:uiPriority w:val="99"/>
    <w:semiHidden/>
    <w:unhideWhenUsed/>
    <w:rsid w:val="007234A2"/>
    <w:pPr>
      <w:spacing w:line="240" w:lineRule="auto"/>
    </w:pPr>
    <w:rPr>
      <w:sz w:val="20"/>
      <w:szCs w:val="20"/>
    </w:rPr>
  </w:style>
  <w:style w:type="character" w:customStyle="1" w:styleId="CommentTextChar">
    <w:name w:val="Comment Text Char"/>
    <w:basedOn w:val="DefaultParagraphFont"/>
    <w:link w:val="CommentText"/>
    <w:uiPriority w:val="99"/>
    <w:semiHidden/>
    <w:rsid w:val="007234A2"/>
    <w:rPr>
      <w:sz w:val="20"/>
      <w:szCs w:val="20"/>
    </w:rPr>
  </w:style>
  <w:style w:type="paragraph" w:styleId="CommentSubject">
    <w:name w:val="annotation subject"/>
    <w:basedOn w:val="CommentText"/>
    <w:next w:val="CommentText"/>
    <w:link w:val="CommentSubjectChar"/>
    <w:uiPriority w:val="99"/>
    <w:semiHidden/>
    <w:unhideWhenUsed/>
    <w:rsid w:val="007234A2"/>
    <w:rPr>
      <w:b/>
      <w:bCs/>
    </w:rPr>
  </w:style>
  <w:style w:type="character" w:customStyle="1" w:styleId="CommentSubjectChar">
    <w:name w:val="Comment Subject Char"/>
    <w:basedOn w:val="CommentTextChar"/>
    <w:link w:val="CommentSubject"/>
    <w:uiPriority w:val="99"/>
    <w:semiHidden/>
    <w:rsid w:val="007234A2"/>
    <w:rPr>
      <w:b/>
      <w:bCs/>
      <w:sz w:val="20"/>
      <w:szCs w:val="20"/>
    </w:rPr>
  </w:style>
  <w:style w:type="paragraph" w:styleId="BalloonText">
    <w:name w:val="Balloon Text"/>
    <w:basedOn w:val="Normal"/>
    <w:link w:val="BalloonTextChar"/>
    <w:uiPriority w:val="99"/>
    <w:semiHidden/>
    <w:unhideWhenUsed/>
    <w:rsid w:val="00723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A2"/>
    <w:rPr>
      <w:rFonts w:ascii="Segoe UI" w:hAnsi="Segoe UI" w:cs="Segoe UI"/>
      <w:sz w:val="18"/>
      <w:szCs w:val="18"/>
    </w:rPr>
  </w:style>
  <w:style w:type="paragraph" w:styleId="TOC1">
    <w:name w:val="toc 1"/>
    <w:basedOn w:val="Normal"/>
    <w:next w:val="Normal"/>
    <w:autoRedefine/>
    <w:uiPriority w:val="39"/>
    <w:unhideWhenUsed/>
    <w:rsid w:val="00687EA8"/>
    <w:pPr>
      <w:spacing w:after="100"/>
    </w:pPr>
  </w:style>
  <w:style w:type="paragraph" w:styleId="TOC2">
    <w:name w:val="toc 2"/>
    <w:basedOn w:val="Normal"/>
    <w:next w:val="Normal"/>
    <w:autoRedefine/>
    <w:uiPriority w:val="39"/>
    <w:unhideWhenUsed/>
    <w:rsid w:val="00687EA8"/>
    <w:pPr>
      <w:spacing w:after="100"/>
      <w:ind w:left="210"/>
    </w:pPr>
  </w:style>
  <w:style w:type="paragraph" w:styleId="TOC3">
    <w:name w:val="toc 3"/>
    <w:basedOn w:val="Normal"/>
    <w:next w:val="Normal"/>
    <w:autoRedefine/>
    <w:uiPriority w:val="39"/>
    <w:unhideWhenUsed/>
    <w:rsid w:val="00687EA8"/>
    <w:pPr>
      <w:spacing w:after="100"/>
      <w:ind w:left="420"/>
    </w:pPr>
  </w:style>
  <w:style w:type="character" w:styleId="Hyperlink">
    <w:name w:val="Hyperlink"/>
    <w:basedOn w:val="DefaultParagraphFont"/>
    <w:uiPriority w:val="99"/>
    <w:unhideWhenUsed/>
    <w:rsid w:val="00687EA8"/>
    <w:rPr>
      <w:color w:val="0563C1" w:themeColor="hyperlink"/>
      <w:u w:val="single"/>
    </w:rPr>
  </w:style>
  <w:style w:type="table" w:styleId="TableGrid">
    <w:name w:val="Table Grid"/>
    <w:basedOn w:val="TableNormal"/>
    <w:uiPriority w:val="39"/>
    <w:rsid w:val="00D8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5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65"/>
  </w:style>
  <w:style w:type="character" w:styleId="PageNumber">
    <w:name w:val="page number"/>
    <w:basedOn w:val="DefaultParagraphFont"/>
    <w:uiPriority w:val="99"/>
    <w:semiHidden/>
    <w:unhideWhenUsed/>
    <w:rsid w:val="00845165"/>
  </w:style>
  <w:style w:type="character" w:styleId="UnresolvedMention">
    <w:name w:val="Unresolved Mention"/>
    <w:basedOn w:val="DefaultParagraphFont"/>
    <w:uiPriority w:val="99"/>
    <w:semiHidden/>
    <w:unhideWhenUsed/>
    <w:rsid w:val="00BA688C"/>
    <w:rPr>
      <w:color w:val="605E5C"/>
      <w:shd w:val="clear" w:color="auto" w:fill="E1DFDD"/>
    </w:rPr>
  </w:style>
  <w:style w:type="paragraph" w:styleId="Header">
    <w:name w:val="header"/>
    <w:basedOn w:val="Normal"/>
    <w:link w:val="HeaderChar"/>
    <w:uiPriority w:val="99"/>
    <w:unhideWhenUsed/>
    <w:rsid w:val="00D50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FCA"/>
  </w:style>
  <w:style w:type="character" w:styleId="FollowedHyperlink">
    <w:name w:val="FollowedHyperlink"/>
    <w:basedOn w:val="DefaultParagraphFont"/>
    <w:uiPriority w:val="99"/>
    <w:semiHidden/>
    <w:unhideWhenUsed/>
    <w:rsid w:val="00347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9561">
      <w:bodyDiv w:val="1"/>
      <w:marLeft w:val="0"/>
      <w:marRight w:val="0"/>
      <w:marTop w:val="0"/>
      <w:marBottom w:val="0"/>
      <w:divBdr>
        <w:top w:val="none" w:sz="0" w:space="0" w:color="auto"/>
        <w:left w:val="none" w:sz="0" w:space="0" w:color="auto"/>
        <w:bottom w:val="none" w:sz="0" w:space="0" w:color="auto"/>
        <w:right w:val="none" w:sz="0" w:space="0" w:color="auto"/>
      </w:divBdr>
    </w:div>
    <w:div w:id="356471274">
      <w:bodyDiv w:val="1"/>
      <w:marLeft w:val="0"/>
      <w:marRight w:val="0"/>
      <w:marTop w:val="0"/>
      <w:marBottom w:val="0"/>
      <w:divBdr>
        <w:top w:val="none" w:sz="0" w:space="0" w:color="auto"/>
        <w:left w:val="none" w:sz="0" w:space="0" w:color="auto"/>
        <w:bottom w:val="none" w:sz="0" w:space="0" w:color="auto"/>
        <w:right w:val="none" w:sz="0" w:space="0" w:color="auto"/>
      </w:divBdr>
    </w:div>
    <w:div w:id="612399541">
      <w:bodyDiv w:val="1"/>
      <w:marLeft w:val="0"/>
      <w:marRight w:val="0"/>
      <w:marTop w:val="0"/>
      <w:marBottom w:val="0"/>
      <w:divBdr>
        <w:top w:val="none" w:sz="0" w:space="0" w:color="auto"/>
        <w:left w:val="none" w:sz="0" w:space="0" w:color="auto"/>
        <w:bottom w:val="none" w:sz="0" w:space="0" w:color="auto"/>
        <w:right w:val="none" w:sz="0" w:space="0" w:color="auto"/>
      </w:divBdr>
    </w:div>
    <w:div w:id="914511556">
      <w:bodyDiv w:val="1"/>
      <w:marLeft w:val="0"/>
      <w:marRight w:val="0"/>
      <w:marTop w:val="0"/>
      <w:marBottom w:val="0"/>
      <w:divBdr>
        <w:top w:val="none" w:sz="0" w:space="0" w:color="auto"/>
        <w:left w:val="none" w:sz="0" w:space="0" w:color="auto"/>
        <w:bottom w:val="none" w:sz="0" w:space="0" w:color="auto"/>
        <w:right w:val="none" w:sz="0" w:space="0" w:color="auto"/>
      </w:divBdr>
    </w:div>
    <w:div w:id="1079668590">
      <w:bodyDiv w:val="1"/>
      <w:marLeft w:val="0"/>
      <w:marRight w:val="0"/>
      <w:marTop w:val="0"/>
      <w:marBottom w:val="0"/>
      <w:divBdr>
        <w:top w:val="none" w:sz="0" w:space="0" w:color="auto"/>
        <w:left w:val="none" w:sz="0" w:space="0" w:color="auto"/>
        <w:bottom w:val="none" w:sz="0" w:space="0" w:color="auto"/>
        <w:right w:val="none" w:sz="0" w:space="0" w:color="auto"/>
      </w:divBdr>
    </w:div>
    <w:div w:id="17350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cet.edu.au/inclusive-teaching/understanding-disability/legislation-stand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disabilityawareness.com.au/elearning/vet-sector/" TargetMode="External"/><Relationship Id="rId2" Type="http://schemas.openxmlformats.org/officeDocument/2006/relationships/customXml" Target="../customXml/item2.xml"/><Relationship Id="rId16" Type="http://schemas.openxmlformats.org/officeDocument/2006/relationships/hyperlink" Target="https://disabilityawareness.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cet.edu.au" TargetMode="Externa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au.mimecast.com/s/S_SICzvO0NfZ7V3Ws7-AW0?domain=adcet.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dcet.edu.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Visitors to ADCET's 'Disability Standards for Education' page,</a:t>
            </a:r>
            <a:r>
              <a:rPr lang="en-AU" baseline="0"/>
              <a:t> per year.</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1.4537194775695627E-2"/>
                  <c:y val="4.480703336150415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99-4B8E-AD8A-E201AD38D942}"/>
                </c:ext>
              </c:extLst>
            </c:dLbl>
            <c:dLbl>
              <c:idx val="1"/>
              <c:layout>
                <c:manualLayout>
                  <c:x val="-1.9988642816581486E-3"/>
                  <c:y val="9.1299347747868367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99-4B8E-AD8A-E201AD38D942}"/>
                </c:ext>
              </c:extLst>
            </c:dLbl>
            <c:dLbl>
              <c:idx val="2"/>
              <c:layout>
                <c:manualLayout>
                  <c:x val="-4.2884724588302184E-2"/>
                  <c:y val="0.12118726413910243"/>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99-4B8E-AD8A-E201AD38D942}"/>
                </c:ext>
              </c:extLst>
            </c:dLbl>
            <c:dLbl>
              <c:idx val="3"/>
              <c:layout>
                <c:manualLayout>
                  <c:x val="9.3583191368539764E-3"/>
                  <c:y val="6.1411431356634232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99-4B8E-AD8A-E201AD38D942}"/>
                </c:ext>
              </c:extLst>
            </c:dLbl>
            <c:dLbl>
              <c:idx val="4"/>
              <c:layout>
                <c:manualLayout>
                  <c:x val="-2.0979132293301499E-2"/>
                  <c:y val="9.462022734689437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99-4B8E-AD8A-E201AD38D9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455</c:v>
                </c:pt>
                <c:pt idx="1">
                  <c:v>1396</c:v>
                </c:pt>
                <c:pt idx="2">
                  <c:v>2911</c:v>
                </c:pt>
                <c:pt idx="3">
                  <c:v>2409</c:v>
                </c:pt>
                <c:pt idx="4">
                  <c:v>3977</c:v>
                </c:pt>
              </c:numCache>
            </c:numRef>
          </c:val>
          <c:smooth val="0"/>
          <c:extLst>
            <c:ext xmlns:c16="http://schemas.microsoft.com/office/drawing/2014/chart" uri="{C3380CC4-5D6E-409C-BE32-E72D297353CC}">
              <c16:uniqueId val="{00000006-0799-4B8E-AD8A-E201AD38D942}"/>
            </c:ext>
          </c:extLst>
        </c:ser>
        <c:dLbls>
          <c:showLegendKey val="0"/>
          <c:showVal val="0"/>
          <c:showCatName val="0"/>
          <c:showSerName val="0"/>
          <c:showPercent val="0"/>
          <c:showBubbleSize val="0"/>
        </c:dLbls>
        <c:smooth val="0"/>
        <c:axId val="740695744"/>
        <c:axId val="588553744"/>
      </c:lineChart>
      <c:catAx>
        <c:axId val="74069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53744"/>
        <c:crosses val="autoZero"/>
        <c:auto val="1"/>
        <c:lblAlgn val="ctr"/>
        <c:lblOffset val="100"/>
        <c:noMultiLvlLbl val="0"/>
      </c:catAx>
      <c:valAx>
        <c:axId val="58855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695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Visitors</a:t>
            </a:r>
            <a:r>
              <a:rPr lang="en-AU" baseline="0"/>
              <a:t> to ADCET's Universal Design for Learning page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9821746880570418E-3"/>
                  <c:y val="8.9061769087720177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C4-417B-9F3D-65F7EE9FE6A8}"/>
                </c:ext>
              </c:extLst>
            </c:dLbl>
            <c:dLbl>
              <c:idx val="1"/>
              <c:layout>
                <c:manualLayout>
                  <c:x val="4.8841354723707667E-2"/>
                  <c:y val="9.1982543428694594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C4-417B-9F3D-65F7EE9FE6A8}"/>
                </c:ext>
              </c:extLst>
            </c:dLbl>
            <c:dLbl>
              <c:idx val="2"/>
              <c:layout>
                <c:manualLayout>
                  <c:x val="6.4884135472370708E-2"/>
                  <c:y val="8.0299446064796928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C4-417B-9F3D-65F7EE9FE6A8}"/>
                </c:ext>
              </c:extLst>
            </c:dLbl>
            <c:dLbl>
              <c:idx val="3"/>
              <c:layout>
                <c:manualLayout>
                  <c:x val="2.3386809269162211E-2"/>
                  <c:y val="5.4012476996027285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C4-417B-9F3D-65F7EE9FE6A8}"/>
                </c:ext>
              </c:extLst>
            </c:dLbl>
            <c:dLbl>
              <c:idx val="4"/>
              <c:layout>
                <c:manualLayout>
                  <c:x val="1.447415329768271E-2"/>
                  <c:y val="0.10074486645161795"/>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C4-417B-9F3D-65F7EE9FE6A8}"/>
                </c:ext>
              </c:extLst>
            </c:dLbl>
            <c:dLbl>
              <c:idx val="5"/>
              <c:layout>
                <c:manualLayout>
                  <c:x val="9.126559714795009E-3"/>
                  <c:y val="5.4012476996027285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C4-417B-9F3D-65F7EE9FE6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Sheet1!$A$1:$A$6</c:f>
              <c:numCache>
                <c:formatCode>General</c:formatCode>
                <c:ptCount val="6"/>
                <c:pt idx="0">
                  <c:v>2015</c:v>
                </c:pt>
                <c:pt idx="1">
                  <c:v>2016</c:v>
                </c:pt>
                <c:pt idx="2">
                  <c:v>2017</c:v>
                </c:pt>
                <c:pt idx="3">
                  <c:v>2018</c:v>
                </c:pt>
                <c:pt idx="4">
                  <c:v>2019</c:v>
                </c:pt>
                <c:pt idx="5">
                  <c:v>2020</c:v>
                </c:pt>
              </c:numCache>
            </c:numRef>
          </c:xVal>
          <c:yVal>
            <c:numRef>
              <c:f>Sheet1!$B$1:$B$6</c:f>
              <c:numCache>
                <c:formatCode>General</c:formatCode>
                <c:ptCount val="6"/>
                <c:pt idx="0">
                  <c:v>438</c:v>
                </c:pt>
                <c:pt idx="1">
                  <c:v>612</c:v>
                </c:pt>
                <c:pt idx="2">
                  <c:v>813</c:v>
                </c:pt>
                <c:pt idx="3">
                  <c:v>1162</c:v>
                </c:pt>
                <c:pt idx="4">
                  <c:v>1954</c:v>
                </c:pt>
                <c:pt idx="5">
                  <c:v>2048</c:v>
                </c:pt>
              </c:numCache>
            </c:numRef>
          </c:yVal>
          <c:smooth val="0"/>
          <c:extLst>
            <c:ext xmlns:c16="http://schemas.microsoft.com/office/drawing/2014/chart" uri="{C3380CC4-5D6E-409C-BE32-E72D297353CC}">
              <c16:uniqueId val="{00000007-3CC4-417B-9F3D-65F7EE9FE6A8}"/>
            </c:ext>
          </c:extLst>
        </c:ser>
        <c:dLbls>
          <c:showLegendKey val="0"/>
          <c:showVal val="0"/>
          <c:showCatName val="0"/>
          <c:showSerName val="0"/>
          <c:showPercent val="0"/>
          <c:showBubbleSize val="0"/>
        </c:dLbls>
        <c:axId val="635903343"/>
        <c:axId val="636265503"/>
      </c:scatterChart>
      <c:valAx>
        <c:axId val="6359033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265503"/>
        <c:crosses val="autoZero"/>
        <c:crossBetween val="midCat"/>
      </c:valAx>
      <c:valAx>
        <c:axId val="636265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90334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4B92399D1954FA66725A34E4FDFB0" ma:contentTypeVersion="4" ma:contentTypeDescription="Create a new document." ma:contentTypeScope="" ma:versionID="3055b8ea047cafd246387df97568730d">
  <xsd:schema xmlns:xsd="http://www.w3.org/2001/XMLSchema" xmlns:xs="http://www.w3.org/2001/XMLSchema" xmlns:p="http://schemas.microsoft.com/office/2006/metadata/properties" xmlns:ns3="a3c76faa-02e9-4379-a7cc-50be31c312b6" targetNamespace="http://schemas.microsoft.com/office/2006/metadata/properties" ma:root="true" ma:fieldsID="5be887c8e02901beba368b1253356b4d" ns3:_="">
    <xsd:import namespace="a3c76faa-02e9-4379-a7cc-50be31c312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76faa-02e9-4379-a7cc-50be31c31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734E-4FA0-47FE-8613-DE20D4B4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76faa-02e9-4379-a7cc-50be31c3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00B15-B060-4929-ABF2-D0A00DD8AC85}">
  <ds:schemaRefs>
    <ds:schemaRef ds:uri="http://schemas.microsoft.com/sharepoint/v3/contenttype/forms"/>
  </ds:schemaRefs>
</ds:datastoreItem>
</file>

<file path=customXml/itemProps3.xml><?xml version="1.0" encoding="utf-8"?>
<ds:datastoreItem xmlns:ds="http://schemas.openxmlformats.org/officeDocument/2006/customXml" ds:itemID="{6906C270-F89E-4DD6-BD4A-865D83D6ED4C}">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a3c76faa-02e9-4379-a7cc-50be31c312b6"/>
    <ds:schemaRef ds:uri="http://www.w3.org/XML/1998/namespace"/>
  </ds:schemaRefs>
</ds:datastoreItem>
</file>

<file path=customXml/itemProps4.xml><?xml version="1.0" encoding="utf-8"?>
<ds:datastoreItem xmlns:ds="http://schemas.openxmlformats.org/officeDocument/2006/customXml" ds:itemID="{97B3C831-E3B3-428A-885B-C33E962C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2262</Words>
  <Characters>12899</Characters>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2020-09-25T08:17:00Z</cp:lastPrinted>
  <dcterms:created xsi:type="dcterms:W3CDTF">2020-11-26T23:35:00Z</dcterms:created>
  <dcterms:modified xsi:type="dcterms:W3CDTF">2020-11-26T23:35:00Z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0x0101007094B92399D1954FA66725A34E4FDFB0</vt:lpwstr>
  </property>
</Properties>
</file>