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2617" w14:textId="46DA10E7" w:rsidR="00654249" w:rsidRDefault="00654249" w:rsidP="000237BA">
      <w:pPr>
        <w:jc w:val="both"/>
      </w:pPr>
      <w:bookmarkStart w:id="0" w:name="_GoBack"/>
      <w:bookmarkEnd w:id="0"/>
    </w:p>
    <w:p w14:paraId="36C751E0" w14:textId="26229F12" w:rsidR="00654249" w:rsidRDefault="00F60691" w:rsidP="00654249">
      <w:pPr>
        <w:jc w:val="center"/>
      </w:pPr>
      <w:r>
        <w:rPr>
          <w:noProof/>
        </w:rPr>
        <w:drawing>
          <wp:anchor distT="0" distB="0" distL="114300" distR="114300" simplePos="0" relativeHeight="251659264" behindDoc="1" locked="0" layoutInCell="1" allowOverlap="1" wp14:anchorId="7325F56E" wp14:editId="10FCC0E1">
            <wp:simplePos x="0" y="0"/>
            <wp:positionH relativeFrom="column">
              <wp:posOffset>786130</wp:posOffset>
            </wp:positionH>
            <wp:positionV relativeFrom="page">
              <wp:posOffset>2014855</wp:posOffset>
            </wp:positionV>
            <wp:extent cx="4003200" cy="165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EGT Logo for emai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3200" cy="1659600"/>
                    </a:xfrm>
                    <a:prstGeom prst="rect">
                      <a:avLst/>
                    </a:prstGeom>
                  </pic:spPr>
                </pic:pic>
              </a:graphicData>
            </a:graphic>
            <wp14:sizeRelH relativeFrom="margin">
              <wp14:pctWidth>0</wp14:pctWidth>
            </wp14:sizeRelH>
            <wp14:sizeRelV relativeFrom="margin">
              <wp14:pctHeight>0</wp14:pctHeight>
            </wp14:sizeRelV>
          </wp:anchor>
        </w:drawing>
      </w:r>
    </w:p>
    <w:p w14:paraId="2DE6ABC9" w14:textId="52225BF3" w:rsidR="00654249" w:rsidRDefault="00654249" w:rsidP="006718E5">
      <w:pPr>
        <w:jc w:val="center"/>
        <w:rPr>
          <w:rFonts w:asciiTheme="majorHAnsi" w:hAnsiTheme="majorHAnsi"/>
          <w:b/>
          <w:bCs/>
          <w:color w:val="007947" w:themeColor="accent1"/>
          <w:sz w:val="32"/>
          <w:szCs w:val="32"/>
        </w:rPr>
      </w:pPr>
    </w:p>
    <w:p w14:paraId="0B2E62A1" w14:textId="0D8A7CCE" w:rsidR="007F0256" w:rsidRDefault="007F0256" w:rsidP="006718E5">
      <w:pPr>
        <w:jc w:val="center"/>
        <w:rPr>
          <w:rFonts w:asciiTheme="majorHAnsi" w:hAnsiTheme="majorHAnsi"/>
          <w:b/>
          <w:bCs/>
          <w:color w:val="007947" w:themeColor="accent1"/>
          <w:sz w:val="32"/>
          <w:szCs w:val="32"/>
        </w:rPr>
      </w:pPr>
    </w:p>
    <w:p w14:paraId="14E294CC" w14:textId="3F527164" w:rsidR="007F0256" w:rsidRDefault="007F0256" w:rsidP="006718E5">
      <w:pPr>
        <w:jc w:val="center"/>
        <w:rPr>
          <w:rFonts w:asciiTheme="majorHAnsi" w:hAnsiTheme="majorHAnsi"/>
          <w:b/>
          <w:bCs/>
          <w:color w:val="007947" w:themeColor="accent1"/>
          <w:sz w:val="32"/>
          <w:szCs w:val="32"/>
        </w:rPr>
      </w:pPr>
    </w:p>
    <w:p w14:paraId="58D4F12D" w14:textId="77777777" w:rsidR="00146568" w:rsidRDefault="00146568" w:rsidP="006718E5">
      <w:pPr>
        <w:jc w:val="center"/>
        <w:rPr>
          <w:rFonts w:asciiTheme="majorHAnsi" w:hAnsiTheme="majorHAnsi"/>
          <w:b/>
          <w:bCs/>
          <w:color w:val="007947" w:themeColor="accent1"/>
          <w:sz w:val="32"/>
          <w:szCs w:val="32"/>
        </w:rPr>
      </w:pPr>
    </w:p>
    <w:p w14:paraId="45514BF7" w14:textId="77777777" w:rsidR="00654249" w:rsidRDefault="00654249" w:rsidP="006718E5">
      <w:pPr>
        <w:jc w:val="center"/>
        <w:rPr>
          <w:rFonts w:asciiTheme="majorHAnsi" w:hAnsiTheme="majorHAnsi"/>
          <w:b/>
          <w:bCs/>
          <w:color w:val="007947" w:themeColor="accent1"/>
          <w:sz w:val="32"/>
          <w:szCs w:val="32"/>
        </w:rPr>
      </w:pPr>
    </w:p>
    <w:p w14:paraId="2C343EC4" w14:textId="2D4FE45D" w:rsidR="006718E5" w:rsidRDefault="00F60691" w:rsidP="006718E5">
      <w:pPr>
        <w:jc w:val="center"/>
        <w:rPr>
          <w:rFonts w:asciiTheme="majorHAnsi" w:hAnsiTheme="majorHAnsi"/>
          <w:b/>
          <w:bCs/>
          <w:color w:val="007947" w:themeColor="accent1"/>
          <w:sz w:val="32"/>
          <w:szCs w:val="32"/>
        </w:rPr>
      </w:pPr>
      <w:r>
        <w:rPr>
          <w:rFonts w:asciiTheme="majorHAnsi" w:hAnsiTheme="majorHAnsi"/>
          <w:b/>
          <w:bCs/>
          <w:color w:val="007947" w:themeColor="accent1"/>
          <w:sz w:val="32"/>
          <w:szCs w:val="32"/>
        </w:rPr>
        <w:t>Australian Association for the Gifted and Talented</w:t>
      </w:r>
    </w:p>
    <w:p w14:paraId="18DBDB6D" w14:textId="7C35421B" w:rsidR="007F0256" w:rsidRDefault="00F60691" w:rsidP="006718E5">
      <w:pPr>
        <w:jc w:val="center"/>
        <w:rPr>
          <w:rFonts w:asciiTheme="majorHAnsi" w:hAnsiTheme="majorHAnsi"/>
          <w:b/>
          <w:bCs/>
          <w:color w:val="007947" w:themeColor="accent1"/>
          <w:sz w:val="32"/>
          <w:szCs w:val="32"/>
        </w:rPr>
      </w:pPr>
      <w:r w:rsidRPr="007F0256">
        <w:rPr>
          <w:rFonts w:asciiTheme="majorHAnsi" w:hAnsiTheme="majorHAnsi"/>
          <w:b/>
          <w:bCs/>
          <w:i/>
          <w:iCs/>
          <w:color w:val="007947" w:themeColor="accent1"/>
          <w:sz w:val="32"/>
          <w:szCs w:val="32"/>
        </w:rPr>
        <w:t xml:space="preserve">Submission to </w:t>
      </w:r>
      <w:r w:rsidR="007F0256">
        <w:rPr>
          <w:rFonts w:asciiTheme="majorHAnsi" w:hAnsiTheme="majorHAnsi"/>
          <w:b/>
          <w:bCs/>
          <w:color w:val="007947" w:themeColor="accent1"/>
          <w:sz w:val="32"/>
          <w:szCs w:val="32"/>
        </w:rPr>
        <w:t xml:space="preserve">2020 Review </w:t>
      </w:r>
    </w:p>
    <w:p w14:paraId="5936EEB0" w14:textId="01817D13" w:rsidR="00F60691" w:rsidRDefault="007F0256" w:rsidP="006718E5">
      <w:pPr>
        <w:jc w:val="center"/>
        <w:rPr>
          <w:rFonts w:asciiTheme="majorHAnsi" w:hAnsiTheme="majorHAnsi"/>
          <w:b/>
          <w:bCs/>
          <w:color w:val="007947" w:themeColor="accent1"/>
          <w:sz w:val="32"/>
          <w:szCs w:val="32"/>
        </w:rPr>
      </w:pPr>
      <w:r>
        <w:rPr>
          <w:rFonts w:asciiTheme="majorHAnsi" w:hAnsiTheme="majorHAnsi"/>
          <w:b/>
          <w:bCs/>
          <w:color w:val="007947" w:themeColor="accent1"/>
          <w:sz w:val="32"/>
          <w:szCs w:val="32"/>
        </w:rPr>
        <w:t>Disability Standards for Education 2005</w:t>
      </w:r>
    </w:p>
    <w:p w14:paraId="381995D9" w14:textId="77777777" w:rsidR="002D392B" w:rsidRDefault="003F60DD" w:rsidP="006718E5">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t>Summary</w:t>
      </w:r>
      <w:r w:rsidR="002D392B">
        <w:rPr>
          <w:rFonts w:asciiTheme="majorHAnsi" w:hAnsiTheme="majorHAnsi"/>
          <w:b/>
          <w:bCs/>
          <w:color w:val="000000" w:themeColor="text1"/>
          <w:sz w:val="28"/>
          <w:szCs w:val="28"/>
        </w:rPr>
        <w:t xml:space="preserve"> </w:t>
      </w:r>
    </w:p>
    <w:p w14:paraId="220934FC" w14:textId="1FD0BA96" w:rsidR="00AE1825" w:rsidRDefault="00AE1825" w:rsidP="00AE1825">
      <w:pPr>
        <w:jc w:val="both"/>
        <w:rPr>
          <w:rFonts w:cstheme="minorHAnsi"/>
          <w:sz w:val="24"/>
          <w:szCs w:val="24"/>
        </w:rPr>
      </w:pPr>
      <w:r w:rsidRPr="00BE0119">
        <w:rPr>
          <w:rFonts w:eastAsia="Times New Roman" w:cstheme="minorHAnsi"/>
          <w:color w:val="222222"/>
          <w:sz w:val="24"/>
          <w:szCs w:val="24"/>
          <w:shd w:val="clear" w:color="auto" w:fill="FFFFFF"/>
        </w:rPr>
        <w:t xml:space="preserve">Every child in Australia deserves, and is entitled to, equity of access to the opportunities that education can provide for them to learn, achieve and thrive. </w:t>
      </w:r>
      <w:r w:rsidRPr="00BE0119">
        <w:rPr>
          <w:rFonts w:cstheme="minorHAnsi"/>
          <w:sz w:val="24"/>
          <w:szCs w:val="24"/>
        </w:rPr>
        <w:t>The Australian Curriculum</w:t>
      </w:r>
      <w:r>
        <w:rPr>
          <w:rFonts w:cstheme="minorHAnsi"/>
          <w:sz w:val="24"/>
          <w:szCs w:val="24"/>
        </w:rPr>
        <w:t>, Assessment and Reporting Authority (ACARA)</w:t>
      </w:r>
      <w:r w:rsidRPr="00BE0119">
        <w:rPr>
          <w:rFonts w:cstheme="minorHAnsi"/>
          <w:sz w:val="24"/>
          <w:szCs w:val="24"/>
        </w:rPr>
        <w:t xml:space="preserve"> advocates for this fundamental right, stating that </w:t>
      </w:r>
      <w:r w:rsidRPr="00AE1825">
        <w:rPr>
          <w:rFonts w:cstheme="minorHAnsi"/>
          <w:i/>
          <w:sz w:val="24"/>
          <w:szCs w:val="24"/>
        </w:rPr>
        <w:t>all children are entitled to rigorous, relevant and engaging learning opportunities…aligned with their individual learning needs, strengths, interests and goals.</w:t>
      </w:r>
      <w:r>
        <w:rPr>
          <w:rFonts w:cstheme="minorHAnsi"/>
          <w:i/>
          <w:sz w:val="24"/>
          <w:szCs w:val="24"/>
        </w:rPr>
        <w:t xml:space="preserve"> </w:t>
      </w:r>
      <w:r>
        <w:rPr>
          <w:rFonts w:cstheme="minorHAnsi"/>
          <w:sz w:val="24"/>
          <w:szCs w:val="24"/>
        </w:rPr>
        <w:t xml:space="preserve">To enable </w:t>
      </w:r>
      <w:r w:rsidR="00FE52F8">
        <w:rPr>
          <w:rFonts w:cstheme="minorHAnsi"/>
          <w:sz w:val="24"/>
          <w:szCs w:val="24"/>
        </w:rPr>
        <w:t xml:space="preserve">students who are gifted and also have a learning disability </w:t>
      </w:r>
      <w:r w:rsidR="00954EA8">
        <w:rPr>
          <w:rFonts w:cstheme="minorHAnsi"/>
          <w:sz w:val="24"/>
          <w:szCs w:val="24"/>
        </w:rPr>
        <w:t xml:space="preserve">(GLD) </w:t>
      </w:r>
      <w:r w:rsidR="00FE52F8">
        <w:rPr>
          <w:rFonts w:cstheme="minorHAnsi"/>
          <w:sz w:val="24"/>
          <w:szCs w:val="24"/>
        </w:rPr>
        <w:t xml:space="preserve">to have </w:t>
      </w:r>
      <w:r>
        <w:rPr>
          <w:rFonts w:cstheme="minorHAnsi"/>
          <w:sz w:val="24"/>
          <w:szCs w:val="24"/>
        </w:rPr>
        <w:t xml:space="preserve">equal access to diverse, rigorous and appropriate </w:t>
      </w:r>
      <w:r w:rsidR="007F0256">
        <w:rPr>
          <w:rFonts w:cstheme="minorHAnsi"/>
          <w:sz w:val="24"/>
          <w:szCs w:val="24"/>
        </w:rPr>
        <w:t>education, it must be understood that</w:t>
      </w:r>
    </w:p>
    <w:p w14:paraId="53146EA2" w14:textId="391F3F3A" w:rsidR="00857062" w:rsidRDefault="00857062" w:rsidP="00857062">
      <w:pPr>
        <w:pStyle w:val="ListParagraph"/>
        <w:numPr>
          <w:ilvl w:val="0"/>
          <w:numId w:val="33"/>
        </w:numPr>
        <w:jc w:val="both"/>
        <w:rPr>
          <w:sz w:val="24"/>
          <w:szCs w:val="24"/>
        </w:rPr>
      </w:pPr>
      <w:r>
        <w:rPr>
          <w:sz w:val="24"/>
          <w:szCs w:val="24"/>
        </w:rPr>
        <w:t>Giftedness and disability are not mutually exclusive</w:t>
      </w:r>
    </w:p>
    <w:p w14:paraId="7EC96A89" w14:textId="7AE73C88" w:rsidR="00857062" w:rsidRDefault="00857062" w:rsidP="00857062">
      <w:pPr>
        <w:pStyle w:val="ListParagraph"/>
        <w:numPr>
          <w:ilvl w:val="0"/>
          <w:numId w:val="33"/>
        </w:numPr>
        <w:jc w:val="both"/>
        <w:rPr>
          <w:sz w:val="24"/>
          <w:szCs w:val="24"/>
        </w:rPr>
      </w:pPr>
      <w:r>
        <w:rPr>
          <w:sz w:val="24"/>
          <w:szCs w:val="24"/>
        </w:rPr>
        <w:t xml:space="preserve">Initial Teacher Education degrees must incorporate </w:t>
      </w:r>
      <w:r w:rsidR="008D7863">
        <w:rPr>
          <w:sz w:val="24"/>
          <w:szCs w:val="24"/>
        </w:rPr>
        <w:t xml:space="preserve">relevant training in both giftedness and </w:t>
      </w:r>
      <w:r w:rsidR="00146568">
        <w:rPr>
          <w:sz w:val="24"/>
          <w:szCs w:val="24"/>
        </w:rPr>
        <w:t>disability</w:t>
      </w:r>
      <w:r w:rsidR="008D7863">
        <w:rPr>
          <w:sz w:val="24"/>
          <w:szCs w:val="24"/>
        </w:rPr>
        <w:t>.</w:t>
      </w:r>
    </w:p>
    <w:p w14:paraId="628447C6" w14:textId="5CDA5742" w:rsidR="00857062" w:rsidRDefault="00857062" w:rsidP="00857062">
      <w:pPr>
        <w:pStyle w:val="ListParagraph"/>
        <w:numPr>
          <w:ilvl w:val="0"/>
          <w:numId w:val="33"/>
        </w:numPr>
        <w:jc w:val="both"/>
        <w:rPr>
          <w:sz w:val="24"/>
          <w:szCs w:val="24"/>
        </w:rPr>
      </w:pPr>
      <w:r>
        <w:rPr>
          <w:sz w:val="24"/>
          <w:szCs w:val="24"/>
        </w:rPr>
        <w:t xml:space="preserve">Educators must be appropriately resourced to identify, plan for and support </w:t>
      </w:r>
      <w:r w:rsidR="00146568">
        <w:rPr>
          <w:sz w:val="24"/>
          <w:szCs w:val="24"/>
        </w:rPr>
        <w:t>GLD students in accordance with the Disability Standards for Education 2005.</w:t>
      </w:r>
    </w:p>
    <w:p w14:paraId="0FED9930" w14:textId="3D310135" w:rsidR="00146568" w:rsidRPr="00857062" w:rsidRDefault="00146568" w:rsidP="00857062">
      <w:pPr>
        <w:pStyle w:val="ListParagraph"/>
        <w:numPr>
          <w:ilvl w:val="0"/>
          <w:numId w:val="33"/>
        </w:numPr>
        <w:jc w:val="both"/>
        <w:rPr>
          <w:sz w:val="24"/>
          <w:szCs w:val="24"/>
        </w:rPr>
      </w:pPr>
      <w:r w:rsidRPr="00146568">
        <w:rPr>
          <w:sz w:val="24"/>
          <w:szCs w:val="24"/>
        </w:rPr>
        <w:t>It is the responsibility of the Disability Standards for Education 2005 to ensure that rights, obligations and measures of compliance set out in the Standards (and its Guidance Notes) are clear and appropriate for GLD students, regardless of their intellectual ability.</w:t>
      </w:r>
    </w:p>
    <w:p w14:paraId="16B1AA64" w14:textId="0CFED95C" w:rsidR="002D392B" w:rsidRPr="002D392B" w:rsidRDefault="002D392B" w:rsidP="006718E5">
      <w:pPr>
        <w:jc w:val="center"/>
        <w:rPr>
          <w:rFonts w:asciiTheme="majorHAnsi" w:hAnsiTheme="majorHAnsi"/>
          <w:b/>
          <w:bCs/>
          <w:color w:val="000000" w:themeColor="text1"/>
          <w:sz w:val="24"/>
          <w:szCs w:val="24"/>
        </w:rPr>
      </w:pPr>
      <w:r w:rsidRPr="007C780C">
        <w:rPr>
          <w:rFonts w:asciiTheme="majorHAnsi" w:hAnsiTheme="majorHAnsi"/>
          <w:b/>
          <w:bCs/>
          <w:color w:val="000000" w:themeColor="text1"/>
          <w:sz w:val="24"/>
          <w:szCs w:val="24"/>
        </w:rPr>
        <w:t>Contact:</w:t>
      </w:r>
      <w:r w:rsidR="00146568">
        <w:rPr>
          <w:rFonts w:asciiTheme="majorHAnsi" w:hAnsiTheme="majorHAnsi"/>
          <w:b/>
          <w:bCs/>
          <w:color w:val="000000" w:themeColor="text1"/>
          <w:sz w:val="24"/>
          <w:szCs w:val="24"/>
        </w:rPr>
        <w:tab/>
      </w:r>
      <w:r w:rsidRPr="002D392B">
        <w:rPr>
          <w:rFonts w:asciiTheme="majorHAnsi" w:hAnsiTheme="majorHAnsi"/>
          <w:b/>
          <w:bCs/>
          <w:color w:val="000000" w:themeColor="text1"/>
          <w:sz w:val="24"/>
          <w:szCs w:val="24"/>
        </w:rPr>
        <w:t xml:space="preserve">Mrs Melinda Gindy </w:t>
      </w:r>
      <w:r w:rsidRPr="002D392B">
        <w:rPr>
          <w:rFonts w:asciiTheme="majorHAnsi" w:hAnsiTheme="majorHAnsi"/>
          <w:b/>
          <w:bCs/>
          <w:i/>
          <w:color w:val="000000" w:themeColor="text1"/>
          <w:sz w:val="24"/>
          <w:szCs w:val="24"/>
        </w:rPr>
        <w:t>President</w:t>
      </w:r>
      <w:r w:rsidRPr="002D392B">
        <w:rPr>
          <w:rFonts w:asciiTheme="majorHAnsi" w:hAnsiTheme="majorHAnsi"/>
          <w:b/>
          <w:bCs/>
          <w:color w:val="000000" w:themeColor="text1"/>
          <w:sz w:val="24"/>
          <w:szCs w:val="24"/>
        </w:rPr>
        <w:t xml:space="preserve"> </w:t>
      </w:r>
    </w:p>
    <w:p w14:paraId="09036C33" w14:textId="1798BB00" w:rsidR="006718E5" w:rsidRDefault="00F203E0" w:rsidP="006718E5">
      <w:pPr>
        <w:jc w:val="center"/>
        <w:rPr>
          <w:rFonts w:asciiTheme="majorHAnsi" w:hAnsiTheme="majorHAnsi"/>
          <w:b/>
          <w:bCs/>
          <w:color w:val="000000" w:themeColor="text1"/>
          <w:sz w:val="24"/>
          <w:szCs w:val="24"/>
        </w:rPr>
      </w:pPr>
      <w:hyperlink r:id="rId8" w:history="1">
        <w:r w:rsidR="00833EA3" w:rsidRPr="00B10699">
          <w:rPr>
            <w:rStyle w:val="Hyperlink"/>
            <w:rFonts w:asciiTheme="majorHAnsi" w:hAnsiTheme="majorHAnsi"/>
            <w:b/>
            <w:bCs/>
            <w:sz w:val="24"/>
            <w:szCs w:val="24"/>
          </w:rPr>
          <w:t>president@aaegt.net.au</w:t>
        </w:r>
      </w:hyperlink>
    </w:p>
    <w:p w14:paraId="20C2A3ED" w14:textId="5D4C0EE3" w:rsidR="003F60DD" w:rsidRDefault="003F60DD" w:rsidP="003F60DD">
      <w:pPr>
        <w:spacing w:before="240" w:after="240" w:line="240" w:lineRule="auto"/>
        <w:outlineLvl w:val="0"/>
        <w:rPr>
          <w:rFonts w:eastAsia="Times New Roman" w:cstheme="minorHAnsi"/>
          <w:b/>
          <w:bCs/>
          <w:kern w:val="36"/>
          <w:sz w:val="28"/>
          <w:szCs w:val="28"/>
          <w:lang w:eastAsia="en-AU"/>
        </w:rPr>
      </w:pPr>
      <w:bookmarkStart w:id="1" w:name="_Hlk27347866"/>
      <w:r w:rsidRPr="00D862FE">
        <w:rPr>
          <w:rFonts w:eastAsia="Times New Roman" w:cstheme="minorHAnsi"/>
          <w:b/>
          <w:bCs/>
          <w:kern w:val="36"/>
          <w:sz w:val="28"/>
          <w:szCs w:val="28"/>
          <w:lang w:eastAsia="en-AU"/>
        </w:rPr>
        <w:lastRenderedPageBreak/>
        <w:t>Introduction</w:t>
      </w:r>
    </w:p>
    <w:p w14:paraId="5066851F" w14:textId="3223E622" w:rsidR="007F0256" w:rsidRDefault="007F0256" w:rsidP="00471B5F">
      <w:pPr>
        <w:jc w:val="both"/>
        <w:rPr>
          <w:rFonts w:cstheme="minorHAnsi"/>
          <w:sz w:val="24"/>
          <w:szCs w:val="24"/>
        </w:rPr>
      </w:pPr>
      <w:r w:rsidRPr="00B626FA">
        <w:rPr>
          <w:sz w:val="24"/>
          <w:szCs w:val="24"/>
        </w:rPr>
        <w:t>This</w:t>
      </w:r>
      <w:r w:rsidR="00787FFC" w:rsidRPr="00B626FA">
        <w:rPr>
          <w:sz w:val="24"/>
          <w:szCs w:val="24"/>
        </w:rPr>
        <w:t xml:space="preserve"> </w:t>
      </w:r>
      <w:r w:rsidRPr="00B626FA">
        <w:rPr>
          <w:sz w:val="24"/>
          <w:szCs w:val="24"/>
        </w:rPr>
        <w:t xml:space="preserve">submission focusses on </w:t>
      </w:r>
      <w:r w:rsidRPr="00B626FA">
        <w:rPr>
          <w:b/>
          <w:bCs/>
          <w:sz w:val="24"/>
          <w:szCs w:val="24"/>
        </w:rPr>
        <w:t>students</w:t>
      </w:r>
      <w:r w:rsidRPr="00B626FA">
        <w:rPr>
          <w:sz w:val="24"/>
          <w:szCs w:val="24"/>
        </w:rPr>
        <w:t xml:space="preserve"> with</w:t>
      </w:r>
      <w:r w:rsidRPr="00B626FA">
        <w:rPr>
          <w:b/>
          <w:sz w:val="24"/>
          <w:szCs w:val="24"/>
        </w:rPr>
        <w:t xml:space="preserve"> disability </w:t>
      </w:r>
      <w:r w:rsidRPr="00B626FA">
        <w:rPr>
          <w:sz w:val="24"/>
          <w:szCs w:val="24"/>
        </w:rPr>
        <w:t xml:space="preserve">who are also intellectually </w:t>
      </w:r>
      <w:r w:rsidRPr="00B626FA">
        <w:rPr>
          <w:b/>
          <w:sz w:val="24"/>
          <w:szCs w:val="24"/>
        </w:rPr>
        <w:t>gifted</w:t>
      </w:r>
      <w:r w:rsidRPr="00B626FA">
        <w:rPr>
          <w:sz w:val="24"/>
          <w:szCs w:val="24"/>
        </w:rPr>
        <w:t xml:space="preserve"> (</w:t>
      </w:r>
      <w:proofErr w:type="spellStart"/>
      <w:r w:rsidRPr="00B626FA">
        <w:rPr>
          <w:sz w:val="24"/>
          <w:szCs w:val="24"/>
        </w:rPr>
        <w:t>ie</w:t>
      </w:r>
      <w:proofErr w:type="spellEnd"/>
      <w:r w:rsidRPr="00B626FA">
        <w:rPr>
          <w:sz w:val="24"/>
          <w:szCs w:val="24"/>
        </w:rPr>
        <w:t xml:space="preserve">, intellectual ability in top 10% of age peers) in </w:t>
      </w:r>
      <w:r w:rsidR="00787FFC" w:rsidRPr="00B626FA">
        <w:rPr>
          <w:sz w:val="24"/>
          <w:szCs w:val="24"/>
        </w:rPr>
        <w:t xml:space="preserve">early childhood, </w:t>
      </w:r>
      <w:r w:rsidRPr="00B626FA">
        <w:rPr>
          <w:sz w:val="24"/>
          <w:szCs w:val="24"/>
        </w:rPr>
        <w:t xml:space="preserve">primary and secondary </w:t>
      </w:r>
      <w:r w:rsidRPr="00B626FA">
        <w:rPr>
          <w:b/>
          <w:bCs/>
          <w:sz w:val="24"/>
          <w:szCs w:val="24"/>
        </w:rPr>
        <w:t>education</w:t>
      </w:r>
      <w:r w:rsidRPr="00B626FA">
        <w:rPr>
          <w:sz w:val="24"/>
          <w:szCs w:val="24"/>
        </w:rPr>
        <w:t xml:space="preserve"> settings. The submission </w:t>
      </w:r>
      <w:r w:rsidR="00833EA3" w:rsidRPr="00B626FA">
        <w:rPr>
          <w:sz w:val="24"/>
          <w:szCs w:val="24"/>
        </w:rPr>
        <w:t xml:space="preserve">responds to the Terms of Reference for the 2020 Review in consideration of intellectually gifted students with disability. The submission </w:t>
      </w:r>
      <w:r w:rsidRPr="00B626FA">
        <w:rPr>
          <w:sz w:val="24"/>
          <w:szCs w:val="24"/>
        </w:rPr>
        <w:t>describes the barriers encountered by intellectually gifted students with disability and by their parents</w:t>
      </w:r>
      <w:r w:rsidR="00833EA3" w:rsidRPr="00B626FA">
        <w:rPr>
          <w:sz w:val="24"/>
          <w:szCs w:val="24"/>
        </w:rPr>
        <w:t xml:space="preserve"> and their educators, </w:t>
      </w:r>
      <w:r w:rsidRPr="00B626FA">
        <w:rPr>
          <w:sz w:val="24"/>
          <w:szCs w:val="24"/>
        </w:rPr>
        <w:t xml:space="preserve">with particular emphasis on how little is known by education providers in all three sectors about their obligations under disability discrimination </w:t>
      </w:r>
      <w:r w:rsidRPr="00B626FA">
        <w:rPr>
          <w:b/>
          <w:sz w:val="24"/>
          <w:szCs w:val="24"/>
        </w:rPr>
        <w:t>legislation</w:t>
      </w:r>
      <w:r w:rsidRPr="00B626FA">
        <w:rPr>
          <w:sz w:val="24"/>
          <w:szCs w:val="24"/>
        </w:rPr>
        <w:t xml:space="preserve"> (in particular the </w:t>
      </w:r>
      <w:r w:rsidRPr="00B626FA">
        <w:rPr>
          <w:i/>
          <w:sz w:val="24"/>
          <w:szCs w:val="24"/>
        </w:rPr>
        <w:t>Disability Standards for Education 2005</w:t>
      </w:r>
      <w:r w:rsidRPr="00B626FA">
        <w:rPr>
          <w:sz w:val="24"/>
          <w:szCs w:val="24"/>
        </w:rPr>
        <w:t>)</w:t>
      </w:r>
      <w:r w:rsidR="00B15E59" w:rsidRPr="00B626FA">
        <w:rPr>
          <w:sz w:val="24"/>
          <w:szCs w:val="24"/>
        </w:rPr>
        <w:t>. Furthermore, this submission emphasises how</w:t>
      </w:r>
      <w:r w:rsidRPr="00B626FA">
        <w:rPr>
          <w:sz w:val="24"/>
          <w:szCs w:val="24"/>
        </w:rPr>
        <w:t xml:space="preserve"> difficult it is for some gifted students with disability to obtain approval for </w:t>
      </w:r>
      <w:r w:rsidRPr="00B626FA">
        <w:rPr>
          <w:b/>
          <w:sz w:val="24"/>
          <w:szCs w:val="24"/>
        </w:rPr>
        <w:t>disability adjustments</w:t>
      </w:r>
      <w:r w:rsidRPr="00B626FA">
        <w:rPr>
          <w:sz w:val="24"/>
          <w:szCs w:val="24"/>
        </w:rPr>
        <w:t xml:space="preserve">, both for classroom activities and in-school assessments and for high-stakes State tests and exams such as NAPLAN and Year 12 final exams. </w:t>
      </w:r>
      <w:r w:rsidRPr="00787FFC">
        <w:rPr>
          <w:rFonts w:cstheme="minorHAnsi"/>
          <w:sz w:val="24"/>
          <w:szCs w:val="24"/>
        </w:rPr>
        <w:t xml:space="preserve">The submission argues that this constitutes </w:t>
      </w:r>
      <w:r w:rsidRPr="00787FFC">
        <w:rPr>
          <w:rFonts w:cstheme="minorHAnsi"/>
          <w:b/>
          <w:bCs/>
          <w:sz w:val="24"/>
          <w:szCs w:val="24"/>
        </w:rPr>
        <w:t xml:space="preserve">neglect </w:t>
      </w:r>
      <w:r w:rsidRPr="00787FFC">
        <w:rPr>
          <w:rFonts w:cstheme="minorHAnsi"/>
          <w:sz w:val="24"/>
          <w:szCs w:val="24"/>
        </w:rPr>
        <w:t xml:space="preserve">on the part of </w:t>
      </w:r>
      <w:r w:rsidR="00471B5F">
        <w:rPr>
          <w:rFonts w:cstheme="minorHAnsi"/>
          <w:sz w:val="24"/>
          <w:szCs w:val="24"/>
        </w:rPr>
        <w:t>education systems to appropriately and adequately provide for the educational entitlement of students with disability who are also intellectually gifted.</w:t>
      </w:r>
    </w:p>
    <w:p w14:paraId="512D78A8" w14:textId="3B257D23" w:rsidR="003F60DD" w:rsidRPr="00D862FE" w:rsidRDefault="00587045" w:rsidP="002D392B">
      <w:pPr>
        <w:spacing w:before="240" w:after="240"/>
        <w:jc w:val="both"/>
        <w:outlineLvl w:val="0"/>
        <w:rPr>
          <w:rFonts w:eastAsia="Times New Roman" w:cstheme="minorHAnsi"/>
          <w:b/>
          <w:kern w:val="36"/>
          <w:sz w:val="28"/>
          <w:szCs w:val="28"/>
          <w:lang w:eastAsia="en-AU"/>
        </w:rPr>
      </w:pPr>
      <w:r w:rsidRPr="00D862FE">
        <w:rPr>
          <w:rFonts w:eastAsia="Times New Roman" w:cstheme="minorHAnsi"/>
          <w:b/>
          <w:kern w:val="36"/>
          <w:sz w:val="28"/>
          <w:szCs w:val="28"/>
          <w:lang w:eastAsia="en-AU"/>
        </w:rPr>
        <w:t>Gifted and High Ability Students</w:t>
      </w:r>
    </w:p>
    <w:p w14:paraId="48F1977B" w14:textId="77880DB1" w:rsidR="00FE52F8" w:rsidRDefault="00F45F1B" w:rsidP="00FE52F8">
      <w:pPr>
        <w:jc w:val="both"/>
        <w:rPr>
          <w:rFonts w:cstheme="minorHAnsi"/>
          <w:b/>
          <w:color w:val="222222"/>
          <w:sz w:val="24"/>
          <w:szCs w:val="24"/>
          <w:shd w:val="clear" w:color="auto" w:fill="FFFFFF"/>
        </w:rPr>
      </w:pPr>
      <w:r w:rsidRPr="00BE0119">
        <w:rPr>
          <w:rFonts w:cstheme="minorHAnsi"/>
          <w:sz w:val="24"/>
          <w:szCs w:val="24"/>
        </w:rPr>
        <w:t xml:space="preserve">Gifted </w:t>
      </w:r>
      <w:r w:rsidR="007C780C">
        <w:rPr>
          <w:rFonts w:cstheme="minorHAnsi"/>
          <w:sz w:val="24"/>
          <w:szCs w:val="24"/>
        </w:rPr>
        <w:t xml:space="preserve">and high ability </w:t>
      </w:r>
      <w:r w:rsidRPr="00BE0119">
        <w:rPr>
          <w:rFonts w:cstheme="minorHAnsi"/>
          <w:sz w:val="24"/>
          <w:szCs w:val="24"/>
        </w:rPr>
        <w:t xml:space="preserve">students are those who have the potential for high achievement, or who are demonstrating advanced achievement. Research evidence confirms that without appropriately challenging and supportive educational opportunities, gifted children </w:t>
      </w:r>
      <w:r w:rsidR="00B15E59">
        <w:rPr>
          <w:rFonts w:cstheme="minorHAnsi"/>
          <w:sz w:val="24"/>
          <w:szCs w:val="24"/>
        </w:rPr>
        <w:t xml:space="preserve">may </w:t>
      </w:r>
      <w:r w:rsidRPr="00BE0119">
        <w:rPr>
          <w:rFonts w:cstheme="minorHAnsi"/>
          <w:sz w:val="24"/>
          <w:szCs w:val="24"/>
        </w:rPr>
        <w:t>underachieve, dropout and experience emotional disturbance and impaired wellbeing.</w:t>
      </w:r>
      <w:r w:rsidRPr="00BE0119">
        <w:rPr>
          <w:rFonts w:eastAsia="Times New Roman" w:cstheme="minorHAnsi"/>
          <w:color w:val="222222"/>
          <w:sz w:val="24"/>
          <w:szCs w:val="24"/>
          <w:shd w:val="clear" w:color="auto" w:fill="FFFFFF"/>
        </w:rPr>
        <w:t xml:space="preserve"> There</w:t>
      </w:r>
      <w:r w:rsidRPr="00BE0119">
        <w:rPr>
          <w:rFonts w:cstheme="minorHAnsi"/>
          <w:color w:val="222222"/>
          <w:sz w:val="24"/>
          <w:szCs w:val="24"/>
          <w:shd w:val="clear" w:color="auto" w:fill="FFFFFF"/>
        </w:rPr>
        <w:t xml:space="preserve"> are </w:t>
      </w:r>
      <w:r>
        <w:rPr>
          <w:rFonts w:cstheme="minorHAnsi"/>
          <w:color w:val="222222"/>
          <w:sz w:val="24"/>
          <w:szCs w:val="24"/>
          <w:shd w:val="clear" w:color="auto" w:fill="FFFFFF"/>
        </w:rPr>
        <w:t>over</w:t>
      </w:r>
      <w:r w:rsidRPr="00BE0119">
        <w:rPr>
          <w:rFonts w:cstheme="minorHAnsi"/>
          <w:color w:val="222222"/>
          <w:sz w:val="24"/>
          <w:szCs w:val="24"/>
          <w:shd w:val="clear" w:color="auto" w:fill="FFFFFF"/>
        </w:rPr>
        <w:t xml:space="preserve"> </w:t>
      </w:r>
      <w:r>
        <w:rPr>
          <w:rFonts w:cstheme="minorHAnsi"/>
          <w:b/>
          <w:color w:val="222222"/>
          <w:sz w:val="24"/>
          <w:szCs w:val="24"/>
          <w:shd w:val="clear" w:color="auto" w:fill="FFFFFF"/>
        </w:rPr>
        <w:t>400</w:t>
      </w:r>
      <w:r w:rsidRPr="00BE0119">
        <w:rPr>
          <w:rFonts w:cstheme="minorHAnsi"/>
          <w:b/>
          <w:color w:val="222222"/>
          <w:sz w:val="24"/>
          <w:szCs w:val="24"/>
          <w:shd w:val="clear" w:color="auto" w:fill="FFFFFF"/>
        </w:rPr>
        <w:t>,000 gifted children in schools across Australia</w:t>
      </w:r>
      <w:r w:rsidR="00AE1825">
        <w:rPr>
          <w:rFonts w:cstheme="minorHAnsi"/>
          <w:b/>
          <w:color w:val="222222"/>
          <w:sz w:val="24"/>
          <w:szCs w:val="24"/>
          <w:shd w:val="clear" w:color="auto" w:fill="FFFFFF"/>
        </w:rPr>
        <w:t xml:space="preserve">. </w:t>
      </w:r>
    </w:p>
    <w:p w14:paraId="655B7D38" w14:textId="143A8649" w:rsidR="00FE52F8" w:rsidRPr="00FE52F8" w:rsidRDefault="00FE52F8" w:rsidP="00FE52F8">
      <w:pPr>
        <w:jc w:val="both"/>
        <w:rPr>
          <w:rFonts w:cstheme="minorHAnsi"/>
          <w:b/>
          <w:color w:val="222222"/>
          <w:sz w:val="28"/>
          <w:szCs w:val="28"/>
          <w:shd w:val="clear" w:color="auto" w:fill="FFFFFF"/>
        </w:rPr>
      </w:pPr>
      <w:r w:rsidRPr="00FE52F8">
        <w:rPr>
          <w:rFonts w:cstheme="minorHAnsi"/>
          <w:b/>
          <w:color w:val="222222"/>
          <w:sz w:val="28"/>
          <w:szCs w:val="28"/>
          <w:shd w:val="clear" w:color="auto" w:fill="FFFFFF"/>
        </w:rPr>
        <w:t xml:space="preserve">Gifted students </w:t>
      </w:r>
      <w:r w:rsidR="00B15E59">
        <w:rPr>
          <w:rFonts w:cstheme="minorHAnsi"/>
          <w:b/>
          <w:color w:val="222222"/>
          <w:sz w:val="28"/>
          <w:szCs w:val="28"/>
          <w:shd w:val="clear" w:color="auto" w:fill="FFFFFF"/>
        </w:rPr>
        <w:t>with</w:t>
      </w:r>
      <w:r w:rsidRPr="00FE52F8">
        <w:rPr>
          <w:rFonts w:cstheme="minorHAnsi"/>
          <w:b/>
          <w:color w:val="222222"/>
          <w:sz w:val="28"/>
          <w:szCs w:val="28"/>
          <w:shd w:val="clear" w:color="auto" w:fill="FFFFFF"/>
        </w:rPr>
        <w:t xml:space="preserve"> disability</w:t>
      </w:r>
    </w:p>
    <w:p w14:paraId="6A2E1CB1" w14:textId="68D8BC96" w:rsidR="00FE52F8" w:rsidRPr="00FE52F8" w:rsidRDefault="00FE52F8" w:rsidP="00857062">
      <w:pPr>
        <w:jc w:val="both"/>
        <w:rPr>
          <w:rFonts w:cstheme="minorHAnsi"/>
          <w:bCs/>
          <w:color w:val="222222"/>
          <w:sz w:val="24"/>
          <w:szCs w:val="24"/>
          <w:shd w:val="clear" w:color="auto" w:fill="FFFFFF"/>
        </w:rPr>
      </w:pPr>
      <w:r w:rsidRPr="00FE52F8">
        <w:rPr>
          <w:rFonts w:cstheme="minorHAnsi"/>
          <w:bCs/>
          <w:color w:val="222222"/>
          <w:sz w:val="24"/>
          <w:szCs w:val="24"/>
          <w:shd w:val="clear" w:color="auto" w:fill="FFFFFF"/>
        </w:rPr>
        <w:t xml:space="preserve">Giftedness does not restrict itself to race, gender, socio-economic status, those with a learning disability or any other minority group (Trail, 2011). As such, gifted children are not exempt from any form of disability, apart from an intellectual disability. The co-occurrence of giftedness with a learning disability </w:t>
      </w:r>
      <w:r w:rsidR="003E6AE6">
        <w:rPr>
          <w:rFonts w:cstheme="minorHAnsi"/>
          <w:bCs/>
          <w:color w:val="222222"/>
          <w:sz w:val="24"/>
          <w:szCs w:val="24"/>
          <w:shd w:val="clear" w:color="auto" w:fill="FFFFFF"/>
        </w:rPr>
        <w:t xml:space="preserve">(GLD) </w:t>
      </w:r>
      <w:r w:rsidRPr="00FE52F8">
        <w:rPr>
          <w:rFonts w:cstheme="minorHAnsi"/>
          <w:bCs/>
          <w:color w:val="222222"/>
          <w:sz w:val="24"/>
          <w:szCs w:val="24"/>
          <w:shd w:val="clear" w:color="auto" w:fill="FFFFFF"/>
        </w:rPr>
        <w:t xml:space="preserve">is not a new concept. In fact, Hollingworth (1923) deliberated on the needs of this group almost 100 years ago. It is highly plausible that </w:t>
      </w:r>
      <w:r w:rsidR="003E6AE6">
        <w:rPr>
          <w:rFonts w:cstheme="minorHAnsi"/>
          <w:bCs/>
          <w:color w:val="222222"/>
          <w:sz w:val="24"/>
          <w:szCs w:val="24"/>
          <w:shd w:val="clear" w:color="auto" w:fill="FFFFFF"/>
        </w:rPr>
        <w:t>educators</w:t>
      </w:r>
      <w:r w:rsidRPr="00FE52F8">
        <w:rPr>
          <w:rFonts w:cstheme="minorHAnsi"/>
          <w:bCs/>
          <w:color w:val="222222"/>
          <w:sz w:val="24"/>
          <w:szCs w:val="24"/>
          <w:shd w:val="clear" w:color="auto" w:fill="FFFFFF"/>
        </w:rPr>
        <w:t xml:space="preserve"> will </w:t>
      </w:r>
      <w:r w:rsidR="003E6AE6">
        <w:rPr>
          <w:rFonts w:cstheme="minorHAnsi"/>
          <w:bCs/>
          <w:color w:val="222222"/>
          <w:sz w:val="24"/>
          <w:szCs w:val="24"/>
          <w:shd w:val="clear" w:color="auto" w:fill="FFFFFF"/>
        </w:rPr>
        <w:t xml:space="preserve">work with and </w:t>
      </w:r>
      <w:r w:rsidRPr="00FE52F8">
        <w:rPr>
          <w:rFonts w:cstheme="minorHAnsi"/>
          <w:bCs/>
          <w:color w:val="222222"/>
          <w:sz w:val="24"/>
          <w:szCs w:val="24"/>
          <w:shd w:val="clear" w:color="auto" w:fill="FFFFFF"/>
        </w:rPr>
        <w:t xml:space="preserve">teach </w:t>
      </w:r>
      <w:r w:rsidR="003E6AE6">
        <w:rPr>
          <w:rFonts w:cstheme="minorHAnsi"/>
          <w:bCs/>
          <w:color w:val="222222"/>
          <w:sz w:val="24"/>
          <w:szCs w:val="24"/>
          <w:shd w:val="clear" w:color="auto" w:fill="FFFFFF"/>
        </w:rPr>
        <w:t xml:space="preserve">multiple GLD </w:t>
      </w:r>
      <w:r w:rsidRPr="00FE52F8">
        <w:rPr>
          <w:rFonts w:cstheme="minorHAnsi"/>
          <w:bCs/>
          <w:color w:val="222222"/>
          <w:sz w:val="24"/>
          <w:szCs w:val="24"/>
          <w:shd w:val="clear" w:color="auto" w:fill="FFFFFF"/>
        </w:rPr>
        <w:t>children within their teaching career. Rogers (2010) found that a total of 14% of gifted children in her research presented with some form of twice-exceptionality. Indeed, </w:t>
      </w:r>
      <w:r w:rsidRPr="00FE52F8">
        <w:rPr>
          <w:rFonts w:cstheme="minorHAnsi"/>
          <w:bCs/>
          <w:i/>
          <w:iCs/>
          <w:color w:val="222222"/>
          <w:sz w:val="24"/>
          <w:szCs w:val="24"/>
          <w:shd w:val="clear" w:color="auto" w:fill="FFFFFF"/>
        </w:rPr>
        <w:t>‘a high IQ is protective against nothing but a low one’</w:t>
      </w:r>
      <w:r w:rsidRPr="00FE52F8">
        <w:rPr>
          <w:rFonts w:cstheme="minorHAnsi"/>
          <w:bCs/>
          <w:color w:val="222222"/>
          <w:sz w:val="24"/>
          <w:szCs w:val="24"/>
          <w:shd w:val="clear" w:color="auto" w:fill="FFFFFF"/>
        </w:rPr>
        <w:t> (Barnes, 2015).</w:t>
      </w:r>
    </w:p>
    <w:p w14:paraId="060FAFF6" w14:textId="42E16AB1" w:rsidR="00FE52F8" w:rsidRPr="00FE52F8" w:rsidRDefault="00FE52F8" w:rsidP="00FE52F8">
      <w:pPr>
        <w:jc w:val="both"/>
        <w:rPr>
          <w:rFonts w:cstheme="minorHAnsi"/>
          <w:bCs/>
          <w:color w:val="222222"/>
          <w:sz w:val="24"/>
          <w:szCs w:val="24"/>
          <w:shd w:val="clear" w:color="auto" w:fill="FFFFFF"/>
        </w:rPr>
      </w:pPr>
      <w:r w:rsidRPr="00FE52F8">
        <w:rPr>
          <w:rFonts w:cstheme="minorHAnsi"/>
          <w:bCs/>
          <w:color w:val="222222"/>
          <w:sz w:val="24"/>
          <w:szCs w:val="24"/>
          <w:shd w:val="clear" w:color="auto" w:fill="FFFFFF"/>
        </w:rPr>
        <w:t xml:space="preserve">Often the greatest challenge for teachers of </w:t>
      </w:r>
      <w:r w:rsidR="00B626FA">
        <w:rPr>
          <w:rFonts w:cstheme="minorHAnsi"/>
          <w:bCs/>
          <w:color w:val="222222"/>
          <w:sz w:val="24"/>
          <w:szCs w:val="24"/>
          <w:shd w:val="clear" w:color="auto" w:fill="FFFFFF"/>
        </w:rPr>
        <w:t xml:space="preserve">GLD </w:t>
      </w:r>
      <w:r w:rsidRPr="00FE52F8">
        <w:rPr>
          <w:rFonts w:cstheme="minorHAnsi"/>
          <w:bCs/>
          <w:color w:val="222222"/>
          <w:sz w:val="24"/>
          <w:szCs w:val="24"/>
          <w:shd w:val="clear" w:color="auto" w:fill="FFFFFF"/>
        </w:rPr>
        <w:t xml:space="preserve">children lay in engaging their minds at an intellectual level, whilst accommodating and catering for their learning disabilities. </w:t>
      </w:r>
      <w:proofErr w:type="spellStart"/>
      <w:r w:rsidRPr="00FE52F8">
        <w:rPr>
          <w:rFonts w:cstheme="minorHAnsi"/>
          <w:bCs/>
          <w:color w:val="222222"/>
          <w:sz w:val="24"/>
          <w:szCs w:val="24"/>
          <w:shd w:val="clear" w:color="auto" w:fill="FFFFFF"/>
        </w:rPr>
        <w:t>Abramo</w:t>
      </w:r>
      <w:proofErr w:type="spellEnd"/>
      <w:r w:rsidRPr="00FE52F8">
        <w:rPr>
          <w:rFonts w:cstheme="minorHAnsi"/>
          <w:bCs/>
          <w:color w:val="222222"/>
          <w:sz w:val="24"/>
          <w:szCs w:val="24"/>
          <w:shd w:val="clear" w:color="auto" w:fill="FFFFFF"/>
        </w:rPr>
        <w:t xml:space="preserve"> (2015) reflects: </w:t>
      </w:r>
      <w:r w:rsidRPr="00FE52F8">
        <w:rPr>
          <w:rFonts w:cstheme="minorHAnsi"/>
          <w:bCs/>
          <w:i/>
          <w:iCs/>
          <w:color w:val="222222"/>
          <w:sz w:val="24"/>
          <w:szCs w:val="24"/>
          <w:shd w:val="clear" w:color="auto" w:fill="FFFFFF"/>
        </w:rPr>
        <w:t>“Twice-exceptional</w:t>
      </w:r>
      <w:r w:rsidR="008D7863">
        <w:rPr>
          <w:rFonts w:cstheme="minorHAnsi"/>
          <w:bCs/>
          <w:i/>
          <w:iCs/>
          <w:color w:val="222222"/>
          <w:sz w:val="24"/>
          <w:szCs w:val="24"/>
          <w:shd w:val="clear" w:color="auto" w:fill="FFFFFF"/>
        </w:rPr>
        <w:t>*</w:t>
      </w:r>
      <w:r w:rsidRPr="00FE52F8">
        <w:rPr>
          <w:rFonts w:cstheme="minorHAnsi"/>
          <w:bCs/>
          <w:i/>
          <w:iCs/>
          <w:color w:val="222222"/>
          <w:sz w:val="24"/>
          <w:szCs w:val="24"/>
          <w:shd w:val="clear" w:color="auto" w:fill="FFFFFF"/>
        </w:rPr>
        <w:t xml:space="preserve"> children are a misidentified, misunderstood, and underserved population. Often their needs are not met because 2E students differ from students with disabilities, students with average intelligence and gifted-alone peers”.</w:t>
      </w:r>
      <w:r w:rsidRPr="00FE52F8">
        <w:rPr>
          <w:rFonts w:cstheme="minorHAnsi"/>
          <w:bCs/>
          <w:color w:val="222222"/>
          <w:sz w:val="24"/>
          <w:szCs w:val="24"/>
          <w:shd w:val="clear" w:color="auto" w:fill="FFFFFF"/>
        </w:rPr>
        <w:t xml:space="preserve"> Reis and </w:t>
      </w:r>
      <w:proofErr w:type="spellStart"/>
      <w:r w:rsidRPr="00FE52F8">
        <w:rPr>
          <w:rFonts w:cstheme="minorHAnsi"/>
          <w:bCs/>
          <w:color w:val="222222"/>
          <w:sz w:val="24"/>
          <w:szCs w:val="24"/>
          <w:shd w:val="clear" w:color="auto" w:fill="FFFFFF"/>
        </w:rPr>
        <w:t>Renzulli</w:t>
      </w:r>
      <w:proofErr w:type="spellEnd"/>
      <w:r w:rsidRPr="00FE52F8">
        <w:rPr>
          <w:rFonts w:cstheme="minorHAnsi"/>
          <w:bCs/>
          <w:color w:val="222222"/>
          <w:sz w:val="24"/>
          <w:szCs w:val="24"/>
          <w:shd w:val="clear" w:color="auto" w:fill="FFFFFF"/>
        </w:rPr>
        <w:t xml:space="preserve"> (2004) stated that </w:t>
      </w:r>
      <w:r w:rsidRPr="00FE52F8">
        <w:rPr>
          <w:rFonts w:cstheme="minorHAnsi"/>
          <w:bCs/>
          <w:i/>
          <w:iCs/>
          <w:color w:val="222222"/>
          <w:sz w:val="24"/>
          <w:szCs w:val="24"/>
          <w:shd w:val="clear" w:color="auto" w:fill="FFFFFF"/>
        </w:rPr>
        <w:t>“gifted students with learning disabilities often were misunderstood because their giftedness could mask their disabilities and their disabilities could camouﬂage their talents”</w:t>
      </w:r>
      <w:r w:rsidRPr="00FE52F8">
        <w:rPr>
          <w:rFonts w:cstheme="minorHAnsi"/>
          <w:bCs/>
          <w:color w:val="222222"/>
          <w:sz w:val="24"/>
          <w:szCs w:val="24"/>
          <w:shd w:val="clear" w:color="auto" w:fill="FFFFFF"/>
        </w:rPr>
        <w:t>.</w:t>
      </w:r>
    </w:p>
    <w:p w14:paraId="67451054" w14:textId="383E6F6C" w:rsidR="00FE52F8" w:rsidRPr="008D7863" w:rsidRDefault="008D7863" w:rsidP="008D7863">
      <w:pPr>
        <w:jc w:val="both"/>
        <w:rPr>
          <w:rFonts w:cstheme="minorHAnsi"/>
          <w:bCs/>
          <w:color w:val="222222"/>
          <w:sz w:val="24"/>
          <w:szCs w:val="24"/>
          <w:shd w:val="clear" w:color="auto" w:fill="FFFFFF"/>
        </w:rPr>
      </w:pPr>
      <w:r>
        <w:rPr>
          <w:rFonts w:cstheme="minorHAnsi"/>
          <w:b/>
          <w:bCs/>
          <w:i/>
          <w:iCs/>
          <w:color w:val="222222"/>
          <w:sz w:val="24"/>
          <w:szCs w:val="24"/>
          <w:shd w:val="clear" w:color="auto" w:fill="FFFFFF"/>
        </w:rPr>
        <w:t>*</w:t>
      </w:r>
      <w:r w:rsidRPr="008D7863">
        <w:rPr>
          <w:rFonts w:cstheme="minorHAnsi"/>
          <w:b/>
          <w:bCs/>
          <w:i/>
          <w:iCs/>
          <w:color w:val="222222"/>
          <w:sz w:val="24"/>
          <w:szCs w:val="24"/>
          <w:shd w:val="clear" w:color="auto" w:fill="FFFFFF"/>
        </w:rPr>
        <w:t xml:space="preserve"> </w:t>
      </w:r>
      <w:r w:rsidRPr="008D7863">
        <w:rPr>
          <w:rFonts w:cstheme="minorHAnsi"/>
          <w:color w:val="222222"/>
          <w:sz w:val="24"/>
          <w:szCs w:val="24"/>
          <w:shd w:val="clear" w:color="auto" w:fill="FFFFFF"/>
        </w:rPr>
        <w:t>Note:</w:t>
      </w:r>
      <w:r>
        <w:rPr>
          <w:rFonts w:cstheme="minorHAnsi"/>
          <w:color w:val="222222"/>
          <w:sz w:val="24"/>
          <w:szCs w:val="24"/>
          <w:shd w:val="clear" w:color="auto" w:fill="FFFFFF"/>
        </w:rPr>
        <w:t xml:space="preserve"> </w:t>
      </w:r>
      <w:r w:rsidR="00857062" w:rsidRPr="008D7863">
        <w:rPr>
          <w:rFonts w:cstheme="minorHAnsi"/>
          <w:b/>
          <w:bCs/>
          <w:i/>
          <w:iCs/>
          <w:color w:val="222222"/>
          <w:sz w:val="24"/>
          <w:szCs w:val="24"/>
          <w:shd w:val="clear" w:color="auto" w:fill="FFFFFF"/>
        </w:rPr>
        <w:t>Twice-Exceptional </w:t>
      </w:r>
      <w:r w:rsidR="00857062" w:rsidRPr="008D7863">
        <w:rPr>
          <w:rFonts w:cstheme="minorHAnsi"/>
          <w:bCs/>
          <w:color w:val="222222"/>
          <w:sz w:val="24"/>
          <w:szCs w:val="24"/>
          <w:shd w:val="clear" w:color="auto" w:fill="FFFFFF"/>
        </w:rPr>
        <w:t>is a term used to describe students who have two exceptionalities; the first exceptionality being their giftedness, the second being their learning disability.</w:t>
      </w:r>
    </w:p>
    <w:p w14:paraId="29C8CB06" w14:textId="23BF6833" w:rsidR="00AE1825" w:rsidRDefault="00AE1825" w:rsidP="00AE1825">
      <w:pPr>
        <w:jc w:val="both"/>
        <w:rPr>
          <w:rFonts w:cstheme="minorHAnsi"/>
          <w:sz w:val="24"/>
          <w:szCs w:val="24"/>
        </w:rPr>
      </w:pPr>
      <w:r w:rsidRPr="00BE0119">
        <w:rPr>
          <w:rFonts w:eastAsia="Times New Roman" w:cstheme="minorHAnsi"/>
          <w:color w:val="222222"/>
          <w:sz w:val="24"/>
          <w:szCs w:val="24"/>
          <w:shd w:val="clear" w:color="auto" w:fill="FFFFFF"/>
        </w:rPr>
        <w:t xml:space="preserve">Education is a basic right of every child in Australia. </w:t>
      </w:r>
      <w:bookmarkStart w:id="2" w:name="_Hlk27349542"/>
      <w:r w:rsidRPr="00BE0119">
        <w:rPr>
          <w:rFonts w:eastAsia="Times New Roman" w:cstheme="minorHAnsi"/>
          <w:color w:val="222222"/>
          <w:sz w:val="24"/>
          <w:szCs w:val="24"/>
          <w:shd w:val="clear" w:color="auto" w:fill="FFFFFF"/>
        </w:rPr>
        <w:t xml:space="preserve">Every child in Australia deserves, and is entitled to, equity of access to the opportunities that education can provide for them to learn, achieve and thrive. </w:t>
      </w:r>
      <w:r w:rsidRPr="00BE0119">
        <w:rPr>
          <w:rFonts w:cstheme="minorHAnsi"/>
          <w:sz w:val="24"/>
          <w:szCs w:val="24"/>
        </w:rPr>
        <w:t>The Australian Curriculum</w:t>
      </w:r>
      <w:r w:rsidR="007C780C">
        <w:rPr>
          <w:rFonts w:cstheme="minorHAnsi"/>
          <w:sz w:val="24"/>
          <w:szCs w:val="24"/>
        </w:rPr>
        <w:t>, Assessment and Reporting Authority (ACARA)</w:t>
      </w:r>
      <w:r w:rsidRPr="00BE0119">
        <w:rPr>
          <w:rFonts w:cstheme="minorHAnsi"/>
          <w:sz w:val="24"/>
          <w:szCs w:val="24"/>
        </w:rPr>
        <w:t xml:space="preserve"> advocates for this fundamental right, stating that “all children are entitled to rigorous, relevant and engaging learning opportunities…aligned with their individual learning needs, strengths, interests and goals”.  </w:t>
      </w:r>
    </w:p>
    <w:p w14:paraId="010D41A6" w14:textId="77777777" w:rsidR="00471B5F" w:rsidRPr="00BE0119" w:rsidRDefault="00471B5F" w:rsidP="00AE1825">
      <w:pPr>
        <w:jc w:val="both"/>
        <w:rPr>
          <w:rFonts w:cstheme="minorHAnsi"/>
          <w:sz w:val="24"/>
          <w:szCs w:val="24"/>
        </w:rPr>
      </w:pPr>
    </w:p>
    <w:bookmarkEnd w:id="2"/>
    <w:p w14:paraId="661772B1" w14:textId="39523B84" w:rsidR="003F60DD" w:rsidRPr="00D862FE" w:rsidRDefault="003E6AE6" w:rsidP="003F60DD">
      <w:pPr>
        <w:spacing w:before="240" w:after="240" w:line="240" w:lineRule="auto"/>
        <w:outlineLvl w:val="0"/>
        <w:rPr>
          <w:rFonts w:eastAsia="Times New Roman" w:cstheme="minorHAnsi"/>
          <w:b/>
          <w:kern w:val="36"/>
          <w:sz w:val="28"/>
          <w:szCs w:val="28"/>
          <w:lang w:eastAsia="en-AU"/>
        </w:rPr>
      </w:pPr>
      <w:r>
        <w:rPr>
          <w:rFonts w:eastAsia="Times New Roman" w:cstheme="minorHAnsi"/>
          <w:b/>
          <w:kern w:val="36"/>
          <w:sz w:val="28"/>
          <w:szCs w:val="28"/>
          <w:lang w:eastAsia="en-AU"/>
        </w:rPr>
        <w:t>Terms of Reference 1</w:t>
      </w:r>
      <w:r w:rsidR="00587045" w:rsidRPr="00D862FE">
        <w:rPr>
          <w:rFonts w:eastAsia="Times New Roman" w:cstheme="minorHAnsi"/>
          <w:b/>
          <w:kern w:val="36"/>
          <w:sz w:val="28"/>
          <w:szCs w:val="28"/>
          <w:lang w:eastAsia="en-AU"/>
        </w:rPr>
        <w:t>:</w:t>
      </w:r>
    </w:p>
    <w:p w14:paraId="2152D77E" w14:textId="0221CAB4" w:rsidR="003E6AE6" w:rsidRPr="003E6AE6" w:rsidRDefault="003E6AE6" w:rsidP="00B626FA">
      <w:pPr>
        <w:pStyle w:val="ListParagraph"/>
        <w:spacing w:before="240" w:after="240"/>
        <w:ind w:left="0"/>
        <w:jc w:val="center"/>
        <w:rPr>
          <w:rFonts w:eastAsia="Times New Roman" w:cstheme="minorHAnsi"/>
          <w:b/>
          <w:bCs/>
          <w:i/>
          <w:color w:val="009257" w:themeColor="accent2" w:themeShade="BF"/>
          <w:sz w:val="24"/>
          <w:szCs w:val="24"/>
          <w:lang w:eastAsia="en-AU"/>
        </w:rPr>
      </w:pPr>
      <w:r w:rsidRPr="003E6AE6">
        <w:rPr>
          <w:rFonts w:eastAsia="Times New Roman" w:cstheme="minorHAnsi"/>
          <w:b/>
          <w:bCs/>
          <w:i/>
          <w:color w:val="009257" w:themeColor="accent2" w:themeShade="BF"/>
          <w:sz w:val="24"/>
          <w:szCs w:val="24"/>
          <w:lang w:eastAsia="en-AU"/>
        </w:rPr>
        <w:t xml:space="preserve">Are the </w:t>
      </w:r>
      <w:bookmarkStart w:id="3" w:name="_Hlk51969375"/>
      <w:r w:rsidRPr="003E6AE6">
        <w:rPr>
          <w:rFonts w:eastAsia="Times New Roman" w:cstheme="minorHAnsi"/>
          <w:b/>
          <w:bCs/>
          <w:i/>
          <w:color w:val="009257" w:themeColor="accent2" w:themeShade="BF"/>
          <w:sz w:val="24"/>
          <w:szCs w:val="24"/>
          <w:lang w:eastAsia="en-AU"/>
        </w:rPr>
        <w:t>rights, obligations and measures of compliance set out in the Standards (and its Guidance Notes) clear and appropriate?</w:t>
      </w:r>
    </w:p>
    <w:bookmarkEnd w:id="3"/>
    <w:p w14:paraId="7215307D" w14:textId="77777777" w:rsidR="003E6AE6" w:rsidRDefault="003E6AE6" w:rsidP="003E6AE6">
      <w:pPr>
        <w:pStyle w:val="ListParagraph"/>
        <w:spacing w:before="240" w:after="240"/>
        <w:ind w:left="0"/>
        <w:jc w:val="both"/>
        <w:rPr>
          <w:rFonts w:eastAsia="Times New Roman" w:cstheme="minorHAnsi"/>
          <w:color w:val="000000"/>
          <w:sz w:val="24"/>
          <w:szCs w:val="24"/>
          <w:lang w:eastAsia="en-AU"/>
        </w:rPr>
      </w:pPr>
    </w:p>
    <w:p w14:paraId="1B6D5119" w14:textId="77777777" w:rsidR="0070040D" w:rsidRPr="00195679" w:rsidRDefault="005F7BD8" w:rsidP="003E6AE6">
      <w:pPr>
        <w:pStyle w:val="ListParagraph"/>
        <w:spacing w:before="240" w:after="240"/>
        <w:ind w:left="0"/>
        <w:jc w:val="both"/>
        <w:rPr>
          <w:rFonts w:eastAsia="Times New Roman" w:cstheme="minorHAnsi"/>
          <w:color w:val="000000"/>
          <w:sz w:val="24"/>
          <w:szCs w:val="24"/>
          <w:lang w:eastAsia="en-AU"/>
        </w:rPr>
      </w:pPr>
      <w:r w:rsidRPr="005F7BD8">
        <w:rPr>
          <w:rFonts w:eastAsia="Times New Roman" w:cstheme="minorHAnsi"/>
          <w:color w:val="000000"/>
          <w:sz w:val="24"/>
          <w:szCs w:val="24"/>
          <w:lang w:eastAsia="en-AU"/>
        </w:rPr>
        <w:t xml:space="preserve">The Standards help to make sure students with disability can participate in education and training. This supports people with disability to be able to participate fully in society and </w:t>
      </w:r>
      <w:r w:rsidRPr="00195679">
        <w:rPr>
          <w:rFonts w:eastAsia="Times New Roman" w:cstheme="minorHAnsi"/>
          <w:color w:val="000000"/>
          <w:sz w:val="24"/>
          <w:szCs w:val="24"/>
          <w:lang w:eastAsia="en-AU"/>
        </w:rPr>
        <w:t>have more opportunities throughout their life.</w:t>
      </w:r>
    </w:p>
    <w:p w14:paraId="50938680" w14:textId="171F00C5" w:rsidR="0070040D" w:rsidRPr="00195679" w:rsidRDefault="00BC294A" w:rsidP="003E6AE6">
      <w:pPr>
        <w:pStyle w:val="ListParagraph"/>
        <w:spacing w:before="240" w:after="240"/>
        <w:ind w:left="0"/>
        <w:jc w:val="both"/>
        <w:rPr>
          <w:rFonts w:eastAsia="Times New Roman" w:cstheme="minorHAnsi"/>
          <w:color w:val="000000"/>
          <w:sz w:val="24"/>
          <w:szCs w:val="24"/>
          <w:lang w:eastAsia="en-AU"/>
        </w:rPr>
      </w:pPr>
      <w:r w:rsidRPr="00195679">
        <w:rPr>
          <w:rFonts w:eastAsia="Times New Roman" w:cstheme="minorHAnsi"/>
          <w:color w:val="000000"/>
          <w:sz w:val="24"/>
          <w:szCs w:val="24"/>
          <w:lang w:eastAsia="en-AU"/>
        </w:rPr>
        <w:t xml:space="preserve"> </w:t>
      </w:r>
    </w:p>
    <w:p w14:paraId="69D9C33C" w14:textId="2B1E8440" w:rsidR="003F60DD" w:rsidRPr="00195679" w:rsidRDefault="0070040D" w:rsidP="003E6AE6">
      <w:pPr>
        <w:pStyle w:val="ListParagraph"/>
        <w:spacing w:before="240" w:after="240"/>
        <w:ind w:left="0"/>
        <w:jc w:val="both"/>
        <w:rPr>
          <w:rFonts w:eastAsia="Times New Roman" w:cstheme="minorHAnsi"/>
          <w:color w:val="000000"/>
          <w:sz w:val="24"/>
          <w:szCs w:val="24"/>
          <w:lang w:eastAsia="en-AU"/>
        </w:rPr>
      </w:pPr>
      <w:r w:rsidRPr="00195679">
        <w:rPr>
          <w:rFonts w:eastAsia="Times New Roman" w:cstheme="minorHAnsi"/>
          <w:color w:val="000000"/>
          <w:sz w:val="24"/>
          <w:szCs w:val="24"/>
          <w:lang w:eastAsia="en-AU"/>
        </w:rPr>
        <w:t xml:space="preserve">Whilst there exists the myth in our country that ‘giftedness’ and ‘disability’ are on ‘opposite ends of the spectrum’, the rights, obligations and measures of compliance set out in the Standards remain ambiguous in relation to GLD students. </w:t>
      </w:r>
      <w:r w:rsidRPr="00195679">
        <w:rPr>
          <w:rFonts w:eastAsia="Times New Roman" w:cstheme="minorHAnsi"/>
          <w:i/>
          <w:iCs/>
          <w:color w:val="000000"/>
          <w:sz w:val="24"/>
          <w:szCs w:val="24"/>
          <w:lang w:eastAsia="en-AU"/>
        </w:rPr>
        <w:t>‘It’s hard to imagine how a child could be actively “yanking your chain” or know “just the right buttons to push” when he’s not thinking rationally in the midst of frustration. It’s harder still to imagine why a child would intentionally behave in a way that makes other people respond in a manner that makes him miserable.’</w:t>
      </w:r>
      <w:r w:rsidRPr="00195679">
        <w:rPr>
          <w:rFonts w:eastAsia="Times New Roman" w:cstheme="minorHAnsi"/>
          <w:color w:val="000000"/>
          <w:sz w:val="24"/>
          <w:szCs w:val="24"/>
          <w:lang w:eastAsia="en-AU"/>
        </w:rPr>
        <w:t xml:space="preserve"> (Greene, 2014).</w:t>
      </w:r>
      <w:r w:rsidR="00195679">
        <w:rPr>
          <w:rFonts w:eastAsia="Times New Roman" w:cstheme="minorHAnsi"/>
          <w:color w:val="000000"/>
          <w:sz w:val="24"/>
          <w:szCs w:val="24"/>
          <w:lang w:eastAsia="en-AU"/>
        </w:rPr>
        <w:t xml:space="preserve"> With lack of clarity around the identification and needs of GLD students explicitly referenced in the Standards and its Guidance Notes, the intentions behind a behaviour can be misunderstood. The rights of a GLD student under the DSE can be denied due to failure to recognise and provide for disability in accordance with the legislation. </w:t>
      </w:r>
      <w:r w:rsidR="00587045" w:rsidRPr="00195679">
        <w:rPr>
          <w:rFonts w:eastAsia="Times New Roman" w:cstheme="minorHAnsi"/>
          <w:color w:val="000000"/>
          <w:sz w:val="24"/>
          <w:szCs w:val="24"/>
          <w:lang w:eastAsia="en-AU"/>
        </w:rPr>
        <w:tab/>
      </w:r>
    </w:p>
    <w:p w14:paraId="1B2E7B33" w14:textId="346D5C15" w:rsidR="00195679" w:rsidRPr="00195679" w:rsidRDefault="00195679" w:rsidP="00195679">
      <w:pPr>
        <w:spacing w:before="100" w:beforeAutospacing="1" w:after="100" w:afterAutospacing="1" w:line="240" w:lineRule="auto"/>
        <w:jc w:val="both"/>
        <w:rPr>
          <w:rFonts w:eastAsia="Calibri" w:cstheme="minorHAnsi"/>
          <w:b/>
          <w:bCs/>
          <w:sz w:val="24"/>
          <w:szCs w:val="24"/>
          <w:lang w:eastAsia="en-AU"/>
        </w:rPr>
      </w:pPr>
      <w:r>
        <w:rPr>
          <w:rFonts w:eastAsia="Calibri" w:cstheme="minorHAnsi"/>
          <w:sz w:val="24"/>
          <w:szCs w:val="24"/>
          <w:lang w:eastAsia="en-AU"/>
        </w:rPr>
        <w:t xml:space="preserve">Indeed, </w:t>
      </w:r>
      <w:r w:rsidRPr="00195679">
        <w:rPr>
          <w:rFonts w:eastAsia="Calibri" w:cstheme="minorHAnsi"/>
          <w:sz w:val="24"/>
          <w:szCs w:val="24"/>
          <w:lang w:eastAsia="en-AU"/>
        </w:rPr>
        <w:t xml:space="preserve">it strange that the list of ‘circumstances’ in paragraphs entitled ‘Specific experiences’ on pages 6 and 8 of the Discussion Paper feature circumstances such as ‘age, sex, gender, gender identity, sexual orientation, intersex status, ethnic origin or race, and culturally and linguistically diverse background’. </w:t>
      </w:r>
      <w:r w:rsidRPr="00195679">
        <w:rPr>
          <w:rFonts w:eastAsia="Calibri" w:cstheme="minorHAnsi"/>
          <w:b/>
          <w:bCs/>
          <w:sz w:val="24"/>
          <w:szCs w:val="24"/>
          <w:lang w:eastAsia="en-AU"/>
        </w:rPr>
        <w:t>Why is giftedness not included in that list of co-occurring characteristics?</w:t>
      </w:r>
    </w:p>
    <w:p w14:paraId="613906C7" w14:textId="3D1D7D71" w:rsidR="00195679" w:rsidRPr="00195679" w:rsidRDefault="00195679" w:rsidP="00195679">
      <w:pPr>
        <w:spacing w:before="100" w:beforeAutospacing="1" w:after="100" w:afterAutospacing="1" w:line="240" w:lineRule="auto"/>
        <w:jc w:val="both"/>
        <w:rPr>
          <w:rFonts w:eastAsia="Calibri" w:cstheme="minorHAnsi"/>
          <w:sz w:val="24"/>
          <w:szCs w:val="24"/>
          <w:lang w:eastAsia="en-AU"/>
        </w:rPr>
      </w:pPr>
      <w:r w:rsidRPr="00195679">
        <w:rPr>
          <w:rFonts w:eastAsia="Calibri" w:cstheme="minorHAnsi"/>
          <w:sz w:val="24"/>
          <w:szCs w:val="24"/>
          <w:lang w:eastAsia="en-AU"/>
        </w:rPr>
        <w:t xml:space="preserve">The paragraph goes on to invite information about students with disability who have been affected by other circumstances. </w:t>
      </w:r>
      <w:r w:rsidR="00146568">
        <w:rPr>
          <w:rFonts w:eastAsia="Calibri" w:cstheme="minorHAnsi"/>
          <w:sz w:val="24"/>
          <w:szCs w:val="24"/>
          <w:lang w:eastAsia="en-AU"/>
        </w:rPr>
        <w:t>In</w:t>
      </w:r>
      <w:r w:rsidRPr="00195679">
        <w:rPr>
          <w:rFonts w:eastAsia="Calibri" w:cstheme="minorHAnsi"/>
          <w:sz w:val="24"/>
          <w:szCs w:val="24"/>
          <w:lang w:eastAsia="en-AU"/>
        </w:rPr>
        <w:t xml:space="preserve"> our experience</w:t>
      </w:r>
      <w:r w:rsidR="00146568">
        <w:rPr>
          <w:rFonts w:eastAsia="Calibri" w:cstheme="minorHAnsi"/>
          <w:sz w:val="24"/>
          <w:szCs w:val="24"/>
          <w:lang w:eastAsia="en-AU"/>
        </w:rPr>
        <w:t xml:space="preserve">, GLD </w:t>
      </w:r>
      <w:r w:rsidRPr="00195679">
        <w:rPr>
          <w:rFonts w:eastAsia="Calibri" w:cstheme="minorHAnsi"/>
          <w:sz w:val="24"/>
          <w:szCs w:val="24"/>
          <w:lang w:eastAsia="en-AU"/>
        </w:rPr>
        <w:t xml:space="preserve">students face sometimes </w:t>
      </w:r>
      <w:r w:rsidR="00146568" w:rsidRPr="00195679">
        <w:rPr>
          <w:rFonts w:eastAsia="Calibri" w:cstheme="minorHAnsi"/>
          <w:sz w:val="24"/>
          <w:szCs w:val="24"/>
          <w:lang w:eastAsia="en-AU"/>
        </w:rPr>
        <w:t>impossible</w:t>
      </w:r>
      <w:r w:rsidRPr="00195679">
        <w:rPr>
          <w:rFonts w:eastAsia="Calibri" w:cstheme="minorHAnsi"/>
          <w:sz w:val="24"/>
          <w:szCs w:val="24"/>
          <w:lang w:eastAsia="en-AU"/>
        </w:rPr>
        <w:t xml:space="preserve"> hurdles in the disability space.</w:t>
      </w:r>
    </w:p>
    <w:p w14:paraId="11B13604" w14:textId="77777777" w:rsidR="00195679" w:rsidRPr="00195679" w:rsidRDefault="00195679" w:rsidP="00195679">
      <w:pPr>
        <w:spacing w:after="0" w:line="240" w:lineRule="auto"/>
        <w:jc w:val="both"/>
        <w:rPr>
          <w:rFonts w:eastAsia="Calibri" w:cstheme="minorHAnsi"/>
          <w:sz w:val="24"/>
          <w:szCs w:val="24"/>
          <w:lang w:eastAsia="en-AU"/>
        </w:rPr>
      </w:pPr>
      <w:r w:rsidRPr="00195679">
        <w:rPr>
          <w:rFonts w:eastAsia="Calibri" w:cstheme="minorHAnsi"/>
          <w:bCs/>
          <w:sz w:val="24"/>
          <w:szCs w:val="24"/>
          <w:lang w:eastAsia="en-AU"/>
        </w:rPr>
        <w:t xml:space="preserve">A surprising but indeterminable number of intellectually gifted children experience chronic and significant academic underachievement due to disability, especially if their complex learning profile is misunderstood. </w:t>
      </w:r>
      <w:r w:rsidRPr="00195679">
        <w:rPr>
          <w:rFonts w:eastAsia="Calibri" w:cstheme="minorHAnsi"/>
          <w:sz w:val="24"/>
          <w:szCs w:val="24"/>
          <w:lang w:eastAsia="en-AU"/>
        </w:rPr>
        <w:t>After repeated failures, unidentified or unsupported children become acutely aware of their difficulties with learning new material and/or with succeeding on limited-time exams. They eventually tend to conclude that they are ‘just stupid’, and to generalise their feelings of continuing academic failure to an overall sense of personal inadequacy.</w:t>
      </w:r>
    </w:p>
    <w:p w14:paraId="5671E768" w14:textId="77777777" w:rsidR="00195679" w:rsidRPr="00195679" w:rsidRDefault="00195679" w:rsidP="00195679">
      <w:pPr>
        <w:spacing w:after="0" w:line="240" w:lineRule="auto"/>
        <w:jc w:val="both"/>
        <w:rPr>
          <w:rFonts w:eastAsia="Calibri" w:cstheme="minorHAnsi"/>
          <w:sz w:val="24"/>
          <w:szCs w:val="24"/>
          <w:lang w:eastAsia="en-AU"/>
        </w:rPr>
      </w:pPr>
    </w:p>
    <w:p w14:paraId="6AC76435" w14:textId="7A3DA2FC" w:rsidR="00195679" w:rsidRPr="00195679" w:rsidRDefault="00195679" w:rsidP="00195679">
      <w:pPr>
        <w:spacing w:after="0" w:line="240" w:lineRule="auto"/>
        <w:jc w:val="both"/>
        <w:rPr>
          <w:rFonts w:eastAsia="Calibri" w:cstheme="minorHAnsi"/>
          <w:sz w:val="24"/>
          <w:szCs w:val="24"/>
          <w:lang w:eastAsia="en-AU"/>
        </w:rPr>
      </w:pPr>
      <w:r w:rsidRPr="00195679">
        <w:rPr>
          <w:rFonts w:eastAsia="Calibri" w:cstheme="minorHAnsi"/>
          <w:sz w:val="24"/>
          <w:szCs w:val="24"/>
          <w:lang w:eastAsia="en-AU"/>
        </w:rPr>
        <w:t xml:space="preserve">The years of academic failure which a </w:t>
      </w:r>
      <w:r w:rsidR="00146568">
        <w:rPr>
          <w:rFonts w:eastAsia="Calibri" w:cstheme="minorHAnsi"/>
          <w:sz w:val="24"/>
          <w:szCs w:val="24"/>
          <w:lang w:eastAsia="en-AU"/>
        </w:rPr>
        <w:t>GLD student</w:t>
      </w:r>
      <w:r w:rsidRPr="00195679">
        <w:rPr>
          <w:rFonts w:eastAsia="Calibri" w:cstheme="minorHAnsi"/>
          <w:sz w:val="24"/>
          <w:szCs w:val="24"/>
          <w:lang w:eastAsia="en-AU"/>
        </w:rPr>
        <w:t xml:space="preserve"> may experience if neither their strengths nor their weaknesses are addressed will invariably lead to poor self-efficacy and self-concept, frustration, anger, lack of motivation, chronic literacy problems, poor peer relationships, disenchantment with school or finally school refusal and dropout. These in turn can have serious long-term damaging effects on academic outcomes, career opportunities, employment, socio-economic status, mental health, family and social relationships, and all aspects of adult life.</w:t>
      </w:r>
    </w:p>
    <w:p w14:paraId="7E5C46E0" w14:textId="77777777" w:rsidR="00195679" w:rsidRPr="00195679" w:rsidRDefault="00195679" w:rsidP="00195679">
      <w:pPr>
        <w:spacing w:after="0" w:line="240" w:lineRule="auto"/>
        <w:jc w:val="both"/>
        <w:rPr>
          <w:rFonts w:eastAsia="Calibri" w:cstheme="minorHAnsi"/>
          <w:color w:val="00B050"/>
          <w:sz w:val="24"/>
          <w:szCs w:val="24"/>
          <w:lang w:eastAsia="en-AU"/>
        </w:rPr>
      </w:pPr>
    </w:p>
    <w:p w14:paraId="351808DF" w14:textId="5E0A926F" w:rsidR="00195679" w:rsidRPr="00195679" w:rsidRDefault="00195679" w:rsidP="00195679">
      <w:pPr>
        <w:spacing w:after="0" w:line="240" w:lineRule="auto"/>
        <w:jc w:val="both"/>
        <w:rPr>
          <w:rFonts w:eastAsia="Calibri" w:cstheme="minorHAnsi"/>
          <w:sz w:val="24"/>
          <w:szCs w:val="24"/>
        </w:rPr>
      </w:pPr>
      <w:r w:rsidRPr="00195679">
        <w:rPr>
          <w:rFonts w:eastAsia="Calibri" w:cstheme="minorHAnsi"/>
          <w:sz w:val="24"/>
          <w:szCs w:val="24"/>
        </w:rPr>
        <w:t xml:space="preserve">Although there is no exemption, express or implied, in the Legislation for </w:t>
      </w:r>
      <w:r w:rsidR="00146568">
        <w:rPr>
          <w:rFonts w:eastAsia="Calibri" w:cstheme="minorHAnsi"/>
          <w:sz w:val="24"/>
          <w:szCs w:val="24"/>
        </w:rPr>
        <w:t>GLD students,</w:t>
      </w:r>
      <w:r w:rsidRPr="00195679">
        <w:rPr>
          <w:rFonts w:eastAsia="Calibri" w:cstheme="minorHAnsi"/>
          <w:sz w:val="24"/>
          <w:szCs w:val="24"/>
        </w:rPr>
        <w:t xml:space="preserve"> far too many schools point to a child’s </w:t>
      </w:r>
      <w:r w:rsidR="00146568" w:rsidRPr="00195679">
        <w:rPr>
          <w:rFonts w:eastAsia="Calibri" w:cstheme="minorHAnsi"/>
          <w:sz w:val="24"/>
          <w:szCs w:val="24"/>
        </w:rPr>
        <w:t>associated</w:t>
      </w:r>
      <w:r w:rsidRPr="00195679">
        <w:rPr>
          <w:rFonts w:eastAsia="Calibri" w:cstheme="minorHAnsi"/>
          <w:sz w:val="24"/>
          <w:szCs w:val="24"/>
        </w:rPr>
        <w:t xml:space="preserve"> giftedness to justify a decision to not approve professionally recommended and documented adjustments. Typical </w:t>
      </w:r>
      <w:r w:rsidR="00146568">
        <w:rPr>
          <w:rFonts w:eastAsia="Calibri" w:cstheme="minorHAnsi"/>
          <w:sz w:val="24"/>
          <w:szCs w:val="24"/>
        </w:rPr>
        <w:t>statements</w:t>
      </w:r>
      <w:r w:rsidRPr="00195679">
        <w:rPr>
          <w:rFonts w:eastAsia="Calibri" w:cstheme="minorHAnsi"/>
          <w:sz w:val="24"/>
          <w:szCs w:val="24"/>
        </w:rPr>
        <w:t xml:space="preserve"> are, “But she’s so clever, surely she’ll </w:t>
      </w:r>
      <w:r w:rsidRPr="00195679">
        <w:rPr>
          <w:rFonts w:eastAsia="Calibri" w:cstheme="minorHAnsi"/>
          <w:i/>
          <w:iCs/>
          <w:sz w:val="24"/>
          <w:szCs w:val="24"/>
        </w:rPr>
        <w:t>pass</w:t>
      </w:r>
      <w:r w:rsidRPr="00195679">
        <w:rPr>
          <w:rFonts w:eastAsia="Calibri" w:cstheme="minorHAnsi"/>
          <w:sz w:val="24"/>
          <w:szCs w:val="24"/>
        </w:rPr>
        <w:t xml:space="preserve"> anyway. She’ll do just fine.” or “But he’s not failing – he’s doing average… and of course there’s nothing the matter with average now, is there?”</w:t>
      </w:r>
    </w:p>
    <w:p w14:paraId="76191279" w14:textId="77777777" w:rsidR="00195679" w:rsidRPr="00195679" w:rsidRDefault="00195679" w:rsidP="00195679">
      <w:pPr>
        <w:spacing w:after="0" w:line="240" w:lineRule="auto"/>
        <w:jc w:val="both"/>
        <w:rPr>
          <w:rFonts w:eastAsia="Calibri" w:cstheme="minorHAnsi"/>
          <w:sz w:val="24"/>
          <w:szCs w:val="24"/>
        </w:rPr>
      </w:pPr>
    </w:p>
    <w:p w14:paraId="02924883" w14:textId="3C2CF4FD" w:rsidR="000828E0" w:rsidRDefault="00195679" w:rsidP="00146568">
      <w:pPr>
        <w:spacing w:after="0" w:line="240" w:lineRule="auto"/>
        <w:jc w:val="both"/>
        <w:rPr>
          <w:rFonts w:eastAsia="Calibri" w:cstheme="minorHAnsi"/>
          <w:sz w:val="24"/>
          <w:szCs w:val="24"/>
          <w:lang w:eastAsia="en-AU"/>
        </w:rPr>
      </w:pPr>
      <w:r w:rsidRPr="00195679">
        <w:rPr>
          <w:rFonts w:eastAsia="Calibri" w:cstheme="minorHAnsi"/>
          <w:sz w:val="24"/>
          <w:szCs w:val="24"/>
          <w:lang w:eastAsia="en-AU"/>
        </w:rPr>
        <w:t>In general, schools and teachers rarely know enough (or anything at all…) about the possibility that a child can BOTH be intellectually gifted AND have a disability.</w:t>
      </w:r>
      <w:r w:rsidR="00471B5F">
        <w:rPr>
          <w:rFonts w:eastAsia="Calibri" w:cstheme="minorHAnsi"/>
          <w:sz w:val="24"/>
          <w:szCs w:val="24"/>
          <w:lang w:eastAsia="en-AU"/>
        </w:rPr>
        <w:t xml:space="preserve"> </w:t>
      </w:r>
      <w:r w:rsidRPr="00195679">
        <w:rPr>
          <w:rFonts w:eastAsia="Calibri" w:cstheme="minorHAnsi"/>
          <w:sz w:val="24"/>
          <w:szCs w:val="24"/>
          <w:lang w:eastAsia="en-AU"/>
        </w:rPr>
        <w:t>They do not understand that all gifted children can, and some indeed do, suffer from any one or more of the disabilities, disorders, dysfunctions, deficits, deficiencies, difficulties, disadvantages, detriments, impairments, impediments and ailments which may befall non-gifted children – except of course intellectual impairment.</w:t>
      </w:r>
      <w:r w:rsidR="00146568">
        <w:rPr>
          <w:rFonts w:eastAsia="Calibri" w:cstheme="minorHAnsi"/>
          <w:sz w:val="24"/>
          <w:szCs w:val="24"/>
          <w:lang w:eastAsia="en-AU"/>
        </w:rPr>
        <w:t xml:space="preserve"> </w:t>
      </w:r>
      <w:bookmarkStart w:id="4" w:name="_Hlk51969497"/>
      <w:r w:rsidR="00146568">
        <w:rPr>
          <w:rFonts w:eastAsia="Calibri" w:cstheme="minorHAnsi"/>
          <w:sz w:val="24"/>
          <w:szCs w:val="24"/>
          <w:lang w:eastAsia="en-AU"/>
        </w:rPr>
        <w:t xml:space="preserve">It is the responsibility of the Disability Standards for Education 2005 to ensure that </w:t>
      </w:r>
      <w:r w:rsidR="00146568" w:rsidRPr="00146568">
        <w:rPr>
          <w:rFonts w:eastAsia="Calibri" w:cstheme="minorHAnsi"/>
          <w:sz w:val="24"/>
          <w:szCs w:val="24"/>
          <w:lang w:eastAsia="en-AU"/>
        </w:rPr>
        <w:t xml:space="preserve">rights, obligations and measures of compliance set out in the Standards (and its Guidance Notes) </w:t>
      </w:r>
      <w:r w:rsidR="00146568">
        <w:rPr>
          <w:rFonts w:eastAsia="Calibri" w:cstheme="minorHAnsi"/>
          <w:sz w:val="24"/>
          <w:szCs w:val="24"/>
          <w:lang w:eastAsia="en-AU"/>
        </w:rPr>
        <w:t xml:space="preserve">are </w:t>
      </w:r>
      <w:r w:rsidR="00146568" w:rsidRPr="00146568">
        <w:rPr>
          <w:rFonts w:eastAsia="Calibri" w:cstheme="minorHAnsi"/>
          <w:sz w:val="24"/>
          <w:szCs w:val="24"/>
          <w:lang w:eastAsia="en-AU"/>
        </w:rPr>
        <w:t>clear and appropriate</w:t>
      </w:r>
      <w:r w:rsidR="00146568">
        <w:rPr>
          <w:rFonts w:eastAsia="Calibri" w:cstheme="minorHAnsi"/>
          <w:sz w:val="24"/>
          <w:szCs w:val="24"/>
          <w:lang w:eastAsia="en-AU"/>
        </w:rPr>
        <w:t xml:space="preserve"> for GLD students, regardless of their intellectual ability. </w:t>
      </w:r>
    </w:p>
    <w:p w14:paraId="0F3B7AC0" w14:textId="10226045" w:rsidR="00471B5F" w:rsidRDefault="00471B5F" w:rsidP="00146568">
      <w:pPr>
        <w:spacing w:after="0" w:line="240" w:lineRule="auto"/>
        <w:jc w:val="both"/>
        <w:rPr>
          <w:rFonts w:eastAsia="Calibri" w:cstheme="minorHAnsi"/>
          <w:sz w:val="24"/>
          <w:szCs w:val="24"/>
          <w:lang w:eastAsia="en-AU"/>
        </w:rPr>
      </w:pPr>
    </w:p>
    <w:p w14:paraId="11D3FAF4" w14:textId="77777777" w:rsidR="00471B5F" w:rsidRPr="00D862FE" w:rsidRDefault="00471B5F" w:rsidP="00146568">
      <w:pPr>
        <w:spacing w:after="0" w:line="240" w:lineRule="auto"/>
        <w:jc w:val="both"/>
        <w:rPr>
          <w:rFonts w:eastAsia="Times New Roman" w:cstheme="minorHAnsi"/>
          <w:sz w:val="24"/>
          <w:szCs w:val="24"/>
          <w:lang w:eastAsia="en-AU"/>
        </w:rPr>
      </w:pPr>
    </w:p>
    <w:bookmarkEnd w:id="4"/>
    <w:p w14:paraId="0F9424D4" w14:textId="5906C8F6" w:rsidR="00AC0FE1" w:rsidRPr="00D862FE" w:rsidRDefault="003E6AE6" w:rsidP="003E6AE6">
      <w:pPr>
        <w:spacing w:before="240" w:after="240"/>
        <w:jc w:val="both"/>
        <w:rPr>
          <w:rFonts w:eastAsia="Times New Roman" w:cstheme="minorHAnsi"/>
          <w:b/>
          <w:sz w:val="28"/>
          <w:szCs w:val="28"/>
          <w:lang w:eastAsia="en-AU"/>
        </w:rPr>
      </w:pPr>
      <w:r>
        <w:rPr>
          <w:rFonts w:eastAsia="Times New Roman" w:cstheme="minorHAnsi"/>
          <w:b/>
          <w:color w:val="000000"/>
          <w:sz w:val="28"/>
          <w:szCs w:val="28"/>
          <w:lang w:eastAsia="en-AU"/>
        </w:rPr>
        <w:t>Term of Reference</w:t>
      </w:r>
      <w:r w:rsidR="00AC0FE1" w:rsidRPr="00D862FE">
        <w:rPr>
          <w:rFonts w:eastAsia="Times New Roman" w:cstheme="minorHAnsi"/>
          <w:b/>
          <w:color w:val="000000"/>
          <w:sz w:val="28"/>
          <w:szCs w:val="28"/>
          <w:lang w:eastAsia="en-AU"/>
        </w:rPr>
        <w:t xml:space="preserve"> </w:t>
      </w:r>
      <w:r w:rsidR="00B626FA">
        <w:rPr>
          <w:rFonts w:eastAsia="Times New Roman" w:cstheme="minorHAnsi"/>
          <w:b/>
          <w:color w:val="000000"/>
          <w:sz w:val="28"/>
          <w:szCs w:val="28"/>
          <w:lang w:eastAsia="en-AU"/>
        </w:rPr>
        <w:t>2</w:t>
      </w:r>
      <w:r w:rsidR="00AC0FE1" w:rsidRPr="00D862FE">
        <w:rPr>
          <w:rFonts w:eastAsia="Times New Roman" w:cstheme="minorHAnsi"/>
          <w:b/>
          <w:color w:val="000000"/>
          <w:sz w:val="28"/>
          <w:szCs w:val="28"/>
          <w:lang w:eastAsia="en-AU"/>
        </w:rPr>
        <w:t>:</w:t>
      </w:r>
    </w:p>
    <w:p w14:paraId="1A04A061" w14:textId="3D6EA7BA" w:rsidR="00B626FA" w:rsidRDefault="00B626FA" w:rsidP="00B626FA">
      <w:pPr>
        <w:spacing w:before="240" w:after="240" w:line="240" w:lineRule="auto"/>
        <w:ind w:hanging="360"/>
        <w:jc w:val="center"/>
        <w:rPr>
          <w:rFonts w:eastAsia="Times New Roman" w:cstheme="minorHAnsi"/>
          <w:b/>
          <w:bCs/>
          <w:i/>
          <w:color w:val="009257" w:themeColor="accent2" w:themeShade="BF"/>
          <w:sz w:val="24"/>
          <w:szCs w:val="24"/>
          <w:lang w:eastAsia="en-AU"/>
        </w:rPr>
      </w:pPr>
      <w:r w:rsidRPr="00B626FA">
        <w:rPr>
          <w:rFonts w:eastAsia="Times New Roman" w:cstheme="minorHAnsi"/>
          <w:b/>
          <w:bCs/>
          <w:i/>
          <w:color w:val="009257" w:themeColor="accent2" w:themeShade="BF"/>
          <w:sz w:val="24"/>
          <w:szCs w:val="24"/>
          <w:lang w:eastAsia="en-AU"/>
        </w:rPr>
        <w:t>Do students, families and carers, educators, education providers and policy makers know about, understand, apply and comply with the rights, obligations and measures of compliance in the Standards?</w:t>
      </w:r>
    </w:p>
    <w:p w14:paraId="59DE8895" w14:textId="3DD1D724" w:rsidR="008D7863" w:rsidRDefault="008D7863" w:rsidP="008D7863">
      <w:pPr>
        <w:jc w:val="both"/>
        <w:rPr>
          <w:rFonts w:eastAsia="Times New Roman" w:cstheme="minorHAnsi"/>
          <w:color w:val="000000"/>
          <w:sz w:val="24"/>
          <w:szCs w:val="24"/>
          <w:lang w:eastAsia="en-AU"/>
        </w:rPr>
      </w:pPr>
      <w:r w:rsidRPr="008D7863">
        <w:rPr>
          <w:rFonts w:eastAsia="Times New Roman" w:cstheme="minorHAnsi"/>
          <w:color w:val="000000"/>
          <w:sz w:val="24"/>
          <w:szCs w:val="24"/>
          <w:lang w:eastAsia="en-AU"/>
        </w:rPr>
        <w:t xml:space="preserve">Teachers may be unaware of effective strategies for twice-exceptional students or might even deny their existence outright (Foley </w:t>
      </w:r>
      <w:proofErr w:type="spellStart"/>
      <w:r w:rsidRPr="008D7863">
        <w:rPr>
          <w:rFonts w:eastAsia="Times New Roman" w:cstheme="minorHAnsi"/>
          <w:color w:val="000000"/>
          <w:sz w:val="24"/>
          <w:szCs w:val="24"/>
          <w:lang w:eastAsia="en-AU"/>
        </w:rPr>
        <w:t>Nicpon</w:t>
      </w:r>
      <w:proofErr w:type="spellEnd"/>
      <w:r w:rsidRPr="008D7863">
        <w:rPr>
          <w:rFonts w:eastAsia="Times New Roman" w:cstheme="minorHAnsi"/>
          <w:color w:val="000000"/>
          <w:sz w:val="24"/>
          <w:szCs w:val="24"/>
          <w:lang w:eastAsia="en-AU"/>
        </w:rPr>
        <w:t xml:space="preserve"> et al., 2011). Few would doubt the coexistence of giftedness with some disabilities (e.g., blindness and deafness as in the case of Helen Keller), yet they remain sceptical about giftedness coexisting with learning disabilities or attention deficit hyperactivity disorder (Schultz, 2012). As Schultz (2012) stated, teacher professional development is needed, including “tangible, real-life examples of variability in development” (p. 127) to bring about change in meeting the needs of this group. Teachers and twice-exceptional students alike would benefit from research into effective learning strategies</w:t>
      </w:r>
      <w:r>
        <w:rPr>
          <w:rFonts w:eastAsia="Times New Roman" w:cstheme="minorHAnsi"/>
          <w:color w:val="000000"/>
          <w:sz w:val="24"/>
          <w:szCs w:val="24"/>
          <w:lang w:eastAsia="en-AU"/>
        </w:rPr>
        <w:t>.</w:t>
      </w:r>
    </w:p>
    <w:p w14:paraId="67D9AB44" w14:textId="15DCAB36" w:rsidR="00DC70B4" w:rsidRPr="00DC70B4" w:rsidRDefault="008D7863" w:rsidP="00DC70B4">
      <w:pPr>
        <w:jc w:val="both"/>
        <w:rPr>
          <w:rFonts w:eastAsia="Times New Roman" w:cstheme="minorHAnsi"/>
          <w:color w:val="000000"/>
          <w:sz w:val="24"/>
          <w:szCs w:val="24"/>
          <w:lang w:eastAsia="en-AU"/>
        </w:rPr>
      </w:pPr>
      <w:r>
        <w:rPr>
          <w:rFonts w:eastAsia="Times New Roman" w:cstheme="minorHAnsi"/>
          <w:color w:val="000000"/>
          <w:sz w:val="24"/>
          <w:szCs w:val="24"/>
          <w:lang w:eastAsia="en-AU"/>
        </w:rPr>
        <w:t xml:space="preserve">Failure to recognise and meet the educational and wellbeing entitlement of </w:t>
      </w:r>
      <w:r w:rsidR="00DC70B4">
        <w:rPr>
          <w:rFonts w:eastAsia="Times New Roman" w:cstheme="minorHAnsi"/>
          <w:color w:val="000000"/>
          <w:sz w:val="24"/>
          <w:szCs w:val="24"/>
          <w:lang w:eastAsia="en-AU"/>
        </w:rPr>
        <w:t xml:space="preserve">GLD students constitutes neglect on the part of educators and the education system. </w:t>
      </w:r>
      <w:r w:rsidR="00DC70B4" w:rsidRPr="00DC70B4">
        <w:rPr>
          <w:rFonts w:eastAsia="Times New Roman" w:cstheme="minorHAnsi"/>
          <w:color w:val="000000"/>
          <w:sz w:val="24"/>
          <w:szCs w:val="24"/>
        </w:rPr>
        <w:t xml:space="preserve">Comparatively few schools seem to understand their obligations under the </w:t>
      </w:r>
      <w:r w:rsidR="00DC70B4" w:rsidRPr="00DC70B4">
        <w:rPr>
          <w:rFonts w:eastAsia="Times New Roman" w:cstheme="minorHAnsi"/>
          <w:i/>
          <w:color w:val="000000"/>
          <w:sz w:val="24"/>
          <w:szCs w:val="24"/>
        </w:rPr>
        <w:t>Standards</w:t>
      </w:r>
      <w:r w:rsidR="00DC70B4" w:rsidRPr="00DC70B4">
        <w:rPr>
          <w:rFonts w:eastAsia="Times New Roman" w:cstheme="minorHAnsi"/>
          <w:color w:val="000000"/>
          <w:sz w:val="24"/>
          <w:szCs w:val="24"/>
        </w:rPr>
        <w:t xml:space="preserve"> to make reasonable adjustments for students with disability so that the student can access and participate in their education and attempt their exams on the same basis as students without disability (</w:t>
      </w:r>
      <w:r w:rsidR="00DC70B4" w:rsidRPr="00DC70B4">
        <w:rPr>
          <w:rFonts w:eastAsia="Times New Roman" w:cstheme="minorHAnsi"/>
          <w:i/>
          <w:color w:val="000000"/>
          <w:sz w:val="24"/>
          <w:szCs w:val="24"/>
        </w:rPr>
        <w:t>Standards</w:t>
      </w:r>
      <w:r w:rsidR="00DC70B4" w:rsidRPr="00DC70B4">
        <w:rPr>
          <w:rFonts w:eastAsia="Times New Roman" w:cstheme="minorHAnsi"/>
          <w:color w:val="000000"/>
          <w:sz w:val="24"/>
          <w:szCs w:val="24"/>
        </w:rPr>
        <w:t xml:space="preserve"> ss. 3.3 (a), 6.2 and 6.3).</w:t>
      </w:r>
    </w:p>
    <w:p w14:paraId="363763BC" w14:textId="584A8A52" w:rsidR="008D7863" w:rsidRDefault="00DC70B4" w:rsidP="00DC70B4">
      <w:pPr>
        <w:jc w:val="both"/>
        <w:rPr>
          <w:rFonts w:eastAsia="Times New Roman" w:cstheme="minorHAnsi"/>
          <w:color w:val="000000"/>
          <w:sz w:val="24"/>
          <w:szCs w:val="24"/>
          <w:lang w:eastAsia="en-AU"/>
        </w:rPr>
      </w:pPr>
      <w:r w:rsidRPr="00DC70B4">
        <w:rPr>
          <w:rFonts w:eastAsia="Times New Roman" w:cstheme="minorHAnsi"/>
          <w:color w:val="000000"/>
          <w:sz w:val="24"/>
          <w:szCs w:val="24"/>
          <w:lang w:eastAsia="en-AU"/>
        </w:rPr>
        <w:t xml:space="preserve">Similarly, comparatively few schools seem to understand that the provisions of the </w:t>
      </w:r>
      <w:r w:rsidRPr="00DC70B4">
        <w:rPr>
          <w:rFonts w:eastAsia="Times New Roman" w:cstheme="minorHAnsi"/>
          <w:i/>
          <w:color w:val="000000"/>
          <w:sz w:val="24"/>
          <w:szCs w:val="24"/>
          <w:lang w:eastAsia="en-AU"/>
        </w:rPr>
        <w:t xml:space="preserve">Standards </w:t>
      </w:r>
      <w:r w:rsidRPr="00DC70B4">
        <w:rPr>
          <w:rFonts w:eastAsia="Times New Roman" w:cstheme="minorHAnsi"/>
          <w:color w:val="000000"/>
          <w:sz w:val="24"/>
          <w:szCs w:val="24"/>
          <w:lang w:eastAsia="en-AU"/>
        </w:rPr>
        <w:t xml:space="preserve">are enforceable </w:t>
      </w:r>
      <w:r w:rsidRPr="00DC70B4">
        <w:rPr>
          <w:rFonts w:eastAsia="Times New Roman" w:cstheme="minorHAnsi"/>
          <w:i/>
          <w:color w:val="000000"/>
          <w:sz w:val="24"/>
          <w:szCs w:val="24"/>
          <w:lang w:eastAsia="en-AU"/>
        </w:rPr>
        <w:t xml:space="preserve">(DDA, </w:t>
      </w:r>
      <w:r w:rsidRPr="00DC70B4">
        <w:rPr>
          <w:rFonts w:eastAsia="Times New Roman" w:cstheme="minorHAnsi"/>
          <w:color w:val="000000"/>
          <w:sz w:val="24"/>
          <w:szCs w:val="24"/>
          <w:lang w:eastAsia="en-AU"/>
        </w:rPr>
        <w:t>s. 32</w:t>
      </w:r>
      <w:r w:rsidRPr="00DC70B4">
        <w:rPr>
          <w:rFonts w:eastAsia="Times New Roman" w:cstheme="minorHAnsi"/>
          <w:i/>
          <w:color w:val="000000"/>
          <w:sz w:val="24"/>
          <w:szCs w:val="24"/>
          <w:lang w:eastAsia="en-AU"/>
        </w:rPr>
        <w:t xml:space="preserve">) </w:t>
      </w:r>
      <w:r w:rsidRPr="00DC70B4">
        <w:rPr>
          <w:rFonts w:eastAsia="Times New Roman" w:cstheme="minorHAnsi"/>
          <w:color w:val="000000"/>
          <w:sz w:val="24"/>
          <w:szCs w:val="24"/>
          <w:lang w:eastAsia="en-AU"/>
        </w:rPr>
        <w:t>and, depending on the circumstances and certain conditions precedent having been met, arguably provide entitlements to the child – that they are law, not mere policy, and thus cannot be summarily ignored or explained away by education providers.</w:t>
      </w:r>
    </w:p>
    <w:p w14:paraId="2B6237A8" w14:textId="77777777" w:rsidR="00BC294A" w:rsidRDefault="005F7BD8" w:rsidP="005F7BD8">
      <w:pPr>
        <w:jc w:val="both"/>
        <w:rPr>
          <w:rFonts w:eastAsia="Times New Roman" w:cstheme="minorHAnsi"/>
          <w:color w:val="000000"/>
          <w:sz w:val="24"/>
          <w:szCs w:val="24"/>
          <w:lang w:eastAsia="en-AU"/>
        </w:rPr>
      </w:pPr>
      <w:r>
        <w:rPr>
          <w:rFonts w:eastAsia="Times New Roman" w:cstheme="minorHAnsi"/>
          <w:color w:val="000000"/>
          <w:sz w:val="24"/>
          <w:szCs w:val="24"/>
          <w:lang w:eastAsia="en-AU"/>
        </w:rPr>
        <w:t xml:space="preserve">Research by </w:t>
      </w:r>
      <w:proofErr w:type="spellStart"/>
      <w:r>
        <w:rPr>
          <w:rFonts w:eastAsia="Times New Roman" w:cstheme="minorHAnsi"/>
          <w:color w:val="000000"/>
          <w:sz w:val="24"/>
          <w:szCs w:val="24"/>
          <w:lang w:eastAsia="en-AU"/>
        </w:rPr>
        <w:t>Quigly</w:t>
      </w:r>
      <w:proofErr w:type="spellEnd"/>
      <w:r>
        <w:rPr>
          <w:rFonts w:eastAsia="Times New Roman" w:cstheme="minorHAnsi"/>
          <w:color w:val="000000"/>
          <w:sz w:val="24"/>
          <w:szCs w:val="24"/>
          <w:lang w:eastAsia="en-AU"/>
        </w:rPr>
        <w:t xml:space="preserve"> and </w:t>
      </w:r>
      <w:proofErr w:type="spellStart"/>
      <w:r>
        <w:rPr>
          <w:rFonts w:eastAsia="Times New Roman" w:cstheme="minorHAnsi"/>
          <w:color w:val="000000"/>
          <w:sz w:val="24"/>
          <w:szCs w:val="24"/>
          <w:lang w:eastAsia="en-AU"/>
        </w:rPr>
        <w:t>Vialle</w:t>
      </w:r>
      <w:proofErr w:type="spellEnd"/>
      <w:r>
        <w:rPr>
          <w:rFonts w:eastAsia="Times New Roman" w:cstheme="minorHAnsi"/>
          <w:color w:val="000000"/>
          <w:sz w:val="24"/>
          <w:szCs w:val="24"/>
          <w:lang w:eastAsia="en-AU"/>
        </w:rPr>
        <w:t xml:space="preserve"> (2009) identifies that t</w:t>
      </w:r>
      <w:r w:rsidRPr="005F7BD8">
        <w:rPr>
          <w:rFonts w:eastAsia="Times New Roman" w:cstheme="minorHAnsi"/>
          <w:color w:val="000000"/>
          <w:sz w:val="24"/>
          <w:szCs w:val="24"/>
          <w:lang w:eastAsia="en-AU"/>
        </w:rPr>
        <w:t>he teacher is one of the most important elements in an effective education for all students.</w:t>
      </w:r>
      <w:r>
        <w:rPr>
          <w:rFonts w:eastAsia="Times New Roman" w:cstheme="minorHAnsi"/>
          <w:color w:val="000000"/>
          <w:sz w:val="24"/>
          <w:szCs w:val="24"/>
          <w:lang w:eastAsia="en-AU"/>
        </w:rPr>
        <w:t xml:space="preserve"> However, there is a failure to adequately resource educators throughout initial teacher education courses. The identification and needs of GLD students are not being taught in pre-service degrees and therefore early career teachers are inadequately equipped before they even enter the classroom. </w:t>
      </w:r>
    </w:p>
    <w:p w14:paraId="35ECCDF0" w14:textId="611B3B5A" w:rsidR="005F7BD8" w:rsidRDefault="00BC294A" w:rsidP="005F7BD8">
      <w:pPr>
        <w:jc w:val="both"/>
        <w:rPr>
          <w:rFonts w:eastAsia="Times New Roman" w:cstheme="minorHAnsi"/>
          <w:color w:val="000000"/>
          <w:sz w:val="24"/>
          <w:szCs w:val="24"/>
          <w:lang w:eastAsia="en-AU"/>
        </w:rPr>
      </w:pPr>
      <w:r w:rsidRPr="00BC294A">
        <w:rPr>
          <w:rFonts w:eastAsia="Times New Roman" w:cstheme="minorHAnsi"/>
          <w:color w:val="000000"/>
          <w:sz w:val="24"/>
          <w:szCs w:val="24"/>
          <w:lang w:eastAsia="en-AU"/>
        </w:rPr>
        <w:t xml:space="preserve">Selecting and monitoring the effectiveness of </w:t>
      </w:r>
      <w:r>
        <w:rPr>
          <w:rFonts w:eastAsia="Times New Roman" w:cstheme="minorHAnsi"/>
          <w:color w:val="000000"/>
          <w:sz w:val="24"/>
          <w:szCs w:val="24"/>
          <w:lang w:eastAsia="en-AU"/>
        </w:rPr>
        <w:t xml:space="preserve">disability </w:t>
      </w:r>
      <w:r w:rsidRPr="00BC294A">
        <w:rPr>
          <w:rFonts w:eastAsia="Times New Roman" w:cstheme="minorHAnsi"/>
          <w:color w:val="000000"/>
          <w:sz w:val="24"/>
          <w:szCs w:val="24"/>
          <w:lang w:eastAsia="en-AU"/>
        </w:rPr>
        <w:t>a</w:t>
      </w:r>
      <w:r>
        <w:rPr>
          <w:rFonts w:eastAsia="Times New Roman" w:cstheme="minorHAnsi"/>
          <w:color w:val="000000"/>
          <w:sz w:val="24"/>
          <w:szCs w:val="24"/>
          <w:lang w:eastAsia="en-AU"/>
        </w:rPr>
        <w:t>djustments</w:t>
      </w:r>
      <w:r w:rsidRPr="00BC294A">
        <w:rPr>
          <w:rFonts w:eastAsia="Times New Roman" w:cstheme="minorHAnsi"/>
          <w:color w:val="000000"/>
          <w:sz w:val="24"/>
          <w:szCs w:val="24"/>
          <w:lang w:eastAsia="en-AU"/>
        </w:rPr>
        <w:t xml:space="preserve"> should be an ongoing process, and changes (with the involvement of students, parents and  educators) should be made as often as needed. </w:t>
      </w:r>
      <w:r>
        <w:rPr>
          <w:rFonts w:eastAsia="Times New Roman" w:cstheme="minorHAnsi"/>
          <w:color w:val="000000"/>
          <w:sz w:val="24"/>
          <w:szCs w:val="24"/>
          <w:lang w:eastAsia="en-AU"/>
        </w:rPr>
        <w:t xml:space="preserve">When GLD students appear ‘average’, it is often the result of underachievement. </w:t>
      </w:r>
      <w:r w:rsidRPr="00BC294A">
        <w:rPr>
          <w:rFonts w:eastAsia="Times New Roman" w:cstheme="minorHAnsi"/>
          <w:color w:val="000000"/>
          <w:sz w:val="24"/>
          <w:szCs w:val="24"/>
          <w:lang w:eastAsia="en-AU"/>
        </w:rPr>
        <w:t>The key is to be sure that chosen a</w:t>
      </w:r>
      <w:r w:rsidR="0070040D">
        <w:rPr>
          <w:rFonts w:eastAsia="Times New Roman" w:cstheme="minorHAnsi"/>
          <w:color w:val="000000"/>
          <w:sz w:val="24"/>
          <w:szCs w:val="24"/>
          <w:lang w:eastAsia="en-AU"/>
        </w:rPr>
        <w:t>djustments</w:t>
      </w:r>
      <w:r w:rsidRPr="00BC294A">
        <w:rPr>
          <w:rFonts w:eastAsia="Times New Roman" w:cstheme="minorHAnsi"/>
          <w:color w:val="000000"/>
          <w:sz w:val="24"/>
          <w:szCs w:val="24"/>
          <w:lang w:eastAsia="en-AU"/>
        </w:rPr>
        <w:t xml:space="preserve"> address students’ specific areas of need and facilitate the demonstration of skill and knowledge</w:t>
      </w:r>
      <w:r w:rsidR="0070040D">
        <w:rPr>
          <w:rFonts w:eastAsia="Times New Roman" w:cstheme="minorHAnsi"/>
          <w:color w:val="000000"/>
          <w:sz w:val="24"/>
          <w:szCs w:val="24"/>
          <w:lang w:eastAsia="en-AU"/>
        </w:rPr>
        <w:t xml:space="preserve">. </w:t>
      </w:r>
      <w:r w:rsidR="0070040D" w:rsidRPr="0070040D">
        <w:rPr>
          <w:rFonts w:eastAsia="Times New Roman" w:cstheme="minorHAnsi"/>
          <w:color w:val="000000"/>
          <w:sz w:val="24"/>
          <w:szCs w:val="24"/>
          <w:lang w:eastAsia="en-AU"/>
        </w:rPr>
        <w:t>In addition, a study by Willard-Holt et.al (2013) on ‘Twice-Exceptional Learners’ Perspectives on Effective Learning Strategies’ highlighted the need to work with the student to understand their thinking, opinion and perspective. The implications for teachers from this study included “allowing twice-exceptional learners more ownership over their learning and more choice and flexibility in topic, method of learning, assessment, pace…”.</w:t>
      </w:r>
    </w:p>
    <w:p w14:paraId="73102E66" w14:textId="77777777" w:rsidR="00BC294A" w:rsidRPr="005F7BD8" w:rsidRDefault="00BC294A" w:rsidP="005F7BD8">
      <w:pPr>
        <w:jc w:val="both"/>
        <w:rPr>
          <w:rFonts w:eastAsia="Times New Roman" w:cstheme="minorHAnsi"/>
          <w:color w:val="000000"/>
          <w:sz w:val="24"/>
          <w:szCs w:val="24"/>
          <w:lang w:eastAsia="en-AU"/>
        </w:rPr>
      </w:pPr>
    </w:p>
    <w:p w14:paraId="58A54B73" w14:textId="77777777" w:rsidR="005F7BD8" w:rsidRPr="005F7BD8" w:rsidRDefault="005F7BD8" w:rsidP="005F7BD8">
      <w:pPr>
        <w:jc w:val="both"/>
        <w:rPr>
          <w:rFonts w:eastAsia="Times New Roman" w:cstheme="minorHAnsi"/>
          <w:color w:val="000000"/>
          <w:sz w:val="24"/>
          <w:szCs w:val="24"/>
          <w:lang w:eastAsia="en-AU"/>
        </w:rPr>
      </w:pPr>
    </w:p>
    <w:p w14:paraId="3EA95BCF" w14:textId="15D01335" w:rsidR="005F7BD8" w:rsidRPr="00DC70B4" w:rsidRDefault="005F7BD8" w:rsidP="005F7BD8">
      <w:pPr>
        <w:jc w:val="both"/>
        <w:rPr>
          <w:rFonts w:eastAsia="Times New Roman" w:cstheme="minorHAnsi"/>
          <w:color w:val="000000"/>
          <w:sz w:val="24"/>
          <w:szCs w:val="24"/>
          <w:lang w:eastAsia="en-AU"/>
        </w:rPr>
      </w:pPr>
    </w:p>
    <w:p w14:paraId="32CCC691" w14:textId="74EA6C2F" w:rsidR="0062683F" w:rsidRDefault="0062683F" w:rsidP="00D16600">
      <w:pPr>
        <w:pStyle w:val="ListParagraph"/>
        <w:rPr>
          <w:rFonts w:eastAsia="Times New Roman" w:cstheme="minorHAnsi"/>
          <w:color w:val="000000"/>
          <w:sz w:val="24"/>
          <w:szCs w:val="24"/>
          <w:lang w:eastAsia="en-AU"/>
        </w:rPr>
      </w:pPr>
    </w:p>
    <w:p w14:paraId="60453A2A" w14:textId="5AD53718" w:rsidR="0062683F" w:rsidRDefault="0062683F" w:rsidP="00D16600">
      <w:pPr>
        <w:pStyle w:val="ListParagraph"/>
        <w:rPr>
          <w:rFonts w:eastAsia="Times New Roman" w:cstheme="minorHAnsi"/>
          <w:color w:val="000000"/>
          <w:sz w:val="24"/>
          <w:szCs w:val="24"/>
          <w:lang w:eastAsia="en-AU"/>
        </w:rPr>
      </w:pPr>
    </w:p>
    <w:p w14:paraId="340E8E84" w14:textId="6A5E7BA1" w:rsidR="00D16600" w:rsidRPr="00E0622D" w:rsidRDefault="00B626FA" w:rsidP="00D16600">
      <w:pPr>
        <w:spacing w:before="240" w:after="240" w:line="240" w:lineRule="auto"/>
        <w:jc w:val="both"/>
        <w:rPr>
          <w:rFonts w:eastAsia="Times New Roman" w:cstheme="minorHAnsi"/>
          <w:b/>
          <w:color w:val="000000"/>
          <w:sz w:val="28"/>
          <w:szCs w:val="28"/>
          <w:lang w:eastAsia="en-AU"/>
        </w:rPr>
      </w:pPr>
      <w:r>
        <w:rPr>
          <w:rFonts w:eastAsia="Times New Roman" w:cstheme="minorHAnsi"/>
          <w:b/>
          <w:color w:val="000000"/>
          <w:sz w:val="28"/>
          <w:szCs w:val="28"/>
          <w:lang w:eastAsia="en-AU"/>
        </w:rPr>
        <w:t>Term of Reference 3</w:t>
      </w:r>
      <w:r w:rsidR="00D16600" w:rsidRPr="00E0622D">
        <w:rPr>
          <w:rFonts w:eastAsia="Times New Roman" w:cstheme="minorHAnsi"/>
          <w:b/>
          <w:color w:val="000000"/>
          <w:sz w:val="28"/>
          <w:szCs w:val="28"/>
          <w:lang w:eastAsia="en-AU"/>
        </w:rPr>
        <w:t>:</w:t>
      </w:r>
    </w:p>
    <w:p w14:paraId="3DD18DFD" w14:textId="6CC0D9FD" w:rsidR="00B626FA" w:rsidRDefault="00B626FA" w:rsidP="00B626FA">
      <w:pPr>
        <w:spacing w:after="0" w:line="240" w:lineRule="auto"/>
        <w:jc w:val="center"/>
        <w:textAlignment w:val="baseline"/>
        <w:rPr>
          <w:rFonts w:eastAsia="Times New Roman" w:cstheme="minorHAnsi"/>
          <w:b/>
          <w:bCs/>
          <w:i/>
          <w:color w:val="009257" w:themeColor="accent2" w:themeShade="BF"/>
          <w:sz w:val="24"/>
          <w:szCs w:val="24"/>
          <w:lang w:eastAsia="en-AU"/>
        </w:rPr>
      </w:pPr>
      <w:r w:rsidRPr="00B626FA">
        <w:rPr>
          <w:rFonts w:eastAsia="Times New Roman" w:cstheme="minorHAnsi"/>
          <w:b/>
          <w:bCs/>
          <w:i/>
          <w:color w:val="009257" w:themeColor="accent2" w:themeShade="BF"/>
          <w:sz w:val="24"/>
          <w:szCs w:val="24"/>
          <w:lang w:eastAsia="en-AU"/>
        </w:rPr>
        <w:t>In the 15 years since the Standards were developed, have the Standards contributed towards students with disability being able to access education and training opportunities on the same basis as students without disabilities?</w:t>
      </w:r>
    </w:p>
    <w:p w14:paraId="3D77A723" w14:textId="77777777" w:rsidR="0070040D" w:rsidRDefault="0070040D" w:rsidP="00B626FA">
      <w:pPr>
        <w:spacing w:after="0" w:line="240" w:lineRule="auto"/>
        <w:jc w:val="center"/>
        <w:textAlignment w:val="baseline"/>
        <w:rPr>
          <w:rFonts w:eastAsia="Times New Roman" w:cstheme="minorHAnsi"/>
          <w:b/>
          <w:bCs/>
          <w:i/>
          <w:color w:val="009257" w:themeColor="accent2" w:themeShade="BF"/>
          <w:sz w:val="24"/>
          <w:szCs w:val="24"/>
          <w:lang w:eastAsia="en-AU"/>
        </w:rPr>
      </w:pPr>
    </w:p>
    <w:p w14:paraId="7410E73E" w14:textId="3C091160" w:rsidR="00B626FA" w:rsidRDefault="00BC294A" w:rsidP="00BC294A">
      <w:pPr>
        <w:spacing w:after="0"/>
        <w:jc w:val="both"/>
        <w:textAlignment w:val="baseline"/>
        <w:rPr>
          <w:rFonts w:eastAsia="Times New Roman" w:cstheme="minorHAnsi"/>
          <w:iCs/>
          <w:sz w:val="24"/>
          <w:szCs w:val="24"/>
          <w:lang w:eastAsia="en-AU"/>
        </w:rPr>
      </w:pPr>
      <w:r w:rsidRPr="00BC294A">
        <w:rPr>
          <w:rFonts w:eastAsia="Times New Roman" w:cstheme="minorHAnsi"/>
          <w:iCs/>
          <w:sz w:val="24"/>
          <w:szCs w:val="24"/>
          <w:lang w:eastAsia="en-AU"/>
        </w:rPr>
        <w:t>It is most often the case for 2E children that they are not lazy, nor are they purposely meaning to ‘waste their talent’. The very essence of the challenges presented when a learning disability works in contest with potential achievement can sometimes give this impression. Regardless of the external achievements of a child, ‘</w:t>
      </w:r>
      <w:r w:rsidRPr="00BC294A">
        <w:rPr>
          <w:rFonts w:eastAsia="Times New Roman" w:cstheme="minorHAnsi"/>
          <w:i/>
          <w:sz w:val="24"/>
          <w:szCs w:val="24"/>
          <w:lang w:eastAsia="en-AU"/>
        </w:rPr>
        <w:t xml:space="preserve">his or her own inner realm of experience remains qualitatively different’ </w:t>
      </w:r>
      <w:r w:rsidRPr="00BC294A">
        <w:rPr>
          <w:rFonts w:eastAsia="Times New Roman" w:cstheme="minorHAnsi"/>
          <w:iCs/>
          <w:sz w:val="24"/>
          <w:szCs w:val="24"/>
          <w:lang w:eastAsia="en-AU"/>
        </w:rPr>
        <w:t>(Tolan, in Neville et. al., 2013).</w:t>
      </w:r>
    </w:p>
    <w:p w14:paraId="42EC5B1A" w14:textId="006FDC60" w:rsidR="00471B5F" w:rsidRDefault="00471B5F" w:rsidP="00BC294A">
      <w:pPr>
        <w:spacing w:after="0"/>
        <w:jc w:val="both"/>
        <w:textAlignment w:val="baseline"/>
        <w:rPr>
          <w:rFonts w:eastAsia="Times New Roman" w:cstheme="minorHAnsi"/>
          <w:iCs/>
          <w:sz w:val="24"/>
          <w:szCs w:val="24"/>
          <w:lang w:eastAsia="en-AU"/>
        </w:rPr>
      </w:pPr>
    </w:p>
    <w:p w14:paraId="7E7C002C" w14:textId="70549BEF" w:rsidR="00471B5F" w:rsidRPr="00471B5F" w:rsidRDefault="009447B9" w:rsidP="009447B9">
      <w:pPr>
        <w:spacing w:after="0"/>
        <w:jc w:val="both"/>
        <w:textAlignment w:val="baseline"/>
        <w:rPr>
          <w:rFonts w:eastAsia="Times New Roman" w:cstheme="minorHAnsi"/>
          <w:iCs/>
          <w:sz w:val="24"/>
          <w:szCs w:val="24"/>
          <w:lang w:eastAsia="en-AU"/>
        </w:rPr>
      </w:pPr>
      <w:r>
        <w:rPr>
          <w:rFonts w:eastAsia="Times New Roman" w:cstheme="minorHAnsi"/>
          <w:iCs/>
          <w:sz w:val="24"/>
          <w:szCs w:val="24"/>
          <w:lang w:eastAsia="en-AU"/>
        </w:rPr>
        <w:t>Regardless, a</w:t>
      </w:r>
      <w:r w:rsidR="00471B5F">
        <w:rPr>
          <w:rFonts w:eastAsia="Times New Roman" w:cstheme="minorHAnsi"/>
          <w:iCs/>
          <w:sz w:val="24"/>
          <w:szCs w:val="24"/>
          <w:lang w:eastAsia="en-AU"/>
        </w:rPr>
        <w:t xml:space="preserve">n important facet of education is the ability of a student to ‘show what they know’. Providing access </w:t>
      </w:r>
      <w:r>
        <w:rPr>
          <w:rFonts w:eastAsia="Times New Roman" w:cstheme="minorHAnsi"/>
          <w:iCs/>
          <w:sz w:val="24"/>
          <w:szCs w:val="24"/>
          <w:lang w:eastAsia="en-AU"/>
        </w:rPr>
        <w:t xml:space="preserve">and support to enable that ability on the same basis as a students’ peers without disability remains an significant growth area of the Standards. </w:t>
      </w:r>
      <w:r w:rsidR="00471B5F" w:rsidRPr="00471B5F">
        <w:rPr>
          <w:rFonts w:eastAsia="Times New Roman" w:cstheme="minorHAnsi"/>
          <w:iCs/>
          <w:sz w:val="24"/>
          <w:szCs w:val="24"/>
          <w:lang w:eastAsia="en-AU"/>
        </w:rPr>
        <w:t xml:space="preserve">To comply with the Standards, schools and government authorities are </w:t>
      </w:r>
      <w:r>
        <w:rPr>
          <w:rFonts w:eastAsia="Times New Roman" w:cstheme="minorHAnsi"/>
          <w:iCs/>
          <w:sz w:val="24"/>
          <w:szCs w:val="24"/>
          <w:lang w:eastAsia="en-AU"/>
        </w:rPr>
        <w:t xml:space="preserve">expected </w:t>
      </w:r>
      <w:r w:rsidR="00471B5F" w:rsidRPr="00471B5F">
        <w:rPr>
          <w:rFonts w:eastAsia="Times New Roman" w:cstheme="minorHAnsi"/>
          <w:iCs/>
          <w:sz w:val="24"/>
          <w:szCs w:val="24"/>
          <w:lang w:eastAsia="en-AU"/>
        </w:rPr>
        <w:t>to implement, measures which ensure that “the assessment procedures and methodologies…are adapted to enable the student to demonstrate the knowledge, skills or competencies being assessed.” (Standards s. 6.3(f)</w:t>
      </w:r>
      <w:r>
        <w:rPr>
          <w:rFonts w:eastAsia="Times New Roman" w:cstheme="minorHAnsi"/>
          <w:iCs/>
          <w:sz w:val="24"/>
          <w:szCs w:val="24"/>
          <w:lang w:eastAsia="en-AU"/>
        </w:rPr>
        <w:t>)</w:t>
      </w:r>
      <w:r w:rsidR="00471B5F" w:rsidRPr="00471B5F">
        <w:rPr>
          <w:rFonts w:eastAsia="Times New Roman" w:cstheme="minorHAnsi"/>
          <w:iCs/>
          <w:sz w:val="24"/>
          <w:szCs w:val="24"/>
          <w:lang w:eastAsia="en-AU"/>
        </w:rPr>
        <w:t>.</w:t>
      </w:r>
    </w:p>
    <w:p w14:paraId="761F8CF2"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p>
    <w:p w14:paraId="336F0E96"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r w:rsidRPr="00471B5F">
        <w:rPr>
          <w:rFonts w:eastAsia="Times New Roman" w:cstheme="minorHAnsi"/>
          <w:iCs/>
          <w:sz w:val="24"/>
          <w:szCs w:val="24"/>
          <w:lang w:eastAsia="en-AU"/>
        </w:rPr>
        <w:t xml:space="preserve">Under the Legislation, disability adjustments must be ‘reasonable’ (Standards ss. 3.4 and 6.2 (2)). As a matter of practicality, determining whether an adjustment is ‘reasonable’ for a particular student can be a complex process. </w:t>
      </w:r>
    </w:p>
    <w:p w14:paraId="468F4EE8"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p>
    <w:p w14:paraId="02D2FFE3" w14:textId="77777777" w:rsidR="00471B5F" w:rsidRPr="009447B9" w:rsidRDefault="00471B5F" w:rsidP="009447B9">
      <w:pPr>
        <w:spacing w:after="0" w:line="240" w:lineRule="auto"/>
        <w:jc w:val="both"/>
        <w:textAlignment w:val="baseline"/>
        <w:rPr>
          <w:rFonts w:eastAsia="Times New Roman" w:cstheme="minorHAnsi"/>
          <w:iCs/>
          <w:sz w:val="24"/>
          <w:szCs w:val="24"/>
          <w:lang w:eastAsia="en-AU"/>
        </w:rPr>
      </w:pPr>
      <w:r w:rsidRPr="009447B9">
        <w:rPr>
          <w:rFonts w:eastAsia="Times New Roman" w:cstheme="minorHAnsi"/>
          <w:iCs/>
          <w:sz w:val="24"/>
          <w:szCs w:val="24"/>
          <w:lang w:eastAsia="en-AU"/>
        </w:rPr>
        <w:t>It is a matter of:</w:t>
      </w:r>
    </w:p>
    <w:p w14:paraId="73AF66A0" w14:textId="77777777" w:rsidR="00471B5F" w:rsidRPr="00471B5F" w:rsidRDefault="00471B5F" w:rsidP="009447B9">
      <w:pPr>
        <w:spacing w:after="0" w:line="240" w:lineRule="auto"/>
        <w:jc w:val="both"/>
        <w:textAlignment w:val="baseline"/>
        <w:rPr>
          <w:rFonts w:eastAsia="Times New Roman" w:cstheme="minorHAnsi"/>
          <w:iCs/>
          <w:sz w:val="24"/>
          <w:szCs w:val="24"/>
          <w:lang w:eastAsia="en-AU"/>
        </w:rPr>
      </w:pPr>
    </w:p>
    <w:p w14:paraId="2B010D0D" w14:textId="623BAE5B" w:rsidR="00471B5F" w:rsidRPr="009447B9" w:rsidRDefault="00471B5F" w:rsidP="009447B9">
      <w:pPr>
        <w:pStyle w:val="ListParagraph"/>
        <w:numPr>
          <w:ilvl w:val="0"/>
          <w:numId w:val="38"/>
        </w:numPr>
        <w:spacing w:after="0" w:line="240" w:lineRule="auto"/>
        <w:jc w:val="both"/>
        <w:textAlignment w:val="baseline"/>
        <w:rPr>
          <w:rFonts w:eastAsia="Times New Roman" w:cstheme="minorHAnsi"/>
          <w:iCs/>
          <w:sz w:val="24"/>
          <w:szCs w:val="24"/>
          <w:lang w:eastAsia="en-AU"/>
        </w:rPr>
      </w:pPr>
      <w:r w:rsidRPr="009447B9">
        <w:rPr>
          <w:rFonts w:eastAsia="Times New Roman" w:cstheme="minorHAnsi"/>
          <w:iCs/>
          <w:sz w:val="24"/>
          <w:szCs w:val="24"/>
          <w:lang w:eastAsia="en-AU"/>
        </w:rPr>
        <w:t xml:space="preserve">looking at not only the professionally diagnosed disability, but also the level of impairment occasioned by it, in light of the child’s professionally documented evidence, and </w:t>
      </w:r>
    </w:p>
    <w:p w14:paraId="625E7F1E" w14:textId="6CE62E28" w:rsidR="00471B5F" w:rsidRPr="009447B9" w:rsidRDefault="00471B5F" w:rsidP="009447B9">
      <w:pPr>
        <w:pStyle w:val="ListParagraph"/>
        <w:numPr>
          <w:ilvl w:val="0"/>
          <w:numId w:val="38"/>
        </w:numPr>
        <w:spacing w:after="0" w:line="240" w:lineRule="auto"/>
        <w:jc w:val="both"/>
        <w:textAlignment w:val="baseline"/>
        <w:rPr>
          <w:rFonts w:eastAsia="Times New Roman" w:cstheme="minorHAnsi"/>
          <w:iCs/>
          <w:sz w:val="24"/>
          <w:szCs w:val="24"/>
          <w:lang w:eastAsia="en-AU"/>
        </w:rPr>
      </w:pPr>
      <w:r w:rsidRPr="009447B9">
        <w:rPr>
          <w:rFonts w:eastAsia="Times New Roman" w:cstheme="minorHAnsi"/>
          <w:iCs/>
          <w:sz w:val="24"/>
          <w:szCs w:val="24"/>
          <w:lang w:eastAsia="en-AU"/>
        </w:rPr>
        <w:t>asking how the child is affected by their disability in the exam context, and what would be a ‘reasonable’ adjustment for THIS child with THIS disability and THIS level of impairment for THIS type of task of THIS length, and</w:t>
      </w:r>
    </w:p>
    <w:p w14:paraId="5E3F821B" w14:textId="0EF92EE4" w:rsidR="00471B5F" w:rsidRPr="009447B9" w:rsidRDefault="00471B5F" w:rsidP="009447B9">
      <w:pPr>
        <w:pStyle w:val="ListParagraph"/>
        <w:numPr>
          <w:ilvl w:val="0"/>
          <w:numId w:val="38"/>
        </w:numPr>
        <w:spacing w:after="0" w:line="240" w:lineRule="auto"/>
        <w:jc w:val="both"/>
        <w:textAlignment w:val="baseline"/>
        <w:rPr>
          <w:rFonts w:eastAsia="Times New Roman" w:cstheme="minorHAnsi"/>
          <w:iCs/>
          <w:sz w:val="24"/>
          <w:szCs w:val="24"/>
          <w:lang w:eastAsia="en-AU"/>
        </w:rPr>
      </w:pPr>
      <w:r w:rsidRPr="009447B9">
        <w:rPr>
          <w:rFonts w:eastAsia="Times New Roman" w:cstheme="minorHAnsi"/>
          <w:iCs/>
          <w:sz w:val="24"/>
          <w:szCs w:val="24"/>
          <w:lang w:eastAsia="en-AU"/>
        </w:rPr>
        <w:t>asking if the proposed adjustment would allow the child to participate in their education (including assessment tasks) on the same basis as a child without this child’s disability (Standards ss. 3.3 (a) and 6.2 (1)).</w:t>
      </w:r>
    </w:p>
    <w:p w14:paraId="456F2857"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p>
    <w:p w14:paraId="546B65F9"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r w:rsidRPr="00471B5F">
        <w:rPr>
          <w:rFonts w:eastAsia="Times New Roman" w:cstheme="minorHAnsi"/>
          <w:iCs/>
          <w:sz w:val="24"/>
          <w:szCs w:val="24"/>
          <w:lang w:eastAsia="en-AU"/>
        </w:rPr>
        <w:t>The legislative test is NOT whether a statutory authority has unilaterally made up its own policy and rules, and placed these on a website which purports to list which adjustments are, and are not, available (or ‘possible’ – see below). An education department or a statutory authority calling a given adjustment ‘reasonable’ on its website is neither persuasive nor probative.</w:t>
      </w:r>
    </w:p>
    <w:p w14:paraId="3733EF87"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p>
    <w:p w14:paraId="5E78E15D"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r w:rsidRPr="00471B5F">
        <w:rPr>
          <w:rFonts w:eastAsia="Times New Roman" w:cstheme="minorHAnsi"/>
          <w:iCs/>
          <w:sz w:val="24"/>
          <w:szCs w:val="24"/>
          <w:lang w:eastAsia="en-AU"/>
        </w:rPr>
        <w:t>What is ‘reasonable’ will be a question of fact based on the evidence in each case (Standards s. 3.4). It is not a matter of mere assertion by a parent that a desired adjustment is indeed reasonable, or a matter of mere assertion by a government authority that it isn’t.</w:t>
      </w:r>
    </w:p>
    <w:p w14:paraId="5E6A8606" w14:textId="77777777" w:rsidR="00471B5F" w:rsidRPr="00471B5F" w:rsidRDefault="00471B5F" w:rsidP="00471B5F">
      <w:pPr>
        <w:spacing w:after="0" w:line="240" w:lineRule="auto"/>
        <w:jc w:val="both"/>
        <w:textAlignment w:val="baseline"/>
        <w:rPr>
          <w:rFonts w:eastAsia="Times New Roman" w:cstheme="minorHAnsi"/>
          <w:iCs/>
          <w:sz w:val="24"/>
          <w:szCs w:val="24"/>
          <w:lang w:eastAsia="en-AU"/>
        </w:rPr>
      </w:pPr>
    </w:p>
    <w:p w14:paraId="3495632F" w14:textId="37A47AD5" w:rsidR="00B626FA" w:rsidRPr="00471B5F" w:rsidRDefault="00471B5F" w:rsidP="00471B5F">
      <w:pPr>
        <w:spacing w:after="0" w:line="240" w:lineRule="auto"/>
        <w:jc w:val="both"/>
        <w:textAlignment w:val="baseline"/>
        <w:rPr>
          <w:rFonts w:eastAsia="Times New Roman" w:cstheme="minorHAnsi"/>
          <w:iCs/>
          <w:sz w:val="24"/>
          <w:szCs w:val="24"/>
          <w:lang w:eastAsia="en-AU"/>
        </w:rPr>
      </w:pPr>
      <w:r w:rsidRPr="00471B5F">
        <w:rPr>
          <w:rFonts w:eastAsia="Times New Roman" w:cstheme="minorHAnsi"/>
          <w:iCs/>
          <w:sz w:val="24"/>
          <w:szCs w:val="24"/>
          <w:lang w:eastAsia="en-AU"/>
        </w:rPr>
        <w:t>Crucial to the strength and probative value of the evidence submitted in the applications with respect to what is ‘reasonable’ are the reports authored by highly credentialed medical and allied health professionals, not only diagnosing the disability, but also measuring and quantifying the level of functional impairment occasioned by it, and making specific and detailed recommendations for THIS child with THIS disability and THIS level of impairment.</w:t>
      </w:r>
    </w:p>
    <w:p w14:paraId="12358FF6" w14:textId="283E787E" w:rsidR="007F0256" w:rsidRDefault="007F0256" w:rsidP="003F60DD">
      <w:pPr>
        <w:spacing w:before="240" w:after="240" w:line="240" w:lineRule="auto"/>
        <w:rPr>
          <w:rFonts w:eastAsia="Times New Roman" w:cstheme="minorHAnsi"/>
          <w:b/>
          <w:bCs/>
          <w:color w:val="000000"/>
          <w:sz w:val="28"/>
          <w:szCs w:val="28"/>
          <w:lang w:eastAsia="en-AU"/>
        </w:rPr>
      </w:pPr>
      <w:r>
        <w:rPr>
          <w:rFonts w:eastAsia="Times New Roman" w:cstheme="minorHAnsi"/>
          <w:b/>
          <w:bCs/>
          <w:color w:val="000000"/>
          <w:sz w:val="28"/>
          <w:szCs w:val="28"/>
          <w:lang w:eastAsia="en-AU"/>
        </w:rPr>
        <w:t>About the Author</w:t>
      </w:r>
    </w:p>
    <w:p w14:paraId="0AA05D42" w14:textId="7D2DB37F" w:rsidR="007F0256" w:rsidRPr="00D862FE" w:rsidRDefault="007F0256" w:rsidP="007F0256">
      <w:pPr>
        <w:spacing w:before="240" w:after="240"/>
        <w:jc w:val="both"/>
        <w:outlineLvl w:val="0"/>
        <w:rPr>
          <w:rFonts w:eastAsia="Times New Roman" w:cstheme="minorHAnsi"/>
          <w:kern w:val="36"/>
          <w:sz w:val="24"/>
          <w:szCs w:val="24"/>
          <w:lang w:eastAsia="en-AU"/>
        </w:rPr>
      </w:pPr>
      <w:r w:rsidRPr="00D862FE">
        <w:rPr>
          <w:rFonts w:eastAsia="Times New Roman" w:cstheme="minorHAnsi"/>
          <w:kern w:val="36"/>
          <w:sz w:val="24"/>
          <w:szCs w:val="24"/>
          <w:lang w:eastAsia="en-AU"/>
        </w:rPr>
        <w:t xml:space="preserve">The Australian Association for the Education of the Gifted and Talented (AAEGT) is pleased to be able to </w:t>
      </w:r>
      <w:r>
        <w:rPr>
          <w:rFonts w:eastAsia="Times New Roman" w:cstheme="minorHAnsi"/>
          <w:kern w:val="36"/>
          <w:sz w:val="24"/>
          <w:szCs w:val="24"/>
          <w:lang w:eastAsia="en-AU"/>
        </w:rPr>
        <w:t>contribute</w:t>
      </w:r>
      <w:r w:rsidRPr="00D862FE">
        <w:rPr>
          <w:rFonts w:eastAsia="Times New Roman" w:cstheme="minorHAnsi"/>
          <w:kern w:val="36"/>
          <w:sz w:val="24"/>
          <w:szCs w:val="24"/>
          <w:lang w:eastAsia="en-AU"/>
        </w:rPr>
        <w:t xml:space="preserve"> </w:t>
      </w:r>
      <w:r>
        <w:rPr>
          <w:rFonts w:eastAsia="Times New Roman" w:cstheme="minorHAnsi"/>
          <w:kern w:val="36"/>
          <w:sz w:val="24"/>
          <w:szCs w:val="24"/>
          <w:lang w:eastAsia="en-AU"/>
        </w:rPr>
        <w:t>this submission</w:t>
      </w:r>
      <w:r w:rsidRPr="00D862FE">
        <w:rPr>
          <w:rFonts w:eastAsia="Times New Roman" w:cstheme="minorHAnsi"/>
          <w:kern w:val="36"/>
          <w:sz w:val="24"/>
          <w:szCs w:val="24"/>
          <w:lang w:eastAsia="en-AU"/>
        </w:rPr>
        <w:t xml:space="preserve"> to the </w:t>
      </w:r>
      <w:r>
        <w:rPr>
          <w:rFonts w:eastAsia="Times New Roman" w:cstheme="minorHAnsi"/>
          <w:kern w:val="36"/>
          <w:sz w:val="24"/>
          <w:szCs w:val="24"/>
          <w:lang w:eastAsia="en-AU"/>
        </w:rPr>
        <w:t>2020 Review of the Disability Standards for Education (DSE).</w:t>
      </w:r>
      <w:r w:rsidRPr="00D862FE">
        <w:rPr>
          <w:rFonts w:eastAsia="Times New Roman" w:cstheme="minorHAnsi"/>
          <w:kern w:val="36"/>
          <w:sz w:val="24"/>
          <w:szCs w:val="24"/>
          <w:lang w:eastAsia="en-AU"/>
        </w:rPr>
        <w:t xml:space="preserve"> The AAEGT is comprised of members from all states and territories in Australia. They include university researchers/academics, educational consultants, schools, principals, teachers and parents. Furthermore,</w:t>
      </w:r>
      <w:r>
        <w:rPr>
          <w:rFonts w:eastAsia="Times New Roman" w:cstheme="minorHAnsi"/>
          <w:kern w:val="36"/>
          <w:sz w:val="24"/>
          <w:szCs w:val="24"/>
          <w:lang w:eastAsia="en-AU"/>
        </w:rPr>
        <w:t xml:space="preserve"> </w:t>
      </w:r>
      <w:r w:rsidRPr="00D862FE">
        <w:rPr>
          <w:rFonts w:eastAsia="Times New Roman" w:cstheme="minorHAnsi"/>
          <w:kern w:val="36"/>
          <w:sz w:val="24"/>
          <w:szCs w:val="24"/>
          <w:lang w:eastAsia="en-AU"/>
        </w:rPr>
        <w:t>members represent a diverse population incorporating a variety of cultural backgrounds and geographical locations, including metropolitan, regional, rural and remote members.</w:t>
      </w:r>
    </w:p>
    <w:p w14:paraId="043E2242" w14:textId="77777777" w:rsidR="009447B9" w:rsidRDefault="007F0256" w:rsidP="007F0256">
      <w:pPr>
        <w:spacing w:before="240" w:after="240"/>
        <w:outlineLvl w:val="0"/>
        <w:rPr>
          <w:rFonts w:eastAsia="Times New Roman" w:cstheme="minorHAnsi"/>
          <w:kern w:val="36"/>
          <w:sz w:val="24"/>
          <w:szCs w:val="24"/>
          <w:lang w:eastAsia="en-AU"/>
        </w:rPr>
      </w:pPr>
      <w:r w:rsidRPr="00D862FE">
        <w:rPr>
          <w:rFonts w:eastAsia="Times New Roman" w:cstheme="minorHAnsi"/>
          <w:kern w:val="36"/>
          <w:sz w:val="24"/>
          <w:szCs w:val="24"/>
          <w:lang w:eastAsia="en-AU"/>
        </w:rPr>
        <w:t xml:space="preserve">The purpose for which the AAEGT is established is to advance education by </w:t>
      </w:r>
      <w:r>
        <w:rPr>
          <w:rFonts w:eastAsia="Times New Roman" w:cstheme="minorHAnsi"/>
          <w:kern w:val="36"/>
          <w:sz w:val="24"/>
          <w:szCs w:val="24"/>
          <w:lang w:eastAsia="en-AU"/>
        </w:rPr>
        <w:t>p</w:t>
      </w:r>
      <w:r w:rsidRPr="00D862FE">
        <w:rPr>
          <w:rFonts w:eastAsia="Times New Roman" w:cstheme="minorHAnsi"/>
          <w:kern w:val="36"/>
          <w:sz w:val="24"/>
          <w:szCs w:val="24"/>
          <w:lang w:eastAsia="en-AU"/>
        </w:rPr>
        <w:t xml:space="preserve">romoting and protecting the educational entitlement and well-being of the gifted and talented. The AAEGT pursues this purpose through a range of activities and services that may include but are not limited to: </w:t>
      </w:r>
      <w:r w:rsidRPr="00D862FE">
        <w:rPr>
          <w:rFonts w:eastAsia="Times New Roman" w:cstheme="minorHAnsi"/>
          <w:kern w:val="36"/>
          <w:sz w:val="24"/>
          <w:szCs w:val="24"/>
          <w:lang w:eastAsia="en-AU"/>
        </w:rPr>
        <w:br/>
        <w:t xml:space="preserve">(a) Providing national leadership in Gifted and Talented Education. </w:t>
      </w:r>
      <w:r w:rsidRPr="00D862FE">
        <w:rPr>
          <w:rFonts w:eastAsia="Times New Roman" w:cstheme="minorHAnsi"/>
          <w:kern w:val="36"/>
          <w:sz w:val="24"/>
          <w:szCs w:val="24"/>
          <w:lang w:eastAsia="en-AU"/>
        </w:rPr>
        <w:br/>
        <w:t xml:space="preserve">(b) Advocating on behalf of our members for the educational and well-being needs of gifted and talented students. </w:t>
      </w:r>
      <w:r w:rsidRPr="00D862FE">
        <w:rPr>
          <w:rFonts w:eastAsia="Times New Roman" w:cstheme="minorHAnsi"/>
          <w:kern w:val="36"/>
          <w:sz w:val="24"/>
          <w:szCs w:val="24"/>
          <w:lang w:eastAsia="en-AU"/>
        </w:rPr>
        <w:br/>
        <w:t xml:space="preserve"> (c) Working with politicians and governments towards legislative and policy inclusion of gifted and talented students to achieve their recognition and inclusion in schools and Australian society. </w:t>
      </w:r>
      <w:r w:rsidRPr="00D862FE">
        <w:rPr>
          <w:rFonts w:eastAsia="Times New Roman" w:cstheme="minorHAnsi"/>
          <w:kern w:val="36"/>
          <w:sz w:val="24"/>
          <w:szCs w:val="24"/>
          <w:lang w:eastAsia="en-AU"/>
        </w:rPr>
        <w:br/>
        <w:t xml:space="preserve">(d) Promoting research and advancing scholarship in Gifted and Talented Education. </w:t>
      </w:r>
      <w:r w:rsidRPr="00D862FE">
        <w:rPr>
          <w:rFonts w:eastAsia="Times New Roman" w:cstheme="minorHAnsi"/>
          <w:kern w:val="36"/>
          <w:sz w:val="24"/>
          <w:szCs w:val="24"/>
          <w:lang w:eastAsia="en-AU"/>
        </w:rPr>
        <w:br/>
        <w:t xml:space="preserve">(e) Collaborating to provide and communicate evidence about gifted and talented students, their intellectual and affective needs, and appropriate educational provisions. </w:t>
      </w:r>
      <w:r w:rsidRPr="00D862FE">
        <w:rPr>
          <w:rFonts w:eastAsia="Times New Roman" w:cstheme="minorHAnsi"/>
          <w:kern w:val="36"/>
          <w:sz w:val="24"/>
          <w:szCs w:val="24"/>
          <w:lang w:eastAsia="en-AU"/>
        </w:rPr>
        <w:br/>
        <w:t>(f) Recognising outstanding practice and eminence in the scholarship of Gifted and Talented Education.</w:t>
      </w:r>
    </w:p>
    <w:p w14:paraId="45266DF0" w14:textId="775147D8" w:rsidR="007F0256" w:rsidRPr="00D862FE" w:rsidRDefault="007F0256" w:rsidP="007F0256">
      <w:pPr>
        <w:spacing w:before="240" w:after="240"/>
        <w:outlineLvl w:val="0"/>
        <w:rPr>
          <w:rFonts w:eastAsia="Times New Roman" w:cstheme="minorHAnsi"/>
          <w:kern w:val="36"/>
          <w:sz w:val="24"/>
          <w:szCs w:val="24"/>
          <w:lang w:eastAsia="en-AU"/>
        </w:rPr>
      </w:pPr>
      <w:r w:rsidRPr="00D862FE">
        <w:rPr>
          <w:rFonts w:eastAsia="Times New Roman" w:cstheme="minorHAnsi"/>
          <w:kern w:val="36"/>
          <w:sz w:val="24"/>
          <w:szCs w:val="24"/>
          <w:lang w:eastAsia="en-AU"/>
        </w:rPr>
        <w:t xml:space="preserve">  </w:t>
      </w:r>
    </w:p>
    <w:p w14:paraId="69CED4A9" w14:textId="5A3E9AF5" w:rsidR="003F60DD" w:rsidRDefault="00F45F1B" w:rsidP="003F60DD">
      <w:pPr>
        <w:spacing w:before="240" w:after="240" w:line="240" w:lineRule="auto"/>
        <w:rPr>
          <w:rFonts w:eastAsia="Times New Roman" w:cstheme="minorHAnsi"/>
          <w:b/>
          <w:bCs/>
          <w:color w:val="000000"/>
          <w:sz w:val="28"/>
          <w:szCs w:val="28"/>
          <w:lang w:eastAsia="en-AU"/>
        </w:rPr>
      </w:pPr>
      <w:r w:rsidRPr="00F45F1B">
        <w:rPr>
          <w:rFonts w:eastAsia="Times New Roman" w:cstheme="minorHAnsi"/>
          <w:b/>
          <w:bCs/>
          <w:color w:val="000000"/>
          <w:sz w:val="28"/>
          <w:szCs w:val="28"/>
          <w:lang w:eastAsia="en-AU"/>
        </w:rPr>
        <w:t>R</w:t>
      </w:r>
      <w:r w:rsidR="003F60DD" w:rsidRPr="00F45F1B">
        <w:rPr>
          <w:rFonts w:eastAsia="Times New Roman" w:cstheme="minorHAnsi"/>
          <w:b/>
          <w:bCs/>
          <w:color w:val="000000"/>
          <w:sz w:val="28"/>
          <w:szCs w:val="28"/>
          <w:lang w:eastAsia="en-AU"/>
        </w:rPr>
        <w:t>eferences</w:t>
      </w:r>
    </w:p>
    <w:p w14:paraId="183778FF" w14:textId="62DEA590" w:rsidR="00B626FA" w:rsidRDefault="00B626FA" w:rsidP="003E6AE6">
      <w:pPr>
        <w:spacing w:before="240" w:after="240" w:line="240" w:lineRule="auto"/>
        <w:ind w:firstLine="720"/>
        <w:jc w:val="both"/>
        <w:rPr>
          <w:rFonts w:eastAsia="Times New Roman" w:cstheme="minorHAnsi"/>
          <w:sz w:val="24"/>
          <w:szCs w:val="24"/>
          <w:lang w:eastAsia="en-AU"/>
        </w:rPr>
      </w:pPr>
      <w:proofErr w:type="spellStart"/>
      <w:r w:rsidRPr="00B626FA">
        <w:rPr>
          <w:rFonts w:eastAsia="Times New Roman" w:cstheme="minorHAnsi"/>
          <w:sz w:val="24"/>
          <w:szCs w:val="24"/>
          <w:lang w:eastAsia="en-AU"/>
        </w:rPr>
        <w:t>Abrano</w:t>
      </w:r>
      <w:proofErr w:type="spellEnd"/>
      <w:r w:rsidRPr="00B626FA">
        <w:rPr>
          <w:rFonts w:eastAsia="Times New Roman" w:cstheme="minorHAnsi"/>
          <w:sz w:val="24"/>
          <w:szCs w:val="24"/>
          <w:lang w:eastAsia="en-AU"/>
        </w:rPr>
        <w:t>, J.M. (2015) “Twice Exceptionality” in the Music Classroom. Music Educators Journal June 2015. VA, USA</w:t>
      </w:r>
    </w:p>
    <w:p w14:paraId="55FC8DAB" w14:textId="4DCEF91C" w:rsidR="00B626FA" w:rsidRDefault="00B626FA" w:rsidP="003E6AE6">
      <w:pPr>
        <w:spacing w:before="240" w:after="240" w:line="240" w:lineRule="auto"/>
        <w:ind w:firstLine="720"/>
        <w:jc w:val="both"/>
        <w:rPr>
          <w:rFonts w:eastAsia="Times New Roman" w:cstheme="minorHAnsi"/>
          <w:sz w:val="24"/>
          <w:szCs w:val="24"/>
          <w:lang w:eastAsia="en-AU"/>
        </w:rPr>
      </w:pPr>
      <w:r w:rsidRPr="00B626FA">
        <w:rPr>
          <w:rFonts w:eastAsia="Times New Roman" w:cstheme="minorHAnsi"/>
          <w:sz w:val="24"/>
          <w:szCs w:val="24"/>
          <w:lang w:eastAsia="en-AU"/>
        </w:rPr>
        <w:t>Barnes, C. (2015) ‘Isn’t it time to override ‘overexcitabilities’, mitigate misdiagnosis, and chuck out checklists?’ Published in Mindscape, Vol. 35. No. 1. QLD, Australia.</w:t>
      </w:r>
    </w:p>
    <w:p w14:paraId="69E52C47" w14:textId="6ADAA261" w:rsidR="008D7863" w:rsidRDefault="008D7863" w:rsidP="003E6AE6">
      <w:pPr>
        <w:spacing w:before="240" w:after="240" w:line="240" w:lineRule="auto"/>
        <w:ind w:firstLine="720"/>
        <w:jc w:val="both"/>
        <w:rPr>
          <w:rFonts w:eastAsia="Times New Roman" w:cstheme="minorHAnsi"/>
          <w:sz w:val="24"/>
          <w:szCs w:val="24"/>
          <w:lang w:eastAsia="en-AU"/>
        </w:rPr>
      </w:pPr>
      <w:r w:rsidRPr="008D7863">
        <w:rPr>
          <w:rFonts w:eastAsia="Times New Roman" w:cstheme="minorHAnsi"/>
          <w:sz w:val="24"/>
          <w:szCs w:val="24"/>
          <w:lang w:eastAsia="en-AU"/>
        </w:rPr>
        <w:t xml:space="preserve">Foley </w:t>
      </w:r>
      <w:proofErr w:type="spellStart"/>
      <w:r w:rsidRPr="008D7863">
        <w:rPr>
          <w:rFonts w:eastAsia="Times New Roman" w:cstheme="minorHAnsi"/>
          <w:sz w:val="24"/>
          <w:szCs w:val="24"/>
          <w:lang w:eastAsia="en-AU"/>
        </w:rPr>
        <w:t>Nicpon</w:t>
      </w:r>
      <w:proofErr w:type="spellEnd"/>
      <w:r w:rsidRPr="008D7863">
        <w:rPr>
          <w:rFonts w:eastAsia="Times New Roman" w:cstheme="minorHAnsi"/>
          <w:sz w:val="24"/>
          <w:szCs w:val="24"/>
          <w:lang w:eastAsia="en-AU"/>
        </w:rPr>
        <w:t xml:space="preserve">, M., </w:t>
      </w:r>
      <w:proofErr w:type="spellStart"/>
      <w:r w:rsidRPr="008D7863">
        <w:rPr>
          <w:rFonts w:eastAsia="Times New Roman" w:cstheme="minorHAnsi"/>
          <w:sz w:val="24"/>
          <w:szCs w:val="24"/>
          <w:lang w:eastAsia="en-AU"/>
        </w:rPr>
        <w:t>Allmon</w:t>
      </w:r>
      <w:proofErr w:type="spellEnd"/>
      <w:r w:rsidRPr="008D7863">
        <w:rPr>
          <w:rFonts w:eastAsia="Times New Roman" w:cstheme="minorHAnsi"/>
          <w:sz w:val="24"/>
          <w:szCs w:val="24"/>
          <w:lang w:eastAsia="en-AU"/>
        </w:rPr>
        <w:t>, A., Sieck, B., &amp; Stinson, R. D. (2011). Empirical investigation of twice-exceptionality: where have we been and where are we going? Gifted Child Quarterly, 55(1), 3-17.</w:t>
      </w:r>
    </w:p>
    <w:p w14:paraId="2DE87F62" w14:textId="44502EC2" w:rsidR="0070040D" w:rsidRDefault="0070040D" w:rsidP="003E6AE6">
      <w:pPr>
        <w:spacing w:before="240" w:after="240" w:line="240" w:lineRule="auto"/>
        <w:ind w:firstLine="720"/>
        <w:jc w:val="both"/>
        <w:rPr>
          <w:rFonts w:eastAsia="Times New Roman" w:cstheme="minorHAnsi"/>
          <w:sz w:val="24"/>
          <w:szCs w:val="24"/>
          <w:lang w:eastAsia="en-AU"/>
        </w:rPr>
      </w:pPr>
      <w:r w:rsidRPr="0070040D">
        <w:rPr>
          <w:rFonts w:eastAsia="Times New Roman" w:cstheme="minorHAnsi"/>
          <w:sz w:val="24"/>
          <w:szCs w:val="24"/>
          <w:lang w:eastAsia="en-AU"/>
        </w:rPr>
        <w:t>Greene, R. W. (2014) The Explosive Child: A New Approach for Understanding and Parenting Easily Frustrated, Chronically Inflexible Children. Harper Collins: NY, USA</w:t>
      </w:r>
    </w:p>
    <w:p w14:paraId="4BCEA50E" w14:textId="60C11B23" w:rsidR="00857062" w:rsidRDefault="00857062" w:rsidP="003E6AE6">
      <w:pPr>
        <w:spacing w:before="240" w:after="240" w:line="240" w:lineRule="auto"/>
        <w:ind w:firstLine="720"/>
        <w:jc w:val="both"/>
        <w:rPr>
          <w:rFonts w:eastAsia="Times New Roman" w:cstheme="minorHAnsi"/>
          <w:sz w:val="24"/>
          <w:szCs w:val="24"/>
          <w:lang w:eastAsia="en-AU"/>
        </w:rPr>
      </w:pPr>
      <w:r w:rsidRPr="00857062">
        <w:rPr>
          <w:rFonts w:eastAsia="Times New Roman" w:cstheme="minorHAnsi"/>
          <w:sz w:val="24"/>
          <w:szCs w:val="24"/>
          <w:lang w:eastAsia="en-AU"/>
        </w:rPr>
        <w:t>Hollingworth (1923) </w:t>
      </w:r>
      <w:r w:rsidRPr="00857062">
        <w:rPr>
          <w:rFonts w:eastAsia="Times New Roman" w:cstheme="minorHAnsi"/>
          <w:i/>
          <w:iCs/>
          <w:sz w:val="24"/>
          <w:szCs w:val="24"/>
          <w:lang w:eastAsia="en-AU"/>
        </w:rPr>
        <w:t>Special talents and defects: Their significance for education. </w:t>
      </w:r>
      <w:r w:rsidRPr="00857062">
        <w:rPr>
          <w:rFonts w:eastAsia="Times New Roman" w:cstheme="minorHAnsi"/>
          <w:sz w:val="24"/>
          <w:szCs w:val="24"/>
          <w:lang w:eastAsia="en-AU"/>
        </w:rPr>
        <w:t>Macmillan: New York, USA</w:t>
      </w:r>
    </w:p>
    <w:p w14:paraId="6B3B0A9E" w14:textId="1C33BCB7" w:rsidR="00BC294A" w:rsidRDefault="00BC294A" w:rsidP="003E6AE6">
      <w:pPr>
        <w:spacing w:before="240" w:after="240" w:line="240" w:lineRule="auto"/>
        <w:ind w:firstLine="720"/>
        <w:jc w:val="both"/>
        <w:rPr>
          <w:rFonts w:eastAsia="Times New Roman" w:cstheme="minorHAnsi"/>
          <w:sz w:val="24"/>
          <w:szCs w:val="24"/>
          <w:lang w:eastAsia="en-AU"/>
        </w:rPr>
      </w:pPr>
      <w:r w:rsidRPr="00BC294A">
        <w:rPr>
          <w:rFonts w:eastAsia="Times New Roman" w:cstheme="minorHAnsi"/>
          <w:sz w:val="24"/>
          <w:szCs w:val="24"/>
          <w:lang w:eastAsia="en-AU"/>
        </w:rPr>
        <w:t xml:space="preserve">Neville, </w:t>
      </w:r>
      <w:proofErr w:type="spellStart"/>
      <w:r w:rsidRPr="00BC294A">
        <w:rPr>
          <w:rFonts w:eastAsia="Times New Roman" w:cstheme="minorHAnsi"/>
          <w:sz w:val="24"/>
          <w:szCs w:val="24"/>
          <w:lang w:eastAsia="en-AU"/>
        </w:rPr>
        <w:t>C.S</w:t>
      </w:r>
      <w:proofErr w:type="spellEnd"/>
      <w:r w:rsidRPr="00BC294A">
        <w:rPr>
          <w:rFonts w:eastAsia="Times New Roman" w:cstheme="minorHAnsi"/>
          <w:sz w:val="24"/>
          <w:szCs w:val="24"/>
          <w:lang w:eastAsia="en-AU"/>
        </w:rPr>
        <w:t xml:space="preserve">, </w:t>
      </w:r>
      <w:proofErr w:type="spellStart"/>
      <w:r w:rsidRPr="00BC294A">
        <w:rPr>
          <w:rFonts w:eastAsia="Times New Roman" w:cstheme="minorHAnsi"/>
          <w:sz w:val="24"/>
          <w:szCs w:val="24"/>
          <w:lang w:eastAsia="en-AU"/>
        </w:rPr>
        <w:t>Piechowski</w:t>
      </w:r>
      <w:proofErr w:type="spellEnd"/>
      <w:r w:rsidRPr="00BC294A">
        <w:rPr>
          <w:rFonts w:eastAsia="Times New Roman" w:cstheme="minorHAnsi"/>
          <w:sz w:val="24"/>
          <w:szCs w:val="24"/>
          <w:lang w:eastAsia="en-AU"/>
        </w:rPr>
        <w:t xml:space="preserve">, </w:t>
      </w:r>
      <w:proofErr w:type="spellStart"/>
      <w:r w:rsidRPr="00BC294A">
        <w:rPr>
          <w:rFonts w:eastAsia="Times New Roman" w:cstheme="minorHAnsi"/>
          <w:sz w:val="24"/>
          <w:szCs w:val="24"/>
          <w:lang w:eastAsia="en-AU"/>
        </w:rPr>
        <w:t>M.M</w:t>
      </w:r>
      <w:proofErr w:type="spellEnd"/>
      <w:r w:rsidRPr="00BC294A">
        <w:rPr>
          <w:rFonts w:eastAsia="Times New Roman" w:cstheme="minorHAnsi"/>
          <w:sz w:val="24"/>
          <w:szCs w:val="24"/>
          <w:lang w:eastAsia="en-AU"/>
        </w:rPr>
        <w:t>, Tolan, S.S. (2013), “Off the Charts: Asynchrony and the Gifted Child”. Royal Fireworks Press, New York, USA.</w:t>
      </w:r>
    </w:p>
    <w:p w14:paraId="5637413B" w14:textId="39593C0A" w:rsidR="008D7863" w:rsidRDefault="008D7863" w:rsidP="003E6AE6">
      <w:pPr>
        <w:spacing w:before="240" w:after="240" w:line="240" w:lineRule="auto"/>
        <w:ind w:firstLine="720"/>
        <w:jc w:val="both"/>
        <w:rPr>
          <w:rFonts w:eastAsia="Times New Roman" w:cstheme="minorHAnsi"/>
          <w:sz w:val="24"/>
          <w:szCs w:val="24"/>
          <w:lang w:eastAsia="en-AU"/>
        </w:rPr>
      </w:pPr>
      <w:r w:rsidRPr="008D7863">
        <w:rPr>
          <w:rFonts w:eastAsia="Times New Roman" w:cstheme="minorHAnsi"/>
          <w:sz w:val="24"/>
          <w:szCs w:val="24"/>
          <w:lang w:eastAsia="en-AU"/>
        </w:rPr>
        <w:t xml:space="preserve">Reis, S. M., &amp; </w:t>
      </w:r>
      <w:proofErr w:type="spellStart"/>
      <w:r w:rsidRPr="008D7863">
        <w:rPr>
          <w:rFonts w:eastAsia="Times New Roman" w:cstheme="minorHAnsi"/>
          <w:sz w:val="24"/>
          <w:szCs w:val="24"/>
          <w:lang w:eastAsia="en-AU"/>
        </w:rPr>
        <w:t>Renzulli</w:t>
      </w:r>
      <w:proofErr w:type="spellEnd"/>
      <w:r w:rsidRPr="008D7863">
        <w:rPr>
          <w:rFonts w:eastAsia="Times New Roman" w:cstheme="minorHAnsi"/>
          <w:sz w:val="24"/>
          <w:szCs w:val="24"/>
          <w:lang w:eastAsia="en-AU"/>
        </w:rPr>
        <w:t>, J. S. (2004). Current research on the social and emotional development of gifted and talented students: Good news and future possibilities. Psychology in the Schools, 41(1), 119–130.</w:t>
      </w:r>
    </w:p>
    <w:p w14:paraId="5238A231" w14:textId="20CE5205" w:rsidR="003E6AE6" w:rsidRDefault="003E6AE6" w:rsidP="003E6AE6">
      <w:pPr>
        <w:spacing w:before="240" w:after="240" w:line="240" w:lineRule="auto"/>
        <w:ind w:firstLine="720"/>
        <w:jc w:val="both"/>
        <w:rPr>
          <w:rFonts w:eastAsia="Times New Roman" w:cstheme="minorHAnsi"/>
          <w:sz w:val="24"/>
          <w:szCs w:val="24"/>
          <w:lang w:eastAsia="en-AU"/>
        </w:rPr>
      </w:pPr>
      <w:r w:rsidRPr="003E6AE6">
        <w:rPr>
          <w:rFonts w:eastAsia="Times New Roman" w:cstheme="minorHAnsi"/>
          <w:sz w:val="24"/>
          <w:szCs w:val="24"/>
          <w:lang w:eastAsia="en-AU"/>
        </w:rPr>
        <w:t>Rogers, K. B. (2010). Thinking Smart about twice exceptional learners: steps for finding them and strategies for catering to them appropriately [Presentation]. </w:t>
      </w:r>
      <w:r w:rsidRPr="003E6AE6">
        <w:rPr>
          <w:rFonts w:eastAsia="Times New Roman" w:cstheme="minorHAnsi"/>
          <w:i/>
          <w:iCs/>
          <w:sz w:val="24"/>
          <w:szCs w:val="24"/>
          <w:lang w:eastAsia="en-AU"/>
        </w:rPr>
        <w:t>Minneapolis, MN USA: University of St. Thomas</w:t>
      </w:r>
      <w:r w:rsidRPr="003E6AE6">
        <w:rPr>
          <w:rFonts w:eastAsia="Times New Roman" w:cstheme="minorHAnsi"/>
          <w:sz w:val="24"/>
          <w:szCs w:val="24"/>
          <w:lang w:eastAsia="en-AU"/>
        </w:rPr>
        <w:t>.</w:t>
      </w:r>
    </w:p>
    <w:p w14:paraId="1E51353D" w14:textId="08843F46" w:rsidR="00FE52F8" w:rsidRDefault="00FE52F8" w:rsidP="003E6AE6">
      <w:pPr>
        <w:spacing w:before="240" w:after="240" w:line="240" w:lineRule="auto"/>
        <w:ind w:firstLine="720"/>
        <w:jc w:val="both"/>
        <w:rPr>
          <w:rFonts w:eastAsia="Times New Roman" w:cstheme="minorHAnsi"/>
          <w:sz w:val="24"/>
          <w:szCs w:val="24"/>
          <w:lang w:eastAsia="en-AU"/>
        </w:rPr>
      </w:pPr>
      <w:r w:rsidRPr="00FE52F8">
        <w:rPr>
          <w:rFonts w:eastAsia="Times New Roman" w:cstheme="minorHAnsi"/>
          <w:sz w:val="24"/>
          <w:szCs w:val="24"/>
          <w:lang w:eastAsia="en-AU"/>
        </w:rPr>
        <w:t>Trail, B.A (2011) </w:t>
      </w:r>
      <w:r w:rsidRPr="00FE52F8">
        <w:rPr>
          <w:rFonts w:eastAsia="Times New Roman" w:cstheme="minorHAnsi"/>
          <w:i/>
          <w:iCs/>
          <w:sz w:val="24"/>
          <w:szCs w:val="24"/>
          <w:lang w:eastAsia="en-AU"/>
        </w:rPr>
        <w:t>Twice-Exceptional Gifted Children.</w:t>
      </w:r>
      <w:r w:rsidRPr="00FE52F8">
        <w:rPr>
          <w:rFonts w:eastAsia="Times New Roman" w:cstheme="minorHAnsi"/>
          <w:sz w:val="24"/>
          <w:szCs w:val="24"/>
          <w:lang w:eastAsia="en-AU"/>
        </w:rPr>
        <w:t> Prufrock Press Inc.: Texas, USA.</w:t>
      </w:r>
    </w:p>
    <w:p w14:paraId="4A856D49" w14:textId="77777777" w:rsidR="00BC294A" w:rsidRPr="00BC294A" w:rsidRDefault="00BC294A" w:rsidP="00BC294A">
      <w:pPr>
        <w:spacing w:before="240" w:after="240" w:line="240" w:lineRule="auto"/>
        <w:ind w:firstLine="720"/>
        <w:jc w:val="both"/>
        <w:rPr>
          <w:rFonts w:eastAsia="Times New Roman" w:cstheme="minorHAnsi"/>
          <w:sz w:val="24"/>
          <w:szCs w:val="24"/>
          <w:lang w:eastAsia="en-AU"/>
        </w:rPr>
      </w:pPr>
      <w:proofErr w:type="spellStart"/>
      <w:r w:rsidRPr="00BC294A">
        <w:rPr>
          <w:rFonts w:eastAsia="Times New Roman" w:cstheme="minorHAnsi"/>
          <w:sz w:val="24"/>
          <w:szCs w:val="24"/>
          <w:lang w:eastAsia="en-AU"/>
        </w:rPr>
        <w:t>Vialle</w:t>
      </w:r>
      <w:proofErr w:type="spellEnd"/>
      <w:r w:rsidRPr="00BC294A">
        <w:rPr>
          <w:rFonts w:eastAsia="Times New Roman" w:cstheme="minorHAnsi"/>
          <w:sz w:val="24"/>
          <w:szCs w:val="24"/>
          <w:lang w:eastAsia="en-AU"/>
        </w:rPr>
        <w:t>, W., &amp; Quigley, S. (2009). Does the Teacher of the Gifted Need to be Gifted?.</w:t>
      </w:r>
    </w:p>
    <w:p w14:paraId="547C1421" w14:textId="77777777" w:rsidR="00BC294A" w:rsidRPr="00FE52F8" w:rsidRDefault="00BC294A" w:rsidP="003E6AE6">
      <w:pPr>
        <w:spacing w:before="240" w:after="240" w:line="240" w:lineRule="auto"/>
        <w:ind w:firstLine="720"/>
        <w:jc w:val="both"/>
        <w:rPr>
          <w:rFonts w:eastAsia="Times New Roman" w:cstheme="minorHAnsi"/>
          <w:sz w:val="24"/>
          <w:szCs w:val="24"/>
          <w:lang w:eastAsia="en-AU"/>
        </w:rPr>
      </w:pPr>
    </w:p>
    <w:p w14:paraId="2ECB87DD" w14:textId="5EB4E9F5" w:rsidR="00FE52F8" w:rsidRDefault="00FE52F8" w:rsidP="003E6AE6">
      <w:pPr>
        <w:spacing w:before="240" w:after="240" w:line="240" w:lineRule="auto"/>
        <w:jc w:val="both"/>
        <w:rPr>
          <w:rFonts w:eastAsia="Times New Roman" w:cstheme="minorHAnsi"/>
          <w:sz w:val="28"/>
          <w:szCs w:val="28"/>
          <w:lang w:eastAsia="en-AU"/>
        </w:rPr>
      </w:pPr>
    </w:p>
    <w:p w14:paraId="5D804DBE" w14:textId="1E3367E3" w:rsidR="009447B9" w:rsidRDefault="009447B9" w:rsidP="003E6AE6">
      <w:pPr>
        <w:spacing w:before="240" w:after="240" w:line="240" w:lineRule="auto"/>
        <w:jc w:val="both"/>
        <w:rPr>
          <w:rFonts w:eastAsia="Times New Roman" w:cstheme="minorHAnsi"/>
          <w:sz w:val="28"/>
          <w:szCs w:val="28"/>
          <w:lang w:eastAsia="en-AU"/>
        </w:rPr>
      </w:pPr>
    </w:p>
    <w:p w14:paraId="35253E97" w14:textId="70DEF980" w:rsidR="009447B9" w:rsidRDefault="009447B9" w:rsidP="003E6AE6">
      <w:pPr>
        <w:spacing w:before="240" w:after="240" w:line="240" w:lineRule="auto"/>
        <w:jc w:val="both"/>
        <w:rPr>
          <w:rFonts w:eastAsia="Times New Roman" w:cstheme="minorHAnsi"/>
          <w:sz w:val="28"/>
          <w:szCs w:val="28"/>
          <w:lang w:eastAsia="en-AU"/>
        </w:rPr>
      </w:pPr>
    </w:p>
    <w:p w14:paraId="35168AC1" w14:textId="3CD5CD47" w:rsidR="009447B9" w:rsidRDefault="009447B9" w:rsidP="003E6AE6">
      <w:pPr>
        <w:spacing w:before="240" w:after="240" w:line="240" w:lineRule="auto"/>
        <w:jc w:val="both"/>
        <w:rPr>
          <w:rFonts w:eastAsia="Times New Roman" w:cstheme="minorHAnsi"/>
          <w:sz w:val="28"/>
          <w:szCs w:val="28"/>
          <w:lang w:eastAsia="en-AU"/>
        </w:rPr>
      </w:pPr>
    </w:p>
    <w:p w14:paraId="7130FB5A" w14:textId="7F278E5F" w:rsidR="009447B9" w:rsidRDefault="009447B9" w:rsidP="003E6AE6">
      <w:pPr>
        <w:spacing w:before="240" w:after="240" w:line="240" w:lineRule="auto"/>
        <w:jc w:val="both"/>
        <w:rPr>
          <w:rFonts w:eastAsia="Times New Roman" w:cstheme="minorHAnsi"/>
          <w:sz w:val="28"/>
          <w:szCs w:val="28"/>
          <w:lang w:eastAsia="en-AU"/>
        </w:rPr>
      </w:pPr>
    </w:p>
    <w:p w14:paraId="2B8DDB42" w14:textId="77777777" w:rsidR="009447B9" w:rsidRPr="00F45F1B" w:rsidRDefault="009447B9" w:rsidP="003E6AE6">
      <w:pPr>
        <w:spacing w:before="240" w:after="240" w:line="240" w:lineRule="auto"/>
        <w:jc w:val="both"/>
        <w:rPr>
          <w:rFonts w:eastAsia="Times New Roman" w:cstheme="minorHAnsi"/>
          <w:sz w:val="28"/>
          <w:szCs w:val="28"/>
          <w:lang w:eastAsia="en-AU"/>
        </w:rPr>
      </w:pPr>
    </w:p>
    <w:p w14:paraId="2411DA29" w14:textId="6783F934" w:rsidR="00863195" w:rsidRDefault="00863195" w:rsidP="003F60DD">
      <w:pPr>
        <w:spacing w:before="200" w:after="0" w:line="240" w:lineRule="auto"/>
        <w:ind w:left="-15"/>
        <w:rPr>
          <w:rFonts w:eastAsia="Times New Roman" w:cstheme="minorHAnsi"/>
          <w:i/>
          <w:iCs/>
          <w:sz w:val="24"/>
          <w:szCs w:val="24"/>
          <w:lang w:eastAsia="en-AU"/>
        </w:rPr>
      </w:pPr>
    </w:p>
    <w:p w14:paraId="47010786" w14:textId="2636F755" w:rsidR="00863195" w:rsidRPr="0062683F" w:rsidRDefault="00863195" w:rsidP="00863195">
      <w:pPr>
        <w:jc w:val="center"/>
        <w:rPr>
          <w:rFonts w:cstheme="minorHAnsi"/>
          <w:sz w:val="20"/>
          <w:szCs w:val="20"/>
        </w:rPr>
      </w:pPr>
      <w:r w:rsidRPr="0062683F">
        <w:rPr>
          <w:rFonts w:cstheme="minorHAnsi"/>
          <w:sz w:val="20"/>
          <w:szCs w:val="20"/>
        </w:rPr>
        <w:t>Australian Association for the Education of the Gifted and Talented</w:t>
      </w:r>
      <w:r w:rsidR="0062683F" w:rsidRPr="0062683F">
        <w:rPr>
          <w:rFonts w:cstheme="minorHAnsi"/>
          <w:sz w:val="20"/>
          <w:szCs w:val="20"/>
        </w:rPr>
        <w:br/>
      </w:r>
      <w:r w:rsidRPr="0062683F">
        <w:rPr>
          <w:rFonts w:cstheme="minorHAnsi"/>
          <w:sz w:val="20"/>
          <w:szCs w:val="20"/>
        </w:rPr>
        <w:t>Australian Public Company Limited by Guarantee</w:t>
      </w:r>
      <w:r w:rsidR="0062683F">
        <w:rPr>
          <w:rFonts w:cstheme="minorHAnsi"/>
          <w:sz w:val="20"/>
          <w:szCs w:val="20"/>
        </w:rPr>
        <w:br/>
      </w:r>
      <w:r w:rsidRPr="0062683F">
        <w:rPr>
          <w:rFonts w:cstheme="minorHAnsi"/>
          <w:sz w:val="20"/>
          <w:szCs w:val="20"/>
        </w:rPr>
        <w:t>ACN  057 423 202</w:t>
      </w:r>
      <w:r w:rsidR="0062683F" w:rsidRPr="0062683F">
        <w:rPr>
          <w:rFonts w:cstheme="minorHAnsi"/>
          <w:sz w:val="20"/>
          <w:szCs w:val="20"/>
        </w:rPr>
        <w:br/>
      </w:r>
      <w:bookmarkEnd w:id="1"/>
    </w:p>
    <w:sectPr w:rsidR="00863195" w:rsidRPr="0062683F" w:rsidSect="003B6935">
      <w:headerReference w:type="default" r:id="rId9"/>
      <w:footerReference w:type="default" r:id="rId10"/>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7BF9" w14:textId="77777777" w:rsidR="00F20C98" w:rsidRDefault="00F20C98" w:rsidP="00530E5B">
      <w:pPr>
        <w:spacing w:after="0" w:line="240" w:lineRule="auto"/>
      </w:pPr>
      <w:r>
        <w:separator/>
      </w:r>
    </w:p>
  </w:endnote>
  <w:endnote w:type="continuationSeparator" w:id="0">
    <w:p w14:paraId="122388CA" w14:textId="77777777" w:rsidR="00F20C98" w:rsidRDefault="00F20C98" w:rsidP="0053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224F" w14:textId="77777777" w:rsidR="00530E5B" w:rsidRDefault="001A30BC" w:rsidP="001A30BC">
    <w:pPr>
      <w:pStyle w:val="Footer"/>
      <w:tabs>
        <w:tab w:val="clear" w:pos="4513"/>
        <w:tab w:val="clear" w:pos="9026"/>
        <w:tab w:val="left" w:pos="2445"/>
      </w:tabs>
    </w:pPr>
    <w:r>
      <w:rPr>
        <w:noProof/>
      </w:rPr>
      <w:drawing>
        <wp:anchor distT="0" distB="0" distL="114300" distR="114300" simplePos="0" relativeHeight="251659264" behindDoc="1" locked="0" layoutInCell="1" allowOverlap="1" wp14:anchorId="2F522AA3" wp14:editId="7E3A7CFD">
          <wp:simplePos x="0" y="0"/>
          <wp:positionH relativeFrom="column">
            <wp:posOffset>-1409700</wp:posOffset>
          </wp:positionH>
          <wp:positionV relativeFrom="page">
            <wp:posOffset>9772650</wp:posOffset>
          </wp:positionV>
          <wp:extent cx="14244549" cy="126936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stripes.png"/>
                  <pic:cNvPicPr/>
                </pic:nvPicPr>
                <pic:blipFill rotWithShape="1">
                  <a:blip r:embed="rId1">
                    <a:extLst>
                      <a:ext uri="{28A0092B-C50C-407E-A947-70E740481C1C}">
                        <a14:useLocalDpi xmlns:a14="http://schemas.microsoft.com/office/drawing/2010/main" val="0"/>
                      </a:ext>
                    </a:extLst>
                  </a:blip>
                  <a:srcRect t="66246" r="788"/>
                  <a:stretch/>
                </pic:blipFill>
                <pic:spPr bwMode="auto">
                  <a:xfrm>
                    <a:off x="0" y="0"/>
                    <a:ext cx="14344931" cy="127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8B0CE" w14:textId="77777777" w:rsidR="00F20C98" w:rsidRDefault="00F20C98" w:rsidP="00530E5B">
      <w:pPr>
        <w:spacing w:after="0" w:line="240" w:lineRule="auto"/>
      </w:pPr>
      <w:r>
        <w:separator/>
      </w:r>
    </w:p>
  </w:footnote>
  <w:footnote w:type="continuationSeparator" w:id="0">
    <w:p w14:paraId="0DD5D407" w14:textId="77777777" w:rsidR="00F20C98" w:rsidRDefault="00F20C98" w:rsidP="0053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D7D9" w14:textId="77777777" w:rsidR="00530E5B" w:rsidRDefault="006718E5">
    <w:pPr>
      <w:pStyle w:val="Head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F1E1375" wp14:editId="3FDD7EB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9E495" w14:textId="77777777" w:rsidR="006718E5" w:rsidRDefault="006718E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E1375" id="Group 158" o:spid="_x0000_s1026" style="position:absolute;margin-left:0;margin-top:0;width:133.9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" fillcolor="white [3212]" stroked="f" strokeweight="1.5pt">
                  <v:fill opacity="0"/>
                  <v:stroke endcap="round"/>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" path="m,l1462822,,910372,376306,,1014481,,xe" fillcolor="#007947 [3204]" stroked="f" strokeweight="1.5pt">
                  <v:stroke endcap="round"/>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" stroked="f" strokeweight="1.5pt">
                  <v:fill r:id="rId2" o:title="" recolor="t" rotate="t" type="frame"/>
                  <v:stroke endcap="round"/>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4D9E495" w14:textId="77777777" w:rsidR="006718E5" w:rsidRDefault="006718E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901"/>
    <w:multiLevelType w:val="hybridMultilevel"/>
    <w:tmpl w:val="49A2352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27617A6"/>
    <w:multiLevelType w:val="hybridMultilevel"/>
    <w:tmpl w:val="5EC2D35A"/>
    <w:lvl w:ilvl="0" w:tplc="0C09000F">
      <w:start w:val="1"/>
      <w:numFmt w:val="decimal"/>
      <w:lvlText w:val="%1."/>
      <w:lvlJc w:val="left"/>
      <w:pPr>
        <w:ind w:left="1440" w:hanging="360"/>
      </w:pPr>
    </w:lvl>
    <w:lvl w:ilvl="1" w:tplc="E5546F92">
      <w:numFmt w:val="bullet"/>
      <w:lvlText w:val="·"/>
      <w:lvlJc w:val="left"/>
      <w:pPr>
        <w:ind w:left="2190" w:hanging="390"/>
      </w:pPr>
      <w:rPr>
        <w:rFonts w:ascii="Arial" w:eastAsia="Times New Roman" w:hAnsi="Arial" w:cs="Arial" w:hint="default"/>
        <w:color w:val="000000"/>
        <w:sz w:val="22"/>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83190"/>
    <w:multiLevelType w:val="hybridMultilevel"/>
    <w:tmpl w:val="6240B8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A436840"/>
    <w:multiLevelType w:val="hybridMultilevel"/>
    <w:tmpl w:val="3D7C094C"/>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 w15:restartNumberingAfterBreak="0">
    <w:nsid w:val="0A73186A"/>
    <w:multiLevelType w:val="hybridMultilevel"/>
    <w:tmpl w:val="285EF7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F01D52"/>
    <w:multiLevelType w:val="multilevel"/>
    <w:tmpl w:val="101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E0FFA"/>
    <w:multiLevelType w:val="multilevel"/>
    <w:tmpl w:val="1ED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43B8E"/>
    <w:multiLevelType w:val="hybridMultilevel"/>
    <w:tmpl w:val="07942FE4"/>
    <w:lvl w:ilvl="0" w:tplc="CEF8B15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F154FD"/>
    <w:multiLevelType w:val="hybridMultilevel"/>
    <w:tmpl w:val="6A20CD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5201F43"/>
    <w:multiLevelType w:val="multilevel"/>
    <w:tmpl w:val="2A8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E7B12"/>
    <w:multiLevelType w:val="hybridMultilevel"/>
    <w:tmpl w:val="AA64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E7228"/>
    <w:multiLevelType w:val="hybridMultilevel"/>
    <w:tmpl w:val="7C36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E7922"/>
    <w:multiLevelType w:val="hybridMultilevel"/>
    <w:tmpl w:val="B8147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F94976"/>
    <w:multiLevelType w:val="hybridMultilevel"/>
    <w:tmpl w:val="CE0A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8493F"/>
    <w:multiLevelType w:val="multilevel"/>
    <w:tmpl w:val="69D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45B2A"/>
    <w:multiLevelType w:val="hybridMultilevel"/>
    <w:tmpl w:val="186AFC06"/>
    <w:lvl w:ilvl="0" w:tplc="79B4939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137368"/>
    <w:multiLevelType w:val="multilevel"/>
    <w:tmpl w:val="424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C3D4A"/>
    <w:multiLevelType w:val="multilevel"/>
    <w:tmpl w:val="E728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474E8"/>
    <w:multiLevelType w:val="multilevel"/>
    <w:tmpl w:val="5A6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87C7E"/>
    <w:multiLevelType w:val="hybridMultilevel"/>
    <w:tmpl w:val="0E5E684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F7336D7"/>
    <w:multiLevelType w:val="hybridMultilevel"/>
    <w:tmpl w:val="26CCD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B5271E"/>
    <w:multiLevelType w:val="hybridMultilevel"/>
    <w:tmpl w:val="29F04C7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51E45CDF"/>
    <w:multiLevelType w:val="hybridMultilevel"/>
    <w:tmpl w:val="66925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17444C"/>
    <w:multiLevelType w:val="hybridMultilevel"/>
    <w:tmpl w:val="4C70F04E"/>
    <w:lvl w:ilvl="0" w:tplc="0C090001">
      <w:start w:val="1"/>
      <w:numFmt w:val="bullet"/>
      <w:lvlText w:val=""/>
      <w:lvlJc w:val="left"/>
      <w:pPr>
        <w:ind w:left="720" w:hanging="360"/>
      </w:pPr>
      <w:rPr>
        <w:rFonts w:ascii="Symbol" w:hAnsi="Symbol" w:hint="default"/>
      </w:rPr>
    </w:lvl>
    <w:lvl w:ilvl="1" w:tplc="81BA24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37435"/>
    <w:multiLevelType w:val="hybridMultilevel"/>
    <w:tmpl w:val="BD584A6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start w:val="1"/>
      <w:numFmt w:val="bullet"/>
      <w:lvlText w:val=""/>
      <w:lvlJc w:val="left"/>
      <w:pPr>
        <w:ind w:left="2930" w:hanging="360"/>
      </w:pPr>
      <w:rPr>
        <w:rFonts w:ascii="Wingdings" w:hAnsi="Wingdings" w:hint="default"/>
      </w:rPr>
    </w:lvl>
    <w:lvl w:ilvl="3" w:tplc="0C090001">
      <w:start w:val="1"/>
      <w:numFmt w:val="bullet"/>
      <w:lvlText w:val=""/>
      <w:lvlJc w:val="left"/>
      <w:pPr>
        <w:ind w:left="3650" w:hanging="360"/>
      </w:pPr>
      <w:rPr>
        <w:rFonts w:ascii="Symbol" w:hAnsi="Symbol" w:hint="default"/>
      </w:rPr>
    </w:lvl>
    <w:lvl w:ilvl="4" w:tplc="0C090003">
      <w:start w:val="1"/>
      <w:numFmt w:val="bullet"/>
      <w:lvlText w:val="o"/>
      <w:lvlJc w:val="left"/>
      <w:pPr>
        <w:ind w:left="4370" w:hanging="360"/>
      </w:pPr>
      <w:rPr>
        <w:rFonts w:ascii="Courier New" w:hAnsi="Courier New" w:cs="Courier New" w:hint="default"/>
      </w:rPr>
    </w:lvl>
    <w:lvl w:ilvl="5" w:tplc="0C090005">
      <w:start w:val="1"/>
      <w:numFmt w:val="bullet"/>
      <w:lvlText w:val=""/>
      <w:lvlJc w:val="left"/>
      <w:pPr>
        <w:ind w:left="5090" w:hanging="360"/>
      </w:pPr>
      <w:rPr>
        <w:rFonts w:ascii="Wingdings" w:hAnsi="Wingdings" w:hint="default"/>
      </w:rPr>
    </w:lvl>
    <w:lvl w:ilvl="6" w:tplc="0C090001">
      <w:start w:val="1"/>
      <w:numFmt w:val="bullet"/>
      <w:lvlText w:val=""/>
      <w:lvlJc w:val="left"/>
      <w:pPr>
        <w:ind w:left="5810" w:hanging="360"/>
      </w:pPr>
      <w:rPr>
        <w:rFonts w:ascii="Symbol" w:hAnsi="Symbol" w:hint="default"/>
      </w:rPr>
    </w:lvl>
    <w:lvl w:ilvl="7" w:tplc="0C090003">
      <w:start w:val="1"/>
      <w:numFmt w:val="bullet"/>
      <w:lvlText w:val="o"/>
      <w:lvlJc w:val="left"/>
      <w:pPr>
        <w:ind w:left="6530" w:hanging="360"/>
      </w:pPr>
      <w:rPr>
        <w:rFonts w:ascii="Courier New" w:hAnsi="Courier New" w:cs="Courier New" w:hint="default"/>
      </w:rPr>
    </w:lvl>
    <w:lvl w:ilvl="8" w:tplc="0C090005">
      <w:start w:val="1"/>
      <w:numFmt w:val="bullet"/>
      <w:lvlText w:val=""/>
      <w:lvlJc w:val="left"/>
      <w:pPr>
        <w:ind w:left="7250" w:hanging="360"/>
      </w:pPr>
      <w:rPr>
        <w:rFonts w:ascii="Wingdings" w:hAnsi="Wingdings" w:hint="default"/>
      </w:rPr>
    </w:lvl>
  </w:abstractNum>
  <w:abstractNum w:abstractNumId="25" w15:restartNumberingAfterBreak="0">
    <w:nsid w:val="5D5B2FBD"/>
    <w:multiLevelType w:val="multilevel"/>
    <w:tmpl w:val="4C64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2343D"/>
    <w:multiLevelType w:val="hybridMultilevel"/>
    <w:tmpl w:val="7B06F4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636BEE"/>
    <w:multiLevelType w:val="hybridMultilevel"/>
    <w:tmpl w:val="9C6C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758C4"/>
    <w:multiLevelType w:val="multilevel"/>
    <w:tmpl w:val="446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69303E"/>
    <w:multiLevelType w:val="hybridMultilevel"/>
    <w:tmpl w:val="7F2C45D6"/>
    <w:lvl w:ilvl="0" w:tplc="65DAFB62">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0" w15:restartNumberingAfterBreak="0">
    <w:nsid w:val="682D4C08"/>
    <w:multiLevelType w:val="hybridMultilevel"/>
    <w:tmpl w:val="071AB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23B01"/>
    <w:multiLevelType w:val="hybridMultilevel"/>
    <w:tmpl w:val="9F3EA03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start w:val="1"/>
      <w:numFmt w:val="bullet"/>
      <w:lvlText w:val=""/>
      <w:lvlJc w:val="left"/>
      <w:pPr>
        <w:ind w:left="2930" w:hanging="360"/>
      </w:pPr>
      <w:rPr>
        <w:rFonts w:ascii="Wingdings" w:hAnsi="Wingdings" w:hint="default"/>
      </w:rPr>
    </w:lvl>
    <w:lvl w:ilvl="3" w:tplc="0C090001">
      <w:start w:val="1"/>
      <w:numFmt w:val="bullet"/>
      <w:lvlText w:val=""/>
      <w:lvlJc w:val="left"/>
      <w:pPr>
        <w:ind w:left="3650" w:hanging="360"/>
      </w:pPr>
      <w:rPr>
        <w:rFonts w:ascii="Symbol" w:hAnsi="Symbol" w:hint="default"/>
      </w:rPr>
    </w:lvl>
    <w:lvl w:ilvl="4" w:tplc="0C090003">
      <w:start w:val="1"/>
      <w:numFmt w:val="bullet"/>
      <w:lvlText w:val="o"/>
      <w:lvlJc w:val="left"/>
      <w:pPr>
        <w:ind w:left="4370" w:hanging="360"/>
      </w:pPr>
      <w:rPr>
        <w:rFonts w:ascii="Courier New" w:hAnsi="Courier New" w:cs="Courier New" w:hint="default"/>
      </w:rPr>
    </w:lvl>
    <w:lvl w:ilvl="5" w:tplc="0C090005">
      <w:start w:val="1"/>
      <w:numFmt w:val="bullet"/>
      <w:lvlText w:val=""/>
      <w:lvlJc w:val="left"/>
      <w:pPr>
        <w:ind w:left="5090" w:hanging="360"/>
      </w:pPr>
      <w:rPr>
        <w:rFonts w:ascii="Wingdings" w:hAnsi="Wingdings" w:hint="default"/>
      </w:rPr>
    </w:lvl>
    <w:lvl w:ilvl="6" w:tplc="0C090001">
      <w:start w:val="1"/>
      <w:numFmt w:val="bullet"/>
      <w:lvlText w:val=""/>
      <w:lvlJc w:val="left"/>
      <w:pPr>
        <w:ind w:left="5810" w:hanging="360"/>
      </w:pPr>
      <w:rPr>
        <w:rFonts w:ascii="Symbol" w:hAnsi="Symbol" w:hint="default"/>
      </w:rPr>
    </w:lvl>
    <w:lvl w:ilvl="7" w:tplc="0C090003">
      <w:start w:val="1"/>
      <w:numFmt w:val="bullet"/>
      <w:lvlText w:val="o"/>
      <w:lvlJc w:val="left"/>
      <w:pPr>
        <w:ind w:left="6530" w:hanging="360"/>
      </w:pPr>
      <w:rPr>
        <w:rFonts w:ascii="Courier New" w:hAnsi="Courier New" w:cs="Courier New" w:hint="default"/>
      </w:rPr>
    </w:lvl>
    <w:lvl w:ilvl="8" w:tplc="0C090005">
      <w:start w:val="1"/>
      <w:numFmt w:val="bullet"/>
      <w:lvlText w:val=""/>
      <w:lvlJc w:val="left"/>
      <w:pPr>
        <w:ind w:left="7250" w:hanging="360"/>
      </w:pPr>
      <w:rPr>
        <w:rFonts w:ascii="Wingdings" w:hAnsi="Wingdings" w:hint="default"/>
      </w:rPr>
    </w:lvl>
  </w:abstractNum>
  <w:abstractNum w:abstractNumId="32" w15:restartNumberingAfterBreak="0">
    <w:nsid w:val="6DA2413C"/>
    <w:multiLevelType w:val="hybridMultilevel"/>
    <w:tmpl w:val="DB38710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25E4339"/>
    <w:multiLevelType w:val="hybridMultilevel"/>
    <w:tmpl w:val="4C3A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E7562F"/>
    <w:multiLevelType w:val="hybridMultilevel"/>
    <w:tmpl w:val="29F04C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8EE070E"/>
    <w:multiLevelType w:val="hybridMultilevel"/>
    <w:tmpl w:val="4D38C96A"/>
    <w:lvl w:ilvl="0" w:tplc="0C090001">
      <w:start w:val="1"/>
      <w:numFmt w:val="bullet"/>
      <w:lvlText w:val=""/>
      <w:lvlJc w:val="left"/>
      <w:pPr>
        <w:ind w:left="720" w:hanging="360"/>
      </w:pPr>
      <w:rPr>
        <w:rFonts w:ascii="Symbol" w:hAnsi="Symbol" w:hint="default"/>
      </w:rPr>
    </w:lvl>
    <w:lvl w:ilvl="1" w:tplc="65E2E6A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7F5383"/>
    <w:multiLevelType w:val="hybridMultilevel"/>
    <w:tmpl w:val="E2A2ED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23"/>
  </w:num>
  <w:num w:numId="2">
    <w:abstractNumId w:val="27"/>
  </w:num>
  <w:num w:numId="3">
    <w:abstractNumId w:val="12"/>
  </w:num>
  <w:num w:numId="4">
    <w:abstractNumId w:val="33"/>
  </w:num>
  <w:num w:numId="5">
    <w:abstractNumId w:val="13"/>
  </w:num>
  <w:num w:numId="6">
    <w:abstractNumId w:val="11"/>
  </w:num>
  <w:num w:numId="7">
    <w:abstractNumId w:val="18"/>
  </w:num>
  <w:num w:numId="8">
    <w:abstractNumId w:val="25"/>
  </w:num>
  <w:num w:numId="9">
    <w:abstractNumId w:val="5"/>
  </w:num>
  <w:num w:numId="10">
    <w:abstractNumId w:val="6"/>
  </w:num>
  <w:num w:numId="11">
    <w:abstractNumId w:val="14"/>
  </w:num>
  <w:num w:numId="12">
    <w:abstractNumId w:val="9"/>
  </w:num>
  <w:num w:numId="13">
    <w:abstractNumId w:val="19"/>
  </w:num>
  <w:num w:numId="14">
    <w:abstractNumId w:val="1"/>
  </w:num>
  <w:num w:numId="15">
    <w:abstractNumId w:val="0"/>
  </w:num>
  <w:num w:numId="16">
    <w:abstractNumId w:val="34"/>
  </w:num>
  <w:num w:numId="17">
    <w:abstractNumId w:val="21"/>
  </w:num>
  <w:num w:numId="18">
    <w:abstractNumId w:val="4"/>
  </w:num>
  <w:num w:numId="19">
    <w:abstractNumId w:val="2"/>
  </w:num>
  <w:num w:numId="20">
    <w:abstractNumId w:val="2"/>
  </w:num>
  <w:num w:numId="21">
    <w:abstractNumId w:val="20"/>
  </w:num>
  <w:num w:numId="22">
    <w:abstractNumId w:val="15"/>
  </w:num>
  <w:num w:numId="23">
    <w:abstractNumId w:val="32"/>
  </w:num>
  <w:num w:numId="24">
    <w:abstractNumId w:val="3"/>
  </w:num>
  <w:num w:numId="25">
    <w:abstractNumId w:val="26"/>
  </w:num>
  <w:num w:numId="26">
    <w:abstractNumId w:val="36"/>
  </w:num>
  <w:num w:numId="27">
    <w:abstractNumId w:val="7"/>
  </w:num>
  <w:num w:numId="28">
    <w:abstractNumId w:val="31"/>
  </w:num>
  <w:num w:numId="29">
    <w:abstractNumId w:val="24"/>
  </w:num>
  <w:num w:numId="30">
    <w:abstractNumId w:val="17"/>
  </w:num>
  <w:num w:numId="31">
    <w:abstractNumId w:val="16"/>
  </w:num>
  <w:num w:numId="32">
    <w:abstractNumId w:val="28"/>
  </w:num>
  <w:num w:numId="33">
    <w:abstractNumId w:val="22"/>
  </w:num>
  <w:num w:numId="34">
    <w:abstractNumId w:val="29"/>
  </w:num>
  <w:num w:numId="35">
    <w:abstractNumId w:val="35"/>
  </w:num>
  <w:num w:numId="36">
    <w:abstractNumId w:val="30"/>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80"/>
    <w:rsid w:val="000237BA"/>
    <w:rsid w:val="000577DA"/>
    <w:rsid w:val="000828E0"/>
    <w:rsid w:val="000C2890"/>
    <w:rsid w:val="00146568"/>
    <w:rsid w:val="00170F66"/>
    <w:rsid w:val="00195679"/>
    <w:rsid w:val="001A30BC"/>
    <w:rsid w:val="001B6B35"/>
    <w:rsid w:val="001C6169"/>
    <w:rsid w:val="001D0556"/>
    <w:rsid w:val="001E482D"/>
    <w:rsid w:val="001F1B2D"/>
    <w:rsid w:val="0029607D"/>
    <w:rsid w:val="002C7571"/>
    <w:rsid w:val="002D31B8"/>
    <w:rsid w:val="002D392B"/>
    <w:rsid w:val="002D3A1A"/>
    <w:rsid w:val="002E3E5F"/>
    <w:rsid w:val="0030338D"/>
    <w:rsid w:val="00314ABD"/>
    <w:rsid w:val="00327D0E"/>
    <w:rsid w:val="00327F47"/>
    <w:rsid w:val="003B6536"/>
    <w:rsid w:val="003B6935"/>
    <w:rsid w:val="003C0252"/>
    <w:rsid w:val="003D5816"/>
    <w:rsid w:val="003E362C"/>
    <w:rsid w:val="003E6AE6"/>
    <w:rsid w:val="003F60DD"/>
    <w:rsid w:val="00471B5F"/>
    <w:rsid w:val="00473ABA"/>
    <w:rsid w:val="00476610"/>
    <w:rsid w:val="004851B3"/>
    <w:rsid w:val="004B301C"/>
    <w:rsid w:val="004D0D09"/>
    <w:rsid w:val="005129B9"/>
    <w:rsid w:val="00530E5B"/>
    <w:rsid w:val="00540C58"/>
    <w:rsid w:val="00552190"/>
    <w:rsid w:val="005764F0"/>
    <w:rsid w:val="00587045"/>
    <w:rsid w:val="005D1351"/>
    <w:rsid w:val="005F7BD8"/>
    <w:rsid w:val="0062683F"/>
    <w:rsid w:val="00654249"/>
    <w:rsid w:val="006718E5"/>
    <w:rsid w:val="00673C8A"/>
    <w:rsid w:val="00676556"/>
    <w:rsid w:val="006933B0"/>
    <w:rsid w:val="0070040D"/>
    <w:rsid w:val="007209FC"/>
    <w:rsid w:val="00726D72"/>
    <w:rsid w:val="00730E53"/>
    <w:rsid w:val="00787180"/>
    <w:rsid w:val="00787FFC"/>
    <w:rsid w:val="007C780C"/>
    <w:rsid w:val="007F0256"/>
    <w:rsid w:val="00825DE8"/>
    <w:rsid w:val="00833EA3"/>
    <w:rsid w:val="00835DFB"/>
    <w:rsid w:val="00857062"/>
    <w:rsid w:val="00863195"/>
    <w:rsid w:val="008941C2"/>
    <w:rsid w:val="008D7863"/>
    <w:rsid w:val="009447B9"/>
    <w:rsid w:val="00954EA8"/>
    <w:rsid w:val="00972291"/>
    <w:rsid w:val="009C5299"/>
    <w:rsid w:val="009F40F7"/>
    <w:rsid w:val="00A25EDD"/>
    <w:rsid w:val="00A556BA"/>
    <w:rsid w:val="00AB6913"/>
    <w:rsid w:val="00AC0FE1"/>
    <w:rsid w:val="00AE1825"/>
    <w:rsid w:val="00AE1B6D"/>
    <w:rsid w:val="00B06DD4"/>
    <w:rsid w:val="00B15E59"/>
    <w:rsid w:val="00B437D2"/>
    <w:rsid w:val="00B54EE7"/>
    <w:rsid w:val="00B626FA"/>
    <w:rsid w:val="00B868F3"/>
    <w:rsid w:val="00BB22E7"/>
    <w:rsid w:val="00BC294A"/>
    <w:rsid w:val="00BF0849"/>
    <w:rsid w:val="00BF3FB8"/>
    <w:rsid w:val="00C01213"/>
    <w:rsid w:val="00C02BC2"/>
    <w:rsid w:val="00C124AA"/>
    <w:rsid w:val="00C17AA2"/>
    <w:rsid w:val="00C3061D"/>
    <w:rsid w:val="00C53E61"/>
    <w:rsid w:val="00C75D08"/>
    <w:rsid w:val="00C92FD2"/>
    <w:rsid w:val="00CB660D"/>
    <w:rsid w:val="00CE7D98"/>
    <w:rsid w:val="00D10097"/>
    <w:rsid w:val="00D16600"/>
    <w:rsid w:val="00D862FE"/>
    <w:rsid w:val="00DC70B4"/>
    <w:rsid w:val="00E0622D"/>
    <w:rsid w:val="00E330C8"/>
    <w:rsid w:val="00E8492D"/>
    <w:rsid w:val="00E94179"/>
    <w:rsid w:val="00EE13E6"/>
    <w:rsid w:val="00F203E0"/>
    <w:rsid w:val="00F20C98"/>
    <w:rsid w:val="00F45F1B"/>
    <w:rsid w:val="00F60691"/>
    <w:rsid w:val="00F64096"/>
    <w:rsid w:val="00FD63E8"/>
    <w:rsid w:val="00FD7DFA"/>
    <w:rsid w:val="00FE5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35B3B"/>
  <w15:chartTrackingRefBased/>
  <w15:docId w15:val="{907ECEC1-6979-4A5E-A674-9BFBA31E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6600"/>
  </w:style>
  <w:style w:type="paragraph" w:styleId="Heading1">
    <w:name w:val="heading 1"/>
    <w:basedOn w:val="Normal"/>
    <w:next w:val="Normal"/>
    <w:link w:val="Heading1Char"/>
    <w:uiPriority w:val="9"/>
    <w:qFormat/>
    <w:rsid w:val="000237BA"/>
    <w:pPr>
      <w:keepNext/>
      <w:keepLines/>
      <w:spacing w:before="240" w:after="0"/>
      <w:outlineLvl w:val="0"/>
    </w:pPr>
    <w:rPr>
      <w:rFonts w:asciiTheme="majorHAnsi" w:eastAsiaTheme="majorEastAsia" w:hAnsiTheme="majorHAnsi" w:cstheme="majorBidi"/>
      <w:color w:val="005A34" w:themeColor="accent1" w:themeShade="BF"/>
      <w:sz w:val="32"/>
      <w:szCs w:val="32"/>
    </w:rPr>
  </w:style>
  <w:style w:type="paragraph" w:styleId="Heading2">
    <w:name w:val="heading 2"/>
    <w:basedOn w:val="Normal"/>
    <w:next w:val="Normal"/>
    <w:link w:val="Heading2Char"/>
    <w:uiPriority w:val="9"/>
    <w:unhideWhenUsed/>
    <w:qFormat/>
    <w:rsid w:val="000237BA"/>
    <w:pPr>
      <w:keepNext/>
      <w:keepLines/>
      <w:spacing w:before="40" w:after="0"/>
      <w:outlineLvl w:val="1"/>
    </w:pPr>
    <w:rPr>
      <w:rFonts w:asciiTheme="majorHAnsi" w:eastAsiaTheme="majorEastAsia" w:hAnsiTheme="majorHAnsi" w:cstheme="majorBidi"/>
      <w:color w:val="005A3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BA"/>
    <w:rPr>
      <w:rFonts w:asciiTheme="majorHAnsi" w:eastAsiaTheme="majorEastAsia" w:hAnsiTheme="majorHAnsi" w:cstheme="majorBidi"/>
      <w:color w:val="005A34" w:themeColor="accent1" w:themeShade="BF"/>
      <w:sz w:val="32"/>
      <w:szCs w:val="32"/>
    </w:rPr>
  </w:style>
  <w:style w:type="character" w:customStyle="1" w:styleId="Heading2Char">
    <w:name w:val="Heading 2 Char"/>
    <w:basedOn w:val="DefaultParagraphFont"/>
    <w:link w:val="Heading2"/>
    <w:uiPriority w:val="9"/>
    <w:rsid w:val="000237BA"/>
    <w:rPr>
      <w:rFonts w:asciiTheme="majorHAnsi" w:eastAsiaTheme="majorEastAsia" w:hAnsiTheme="majorHAnsi" w:cstheme="majorBidi"/>
      <w:color w:val="005A34" w:themeColor="accent1" w:themeShade="BF"/>
      <w:sz w:val="26"/>
      <w:szCs w:val="26"/>
    </w:rPr>
  </w:style>
  <w:style w:type="paragraph" w:styleId="Header">
    <w:name w:val="header"/>
    <w:basedOn w:val="Normal"/>
    <w:link w:val="HeaderChar"/>
    <w:uiPriority w:val="99"/>
    <w:unhideWhenUsed/>
    <w:rsid w:val="00530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5B"/>
  </w:style>
  <w:style w:type="paragraph" w:styleId="Footer">
    <w:name w:val="footer"/>
    <w:basedOn w:val="Normal"/>
    <w:link w:val="FooterChar"/>
    <w:uiPriority w:val="99"/>
    <w:unhideWhenUsed/>
    <w:rsid w:val="00530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5B"/>
  </w:style>
  <w:style w:type="table" w:styleId="TableGrid">
    <w:name w:val="Table Grid"/>
    <w:basedOn w:val="TableNormal"/>
    <w:uiPriority w:val="59"/>
    <w:rsid w:val="0067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8E5"/>
    <w:pPr>
      <w:spacing w:after="160" w:line="259" w:lineRule="auto"/>
      <w:ind w:left="720"/>
      <w:contextualSpacing/>
    </w:pPr>
  </w:style>
  <w:style w:type="character" w:styleId="Hyperlink">
    <w:name w:val="Hyperlink"/>
    <w:basedOn w:val="DefaultParagraphFont"/>
    <w:uiPriority w:val="99"/>
    <w:unhideWhenUsed/>
    <w:rsid w:val="00476610"/>
    <w:rPr>
      <w:color w:val="0000FF"/>
      <w:u w:val="single"/>
    </w:rPr>
  </w:style>
  <w:style w:type="paragraph" w:styleId="NormalWeb">
    <w:name w:val="Normal (Web)"/>
    <w:basedOn w:val="Normal"/>
    <w:uiPriority w:val="99"/>
    <w:semiHidden/>
    <w:unhideWhenUsed/>
    <w:rsid w:val="00BF3F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BF3FB8"/>
  </w:style>
  <w:style w:type="table" w:styleId="TableGridLight">
    <w:name w:val="Grid Table Light"/>
    <w:basedOn w:val="TableNormal"/>
    <w:uiPriority w:val="40"/>
    <w:rsid w:val="002960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F0256"/>
    <w:pPr>
      <w:spacing w:after="0" w:line="240" w:lineRule="auto"/>
    </w:pPr>
    <w:rPr>
      <w:rFonts w:ascii="Calibri" w:hAnsi="Calibri" w:cs="Times New Roman"/>
      <w:lang w:eastAsia="en-AU"/>
    </w:rPr>
  </w:style>
  <w:style w:type="character" w:styleId="UnresolvedMention">
    <w:name w:val="Unresolved Mention"/>
    <w:basedOn w:val="DefaultParagraphFont"/>
    <w:uiPriority w:val="99"/>
    <w:semiHidden/>
    <w:unhideWhenUsed/>
    <w:rsid w:val="00833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567">
      <w:bodyDiv w:val="1"/>
      <w:marLeft w:val="0"/>
      <w:marRight w:val="0"/>
      <w:marTop w:val="0"/>
      <w:marBottom w:val="0"/>
      <w:divBdr>
        <w:top w:val="none" w:sz="0" w:space="0" w:color="auto"/>
        <w:left w:val="none" w:sz="0" w:space="0" w:color="auto"/>
        <w:bottom w:val="none" w:sz="0" w:space="0" w:color="auto"/>
        <w:right w:val="none" w:sz="0" w:space="0" w:color="auto"/>
      </w:divBdr>
    </w:div>
    <w:div w:id="375159711">
      <w:bodyDiv w:val="1"/>
      <w:marLeft w:val="0"/>
      <w:marRight w:val="0"/>
      <w:marTop w:val="0"/>
      <w:marBottom w:val="0"/>
      <w:divBdr>
        <w:top w:val="none" w:sz="0" w:space="0" w:color="auto"/>
        <w:left w:val="none" w:sz="0" w:space="0" w:color="auto"/>
        <w:bottom w:val="none" w:sz="0" w:space="0" w:color="auto"/>
        <w:right w:val="none" w:sz="0" w:space="0" w:color="auto"/>
      </w:divBdr>
    </w:div>
    <w:div w:id="421148443">
      <w:bodyDiv w:val="1"/>
      <w:marLeft w:val="0"/>
      <w:marRight w:val="0"/>
      <w:marTop w:val="0"/>
      <w:marBottom w:val="0"/>
      <w:divBdr>
        <w:top w:val="none" w:sz="0" w:space="0" w:color="auto"/>
        <w:left w:val="none" w:sz="0" w:space="0" w:color="auto"/>
        <w:bottom w:val="none" w:sz="0" w:space="0" w:color="auto"/>
        <w:right w:val="none" w:sz="0" w:space="0" w:color="auto"/>
      </w:divBdr>
    </w:div>
    <w:div w:id="446899949">
      <w:bodyDiv w:val="1"/>
      <w:marLeft w:val="0"/>
      <w:marRight w:val="0"/>
      <w:marTop w:val="0"/>
      <w:marBottom w:val="0"/>
      <w:divBdr>
        <w:top w:val="none" w:sz="0" w:space="0" w:color="auto"/>
        <w:left w:val="none" w:sz="0" w:space="0" w:color="auto"/>
        <w:bottom w:val="none" w:sz="0" w:space="0" w:color="auto"/>
        <w:right w:val="none" w:sz="0" w:space="0" w:color="auto"/>
      </w:divBdr>
    </w:div>
    <w:div w:id="583298418">
      <w:bodyDiv w:val="1"/>
      <w:marLeft w:val="0"/>
      <w:marRight w:val="0"/>
      <w:marTop w:val="0"/>
      <w:marBottom w:val="0"/>
      <w:divBdr>
        <w:top w:val="none" w:sz="0" w:space="0" w:color="auto"/>
        <w:left w:val="none" w:sz="0" w:space="0" w:color="auto"/>
        <w:bottom w:val="none" w:sz="0" w:space="0" w:color="auto"/>
        <w:right w:val="none" w:sz="0" w:space="0" w:color="auto"/>
      </w:divBdr>
    </w:div>
    <w:div w:id="701320640">
      <w:bodyDiv w:val="1"/>
      <w:marLeft w:val="0"/>
      <w:marRight w:val="0"/>
      <w:marTop w:val="0"/>
      <w:marBottom w:val="0"/>
      <w:divBdr>
        <w:top w:val="none" w:sz="0" w:space="0" w:color="auto"/>
        <w:left w:val="none" w:sz="0" w:space="0" w:color="auto"/>
        <w:bottom w:val="none" w:sz="0" w:space="0" w:color="auto"/>
        <w:right w:val="none" w:sz="0" w:space="0" w:color="auto"/>
      </w:divBdr>
    </w:div>
    <w:div w:id="759059074">
      <w:bodyDiv w:val="1"/>
      <w:marLeft w:val="0"/>
      <w:marRight w:val="0"/>
      <w:marTop w:val="0"/>
      <w:marBottom w:val="0"/>
      <w:divBdr>
        <w:top w:val="none" w:sz="0" w:space="0" w:color="auto"/>
        <w:left w:val="none" w:sz="0" w:space="0" w:color="auto"/>
        <w:bottom w:val="none" w:sz="0" w:space="0" w:color="auto"/>
        <w:right w:val="none" w:sz="0" w:space="0" w:color="auto"/>
      </w:divBdr>
    </w:div>
    <w:div w:id="770516425">
      <w:bodyDiv w:val="1"/>
      <w:marLeft w:val="0"/>
      <w:marRight w:val="0"/>
      <w:marTop w:val="0"/>
      <w:marBottom w:val="0"/>
      <w:divBdr>
        <w:top w:val="none" w:sz="0" w:space="0" w:color="auto"/>
        <w:left w:val="none" w:sz="0" w:space="0" w:color="auto"/>
        <w:bottom w:val="none" w:sz="0" w:space="0" w:color="auto"/>
        <w:right w:val="none" w:sz="0" w:space="0" w:color="auto"/>
      </w:divBdr>
    </w:div>
    <w:div w:id="779883565">
      <w:bodyDiv w:val="1"/>
      <w:marLeft w:val="0"/>
      <w:marRight w:val="0"/>
      <w:marTop w:val="0"/>
      <w:marBottom w:val="0"/>
      <w:divBdr>
        <w:top w:val="none" w:sz="0" w:space="0" w:color="auto"/>
        <w:left w:val="none" w:sz="0" w:space="0" w:color="auto"/>
        <w:bottom w:val="none" w:sz="0" w:space="0" w:color="auto"/>
        <w:right w:val="none" w:sz="0" w:space="0" w:color="auto"/>
      </w:divBdr>
    </w:div>
    <w:div w:id="1023289905">
      <w:bodyDiv w:val="1"/>
      <w:marLeft w:val="0"/>
      <w:marRight w:val="0"/>
      <w:marTop w:val="0"/>
      <w:marBottom w:val="0"/>
      <w:divBdr>
        <w:top w:val="none" w:sz="0" w:space="0" w:color="auto"/>
        <w:left w:val="none" w:sz="0" w:space="0" w:color="auto"/>
        <w:bottom w:val="none" w:sz="0" w:space="0" w:color="auto"/>
        <w:right w:val="none" w:sz="0" w:space="0" w:color="auto"/>
      </w:divBdr>
    </w:div>
    <w:div w:id="1135946686">
      <w:bodyDiv w:val="1"/>
      <w:marLeft w:val="0"/>
      <w:marRight w:val="0"/>
      <w:marTop w:val="0"/>
      <w:marBottom w:val="0"/>
      <w:divBdr>
        <w:top w:val="none" w:sz="0" w:space="0" w:color="auto"/>
        <w:left w:val="none" w:sz="0" w:space="0" w:color="auto"/>
        <w:bottom w:val="none" w:sz="0" w:space="0" w:color="auto"/>
        <w:right w:val="none" w:sz="0" w:space="0" w:color="auto"/>
      </w:divBdr>
    </w:div>
    <w:div w:id="1155494670">
      <w:bodyDiv w:val="1"/>
      <w:marLeft w:val="0"/>
      <w:marRight w:val="0"/>
      <w:marTop w:val="0"/>
      <w:marBottom w:val="0"/>
      <w:divBdr>
        <w:top w:val="none" w:sz="0" w:space="0" w:color="auto"/>
        <w:left w:val="none" w:sz="0" w:space="0" w:color="auto"/>
        <w:bottom w:val="none" w:sz="0" w:space="0" w:color="auto"/>
        <w:right w:val="none" w:sz="0" w:space="0" w:color="auto"/>
      </w:divBdr>
    </w:div>
    <w:div w:id="1301307929">
      <w:bodyDiv w:val="1"/>
      <w:marLeft w:val="0"/>
      <w:marRight w:val="0"/>
      <w:marTop w:val="0"/>
      <w:marBottom w:val="0"/>
      <w:divBdr>
        <w:top w:val="none" w:sz="0" w:space="0" w:color="auto"/>
        <w:left w:val="none" w:sz="0" w:space="0" w:color="auto"/>
        <w:bottom w:val="none" w:sz="0" w:space="0" w:color="auto"/>
        <w:right w:val="none" w:sz="0" w:space="0" w:color="auto"/>
      </w:divBdr>
    </w:div>
    <w:div w:id="1642418084">
      <w:bodyDiv w:val="1"/>
      <w:marLeft w:val="0"/>
      <w:marRight w:val="0"/>
      <w:marTop w:val="0"/>
      <w:marBottom w:val="0"/>
      <w:divBdr>
        <w:top w:val="none" w:sz="0" w:space="0" w:color="auto"/>
        <w:left w:val="none" w:sz="0" w:space="0" w:color="auto"/>
        <w:bottom w:val="none" w:sz="0" w:space="0" w:color="auto"/>
        <w:right w:val="none" w:sz="0" w:space="0" w:color="auto"/>
      </w:divBdr>
    </w:div>
    <w:div w:id="2025670779">
      <w:bodyDiv w:val="1"/>
      <w:marLeft w:val="0"/>
      <w:marRight w:val="0"/>
      <w:marTop w:val="0"/>
      <w:marBottom w:val="0"/>
      <w:divBdr>
        <w:top w:val="none" w:sz="0" w:space="0" w:color="auto"/>
        <w:left w:val="none" w:sz="0" w:space="0" w:color="auto"/>
        <w:bottom w:val="none" w:sz="0" w:space="0" w:color="auto"/>
        <w:right w:val="none" w:sz="0" w:space="0" w:color="auto"/>
      </w:divBdr>
    </w:div>
    <w:div w:id="21125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aegt.net.au"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n\Downloads\Simple%20Doc%20Template%20AAEGT%20for%20agendas.dotx" TargetMode="External"/></Relationships>
</file>

<file path=word/theme/theme1.xml><?xml version="1.0" encoding="utf-8"?>
<a:theme xmlns:a="http://schemas.openxmlformats.org/drawingml/2006/main" name="Facet">
  <a:themeElements>
    <a:clrScheme name="AAEGT">
      <a:dk1>
        <a:sysClr val="windowText" lastClr="000000"/>
      </a:dk1>
      <a:lt1>
        <a:sysClr val="window" lastClr="FFFFFF"/>
      </a:lt1>
      <a:dk2>
        <a:srgbClr val="455F51"/>
      </a:dk2>
      <a:lt2>
        <a:srgbClr val="E3DED1"/>
      </a:lt2>
      <a:accent1>
        <a:srgbClr val="007947"/>
      </a:accent1>
      <a:accent2>
        <a:srgbClr val="00C475"/>
      </a:accent2>
      <a:accent3>
        <a:srgbClr val="FFCC23"/>
      </a:accent3>
      <a:accent4>
        <a:srgbClr val="FFEAA7"/>
      </a:accent4>
      <a:accent5>
        <a:srgbClr val="56BCBA"/>
      </a:accent5>
      <a:accent6>
        <a:srgbClr val="AFDFDE"/>
      </a:accent6>
      <a:hlink>
        <a:srgbClr val="004F2F"/>
      </a:hlink>
      <a:folHlink>
        <a:srgbClr val="FFCC23"/>
      </a:folHlink>
    </a:clrScheme>
    <a:fontScheme name="AAEGT">
      <a:majorFont>
        <a:latin typeface="Verdana"/>
        <a:ea typeface=""/>
        <a:cs typeface=""/>
      </a:majorFont>
      <a:minorFont>
        <a:latin typeface="Arial"/>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Simple Doc Template AAEGT for agendas.dotx</Template>
  <TotalTime>1</TotalTime>
  <Pages>2</Pages>
  <Words>2853</Words>
  <Characters>16265</Characters>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2020-12-01T23:20:00Z</dcterms:created>
  <dcterms:modified xsi:type="dcterms:W3CDTF">2020-12-01T23:20:00Z</dcterms:modified>
</cp:coreProperties>
</file>