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97116495"/>
        <w:docPartObj>
          <w:docPartGallery w:val="Cover Pages"/>
          <w:docPartUnique/>
        </w:docPartObj>
      </w:sdtPr>
      <w:sdtEndPr>
        <w:rPr>
          <w:rFonts w:eastAsia="+mn-ea"/>
          <w:b/>
          <w:bCs/>
          <w:color w:val="C4262E"/>
          <w:kern w:val="24"/>
          <w:sz w:val="48"/>
          <w:szCs w:val="48"/>
          <w:lang w:eastAsia="zh-CN"/>
        </w:rPr>
      </w:sdtEndPr>
      <w:sdtContent>
        <w:p w14:paraId="71EE99FC" w14:textId="35C97A22" w:rsidR="00AB590C" w:rsidRDefault="00AB590C">
          <w:pPr>
            <w:pStyle w:val="Header"/>
          </w:pPr>
        </w:p>
        <w:p w14:paraId="6996591F" w14:textId="77777777" w:rsidR="00AB590C" w:rsidRDefault="00AB590C">
          <w:pPr>
            <w:spacing w:after="0" w:line="240" w:lineRule="auto"/>
            <w:rPr>
              <w:rFonts w:eastAsia="+mn-ea"/>
              <w:b/>
              <w:bCs/>
              <w:color w:val="C4262E"/>
              <w:kern w:val="24"/>
              <w:sz w:val="48"/>
              <w:szCs w:val="48"/>
              <w:lang w:eastAsia="zh-CN"/>
            </w:rPr>
          </w:pPr>
          <w:r>
            <w:rPr>
              <w:rFonts w:eastAsia="+mn-ea"/>
              <w:b/>
              <w:bCs/>
              <w:color w:val="C4262E"/>
              <w:kern w:val="24"/>
              <w:sz w:val="48"/>
              <w:szCs w:val="48"/>
              <w:lang w:eastAsia="zh-CN"/>
            </w:rPr>
            <w:br w:type="page"/>
          </w:r>
        </w:p>
      </w:sdtContent>
    </w:sdt>
    <w:p w14:paraId="47E5EEC6" w14:textId="77777777" w:rsidR="009559E1" w:rsidRPr="003A3FBA" w:rsidRDefault="009559E1" w:rsidP="00054EAB">
      <w:pPr>
        <w:spacing w:line="240" w:lineRule="auto"/>
        <w:rPr>
          <w:sz w:val="2"/>
        </w:rPr>
      </w:pPr>
    </w:p>
    <w:p w14:paraId="5B060D13" w14:textId="77777777" w:rsidR="006929DC" w:rsidRPr="00E1686D" w:rsidRDefault="006929DC" w:rsidP="006929DC">
      <w:pPr>
        <w:pStyle w:val="NormalWeb"/>
        <w:spacing w:before="0" w:beforeAutospacing="0" w:after="0" w:afterAutospacing="0"/>
        <w:jc w:val="center"/>
        <w:rPr>
          <w:rFonts w:ascii="Arial" w:eastAsia="+mn-ea" w:hAnsi="Arial" w:cs="Arial"/>
          <w:b/>
          <w:bCs/>
          <w:color w:val="C4262E"/>
          <w:kern w:val="24"/>
          <w:sz w:val="48"/>
          <w:szCs w:val="48"/>
        </w:rPr>
      </w:pPr>
      <w:r w:rsidRPr="00E1686D">
        <w:rPr>
          <w:rFonts w:ascii="Arial" w:eastAsia="+mn-ea" w:hAnsi="Arial" w:cs="Arial"/>
          <w:b/>
          <w:bCs/>
          <w:color w:val="C4262E"/>
          <w:kern w:val="24"/>
          <w:sz w:val="48"/>
          <w:szCs w:val="48"/>
        </w:rPr>
        <w:t xml:space="preserve">TAFE Queensland Submission to the </w:t>
      </w:r>
      <w:r w:rsidR="00A85A16">
        <w:rPr>
          <w:rFonts w:ascii="Arial" w:eastAsia="+mn-ea" w:hAnsi="Arial" w:cs="Arial"/>
          <w:b/>
          <w:bCs/>
          <w:color w:val="C4262E"/>
          <w:kern w:val="24"/>
          <w:sz w:val="48"/>
          <w:szCs w:val="48"/>
        </w:rPr>
        <w:t>Australian Government Department of Education and Training</w:t>
      </w:r>
    </w:p>
    <w:p w14:paraId="1230885E" w14:textId="77777777" w:rsidR="006929DC" w:rsidRPr="00FF03B4" w:rsidRDefault="006929DC" w:rsidP="006929DC">
      <w:pPr>
        <w:pStyle w:val="Body"/>
        <w:jc w:val="center"/>
        <w:rPr>
          <w:rFonts w:asciiTheme="minorHAnsi" w:eastAsia="Arial Bold" w:hAnsiTheme="minorHAnsi" w:cstheme="minorHAnsi"/>
          <w:sz w:val="36"/>
          <w:szCs w:val="36"/>
        </w:rPr>
      </w:pPr>
    </w:p>
    <w:p w14:paraId="6A257073" w14:textId="2C578E69" w:rsidR="006929DC" w:rsidRDefault="006628DE" w:rsidP="0025203A">
      <w:pPr>
        <w:pStyle w:val="Body"/>
        <w:spacing w:after="5400"/>
        <w:jc w:val="center"/>
        <w:rPr>
          <w:b/>
          <w:bCs/>
          <w:color w:val="DB113A"/>
          <w:sz w:val="18"/>
          <w:szCs w:val="18"/>
          <w:u w:color="DB113A"/>
          <w:lang w:val="en-US"/>
        </w:rPr>
      </w:pPr>
      <w:r w:rsidRPr="00E1686D">
        <w:rPr>
          <w:rFonts w:ascii="Arial" w:hAnsi="Arial" w:cs="Arial"/>
          <w:b/>
          <w:sz w:val="48"/>
          <w:szCs w:val="48"/>
          <w:lang w:val="pt-PT"/>
        </w:rPr>
        <w:t>Independent Review into Regional, Rural and Remote Education</w:t>
      </w:r>
    </w:p>
    <w:p w14:paraId="3957DABF" w14:textId="77777777" w:rsidR="006929DC" w:rsidRPr="00E1686D" w:rsidRDefault="006929DC" w:rsidP="006929DC">
      <w:pPr>
        <w:pStyle w:val="Body"/>
        <w:widowControl w:val="0"/>
        <w:tabs>
          <w:tab w:val="left" w:pos="284"/>
        </w:tabs>
        <w:suppressAutoHyphens/>
        <w:spacing w:line="240" w:lineRule="auto"/>
        <w:ind w:left="7044" w:hanging="284"/>
        <w:rPr>
          <w:rFonts w:ascii="Arial" w:hAnsi="Arial" w:cs="Arial"/>
          <w:sz w:val="16"/>
          <w:szCs w:val="16"/>
          <w:lang w:val="en-US"/>
        </w:rPr>
      </w:pPr>
      <w:r w:rsidRPr="00E1686D">
        <w:rPr>
          <w:rFonts w:ascii="Arial" w:hAnsi="Arial" w:cs="Arial"/>
          <w:b/>
          <w:bCs/>
          <w:color w:val="DB113A"/>
          <w:sz w:val="16"/>
          <w:szCs w:val="16"/>
          <w:u w:color="DB113A"/>
          <w:lang w:val="en-US"/>
        </w:rPr>
        <w:t>A:</w:t>
      </w:r>
      <w:r w:rsidRPr="00E1686D">
        <w:rPr>
          <w:rFonts w:ascii="Arial" w:hAnsi="Arial" w:cs="Arial"/>
          <w:sz w:val="16"/>
          <w:szCs w:val="16"/>
          <w:lang w:val="en-US"/>
        </w:rPr>
        <w:tab/>
        <w:t>Level 9, 133 Mary Street</w:t>
      </w:r>
      <w:r w:rsidRPr="00E1686D">
        <w:rPr>
          <w:rFonts w:ascii="Arial" w:hAnsi="Arial" w:cs="Arial"/>
          <w:sz w:val="16"/>
          <w:szCs w:val="16"/>
          <w:lang w:val="en-US"/>
        </w:rPr>
        <w:br/>
        <w:t>Brisbane Queensland 4000</w:t>
      </w:r>
    </w:p>
    <w:p w14:paraId="7A6FAB99" w14:textId="77777777" w:rsidR="006929DC" w:rsidRPr="00E1686D" w:rsidRDefault="006929DC" w:rsidP="006929DC">
      <w:pPr>
        <w:pStyle w:val="Body"/>
        <w:widowControl w:val="0"/>
        <w:tabs>
          <w:tab w:val="left" w:pos="284"/>
        </w:tabs>
        <w:suppressAutoHyphens/>
        <w:spacing w:line="240" w:lineRule="auto"/>
        <w:ind w:left="7040" w:hanging="280"/>
        <w:rPr>
          <w:rFonts w:ascii="Arial" w:hAnsi="Arial" w:cs="Arial"/>
          <w:sz w:val="16"/>
          <w:szCs w:val="16"/>
          <w:lang w:val="en-US"/>
        </w:rPr>
      </w:pPr>
      <w:r w:rsidRPr="00E1686D">
        <w:rPr>
          <w:rFonts w:ascii="Arial" w:hAnsi="Arial" w:cs="Arial"/>
          <w:b/>
          <w:bCs/>
          <w:color w:val="DB113A"/>
          <w:sz w:val="16"/>
          <w:szCs w:val="16"/>
          <w:u w:color="DB113A"/>
          <w:lang w:val="en-US"/>
        </w:rPr>
        <w:t>P:</w:t>
      </w:r>
      <w:r w:rsidRPr="00E1686D">
        <w:rPr>
          <w:rFonts w:ascii="Arial" w:hAnsi="Arial" w:cs="Arial"/>
          <w:sz w:val="16"/>
          <w:szCs w:val="16"/>
          <w:lang w:val="en-US"/>
        </w:rPr>
        <w:tab/>
        <w:t>PO Box 16100</w:t>
      </w:r>
      <w:r w:rsidRPr="00E1686D">
        <w:rPr>
          <w:rFonts w:ascii="Arial" w:hAnsi="Arial" w:cs="Arial"/>
          <w:sz w:val="16"/>
          <w:szCs w:val="16"/>
          <w:lang w:val="en-US"/>
        </w:rPr>
        <w:br/>
        <w:t>City East Queensland 4002</w:t>
      </w:r>
    </w:p>
    <w:p w14:paraId="0A6E77CF" w14:textId="77777777" w:rsidR="0025203A" w:rsidRDefault="006929DC" w:rsidP="0025203A">
      <w:pPr>
        <w:pStyle w:val="Body"/>
        <w:widowControl w:val="0"/>
        <w:tabs>
          <w:tab w:val="left" w:pos="284"/>
        </w:tabs>
        <w:suppressAutoHyphens/>
        <w:spacing w:after="0" w:line="240" w:lineRule="auto"/>
        <w:ind w:left="6759"/>
        <w:rPr>
          <w:rFonts w:ascii="Arial" w:hAnsi="Arial" w:cs="Arial"/>
          <w:sz w:val="16"/>
          <w:szCs w:val="16"/>
          <w:lang w:val="en-US"/>
        </w:rPr>
      </w:pPr>
      <w:r w:rsidRPr="00E1686D">
        <w:rPr>
          <w:rFonts w:ascii="Arial" w:hAnsi="Arial" w:cs="Arial"/>
          <w:b/>
          <w:bCs/>
          <w:color w:val="DB113A"/>
          <w:sz w:val="16"/>
          <w:szCs w:val="16"/>
          <w:u w:color="DB113A"/>
          <w:lang w:val="en-US"/>
        </w:rPr>
        <w:t>W:</w:t>
      </w:r>
      <w:r w:rsidRPr="00E1686D">
        <w:rPr>
          <w:rFonts w:ascii="Arial" w:hAnsi="Arial" w:cs="Arial"/>
          <w:sz w:val="16"/>
          <w:szCs w:val="16"/>
          <w:lang w:val="en-US"/>
        </w:rPr>
        <w:t xml:space="preserve">   tafeqld.edu.au</w:t>
      </w:r>
    </w:p>
    <w:p w14:paraId="7291E0F0" w14:textId="37CB39A0" w:rsidR="006929DC" w:rsidRDefault="006929DC" w:rsidP="0025203A">
      <w:pPr>
        <w:pStyle w:val="Body"/>
        <w:widowControl w:val="0"/>
        <w:tabs>
          <w:tab w:val="left" w:pos="284"/>
        </w:tabs>
        <w:suppressAutoHyphens/>
        <w:spacing w:after="0" w:line="240" w:lineRule="auto"/>
        <w:ind w:left="6759"/>
        <w:rPr>
          <w:rFonts w:ascii="Arial" w:hAnsi="Arial" w:cs="Arial"/>
          <w:sz w:val="16"/>
          <w:szCs w:val="16"/>
          <w:lang w:val="en-US"/>
        </w:rPr>
      </w:pPr>
      <w:r w:rsidRPr="00E1686D">
        <w:rPr>
          <w:rFonts w:ascii="Arial" w:hAnsi="Arial" w:cs="Arial"/>
          <w:sz w:val="16"/>
          <w:szCs w:val="16"/>
          <w:lang w:val="en-US"/>
        </w:rPr>
        <w:t>ABN 72 898 805 093</w:t>
      </w:r>
    </w:p>
    <w:p w14:paraId="6835E7BB" w14:textId="77777777" w:rsidR="005D7257" w:rsidRPr="00E1686D" w:rsidRDefault="005D7257" w:rsidP="006929DC">
      <w:pPr>
        <w:pStyle w:val="Body"/>
        <w:widowControl w:val="0"/>
        <w:tabs>
          <w:tab w:val="left" w:pos="284"/>
        </w:tabs>
        <w:suppressAutoHyphens/>
        <w:spacing w:after="0" w:line="240" w:lineRule="auto"/>
        <w:ind w:left="6759"/>
        <w:rPr>
          <w:rFonts w:ascii="Arial" w:hAnsi="Arial" w:cs="Arial"/>
          <w:sz w:val="16"/>
          <w:szCs w:val="16"/>
          <w:lang w:val="en-US"/>
        </w:rPr>
      </w:pPr>
    </w:p>
    <w:p w14:paraId="070E0DF0" w14:textId="5561C3BA" w:rsidR="006929DC" w:rsidRPr="00E1686D" w:rsidRDefault="00C67944" w:rsidP="006929DC">
      <w:pPr>
        <w:pStyle w:val="Default"/>
        <w:pBdr>
          <w:top w:val="single" w:sz="4" w:space="1" w:color="auto"/>
        </w:pBdr>
        <w:jc w:val="both"/>
        <w:rPr>
          <w:rFonts w:ascii="Arial" w:eastAsia="Times New Roman" w:hAnsi="Arial" w:cs="Arial"/>
          <w:sz w:val="18"/>
          <w:szCs w:val="18"/>
          <w:lang w:val="en"/>
        </w:rPr>
      </w:pPr>
      <w:proofErr w:type="spellStart"/>
      <w:r w:rsidRPr="005D7257">
        <w:rPr>
          <w:rFonts w:ascii="Arial" w:eastAsia="Times New Roman" w:hAnsi="Arial" w:cs="Arial"/>
          <w:sz w:val="18"/>
          <w:szCs w:val="18"/>
          <w:lang w:val="en"/>
        </w:rPr>
        <w:t>Authorised</w:t>
      </w:r>
      <w:proofErr w:type="spellEnd"/>
      <w:r w:rsidR="006929DC" w:rsidRPr="005D7257">
        <w:rPr>
          <w:rFonts w:ascii="Arial" w:eastAsia="Times New Roman" w:hAnsi="Arial" w:cs="Arial"/>
          <w:sz w:val="18"/>
          <w:szCs w:val="18"/>
          <w:lang w:val="en"/>
        </w:rPr>
        <w:t xml:space="preserve"> by:</w:t>
      </w:r>
      <w:r w:rsidR="00153913" w:rsidRPr="005D7257">
        <w:rPr>
          <w:rFonts w:ascii="Arial" w:eastAsia="Times New Roman" w:hAnsi="Arial" w:cs="Arial"/>
          <w:sz w:val="18"/>
          <w:szCs w:val="18"/>
          <w:lang w:val="en"/>
        </w:rPr>
        <w:t xml:space="preserve"> </w:t>
      </w:r>
    </w:p>
    <w:p w14:paraId="4139702D" w14:textId="4B4D1BF2" w:rsidR="006929DC" w:rsidRPr="00E1686D" w:rsidRDefault="005D7257" w:rsidP="006929DC">
      <w:pPr>
        <w:pStyle w:val="Default"/>
        <w:jc w:val="both"/>
        <w:rPr>
          <w:rFonts w:ascii="Arial" w:eastAsia="Times New Roman" w:hAnsi="Arial" w:cs="Arial"/>
          <w:sz w:val="18"/>
          <w:szCs w:val="18"/>
          <w:lang w:val="en"/>
        </w:rPr>
      </w:pPr>
      <w:r>
        <w:rPr>
          <w:rFonts w:ascii="Arial" w:eastAsia="Times New Roman" w:hAnsi="Arial" w:cs="Arial"/>
          <w:sz w:val="18"/>
          <w:szCs w:val="18"/>
          <w:lang w:val="en"/>
        </w:rPr>
        <w:t xml:space="preserve">Robert </w:t>
      </w:r>
      <w:proofErr w:type="spellStart"/>
      <w:r>
        <w:rPr>
          <w:rFonts w:ascii="Arial" w:eastAsia="Times New Roman" w:hAnsi="Arial" w:cs="Arial"/>
          <w:sz w:val="18"/>
          <w:szCs w:val="18"/>
          <w:lang w:val="en"/>
        </w:rPr>
        <w:t>Petherbridge</w:t>
      </w:r>
      <w:proofErr w:type="spellEnd"/>
      <w:r>
        <w:rPr>
          <w:rFonts w:ascii="Arial" w:eastAsia="Times New Roman" w:hAnsi="Arial" w:cs="Arial"/>
          <w:sz w:val="18"/>
          <w:szCs w:val="18"/>
          <w:lang w:val="en"/>
        </w:rPr>
        <w:t xml:space="preserve">, Executive Director, TAFE Queensland. </w:t>
      </w:r>
    </w:p>
    <w:p w14:paraId="53914CD5" w14:textId="77777777" w:rsidR="006929DC" w:rsidRPr="00E1686D" w:rsidRDefault="006929DC" w:rsidP="006929DC">
      <w:pPr>
        <w:pStyle w:val="Default"/>
        <w:jc w:val="both"/>
        <w:rPr>
          <w:rFonts w:ascii="Arial" w:eastAsia="Times New Roman" w:hAnsi="Arial" w:cs="Arial"/>
          <w:sz w:val="18"/>
          <w:szCs w:val="18"/>
          <w:lang w:val="en"/>
        </w:rPr>
      </w:pPr>
    </w:p>
    <w:p w14:paraId="083D6318" w14:textId="77777777" w:rsidR="006929DC" w:rsidRPr="00E1686D" w:rsidRDefault="00AB590C" w:rsidP="006929DC">
      <w:pPr>
        <w:pStyle w:val="Default"/>
        <w:jc w:val="both"/>
        <w:rPr>
          <w:rFonts w:ascii="Arial" w:eastAsia="Times New Roman" w:hAnsi="Arial" w:cs="Arial"/>
          <w:sz w:val="18"/>
          <w:szCs w:val="18"/>
          <w:lang w:val="en"/>
        </w:rPr>
      </w:pPr>
      <w:r w:rsidRPr="00E1686D">
        <w:rPr>
          <w:rFonts w:ascii="Arial" w:eastAsia="Times New Roman" w:hAnsi="Arial" w:cs="Arial"/>
          <w:sz w:val="18"/>
          <w:szCs w:val="18"/>
          <w:lang w:val="en"/>
        </w:rPr>
        <w:t>© TAFE Queensland 2017</w:t>
      </w:r>
    </w:p>
    <w:p w14:paraId="360F4FC9" w14:textId="77777777" w:rsidR="006929DC" w:rsidRPr="00E1686D" w:rsidRDefault="006929DC" w:rsidP="006929DC">
      <w:pPr>
        <w:pStyle w:val="Default"/>
        <w:jc w:val="both"/>
        <w:rPr>
          <w:rFonts w:ascii="Arial" w:eastAsia="Times New Roman" w:hAnsi="Arial" w:cs="Arial"/>
          <w:sz w:val="18"/>
          <w:szCs w:val="18"/>
          <w:lang w:val="en"/>
        </w:rPr>
      </w:pPr>
      <w:r w:rsidRPr="00E1686D">
        <w:rPr>
          <w:rFonts w:ascii="Arial" w:eastAsia="Times New Roman" w:hAnsi="Arial" w:cs="Arial"/>
          <w:sz w:val="18"/>
          <w:szCs w:val="18"/>
          <w:lang w:val="en"/>
        </w:rPr>
        <w:t xml:space="preserve">Copyright inquiries should be addressed to TAFE Queensland, PO Box </w:t>
      </w:r>
      <w:r w:rsidR="00AB590C" w:rsidRPr="00E1686D">
        <w:rPr>
          <w:rFonts w:ascii="Arial" w:eastAsia="Times New Roman" w:hAnsi="Arial" w:cs="Arial"/>
          <w:sz w:val="18"/>
          <w:szCs w:val="18"/>
          <w:lang w:val="en"/>
        </w:rPr>
        <w:t>16100</w:t>
      </w:r>
      <w:r w:rsidRPr="00E1686D">
        <w:rPr>
          <w:rFonts w:ascii="Arial" w:eastAsia="Times New Roman" w:hAnsi="Arial" w:cs="Arial"/>
          <w:sz w:val="18"/>
          <w:szCs w:val="18"/>
          <w:lang w:val="en"/>
        </w:rPr>
        <w:t>, City East, Queensland, 4002.</w:t>
      </w:r>
    </w:p>
    <w:p w14:paraId="0474911D" w14:textId="77777777" w:rsidR="006929DC" w:rsidRPr="00E1686D" w:rsidRDefault="006929DC" w:rsidP="006929DC">
      <w:pPr>
        <w:pStyle w:val="Default"/>
        <w:jc w:val="both"/>
        <w:rPr>
          <w:rFonts w:ascii="Arial" w:eastAsia="Times New Roman" w:hAnsi="Arial" w:cs="Arial"/>
          <w:sz w:val="18"/>
          <w:szCs w:val="18"/>
          <w:lang w:val="en"/>
        </w:rPr>
      </w:pPr>
    </w:p>
    <w:p w14:paraId="06EFB6C4" w14:textId="77777777" w:rsidR="006929DC" w:rsidRPr="00E1686D" w:rsidRDefault="006929DC" w:rsidP="006929DC">
      <w:pPr>
        <w:pStyle w:val="Default"/>
        <w:jc w:val="both"/>
        <w:rPr>
          <w:rFonts w:ascii="Arial" w:eastAsia="Times New Roman" w:hAnsi="Arial" w:cs="Arial"/>
          <w:sz w:val="18"/>
          <w:szCs w:val="18"/>
          <w:lang w:val="en"/>
        </w:rPr>
      </w:pPr>
      <w:r w:rsidRPr="00E1686D">
        <w:rPr>
          <w:rFonts w:ascii="Arial" w:eastAsia="Times New Roman" w:hAnsi="Arial" w:cs="Arial"/>
          <w:sz w:val="18"/>
          <w:szCs w:val="18"/>
          <w:lang w:val="en"/>
        </w:rPr>
        <w:t xml:space="preserve">Disclaimer: </w:t>
      </w:r>
    </w:p>
    <w:p w14:paraId="6FA09E82" w14:textId="021E4CA7" w:rsidR="003E4E2F" w:rsidRDefault="006929DC" w:rsidP="003F4FEE">
      <w:pPr>
        <w:pStyle w:val="Default"/>
        <w:jc w:val="both"/>
        <w:rPr>
          <w:lang w:val="en"/>
        </w:rPr>
      </w:pPr>
      <w:r w:rsidRPr="00E1686D">
        <w:rPr>
          <w:rFonts w:ascii="Arial" w:eastAsia="Times New Roman" w:hAnsi="Arial" w:cs="Arial"/>
          <w:sz w:val="18"/>
          <w:szCs w:val="18"/>
          <w:lang w:val="en"/>
        </w:rPr>
        <w:t xml:space="preserve">The views expressed in this document are those of TAFE Queensland and do not necessarily reflect any opinion or policy of the Queensland Government; the Minister for </w:t>
      </w:r>
      <w:r w:rsidR="005D7257">
        <w:rPr>
          <w:rFonts w:ascii="Arial" w:eastAsia="Times New Roman" w:hAnsi="Arial" w:cs="Arial"/>
          <w:sz w:val="18"/>
          <w:szCs w:val="18"/>
          <w:lang w:val="en"/>
        </w:rPr>
        <w:t>Training and Skills</w:t>
      </w:r>
      <w:r w:rsidRPr="00E1686D">
        <w:rPr>
          <w:rFonts w:ascii="Arial" w:eastAsia="Times New Roman" w:hAnsi="Arial" w:cs="Arial"/>
          <w:sz w:val="18"/>
          <w:szCs w:val="18"/>
          <w:lang w:val="en"/>
        </w:rPr>
        <w:t>; or the Que</w:t>
      </w:r>
      <w:r w:rsidR="005D7257">
        <w:rPr>
          <w:rFonts w:ascii="Arial" w:eastAsia="Times New Roman" w:hAnsi="Arial" w:cs="Arial"/>
          <w:sz w:val="18"/>
          <w:szCs w:val="18"/>
          <w:lang w:val="en"/>
        </w:rPr>
        <w:t>ensland Department of Education and Training</w:t>
      </w:r>
      <w:r w:rsidRPr="00E1686D">
        <w:rPr>
          <w:rFonts w:ascii="Arial" w:eastAsia="Times New Roman" w:hAnsi="Arial" w:cs="Arial"/>
          <w:sz w:val="18"/>
          <w:szCs w:val="18"/>
          <w:lang w:val="en"/>
        </w:rPr>
        <w:t>.</w:t>
      </w:r>
    </w:p>
    <w:p w14:paraId="1A106C28" w14:textId="77777777" w:rsidR="0025203A" w:rsidRDefault="0025203A">
      <w:pPr>
        <w:spacing w:after="0" w:line="240" w:lineRule="auto"/>
        <w:rPr>
          <w:b/>
          <w:bCs/>
          <w:lang w:val="en-US"/>
        </w:rPr>
      </w:pPr>
      <w:r>
        <w:rPr>
          <w:b/>
          <w:bCs/>
          <w:lang w:val="en-US"/>
        </w:rPr>
        <w:lastRenderedPageBreak/>
        <w:br w:type="page"/>
      </w:r>
      <w:bookmarkStart w:id="0" w:name="_GoBack"/>
      <w:bookmarkEnd w:id="0"/>
    </w:p>
    <w:p w14:paraId="7FEDCA92" w14:textId="66F9D940" w:rsidR="006929DC" w:rsidRPr="00E1686D" w:rsidRDefault="006929DC" w:rsidP="00296A49">
      <w:pPr>
        <w:spacing w:after="0"/>
        <w:rPr>
          <w:b/>
          <w:bCs/>
          <w:lang w:val="en-US"/>
        </w:rPr>
      </w:pPr>
      <w:r w:rsidRPr="00E1686D">
        <w:rPr>
          <w:b/>
          <w:bCs/>
          <w:lang w:val="en-US"/>
        </w:rPr>
        <w:t>Purpose</w:t>
      </w:r>
    </w:p>
    <w:p w14:paraId="6081523A" w14:textId="77777777" w:rsidR="006929DC" w:rsidRPr="00E1686D" w:rsidRDefault="006929DC" w:rsidP="00296A49">
      <w:pPr>
        <w:pStyle w:val="Body"/>
        <w:tabs>
          <w:tab w:val="left" w:pos="7644"/>
        </w:tabs>
        <w:spacing w:after="0" w:line="240" w:lineRule="auto"/>
        <w:jc w:val="both"/>
        <w:rPr>
          <w:rFonts w:ascii="Arial" w:eastAsia="Arial" w:hAnsi="Arial" w:cs="Arial"/>
          <w:b/>
          <w:bCs/>
          <w:lang w:val="en-US"/>
        </w:rPr>
      </w:pPr>
    </w:p>
    <w:p w14:paraId="5C3C5967" w14:textId="77777777" w:rsidR="006929DC" w:rsidRPr="00E1686D" w:rsidRDefault="0003093B" w:rsidP="006929DC">
      <w:pPr>
        <w:pStyle w:val="Body"/>
        <w:tabs>
          <w:tab w:val="left" w:pos="7644"/>
        </w:tabs>
        <w:spacing w:after="0" w:line="240" w:lineRule="auto"/>
        <w:jc w:val="both"/>
        <w:rPr>
          <w:rFonts w:ascii="Arial" w:hAnsi="Arial" w:cs="Arial"/>
          <w:lang w:val="en-US"/>
        </w:rPr>
      </w:pPr>
      <w:r w:rsidRPr="00E1686D">
        <w:rPr>
          <w:rFonts w:ascii="Arial" w:hAnsi="Arial" w:cs="Arial"/>
          <w:lang w:val="en-US"/>
        </w:rPr>
        <w:t>This submission provides TAFE Queensland’s response to the Independent Review into Regional, Rural and Remote Education and provides examples of innovative approaches taken by TAFE Queensland to support improved access and achievement of students and their transition to further study, training and employment.</w:t>
      </w:r>
    </w:p>
    <w:p w14:paraId="123EB88F" w14:textId="77777777" w:rsidR="006929DC" w:rsidRPr="00E1686D" w:rsidRDefault="006929DC" w:rsidP="006929DC">
      <w:pPr>
        <w:pStyle w:val="Body"/>
        <w:tabs>
          <w:tab w:val="left" w:pos="7644"/>
        </w:tabs>
        <w:spacing w:after="0" w:line="240" w:lineRule="auto"/>
        <w:jc w:val="both"/>
        <w:rPr>
          <w:rFonts w:ascii="Arial" w:eastAsia="Arial" w:hAnsi="Arial" w:cs="Arial"/>
          <w:lang w:val="en-US"/>
        </w:rPr>
      </w:pPr>
    </w:p>
    <w:p w14:paraId="0B3B0E42" w14:textId="77777777" w:rsidR="006929DC" w:rsidRPr="00E1686D" w:rsidRDefault="006929DC" w:rsidP="006929DC">
      <w:pPr>
        <w:pStyle w:val="Body"/>
        <w:tabs>
          <w:tab w:val="left" w:pos="7644"/>
        </w:tabs>
        <w:spacing w:after="0" w:line="240" w:lineRule="auto"/>
        <w:jc w:val="both"/>
        <w:rPr>
          <w:rFonts w:ascii="Arial" w:hAnsi="Arial" w:cs="Arial"/>
          <w:lang w:val="en-US"/>
        </w:rPr>
      </w:pPr>
    </w:p>
    <w:p w14:paraId="739EB850" w14:textId="77777777" w:rsidR="006929DC" w:rsidRPr="00E1686D" w:rsidRDefault="006929DC" w:rsidP="006929DC">
      <w:pPr>
        <w:pStyle w:val="Body"/>
        <w:tabs>
          <w:tab w:val="left" w:pos="7644"/>
        </w:tabs>
        <w:spacing w:after="0" w:line="240" w:lineRule="auto"/>
        <w:jc w:val="both"/>
        <w:rPr>
          <w:rFonts w:ascii="Arial" w:hAnsi="Arial" w:cs="Arial"/>
          <w:b/>
          <w:lang w:val="en-US"/>
        </w:rPr>
      </w:pPr>
      <w:r w:rsidRPr="00E1686D">
        <w:rPr>
          <w:rFonts w:ascii="Arial" w:hAnsi="Arial" w:cs="Arial"/>
          <w:b/>
          <w:lang w:val="en-US"/>
        </w:rPr>
        <w:t>Introduction</w:t>
      </w:r>
    </w:p>
    <w:p w14:paraId="2B11DA10" w14:textId="77777777" w:rsidR="006929DC" w:rsidRPr="00E1686D" w:rsidRDefault="006929DC" w:rsidP="006929DC">
      <w:pPr>
        <w:pStyle w:val="Body"/>
        <w:tabs>
          <w:tab w:val="left" w:pos="7644"/>
        </w:tabs>
        <w:spacing w:after="0" w:line="240" w:lineRule="auto"/>
        <w:jc w:val="both"/>
        <w:rPr>
          <w:rFonts w:ascii="Arial" w:hAnsi="Arial" w:cs="Arial"/>
          <w:lang w:val="en-US"/>
        </w:rPr>
      </w:pPr>
    </w:p>
    <w:p w14:paraId="66E75B2C" w14:textId="77777777" w:rsidR="00AB590C" w:rsidRPr="00E1686D" w:rsidRDefault="00AB590C" w:rsidP="00AB590C">
      <w:pPr>
        <w:pStyle w:val="Body"/>
        <w:tabs>
          <w:tab w:val="left" w:pos="7644"/>
        </w:tabs>
        <w:spacing w:after="0" w:line="240" w:lineRule="auto"/>
        <w:jc w:val="both"/>
        <w:rPr>
          <w:rFonts w:ascii="Arial" w:hAnsi="Arial" w:cs="Arial"/>
          <w:lang w:val="en-US"/>
        </w:rPr>
      </w:pPr>
      <w:r w:rsidRPr="00E1686D">
        <w:rPr>
          <w:rFonts w:ascii="Arial" w:hAnsi="Arial" w:cs="Arial"/>
          <w:lang w:val="en-US"/>
        </w:rPr>
        <w:t xml:space="preserve">TAFE Queensland appreciates the opportunity to contribute to the </w:t>
      </w:r>
      <w:r w:rsidR="0048774C" w:rsidRPr="00E1686D">
        <w:rPr>
          <w:rFonts w:ascii="Arial" w:hAnsi="Arial" w:cs="Arial"/>
          <w:lang w:val="en-US"/>
        </w:rPr>
        <w:t>Independent Review into Regional, Rural and Remote Education</w:t>
      </w:r>
      <w:r w:rsidR="002147C7" w:rsidRPr="00E1686D">
        <w:rPr>
          <w:rFonts w:ascii="Arial" w:hAnsi="Arial" w:cs="Arial"/>
          <w:lang w:val="en-US"/>
        </w:rPr>
        <w:t xml:space="preserve"> and believes that all young people</w:t>
      </w:r>
      <w:r w:rsidR="00F3616D">
        <w:rPr>
          <w:rFonts w:ascii="Arial" w:hAnsi="Arial" w:cs="Arial"/>
          <w:lang w:val="en-US"/>
        </w:rPr>
        <w:t xml:space="preserve"> should be provided with the opportunities, resources, support and assistance</w:t>
      </w:r>
      <w:r w:rsidR="002147C7" w:rsidRPr="00E1686D">
        <w:rPr>
          <w:rFonts w:ascii="Arial" w:hAnsi="Arial" w:cs="Arial"/>
          <w:lang w:val="en-US"/>
        </w:rPr>
        <w:t xml:space="preserve"> </w:t>
      </w:r>
      <w:r w:rsidR="00F3616D">
        <w:rPr>
          <w:rFonts w:ascii="Arial" w:hAnsi="Arial" w:cs="Arial"/>
          <w:lang w:val="en-US"/>
        </w:rPr>
        <w:t xml:space="preserve">they need to succeed at school and beyond, whether that be in further </w:t>
      </w:r>
      <w:r w:rsidR="002147C7" w:rsidRPr="00E1686D">
        <w:rPr>
          <w:rFonts w:ascii="Arial" w:hAnsi="Arial" w:cs="Arial"/>
          <w:lang w:val="en-US"/>
        </w:rPr>
        <w:t>education and training</w:t>
      </w:r>
      <w:r w:rsidR="00F3616D">
        <w:rPr>
          <w:rFonts w:ascii="Arial" w:hAnsi="Arial" w:cs="Arial"/>
          <w:lang w:val="en-US"/>
        </w:rPr>
        <w:t xml:space="preserve"> or employment.</w:t>
      </w:r>
    </w:p>
    <w:p w14:paraId="54A18C23" w14:textId="77777777" w:rsidR="00AB590C" w:rsidRPr="00E1686D" w:rsidRDefault="00AB590C" w:rsidP="00AB590C">
      <w:pPr>
        <w:pStyle w:val="Body"/>
        <w:tabs>
          <w:tab w:val="left" w:pos="7644"/>
        </w:tabs>
        <w:spacing w:after="0" w:line="240" w:lineRule="auto"/>
        <w:jc w:val="both"/>
        <w:rPr>
          <w:rFonts w:ascii="Arial" w:hAnsi="Arial" w:cs="Arial"/>
          <w:lang w:val="en-US"/>
        </w:rPr>
      </w:pPr>
    </w:p>
    <w:p w14:paraId="5A9D4991" w14:textId="50B26083" w:rsidR="00033D1D" w:rsidRPr="00033D1D" w:rsidRDefault="00033D1D" w:rsidP="00033D1D">
      <w:pPr>
        <w:pStyle w:val="Body"/>
        <w:tabs>
          <w:tab w:val="left" w:pos="7644"/>
        </w:tabs>
        <w:spacing w:after="0" w:line="240" w:lineRule="auto"/>
        <w:jc w:val="both"/>
        <w:rPr>
          <w:rFonts w:ascii="Arial" w:hAnsi="Arial" w:cs="Arial"/>
          <w:lang w:val="en-US"/>
        </w:rPr>
      </w:pPr>
      <w:r w:rsidRPr="00033D1D">
        <w:rPr>
          <w:rFonts w:ascii="Arial" w:hAnsi="Arial" w:cs="Arial"/>
          <w:lang w:val="en-US"/>
        </w:rPr>
        <w:t>TAFE Queensland is the State’s premier public provider of Vocational Education and Training (VET).  With over 130 years of history and through a state-wide network of locations, TAFE Queensland is the most experienced provider of VET in Queensland.</w:t>
      </w:r>
      <w:r w:rsidR="0025203A" w:rsidRPr="00033D1D">
        <w:rPr>
          <w:rFonts w:ascii="Arial" w:hAnsi="Arial" w:cs="Arial"/>
          <w:lang w:val="en-US"/>
        </w:rPr>
        <w:t xml:space="preserve"> </w:t>
      </w:r>
    </w:p>
    <w:p w14:paraId="1664ABB6" w14:textId="14095B45" w:rsidR="00033D1D" w:rsidRDefault="00033D1D" w:rsidP="00033D1D">
      <w:pPr>
        <w:pStyle w:val="Body"/>
        <w:tabs>
          <w:tab w:val="left" w:pos="7644"/>
        </w:tabs>
        <w:spacing w:after="0" w:line="240" w:lineRule="auto"/>
        <w:jc w:val="both"/>
        <w:rPr>
          <w:rFonts w:ascii="Arial" w:hAnsi="Arial" w:cs="Arial"/>
          <w:lang w:val="en-US"/>
        </w:rPr>
      </w:pPr>
      <w:r w:rsidRPr="00033D1D">
        <w:rPr>
          <w:rFonts w:ascii="Arial" w:hAnsi="Arial" w:cs="Arial"/>
          <w:lang w:val="en-US"/>
        </w:rPr>
        <w:t xml:space="preserve">TAFE Queensland employs </w:t>
      </w:r>
      <w:r w:rsidR="005D7257">
        <w:rPr>
          <w:rFonts w:ascii="Arial" w:hAnsi="Arial" w:cs="Arial"/>
          <w:lang w:val="en-US"/>
        </w:rPr>
        <w:t>more than</w:t>
      </w:r>
      <w:r w:rsidRPr="00033D1D">
        <w:rPr>
          <w:rFonts w:ascii="Arial" w:hAnsi="Arial" w:cs="Arial"/>
          <w:lang w:val="en-US"/>
        </w:rPr>
        <w:t xml:space="preserve"> 4,000 teachers and support staff spanning the state</w:t>
      </w:r>
      <w:r w:rsidR="005D7257">
        <w:rPr>
          <w:rFonts w:ascii="Arial" w:hAnsi="Arial" w:cs="Arial"/>
          <w:lang w:val="en-US"/>
        </w:rPr>
        <w:t>’</w:t>
      </w:r>
      <w:r w:rsidRPr="00033D1D">
        <w:rPr>
          <w:rFonts w:ascii="Arial" w:hAnsi="Arial" w:cs="Arial"/>
          <w:lang w:val="en-US"/>
        </w:rPr>
        <w:t xml:space="preserve">s far north, regional </w:t>
      </w:r>
      <w:proofErr w:type="spellStart"/>
      <w:r w:rsidRPr="00033D1D">
        <w:rPr>
          <w:rFonts w:ascii="Arial" w:hAnsi="Arial" w:cs="Arial"/>
          <w:lang w:val="en-US"/>
        </w:rPr>
        <w:t>centres</w:t>
      </w:r>
      <w:proofErr w:type="spellEnd"/>
      <w:r w:rsidRPr="00033D1D">
        <w:rPr>
          <w:rFonts w:ascii="Arial" w:hAnsi="Arial" w:cs="Arial"/>
          <w:lang w:val="en-US"/>
        </w:rPr>
        <w:t xml:space="preserve"> and the metropolitan area and offers training through a variety of modes including classroom delivery, distance learning, online tuition, workplace training and blended delivery methods combining two or more delivery modes.</w:t>
      </w:r>
    </w:p>
    <w:p w14:paraId="2F1C3465" w14:textId="77777777" w:rsidR="00033D1D" w:rsidRDefault="00033D1D" w:rsidP="00AB590C">
      <w:pPr>
        <w:pStyle w:val="Body"/>
        <w:tabs>
          <w:tab w:val="left" w:pos="7644"/>
        </w:tabs>
        <w:spacing w:after="0" w:line="240" w:lineRule="auto"/>
        <w:jc w:val="both"/>
        <w:rPr>
          <w:rFonts w:ascii="Arial" w:hAnsi="Arial" w:cs="Arial"/>
          <w:lang w:val="en-US"/>
        </w:rPr>
      </w:pPr>
    </w:p>
    <w:p w14:paraId="2DE5E657" w14:textId="77777777" w:rsidR="00AB590C" w:rsidRPr="00E1686D" w:rsidRDefault="00AB590C" w:rsidP="00AB590C">
      <w:pPr>
        <w:autoSpaceDE w:val="0"/>
        <w:autoSpaceDN w:val="0"/>
        <w:adjustRightInd w:val="0"/>
        <w:spacing w:after="120" w:line="240" w:lineRule="auto"/>
        <w:jc w:val="both"/>
        <w:rPr>
          <w:color w:val="000000"/>
          <w:lang w:eastAsia="zh-CN"/>
        </w:rPr>
      </w:pPr>
      <w:r w:rsidRPr="00E1686D">
        <w:rPr>
          <w:color w:val="000000"/>
          <w:lang w:eastAsia="zh-CN"/>
        </w:rPr>
        <w:t xml:space="preserve">TAFE Queensland continues to be the largest provider of VET services </w:t>
      </w:r>
      <w:r w:rsidR="002147C7" w:rsidRPr="00E1686D">
        <w:rPr>
          <w:color w:val="000000"/>
          <w:lang w:eastAsia="zh-CN"/>
        </w:rPr>
        <w:t>in Queensland with more than 122</w:t>
      </w:r>
      <w:r w:rsidRPr="00E1686D">
        <w:rPr>
          <w:color w:val="000000"/>
          <w:lang w:eastAsia="zh-CN"/>
        </w:rPr>
        <w:t>,000 students choosing to st</w:t>
      </w:r>
      <w:r w:rsidR="002147C7" w:rsidRPr="00E1686D">
        <w:rPr>
          <w:color w:val="000000"/>
          <w:lang w:eastAsia="zh-CN"/>
        </w:rPr>
        <w:t>udy with TAFE Queensland in 2016/17</w:t>
      </w:r>
      <w:r w:rsidRPr="00E1686D">
        <w:rPr>
          <w:color w:val="000000"/>
          <w:lang w:eastAsia="zh-CN"/>
        </w:rPr>
        <w:t xml:space="preserve">. During this period </w:t>
      </w:r>
      <w:r w:rsidR="002147C7" w:rsidRPr="00E1686D">
        <w:rPr>
          <w:color w:val="000000"/>
          <w:lang w:eastAsia="zh-CN"/>
        </w:rPr>
        <w:t>more than</w:t>
      </w:r>
      <w:r w:rsidRPr="00E1686D">
        <w:rPr>
          <w:color w:val="000000"/>
          <w:lang w:eastAsia="zh-CN"/>
        </w:rPr>
        <w:t xml:space="preserve"> 52,000 qualifications were awarded ranging from statements of attainment to bachelor degrees in over 600 program areas. TAFE Queensland delivers high quality outcomes for students and employers, with: </w:t>
      </w:r>
    </w:p>
    <w:p w14:paraId="67C268AD" w14:textId="77777777" w:rsidR="00AB590C" w:rsidRPr="00E1686D" w:rsidRDefault="00AB590C" w:rsidP="00AB590C">
      <w:pPr>
        <w:pStyle w:val="Default"/>
        <w:numPr>
          <w:ilvl w:val="0"/>
          <w:numId w:val="8"/>
        </w:numPr>
        <w:autoSpaceDE/>
        <w:autoSpaceDN/>
        <w:adjustRightInd/>
        <w:jc w:val="both"/>
        <w:rPr>
          <w:rFonts w:ascii="Arial" w:hAnsi="Arial" w:cs="Arial"/>
          <w:sz w:val="22"/>
          <w:szCs w:val="22"/>
        </w:rPr>
      </w:pPr>
      <w:r w:rsidRPr="00E1686D">
        <w:rPr>
          <w:rFonts w:ascii="Arial" w:hAnsi="Arial" w:cs="Arial"/>
          <w:sz w:val="22"/>
          <w:szCs w:val="22"/>
        </w:rPr>
        <w:t xml:space="preserve">Competency completion rates of more than 89%; </w:t>
      </w:r>
    </w:p>
    <w:p w14:paraId="2836A338" w14:textId="77777777" w:rsidR="00AB590C" w:rsidRPr="00E1686D" w:rsidRDefault="00AB590C" w:rsidP="00AB590C">
      <w:pPr>
        <w:pStyle w:val="Default"/>
        <w:numPr>
          <w:ilvl w:val="0"/>
          <w:numId w:val="8"/>
        </w:numPr>
        <w:autoSpaceDE/>
        <w:autoSpaceDN/>
        <w:adjustRightInd/>
        <w:jc w:val="both"/>
        <w:rPr>
          <w:rFonts w:ascii="Arial" w:hAnsi="Arial" w:cs="Arial"/>
          <w:sz w:val="22"/>
          <w:szCs w:val="22"/>
        </w:rPr>
      </w:pPr>
      <w:r w:rsidRPr="00E1686D">
        <w:rPr>
          <w:rFonts w:ascii="Arial" w:hAnsi="Arial" w:cs="Arial"/>
          <w:sz w:val="22"/>
          <w:szCs w:val="22"/>
        </w:rPr>
        <w:t>Students that are employed or in f</w:t>
      </w:r>
      <w:r w:rsidR="002147C7" w:rsidRPr="00E1686D">
        <w:rPr>
          <w:rFonts w:ascii="Arial" w:hAnsi="Arial" w:cs="Arial"/>
          <w:sz w:val="22"/>
          <w:szCs w:val="22"/>
        </w:rPr>
        <w:t>urther education of more than 85</w:t>
      </w:r>
      <w:r w:rsidRPr="00E1686D">
        <w:rPr>
          <w:rFonts w:ascii="Arial" w:hAnsi="Arial" w:cs="Arial"/>
          <w:sz w:val="22"/>
          <w:szCs w:val="22"/>
        </w:rPr>
        <w:t xml:space="preserve">%; </w:t>
      </w:r>
    </w:p>
    <w:p w14:paraId="5320642C" w14:textId="77777777" w:rsidR="00AB590C" w:rsidRPr="00E1686D" w:rsidRDefault="00AB590C" w:rsidP="00AB590C">
      <w:pPr>
        <w:pStyle w:val="Default"/>
        <w:numPr>
          <w:ilvl w:val="0"/>
          <w:numId w:val="8"/>
        </w:numPr>
        <w:autoSpaceDE/>
        <w:autoSpaceDN/>
        <w:adjustRightInd/>
        <w:jc w:val="both"/>
        <w:rPr>
          <w:rFonts w:ascii="Arial" w:hAnsi="Arial" w:cs="Arial"/>
          <w:sz w:val="22"/>
          <w:szCs w:val="22"/>
        </w:rPr>
      </w:pPr>
      <w:r w:rsidRPr="00E1686D">
        <w:rPr>
          <w:rFonts w:ascii="Arial" w:hAnsi="Arial" w:cs="Arial"/>
          <w:sz w:val="22"/>
          <w:szCs w:val="22"/>
        </w:rPr>
        <w:t>Stud</w:t>
      </w:r>
      <w:r w:rsidR="002147C7" w:rsidRPr="00E1686D">
        <w:rPr>
          <w:rFonts w:ascii="Arial" w:hAnsi="Arial" w:cs="Arial"/>
          <w:sz w:val="22"/>
          <w:szCs w:val="22"/>
        </w:rPr>
        <w:t>ent satisfaction of more than 86</w:t>
      </w:r>
      <w:r w:rsidRPr="00E1686D">
        <w:rPr>
          <w:rFonts w:ascii="Arial" w:hAnsi="Arial" w:cs="Arial"/>
          <w:sz w:val="22"/>
          <w:szCs w:val="22"/>
        </w:rPr>
        <w:t xml:space="preserve">%; and </w:t>
      </w:r>
    </w:p>
    <w:p w14:paraId="1CAFDB1B" w14:textId="77777777" w:rsidR="00AB590C" w:rsidRPr="00E1686D" w:rsidRDefault="00AB590C" w:rsidP="00AB590C">
      <w:pPr>
        <w:pStyle w:val="Default"/>
        <w:numPr>
          <w:ilvl w:val="0"/>
          <w:numId w:val="8"/>
        </w:numPr>
        <w:autoSpaceDE/>
        <w:autoSpaceDN/>
        <w:adjustRightInd/>
        <w:jc w:val="both"/>
        <w:rPr>
          <w:rFonts w:ascii="Arial" w:hAnsi="Arial" w:cs="Arial"/>
          <w:sz w:val="22"/>
          <w:szCs w:val="22"/>
        </w:rPr>
      </w:pPr>
      <w:r w:rsidRPr="00E1686D">
        <w:rPr>
          <w:rFonts w:ascii="Arial" w:hAnsi="Arial" w:cs="Arial"/>
          <w:sz w:val="22"/>
          <w:szCs w:val="22"/>
        </w:rPr>
        <w:t>Emplo</w:t>
      </w:r>
      <w:r w:rsidR="002147C7" w:rsidRPr="00E1686D">
        <w:rPr>
          <w:rFonts w:ascii="Arial" w:hAnsi="Arial" w:cs="Arial"/>
          <w:sz w:val="22"/>
          <w:szCs w:val="22"/>
        </w:rPr>
        <w:t>yer satisfaction of more than 92</w:t>
      </w:r>
      <w:r w:rsidRPr="00E1686D">
        <w:rPr>
          <w:rFonts w:ascii="Arial" w:hAnsi="Arial" w:cs="Arial"/>
          <w:sz w:val="22"/>
          <w:szCs w:val="22"/>
        </w:rPr>
        <w:t xml:space="preserve">%. </w:t>
      </w:r>
    </w:p>
    <w:p w14:paraId="21755C99" w14:textId="77777777" w:rsidR="00AB590C" w:rsidRPr="00E1686D" w:rsidRDefault="00AB590C" w:rsidP="00AB590C">
      <w:pPr>
        <w:pStyle w:val="Body"/>
        <w:tabs>
          <w:tab w:val="left" w:pos="7644"/>
        </w:tabs>
        <w:spacing w:after="0" w:line="240" w:lineRule="auto"/>
        <w:jc w:val="both"/>
        <w:rPr>
          <w:rFonts w:ascii="Arial" w:hAnsi="Arial" w:cs="Arial"/>
          <w:lang w:val="en-US"/>
        </w:rPr>
      </w:pPr>
    </w:p>
    <w:p w14:paraId="2E6E1F7E" w14:textId="2EBCED3C" w:rsidR="00AB590C" w:rsidRDefault="00AB590C" w:rsidP="00AB590C">
      <w:pPr>
        <w:pStyle w:val="Body"/>
        <w:tabs>
          <w:tab w:val="left" w:pos="7644"/>
        </w:tabs>
        <w:spacing w:after="0" w:line="240" w:lineRule="auto"/>
        <w:jc w:val="both"/>
        <w:rPr>
          <w:rFonts w:ascii="Arial" w:hAnsi="Arial" w:cs="Arial"/>
          <w:lang w:val="en-US"/>
        </w:rPr>
      </w:pPr>
      <w:r w:rsidRPr="00E1686D">
        <w:rPr>
          <w:rFonts w:ascii="Arial" w:hAnsi="Arial" w:cs="Arial"/>
          <w:lang w:val="en-US"/>
        </w:rPr>
        <w:t xml:space="preserve">Students from </w:t>
      </w:r>
      <w:r w:rsidR="005D7257">
        <w:rPr>
          <w:rFonts w:ascii="Arial" w:hAnsi="Arial" w:cs="Arial"/>
          <w:lang w:val="en-US"/>
        </w:rPr>
        <w:t>more than 80</w:t>
      </w:r>
      <w:r w:rsidR="00583A1E">
        <w:rPr>
          <w:rFonts w:ascii="Arial" w:hAnsi="Arial" w:cs="Arial"/>
          <w:lang w:val="en-US"/>
        </w:rPr>
        <w:t xml:space="preserve"> </w:t>
      </w:r>
      <w:r w:rsidRPr="00E1686D">
        <w:rPr>
          <w:rFonts w:ascii="Arial" w:hAnsi="Arial" w:cs="Arial"/>
          <w:lang w:val="en-US"/>
        </w:rPr>
        <w:t>countries choose to study with TAFE Queensland in Australia and abroad due to its international profile, world class standard of training, state-of-the-art facilities and the wide range of programs offered.</w:t>
      </w:r>
    </w:p>
    <w:p w14:paraId="7C1FB321" w14:textId="77777777" w:rsidR="00A94AE3" w:rsidRDefault="00A94AE3" w:rsidP="00AB590C">
      <w:pPr>
        <w:pStyle w:val="Body"/>
        <w:tabs>
          <w:tab w:val="left" w:pos="7644"/>
        </w:tabs>
        <w:spacing w:after="0" w:line="240" w:lineRule="auto"/>
        <w:jc w:val="both"/>
        <w:rPr>
          <w:rFonts w:ascii="Arial" w:hAnsi="Arial" w:cs="Arial"/>
          <w:lang w:val="en-US"/>
        </w:rPr>
      </w:pPr>
    </w:p>
    <w:p w14:paraId="6727E495" w14:textId="2DB0A42A" w:rsidR="00A94AE3" w:rsidRPr="00E1686D" w:rsidRDefault="00A94AE3" w:rsidP="00AB590C">
      <w:pPr>
        <w:pStyle w:val="Body"/>
        <w:tabs>
          <w:tab w:val="left" w:pos="7644"/>
        </w:tabs>
        <w:spacing w:after="0" w:line="240" w:lineRule="auto"/>
        <w:jc w:val="both"/>
        <w:rPr>
          <w:rFonts w:ascii="Arial" w:hAnsi="Arial" w:cs="Arial"/>
          <w:lang w:val="en-US"/>
        </w:rPr>
      </w:pPr>
      <w:r>
        <w:rPr>
          <w:rFonts w:ascii="Arial" w:hAnsi="Arial" w:cs="Arial"/>
          <w:lang w:val="en-US"/>
        </w:rPr>
        <w:t xml:space="preserve">TAFE Queensland’s is </w:t>
      </w:r>
      <w:r w:rsidR="008C05D8">
        <w:rPr>
          <w:rFonts w:ascii="Arial" w:hAnsi="Arial" w:cs="Arial"/>
          <w:lang w:val="en-US"/>
        </w:rPr>
        <w:t xml:space="preserve">also </w:t>
      </w:r>
      <w:r w:rsidRPr="00A94AE3">
        <w:rPr>
          <w:rFonts w:ascii="Arial" w:hAnsi="Arial" w:cs="Arial"/>
          <w:lang w:val="en-US"/>
        </w:rPr>
        <w:t xml:space="preserve">the largest provider of trade and technician training in the state. </w:t>
      </w:r>
      <w:r>
        <w:rPr>
          <w:rFonts w:ascii="Arial" w:hAnsi="Arial" w:cs="Arial"/>
          <w:lang w:val="en-US"/>
        </w:rPr>
        <w:t xml:space="preserve">Our apprentice and traineeship students learn </w:t>
      </w:r>
      <w:r w:rsidRPr="00A94AE3">
        <w:rPr>
          <w:rFonts w:ascii="Arial" w:hAnsi="Arial" w:cs="Arial"/>
          <w:lang w:val="en-US"/>
        </w:rPr>
        <w:t xml:space="preserve">skills, expertise and technologies that are currently used in the workplace as our teachers are both personally and professionally connected to many specialists and </w:t>
      </w:r>
      <w:proofErr w:type="spellStart"/>
      <w:r w:rsidRPr="00A94AE3">
        <w:rPr>
          <w:rFonts w:ascii="Arial" w:hAnsi="Arial" w:cs="Arial"/>
          <w:lang w:val="en-US"/>
        </w:rPr>
        <w:t>organisations</w:t>
      </w:r>
      <w:proofErr w:type="spellEnd"/>
      <w:r w:rsidRPr="00A94AE3">
        <w:rPr>
          <w:rFonts w:ascii="Arial" w:hAnsi="Arial" w:cs="Arial"/>
          <w:lang w:val="en-US"/>
        </w:rPr>
        <w:t xml:space="preserve"> in their industry.</w:t>
      </w:r>
    </w:p>
    <w:p w14:paraId="51BAEA4E" w14:textId="77777777" w:rsidR="006929DC" w:rsidRPr="00033D1D" w:rsidRDefault="006929DC" w:rsidP="006929DC">
      <w:pPr>
        <w:pStyle w:val="Body"/>
        <w:tabs>
          <w:tab w:val="left" w:pos="7644"/>
        </w:tabs>
        <w:spacing w:after="0" w:line="240" w:lineRule="auto"/>
        <w:jc w:val="both"/>
        <w:rPr>
          <w:rFonts w:ascii="Arial" w:hAnsi="Arial" w:cs="Arial"/>
          <w:lang w:val="en-US"/>
        </w:rPr>
      </w:pPr>
    </w:p>
    <w:p w14:paraId="40C454FF" w14:textId="25E02C23" w:rsidR="00153913" w:rsidRDefault="00033D1D" w:rsidP="006929DC">
      <w:pPr>
        <w:pStyle w:val="Body"/>
        <w:tabs>
          <w:tab w:val="left" w:pos="7644"/>
        </w:tabs>
        <w:spacing w:after="0" w:line="240" w:lineRule="auto"/>
        <w:rPr>
          <w:b/>
          <w:sz w:val="24"/>
          <w:szCs w:val="24"/>
          <w:lang w:val="en-US"/>
        </w:rPr>
      </w:pPr>
      <w:r w:rsidRPr="00033D1D">
        <w:rPr>
          <w:rFonts w:ascii="Arial" w:hAnsi="Arial" w:cs="Arial"/>
          <w:lang w:val="en-US"/>
        </w:rPr>
        <w:t xml:space="preserve">TAFE Queensland operates </w:t>
      </w:r>
      <w:r>
        <w:rPr>
          <w:rFonts w:ascii="Arial" w:hAnsi="Arial" w:cs="Arial"/>
          <w:lang w:val="en-US"/>
        </w:rPr>
        <w:t xml:space="preserve">effectively across </w:t>
      </w:r>
      <w:r w:rsidR="000371AD">
        <w:rPr>
          <w:rFonts w:ascii="Arial" w:hAnsi="Arial" w:cs="Arial"/>
          <w:lang w:val="en-US"/>
        </w:rPr>
        <w:t xml:space="preserve">56 campuses </w:t>
      </w:r>
      <w:r>
        <w:rPr>
          <w:rFonts w:ascii="Arial" w:hAnsi="Arial" w:cs="Arial"/>
          <w:lang w:val="en-US"/>
        </w:rPr>
        <w:t xml:space="preserve">to deliver </w:t>
      </w:r>
      <w:r w:rsidRPr="00033D1D">
        <w:rPr>
          <w:rFonts w:ascii="Arial" w:hAnsi="Arial" w:cs="Arial"/>
          <w:lang w:val="en-US"/>
        </w:rPr>
        <w:t xml:space="preserve">education and training </w:t>
      </w:r>
      <w:r>
        <w:rPr>
          <w:rFonts w:ascii="Arial" w:hAnsi="Arial" w:cs="Arial"/>
          <w:lang w:val="en-US"/>
        </w:rPr>
        <w:t xml:space="preserve">and engage with the local </w:t>
      </w:r>
      <w:r w:rsidRPr="00033D1D">
        <w:rPr>
          <w:rFonts w:ascii="Arial" w:hAnsi="Arial" w:cs="Arial"/>
          <w:lang w:val="en-US"/>
        </w:rPr>
        <w:t>community with a primary focus on servicing the local area in which the network of campus</w:t>
      </w:r>
      <w:r w:rsidR="000371AD">
        <w:rPr>
          <w:rFonts w:ascii="Arial" w:hAnsi="Arial" w:cs="Arial"/>
          <w:lang w:val="en-US"/>
        </w:rPr>
        <w:t xml:space="preserve">es </w:t>
      </w:r>
      <w:proofErr w:type="gramStart"/>
      <w:r w:rsidR="000371AD">
        <w:rPr>
          <w:rFonts w:ascii="Arial" w:hAnsi="Arial" w:cs="Arial"/>
          <w:lang w:val="en-US"/>
        </w:rPr>
        <w:t>are</w:t>
      </w:r>
      <w:proofErr w:type="gramEnd"/>
      <w:r w:rsidR="000371AD">
        <w:rPr>
          <w:rFonts w:ascii="Arial" w:hAnsi="Arial" w:cs="Arial"/>
          <w:lang w:val="en-US"/>
        </w:rPr>
        <w:t xml:space="preserve"> located.</w:t>
      </w:r>
      <w:r w:rsidR="0025203A">
        <w:rPr>
          <w:b/>
          <w:sz w:val="24"/>
          <w:szCs w:val="24"/>
          <w:lang w:val="en-US"/>
        </w:rPr>
        <w:t xml:space="preserve"> </w:t>
      </w:r>
    </w:p>
    <w:p w14:paraId="1180E4F9" w14:textId="5544FCF7" w:rsidR="00AB590C" w:rsidRPr="00E1686D" w:rsidRDefault="007B6AE7" w:rsidP="00AB590C">
      <w:pPr>
        <w:pStyle w:val="Body"/>
        <w:tabs>
          <w:tab w:val="left" w:pos="7644"/>
        </w:tabs>
        <w:spacing w:after="0" w:line="240" w:lineRule="auto"/>
        <w:rPr>
          <w:rFonts w:ascii="Arial" w:hAnsi="Arial" w:cs="Arial"/>
          <w:b/>
          <w:lang w:val="en-US"/>
        </w:rPr>
      </w:pPr>
      <w:r w:rsidRPr="009C1EAD">
        <w:rPr>
          <w:noProof/>
          <w:sz w:val="24"/>
          <w:szCs w:val="24"/>
          <w:lang w:eastAsia="en-AU"/>
        </w:rPr>
        <mc:AlternateContent>
          <mc:Choice Requires="wps">
            <w:drawing>
              <wp:anchor distT="45720" distB="45720" distL="114300" distR="114300" simplePos="0" relativeHeight="251669504" behindDoc="0" locked="0" layoutInCell="1" allowOverlap="1" wp14:anchorId="08C4CA27" wp14:editId="5367EEE7">
                <wp:simplePos x="0" y="0"/>
                <wp:positionH relativeFrom="margin">
                  <wp:posOffset>135890</wp:posOffset>
                </wp:positionH>
                <wp:positionV relativeFrom="paragraph">
                  <wp:posOffset>2540</wp:posOffset>
                </wp:positionV>
                <wp:extent cx="5589905" cy="852487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8524875"/>
                        </a:xfrm>
                        <a:prstGeom prst="rect">
                          <a:avLst/>
                        </a:prstGeom>
                        <a:solidFill>
                          <a:srgbClr val="FFFFFF"/>
                        </a:solidFill>
                        <a:ln w="22225" cap="rnd" cmpd="dbl">
                          <a:solidFill>
                            <a:srgbClr val="000000"/>
                          </a:solidFill>
                          <a:round/>
                          <a:headEnd/>
                          <a:tailEnd/>
                        </a:ln>
                      </wps:spPr>
                      <wps:txbx>
                        <w:txbxContent>
                          <w:p w14:paraId="2E56D84A" w14:textId="77777777" w:rsidR="00E16F54" w:rsidRPr="006364F1" w:rsidRDefault="00E16F54" w:rsidP="003F2DDE">
                            <w:pPr>
                              <w:pStyle w:val="Body"/>
                              <w:spacing w:after="360" w:line="240" w:lineRule="auto"/>
                              <w:jc w:val="both"/>
                              <w:rPr>
                                <w:rFonts w:ascii="Arial" w:hAnsi="Arial" w:cs="Arial"/>
                                <w:b/>
                                <w:color w:val="000000" w:themeColor="text1"/>
                                <w:sz w:val="20"/>
                                <w:szCs w:val="20"/>
                              </w:rPr>
                            </w:pPr>
                            <w:r w:rsidRPr="006364F1">
                              <w:rPr>
                                <w:rFonts w:ascii="Arial" w:hAnsi="Arial" w:cs="Arial"/>
                                <w:b/>
                                <w:color w:val="000000" w:themeColor="text1"/>
                                <w:sz w:val="20"/>
                                <w:szCs w:val="20"/>
                              </w:rPr>
                              <w:t xml:space="preserve">TAFE Queensland recommends: </w:t>
                            </w:r>
                          </w:p>
                          <w:p w14:paraId="54B463A0" w14:textId="6963AE21" w:rsidR="00E16F54" w:rsidRPr="00033D1D" w:rsidRDefault="00E16F54" w:rsidP="00603993">
                            <w:pPr>
                              <w:pStyle w:val="ListParagraph"/>
                              <w:numPr>
                                <w:ilvl w:val="0"/>
                                <w:numId w:val="9"/>
                              </w:numPr>
                              <w:spacing w:line="288" w:lineRule="auto"/>
                              <w:jc w:val="both"/>
                              <w:rPr>
                                <w:sz w:val="20"/>
                                <w:szCs w:val="20"/>
                              </w:rPr>
                            </w:pPr>
                            <w:r w:rsidRPr="00033D1D">
                              <w:rPr>
                                <w:sz w:val="20"/>
                                <w:szCs w:val="20"/>
                              </w:rPr>
                              <w:t>That the Australian Government fund the implementation and administration of pre-vocational programs through secondary schools as a key platform for developing work-ready skills and supporting students</w:t>
                            </w:r>
                            <w:r w:rsidR="006364F1">
                              <w:rPr>
                                <w:sz w:val="20"/>
                                <w:szCs w:val="20"/>
                              </w:rPr>
                              <w:t>’ journeys</w:t>
                            </w:r>
                            <w:r w:rsidRPr="00033D1D">
                              <w:rPr>
                                <w:sz w:val="20"/>
                                <w:szCs w:val="20"/>
                              </w:rPr>
                              <w:t xml:space="preserve"> through school and beyond.</w:t>
                            </w:r>
                          </w:p>
                          <w:p w14:paraId="275EDBAD" w14:textId="77777777" w:rsidR="00E16F54" w:rsidRPr="00033D1D" w:rsidRDefault="00E16F54" w:rsidP="00603993">
                            <w:pPr>
                              <w:pStyle w:val="ListParagraph"/>
                              <w:spacing w:line="288" w:lineRule="auto"/>
                              <w:jc w:val="both"/>
                              <w:rPr>
                                <w:sz w:val="20"/>
                                <w:szCs w:val="20"/>
                              </w:rPr>
                            </w:pPr>
                          </w:p>
                          <w:p w14:paraId="76A0295B" w14:textId="77777777" w:rsidR="008802DB" w:rsidRDefault="00E16F54" w:rsidP="00047CED">
                            <w:pPr>
                              <w:pStyle w:val="ListParagraph"/>
                              <w:numPr>
                                <w:ilvl w:val="0"/>
                                <w:numId w:val="9"/>
                              </w:numPr>
                              <w:spacing w:line="288" w:lineRule="auto"/>
                              <w:jc w:val="both"/>
                              <w:rPr>
                                <w:sz w:val="20"/>
                                <w:szCs w:val="20"/>
                              </w:rPr>
                            </w:pPr>
                            <w:r w:rsidRPr="008802DB">
                              <w:rPr>
                                <w:rFonts w:eastAsia="Calibri"/>
                                <w:sz w:val="20"/>
                                <w:szCs w:val="20"/>
                                <w:u w:color="000000"/>
                                <w:bdr w:val="nil"/>
                                <w:lang w:eastAsia="zh-CN"/>
                              </w:rPr>
                              <w:t>That funding be allocated to assist students in rural and remote locations to attend VET block training courses, which would greatly assist in the uptake of student numbers, and could assist with travel costs</w:t>
                            </w:r>
                            <w:r w:rsidRPr="008802DB">
                              <w:rPr>
                                <w:sz w:val="20"/>
                                <w:szCs w:val="20"/>
                              </w:rPr>
                              <w:t xml:space="preserve"> and subsidised accommodation.</w:t>
                            </w:r>
                          </w:p>
                          <w:p w14:paraId="60E4451F" w14:textId="77777777" w:rsidR="008802DB" w:rsidRPr="008802DB" w:rsidRDefault="008802DB" w:rsidP="008802DB">
                            <w:pPr>
                              <w:pStyle w:val="ListParagraph"/>
                              <w:rPr>
                                <w:sz w:val="20"/>
                                <w:szCs w:val="20"/>
                              </w:rPr>
                            </w:pPr>
                          </w:p>
                          <w:p w14:paraId="30DCFEA3" w14:textId="795F87A9" w:rsidR="00E16F54" w:rsidRPr="008802DB" w:rsidRDefault="008802DB" w:rsidP="00047CED">
                            <w:pPr>
                              <w:pStyle w:val="ListParagraph"/>
                              <w:numPr>
                                <w:ilvl w:val="0"/>
                                <w:numId w:val="9"/>
                              </w:numPr>
                              <w:spacing w:line="288" w:lineRule="auto"/>
                              <w:jc w:val="both"/>
                              <w:rPr>
                                <w:sz w:val="20"/>
                                <w:szCs w:val="20"/>
                              </w:rPr>
                            </w:pPr>
                            <w:r w:rsidRPr="008802DB">
                              <w:rPr>
                                <w:sz w:val="20"/>
                                <w:szCs w:val="20"/>
                              </w:rPr>
                              <w:t>That the Australian Government ensure equitable access for all learners to facilities and services in learning environments; and that reasonable adjustments are made to enable diverse learners to participate on an equal basis.</w:t>
                            </w:r>
                          </w:p>
                          <w:p w14:paraId="2B9138BB" w14:textId="77777777" w:rsidR="008802DB" w:rsidRPr="00033D1D" w:rsidRDefault="008802DB" w:rsidP="00653F31">
                            <w:pPr>
                              <w:pStyle w:val="ListParagraph"/>
                              <w:rPr>
                                <w:rFonts w:eastAsia="Calibri"/>
                                <w:sz w:val="20"/>
                                <w:szCs w:val="20"/>
                                <w:u w:color="000000"/>
                                <w:bdr w:val="nil"/>
                                <w:lang w:eastAsia="zh-CN"/>
                              </w:rPr>
                            </w:pPr>
                          </w:p>
                          <w:p w14:paraId="292187D0" w14:textId="77777777" w:rsidR="00E16F54" w:rsidRPr="00033D1D" w:rsidRDefault="00E16F54" w:rsidP="007B6AE7">
                            <w:pPr>
                              <w:pStyle w:val="ListParagraph"/>
                              <w:numPr>
                                <w:ilvl w:val="0"/>
                                <w:numId w:val="9"/>
                              </w:numPr>
                              <w:rPr>
                                <w:sz w:val="20"/>
                                <w:szCs w:val="20"/>
                              </w:rPr>
                            </w:pPr>
                            <w:r w:rsidRPr="00033D1D">
                              <w:rPr>
                                <w:sz w:val="20"/>
                                <w:szCs w:val="20"/>
                              </w:rPr>
                              <w:t>That teaching and administrative staff are adequately trained and informed of their responsibilities to provide learning environments that are responsive to and inclusive of diverse learners.</w:t>
                            </w:r>
                          </w:p>
                          <w:p w14:paraId="0663ECD0" w14:textId="77777777" w:rsidR="00E16F54" w:rsidRPr="00033D1D" w:rsidRDefault="00E16F54" w:rsidP="007B6AE7">
                            <w:pPr>
                              <w:pStyle w:val="ListParagraph"/>
                              <w:rPr>
                                <w:rFonts w:eastAsia="Calibri"/>
                                <w:sz w:val="20"/>
                                <w:szCs w:val="20"/>
                                <w:u w:color="000000"/>
                                <w:bdr w:val="nil"/>
                                <w:lang w:eastAsia="zh-CN"/>
                              </w:rPr>
                            </w:pPr>
                          </w:p>
                          <w:p w14:paraId="4280AE85" w14:textId="77777777" w:rsidR="00E16F54" w:rsidRPr="00033D1D" w:rsidRDefault="00E16F54" w:rsidP="00603993">
                            <w:pPr>
                              <w:pStyle w:val="ListParagraph"/>
                              <w:numPr>
                                <w:ilvl w:val="0"/>
                                <w:numId w:val="9"/>
                              </w:numPr>
                              <w:spacing w:line="288" w:lineRule="auto"/>
                              <w:jc w:val="both"/>
                              <w:rPr>
                                <w:rFonts w:eastAsia="Calibri"/>
                                <w:sz w:val="20"/>
                                <w:szCs w:val="20"/>
                                <w:u w:color="000000"/>
                                <w:bdr w:val="nil"/>
                                <w:lang w:eastAsia="zh-CN"/>
                              </w:rPr>
                            </w:pPr>
                            <w:r w:rsidRPr="00033D1D">
                              <w:rPr>
                                <w:sz w:val="20"/>
                                <w:szCs w:val="20"/>
                              </w:rPr>
                              <w:t>That curriculum development is inclusive of the needs of diverse learners and provides clear pathways to achieving success at senior school, vocational and/or higher education, and to employment.</w:t>
                            </w:r>
                          </w:p>
                          <w:p w14:paraId="5DB3FEAE" w14:textId="77777777" w:rsidR="00E16F54" w:rsidRPr="00033D1D" w:rsidRDefault="00E16F54" w:rsidP="007B6AE7">
                            <w:pPr>
                              <w:pStyle w:val="ListParagraph"/>
                              <w:rPr>
                                <w:rFonts w:eastAsia="Calibri"/>
                                <w:sz w:val="20"/>
                                <w:szCs w:val="20"/>
                                <w:u w:color="000000"/>
                                <w:bdr w:val="nil"/>
                                <w:lang w:eastAsia="zh-CN"/>
                              </w:rPr>
                            </w:pPr>
                          </w:p>
                          <w:p w14:paraId="5D3E354C" w14:textId="77777777" w:rsidR="00E16F54" w:rsidRPr="00033D1D" w:rsidRDefault="00E16F54" w:rsidP="00603993">
                            <w:pPr>
                              <w:pStyle w:val="ListParagraph"/>
                              <w:numPr>
                                <w:ilvl w:val="0"/>
                                <w:numId w:val="9"/>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That high school students in regional, rural and remote areas receive more support, by way of Australian Government funding, in preparing them for post-school education, training and work by providing additional opportunities for students to participate in:</w:t>
                            </w:r>
                          </w:p>
                          <w:p w14:paraId="368F8784" w14:textId="77777777" w:rsidR="00E16F54" w:rsidRPr="00033D1D" w:rsidRDefault="00E16F54" w:rsidP="00603993">
                            <w:pPr>
                              <w:pStyle w:val="ListParagraph"/>
                              <w:numPr>
                                <w:ilvl w:val="0"/>
                                <w:numId w:val="23"/>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work experience and volunteer work;</w:t>
                            </w:r>
                          </w:p>
                          <w:p w14:paraId="3B4EA3CD" w14:textId="77777777" w:rsidR="00E16F54" w:rsidRPr="00033D1D" w:rsidRDefault="00E16F54" w:rsidP="00603993">
                            <w:pPr>
                              <w:pStyle w:val="ListParagraph"/>
                              <w:numPr>
                                <w:ilvl w:val="0"/>
                                <w:numId w:val="23"/>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adult learning environments;</w:t>
                            </w:r>
                          </w:p>
                          <w:p w14:paraId="0D8C916A" w14:textId="1CFFE6CE" w:rsidR="008802DB" w:rsidRPr="0025203A" w:rsidRDefault="00E16F54" w:rsidP="0025203A">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career assessment and career guidance activities in order to assist them in recognising their career goals and their areas of strength.</w:t>
                            </w:r>
                            <w:r w:rsidR="0025203A">
                              <w:rPr>
                                <w:rFonts w:eastAsia="Calibri"/>
                                <w:sz w:val="20"/>
                                <w:szCs w:val="20"/>
                                <w:u w:color="000000"/>
                                <w:bdr w:val="nil"/>
                                <w:lang w:eastAsia="zh-CN"/>
                              </w:rPr>
                              <w:t xml:space="preserve"> </w:t>
                            </w:r>
                          </w:p>
                          <w:p w14:paraId="5A0305F0" w14:textId="651D8423" w:rsidR="008802DB" w:rsidRPr="008802DB" w:rsidRDefault="008802DB" w:rsidP="008802DB">
                            <w:pPr>
                              <w:pStyle w:val="ListParagraph"/>
                              <w:numPr>
                                <w:ilvl w:val="0"/>
                                <w:numId w:val="9"/>
                              </w:numPr>
                              <w:jc w:val="both"/>
                              <w:rPr>
                                <w:sz w:val="20"/>
                                <w:szCs w:val="20"/>
                              </w:rPr>
                            </w:pPr>
                            <w:r w:rsidRPr="008802DB">
                              <w:rPr>
                                <w:sz w:val="20"/>
                                <w:szCs w:val="20"/>
                              </w:rPr>
                              <w:t>That schools are funded to allow them to implement into their curriculum units of study that increase students’ skills and capabilities, in preparing them for post-school education, training and work, in terms of:</w:t>
                            </w:r>
                          </w:p>
                          <w:p w14:paraId="4107A0D4"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literacy and numeracy;</w:t>
                            </w:r>
                          </w:p>
                          <w:p w14:paraId="5CB1BA48"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enterprise skills including digital literacy skills;</w:t>
                            </w:r>
                          </w:p>
                          <w:p w14:paraId="2944511F"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soft skills and work readiness skills.</w:t>
                            </w:r>
                          </w:p>
                          <w:p w14:paraId="37DDF049" w14:textId="77777777" w:rsidR="00E16F54" w:rsidRPr="00033D1D" w:rsidRDefault="00E16F54" w:rsidP="00603993">
                            <w:pPr>
                              <w:pStyle w:val="ListParagraph"/>
                              <w:spacing w:line="288" w:lineRule="auto"/>
                              <w:jc w:val="both"/>
                              <w:rPr>
                                <w:sz w:val="20"/>
                                <w:szCs w:val="20"/>
                              </w:rPr>
                            </w:pPr>
                          </w:p>
                          <w:p w14:paraId="431262BF" w14:textId="27CFB732" w:rsidR="00E16F54" w:rsidRDefault="008802DB" w:rsidP="00492672">
                            <w:pPr>
                              <w:pStyle w:val="ListParagraph"/>
                              <w:numPr>
                                <w:ilvl w:val="0"/>
                                <w:numId w:val="9"/>
                              </w:numPr>
                              <w:spacing w:line="288" w:lineRule="auto"/>
                              <w:jc w:val="both"/>
                              <w:rPr>
                                <w:sz w:val="20"/>
                                <w:szCs w:val="20"/>
                              </w:rPr>
                            </w:pPr>
                            <w:r w:rsidRPr="008802DB">
                              <w:rPr>
                                <w:sz w:val="20"/>
                                <w:szCs w:val="20"/>
                              </w:rPr>
                              <w:t>That funding for the development of digital literacy skills be prioritised for VET students in preparation for their transition to work.</w:t>
                            </w:r>
                          </w:p>
                          <w:p w14:paraId="2100692D" w14:textId="77777777" w:rsidR="008802DB" w:rsidRPr="00033D1D" w:rsidRDefault="008802DB" w:rsidP="00492672">
                            <w:pPr>
                              <w:pStyle w:val="ListParagraph"/>
                              <w:spacing w:line="288" w:lineRule="auto"/>
                              <w:jc w:val="both"/>
                              <w:rPr>
                                <w:sz w:val="20"/>
                                <w:szCs w:val="20"/>
                              </w:rPr>
                            </w:pPr>
                          </w:p>
                          <w:p w14:paraId="3363225D" w14:textId="77777777" w:rsidR="00E16F54" w:rsidRPr="00033D1D" w:rsidRDefault="00E16F54" w:rsidP="00AE1EEF">
                            <w:pPr>
                              <w:pStyle w:val="ListParagraph"/>
                              <w:numPr>
                                <w:ilvl w:val="0"/>
                                <w:numId w:val="9"/>
                              </w:numPr>
                              <w:spacing w:line="288" w:lineRule="auto"/>
                              <w:jc w:val="both"/>
                              <w:rPr>
                                <w:color w:val="000000" w:themeColor="text1"/>
                                <w:sz w:val="20"/>
                                <w:szCs w:val="20"/>
                              </w:rPr>
                            </w:pPr>
                            <w:r w:rsidRPr="00033D1D">
                              <w:rPr>
                                <w:sz w:val="20"/>
                                <w:szCs w:val="20"/>
                              </w:rPr>
                              <w:t>That a model, similar to that of the IYMP (Indigenous Youth Mobility Program) be adopted for rural and remote community children, that provides a holistic approach to career planning, education and training plans, accommodation, and professional and personal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4CA27" id="_x0000_t202" coordsize="21600,21600" o:spt="202" path="m,l,21600r21600,l21600,xe">
                <v:stroke joinstyle="miter"/>
                <v:path gradientshapeok="t" o:connecttype="rect"/>
              </v:shapetype>
              <v:shape id="Text Box 2" o:spid="_x0000_s1026" type="#_x0000_t202" style="position:absolute;margin-left:10.7pt;margin-top:.2pt;width:440.15pt;height:67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" strokeweight="1.75pt">
                <v:stroke linestyle="thinThin" joinstyle="round" endcap="round"/>
                <v:textbox>
                  <w:txbxContent>
                    <w:p w14:paraId="2E56D84A" w14:textId="77777777" w:rsidR="00E16F54" w:rsidRPr="006364F1" w:rsidRDefault="00E16F54" w:rsidP="003F2DDE">
                      <w:pPr>
                        <w:pStyle w:val="Body"/>
                        <w:spacing w:after="360" w:line="240" w:lineRule="auto"/>
                        <w:jc w:val="both"/>
                        <w:rPr>
                          <w:rFonts w:ascii="Arial" w:hAnsi="Arial" w:cs="Arial"/>
                          <w:b/>
                          <w:color w:val="000000" w:themeColor="text1"/>
                          <w:sz w:val="20"/>
                          <w:szCs w:val="20"/>
                        </w:rPr>
                      </w:pPr>
                      <w:r w:rsidRPr="006364F1">
                        <w:rPr>
                          <w:rFonts w:ascii="Arial" w:hAnsi="Arial" w:cs="Arial"/>
                          <w:b/>
                          <w:color w:val="000000" w:themeColor="text1"/>
                          <w:sz w:val="20"/>
                          <w:szCs w:val="20"/>
                        </w:rPr>
                        <w:t xml:space="preserve">TAFE Queensland recommends: </w:t>
                      </w:r>
                    </w:p>
                    <w:p w14:paraId="54B463A0" w14:textId="6963AE21" w:rsidR="00E16F54" w:rsidRPr="00033D1D" w:rsidRDefault="00E16F54" w:rsidP="00603993">
                      <w:pPr>
                        <w:pStyle w:val="ListParagraph"/>
                        <w:numPr>
                          <w:ilvl w:val="0"/>
                          <w:numId w:val="9"/>
                        </w:numPr>
                        <w:spacing w:line="288" w:lineRule="auto"/>
                        <w:jc w:val="both"/>
                        <w:rPr>
                          <w:sz w:val="20"/>
                          <w:szCs w:val="20"/>
                        </w:rPr>
                      </w:pPr>
                      <w:r w:rsidRPr="00033D1D">
                        <w:rPr>
                          <w:sz w:val="20"/>
                          <w:szCs w:val="20"/>
                        </w:rPr>
                        <w:t>That the Australian Government fund the implementation and administration of pre-vocational programs through secondary schools as a key platform for developing work-ready skills and supporting students</w:t>
                      </w:r>
                      <w:r w:rsidR="006364F1">
                        <w:rPr>
                          <w:sz w:val="20"/>
                          <w:szCs w:val="20"/>
                        </w:rPr>
                        <w:t>’ journeys</w:t>
                      </w:r>
                      <w:r w:rsidRPr="00033D1D">
                        <w:rPr>
                          <w:sz w:val="20"/>
                          <w:szCs w:val="20"/>
                        </w:rPr>
                        <w:t xml:space="preserve"> through school and beyond.</w:t>
                      </w:r>
                    </w:p>
                    <w:p w14:paraId="275EDBAD" w14:textId="77777777" w:rsidR="00E16F54" w:rsidRPr="00033D1D" w:rsidRDefault="00E16F54" w:rsidP="00603993">
                      <w:pPr>
                        <w:pStyle w:val="ListParagraph"/>
                        <w:spacing w:line="288" w:lineRule="auto"/>
                        <w:jc w:val="both"/>
                        <w:rPr>
                          <w:sz w:val="20"/>
                          <w:szCs w:val="20"/>
                        </w:rPr>
                      </w:pPr>
                    </w:p>
                    <w:p w14:paraId="76A0295B" w14:textId="77777777" w:rsidR="008802DB" w:rsidRDefault="00E16F54" w:rsidP="00047CED">
                      <w:pPr>
                        <w:pStyle w:val="ListParagraph"/>
                        <w:numPr>
                          <w:ilvl w:val="0"/>
                          <w:numId w:val="9"/>
                        </w:numPr>
                        <w:spacing w:line="288" w:lineRule="auto"/>
                        <w:jc w:val="both"/>
                        <w:rPr>
                          <w:sz w:val="20"/>
                          <w:szCs w:val="20"/>
                        </w:rPr>
                      </w:pPr>
                      <w:r w:rsidRPr="008802DB">
                        <w:rPr>
                          <w:rFonts w:eastAsia="Calibri"/>
                          <w:sz w:val="20"/>
                          <w:szCs w:val="20"/>
                          <w:u w:color="000000"/>
                          <w:bdr w:val="nil"/>
                          <w:lang w:eastAsia="zh-CN"/>
                        </w:rPr>
                        <w:t>That funding be allocated to assist students in rural and remote locations to attend VET block training courses, which would greatly assist in the uptake of student numbers, and could assist with travel costs</w:t>
                      </w:r>
                      <w:r w:rsidRPr="008802DB">
                        <w:rPr>
                          <w:sz w:val="20"/>
                          <w:szCs w:val="20"/>
                        </w:rPr>
                        <w:t xml:space="preserve"> and subsidised accommodation.</w:t>
                      </w:r>
                    </w:p>
                    <w:p w14:paraId="60E4451F" w14:textId="77777777" w:rsidR="008802DB" w:rsidRPr="008802DB" w:rsidRDefault="008802DB" w:rsidP="008802DB">
                      <w:pPr>
                        <w:pStyle w:val="ListParagraph"/>
                        <w:rPr>
                          <w:sz w:val="20"/>
                          <w:szCs w:val="20"/>
                        </w:rPr>
                      </w:pPr>
                    </w:p>
                    <w:p w14:paraId="30DCFEA3" w14:textId="795F87A9" w:rsidR="00E16F54" w:rsidRPr="008802DB" w:rsidRDefault="008802DB" w:rsidP="00047CED">
                      <w:pPr>
                        <w:pStyle w:val="ListParagraph"/>
                        <w:numPr>
                          <w:ilvl w:val="0"/>
                          <w:numId w:val="9"/>
                        </w:numPr>
                        <w:spacing w:line="288" w:lineRule="auto"/>
                        <w:jc w:val="both"/>
                        <w:rPr>
                          <w:sz w:val="20"/>
                          <w:szCs w:val="20"/>
                        </w:rPr>
                      </w:pPr>
                      <w:r w:rsidRPr="008802DB">
                        <w:rPr>
                          <w:sz w:val="20"/>
                          <w:szCs w:val="20"/>
                        </w:rPr>
                        <w:t>That the Australian Government ensure equitable access for all learners to facilities and services in learning environments; and that reasonable adjustments are made to enable diverse learners to participate on an equal basis.</w:t>
                      </w:r>
                    </w:p>
                    <w:p w14:paraId="2B9138BB" w14:textId="77777777" w:rsidR="008802DB" w:rsidRPr="00033D1D" w:rsidRDefault="008802DB" w:rsidP="00653F31">
                      <w:pPr>
                        <w:pStyle w:val="ListParagraph"/>
                        <w:rPr>
                          <w:rFonts w:eastAsia="Calibri"/>
                          <w:sz w:val="20"/>
                          <w:szCs w:val="20"/>
                          <w:u w:color="000000"/>
                          <w:bdr w:val="nil"/>
                          <w:lang w:eastAsia="zh-CN"/>
                        </w:rPr>
                      </w:pPr>
                    </w:p>
                    <w:p w14:paraId="292187D0" w14:textId="77777777" w:rsidR="00E16F54" w:rsidRPr="00033D1D" w:rsidRDefault="00E16F54" w:rsidP="007B6AE7">
                      <w:pPr>
                        <w:pStyle w:val="ListParagraph"/>
                        <w:numPr>
                          <w:ilvl w:val="0"/>
                          <w:numId w:val="9"/>
                        </w:numPr>
                        <w:rPr>
                          <w:sz w:val="20"/>
                          <w:szCs w:val="20"/>
                        </w:rPr>
                      </w:pPr>
                      <w:r w:rsidRPr="00033D1D">
                        <w:rPr>
                          <w:sz w:val="20"/>
                          <w:szCs w:val="20"/>
                        </w:rPr>
                        <w:t>That teaching and administrative staff are adequately trained and informed of their responsibilities to provide learning environments that are responsive to and inclusive of diverse learners.</w:t>
                      </w:r>
                    </w:p>
                    <w:p w14:paraId="0663ECD0" w14:textId="77777777" w:rsidR="00E16F54" w:rsidRPr="00033D1D" w:rsidRDefault="00E16F54" w:rsidP="007B6AE7">
                      <w:pPr>
                        <w:pStyle w:val="ListParagraph"/>
                        <w:rPr>
                          <w:rFonts w:eastAsia="Calibri"/>
                          <w:sz w:val="20"/>
                          <w:szCs w:val="20"/>
                          <w:u w:color="000000"/>
                          <w:bdr w:val="nil"/>
                          <w:lang w:eastAsia="zh-CN"/>
                        </w:rPr>
                      </w:pPr>
                    </w:p>
                    <w:p w14:paraId="4280AE85" w14:textId="77777777" w:rsidR="00E16F54" w:rsidRPr="00033D1D" w:rsidRDefault="00E16F54" w:rsidP="00603993">
                      <w:pPr>
                        <w:pStyle w:val="ListParagraph"/>
                        <w:numPr>
                          <w:ilvl w:val="0"/>
                          <w:numId w:val="9"/>
                        </w:numPr>
                        <w:spacing w:line="288" w:lineRule="auto"/>
                        <w:jc w:val="both"/>
                        <w:rPr>
                          <w:rFonts w:eastAsia="Calibri"/>
                          <w:sz w:val="20"/>
                          <w:szCs w:val="20"/>
                          <w:u w:color="000000"/>
                          <w:bdr w:val="nil"/>
                          <w:lang w:eastAsia="zh-CN"/>
                        </w:rPr>
                      </w:pPr>
                      <w:r w:rsidRPr="00033D1D">
                        <w:rPr>
                          <w:sz w:val="20"/>
                          <w:szCs w:val="20"/>
                        </w:rPr>
                        <w:t>That curriculum development is inclusive of the needs of diverse learners and provides clear pathways to achieving success at senior school, vocational and/or higher education, and to employment.</w:t>
                      </w:r>
                    </w:p>
                    <w:p w14:paraId="5DB3FEAE" w14:textId="77777777" w:rsidR="00E16F54" w:rsidRPr="00033D1D" w:rsidRDefault="00E16F54" w:rsidP="007B6AE7">
                      <w:pPr>
                        <w:pStyle w:val="ListParagraph"/>
                        <w:rPr>
                          <w:rFonts w:eastAsia="Calibri"/>
                          <w:sz w:val="20"/>
                          <w:szCs w:val="20"/>
                          <w:u w:color="000000"/>
                          <w:bdr w:val="nil"/>
                          <w:lang w:eastAsia="zh-CN"/>
                        </w:rPr>
                      </w:pPr>
                    </w:p>
                    <w:p w14:paraId="5D3E354C" w14:textId="77777777" w:rsidR="00E16F54" w:rsidRPr="00033D1D" w:rsidRDefault="00E16F54" w:rsidP="00603993">
                      <w:pPr>
                        <w:pStyle w:val="ListParagraph"/>
                        <w:numPr>
                          <w:ilvl w:val="0"/>
                          <w:numId w:val="9"/>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That high school students in regional, rural and remote areas receive more support, by way of Australian Government funding, in preparing them for post-school education, training and work by providing additional opportunities for students to participate in:</w:t>
                      </w:r>
                    </w:p>
                    <w:p w14:paraId="368F8784" w14:textId="77777777" w:rsidR="00E16F54" w:rsidRPr="00033D1D" w:rsidRDefault="00E16F54" w:rsidP="00603993">
                      <w:pPr>
                        <w:pStyle w:val="ListParagraph"/>
                        <w:numPr>
                          <w:ilvl w:val="0"/>
                          <w:numId w:val="23"/>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work experience and volunteer work;</w:t>
                      </w:r>
                    </w:p>
                    <w:p w14:paraId="3B4EA3CD" w14:textId="77777777" w:rsidR="00E16F54" w:rsidRPr="00033D1D" w:rsidRDefault="00E16F54" w:rsidP="00603993">
                      <w:pPr>
                        <w:pStyle w:val="ListParagraph"/>
                        <w:numPr>
                          <w:ilvl w:val="0"/>
                          <w:numId w:val="23"/>
                        </w:numPr>
                        <w:spacing w:line="288" w:lineRule="auto"/>
                        <w:jc w:val="both"/>
                        <w:rPr>
                          <w:rFonts w:eastAsia="Calibri"/>
                          <w:sz w:val="20"/>
                          <w:szCs w:val="20"/>
                          <w:u w:color="000000"/>
                          <w:bdr w:val="nil"/>
                          <w:lang w:eastAsia="zh-CN"/>
                        </w:rPr>
                      </w:pPr>
                      <w:r w:rsidRPr="00033D1D">
                        <w:rPr>
                          <w:rFonts w:eastAsia="Calibri"/>
                          <w:sz w:val="20"/>
                          <w:szCs w:val="20"/>
                          <w:u w:color="000000"/>
                          <w:bdr w:val="nil"/>
                          <w:lang w:eastAsia="zh-CN"/>
                        </w:rPr>
                        <w:t>adult learning environments;</w:t>
                      </w:r>
                    </w:p>
                    <w:p w14:paraId="0D8C916A" w14:textId="1CFFE6CE" w:rsidR="008802DB" w:rsidRPr="0025203A" w:rsidRDefault="00E16F54" w:rsidP="0025203A">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career assessment and career guidance activities in order to assist them in recognising their career goals and their areas of strength.</w:t>
                      </w:r>
                      <w:r w:rsidR="0025203A">
                        <w:rPr>
                          <w:rFonts w:eastAsia="Calibri"/>
                          <w:sz w:val="20"/>
                          <w:szCs w:val="20"/>
                          <w:u w:color="000000"/>
                          <w:bdr w:val="nil"/>
                          <w:lang w:eastAsia="zh-CN"/>
                        </w:rPr>
                        <w:t xml:space="preserve"> </w:t>
                      </w:r>
                    </w:p>
                    <w:p w14:paraId="5A0305F0" w14:textId="651D8423" w:rsidR="008802DB" w:rsidRPr="008802DB" w:rsidRDefault="008802DB" w:rsidP="008802DB">
                      <w:pPr>
                        <w:pStyle w:val="ListParagraph"/>
                        <w:numPr>
                          <w:ilvl w:val="0"/>
                          <w:numId w:val="9"/>
                        </w:numPr>
                        <w:jc w:val="both"/>
                        <w:rPr>
                          <w:sz w:val="20"/>
                          <w:szCs w:val="20"/>
                        </w:rPr>
                      </w:pPr>
                      <w:r w:rsidRPr="008802DB">
                        <w:rPr>
                          <w:sz w:val="20"/>
                          <w:szCs w:val="20"/>
                        </w:rPr>
                        <w:t>That schools are funded to allow them to implement into their curriculum units of study that increase students’ skills and capabilities, in preparing them for post-school education, training and work, in terms of:</w:t>
                      </w:r>
                    </w:p>
                    <w:p w14:paraId="4107A0D4"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literacy and numeracy;</w:t>
                      </w:r>
                    </w:p>
                    <w:p w14:paraId="5CB1BA48"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enterprise skills including digital literacy skills;</w:t>
                      </w:r>
                    </w:p>
                    <w:p w14:paraId="2944511F" w14:textId="77777777" w:rsidR="008802DB" w:rsidRPr="008802DB" w:rsidRDefault="008802DB" w:rsidP="008802DB">
                      <w:pPr>
                        <w:pStyle w:val="ListParagraph"/>
                        <w:numPr>
                          <w:ilvl w:val="0"/>
                          <w:numId w:val="23"/>
                        </w:numPr>
                        <w:spacing w:line="288" w:lineRule="auto"/>
                        <w:jc w:val="both"/>
                        <w:rPr>
                          <w:rFonts w:eastAsia="Calibri"/>
                          <w:sz w:val="20"/>
                          <w:szCs w:val="20"/>
                          <w:u w:color="000000"/>
                          <w:bdr w:val="nil"/>
                          <w:lang w:eastAsia="zh-CN"/>
                        </w:rPr>
                      </w:pPr>
                      <w:r w:rsidRPr="008802DB">
                        <w:rPr>
                          <w:rFonts w:eastAsia="Calibri"/>
                          <w:sz w:val="20"/>
                          <w:szCs w:val="20"/>
                          <w:u w:color="000000"/>
                          <w:bdr w:val="nil"/>
                          <w:lang w:eastAsia="zh-CN"/>
                        </w:rPr>
                        <w:t>soft skills and work readiness skills.</w:t>
                      </w:r>
                    </w:p>
                    <w:p w14:paraId="37DDF049" w14:textId="77777777" w:rsidR="00E16F54" w:rsidRPr="00033D1D" w:rsidRDefault="00E16F54" w:rsidP="00603993">
                      <w:pPr>
                        <w:pStyle w:val="ListParagraph"/>
                        <w:spacing w:line="288" w:lineRule="auto"/>
                        <w:jc w:val="both"/>
                        <w:rPr>
                          <w:sz w:val="20"/>
                          <w:szCs w:val="20"/>
                        </w:rPr>
                      </w:pPr>
                    </w:p>
                    <w:p w14:paraId="431262BF" w14:textId="27CFB732" w:rsidR="00E16F54" w:rsidRDefault="008802DB" w:rsidP="00492672">
                      <w:pPr>
                        <w:pStyle w:val="ListParagraph"/>
                        <w:numPr>
                          <w:ilvl w:val="0"/>
                          <w:numId w:val="9"/>
                        </w:numPr>
                        <w:spacing w:line="288" w:lineRule="auto"/>
                        <w:jc w:val="both"/>
                        <w:rPr>
                          <w:sz w:val="20"/>
                          <w:szCs w:val="20"/>
                        </w:rPr>
                      </w:pPr>
                      <w:r w:rsidRPr="008802DB">
                        <w:rPr>
                          <w:sz w:val="20"/>
                          <w:szCs w:val="20"/>
                        </w:rPr>
                        <w:t>That funding for the development of digital literacy skills be prioritised for VET students in preparation for their transition to work.</w:t>
                      </w:r>
                    </w:p>
                    <w:p w14:paraId="2100692D" w14:textId="77777777" w:rsidR="008802DB" w:rsidRPr="00033D1D" w:rsidRDefault="008802DB" w:rsidP="00492672">
                      <w:pPr>
                        <w:pStyle w:val="ListParagraph"/>
                        <w:spacing w:line="288" w:lineRule="auto"/>
                        <w:jc w:val="both"/>
                        <w:rPr>
                          <w:sz w:val="20"/>
                          <w:szCs w:val="20"/>
                        </w:rPr>
                      </w:pPr>
                    </w:p>
                    <w:p w14:paraId="3363225D" w14:textId="77777777" w:rsidR="00E16F54" w:rsidRPr="00033D1D" w:rsidRDefault="00E16F54" w:rsidP="00AE1EEF">
                      <w:pPr>
                        <w:pStyle w:val="ListParagraph"/>
                        <w:numPr>
                          <w:ilvl w:val="0"/>
                          <w:numId w:val="9"/>
                        </w:numPr>
                        <w:spacing w:line="288" w:lineRule="auto"/>
                        <w:jc w:val="both"/>
                        <w:rPr>
                          <w:color w:val="000000" w:themeColor="text1"/>
                          <w:sz w:val="20"/>
                          <w:szCs w:val="20"/>
                        </w:rPr>
                      </w:pPr>
                      <w:r w:rsidRPr="00033D1D">
                        <w:rPr>
                          <w:sz w:val="20"/>
                          <w:szCs w:val="20"/>
                        </w:rPr>
                        <w:t>That a model, similar to that of the IYMP (Indigenous Youth Mobility Program) be adopted for rural and remote community children, that provides a holistic approach to career planning, education and training plans, accommodation, and professional and personal development.</w:t>
                      </w:r>
                    </w:p>
                  </w:txbxContent>
                </v:textbox>
                <w10:wrap type="square" anchorx="margin"/>
              </v:shape>
            </w:pict>
          </mc:Fallback>
        </mc:AlternateContent>
      </w:r>
      <w:r w:rsidR="00AB590C" w:rsidRPr="00E1686D">
        <w:rPr>
          <w:rFonts w:ascii="Arial" w:hAnsi="Arial" w:cs="Arial"/>
          <w:b/>
          <w:lang w:val="en-US"/>
        </w:rPr>
        <w:t xml:space="preserve"> </w:t>
      </w:r>
    </w:p>
    <w:p w14:paraId="18DCD863" w14:textId="77777777" w:rsidR="009C63B3" w:rsidRPr="00493EF8" w:rsidRDefault="009C63B3" w:rsidP="00E1686D">
      <w:pPr>
        <w:pStyle w:val="Heading1"/>
        <w:spacing w:before="120"/>
        <w:jc w:val="both"/>
        <w:rPr>
          <w:rFonts w:eastAsia="Arial"/>
          <w:b w:val="0"/>
          <w:color w:val="auto"/>
          <w:sz w:val="22"/>
          <w:szCs w:val="22"/>
          <w:lang w:val="en-US"/>
        </w:rPr>
      </w:pPr>
      <w:r w:rsidRPr="00493EF8">
        <w:rPr>
          <w:rFonts w:eastAsia="Arial"/>
          <w:color w:val="auto"/>
          <w:sz w:val="22"/>
          <w:szCs w:val="22"/>
          <w:lang w:val="en-US"/>
        </w:rPr>
        <w:t>Background</w:t>
      </w:r>
    </w:p>
    <w:p w14:paraId="6B65FCB8" w14:textId="77777777" w:rsidR="009C63B3" w:rsidRDefault="009C63B3" w:rsidP="00E1686D">
      <w:pPr>
        <w:pStyle w:val="Body"/>
        <w:spacing w:line="240" w:lineRule="auto"/>
        <w:jc w:val="both"/>
        <w:rPr>
          <w:rFonts w:ascii="Arial" w:hAnsi="Arial" w:cs="Arial"/>
          <w:b/>
          <w:lang w:val="en-US"/>
        </w:rPr>
      </w:pPr>
    </w:p>
    <w:p w14:paraId="429D05DF" w14:textId="77777777" w:rsidR="00A85A16" w:rsidRDefault="00A85A16" w:rsidP="00A85A16">
      <w:pPr>
        <w:autoSpaceDE w:val="0"/>
        <w:autoSpaceDN w:val="0"/>
        <w:adjustRightInd w:val="0"/>
        <w:spacing w:after="0" w:line="240" w:lineRule="auto"/>
        <w:jc w:val="both"/>
        <w:rPr>
          <w:color w:val="000000"/>
          <w:lang w:eastAsia="zh-CN"/>
        </w:rPr>
      </w:pPr>
      <w:r w:rsidRPr="00A85A16">
        <w:rPr>
          <w:color w:val="000000"/>
          <w:lang w:eastAsia="zh-CN"/>
        </w:rPr>
        <w:t xml:space="preserve">The importance of education and training, and of encouraging young people to complete school and successfully transition to further education, training or work is well known and there is a clear link between educational attainment and improved social and economic outcomes for the individual, society and the economy (Australian Bureau of Statistics 2016). </w:t>
      </w:r>
    </w:p>
    <w:p w14:paraId="1CF70C90" w14:textId="77777777" w:rsidR="007B61F5" w:rsidRPr="00A85A16" w:rsidRDefault="007B61F5" w:rsidP="00A85A16">
      <w:pPr>
        <w:autoSpaceDE w:val="0"/>
        <w:autoSpaceDN w:val="0"/>
        <w:adjustRightInd w:val="0"/>
        <w:spacing w:after="0" w:line="240" w:lineRule="auto"/>
        <w:jc w:val="both"/>
        <w:rPr>
          <w:color w:val="000000"/>
          <w:lang w:eastAsia="zh-CN"/>
        </w:rPr>
      </w:pPr>
    </w:p>
    <w:p w14:paraId="4CA9ADE7" w14:textId="77777777" w:rsidR="00A85A16" w:rsidRDefault="00A85A16" w:rsidP="00A85A16">
      <w:pPr>
        <w:autoSpaceDE w:val="0"/>
        <w:autoSpaceDN w:val="0"/>
        <w:adjustRightInd w:val="0"/>
        <w:spacing w:after="0" w:line="240" w:lineRule="auto"/>
        <w:jc w:val="both"/>
        <w:rPr>
          <w:color w:val="000000"/>
          <w:lang w:eastAsia="zh-CN"/>
        </w:rPr>
      </w:pPr>
      <w:r w:rsidRPr="00A85A16">
        <w:rPr>
          <w:color w:val="000000"/>
          <w:lang w:eastAsia="zh-CN"/>
        </w:rPr>
        <w:t xml:space="preserve">While the youth of today face a range of challenges, including restricted labour market conditions, there is a growing body of evidence on how responses to these challenges can improve with integrated policy and program structures that </w:t>
      </w:r>
      <w:r w:rsidR="007B6AE7">
        <w:rPr>
          <w:color w:val="000000"/>
          <w:lang w:eastAsia="zh-CN"/>
        </w:rPr>
        <w:t>support young people in their journeys through senior school and beyond</w:t>
      </w:r>
      <w:r w:rsidRPr="00A85A16">
        <w:rPr>
          <w:color w:val="000000"/>
          <w:lang w:eastAsia="zh-CN"/>
        </w:rPr>
        <w:t xml:space="preserve">. </w:t>
      </w:r>
      <w:r w:rsidR="00205F3F">
        <w:rPr>
          <w:color w:val="000000"/>
          <w:lang w:eastAsia="zh-CN"/>
        </w:rPr>
        <w:t xml:space="preserve"> </w:t>
      </w:r>
      <w:r w:rsidRPr="00A85A16">
        <w:rPr>
          <w:color w:val="000000"/>
          <w:lang w:eastAsia="zh-CN"/>
        </w:rPr>
        <w:t xml:space="preserve">All stakeholders including governments, industries, training providers, employers and students have a role to play to achieve outcomes for Australia’s youth. </w:t>
      </w:r>
    </w:p>
    <w:p w14:paraId="24815C99" w14:textId="77777777" w:rsidR="007B61F5" w:rsidRPr="00A85A16" w:rsidRDefault="007B61F5" w:rsidP="00A85A16">
      <w:pPr>
        <w:autoSpaceDE w:val="0"/>
        <w:autoSpaceDN w:val="0"/>
        <w:adjustRightInd w:val="0"/>
        <w:spacing w:after="0" w:line="240" w:lineRule="auto"/>
        <w:jc w:val="both"/>
        <w:rPr>
          <w:color w:val="000000"/>
          <w:lang w:eastAsia="zh-CN"/>
        </w:rPr>
      </w:pPr>
    </w:p>
    <w:p w14:paraId="7670A4F2" w14:textId="1BDD7257" w:rsidR="000371AD" w:rsidRDefault="00A85A16" w:rsidP="00A85A16">
      <w:pPr>
        <w:pStyle w:val="Body"/>
        <w:spacing w:line="240" w:lineRule="auto"/>
        <w:jc w:val="both"/>
        <w:rPr>
          <w:rFonts w:ascii="Arial" w:eastAsia="Times New Roman" w:hAnsi="Arial" w:cs="Arial"/>
          <w:bdr w:val="none" w:sz="0" w:space="0" w:color="auto"/>
        </w:rPr>
      </w:pPr>
      <w:r w:rsidRPr="00A85A16">
        <w:rPr>
          <w:rFonts w:ascii="Arial" w:eastAsia="Times New Roman" w:hAnsi="Arial" w:cs="Arial"/>
          <w:bdr w:val="none" w:sz="0" w:space="0" w:color="auto"/>
        </w:rPr>
        <w:t xml:space="preserve">While Queensland’s youth unemployment rates may be attributed to economic transition, many regions have endured more consistent </w:t>
      </w:r>
      <w:r w:rsidR="001030AF">
        <w:rPr>
          <w:rFonts w:ascii="Arial" w:eastAsia="Times New Roman" w:hAnsi="Arial" w:cs="Arial"/>
          <w:bdr w:val="none" w:sz="0" w:space="0" w:color="auto"/>
        </w:rPr>
        <w:t xml:space="preserve">high </w:t>
      </w:r>
      <w:r w:rsidRPr="00A85A16">
        <w:rPr>
          <w:rFonts w:ascii="Arial" w:eastAsia="Times New Roman" w:hAnsi="Arial" w:cs="Arial"/>
          <w:bdr w:val="none" w:sz="0" w:space="0" w:color="auto"/>
        </w:rPr>
        <w:t xml:space="preserve">unemployment rates. As shown in figure one, the Queensland outback is experiencing severe, entrenched youth unemployment. </w:t>
      </w:r>
    </w:p>
    <w:p w14:paraId="6E1E2BF0" w14:textId="77777777" w:rsidR="00013D63" w:rsidRPr="00C83526" w:rsidRDefault="00013D63" w:rsidP="00013D63">
      <w:pPr>
        <w:rPr>
          <w:b/>
          <w:sz w:val="18"/>
          <w:szCs w:val="18"/>
        </w:rPr>
      </w:pPr>
      <w:r w:rsidRPr="00C83526">
        <w:rPr>
          <w:b/>
          <w:sz w:val="18"/>
          <w:szCs w:val="18"/>
        </w:rPr>
        <w:t>Figure 1: Queensland Youth Unemployment Rate</w:t>
      </w:r>
    </w:p>
    <w:p w14:paraId="16887892" w14:textId="77777777" w:rsidR="00013D63" w:rsidRDefault="00013D63" w:rsidP="00013D63">
      <w:pPr>
        <w:pStyle w:val="Body"/>
        <w:spacing w:line="240" w:lineRule="auto"/>
        <w:jc w:val="both"/>
        <w:rPr>
          <w:rFonts w:ascii="Arial" w:eastAsia="Times New Roman" w:hAnsi="Arial" w:cs="Arial"/>
          <w:bdr w:val="none" w:sz="0" w:space="0" w:color="auto"/>
        </w:rPr>
      </w:pPr>
      <w:r>
        <w:rPr>
          <w:noProof/>
          <w:sz w:val="24"/>
          <w:szCs w:val="24"/>
          <w:lang w:eastAsia="en-AU"/>
        </w:rPr>
        <w:drawing>
          <wp:inline distT="0" distB="0" distL="0" distR="0" wp14:anchorId="1540B4C7" wp14:editId="2725B2C2">
            <wp:extent cx="5831840" cy="2870417"/>
            <wp:effectExtent l="0" t="0" r="0" b="6350"/>
            <wp:docPr id="21" name="Picture 21" title="Figure 1: Queensland Youth Unemployment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840" cy="2870417"/>
                    </a:xfrm>
                    <a:prstGeom prst="rect">
                      <a:avLst/>
                    </a:prstGeom>
                    <a:noFill/>
                  </pic:spPr>
                </pic:pic>
              </a:graphicData>
            </a:graphic>
          </wp:inline>
        </w:drawing>
      </w:r>
    </w:p>
    <w:p w14:paraId="0C863F8D" w14:textId="77777777" w:rsidR="00013D63" w:rsidRDefault="00013D63" w:rsidP="00013D63">
      <w:pPr>
        <w:jc w:val="right"/>
        <w:rPr>
          <w:rFonts w:ascii="Calibri" w:hAnsi="Calibri" w:cs="Calibri"/>
          <w:sz w:val="16"/>
          <w:szCs w:val="16"/>
        </w:rPr>
      </w:pPr>
      <w:r w:rsidRPr="003042C7">
        <w:rPr>
          <w:rFonts w:ascii="Calibri" w:hAnsi="Calibri" w:cs="Calibri"/>
          <w:sz w:val="16"/>
          <w:szCs w:val="16"/>
        </w:rPr>
        <w:t>Source: - ABS 6291.0.55.001, released 22 June 2017</w:t>
      </w:r>
    </w:p>
    <w:p w14:paraId="34D01C27" w14:textId="726A6586" w:rsidR="00013D63" w:rsidRDefault="00013D63" w:rsidP="00013D63">
      <w:pPr>
        <w:pStyle w:val="Body"/>
        <w:spacing w:line="240" w:lineRule="auto"/>
        <w:jc w:val="both"/>
        <w:rPr>
          <w:rFonts w:ascii="Arial" w:eastAsia="Times New Roman" w:hAnsi="Arial" w:cs="Arial"/>
          <w:bdr w:val="none" w:sz="0" w:space="0" w:color="auto"/>
        </w:rPr>
      </w:pPr>
      <w:r w:rsidRPr="00A85A16">
        <w:rPr>
          <w:rFonts w:ascii="Arial" w:eastAsia="Times New Roman" w:hAnsi="Arial" w:cs="Arial"/>
          <w:bdr w:val="none" w:sz="0" w:space="0" w:color="auto"/>
        </w:rPr>
        <w:t>TAFE Queensland educators live within these communities and actively work to respond to these problems</w:t>
      </w:r>
      <w:r w:rsidR="001420D4">
        <w:rPr>
          <w:rFonts w:ascii="Arial" w:eastAsia="Times New Roman" w:hAnsi="Arial" w:cs="Arial"/>
          <w:bdr w:val="none" w:sz="0" w:space="0" w:color="auto"/>
        </w:rPr>
        <w:t xml:space="preserve"> utilising </w:t>
      </w:r>
      <w:r w:rsidRPr="00013D63">
        <w:rPr>
          <w:rFonts w:ascii="Arial" w:eastAsia="Times New Roman" w:hAnsi="Arial" w:cs="Arial"/>
          <w:bdr w:val="none" w:sz="0" w:space="0" w:color="auto"/>
        </w:rPr>
        <w:t>their</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knowledge and skills</w:t>
      </w:r>
      <w:r>
        <w:rPr>
          <w:rFonts w:ascii="Arial" w:eastAsia="Times New Roman" w:hAnsi="Arial" w:cs="Arial"/>
          <w:bdr w:val="none" w:sz="0" w:space="0" w:color="auto"/>
        </w:rPr>
        <w:t xml:space="preserve"> </w:t>
      </w:r>
      <w:r w:rsidR="001420D4">
        <w:rPr>
          <w:rFonts w:ascii="Arial" w:eastAsia="Times New Roman" w:hAnsi="Arial" w:cs="Arial"/>
          <w:bdr w:val="none" w:sz="0" w:space="0" w:color="auto"/>
        </w:rPr>
        <w:t>t</w:t>
      </w:r>
      <w:r w:rsidRPr="00013D63">
        <w:rPr>
          <w:rFonts w:ascii="Arial" w:eastAsia="Times New Roman" w:hAnsi="Arial" w:cs="Arial"/>
          <w:bdr w:val="none" w:sz="0" w:space="0" w:color="auto"/>
        </w:rPr>
        <w:t xml:space="preserve">hrough </w:t>
      </w:r>
      <w:r w:rsidR="001420D4">
        <w:rPr>
          <w:rFonts w:ascii="Arial" w:eastAsia="Times New Roman" w:hAnsi="Arial" w:cs="Arial"/>
          <w:bdr w:val="none" w:sz="0" w:space="0" w:color="auto"/>
        </w:rPr>
        <w:t xml:space="preserve">programs such as </w:t>
      </w:r>
      <w:r w:rsidRPr="00013D63">
        <w:rPr>
          <w:rFonts w:ascii="Arial" w:eastAsia="Times New Roman" w:hAnsi="Arial" w:cs="Arial"/>
          <w:bdr w:val="none" w:sz="0" w:space="0" w:color="auto"/>
        </w:rPr>
        <w:t>the Skilling</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Queenslanders for Work initiative.</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Working in partnership with local</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community organisations and not-for</w:t>
      </w:r>
      <w:r w:rsidR="001420D4">
        <w:rPr>
          <w:rFonts w:ascii="Arial" w:eastAsia="Times New Roman" w:hAnsi="Arial" w:cs="Arial"/>
          <w:bdr w:val="none" w:sz="0" w:space="0" w:color="auto"/>
        </w:rPr>
        <w:t xml:space="preserve"> </w:t>
      </w:r>
      <w:r w:rsidRPr="00013D63">
        <w:rPr>
          <w:rFonts w:ascii="Arial" w:eastAsia="Times New Roman" w:hAnsi="Arial" w:cs="Arial"/>
          <w:bdr w:val="none" w:sz="0" w:space="0" w:color="auto"/>
        </w:rPr>
        <w:t>profits,</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 xml:space="preserve">TAFE Queensland </w:t>
      </w:r>
      <w:r w:rsidR="001420D4">
        <w:rPr>
          <w:rFonts w:ascii="Arial" w:eastAsia="Times New Roman" w:hAnsi="Arial" w:cs="Arial"/>
          <w:bdr w:val="none" w:sz="0" w:space="0" w:color="auto"/>
        </w:rPr>
        <w:t xml:space="preserve">has </w:t>
      </w:r>
      <w:r w:rsidRPr="00013D63">
        <w:rPr>
          <w:rFonts w:ascii="Arial" w:eastAsia="Times New Roman" w:hAnsi="Arial" w:cs="Arial"/>
          <w:bdr w:val="none" w:sz="0" w:space="0" w:color="auto"/>
        </w:rPr>
        <w:t>delivered 52</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training programs</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cross a range of</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industries.</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 xml:space="preserve">TAFE Queensland </w:t>
      </w:r>
      <w:r w:rsidR="001420D4">
        <w:rPr>
          <w:rFonts w:ascii="Arial" w:eastAsia="Times New Roman" w:hAnsi="Arial" w:cs="Arial"/>
          <w:bdr w:val="none" w:sz="0" w:space="0" w:color="auto"/>
        </w:rPr>
        <w:t xml:space="preserve">also </w:t>
      </w:r>
      <w:r w:rsidRPr="00013D63">
        <w:rPr>
          <w:rFonts w:ascii="Arial" w:eastAsia="Times New Roman" w:hAnsi="Arial" w:cs="Arial"/>
          <w:bdr w:val="none" w:sz="0" w:space="0" w:color="auto"/>
        </w:rPr>
        <w:t>responded to over</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1,416 job seeker referrals as part</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of the State Government’s Back to</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Work Regional Employment Package.</w:t>
      </w:r>
      <w:r w:rsidR="001420D4">
        <w:rPr>
          <w:rFonts w:ascii="Arial" w:eastAsia="Times New Roman" w:hAnsi="Arial" w:cs="Arial"/>
          <w:bdr w:val="none" w:sz="0" w:space="0" w:color="auto"/>
        </w:rPr>
        <w:t xml:space="preserve">  </w:t>
      </w:r>
      <w:r w:rsidRPr="00013D63">
        <w:rPr>
          <w:rFonts w:ascii="Arial" w:eastAsia="Times New Roman" w:hAnsi="Arial" w:cs="Arial"/>
          <w:bdr w:val="none" w:sz="0" w:space="0" w:color="auto"/>
        </w:rPr>
        <w:t>Based in Hervey Bay, Dalby, Mt Isa,</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Cairns, Townsville, Rockhampton</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and Mackay, Jobseeker Officers are</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providing career and training advice</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to build regional employment solutions</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and match jobseekers with employment</w:t>
      </w:r>
      <w:r>
        <w:rPr>
          <w:rFonts w:ascii="Arial" w:eastAsia="Times New Roman" w:hAnsi="Arial" w:cs="Arial"/>
          <w:bdr w:val="none" w:sz="0" w:space="0" w:color="auto"/>
        </w:rPr>
        <w:t xml:space="preserve"> </w:t>
      </w:r>
      <w:r w:rsidRPr="00013D63">
        <w:rPr>
          <w:rFonts w:ascii="Arial" w:eastAsia="Times New Roman" w:hAnsi="Arial" w:cs="Arial"/>
          <w:bdr w:val="none" w:sz="0" w:space="0" w:color="auto"/>
        </w:rPr>
        <w:t>opportunities.</w:t>
      </w:r>
    </w:p>
    <w:p w14:paraId="01A1A154" w14:textId="77777777" w:rsidR="000C56F8" w:rsidRDefault="000C56F8" w:rsidP="00013D63">
      <w:pPr>
        <w:pStyle w:val="Body"/>
        <w:spacing w:line="240" w:lineRule="auto"/>
        <w:jc w:val="both"/>
        <w:rPr>
          <w:rFonts w:ascii="Arial" w:eastAsia="Times New Roman" w:hAnsi="Arial" w:cs="Arial"/>
          <w:bdr w:val="none" w:sz="0" w:space="0" w:color="auto"/>
        </w:rPr>
      </w:pPr>
    </w:p>
    <w:p w14:paraId="2609846B" w14:textId="77777777" w:rsidR="00103E68" w:rsidRPr="00103E68" w:rsidRDefault="00103E68" w:rsidP="00103E68">
      <w:pPr>
        <w:pStyle w:val="Body"/>
        <w:spacing w:line="240" w:lineRule="auto"/>
        <w:jc w:val="both"/>
        <w:rPr>
          <w:rFonts w:ascii="Arial" w:eastAsia="Times New Roman" w:hAnsi="Arial" w:cs="Arial"/>
          <w:bdr w:val="none" w:sz="0" w:space="0" w:color="auto"/>
        </w:rPr>
      </w:pPr>
      <w:r w:rsidRPr="00103E68">
        <w:rPr>
          <w:rFonts w:ascii="Arial" w:eastAsia="Times New Roman" w:hAnsi="Arial" w:cs="Arial"/>
          <w:bdr w:val="none" w:sz="0" w:space="0" w:color="auto"/>
        </w:rPr>
        <w:t xml:space="preserve">Many regions across Queensland are dependent on a small number of fluctuating industries. Government investment in education and training, among other areas, is the catalyst that will grow new jobs and drive employment growth leading to new demand for existing local businesses at the same time as providing the career paths, opportunities and quality lifestyles for local citizens. </w:t>
      </w:r>
    </w:p>
    <w:p w14:paraId="5629B1D8" w14:textId="3F56D7CD" w:rsidR="00103E68" w:rsidRPr="00103E68" w:rsidRDefault="00103E68" w:rsidP="00103E68">
      <w:pPr>
        <w:pStyle w:val="Body"/>
        <w:spacing w:line="240" w:lineRule="auto"/>
        <w:jc w:val="both"/>
        <w:rPr>
          <w:rFonts w:ascii="Arial" w:eastAsia="Times New Roman" w:hAnsi="Arial" w:cs="Arial"/>
          <w:bdr w:val="none" w:sz="0" w:space="0" w:color="auto"/>
        </w:rPr>
      </w:pPr>
      <w:r w:rsidRPr="00103E68">
        <w:rPr>
          <w:rFonts w:ascii="Arial" w:eastAsia="Times New Roman" w:hAnsi="Arial" w:cs="Arial"/>
          <w:bdr w:val="none" w:sz="0" w:space="0" w:color="auto"/>
        </w:rPr>
        <w:t xml:space="preserve">In this context, TAFE Queensland believes there is significant economic benefit to </w:t>
      </w:r>
      <w:r w:rsidR="006B7085">
        <w:rPr>
          <w:rFonts w:ascii="Arial" w:eastAsia="Times New Roman" w:hAnsi="Arial" w:cs="Arial"/>
          <w:bdr w:val="none" w:sz="0" w:space="0" w:color="auto"/>
        </w:rPr>
        <w:t xml:space="preserve">both the Australian and </w:t>
      </w:r>
      <w:r w:rsidRPr="00103E68">
        <w:rPr>
          <w:rFonts w:ascii="Arial" w:eastAsia="Times New Roman" w:hAnsi="Arial" w:cs="Arial"/>
          <w:bdr w:val="none" w:sz="0" w:space="0" w:color="auto"/>
        </w:rPr>
        <w:t xml:space="preserve">State </w:t>
      </w:r>
      <w:r w:rsidR="006B7085">
        <w:rPr>
          <w:rFonts w:ascii="Arial" w:eastAsia="Times New Roman" w:hAnsi="Arial" w:cs="Arial"/>
          <w:bdr w:val="none" w:sz="0" w:space="0" w:color="auto"/>
        </w:rPr>
        <w:t xml:space="preserve">Governments </w:t>
      </w:r>
      <w:r w:rsidRPr="00103E68">
        <w:rPr>
          <w:rFonts w:ascii="Arial" w:eastAsia="Times New Roman" w:hAnsi="Arial" w:cs="Arial"/>
          <w:bdr w:val="none" w:sz="0" w:space="0" w:color="auto"/>
        </w:rPr>
        <w:t xml:space="preserve">in retaining the existing regional capacity for delivering quality education and training </w:t>
      </w:r>
      <w:r w:rsidR="006B7085">
        <w:rPr>
          <w:rFonts w:ascii="Arial" w:eastAsia="Times New Roman" w:hAnsi="Arial" w:cs="Arial"/>
          <w:bdr w:val="none" w:sz="0" w:space="0" w:color="auto"/>
        </w:rPr>
        <w:t xml:space="preserve">through </w:t>
      </w:r>
      <w:r w:rsidRPr="00103E68">
        <w:rPr>
          <w:rFonts w:ascii="Arial" w:eastAsia="Times New Roman" w:hAnsi="Arial" w:cs="Arial"/>
          <w:bdr w:val="none" w:sz="0" w:space="0" w:color="auto"/>
        </w:rPr>
        <w:t>public provider</w:t>
      </w:r>
      <w:r w:rsidR="006B7085">
        <w:rPr>
          <w:rFonts w:ascii="Arial" w:eastAsia="Times New Roman" w:hAnsi="Arial" w:cs="Arial"/>
          <w:bdr w:val="none" w:sz="0" w:space="0" w:color="auto"/>
        </w:rPr>
        <w:t>s</w:t>
      </w:r>
      <w:r w:rsidRPr="00103E68">
        <w:rPr>
          <w:rFonts w:ascii="Arial" w:eastAsia="Times New Roman" w:hAnsi="Arial" w:cs="Arial"/>
          <w:bdr w:val="none" w:sz="0" w:space="0" w:color="auto"/>
        </w:rPr>
        <w:t xml:space="preserve">.  TAFE Queensland’s </w:t>
      </w:r>
      <w:r w:rsidR="000C56F8">
        <w:rPr>
          <w:rFonts w:ascii="Arial" w:eastAsia="Times New Roman" w:hAnsi="Arial" w:cs="Arial"/>
          <w:bdr w:val="none" w:sz="0" w:space="0" w:color="auto"/>
        </w:rPr>
        <w:t>56</w:t>
      </w:r>
      <w:r w:rsidRPr="00103E68">
        <w:rPr>
          <w:rFonts w:ascii="Arial" w:eastAsia="Times New Roman" w:hAnsi="Arial" w:cs="Arial"/>
          <w:bdr w:val="none" w:sz="0" w:space="0" w:color="auto"/>
        </w:rPr>
        <w:t xml:space="preserve"> delivery locations across the state provide geographical and demographic reach for the Queensland Government to efficiently leverage to increase access and opportunity to quality </w:t>
      </w:r>
      <w:r w:rsidR="006B7085">
        <w:rPr>
          <w:rFonts w:ascii="Arial" w:eastAsia="Times New Roman" w:hAnsi="Arial" w:cs="Arial"/>
          <w:bdr w:val="none" w:sz="0" w:space="0" w:color="auto"/>
        </w:rPr>
        <w:t>education and training</w:t>
      </w:r>
      <w:r w:rsidRPr="00103E68">
        <w:rPr>
          <w:rFonts w:ascii="Arial" w:eastAsia="Times New Roman" w:hAnsi="Arial" w:cs="Arial"/>
          <w:bdr w:val="none" w:sz="0" w:space="0" w:color="auto"/>
        </w:rPr>
        <w:t xml:space="preserve">. </w:t>
      </w:r>
    </w:p>
    <w:p w14:paraId="06EF6EB2" w14:textId="1898956C" w:rsidR="00103E68" w:rsidRDefault="00103E68" w:rsidP="00103E68">
      <w:pPr>
        <w:pStyle w:val="Body"/>
        <w:spacing w:line="240" w:lineRule="auto"/>
        <w:jc w:val="both"/>
        <w:rPr>
          <w:rFonts w:ascii="Arial" w:eastAsia="Times New Roman" w:hAnsi="Arial" w:cs="Arial"/>
          <w:bdr w:val="none" w:sz="0" w:space="0" w:color="auto"/>
        </w:rPr>
      </w:pPr>
      <w:r w:rsidRPr="00103E68">
        <w:rPr>
          <w:rFonts w:ascii="Arial" w:eastAsia="Times New Roman" w:hAnsi="Arial" w:cs="Arial"/>
          <w:bdr w:val="none" w:sz="0" w:space="0" w:color="auto"/>
        </w:rPr>
        <w:t>The key issue for training delivery in rural and regional Queensland in comparison to metropolitan areas is attracting the required critical mass of students to run a financially viable training program. This means that training delivery to rural, remote and regional communities is characterised by smaller class sizes (due to smaller population bases) at the same time as increased delivery costs.</w:t>
      </w:r>
    </w:p>
    <w:p w14:paraId="07246540" w14:textId="54D8F771" w:rsidR="007B61F5" w:rsidRDefault="007B61F5" w:rsidP="00A85A16">
      <w:pPr>
        <w:pStyle w:val="Body"/>
        <w:spacing w:line="240" w:lineRule="auto"/>
        <w:jc w:val="both"/>
        <w:rPr>
          <w:rFonts w:ascii="Arial" w:hAnsi="Arial" w:cs="Arial"/>
          <w:lang w:val="en-US"/>
        </w:rPr>
      </w:pPr>
      <w:r w:rsidRPr="007B61F5">
        <w:rPr>
          <w:rFonts w:ascii="Arial" w:hAnsi="Arial" w:cs="Arial"/>
          <w:lang w:val="en-US"/>
        </w:rPr>
        <w:t xml:space="preserve">The challenges that governments and industry face in tackling this issue and its cumulative community effect, need sustained attention from governments, schools, vocational training, and universities as well as </w:t>
      </w:r>
      <w:r w:rsidR="00634D4F">
        <w:rPr>
          <w:rFonts w:ascii="Arial" w:hAnsi="Arial" w:cs="Arial"/>
          <w:lang w:val="en-US"/>
        </w:rPr>
        <w:t xml:space="preserve">continuing </w:t>
      </w:r>
      <w:r w:rsidRPr="007B61F5">
        <w:rPr>
          <w:rFonts w:ascii="Arial" w:hAnsi="Arial" w:cs="Arial"/>
          <w:lang w:val="en-US"/>
        </w:rPr>
        <w:t>financial support and</w:t>
      </w:r>
      <w:r w:rsidR="00634D4F">
        <w:rPr>
          <w:rFonts w:ascii="Arial" w:hAnsi="Arial" w:cs="Arial"/>
          <w:lang w:val="en-US"/>
        </w:rPr>
        <w:t xml:space="preserve"> </w:t>
      </w:r>
      <w:r w:rsidRPr="007B61F5">
        <w:rPr>
          <w:rFonts w:ascii="Arial" w:hAnsi="Arial" w:cs="Arial"/>
          <w:lang w:val="en-US"/>
        </w:rPr>
        <w:t>employment programs.</w:t>
      </w:r>
    </w:p>
    <w:p w14:paraId="14FA9069" w14:textId="77777777" w:rsidR="007B61F5" w:rsidRDefault="007B61F5">
      <w:pPr>
        <w:spacing w:after="0" w:line="240" w:lineRule="auto"/>
        <w:rPr>
          <w:b/>
          <w:bCs/>
          <w:lang w:val="en-US"/>
        </w:rPr>
      </w:pPr>
      <w:r>
        <w:rPr>
          <w:lang w:val="en-US"/>
        </w:rPr>
        <w:br w:type="page"/>
      </w:r>
    </w:p>
    <w:p w14:paraId="6B82CF94" w14:textId="77777777" w:rsidR="006929DC" w:rsidRDefault="009C63B3" w:rsidP="00E1686D">
      <w:pPr>
        <w:pStyle w:val="Heading1"/>
        <w:numPr>
          <w:ilvl w:val="0"/>
          <w:numId w:val="10"/>
        </w:numPr>
        <w:spacing w:before="120"/>
        <w:ind w:hanging="720"/>
        <w:jc w:val="both"/>
        <w:rPr>
          <w:color w:val="auto"/>
          <w:sz w:val="22"/>
          <w:szCs w:val="22"/>
          <w:lang w:val="en-US"/>
        </w:rPr>
      </w:pPr>
      <w:r w:rsidRPr="00493EF8">
        <w:rPr>
          <w:color w:val="auto"/>
          <w:sz w:val="22"/>
          <w:szCs w:val="22"/>
          <w:lang w:val="en-US"/>
        </w:rPr>
        <w:t>Curriculum and assessment</w:t>
      </w:r>
    </w:p>
    <w:p w14:paraId="14624CE4" w14:textId="77777777" w:rsidR="00E1686D" w:rsidRPr="00E1686D" w:rsidRDefault="00E1686D" w:rsidP="00E1686D">
      <w:pPr>
        <w:jc w:val="both"/>
        <w:rPr>
          <w:lang w:val="en-US"/>
        </w:rPr>
      </w:pPr>
    </w:p>
    <w:p w14:paraId="1A2C7E81" w14:textId="2F7E8B77" w:rsidR="001367D5" w:rsidRDefault="001367D5" w:rsidP="007E31AF">
      <w:pPr>
        <w:pStyle w:val="Body"/>
        <w:spacing w:line="24" w:lineRule="atLeast"/>
        <w:jc w:val="both"/>
        <w:rPr>
          <w:rFonts w:ascii="Arial" w:hAnsi="Arial" w:cs="Arial"/>
          <w:lang w:val="en-US"/>
        </w:rPr>
      </w:pPr>
      <w:r w:rsidRPr="001367D5">
        <w:rPr>
          <w:rFonts w:ascii="Arial" w:hAnsi="Arial" w:cs="Arial"/>
          <w:lang w:val="en-US"/>
        </w:rPr>
        <w:t xml:space="preserve">TAFE Queensland </w:t>
      </w:r>
      <w:r w:rsidR="001420D4">
        <w:rPr>
          <w:rFonts w:ascii="Arial" w:hAnsi="Arial" w:cs="Arial"/>
          <w:lang w:val="en-US"/>
        </w:rPr>
        <w:t xml:space="preserve">is </w:t>
      </w:r>
      <w:r>
        <w:rPr>
          <w:rFonts w:ascii="Arial" w:hAnsi="Arial" w:cs="Arial"/>
          <w:lang w:val="en-US"/>
        </w:rPr>
        <w:t xml:space="preserve">supportive of a national </w:t>
      </w:r>
      <w:r w:rsidRPr="001367D5">
        <w:rPr>
          <w:rFonts w:ascii="Arial" w:hAnsi="Arial" w:cs="Arial"/>
          <w:lang w:val="en-US"/>
        </w:rPr>
        <w:t>curriculum that better meets the learning needs of regional, rural and remote students</w:t>
      </w:r>
      <w:r w:rsidR="00024833">
        <w:rPr>
          <w:rFonts w:ascii="Arial" w:hAnsi="Arial" w:cs="Arial"/>
          <w:lang w:val="en-US"/>
        </w:rPr>
        <w:t>, and of a curriculum that can be tailored to suit differing local requirements in regional, rural and remote communities.</w:t>
      </w:r>
      <w:r>
        <w:rPr>
          <w:rFonts w:ascii="Arial" w:hAnsi="Arial" w:cs="Arial"/>
          <w:lang w:val="en-US"/>
        </w:rPr>
        <w:t xml:space="preserve"> </w:t>
      </w:r>
    </w:p>
    <w:p w14:paraId="37FDCCC4" w14:textId="35C55420" w:rsidR="004C5DD9" w:rsidRPr="000446E4" w:rsidRDefault="00026587" w:rsidP="007E31AF">
      <w:pPr>
        <w:pStyle w:val="Body"/>
        <w:spacing w:line="24" w:lineRule="atLeast"/>
        <w:jc w:val="both"/>
        <w:rPr>
          <w:rFonts w:ascii="Arial" w:hAnsi="Arial" w:cs="Arial"/>
          <w:lang w:val="en-US"/>
        </w:rPr>
      </w:pPr>
      <w:r>
        <w:rPr>
          <w:rFonts w:ascii="Arial" w:hAnsi="Arial" w:cs="Arial"/>
          <w:lang w:val="en-US"/>
        </w:rPr>
        <w:t xml:space="preserve">The </w:t>
      </w:r>
      <w:r w:rsidR="004C5DD9" w:rsidRPr="00493EF8">
        <w:rPr>
          <w:rFonts w:ascii="Arial" w:hAnsi="Arial" w:cs="Arial"/>
          <w:lang w:val="en-US"/>
        </w:rPr>
        <w:t xml:space="preserve">Australian </w:t>
      </w:r>
      <w:r w:rsidR="004C5DD9" w:rsidRPr="000446E4">
        <w:rPr>
          <w:rFonts w:ascii="Arial" w:hAnsi="Arial" w:cs="Arial"/>
          <w:lang w:val="en-US"/>
        </w:rPr>
        <w:t xml:space="preserve">Curriculum can and should be tailored to the needs and interests of students in any context. This is particularly important in regional, rural and remote settings where it can be difficult for students to draw connections between </w:t>
      </w:r>
      <w:proofErr w:type="spellStart"/>
      <w:r w:rsidR="004C5DD9" w:rsidRPr="000446E4">
        <w:rPr>
          <w:rFonts w:ascii="Arial" w:hAnsi="Arial" w:cs="Arial"/>
          <w:lang w:val="en-US"/>
        </w:rPr>
        <w:t>standardised</w:t>
      </w:r>
      <w:proofErr w:type="spellEnd"/>
      <w:r w:rsidR="004C5DD9" w:rsidRPr="000446E4">
        <w:rPr>
          <w:rFonts w:ascii="Arial" w:hAnsi="Arial" w:cs="Arial"/>
          <w:lang w:val="en-US"/>
        </w:rPr>
        <w:t xml:space="preserve"> units of work and their local environment.</w:t>
      </w:r>
      <w:r w:rsidR="007B537B" w:rsidRPr="000446E4">
        <w:rPr>
          <w:rFonts w:ascii="Arial" w:hAnsi="Arial" w:cs="Arial"/>
          <w:lang w:val="en-US"/>
        </w:rPr>
        <w:t xml:space="preserve"> Resourcing is required to </w:t>
      </w:r>
      <w:r w:rsidR="008F2C78" w:rsidRPr="000446E4">
        <w:rPr>
          <w:rFonts w:ascii="Arial" w:hAnsi="Arial" w:cs="Arial"/>
          <w:lang w:val="en-US"/>
        </w:rPr>
        <w:t xml:space="preserve">allow schools to </w:t>
      </w:r>
      <w:r w:rsidR="007B537B" w:rsidRPr="000446E4">
        <w:rPr>
          <w:rFonts w:ascii="Arial" w:hAnsi="Arial" w:cs="Arial"/>
          <w:lang w:val="en-US"/>
        </w:rPr>
        <w:t xml:space="preserve">develop units of work </w:t>
      </w:r>
      <w:r w:rsidR="008F2C78" w:rsidRPr="000446E4">
        <w:rPr>
          <w:rFonts w:ascii="Arial" w:hAnsi="Arial" w:cs="Arial"/>
          <w:lang w:val="en-US"/>
        </w:rPr>
        <w:t xml:space="preserve">suitable to their students’ needs and </w:t>
      </w:r>
      <w:r w:rsidR="00634D4F">
        <w:rPr>
          <w:rFonts w:ascii="Arial" w:hAnsi="Arial" w:cs="Arial"/>
          <w:lang w:val="en-US"/>
        </w:rPr>
        <w:t xml:space="preserve">to develop </w:t>
      </w:r>
      <w:r w:rsidR="008F2C78" w:rsidRPr="000446E4">
        <w:rPr>
          <w:rFonts w:ascii="Arial" w:hAnsi="Arial" w:cs="Arial"/>
          <w:lang w:val="en-US"/>
        </w:rPr>
        <w:t>relevan</w:t>
      </w:r>
      <w:r w:rsidR="00634D4F">
        <w:rPr>
          <w:rFonts w:ascii="Arial" w:hAnsi="Arial" w:cs="Arial"/>
          <w:lang w:val="en-US"/>
        </w:rPr>
        <w:t>cy</w:t>
      </w:r>
      <w:r w:rsidR="008F2C78" w:rsidRPr="000446E4">
        <w:rPr>
          <w:rFonts w:ascii="Arial" w:hAnsi="Arial" w:cs="Arial"/>
          <w:lang w:val="en-US"/>
        </w:rPr>
        <w:t xml:space="preserve"> to their local communities.</w:t>
      </w:r>
    </w:p>
    <w:p w14:paraId="2D194854" w14:textId="54C15481" w:rsidR="00E078D9" w:rsidRPr="000371AD" w:rsidRDefault="00634D4F" w:rsidP="000371AD">
      <w:pPr>
        <w:pStyle w:val="Body"/>
        <w:spacing w:line="24" w:lineRule="atLeast"/>
        <w:jc w:val="both"/>
        <w:rPr>
          <w:rFonts w:ascii="Arial" w:hAnsi="Arial" w:cs="Arial"/>
          <w:lang w:val="en-US"/>
        </w:rPr>
      </w:pPr>
      <w:r>
        <w:rPr>
          <w:rFonts w:ascii="Arial" w:hAnsi="Arial" w:cs="Arial"/>
          <w:lang w:val="en-US"/>
        </w:rPr>
        <w:t>Although t</w:t>
      </w:r>
      <w:r w:rsidR="00026587" w:rsidRPr="000371AD">
        <w:rPr>
          <w:rFonts w:ascii="Arial" w:hAnsi="Arial" w:cs="Arial"/>
          <w:lang w:val="en-US"/>
        </w:rPr>
        <w:t xml:space="preserve">he Australian Curriculum provides a broad platform, there is a requirement for a greater focus on units of work, skills, and knowledge that students need to develop as they move through school and into post-school options.  </w:t>
      </w:r>
      <w:r w:rsidR="00F04DD0" w:rsidRPr="000371AD">
        <w:rPr>
          <w:rFonts w:ascii="Arial" w:hAnsi="Arial" w:cs="Arial"/>
          <w:lang w:val="en-US"/>
        </w:rPr>
        <w:t xml:space="preserve">Along with subjects from the Australian Curriculum, vocational education and training (VET) forms a key part of senior students’ learning in Queensland (as in other states). Completion of VET certificates or diplomas during </w:t>
      </w:r>
      <w:r w:rsidR="00026587" w:rsidRPr="000371AD">
        <w:rPr>
          <w:rFonts w:ascii="Arial" w:hAnsi="Arial" w:cs="Arial"/>
          <w:lang w:val="en-US"/>
        </w:rPr>
        <w:t>y</w:t>
      </w:r>
      <w:r w:rsidR="00F04DD0" w:rsidRPr="000371AD">
        <w:rPr>
          <w:rFonts w:ascii="Arial" w:hAnsi="Arial" w:cs="Arial"/>
          <w:lang w:val="en-US"/>
        </w:rPr>
        <w:t xml:space="preserve">ears 11 and 12 provide credit towards achievement of the Queensland Certificate of Education. </w:t>
      </w:r>
      <w:r w:rsidR="004C5DD9" w:rsidRPr="000371AD">
        <w:rPr>
          <w:rFonts w:ascii="Arial" w:hAnsi="Arial" w:cs="Arial"/>
          <w:lang w:val="en-US"/>
        </w:rPr>
        <w:t xml:space="preserve">More importantly, VET provides </w:t>
      </w:r>
      <w:r w:rsidR="00C538E9" w:rsidRPr="000371AD">
        <w:rPr>
          <w:rFonts w:ascii="Arial" w:hAnsi="Arial" w:cs="Arial"/>
          <w:lang w:val="en-US"/>
        </w:rPr>
        <w:t xml:space="preserve">industry-relevant training and skills, and job readiness </w:t>
      </w:r>
      <w:r w:rsidR="004C5DD9" w:rsidRPr="000371AD">
        <w:rPr>
          <w:rFonts w:ascii="Arial" w:hAnsi="Arial" w:cs="Arial"/>
          <w:lang w:val="en-US"/>
        </w:rPr>
        <w:t xml:space="preserve">that school subjects do not provide. This enhances student </w:t>
      </w:r>
      <w:r w:rsidR="00F04DD0" w:rsidRPr="000371AD">
        <w:rPr>
          <w:rFonts w:ascii="Arial" w:hAnsi="Arial" w:cs="Arial"/>
          <w:lang w:val="en-US"/>
        </w:rPr>
        <w:t>transition to post-school education, training and employment (See Section 9).</w:t>
      </w:r>
      <w:r w:rsidR="004C5DD9" w:rsidRPr="000371AD">
        <w:rPr>
          <w:rFonts w:ascii="Arial" w:hAnsi="Arial" w:cs="Arial"/>
          <w:lang w:val="en-US"/>
        </w:rPr>
        <w:t xml:space="preserve"> </w:t>
      </w:r>
      <w:r w:rsidR="00E078D9" w:rsidRPr="000371AD">
        <w:rPr>
          <w:rFonts w:ascii="Arial" w:hAnsi="Arial" w:cs="Arial"/>
          <w:lang w:val="en-US"/>
        </w:rPr>
        <w:t>In 2015 nationwide there were 257,100 ‘VET in Schools’ students, of whom 7.8% were school-based apprentices and trainees (NCVER 2016).</w:t>
      </w:r>
    </w:p>
    <w:p w14:paraId="47941A7A" w14:textId="418F898F" w:rsidR="002E34C5" w:rsidRPr="000018B0" w:rsidRDefault="008F2C78" w:rsidP="000371AD">
      <w:pPr>
        <w:pStyle w:val="Body"/>
        <w:spacing w:line="24" w:lineRule="atLeast"/>
        <w:jc w:val="both"/>
        <w:rPr>
          <w:rFonts w:ascii="Arial" w:hAnsi="Arial" w:cs="Arial"/>
          <w:lang w:val="en-US"/>
        </w:rPr>
      </w:pPr>
      <w:r w:rsidRPr="000018B0">
        <w:rPr>
          <w:rFonts w:ascii="Arial" w:hAnsi="Arial" w:cs="Arial"/>
          <w:lang w:val="en-US"/>
        </w:rPr>
        <w:t xml:space="preserve">The more limited range of subjects offered in schools resulting from small school size could be </w:t>
      </w:r>
      <w:r w:rsidR="00634D4F" w:rsidRPr="000018B0">
        <w:rPr>
          <w:rFonts w:ascii="Arial" w:hAnsi="Arial" w:cs="Arial"/>
          <w:lang w:val="en-US"/>
        </w:rPr>
        <w:t xml:space="preserve">improved and supplemented </w:t>
      </w:r>
      <w:r w:rsidRPr="000018B0">
        <w:rPr>
          <w:rFonts w:ascii="Arial" w:hAnsi="Arial" w:cs="Arial"/>
          <w:lang w:val="en-US"/>
        </w:rPr>
        <w:t xml:space="preserve">through partnerships with TAFE Queensland for delivery of </w:t>
      </w:r>
      <w:r w:rsidR="00D71682" w:rsidRPr="000018B0">
        <w:rPr>
          <w:rFonts w:ascii="Arial" w:hAnsi="Arial" w:cs="Arial"/>
          <w:lang w:val="en-US"/>
        </w:rPr>
        <w:t xml:space="preserve">‘TAFE </w:t>
      </w:r>
      <w:r w:rsidR="00E078D9" w:rsidRPr="000018B0">
        <w:rPr>
          <w:rFonts w:ascii="Arial" w:hAnsi="Arial" w:cs="Arial"/>
          <w:lang w:val="en-US"/>
        </w:rPr>
        <w:t>at</w:t>
      </w:r>
      <w:r w:rsidR="00D71682" w:rsidRPr="000018B0">
        <w:rPr>
          <w:rFonts w:ascii="Arial" w:hAnsi="Arial" w:cs="Arial"/>
          <w:lang w:val="en-US"/>
        </w:rPr>
        <w:t xml:space="preserve"> School’ </w:t>
      </w:r>
      <w:r w:rsidRPr="000018B0">
        <w:rPr>
          <w:rFonts w:ascii="Arial" w:hAnsi="Arial" w:cs="Arial"/>
          <w:lang w:val="en-US"/>
        </w:rPr>
        <w:t>programs.</w:t>
      </w:r>
      <w:r w:rsidR="00205F3F" w:rsidRPr="000018B0">
        <w:rPr>
          <w:rFonts w:ascii="Arial" w:hAnsi="Arial" w:cs="Arial"/>
          <w:lang w:val="en-US"/>
        </w:rPr>
        <w:t xml:space="preserve">  </w:t>
      </w:r>
      <w:r w:rsidR="002E34C5" w:rsidRPr="000018B0">
        <w:rPr>
          <w:rFonts w:ascii="Arial" w:hAnsi="Arial" w:cs="Arial"/>
          <w:lang w:val="en-US"/>
        </w:rPr>
        <w:t>In regional and remote areas, it would be useful for students to commence some vocational training to prepare them for further study</w:t>
      </w:r>
      <w:r w:rsidR="00D1717F" w:rsidRPr="000018B0">
        <w:rPr>
          <w:rFonts w:ascii="Arial" w:hAnsi="Arial" w:cs="Arial"/>
          <w:lang w:val="en-US"/>
        </w:rPr>
        <w:t xml:space="preserve"> or employment</w:t>
      </w:r>
      <w:r w:rsidR="002E34C5" w:rsidRPr="000018B0">
        <w:rPr>
          <w:rFonts w:ascii="Arial" w:hAnsi="Arial" w:cs="Arial"/>
          <w:lang w:val="en-US"/>
        </w:rPr>
        <w:t>.</w:t>
      </w:r>
    </w:p>
    <w:p w14:paraId="1B1F68E5" w14:textId="699F659E" w:rsidR="000018B0" w:rsidRPr="00BF47FA" w:rsidRDefault="000018B0" w:rsidP="000018B0">
      <w:pPr>
        <w:pStyle w:val="Body"/>
        <w:spacing w:line="24" w:lineRule="atLeast"/>
        <w:jc w:val="both"/>
        <w:rPr>
          <w:rFonts w:ascii="Arial" w:hAnsi="Arial" w:cs="Arial"/>
          <w:lang w:val="en-US"/>
        </w:rPr>
      </w:pPr>
      <w:r w:rsidRPr="000018B0">
        <w:rPr>
          <w:rFonts w:ascii="Arial" w:hAnsi="Arial" w:cs="Arial"/>
          <w:lang w:val="en-US"/>
        </w:rPr>
        <w:t xml:space="preserve">Recent </w:t>
      </w:r>
      <w:r w:rsidRPr="00BF47FA">
        <w:rPr>
          <w:rFonts w:ascii="Arial" w:hAnsi="Arial" w:cs="Arial"/>
          <w:lang w:val="en-US"/>
        </w:rPr>
        <w:t xml:space="preserve">TAFE Queensland research undertaken with CSIRO identified communication skills as </w:t>
      </w:r>
      <w:r w:rsidRPr="000018B0">
        <w:rPr>
          <w:rFonts w:ascii="Arial" w:hAnsi="Arial" w:cs="Arial"/>
          <w:lang w:val="en-US"/>
        </w:rPr>
        <w:t xml:space="preserve">a key </w:t>
      </w:r>
      <w:r w:rsidRPr="00BF47FA">
        <w:rPr>
          <w:rFonts w:ascii="Arial" w:hAnsi="Arial" w:cs="Arial"/>
          <w:lang w:val="en-US"/>
        </w:rPr>
        <w:t>area that was experiencing the highest growth in demand</w:t>
      </w:r>
      <w:r w:rsidRPr="000018B0">
        <w:rPr>
          <w:rFonts w:ascii="Arial" w:hAnsi="Arial" w:cs="Arial"/>
          <w:lang w:val="en-US"/>
        </w:rPr>
        <w:t xml:space="preserve">. </w:t>
      </w:r>
      <w:r w:rsidRPr="00BF47FA">
        <w:rPr>
          <w:rFonts w:ascii="Arial" w:hAnsi="Arial" w:cs="Arial"/>
          <w:lang w:val="en-US"/>
        </w:rPr>
        <w:t xml:space="preserve">Queensland’s predicted transition towards a service based economy, particularly in the areas of health and community services to service an ageing population are drivers of this demand. </w:t>
      </w:r>
    </w:p>
    <w:p w14:paraId="1F07C8FF" w14:textId="715DBF4C" w:rsidR="000018B0" w:rsidRPr="00BF47FA" w:rsidRDefault="000018B0" w:rsidP="000018B0">
      <w:pPr>
        <w:pStyle w:val="Body"/>
        <w:spacing w:line="24" w:lineRule="atLeast"/>
        <w:jc w:val="both"/>
        <w:rPr>
          <w:rFonts w:ascii="Arial" w:hAnsi="Arial" w:cs="Arial"/>
          <w:lang w:val="en-US"/>
        </w:rPr>
      </w:pPr>
      <w:r w:rsidRPr="00BF47FA">
        <w:rPr>
          <w:rFonts w:ascii="Arial" w:hAnsi="Arial" w:cs="Arial"/>
          <w:lang w:val="en-US"/>
        </w:rPr>
        <w:t xml:space="preserve">In relation to STEM cluster the areas of highest growth included technology design (generating or adapting equipment and technology to serve user needs), mathematics (using mathematics to solve problems) and computer use (using computers and computer software to program, write software, set up functions, enter data, or process information). </w:t>
      </w:r>
    </w:p>
    <w:p w14:paraId="13BF2D61" w14:textId="72DDAF1E" w:rsidR="000018B0" w:rsidRPr="000018B0" w:rsidRDefault="000018B0" w:rsidP="000018B0">
      <w:pPr>
        <w:pStyle w:val="Body"/>
        <w:spacing w:line="24" w:lineRule="atLeast"/>
        <w:jc w:val="both"/>
        <w:rPr>
          <w:rFonts w:ascii="Arial" w:hAnsi="Arial" w:cs="Arial"/>
          <w:lang w:val="en-US"/>
        </w:rPr>
      </w:pPr>
      <w:r w:rsidRPr="00EA7E83">
        <w:rPr>
          <w:rFonts w:ascii="Arial" w:hAnsi="Arial" w:cs="Arial"/>
          <w:lang w:val="en-US"/>
        </w:rPr>
        <w:t xml:space="preserve">Future skilling needs research continues to identify enterprise skills, sometimes referred to as soft, generic or twenty-first century skills, as transferable skills that enable individuals to engage with a complex working world and which have been found to be a powerful predictor of long-term job success, and include skills such as communications, problem solving, teamwork, research, writing and project management.  As many of these enterprise skills are commonly sought across various occupations, the Foundation for Young Australians (FYA) in their report </w:t>
      </w:r>
      <w:r w:rsidRPr="003C7D22">
        <w:rPr>
          <w:rFonts w:ascii="Arial" w:hAnsi="Arial" w:cs="Arial"/>
          <w:i/>
          <w:lang w:val="en-US"/>
        </w:rPr>
        <w:t>The New Work Mindset: 7 new job clusters to help young people navigate the new work order</w:t>
      </w:r>
      <w:r w:rsidRPr="00EA7E83">
        <w:rPr>
          <w:rFonts w:ascii="Arial" w:hAnsi="Arial" w:cs="Arial"/>
          <w:lang w:val="en-US"/>
        </w:rPr>
        <w:t xml:space="preserve">, suggests that educators and policy makers could use the common skills requested by job clusters to help design </w:t>
      </w:r>
      <w:r w:rsidRPr="000018B0">
        <w:rPr>
          <w:rFonts w:ascii="Arial" w:hAnsi="Arial" w:cs="Arial"/>
          <w:lang w:val="en-US"/>
        </w:rPr>
        <w:t xml:space="preserve">suitable resources </w:t>
      </w:r>
      <w:r w:rsidRPr="00EA7E83">
        <w:rPr>
          <w:rFonts w:ascii="Arial" w:hAnsi="Arial" w:cs="Arial"/>
          <w:lang w:val="en-US"/>
        </w:rPr>
        <w:t xml:space="preserve">that are core to multiple curricula. </w:t>
      </w:r>
    </w:p>
    <w:p w14:paraId="07BD19FB" w14:textId="77777777" w:rsidR="007E31AF" w:rsidRPr="007B61F5" w:rsidRDefault="007E31AF" w:rsidP="007E31AF">
      <w:pPr>
        <w:pStyle w:val="Body"/>
        <w:spacing w:line="24" w:lineRule="atLeast"/>
        <w:jc w:val="both"/>
        <w:rPr>
          <w:rFonts w:ascii="Arial" w:hAnsi="Arial" w:cs="Arial"/>
          <w:lang w:val="en-US"/>
        </w:rPr>
      </w:pPr>
    </w:p>
    <w:p w14:paraId="7C9A6282" w14:textId="77777777" w:rsidR="00921D09" w:rsidRPr="00493EF8" w:rsidRDefault="001C263B" w:rsidP="007E31AF">
      <w:pPr>
        <w:pStyle w:val="Body"/>
        <w:spacing w:line="24" w:lineRule="atLeast"/>
        <w:jc w:val="both"/>
        <w:rPr>
          <w:rFonts w:ascii="Arial" w:hAnsi="Arial" w:cs="Arial"/>
          <w:i/>
          <w:u w:val="single"/>
          <w:lang w:val="en-US"/>
        </w:rPr>
      </w:pPr>
      <w:r>
        <w:rPr>
          <w:noProof/>
          <w:lang w:eastAsia="en-AU"/>
        </w:rPr>
        <mc:AlternateContent>
          <mc:Choice Requires="wps">
            <w:drawing>
              <wp:anchor distT="45720" distB="45720" distL="114300" distR="114300" simplePos="0" relativeHeight="251677696" behindDoc="0" locked="0" layoutInCell="1" allowOverlap="1" wp14:anchorId="5D473CA6" wp14:editId="6DEF2017">
                <wp:simplePos x="0" y="0"/>
                <wp:positionH relativeFrom="margin">
                  <wp:posOffset>3532505</wp:posOffset>
                </wp:positionH>
                <wp:positionV relativeFrom="paragraph">
                  <wp:posOffset>264795</wp:posOffset>
                </wp:positionV>
                <wp:extent cx="2287905" cy="1343660"/>
                <wp:effectExtent l="0" t="0" r="1714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343660"/>
                        </a:xfrm>
                        <a:prstGeom prst="rect">
                          <a:avLst/>
                        </a:prstGeom>
                        <a:solidFill>
                          <a:srgbClr val="FFFFFF"/>
                        </a:solidFill>
                        <a:ln w="15875">
                          <a:solidFill>
                            <a:srgbClr val="000000"/>
                          </a:solidFill>
                          <a:miter lim="800000"/>
                          <a:headEnd/>
                          <a:tailEnd/>
                        </a:ln>
                      </wps:spPr>
                      <wps:txbx>
                        <w:txbxContent>
                          <w:p w14:paraId="51A60553" w14:textId="015E4D02" w:rsidR="00E16F54" w:rsidRPr="00823814" w:rsidRDefault="00E16F54">
                            <w:pPr>
                              <w:rPr>
                                <w:sz w:val="20"/>
                              </w:rPr>
                            </w:pPr>
                            <w:r w:rsidRPr="00823814">
                              <w:rPr>
                                <w:sz w:val="20"/>
                              </w:rPr>
                              <w:t xml:space="preserve">Thursday Island’s </w:t>
                            </w:r>
                            <w:proofErr w:type="spellStart"/>
                            <w:r w:rsidRPr="00823814">
                              <w:rPr>
                                <w:sz w:val="20"/>
                              </w:rPr>
                              <w:t>Tagai</w:t>
                            </w:r>
                            <w:proofErr w:type="spellEnd"/>
                            <w:r w:rsidRPr="00823814">
                              <w:rPr>
                                <w:sz w:val="20"/>
                              </w:rPr>
                              <w:t xml:space="preserve"> High School</w:t>
                            </w:r>
                            <w:r w:rsidR="003F4FEE">
                              <w:rPr>
                                <w:sz w:val="20"/>
                              </w:rPr>
                              <w:t xml:space="preserve"> previously </w:t>
                            </w:r>
                            <w:r w:rsidRPr="00823814">
                              <w:rPr>
                                <w:sz w:val="20"/>
                              </w:rPr>
                              <w:t>worked with TAFE Queensland to deliver a Certificate III in Health Studies to students in grades 11 and 12.  Of the eight students that participated, six went on to further study in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73CA6" id="_x0000_t202" coordsize="21600,21600" o:spt="202" path="m,l,21600r21600,l21600,xe">
                <v:stroke joinstyle="miter"/>
                <v:path gradientshapeok="t" o:connecttype="rect"/>
              </v:shapetype>
              <v:shape id="_x0000_s1027" type="#_x0000_t202" style="position:absolute;left:0;text-align:left;margin-left:278.15pt;margin-top:20.85pt;width:180.15pt;height:105.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HwKAIAAE0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" strokeweight="1.25pt">
                <v:textbox>
                  <w:txbxContent>
                    <w:p w14:paraId="51A60553" w14:textId="015E4D02" w:rsidR="00E16F54" w:rsidRPr="00823814" w:rsidRDefault="00E16F54">
                      <w:pPr>
                        <w:rPr>
                          <w:sz w:val="20"/>
                        </w:rPr>
                      </w:pPr>
                      <w:r w:rsidRPr="00823814">
                        <w:rPr>
                          <w:sz w:val="20"/>
                        </w:rPr>
                        <w:t xml:space="preserve">Thursday Island’s </w:t>
                      </w:r>
                      <w:proofErr w:type="spellStart"/>
                      <w:r w:rsidRPr="00823814">
                        <w:rPr>
                          <w:sz w:val="20"/>
                        </w:rPr>
                        <w:t>Tagai</w:t>
                      </w:r>
                      <w:proofErr w:type="spellEnd"/>
                      <w:r w:rsidRPr="00823814">
                        <w:rPr>
                          <w:sz w:val="20"/>
                        </w:rPr>
                        <w:t xml:space="preserve"> High School</w:t>
                      </w:r>
                      <w:r w:rsidR="003F4FEE">
                        <w:rPr>
                          <w:sz w:val="20"/>
                        </w:rPr>
                        <w:t xml:space="preserve"> previously </w:t>
                      </w:r>
                      <w:r w:rsidRPr="00823814">
                        <w:rPr>
                          <w:sz w:val="20"/>
                        </w:rPr>
                        <w:t>worked with TAFE Queensland to deliver a Certificate III in Health Studies to students in grades 11 and 12.  Of the eight students that participated, six went on to further study in Health.</w:t>
                      </w:r>
                    </w:p>
                  </w:txbxContent>
                </v:textbox>
                <w10:wrap type="square" anchorx="margin"/>
              </v:shape>
            </w:pict>
          </mc:Fallback>
        </mc:AlternateContent>
      </w:r>
      <w:r w:rsidR="00921D09" w:rsidRPr="00493EF8">
        <w:rPr>
          <w:rFonts w:ascii="Arial" w:hAnsi="Arial" w:cs="Arial"/>
          <w:i/>
          <w:u w:val="single"/>
          <w:lang w:val="en-US"/>
        </w:rPr>
        <w:t>Innovative ways of delivering curriculum</w:t>
      </w:r>
    </w:p>
    <w:p w14:paraId="49C21B7F" w14:textId="509F90A8" w:rsidR="00921D09" w:rsidRDefault="00921D09" w:rsidP="007E31AF">
      <w:pPr>
        <w:pStyle w:val="ListParagraph"/>
        <w:numPr>
          <w:ilvl w:val="0"/>
          <w:numId w:val="13"/>
        </w:numPr>
        <w:spacing w:line="24" w:lineRule="atLeast"/>
        <w:ind w:left="317"/>
        <w:jc w:val="both"/>
      </w:pPr>
      <w:r w:rsidRPr="00493EF8">
        <w:t>T</w:t>
      </w:r>
      <w:r w:rsidR="00D1717F">
        <w:t xml:space="preserve">AFE Queensland </w:t>
      </w:r>
      <w:r w:rsidRPr="00493EF8">
        <w:t xml:space="preserve">are trialling a mixed delivery model in 2018 for students living in rural and remote communities. Delivery includes online resources, with </w:t>
      </w:r>
      <w:r w:rsidR="00E1686D">
        <w:t>one</w:t>
      </w:r>
      <w:r w:rsidRPr="00493EF8">
        <w:t xml:space="preserve"> day per month via online teaching (‘school of the air’ model). To ensure students receive the practical component of training, block delivery is then scheduled on school holidays for students to travel and stay in local accommodation services. </w:t>
      </w:r>
    </w:p>
    <w:p w14:paraId="36A5C429" w14:textId="77777777" w:rsidR="007B61F5" w:rsidRDefault="007B61F5" w:rsidP="007E31AF">
      <w:pPr>
        <w:pStyle w:val="ListParagraph"/>
        <w:spacing w:line="24" w:lineRule="atLeast"/>
        <w:ind w:left="317"/>
        <w:jc w:val="both"/>
      </w:pPr>
    </w:p>
    <w:p w14:paraId="10631763" w14:textId="799087EF" w:rsidR="002E34C5" w:rsidRDefault="002E34C5" w:rsidP="007E31AF">
      <w:pPr>
        <w:pStyle w:val="ListParagraph"/>
        <w:numPr>
          <w:ilvl w:val="0"/>
          <w:numId w:val="13"/>
        </w:numPr>
        <w:spacing w:line="24" w:lineRule="atLeast"/>
        <w:ind w:left="317"/>
        <w:jc w:val="both"/>
      </w:pPr>
      <w:r>
        <w:t xml:space="preserve">Away-from-Base delivery </w:t>
      </w:r>
      <w:r w:rsidR="00D1717F">
        <w:t xml:space="preserve">across regional, rural and remote areas in </w:t>
      </w:r>
      <w:r>
        <w:t xml:space="preserve">Queensland where TAFE </w:t>
      </w:r>
      <w:r w:rsidR="00D1717F">
        <w:t>Queensland</w:t>
      </w:r>
      <w:r>
        <w:t xml:space="preserve"> students attend residential study blocks, funded by the </w:t>
      </w:r>
      <w:r w:rsidR="003C7D22">
        <w:t>Australian</w:t>
      </w:r>
      <w:r>
        <w:t xml:space="preserve"> Government.  This includes vocational placement (when able to be timetabled) so that students have an opportunity to work in industry.</w:t>
      </w:r>
    </w:p>
    <w:p w14:paraId="4484F72C" w14:textId="77777777" w:rsidR="007B61F5" w:rsidRDefault="007B61F5" w:rsidP="007E31AF">
      <w:pPr>
        <w:pStyle w:val="ListParagraph"/>
        <w:spacing w:line="24" w:lineRule="atLeast"/>
      </w:pPr>
    </w:p>
    <w:p w14:paraId="6551CCCC" w14:textId="1C7628FA" w:rsidR="00D1717F" w:rsidRPr="003C7D22" w:rsidRDefault="00D1717F" w:rsidP="007E31AF">
      <w:pPr>
        <w:pStyle w:val="ListParagraph"/>
        <w:numPr>
          <w:ilvl w:val="0"/>
          <w:numId w:val="13"/>
        </w:numPr>
        <w:spacing w:line="24" w:lineRule="atLeast"/>
        <w:ind w:left="317"/>
        <w:jc w:val="both"/>
        <w:rPr>
          <w:spacing w:val="-2"/>
        </w:rPr>
      </w:pPr>
      <w:r w:rsidRPr="003C7D22">
        <w:rPr>
          <w:spacing w:val="-2"/>
        </w:rPr>
        <w:t>TAFE Queensland ha</w:t>
      </w:r>
      <w:r w:rsidR="006B7085" w:rsidRPr="003C7D22">
        <w:rPr>
          <w:spacing w:val="-2"/>
        </w:rPr>
        <w:t>ve recently invested in a</w:t>
      </w:r>
      <w:r w:rsidRPr="003C7D22">
        <w:rPr>
          <w:spacing w:val="-2"/>
        </w:rPr>
        <w:t xml:space="preserve"> mobile van for delivery </w:t>
      </w:r>
      <w:r w:rsidR="00634D4F" w:rsidRPr="003C7D22">
        <w:rPr>
          <w:spacing w:val="-2"/>
        </w:rPr>
        <w:t xml:space="preserve">of VET in Queensland’s </w:t>
      </w:r>
      <w:r w:rsidRPr="003C7D22">
        <w:rPr>
          <w:spacing w:val="-2"/>
        </w:rPr>
        <w:t>South West</w:t>
      </w:r>
      <w:r w:rsidR="00634D4F" w:rsidRPr="003C7D22">
        <w:rPr>
          <w:spacing w:val="-2"/>
        </w:rPr>
        <w:t xml:space="preserve"> starting </w:t>
      </w:r>
      <w:r w:rsidRPr="003C7D22">
        <w:rPr>
          <w:spacing w:val="-2"/>
        </w:rPr>
        <w:t xml:space="preserve">in 2018. Initially based in Toowoomba, the mobile van will service the regions of Toowoomba, Warwick, Ipswich and Dalby in the automotive trades, light vehicle, heavy vehicle and auto electrical programs. The mobile van will be fitted as a contemporary learning space with </w:t>
      </w:r>
      <w:r w:rsidR="003C7D22" w:rsidRPr="003C7D22">
        <w:rPr>
          <w:spacing w:val="-2"/>
        </w:rPr>
        <w:t>Wi-Fi</w:t>
      </w:r>
      <w:r w:rsidRPr="003C7D22">
        <w:rPr>
          <w:spacing w:val="-2"/>
        </w:rPr>
        <w:t xml:space="preserve"> technology throughout, teacher and student desk stations and tools and workshop equipment suitable to conduct onsite training workshops. As the mobile business develops, the intention is to service the wider regional community with delivery circuits encompassing Goondiwindi, Roma and Chinchilla. A similar concept is also being considered for the construction trades. The mobile training van will increase opportunities and access to training and education </w:t>
      </w:r>
      <w:r w:rsidR="00634D4F" w:rsidRPr="003C7D22">
        <w:rPr>
          <w:spacing w:val="-2"/>
        </w:rPr>
        <w:t xml:space="preserve">for students </w:t>
      </w:r>
      <w:r w:rsidRPr="003C7D22">
        <w:rPr>
          <w:spacing w:val="-2"/>
        </w:rPr>
        <w:t>in rural areas, better service the apprenticeship market and increase numbers of regional students in the automotive fields.</w:t>
      </w:r>
    </w:p>
    <w:p w14:paraId="0E2AAE04" w14:textId="77777777" w:rsidR="00D1717F" w:rsidRDefault="00D1717F" w:rsidP="00D1717F">
      <w:pPr>
        <w:pStyle w:val="ListParagraph"/>
      </w:pPr>
    </w:p>
    <w:p w14:paraId="14E5BF44" w14:textId="5E374588" w:rsidR="002E34C5" w:rsidRPr="0025203A" w:rsidRDefault="006B7085" w:rsidP="0025203A">
      <w:pPr>
        <w:pStyle w:val="ListParagraph"/>
        <w:numPr>
          <w:ilvl w:val="0"/>
          <w:numId w:val="13"/>
        </w:numPr>
        <w:spacing w:line="24" w:lineRule="atLeast"/>
        <w:ind w:left="317"/>
        <w:jc w:val="both"/>
      </w:pPr>
      <w:r w:rsidRPr="006B7085">
        <w:t>Other b</w:t>
      </w:r>
      <w:r w:rsidR="00BD0231" w:rsidRPr="006B7085">
        <w:t xml:space="preserve">lended delivery models </w:t>
      </w:r>
      <w:r w:rsidR="007B0E5D" w:rsidRPr="006B7085">
        <w:t xml:space="preserve">are </w:t>
      </w:r>
      <w:r w:rsidR="00BD0231" w:rsidRPr="006B7085">
        <w:t xml:space="preserve">in place at many of TAFE Queensland’s regions whereby students </w:t>
      </w:r>
      <w:r w:rsidRPr="006B7085">
        <w:t xml:space="preserve">may </w:t>
      </w:r>
      <w:r w:rsidR="00BD0231" w:rsidRPr="006B7085">
        <w:t>study via workb</w:t>
      </w:r>
      <w:r w:rsidR="00D00D87" w:rsidRPr="006B7085">
        <w:t xml:space="preserve">ooks, online and via virtual classrooms </w:t>
      </w:r>
      <w:r w:rsidR="00BD0231" w:rsidRPr="006B7085">
        <w:t>and face to face.</w:t>
      </w:r>
    </w:p>
    <w:p w14:paraId="1C94F2E5" w14:textId="2C40F49F" w:rsidR="000018B0" w:rsidRDefault="000463A2" w:rsidP="00F3616D">
      <w:pPr>
        <w:spacing w:after="0" w:line="240" w:lineRule="auto"/>
        <w:rPr>
          <w:lang w:val="en-US"/>
        </w:rPr>
      </w:pPr>
      <w:r w:rsidRPr="00FA65CE">
        <w:rPr>
          <w:b/>
          <w:bCs/>
          <w:noProof/>
        </w:rPr>
        <mc:AlternateContent>
          <mc:Choice Requires="wps">
            <w:drawing>
              <wp:anchor distT="45720" distB="45720" distL="114300" distR="114300" simplePos="0" relativeHeight="251681792" behindDoc="0" locked="0" layoutInCell="1" allowOverlap="1" wp14:anchorId="07DCA472" wp14:editId="101AEAB4">
                <wp:simplePos x="0" y="0"/>
                <wp:positionH relativeFrom="margin">
                  <wp:align>right</wp:align>
                </wp:positionH>
                <wp:positionV relativeFrom="paragraph">
                  <wp:posOffset>163830</wp:posOffset>
                </wp:positionV>
                <wp:extent cx="5659755" cy="866775"/>
                <wp:effectExtent l="0" t="0" r="1714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866775"/>
                        </a:xfrm>
                        <a:prstGeom prst="rect">
                          <a:avLst/>
                        </a:prstGeom>
                        <a:solidFill>
                          <a:srgbClr val="C00000"/>
                        </a:solidFill>
                        <a:ln w="9525">
                          <a:solidFill>
                            <a:srgbClr val="000000"/>
                          </a:solidFill>
                          <a:miter lim="800000"/>
                          <a:headEnd/>
                          <a:tailEnd/>
                        </a:ln>
                      </wps:spPr>
                      <wps:txbx>
                        <w:txbxContent>
                          <w:p w14:paraId="4BFEF100" w14:textId="77777777" w:rsidR="00E16F54" w:rsidRPr="00F3616D" w:rsidRDefault="00E16F54">
                            <w:pPr>
                              <w:rPr>
                                <w:b/>
                                <w:color w:val="FFFFFF" w:themeColor="background1"/>
                              </w:rPr>
                            </w:pPr>
                            <w:r w:rsidRPr="00F3616D">
                              <w:rPr>
                                <w:b/>
                                <w:color w:val="FFFFFF" w:themeColor="background1"/>
                              </w:rPr>
                              <w:t>Recommendation 1: That the Australian Government fund the implementation and administration of pre-vocational programs through secondary schools as a key platform for developing work-ready skills and supporting students journey through school and beyond.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A472" id="_x0000_s1028" type="#_x0000_t202" style="position:absolute;margin-left:394.45pt;margin-top:12.9pt;width:445.65pt;height:68.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" fillcolor="#c00000">
                <v:textbox>
                  <w:txbxContent>
                    <w:p w14:paraId="4BFEF100" w14:textId="77777777" w:rsidR="00E16F54" w:rsidRPr="00F3616D" w:rsidRDefault="00E16F54">
                      <w:pPr>
                        <w:rPr>
                          <w:b/>
                          <w:color w:val="FFFFFF" w:themeColor="background1"/>
                        </w:rPr>
                      </w:pPr>
                      <w:r w:rsidRPr="00F3616D">
                        <w:rPr>
                          <w:b/>
                          <w:color w:val="FFFFFF" w:themeColor="background1"/>
                        </w:rPr>
                        <w:t>Recommendation 1: That the Australian Government fund the implementation and administration of pre-vocational programs through secondary schools as a key platform for developing work-ready skills and supporting students journey through school and beyond.</w:t>
                      </w:r>
                    </w:p>
                  </w:txbxContent>
                </v:textbox>
                <w10:wrap type="square" anchorx="margin"/>
              </v:shape>
            </w:pict>
          </mc:Fallback>
        </mc:AlternateContent>
      </w:r>
      <w:r w:rsidR="00F3616D">
        <w:rPr>
          <w:noProof/>
        </w:rPr>
        <mc:AlternateContent>
          <mc:Choice Requires="wps">
            <w:drawing>
              <wp:anchor distT="45720" distB="45720" distL="114300" distR="114300" simplePos="0" relativeHeight="251671552" behindDoc="0" locked="0" layoutInCell="1" allowOverlap="1" wp14:anchorId="2E2936BD" wp14:editId="4B074E0F">
                <wp:simplePos x="0" y="0"/>
                <wp:positionH relativeFrom="margin">
                  <wp:posOffset>154940</wp:posOffset>
                </wp:positionH>
                <wp:positionV relativeFrom="paragraph">
                  <wp:posOffset>1320165</wp:posOffset>
                </wp:positionV>
                <wp:extent cx="5650230" cy="845185"/>
                <wp:effectExtent l="0" t="0" r="2667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845185"/>
                        </a:xfrm>
                        <a:prstGeom prst="rect">
                          <a:avLst/>
                        </a:prstGeom>
                        <a:solidFill>
                          <a:srgbClr val="C00000"/>
                        </a:solidFill>
                        <a:ln w="9525">
                          <a:solidFill>
                            <a:srgbClr val="000000"/>
                          </a:solidFill>
                          <a:miter lim="800000"/>
                          <a:headEnd/>
                          <a:tailEnd/>
                        </a:ln>
                      </wps:spPr>
                      <wps:txbx>
                        <w:txbxContent>
                          <w:p w14:paraId="38D0F5C6" w14:textId="77777777" w:rsidR="000463A2" w:rsidRPr="000463A2" w:rsidRDefault="00E16F54" w:rsidP="000463A2">
                            <w:pPr>
                              <w:rPr>
                                <w:b/>
                                <w:color w:val="FFFFFF" w:themeColor="background1"/>
                              </w:rPr>
                            </w:pPr>
                            <w:r>
                              <w:rPr>
                                <w:b/>
                                <w:color w:val="FFFFFF" w:themeColor="background1"/>
                              </w:rPr>
                              <w:t xml:space="preserve">Recommendation 2: </w:t>
                            </w:r>
                            <w:r w:rsidR="000463A2" w:rsidRPr="000463A2">
                              <w:rPr>
                                <w:b/>
                                <w:color w:val="FFFFFF" w:themeColor="background1"/>
                              </w:rPr>
                              <w:t>That funding be allocated to assist students in rural and remote locations to attend VET block training courses, which would greatly assist in the uptake of student numbers, and could assist with travel costs and subsidised accommodation.</w:t>
                            </w:r>
                          </w:p>
                          <w:p w14:paraId="20202776" w14:textId="310C1D68" w:rsidR="00E16F54" w:rsidRPr="00CC5001" w:rsidRDefault="00E16F54" w:rsidP="00CC5001">
                            <w:pPr>
                              <w:spacing w:line="288" w:lineRule="auto"/>
                              <w:jc w:val="both"/>
                              <w:rPr>
                                <w:b/>
                                <w:color w:val="FFFFFF" w:themeColor="background1"/>
                              </w:rPr>
                            </w:pPr>
                          </w:p>
                          <w:p w14:paraId="0C968EB2" w14:textId="77777777" w:rsidR="00E16F54" w:rsidRDefault="00E16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936BD" id="_x0000_s1029" type="#_x0000_t202" style="position:absolute;margin-left:12.2pt;margin-top:103.95pt;width:444.9pt;height:66.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" fillcolor="#c00000">
                <v:textbox>
                  <w:txbxContent>
                    <w:p w14:paraId="38D0F5C6" w14:textId="77777777" w:rsidR="000463A2" w:rsidRPr="000463A2" w:rsidRDefault="00E16F54" w:rsidP="000463A2">
                      <w:pPr>
                        <w:rPr>
                          <w:b/>
                          <w:color w:val="FFFFFF" w:themeColor="background1"/>
                        </w:rPr>
                      </w:pPr>
                      <w:r>
                        <w:rPr>
                          <w:b/>
                          <w:color w:val="FFFFFF" w:themeColor="background1"/>
                        </w:rPr>
                        <w:t xml:space="preserve">Recommendation 2: </w:t>
                      </w:r>
                      <w:r w:rsidR="000463A2" w:rsidRPr="000463A2">
                        <w:rPr>
                          <w:b/>
                          <w:color w:val="FFFFFF" w:themeColor="background1"/>
                        </w:rPr>
                        <w:t>That funding be allocated to assist students in rural and remote locations to attend VET block training courses, which would greatly assist in the uptake of student numbers, and could assist with travel costs and subsidised accommodation.</w:t>
                      </w:r>
                    </w:p>
                    <w:p w14:paraId="20202776" w14:textId="310C1D68" w:rsidR="00E16F54" w:rsidRPr="00CC5001" w:rsidRDefault="00E16F54" w:rsidP="00CC5001">
                      <w:pPr>
                        <w:spacing w:line="288" w:lineRule="auto"/>
                        <w:jc w:val="both"/>
                        <w:rPr>
                          <w:b/>
                          <w:color w:val="FFFFFF" w:themeColor="background1"/>
                        </w:rPr>
                      </w:pPr>
                    </w:p>
                    <w:p w14:paraId="0C968EB2" w14:textId="77777777" w:rsidR="00E16F54" w:rsidRDefault="00E16F54"/>
                  </w:txbxContent>
                </v:textbox>
                <w10:wrap type="square" anchorx="margin"/>
              </v:shape>
            </w:pict>
          </mc:Fallback>
        </mc:AlternateContent>
      </w:r>
    </w:p>
    <w:p w14:paraId="5D72E168" w14:textId="77777777" w:rsidR="003C7D22" w:rsidRDefault="003C7D22">
      <w:pPr>
        <w:spacing w:after="0" w:line="240" w:lineRule="auto"/>
        <w:rPr>
          <w:b/>
          <w:bCs/>
          <w:lang w:val="en-US"/>
        </w:rPr>
      </w:pPr>
      <w:r>
        <w:rPr>
          <w:lang w:val="en-US"/>
        </w:rPr>
        <w:br w:type="page"/>
      </w:r>
    </w:p>
    <w:p w14:paraId="1A24A874" w14:textId="7C0EC39A" w:rsidR="009C63B3" w:rsidRDefault="009C63B3" w:rsidP="00F3616D">
      <w:pPr>
        <w:pStyle w:val="Heading1"/>
        <w:numPr>
          <w:ilvl w:val="0"/>
          <w:numId w:val="10"/>
        </w:numPr>
        <w:spacing w:before="120"/>
        <w:ind w:hanging="720"/>
        <w:jc w:val="both"/>
        <w:rPr>
          <w:color w:val="auto"/>
          <w:sz w:val="22"/>
          <w:szCs w:val="22"/>
          <w:lang w:val="en-US"/>
        </w:rPr>
      </w:pPr>
      <w:r w:rsidRPr="00493EF8">
        <w:rPr>
          <w:color w:val="auto"/>
          <w:sz w:val="22"/>
          <w:szCs w:val="22"/>
          <w:lang w:val="en-US"/>
        </w:rPr>
        <w:t>Teachers and teaching</w:t>
      </w:r>
    </w:p>
    <w:p w14:paraId="0B5F30F4" w14:textId="77777777" w:rsidR="00E1686D" w:rsidRPr="00E1686D" w:rsidRDefault="00E1686D" w:rsidP="00E1686D">
      <w:pPr>
        <w:rPr>
          <w:lang w:val="en-US"/>
        </w:rPr>
      </w:pPr>
    </w:p>
    <w:p w14:paraId="5DE5A6B4" w14:textId="77777777" w:rsidR="002147C7" w:rsidRDefault="007B537B" w:rsidP="007E31AF">
      <w:pPr>
        <w:spacing w:line="24" w:lineRule="atLeast"/>
        <w:jc w:val="both"/>
      </w:pPr>
      <w:r w:rsidRPr="00493EF8">
        <w:t>TAFE Queensland acknowledges the difficulties faced b</w:t>
      </w:r>
      <w:r w:rsidR="00C3167B">
        <w:t>y teachers in regional, rural and</w:t>
      </w:r>
      <w:r w:rsidRPr="00493EF8">
        <w:t xml:space="preserve"> remote schools to be knowledgeable across a broad range of subjects and topics, often across a range of year levels to cover the diverse learning needs of students.</w:t>
      </w:r>
    </w:p>
    <w:p w14:paraId="2AC02D50" w14:textId="715A53D4" w:rsidR="007B0E5D" w:rsidRPr="00493EF8" w:rsidRDefault="007B0E5D" w:rsidP="007E31AF">
      <w:pPr>
        <w:spacing w:line="24" w:lineRule="atLeast"/>
        <w:jc w:val="both"/>
      </w:pPr>
      <w:r>
        <w:t xml:space="preserve">TAFE Queensland </w:t>
      </w:r>
      <w:r w:rsidRPr="00493EF8">
        <w:t>are supportive of</w:t>
      </w:r>
      <w:r>
        <w:t>;</w:t>
      </w:r>
    </w:p>
    <w:p w14:paraId="4E392BB8" w14:textId="396E95E8" w:rsidR="002147C7" w:rsidRPr="00493EF8" w:rsidRDefault="007B0E5D" w:rsidP="007E31AF">
      <w:pPr>
        <w:pStyle w:val="ListParagraph"/>
        <w:numPr>
          <w:ilvl w:val="0"/>
          <w:numId w:val="13"/>
        </w:numPr>
        <w:spacing w:line="24" w:lineRule="atLeast"/>
        <w:jc w:val="both"/>
      </w:pPr>
      <w:r>
        <w:t xml:space="preserve">Improved or </w:t>
      </w:r>
      <w:r w:rsidR="002147C7" w:rsidRPr="00493EF8">
        <w:t>new incentives to attract and retain high quality teachers to regional, rural and remote communities</w:t>
      </w:r>
      <w:r>
        <w:t>.</w:t>
      </w:r>
    </w:p>
    <w:p w14:paraId="024F1401" w14:textId="6279AFD5" w:rsidR="002147C7" w:rsidRPr="00493EF8" w:rsidRDefault="007B0E5D" w:rsidP="007E31AF">
      <w:pPr>
        <w:pStyle w:val="ListParagraph"/>
        <w:numPr>
          <w:ilvl w:val="0"/>
          <w:numId w:val="13"/>
        </w:numPr>
        <w:spacing w:line="24" w:lineRule="atLeast"/>
        <w:jc w:val="both"/>
        <w:rPr>
          <w:lang w:val="en-US"/>
        </w:rPr>
      </w:pPr>
      <w:r>
        <w:t>P</w:t>
      </w:r>
      <w:r w:rsidR="002147C7" w:rsidRPr="00493EF8">
        <w:t>rovision of access to high quality and ongoing professional development for teachers who take on teaching positions in regional, rural and remote schools</w:t>
      </w:r>
      <w:r>
        <w:t>.</w:t>
      </w:r>
    </w:p>
    <w:p w14:paraId="2EBF1BE4" w14:textId="715B7450" w:rsidR="008F2C78" w:rsidRPr="007B0E5D" w:rsidRDefault="007B0E5D" w:rsidP="007E31AF">
      <w:pPr>
        <w:pStyle w:val="ListParagraph"/>
        <w:numPr>
          <w:ilvl w:val="0"/>
          <w:numId w:val="13"/>
        </w:numPr>
        <w:spacing w:line="24" w:lineRule="atLeast"/>
        <w:jc w:val="both"/>
      </w:pPr>
      <w:r w:rsidRPr="007B0E5D">
        <w:t>D</w:t>
      </w:r>
      <w:r w:rsidR="008F2C78" w:rsidRPr="007B0E5D">
        <w:t>evelop</w:t>
      </w:r>
      <w:r w:rsidRPr="007B0E5D">
        <w:t>ment of</w:t>
      </w:r>
      <w:r w:rsidR="008F2C78" w:rsidRPr="007B0E5D">
        <w:t xml:space="preserve"> vocational and enterprise skills for students relevant to the community in which students are learning, with the longer term view of post-school opportunities and options</w:t>
      </w:r>
      <w:r w:rsidRPr="007B0E5D">
        <w:t>.</w:t>
      </w:r>
    </w:p>
    <w:p w14:paraId="749DD624" w14:textId="6DF05EB7" w:rsidR="008F2C78" w:rsidRPr="00493EF8" w:rsidRDefault="008F2C78" w:rsidP="007E31AF">
      <w:pPr>
        <w:pStyle w:val="ListParagraph"/>
        <w:numPr>
          <w:ilvl w:val="0"/>
          <w:numId w:val="13"/>
        </w:numPr>
        <w:spacing w:line="24" w:lineRule="atLeast"/>
        <w:jc w:val="both"/>
      </w:pPr>
      <w:r w:rsidRPr="00493EF8">
        <w:t>Promot</w:t>
      </w:r>
      <w:r w:rsidR="007B0E5D">
        <w:t>ion of o</w:t>
      </w:r>
      <w:r w:rsidRPr="00493EF8">
        <w:t xml:space="preserve">pportunities presented by </w:t>
      </w:r>
      <w:r w:rsidR="00823814">
        <w:t xml:space="preserve">regional rural and remote </w:t>
      </w:r>
      <w:r w:rsidRPr="00493EF8">
        <w:t>schools (earlier career progression)</w:t>
      </w:r>
      <w:r w:rsidR="00F3616D">
        <w:t>.</w:t>
      </w:r>
    </w:p>
    <w:p w14:paraId="662D0B87" w14:textId="77777777" w:rsidR="00126C45" w:rsidRPr="00493EF8" w:rsidRDefault="008F2C78" w:rsidP="007E31AF">
      <w:pPr>
        <w:pStyle w:val="ListParagraph"/>
        <w:numPr>
          <w:ilvl w:val="0"/>
          <w:numId w:val="13"/>
        </w:numPr>
        <w:spacing w:line="24" w:lineRule="atLeast"/>
        <w:jc w:val="both"/>
      </w:pPr>
      <w:r w:rsidRPr="00493EF8">
        <w:t xml:space="preserve">Encourage people in the community to train as teachers/support staff and utilise their understanding of the </w:t>
      </w:r>
      <w:r w:rsidR="00F3616D">
        <w:t>local needs and setting.</w:t>
      </w:r>
    </w:p>
    <w:p w14:paraId="69201BF9" w14:textId="5B1C7639" w:rsidR="008F2C78" w:rsidRPr="00493EF8" w:rsidRDefault="007B0E5D" w:rsidP="007E31AF">
      <w:pPr>
        <w:pStyle w:val="ListParagraph"/>
        <w:numPr>
          <w:ilvl w:val="0"/>
          <w:numId w:val="13"/>
        </w:numPr>
        <w:spacing w:line="24" w:lineRule="atLeast"/>
        <w:jc w:val="both"/>
      </w:pPr>
      <w:r>
        <w:t xml:space="preserve">Expansion of </w:t>
      </w:r>
      <w:r w:rsidR="008F2C78" w:rsidRPr="00493EF8">
        <w:t xml:space="preserve">programs such as Teach for Australia – (currently </w:t>
      </w:r>
      <w:r w:rsidR="00126C45" w:rsidRPr="00493EF8">
        <w:t>no schools</w:t>
      </w:r>
      <w:r w:rsidR="008F2C78" w:rsidRPr="00493EF8">
        <w:t xml:space="preserve"> in Q</w:t>
      </w:r>
      <w:r w:rsidR="00D71682">
        <w:t>ueensland</w:t>
      </w:r>
      <w:r w:rsidR="008F2C78" w:rsidRPr="00493EF8">
        <w:t>)</w:t>
      </w:r>
      <w:r w:rsidR="00F3616D">
        <w:t>.</w:t>
      </w:r>
    </w:p>
    <w:p w14:paraId="09227BA1" w14:textId="77777777" w:rsidR="007B0E5D" w:rsidRDefault="00AC5DE5" w:rsidP="007E31AF">
      <w:pPr>
        <w:spacing w:line="24" w:lineRule="atLeast"/>
        <w:jc w:val="both"/>
      </w:pPr>
      <w:r w:rsidRPr="00493EF8">
        <w:t xml:space="preserve">Additionally, awareness and knowledge of school staff could be improved with education programs for school teachers and staff including general education about the VET sector and VET options for students, and training opportunities in specific industry areas. </w:t>
      </w:r>
    </w:p>
    <w:p w14:paraId="0FDE08CF" w14:textId="06C18053" w:rsidR="00AC5DE5" w:rsidRDefault="00AC5DE5" w:rsidP="007E31AF">
      <w:pPr>
        <w:spacing w:line="24" w:lineRule="atLeast"/>
        <w:jc w:val="both"/>
      </w:pPr>
      <w:r w:rsidRPr="00493EF8">
        <w:t>This will be exacerbated by advances in automation and technologies that will require new skills that rely upon a solid foundation of literacy and numeracy. As such it is proposed that career guidance officers and other relevant school staff receive professional development in regard to the literacy and numeracy requirements of trade careers and many other occupations affected by automation and emerging technologies.</w:t>
      </w:r>
    </w:p>
    <w:p w14:paraId="52CE04EA" w14:textId="77777777" w:rsidR="00880267" w:rsidRDefault="00880267" w:rsidP="00AC5DE5">
      <w:pPr>
        <w:rPr>
          <w:b/>
          <w:lang w:val="en-US"/>
        </w:rPr>
      </w:pPr>
    </w:p>
    <w:p w14:paraId="449F540F" w14:textId="144E7617" w:rsidR="009C63B3" w:rsidRPr="00880267" w:rsidRDefault="009C63B3" w:rsidP="007E31AF">
      <w:pPr>
        <w:pStyle w:val="Heading1"/>
        <w:numPr>
          <w:ilvl w:val="0"/>
          <w:numId w:val="10"/>
        </w:numPr>
        <w:spacing w:before="120"/>
        <w:ind w:hanging="720"/>
        <w:jc w:val="both"/>
        <w:rPr>
          <w:color w:val="auto"/>
          <w:sz w:val="22"/>
          <w:szCs w:val="22"/>
          <w:lang w:val="en-US"/>
        </w:rPr>
      </w:pPr>
      <w:r w:rsidRPr="00880267">
        <w:rPr>
          <w:color w:val="auto"/>
          <w:sz w:val="22"/>
          <w:szCs w:val="22"/>
          <w:lang w:val="en-US"/>
        </w:rPr>
        <w:t>Leaders and leadership</w:t>
      </w:r>
    </w:p>
    <w:p w14:paraId="2F688F21" w14:textId="54B30F62" w:rsidR="00E1686D" w:rsidRPr="00E1686D" w:rsidRDefault="00E1686D" w:rsidP="00E1686D">
      <w:pPr>
        <w:rPr>
          <w:lang w:val="en-US"/>
        </w:rPr>
      </w:pPr>
    </w:p>
    <w:p w14:paraId="4E7932D5" w14:textId="4EA49C2A" w:rsidR="001E3DBC" w:rsidRDefault="004F088E" w:rsidP="001E3DBC">
      <w:pPr>
        <w:spacing w:line="288" w:lineRule="auto"/>
        <w:jc w:val="both"/>
      </w:pPr>
      <w:r w:rsidRPr="007E31AF">
        <w:rPr>
          <w:noProof/>
        </w:rPr>
        <mc:AlternateContent>
          <mc:Choice Requires="wps">
            <w:drawing>
              <wp:anchor distT="45720" distB="45720" distL="114300" distR="114300" simplePos="0" relativeHeight="251675648" behindDoc="0" locked="0" layoutInCell="1" allowOverlap="1" wp14:anchorId="50A20A3D" wp14:editId="24A953C8">
                <wp:simplePos x="0" y="0"/>
                <wp:positionH relativeFrom="margin">
                  <wp:posOffset>3135630</wp:posOffset>
                </wp:positionH>
                <wp:positionV relativeFrom="paragraph">
                  <wp:posOffset>39370</wp:posOffset>
                </wp:positionV>
                <wp:extent cx="2676525" cy="2171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71700"/>
                        </a:xfrm>
                        <a:prstGeom prst="rect">
                          <a:avLst/>
                        </a:prstGeom>
                        <a:solidFill>
                          <a:srgbClr val="FFFFFF"/>
                        </a:solidFill>
                        <a:ln w="15875">
                          <a:solidFill>
                            <a:srgbClr val="000000"/>
                          </a:solidFill>
                          <a:miter lim="800000"/>
                          <a:headEnd/>
                          <a:tailEnd/>
                        </a:ln>
                      </wps:spPr>
                      <wps:txbx>
                        <w:txbxContent>
                          <w:p w14:paraId="086B4030" w14:textId="50C36F6A" w:rsidR="00E16F54" w:rsidRPr="00823814" w:rsidRDefault="00E16F54" w:rsidP="007E31AF">
                            <w:pPr>
                              <w:spacing w:line="288" w:lineRule="auto"/>
                              <w:jc w:val="both"/>
                              <w:rPr>
                                <w:sz w:val="20"/>
                              </w:rPr>
                            </w:pPr>
                            <w:r w:rsidRPr="00823814">
                              <w:rPr>
                                <w:sz w:val="20"/>
                              </w:rPr>
                              <w:t xml:space="preserve">RATEP (Remote Area Teacher Education Programme) </w:t>
                            </w:r>
                            <w:r w:rsidRPr="00823814">
                              <w:rPr>
                                <w:color w:val="000000"/>
                                <w:sz w:val="20"/>
                                <w:szCs w:val="21"/>
                                <w:shd w:val="clear" w:color="auto" w:fill="FFFFFF"/>
                              </w:rPr>
                              <w:t>is a community-based teacher education program to enable Indigenous people to become fully qualified teaching assistants and/or registered teachers. This course is a part</w:t>
                            </w:r>
                            <w:r w:rsidR="00BF47FA">
                              <w:rPr>
                                <w:color w:val="000000"/>
                                <w:sz w:val="20"/>
                                <w:szCs w:val="21"/>
                                <w:shd w:val="clear" w:color="auto" w:fill="FFFFFF"/>
                              </w:rPr>
                              <w:t>nership between TAFE Queensland</w:t>
                            </w:r>
                            <w:r w:rsidRPr="00823814">
                              <w:rPr>
                                <w:color w:val="000000"/>
                                <w:sz w:val="20"/>
                                <w:szCs w:val="21"/>
                                <w:shd w:val="clear" w:color="auto" w:fill="FFFFFF"/>
                              </w:rPr>
                              <w:t xml:space="preserve">, Queensland Department of Education and Training (DET) state schools and James Cook University.  DET employ teacher coordinators in a number of locations, who support students through their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20A3D" id="_x0000_s1030" type="#_x0000_t202" style="position:absolute;left:0;text-align:left;margin-left:246.9pt;margin-top:3.1pt;width:210.75pt;height:17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" strokeweight="1.25pt">
                <v:textbox>
                  <w:txbxContent>
                    <w:p w14:paraId="086B4030" w14:textId="50C36F6A" w:rsidR="00E16F54" w:rsidRPr="00823814" w:rsidRDefault="00E16F54" w:rsidP="007E31AF">
                      <w:pPr>
                        <w:spacing w:line="288" w:lineRule="auto"/>
                        <w:jc w:val="both"/>
                        <w:rPr>
                          <w:sz w:val="20"/>
                        </w:rPr>
                      </w:pPr>
                      <w:r w:rsidRPr="00823814">
                        <w:rPr>
                          <w:sz w:val="20"/>
                        </w:rPr>
                        <w:t xml:space="preserve">RATEP (Remote Area Teacher Education Programme) </w:t>
                      </w:r>
                      <w:r w:rsidRPr="00823814">
                        <w:rPr>
                          <w:color w:val="000000"/>
                          <w:sz w:val="20"/>
                          <w:szCs w:val="21"/>
                          <w:shd w:val="clear" w:color="auto" w:fill="FFFFFF"/>
                        </w:rPr>
                        <w:t>is a community-based teacher education program to enable Indigenous people to become fully qualified teaching assistants and/or registered teachers. This course is a part</w:t>
                      </w:r>
                      <w:r w:rsidR="00BF47FA">
                        <w:rPr>
                          <w:color w:val="000000"/>
                          <w:sz w:val="20"/>
                          <w:szCs w:val="21"/>
                          <w:shd w:val="clear" w:color="auto" w:fill="FFFFFF"/>
                        </w:rPr>
                        <w:t>nership between TAFE Queensland</w:t>
                      </w:r>
                      <w:r w:rsidRPr="00823814">
                        <w:rPr>
                          <w:color w:val="000000"/>
                          <w:sz w:val="20"/>
                          <w:szCs w:val="21"/>
                          <w:shd w:val="clear" w:color="auto" w:fill="FFFFFF"/>
                        </w:rPr>
                        <w:t xml:space="preserve">, Queensland Department of Education and Training (DET) state schools and James Cook University.  DET employ teacher coordinators in a number of locations, who support students through their course.  </w:t>
                      </w:r>
                    </w:p>
                  </w:txbxContent>
                </v:textbox>
                <w10:wrap type="square" anchorx="margin"/>
              </v:shape>
            </w:pict>
          </mc:Fallback>
        </mc:AlternateContent>
      </w:r>
      <w:r w:rsidR="001E3DBC">
        <w:t xml:space="preserve">There is benefit in engaging with respected elders and community representatives who can oversee the cultural challenges that exist within remote communities.  </w:t>
      </w:r>
      <w:r w:rsidR="001E3DBC" w:rsidRPr="00EF321F">
        <w:t>Making Indigenous culture central to an organisation or program was highlighted as critical to success (Secretariat of National Aboriginal and Islander Child Care [SNAICC], 2012).</w:t>
      </w:r>
      <w:r w:rsidR="001E3DBC">
        <w:rPr>
          <w:color w:val="444444"/>
          <w:sz w:val="23"/>
          <w:szCs w:val="23"/>
        </w:rPr>
        <w:t xml:space="preserve">  </w:t>
      </w:r>
      <w:r w:rsidR="001E3DBC">
        <w:rPr>
          <w:lang w:val="en"/>
        </w:rPr>
        <w:t xml:space="preserve">An evaluation of several community development projects indicates many positive developments of the projects are "in no small part due to the key Indigenous leaders involved" (Burchill, Higgins, </w:t>
      </w:r>
      <w:proofErr w:type="spellStart"/>
      <w:r w:rsidR="001E3DBC">
        <w:rPr>
          <w:lang w:val="en"/>
        </w:rPr>
        <w:t>Ramsamy</w:t>
      </w:r>
      <w:proofErr w:type="spellEnd"/>
      <w:r w:rsidR="001E3DBC">
        <w:rPr>
          <w:lang w:val="en"/>
        </w:rPr>
        <w:t xml:space="preserve">, &amp; Taylor, 2006, p. 58).  </w:t>
      </w:r>
      <w:r w:rsidR="001E3DBC">
        <w:t>The Australian Government’s Policy for Indigenous Affairs includes its support for initiatives that empower indigenous communities “to give more authority to local Indigenous leaders with a view to achieving the Closing the Gap targets more quickly (The Coalition, 2013).”</w:t>
      </w:r>
    </w:p>
    <w:p w14:paraId="1AA00121" w14:textId="53B9FDD6" w:rsidR="001E3DBC" w:rsidRDefault="001E3DBC" w:rsidP="001E3DBC">
      <w:pPr>
        <w:jc w:val="both"/>
      </w:pPr>
      <w:r>
        <w:t xml:space="preserve">The following are some great examples which the </w:t>
      </w:r>
      <w:r w:rsidR="003C7D22">
        <w:t>Australian</w:t>
      </w:r>
      <w:r>
        <w:t xml:space="preserve"> Government could build on and implement on a greater scale, not just primary and secondary schools but also through vocational training providers such as TAFE Queensland, who deliver training in fifty-six locations across Queensland, including in many regional, rural and remote communities:</w:t>
      </w:r>
    </w:p>
    <w:p w14:paraId="327D755D" w14:textId="6F713F46" w:rsidR="00BF47FA" w:rsidRPr="00BF47FA" w:rsidRDefault="00BF47FA" w:rsidP="001E3DBC">
      <w:pPr>
        <w:pStyle w:val="ListParagraph"/>
        <w:numPr>
          <w:ilvl w:val="0"/>
          <w:numId w:val="26"/>
        </w:numPr>
        <w:spacing w:line="288" w:lineRule="auto"/>
        <w:jc w:val="both"/>
      </w:pPr>
      <w:r>
        <w:rPr>
          <w:lang w:val="en-US"/>
        </w:rPr>
        <w:t>In</w:t>
      </w:r>
      <w:r w:rsidRPr="000577F6">
        <w:rPr>
          <w:lang w:val="en-US"/>
        </w:rPr>
        <w:t xml:space="preserve"> 2015/16 TAFE Queensland delivered VET to 6,331 Aboriginal and Torres Strait Islanders throughout Queensland. Approximately 18% of this delivery occurred in </w:t>
      </w:r>
      <w:r>
        <w:rPr>
          <w:lang w:val="en-US"/>
        </w:rPr>
        <w:t>Queensland’s North</w:t>
      </w:r>
      <w:r w:rsidRPr="000577F6">
        <w:rPr>
          <w:lang w:val="en-US"/>
        </w:rPr>
        <w:t xml:space="preserve">, where Indigenous enrolments achieved a competency completion rate of 88%. TAFE Queensland’s delivery to indigenous students is </w:t>
      </w:r>
      <w:r>
        <w:rPr>
          <w:lang w:val="en-US"/>
        </w:rPr>
        <w:t xml:space="preserve">enhanced by </w:t>
      </w:r>
      <w:r w:rsidRPr="000577F6">
        <w:rPr>
          <w:lang w:val="en-US"/>
        </w:rPr>
        <w:t xml:space="preserve">Indigenous Student Support Officers that work across a number of locations to </w:t>
      </w:r>
      <w:r>
        <w:rPr>
          <w:lang w:val="en-US"/>
        </w:rPr>
        <w:t>assist</w:t>
      </w:r>
      <w:r w:rsidRPr="000577F6">
        <w:rPr>
          <w:lang w:val="en-US"/>
        </w:rPr>
        <w:t xml:space="preserve"> students and their progression.</w:t>
      </w:r>
    </w:p>
    <w:p w14:paraId="7BD9F654" w14:textId="77777777" w:rsidR="00BF47FA" w:rsidRDefault="00BF47FA" w:rsidP="00BF47FA">
      <w:pPr>
        <w:pStyle w:val="ListParagraph"/>
        <w:spacing w:line="288" w:lineRule="auto"/>
        <w:jc w:val="both"/>
      </w:pPr>
    </w:p>
    <w:p w14:paraId="07580A1C" w14:textId="77777777" w:rsidR="001E3DBC" w:rsidRDefault="001E3DBC" w:rsidP="001E3DBC">
      <w:pPr>
        <w:pStyle w:val="ListParagraph"/>
        <w:numPr>
          <w:ilvl w:val="0"/>
          <w:numId w:val="26"/>
        </w:numPr>
        <w:spacing w:line="288" w:lineRule="auto"/>
        <w:jc w:val="both"/>
      </w:pPr>
      <w:r w:rsidRPr="0067067E">
        <w:t xml:space="preserve">The Stronger Smarter Institute (formerly known as the Indigenous Education Leadership Institute) was established in 2005 as an innovative partnership between Education Queensland and the Queensland University of Technology, and seeks to achieve scale in delivering the Stronger Smarter approach to as many Indigenous students </w:t>
      </w:r>
      <w:r>
        <w:t xml:space="preserve">as </w:t>
      </w:r>
      <w:r w:rsidRPr="0067067E">
        <w:t xml:space="preserve">possible by partnering and working </w:t>
      </w:r>
      <w:r>
        <w:t>with</w:t>
      </w:r>
      <w:r w:rsidRPr="0067067E">
        <w:t xml:space="preserve"> school and community leaders.</w:t>
      </w:r>
      <w:r>
        <w:t xml:space="preserve">  </w:t>
      </w:r>
      <w:r w:rsidRPr="00D51ACD">
        <w:t>To date they have partnered with over 500 schools across the nation and through over 1,900 graduates of their leadership program have directly influenced the classrooms and outcomes of over 38,000 Indigenous students.</w:t>
      </w:r>
    </w:p>
    <w:p w14:paraId="578893B6" w14:textId="77777777" w:rsidR="001E3DBC" w:rsidRDefault="001E3DBC" w:rsidP="001E3DBC">
      <w:pPr>
        <w:pStyle w:val="ListParagraph"/>
        <w:spacing w:line="288" w:lineRule="auto"/>
        <w:jc w:val="both"/>
      </w:pPr>
    </w:p>
    <w:p w14:paraId="294F349C" w14:textId="0F93C428" w:rsidR="001E3DBC" w:rsidRDefault="001E3DBC" w:rsidP="0025203A">
      <w:pPr>
        <w:pStyle w:val="ListParagraph"/>
        <w:numPr>
          <w:ilvl w:val="0"/>
          <w:numId w:val="26"/>
        </w:numPr>
        <w:spacing w:line="288" w:lineRule="auto"/>
        <w:jc w:val="both"/>
      </w:pPr>
      <w:r w:rsidRPr="00655F25">
        <w:rPr>
          <w:spacing w:val="-2"/>
        </w:rPr>
        <w:t>The Queensland Government has strategies in place for attracting, retaining and supporting quality teachers and educational leaders to regional, rural and remote communities, including online coaching modules that aim to strengthen pedagogical practice and teacher content knowledge – these provide a valuable resource for localised development and help to bridge the gap in graduate teachers’ knowledge and skills.</w:t>
      </w:r>
      <w:r w:rsidR="0025203A">
        <w:t xml:space="preserve"> </w:t>
      </w:r>
    </w:p>
    <w:p w14:paraId="5EA2027C" w14:textId="77777777" w:rsidR="001E3DBC" w:rsidRDefault="001E3DBC" w:rsidP="001E3DBC">
      <w:pPr>
        <w:pStyle w:val="ListParagraph"/>
        <w:numPr>
          <w:ilvl w:val="0"/>
          <w:numId w:val="26"/>
        </w:numPr>
        <w:jc w:val="both"/>
      </w:pPr>
      <w:r>
        <w:t>The Rural and Remote Education Access Program (RREAP) funding, administered by the Queensland Government, is paid through school grants payments each year.  These funds are available to assist eligible schools and school communities to support and enrich a curriculum that is appropriate for the educational needs of geographically isolated primary and secondary school students.</w:t>
      </w:r>
    </w:p>
    <w:p w14:paraId="2AC0E7B9" w14:textId="084649A2" w:rsidR="00880267" w:rsidRDefault="001E3DBC" w:rsidP="001E3DBC">
      <w:pPr>
        <w:spacing w:line="288" w:lineRule="auto"/>
        <w:jc w:val="both"/>
      </w:pPr>
      <w:r>
        <w:t>School p</w:t>
      </w:r>
      <w:r w:rsidRPr="00493EF8">
        <w:t xml:space="preserve">rincipals </w:t>
      </w:r>
      <w:r>
        <w:t xml:space="preserve">in regional, rural and remote locations </w:t>
      </w:r>
      <w:r w:rsidRPr="00493EF8">
        <w:t xml:space="preserve">would benefit </w:t>
      </w:r>
      <w:r>
        <w:t>greatly from being part of a network of principals and local community business leaders that interact on a regular basis to share information and resources, and to provide each other with professional and peer support.</w:t>
      </w:r>
    </w:p>
    <w:p w14:paraId="73001383" w14:textId="77777777" w:rsidR="001420D4" w:rsidRDefault="001420D4" w:rsidP="00921D09"/>
    <w:p w14:paraId="53848532" w14:textId="77777777" w:rsidR="004354BD" w:rsidRDefault="009C63B3" w:rsidP="004354BD">
      <w:pPr>
        <w:pStyle w:val="Heading1"/>
        <w:numPr>
          <w:ilvl w:val="0"/>
          <w:numId w:val="10"/>
        </w:numPr>
        <w:spacing w:before="120"/>
        <w:ind w:hanging="720"/>
        <w:jc w:val="both"/>
        <w:rPr>
          <w:color w:val="auto"/>
          <w:sz w:val="22"/>
          <w:szCs w:val="22"/>
          <w:lang w:val="en-US"/>
        </w:rPr>
      </w:pPr>
      <w:r w:rsidRPr="00493EF8">
        <w:rPr>
          <w:color w:val="auto"/>
          <w:sz w:val="22"/>
          <w:szCs w:val="22"/>
          <w:lang w:val="en-US"/>
        </w:rPr>
        <w:t>School and community</w:t>
      </w:r>
    </w:p>
    <w:p w14:paraId="1DF6A748" w14:textId="77777777" w:rsidR="00E1686D" w:rsidRPr="00E1686D" w:rsidRDefault="00E1686D" w:rsidP="00E1686D">
      <w:pPr>
        <w:rPr>
          <w:lang w:val="en-US"/>
        </w:rPr>
      </w:pPr>
    </w:p>
    <w:p w14:paraId="1A7C4003" w14:textId="5A05D59F" w:rsidR="004136B2" w:rsidRDefault="004136B2" w:rsidP="00880267">
      <w:pPr>
        <w:jc w:val="both"/>
        <w:rPr>
          <w:color w:val="000000"/>
          <w:lang w:eastAsia="zh-CN"/>
        </w:rPr>
      </w:pPr>
      <w:r>
        <w:rPr>
          <w:color w:val="000000"/>
          <w:lang w:eastAsia="zh-CN"/>
        </w:rPr>
        <w:t xml:space="preserve">Students need role models and </w:t>
      </w:r>
      <w:r w:rsidR="00D71682">
        <w:rPr>
          <w:color w:val="000000"/>
          <w:lang w:eastAsia="zh-CN"/>
        </w:rPr>
        <w:t xml:space="preserve">to </w:t>
      </w:r>
      <w:r>
        <w:rPr>
          <w:color w:val="000000"/>
          <w:lang w:eastAsia="zh-CN"/>
        </w:rPr>
        <w:t xml:space="preserve">be supported when they leave home to study.  Connection with their </w:t>
      </w:r>
      <w:r w:rsidR="00B27DE0">
        <w:rPr>
          <w:color w:val="000000"/>
          <w:lang w:eastAsia="zh-CN"/>
        </w:rPr>
        <w:t xml:space="preserve">family, friends, peers and the </w:t>
      </w:r>
      <w:r>
        <w:rPr>
          <w:color w:val="000000"/>
          <w:lang w:eastAsia="zh-CN"/>
        </w:rPr>
        <w:t>community while they are away is paramount.  This could be via family me</w:t>
      </w:r>
      <w:r w:rsidR="00B27DE0">
        <w:rPr>
          <w:color w:val="000000"/>
          <w:lang w:eastAsia="zh-CN"/>
        </w:rPr>
        <w:t>mbers visiting</w:t>
      </w:r>
      <w:r w:rsidR="00D71682">
        <w:rPr>
          <w:color w:val="000000"/>
          <w:lang w:eastAsia="zh-CN"/>
        </w:rPr>
        <w:t xml:space="preserve"> in-person</w:t>
      </w:r>
      <w:r w:rsidR="00B27DE0">
        <w:rPr>
          <w:color w:val="000000"/>
          <w:lang w:eastAsia="zh-CN"/>
        </w:rPr>
        <w:t>, online chatting (e.g. Skype, FaceTime), peer group support</w:t>
      </w:r>
      <w:r w:rsidR="00D71682">
        <w:rPr>
          <w:color w:val="000000"/>
          <w:lang w:eastAsia="zh-CN"/>
        </w:rPr>
        <w:t xml:space="preserve"> (online and in-person)</w:t>
      </w:r>
      <w:r w:rsidR="00B27DE0">
        <w:rPr>
          <w:color w:val="000000"/>
          <w:lang w:eastAsia="zh-CN"/>
        </w:rPr>
        <w:t xml:space="preserve"> and </w:t>
      </w:r>
      <w:r>
        <w:rPr>
          <w:color w:val="000000"/>
          <w:lang w:eastAsia="zh-CN"/>
        </w:rPr>
        <w:t>student support officers.</w:t>
      </w:r>
    </w:p>
    <w:p w14:paraId="2BB0782D" w14:textId="50A3BF7F" w:rsidR="00D00479" w:rsidRDefault="001C263B" w:rsidP="00880267">
      <w:pPr>
        <w:spacing w:line="288" w:lineRule="auto"/>
        <w:jc w:val="both"/>
      </w:pPr>
      <w:r w:rsidRPr="001C263B">
        <w:rPr>
          <w:noProof/>
          <w:color w:val="000000"/>
        </w:rPr>
        <mc:AlternateContent>
          <mc:Choice Requires="wps">
            <w:drawing>
              <wp:anchor distT="45720" distB="45720" distL="114300" distR="114300" simplePos="0" relativeHeight="251679744" behindDoc="0" locked="0" layoutInCell="1" allowOverlap="1" wp14:anchorId="1B7F7B81" wp14:editId="282ABCBC">
                <wp:simplePos x="0" y="0"/>
                <wp:positionH relativeFrom="margin">
                  <wp:posOffset>3221990</wp:posOffset>
                </wp:positionH>
                <wp:positionV relativeFrom="paragraph">
                  <wp:posOffset>37465</wp:posOffset>
                </wp:positionV>
                <wp:extent cx="2590800" cy="19716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971675"/>
                        </a:xfrm>
                        <a:prstGeom prst="rect">
                          <a:avLst/>
                        </a:prstGeom>
                        <a:solidFill>
                          <a:srgbClr val="FFFFFF"/>
                        </a:solidFill>
                        <a:ln w="15875">
                          <a:solidFill>
                            <a:srgbClr val="000000"/>
                          </a:solidFill>
                          <a:miter lim="800000"/>
                          <a:headEnd/>
                          <a:tailEnd/>
                        </a:ln>
                      </wps:spPr>
                      <wps:txbx>
                        <w:txbxContent>
                          <w:p w14:paraId="6F8BD89E" w14:textId="1CE7AEB8" w:rsidR="00E16F54" w:rsidRPr="00823814" w:rsidRDefault="00E16F54" w:rsidP="001C263B">
                            <w:pPr>
                              <w:jc w:val="both"/>
                              <w:rPr>
                                <w:color w:val="000000"/>
                                <w:sz w:val="20"/>
                                <w:lang w:eastAsia="zh-CN"/>
                              </w:rPr>
                            </w:pPr>
                            <w:r w:rsidRPr="00823814">
                              <w:rPr>
                                <w:color w:val="000000"/>
                                <w:sz w:val="20"/>
                                <w:lang w:eastAsia="zh-CN"/>
                              </w:rPr>
                              <w:t xml:space="preserve">TAFE Queensland has partnered with the Lighthouse Club Australia, a not for profit charity, that offers educational bursaries to young people for construction related educational courses.  The recipients come from disadvantaged communities and backgrounds.  In 2017 TAFE Queensland and the Lighthouse Club Australia provided bursaries to two construction apprentices at risk of not completing their apprenticeship due to financial hardship. </w:t>
                            </w:r>
                          </w:p>
                          <w:p w14:paraId="6302163D" w14:textId="77777777" w:rsidR="00E16F54" w:rsidRDefault="00E16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F7B81" id="_x0000_s1031" type="#_x0000_t202" style="position:absolute;left:0;text-align:left;margin-left:253.7pt;margin-top:2.95pt;width:204pt;height:155.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" strokeweight="1.25pt">
                <v:textbox>
                  <w:txbxContent>
                    <w:p w14:paraId="6F8BD89E" w14:textId="1CE7AEB8" w:rsidR="00E16F54" w:rsidRPr="00823814" w:rsidRDefault="00E16F54" w:rsidP="001C263B">
                      <w:pPr>
                        <w:jc w:val="both"/>
                        <w:rPr>
                          <w:color w:val="000000"/>
                          <w:sz w:val="20"/>
                          <w:lang w:eastAsia="zh-CN"/>
                        </w:rPr>
                      </w:pPr>
                      <w:r w:rsidRPr="00823814">
                        <w:rPr>
                          <w:color w:val="000000"/>
                          <w:sz w:val="20"/>
                          <w:lang w:eastAsia="zh-CN"/>
                        </w:rPr>
                        <w:t xml:space="preserve">TAFE Queensland has partnered with the Lighthouse Club Australia, a not for profit charity, that offers educational bursaries to young people for construction related educational courses.  The recipients come from disadvantaged communities and backgrounds.  In 2017 TAFE Queensland and the Lighthouse Club Australia provided bursaries to two construction apprentices at risk of not completing their apprenticeship due to financial hardship. </w:t>
                      </w:r>
                    </w:p>
                    <w:p w14:paraId="6302163D" w14:textId="77777777" w:rsidR="00E16F54" w:rsidRDefault="00E16F54"/>
                  </w:txbxContent>
                </v:textbox>
                <w10:wrap type="square" anchorx="margin"/>
              </v:shape>
            </w:pict>
          </mc:Fallback>
        </mc:AlternateContent>
      </w:r>
      <w:r w:rsidR="00D00479" w:rsidRPr="00493EF8">
        <w:t xml:space="preserve">Student achievement </w:t>
      </w:r>
      <w:r w:rsidR="007E31AF">
        <w:t xml:space="preserve">should be </w:t>
      </w:r>
      <w:r w:rsidR="00D00479" w:rsidRPr="00493EF8">
        <w:t>linked to knowledge of opportunities and what is happening in the wider world. TAFE Queensland’s #</w:t>
      </w:r>
      <w:proofErr w:type="spellStart"/>
      <w:r w:rsidR="00D00479" w:rsidRPr="00493EF8">
        <w:t>DiscoverMyFuture</w:t>
      </w:r>
      <w:proofErr w:type="spellEnd"/>
      <w:r w:rsidR="00D00479" w:rsidRPr="00493EF8">
        <w:t xml:space="preserve"> program aimed at Year 9 students has assisted in building the aspirations of young people, allowing them to explore post-school options and </w:t>
      </w:r>
      <w:r w:rsidR="00D71682">
        <w:t>create awareness</w:t>
      </w:r>
      <w:r w:rsidR="00D00479" w:rsidRPr="00493EF8">
        <w:t xml:space="preserve"> of opportunities. This program is currently offered at no cost to schools.</w:t>
      </w:r>
    </w:p>
    <w:p w14:paraId="577F2CCD" w14:textId="3D5B0174" w:rsidR="000018B0" w:rsidRDefault="000018B0" w:rsidP="000018B0">
      <w:pPr>
        <w:spacing w:line="288" w:lineRule="auto"/>
        <w:jc w:val="both"/>
      </w:pPr>
      <w:r>
        <w:t xml:space="preserve">A review undertaken in July 2016 of this program </w:t>
      </w:r>
      <w:r w:rsidR="00655F25">
        <w:t>included</w:t>
      </w:r>
      <w:r>
        <w:t xml:space="preserve"> feedback from participating high schools </w:t>
      </w:r>
      <w:r w:rsidR="00655F25">
        <w:t>who said</w:t>
      </w:r>
      <w:r>
        <w:t xml:space="preserve"> that the program was meeting the needs of Year 9 students prior to the development of Senior Education and Training (SET) planning in Year 10.  Over ninety percent of students who used the program stated that it helped them identify interests and explore career pathways and over eight-eight percent indicated that it helped them understand a variety of pathways.  </w:t>
      </w:r>
    </w:p>
    <w:p w14:paraId="0AB15B55" w14:textId="44E6A038" w:rsidR="000018B0" w:rsidRDefault="000018B0" w:rsidP="000018B0">
      <w:pPr>
        <w:spacing w:line="288" w:lineRule="auto"/>
        <w:jc w:val="both"/>
      </w:pPr>
      <w:r>
        <w:t>Areas for improvement that were identified from the review included:</w:t>
      </w:r>
    </w:p>
    <w:p w14:paraId="51097E01" w14:textId="6E0B639F" w:rsidR="000018B0" w:rsidRDefault="000018B0" w:rsidP="000018B0">
      <w:pPr>
        <w:pStyle w:val="ListParagraph"/>
        <w:numPr>
          <w:ilvl w:val="0"/>
          <w:numId w:val="27"/>
        </w:numPr>
        <w:spacing w:line="288" w:lineRule="auto"/>
        <w:jc w:val="both"/>
      </w:pPr>
      <w:r>
        <w:t xml:space="preserve">Students wanted more time to explore their future job options; </w:t>
      </w:r>
    </w:p>
    <w:p w14:paraId="7433DA0E" w14:textId="1928EBDC" w:rsidR="000018B0" w:rsidRDefault="000018B0" w:rsidP="000018B0">
      <w:pPr>
        <w:pStyle w:val="ListParagraph"/>
        <w:numPr>
          <w:ilvl w:val="0"/>
          <w:numId w:val="27"/>
        </w:numPr>
        <w:spacing w:line="288" w:lineRule="auto"/>
        <w:jc w:val="both"/>
      </w:pPr>
      <w:r>
        <w:t>Student wanted the program to be able to let them explore more job types and perhaps more emerging roles (such as games development in light of coding etc. now in schools);</w:t>
      </w:r>
    </w:p>
    <w:p w14:paraId="337CA1A4" w14:textId="0EF3CE60" w:rsidR="000018B0" w:rsidRPr="00493EF8" w:rsidRDefault="000018B0" w:rsidP="000018B0">
      <w:pPr>
        <w:pStyle w:val="ListParagraph"/>
        <w:numPr>
          <w:ilvl w:val="0"/>
          <w:numId w:val="27"/>
        </w:numPr>
        <w:spacing w:line="288" w:lineRule="auto"/>
        <w:jc w:val="both"/>
      </w:pPr>
      <w:r>
        <w:t>Those students who identified their future job through the program wanted more detail on the specific job as well as comparisons on pathways to the job (e.g. University vs TAFE and global study options).</w:t>
      </w:r>
    </w:p>
    <w:p w14:paraId="2BFF1BF5" w14:textId="3B1FBA62" w:rsidR="004354BD" w:rsidRPr="00493EF8" w:rsidRDefault="004354BD" w:rsidP="00880267">
      <w:pPr>
        <w:jc w:val="both"/>
        <w:rPr>
          <w:color w:val="000000"/>
          <w:lang w:eastAsia="zh-CN"/>
        </w:rPr>
      </w:pPr>
      <w:r w:rsidRPr="00493EF8">
        <w:rPr>
          <w:color w:val="000000"/>
          <w:lang w:eastAsia="zh-CN"/>
        </w:rPr>
        <w:t xml:space="preserve">TAFE Queensland offers scholarships each year with a focus on skills needs for the economy. </w:t>
      </w:r>
      <w:r w:rsidR="004136B2">
        <w:rPr>
          <w:color w:val="000000"/>
          <w:lang w:eastAsia="zh-CN"/>
        </w:rPr>
        <w:t xml:space="preserve"> </w:t>
      </w:r>
      <w:r w:rsidRPr="00493EF8">
        <w:rPr>
          <w:color w:val="000000"/>
          <w:lang w:eastAsia="zh-CN"/>
        </w:rPr>
        <w:t xml:space="preserve">These scholarships are open to regional, rural and remote students intending to study with TAFE Queensland post-school and provide financial support for any expenses associated with study and living away from home. </w:t>
      </w:r>
    </w:p>
    <w:p w14:paraId="74E05606" w14:textId="549C9610" w:rsidR="009C63B3" w:rsidRDefault="004354BD" w:rsidP="00880267">
      <w:pPr>
        <w:jc w:val="both"/>
        <w:rPr>
          <w:color w:val="000000"/>
          <w:lang w:eastAsia="zh-CN"/>
        </w:rPr>
      </w:pPr>
      <w:r w:rsidRPr="00493EF8">
        <w:rPr>
          <w:color w:val="000000"/>
          <w:lang w:eastAsia="zh-CN"/>
        </w:rPr>
        <w:t xml:space="preserve">Further promotion of scholarship opportunities </w:t>
      </w:r>
      <w:r w:rsidR="007E31AF">
        <w:rPr>
          <w:color w:val="000000"/>
          <w:lang w:eastAsia="zh-CN"/>
        </w:rPr>
        <w:t xml:space="preserve">post-secondary school should be a priority </w:t>
      </w:r>
      <w:r w:rsidRPr="00493EF8">
        <w:rPr>
          <w:color w:val="000000"/>
          <w:lang w:eastAsia="zh-CN"/>
        </w:rPr>
        <w:t>to raise awareness with students and parents</w:t>
      </w:r>
      <w:r w:rsidR="001C263B">
        <w:rPr>
          <w:color w:val="000000"/>
          <w:lang w:eastAsia="zh-CN"/>
        </w:rPr>
        <w:t xml:space="preserve">.  For example, scholarships for students to leave home and find accommodation could be funded by the philanthropic sector.  Many scholarships appear to go to the brightest students, however </w:t>
      </w:r>
      <w:r w:rsidR="00823814">
        <w:rPr>
          <w:color w:val="000000"/>
          <w:lang w:eastAsia="zh-CN"/>
        </w:rPr>
        <w:t>often the students who are not necessarily top of the class but may be from disadvantaged backgrounds and have a good attitude are the ones who would benefit most from support</w:t>
      </w:r>
    </w:p>
    <w:p w14:paraId="7B1A89EF" w14:textId="77777777" w:rsidR="008802DB" w:rsidRDefault="008802DB" w:rsidP="00880267">
      <w:pPr>
        <w:jc w:val="both"/>
        <w:rPr>
          <w:color w:val="000000"/>
          <w:lang w:eastAsia="zh-CN"/>
        </w:rPr>
      </w:pPr>
    </w:p>
    <w:p w14:paraId="5D512415" w14:textId="77777777" w:rsidR="009C63B3" w:rsidRPr="00493EF8" w:rsidRDefault="009C63B3" w:rsidP="009C63B3">
      <w:pPr>
        <w:pStyle w:val="Heading1"/>
        <w:numPr>
          <w:ilvl w:val="0"/>
          <w:numId w:val="10"/>
        </w:numPr>
        <w:spacing w:before="120"/>
        <w:ind w:hanging="720"/>
        <w:jc w:val="both"/>
        <w:rPr>
          <w:color w:val="auto"/>
          <w:sz w:val="22"/>
          <w:szCs w:val="22"/>
          <w:lang w:val="en-US"/>
        </w:rPr>
      </w:pPr>
      <w:r w:rsidRPr="00493EF8">
        <w:rPr>
          <w:color w:val="auto"/>
          <w:sz w:val="22"/>
          <w:szCs w:val="22"/>
          <w:lang w:val="en-US"/>
        </w:rPr>
        <w:t>Information and Communication Technology</w:t>
      </w:r>
    </w:p>
    <w:p w14:paraId="0CE215DE" w14:textId="77777777" w:rsidR="00D00479" w:rsidRDefault="00D00479" w:rsidP="00D00479">
      <w:pPr>
        <w:rPr>
          <w:lang w:val="en-US"/>
        </w:rPr>
      </w:pPr>
    </w:p>
    <w:p w14:paraId="44ECDBEA" w14:textId="77777777" w:rsidR="008802DB" w:rsidRDefault="007E698C" w:rsidP="00186073">
      <w:pPr>
        <w:jc w:val="both"/>
        <w:rPr>
          <w:lang w:val="en-US"/>
        </w:rPr>
      </w:pPr>
      <w:r>
        <w:rPr>
          <w:lang w:val="en-US"/>
        </w:rPr>
        <w:t>Efficient i</w:t>
      </w:r>
      <w:r w:rsidR="00140005">
        <w:rPr>
          <w:lang w:val="en-US"/>
        </w:rPr>
        <w:t xml:space="preserve">nformation and communication </w:t>
      </w:r>
      <w:r w:rsidR="004700F0">
        <w:rPr>
          <w:lang w:val="en-US"/>
        </w:rPr>
        <w:t xml:space="preserve">technology </w:t>
      </w:r>
      <w:r w:rsidR="00140005">
        <w:rPr>
          <w:lang w:val="en-US"/>
        </w:rPr>
        <w:t xml:space="preserve">is no longer a luxury in </w:t>
      </w:r>
      <w:r w:rsidR="00D15607">
        <w:rPr>
          <w:lang w:val="en-US"/>
        </w:rPr>
        <w:t xml:space="preserve">employment </w:t>
      </w:r>
      <w:r>
        <w:rPr>
          <w:lang w:val="en-US"/>
        </w:rPr>
        <w:t>and everyday</w:t>
      </w:r>
      <w:r w:rsidR="00140005">
        <w:rPr>
          <w:lang w:val="en-US"/>
        </w:rPr>
        <w:t xml:space="preserve"> living, but a necessity and this is especially true in all sectors of education and training.  Without fast, reliable internet connections, up-to-date and appropriate software and </w:t>
      </w:r>
      <w:r w:rsidR="00186073">
        <w:rPr>
          <w:lang w:val="en-US"/>
        </w:rPr>
        <w:t xml:space="preserve">ICT support, effective teaching and learning </w:t>
      </w:r>
      <w:r w:rsidR="004131BF">
        <w:rPr>
          <w:lang w:val="en-US"/>
        </w:rPr>
        <w:t xml:space="preserve">can be </w:t>
      </w:r>
      <w:r w:rsidR="00186073">
        <w:rPr>
          <w:lang w:val="en-US"/>
        </w:rPr>
        <w:t>hindered</w:t>
      </w:r>
      <w:r w:rsidR="00D15607">
        <w:rPr>
          <w:lang w:val="en-US"/>
        </w:rPr>
        <w:t xml:space="preserve"> and ICT skills may lag employer needs</w:t>
      </w:r>
      <w:r w:rsidR="00186073">
        <w:rPr>
          <w:lang w:val="en-US"/>
        </w:rPr>
        <w:t xml:space="preserve">.  </w:t>
      </w:r>
    </w:p>
    <w:p w14:paraId="586DB020" w14:textId="4DBD8816" w:rsidR="007E31AF" w:rsidRPr="00493EF8" w:rsidRDefault="00186073" w:rsidP="00186073">
      <w:pPr>
        <w:jc w:val="both"/>
        <w:rPr>
          <w:lang w:val="en-US"/>
        </w:rPr>
      </w:pPr>
      <w:r>
        <w:rPr>
          <w:lang w:val="en-US"/>
        </w:rPr>
        <w:t>Some suggestions as to how information and communication can be improved for regional, rural and remote schooling are as follows:</w:t>
      </w:r>
    </w:p>
    <w:p w14:paraId="030AAA99" w14:textId="26C7E0B2" w:rsidR="00D00479" w:rsidRPr="00493EF8" w:rsidRDefault="00D00479" w:rsidP="00CC5001">
      <w:pPr>
        <w:pStyle w:val="ListParagraph"/>
        <w:numPr>
          <w:ilvl w:val="0"/>
          <w:numId w:val="15"/>
        </w:numPr>
        <w:spacing w:line="288" w:lineRule="auto"/>
        <w:jc w:val="both"/>
      </w:pPr>
      <w:r w:rsidRPr="00493EF8">
        <w:t xml:space="preserve">Combining more online/distance </w:t>
      </w:r>
      <w:r w:rsidR="00D15607">
        <w:t xml:space="preserve">training </w:t>
      </w:r>
      <w:r w:rsidRPr="00493EF8">
        <w:t>with face-to-face</w:t>
      </w:r>
      <w:r w:rsidR="00D15607">
        <w:t xml:space="preserve"> delivery</w:t>
      </w:r>
      <w:r w:rsidRPr="00493EF8">
        <w:t xml:space="preserve">, particularly for senior </w:t>
      </w:r>
      <w:r w:rsidR="00D15607">
        <w:t>students</w:t>
      </w:r>
      <w:r w:rsidRPr="00493EF8">
        <w:t xml:space="preserve">, to improve </w:t>
      </w:r>
      <w:r w:rsidR="00140005">
        <w:t xml:space="preserve">the </w:t>
      </w:r>
      <w:r w:rsidRPr="00493EF8">
        <w:t xml:space="preserve">range of </w:t>
      </w:r>
      <w:r w:rsidR="00140005">
        <w:t xml:space="preserve">options and access to knowledge and </w:t>
      </w:r>
      <w:r w:rsidRPr="00493EF8">
        <w:t>expertise</w:t>
      </w:r>
      <w:r w:rsidR="00140005">
        <w:t>.</w:t>
      </w:r>
    </w:p>
    <w:p w14:paraId="4B3F636F" w14:textId="7686F8DF" w:rsidR="00D00479" w:rsidRPr="00493EF8" w:rsidRDefault="00D15607" w:rsidP="00CC5001">
      <w:pPr>
        <w:pStyle w:val="ListParagraph"/>
        <w:numPr>
          <w:ilvl w:val="0"/>
          <w:numId w:val="15"/>
        </w:numPr>
        <w:jc w:val="both"/>
      </w:pPr>
      <w:r>
        <w:t>Strengthen n</w:t>
      </w:r>
      <w:r w:rsidRPr="00493EF8">
        <w:t xml:space="preserve">etworks </w:t>
      </w:r>
      <w:r w:rsidR="00D00479" w:rsidRPr="00493EF8">
        <w:t xml:space="preserve">of small </w:t>
      </w:r>
      <w:r w:rsidR="007E31AF">
        <w:t>regional, rural and remote</w:t>
      </w:r>
      <w:r w:rsidR="00D00479" w:rsidRPr="00493EF8">
        <w:t xml:space="preserve"> schools – </w:t>
      </w:r>
      <w:r w:rsidR="00140005">
        <w:t xml:space="preserve">there are </w:t>
      </w:r>
      <w:r w:rsidR="00D00479" w:rsidRPr="00493EF8">
        <w:t>benefits for students and t</w:t>
      </w:r>
      <w:r w:rsidR="00140005">
        <w:t xml:space="preserve">eachers </w:t>
      </w:r>
      <w:r w:rsidR="004700F0">
        <w:t xml:space="preserve">from </w:t>
      </w:r>
      <w:r w:rsidR="00140005">
        <w:t>being part of a network.</w:t>
      </w:r>
      <w:r w:rsidR="00D00479" w:rsidRPr="00493EF8">
        <w:t xml:space="preserve"> Also wider networks of small schools with </w:t>
      </w:r>
      <w:r w:rsidR="004700F0" w:rsidRPr="00493EF8">
        <w:t>metro</w:t>
      </w:r>
      <w:r w:rsidR="004700F0">
        <w:t>politan</w:t>
      </w:r>
      <w:r w:rsidR="00D00479" w:rsidRPr="00493EF8">
        <w:t xml:space="preserve"> schools</w:t>
      </w:r>
      <w:r w:rsidR="004700F0">
        <w:t xml:space="preserve"> and</w:t>
      </w:r>
      <w:r w:rsidR="00D00479" w:rsidRPr="00493EF8">
        <w:t xml:space="preserve"> networks with TAFE Queensland to draw on vocational education and training exper</w:t>
      </w:r>
      <w:r w:rsidR="004700F0">
        <w:t>tise</w:t>
      </w:r>
      <w:r>
        <w:t xml:space="preserve"> and infrastructure, may be achieved via</w:t>
      </w:r>
      <w:r w:rsidR="004700F0">
        <w:t xml:space="preserve"> online learning modules and </w:t>
      </w:r>
      <w:r w:rsidR="00D00479" w:rsidRPr="00493EF8">
        <w:t>remote communications including web conferencing</w:t>
      </w:r>
      <w:r w:rsidR="00140005">
        <w:t>.</w:t>
      </w:r>
    </w:p>
    <w:p w14:paraId="59D6677A" w14:textId="330689E2" w:rsidR="00921D09" w:rsidRPr="00493EF8" w:rsidRDefault="00921D09" w:rsidP="00CC5001">
      <w:pPr>
        <w:pStyle w:val="ListParagraph"/>
        <w:numPr>
          <w:ilvl w:val="0"/>
          <w:numId w:val="15"/>
        </w:numPr>
        <w:spacing w:after="160" w:line="288" w:lineRule="auto"/>
        <w:jc w:val="both"/>
      </w:pPr>
      <w:r w:rsidRPr="00493EF8">
        <w:t>Fast, reliable internet access which delivers bandwidth and download speeds competitive with those in urban areas and under the same pricing structures</w:t>
      </w:r>
      <w:r w:rsidR="00FB71C3">
        <w:t xml:space="preserve"> </w:t>
      </w:r>
      <w:r w:rsidR="000F4ABC">
        <w:t>must</w:t>
      </w:r>
      <w:r w:rsidR="00FB71C3">
        <w:t xml:space="preserve"> be a priority for schools in regional, rural and remote locations</w:t>
      </w:r>
      <w:r w:rsidRPr="00493EF8">
        <w:t xml:space="preserve">.  </w:t>
      </w:r>
    </w:p>
    <w:p w14:paraId="114C8F1C" w14:textId="0454FE55" w:rsidR="00921D09" w:rsidRPr="00493EF8" w:rsidRDefault="00921D09" w:rsidP="00CC5001">
      <w:pPr>
        <w:pStyle w:val="ListParagraph"/>
        <w:numPr>
          <w:ilvl w:val="0"/>
          <w:numId w:val="15"/>
        </w:numPr>
        <w:spacing w:after="160" w:line="288" w:lineRule="auto"/>
        <w:jc w:val="both"/>
      </w:pPr>
      <w:r w:rsidRPr="00493EF8">
        <w:t xml:space="preserve">Location and the reliance on </w:t>
      </w:r>
      <w:r w:rsidR="00FB71C3">
        <w:t>the National Broadband Network (</w:t>
      </w:r>
      <w:r w:rsidRPr="00493EF8">
        <w:t>NBN</w:t>
      </w:r>
      <w:r w:rsidR="00FB71C3">
        <w:t>)</w:t>
      </w:r>
      <w:r w:rsidRPr="00493EF8">
        <w:t xml:space="preserve"> Satellite (which has been vastly oversubscribed due to no alternative internet service) means less providers</w:t>
      </w:r>
      <w:r w:rsidR="000F4ABC">
        <w:t>, less competition</w:t>
      </w:r>
      <w:r w:rsidRPr="00493EF8">
        <w:t xml:space="preserve"> and higher plan prices with lower speeds and data allowances.  </w:t>
      </w:r>
      <w:r w:rsidR="000F4ABC" w:rsidRPr="00493EF8">
        <w:t>This impacts severely on all sectors of rural</w:t>
      </w:r>
      <w:r w:rsidR="000F4ABC">
        <w:t>, regional</w:t>
      </w:r>
      <w:r w:rsidR="000F4ABC" w:rsidRPr="00493EF8">
        <w:t xml:space="preserve"> and remote communities</w:t>
      </w:r>
      <w:r w:rsidR="000F4ABC">
        <w:t>.</w:t>
      </w:r>
      <w:r w:rsidR="000F4ABC" w:rsidRPr="00493EF8">
        <w:t xml:space="preserve"> </w:t>
      </w:r>
      <w:r w:rsidR="00FB71C3">
        <w:t xml:space="preserve">The NBN </w:t>
      </w:r>
      <w:r w:rsidR="000F4ABC">
        <w:t>rollout across regional, rural and remote communities will:</w:t>
      </w:r>
    </w:p>
    <w:p w14:paraId="411AEC34" w14:textId="181CB13F" w:rsidR="00921D09" w:rsidRPr="00493EF8" w:rsidRDefault="000F4ABC" w:rsidP="00FB71C3">
      <w:pPr>
        <w:pStyle w:val="ListParagraph"/>
        <w:numPr>
          <w:ilvl w:val="1"/>
          <w:numId w:val="15"/>
        </w:numPr>
        <w:spacing w:after="160" w:line="288" w:lineRule="auto"/>
        <w:jc w:val="both"/>
      </w:pPr>
      <w:r>
        <w:t xml:space="preserve">remove </w:t>
      </w:r>
      <w:r w:rsidR="00921D09" w:rsidRPr="00493EF8">
        <w:t xml:space="preserve">a major barrier to business operating out of these communities and their financial viability.  </w:t>
      </w:r>
    </w:p>
    <w:p w14:paraId="40E46839" w14:textId="393C24D8" w:rsidR="00921D09" w:rsidRPr="00493EF8" w:rsidRDefault="00921D09" w:rsidP="00FB71C3">
      <w:pPr>
        <w:pStyle w:val="ListParagraph"/>
        <w:numPr>
          <w:ilvl w:val="1"/>
          <w:numId w:val="15"/>
        </w:numPr>
        <w:spacing w:after="160" w:line="288" w:lineRule="auto"/>
        <w:jc w:val="both"/>
      </w:pPr>
      <w:r w:rsidRPr="00493EF8">
        <w:t xml:space="preserve">attract </w:t>
      </w:r>
      <w:r w:rsidR="000F4ABC">
        <w:t>and/</w:t>
      </w:r>
      <w:r w:rsidRPr="00493EF8">
        <w:t xml:space="preserve">or retain </w:t>
      </w:r>
      <w:r w:rsidR="000F4ABC">
        <w:t>employers</w:t>
      </w:r>
      <w:r w:rsidR="000F4ABC" w:rsidRPr="00493EF8">
        <w:t xml:space="preserve"> </w:t>
      </w:r>
      <w:r w:rsidR="000F4ABC">
        <w:t>who may currently be</w:t>
      </w:r>
      <w:r w:rsidRPr="00493EF8">
        <w:t xml:space="preserve"> unable to operate effectively due to technology limitations. The loss of businesses </w:t>
      </w:r>
      <w:r w:rsidR="000F4ABC">
        <w:t>reduces</w:t>
      </w:r>
      <w:r w:rsidRPr="00493EF8">
        <w:t xml:space="preserve"> employment opportunities and, in turn, families leave the community often for urban areas where they have greater employment prospects.  </w:t>
      </w:r>
    </w:p>
    <w:p w14:paraId="157F2AAD" w14:textId="1F7C47CD" w:rsidR="00921D09" w:rsidRPr="00493EF8" w:rsidRDefault="000446E4" w:rsidP="00CC5001">
      <w:pPr>
        <w:pStyle w:val="ListParagraph"/>
        <w:numPr>
          <w:ilvl w:val="0"/>
          <w:numId w:val="15"/>
        </w:numPr>
        <w:spacing w:after="160" w:line="288" w:lineRule="auto"/>
        <w:jc w:val="both"/>
      </w:pPr>
      <w:r>
        <w:t>M</w:t>
      </w:r>
      <w:r w:rsidR="00921D09" w:rsidRPr="00493EF8">
        <w:t>obile phone network coverage in rural and regional areas is also a major inhibitor to business operations</w:t>
      </w:r>
      <w:r w:rsidR="000F4ABC">
        <w:t>, for example</w:t>
      </w:r>
      <w:r w:rsidR="00921D09" w:rsidRPr="00493EF8">
        <w:t xml:space="preserve"> there are many towns with no coverage whatsoever.  </w:t>
      </w:r>
    </w:p>
    <w:p w14:paraId="4A94EBC4" w14:textId="205120F2" w:rsidR="00921D09" w:rsidRPr="00493EF8" w:rsidRDefault="00921D09" w:rsidP="00CC5001">
      <w:pPr>
        <w:pStyle w:val="ListParagraph"/>
        <w:numPr>
          <w:ilvl w:val="0"/>
          <w:numId w:val="15"/>
        </w:numPr>
        <w:spacing w:after="160" w:line="288" w:lineRule="auto"/>
        <w:jc w:val="both"/>
      </w:pPr>
      <w:r w:rsidRPr="00493EF8">
        <w:t xml:space="preserve">Due to </w:t>
      </w:r>
      <w:r w:rsidR="000F4ABC">
        <w:t>widely dispersed</w:t>
      </w:r>
      <w:r w:rsidR="000F4ABC" w:rsidRPr="00493EF8">
        <w:t xml:space="preserve"> </w:t>
      </w:r>
      <w:r w:rsidRPr="00493EF8">
        <w:t>populations</w:t>
      </w:r>
      <w:r w:rsidR="00823814">
        <w:t xml:space="preserve"> across all rural and remote sites</w:t>
      </w:r>
      <w:r w:rsidRPr="00493EF8">
        <w:t>, VET and Higher Education providers cannot support face</w:t>
      </w:r>
      <w:r w:rsidR="000F4ABC">
        <w:t>-to-</w:t>
      </w:r>
      <w:r w:rsidRPr="00493EF8">
        <w:t xml:space="preserve">face programs and </w:t>
      </w:r>
      <w:r w:rsidR="000F4ABC">
        <w:t xml:space="preserve">so they </w:t>
      </w:r>
      <w:r w:rsidRPr="00493EF8">
        <w:t xml:space="preserve">meet their equity and access </w:t>
      </w:r>
      <w:r w:rsidR="000F4ABC">
        <w:t>obligations</w:t>
      </w:r>
      <w:r w:rsidR="000F4ABC" w:rsidRPr="00493EF8">
        <w:t xml:space="preserve"> </w:t>
      </w:r>
      <w:r w:rsidRPr="00493EF8">
        <w:t xml:space="preserve">through student access to online learning.  </w:t>
      </w:r>
    </w:p>
    <w:p w14:paraId="4E258B87" w14:textId="6891114A" w:rsidR="00921D09" w:rsidRPr="00493EF8" w:rsidRDefault="00921D09" w:rsidP="00CC5001">
      <w:pPr>
        <w:pStyle w:val="ListParagraph"/>
        <w:numPr>
          <w:ilvl w:val="0"/>
          <w:numId w:val="15"/>
        </w:numPr>
        <w:spacing w:after="160" w:line="288" w:lineRule="auto"/>
        <w:jc w:val="both"/>
      </w:pPr>
      <w:r w:rsidRPr="00493EF8">
        <w:t xml:space="preserve">Online learning has higher </w:t>
      </w:r>
      <w:r w:rsidR="000F4ABC">
        <w:t>attrition rates</w:t>
      </w:r>
      <w:r w:rsidRPr="00493EF8">
        <w:t xml:space="preserve"> than </w:t>
      </w:r>
      <w:r w:rsidR="000F4ABC" w:rsidRPr="00493EF8">
        <w:t>face</w:t>
      </w:r>
      <w:r w:rsidR="000F4ABC">
        <w:t>-</w:t>
      </w:r>
      <w:r w:rsidR="000F4ABC" w:rsidRPr="00493EF8">
        <w:t>to</w:t>
      </w:r>
      <w:r w:rsidR="000F4ABC">
        <w:t>-</w:t>
      </w:r>
      <w:r w:rsidRPr="00493EF8">
        <w:t>face programs and this is further exacerbated by the genuine struggles faced when trying to access l</w:t>
      </w:r>
      <w:r w:rsidR="004131BF">
        <w:t>earning materials, videos etc.</w:t>
      </w:r>
      <w:r w:rsidRPr="00493EF8">
        <w:t xml:space="preserve"> </w:t>
      </w:r>
      <w:r w:rsidR="000F4ABC">
        <w:t>that</w:t>
      </w:r>
      <w:r w:rsidR="000F4ABC" w:rsidRPr="00493EF8">
        <w:t xml:space="preserve"> </w:t>
      </w:r>
      <w:r w:rsidRPr="00493EF8">
        <w:t xml:space="preserve">need </w:t>
      </w:r>
      <w:r w:rsidR="000F4ABC">
        <w:t>reliable</w:t>
      </w:r>
      <w:r w:rsidR="000F4ABC" w:rsidRPr="00493EF8">
        <w:t xml:space="preserve"> </w:t>
      </w:r>
      <w:r w:rsidRPr="00493EF8">
        <w:t xml:space="preserve">bandwidth and data allowances.  </w:t>
      </w:r>
    </w:p>
    <w:p w14:paraId="0F169475" w14:textId="60D17EA8" w:rsidR="00823814" w:rsidRDefault="00921D09" w:rsidP="000E3FB1">
      <w:pPr>
        <w:pStyle w:val="ListParagraph"/>
        <w:numPr>
          <w:ilvl w:val="0"/>
          <w:numId w:val="15"/>
        </w:numPr>
        <w:jc w:val="both"/>
      </w:pPr>
      <w:r w:rsidRPr="00493EF8">
        <w:t xml:space="preserve">Developers of online resources have to be committed to ensuring that what they create (e.g. videos) are </w:t>
      </w:r>
      <w:r w:rsidR="00823814" w:rsidRPr="00823814">
        <w:t>‘as high a quality as possible within bandwidth restrictions’</w:t>
      </w:r>
      <w:r w:rsidR="00823814">
        <w:t>.</w:t>
      </w:r>
    </w:p>
    <w:p w14:paraId="29DEF8C5" w14:textId="7049F88F" w:rsidR="006F3AFA" w:rsidRDefault="006F3AFA" w:rsidP="000E3FB1">
      <w:pPr>
        <w:pStyle w:val="ListParagraph"/>
        <w:numPr>
          <w:ilvl w:val="0"/>
          <w:numId w:val="15"/>
        </w:numPr>
        <w:jc w:val="both"/>
      </w:pPr>
      <w:r>
        <w:t xml:space="preserve">Each community </w:t>
      </w:r>
      <w:r w:rsidR="00192CE5">
        <w:t>may</w:t>
      </w:r>
      <w:r>
        <w:t xml:space="preserve"> have a dedicated training room </w:t>
      </w:r>
      <w:r w:rsidR="00192CE5">
        <w:t xml:space="preserve">for </w:t>
      </w:r>
      <w:r>
        <w:t xml:space="preserve">student access </w:t>
      </w:r>
      <w:r w:rsidR="00192CE5">
        <w:t xml:space="preserve">to </w:t>
      </w:r>
      <w:r>
        <w:t>networked computers</w:t>
      </w:r>
      <w:r w:rsidR="00192CE5">
        <w:t>, other digital technologies (3D printers</w:t>
      </w:r>
      <w:r w:rsidR="005E4153">
        <w:t>, robotics</w:t>
      </w:r>
      <w:r w:rsidR="00E22DB2">
        <w:t>, drones</w:t>
      </w:r>
      <w:r w:rsidR="00192CE5">
        <w:t xml:space="preserve"> and more)</w:t>
      </w:r>
      <w:r>
        <w:t xml:space="preserve"> and </w:t>
      </w:r>
      <w:r w:rsidR="00192CE5">
        <w:t>expert assistance</w:t>
      </w:r>
      <w:r>
        <w:t>, i.e. tutors/mentors</w:t>
      </w:r>
      <w:r w:rsidR="00192CE5">
        <w:t xml:space="preserve"> and technical expertise</w:t>
      </w:r>
      <w:r>
        <w:t>.</w:t>
      </w:r>
      <w:r w:rsidR="005E4153">
        <w:t xml:space="preserve"> In essence these may become innovative makerspaces for community use, and may enable pathways for the community into training and education. TAFEs already may hold much of this equipment</w:t>
      </w:r>
      <w:r w:rsidR="00F30782">
        <w:t>, which is sometimes donated by employers</w:t>
      </w:r>
      <w:r w:rsidR="005E4153">
        <w:t>.</w:t>
      </w:r>
    </w:p>
    <w:p w14:paraId="0672EB6E" w14:textId="77777777" w:rsidR="000371AD" w:rsidRDefault="000371AD" w:rsidP="000371AD">
      <w:pPr>
        <w:pStyle w:val="ListParagraph"/>
        <w:jc w:val="both"/>
      </w:pPr>
    </w:p>
    <w:p w14:paraId="69FA79F3" w14:textId="77777777" w:rsidR="009C63B3" w:rsidRDefault="009C63B3" w:rsidP="009C63B3">
      <w:pPr>
        <w:pStyle w:val="Heading1"/>
        <w:numPr>
          <w:ilvl w:val="0"/>
          <w:numId w:val="10"/>
        </w:numPr>
        <w:spacing w:before="120"/>
        <w:ind w:hanging="720"/>
        <w:jc w:val="both"/>
        <w:rPr>
          <w:color w:val="auto"/>
          <w:sz w:val="22"/>
          <w:szCs w:val="22"/>
          <w:lang w:val="en-US"/>
        </w:rPr>
      </w:pPr>
      <w:r w:rsidRPr="00493EF8">
        <w:rPr>
          <w:color w:val="auto"/>
          <w:sz w:val="22"/>
          <w:szCs w:val="22"/>
          <w:lang w:val="en-US"/>
        </w:rPr>
        <w:t>Entrepreneurship and schools</w:t>
      </w:r>
    </w:p>
    <w:p w14:paraId="49255E0E" w14:textId="77777777" w:rsidR="00E1686D" w:rsidRPr="00E1686D" w:rsidRDefault="00E1686D" w:rsidP="006F3AFA">
      <w:pPr>
        <w:jc w:val="both"/>
        <w:rPr>
          <w:lang w:val="en-US"/>
        </w:rPr>
      </w:pPr>
    </w:p>
    <w:p w14:paraId="399625D0" w14:textId="77777777" w:rsidR="008A32BA" w:rsidRPr="00493EF8" w:rsidRDefault="008A32BA" w:rsidP="006F3AFA">
      <w:pPr>
        <w:spacing w:after="160" w:line="288" w:lineRule="auto"/>
        <w:jc w:val="both"/>
      </w:pPr>
      <w:r w:rsidRPr="00493EF8">
        <w:t xml:space="preserve">Entrepreneurship and innovation will become increasingly important across all sectors of the economy and need to be given greater focus in the education system. </w:t>
      </w:r>
    </w:p>
    <w:p w14:paraId="3B75F2C8" w14:textId="1E5111CF" w:rsidR="00033D1D" w:rsidRPr="00493EF8" w:rsidRDefault="00033D1D" w:rsidP="006F3AFA">
      <w:pPr>
        <w:jc w:val="both"/>
        <w:rPr>
          <w:lang w:val="en-US"/>
        </w:rPr>
      </w:pPr>
      <w:r>
        <w:t>Governments have invested heavily</w:t>
      </w:r>
      <w:r w:rsidRPr="00493EF8">
        <w:rPr>
          <w:color w:val="000000"/>
          <w:lang w:eastAsia="zh-CN"/>
        </w:rPr>
        <w:t xml:space="preserve"> in </w:t>
      </w:r>
      <w:r>
        <w:rPr>
          <w:color w:val="000000"/>
          <w:lang w:eastAsia="zh-CN"/>
        </w:rPr>
        <w:t xml:space="preserve">development of </w:t>
      </w:r>
      <w:r w:rsidRPr="00493EF8">
        <w:rPr>
          <w:color w:val="000000"/>
          <w:lang w:eastAsia="zh-CN"/>
        </w:rPr>
        <w:t xml:space="preserve">STEM </w:t>
      </w:r>
      <w:r>
        <w:rPr>
          <w:color w:val="000000"/>
          <w:lang w:eastAsia="zh-CN"/>
        </w:rPr>
        <w:t xml:space="preserve">and communication </w:t>
      </w:r>
      <w:r w:rsidRPr="00493EF8">
        <w:rPr>
          <w:color w:val="000000"/>
          <w:lang w:eastAsia="zh-CN"/>
        </w:rPr>
        <w:t>skills to support economic transformation</w:t>
      </w:r>
      <w:r>
        <w:rPr>
          <w:color w:val="000000"/>
          <w:lang w:eastAsia="zh-CN"/>
        </w:rPr>
        <w:t xml:space="preserve"> (NISA 2015). Further investment in</w:t>
      </w:r>
      <w:r w:rsidRPr="00493EF8">
        <w:rPr>
          <w:color w:val="000000"/>
          <w:lang w:eastAsia="zh-CN"/>
        </w:rPr>
        <w:t xml:space="preserve"> </w:t>
      </w:r>
      <w:r>
        <w:rPr>
          <w:color w:val="000000"/>
          <w:lang w:eastAsia="zh-CN"/>
        </w:rPr>
        <w:t xml:space="preserve">development of enterprise skills - </w:t>
      </w:r>
      <w:r w:rsidRPr="00493EF8">
        <w:rPr>
          <w:color w:val="000000"/>
          <w:lang w:eastAsia="zh-CN"/>
        </w:rPr>
        <w:t>such as service, negotiation, active listening, critical thinking, problem solving, technology design, financial and digital literacy</w:t>
      </w:r>
      <w:r>
        <w:rPr>
          <w:color w:val="000000"/>
          <w:lang w:eastAsia="zh-CN"/>
        </w:rPr>
        <w:t xml:space="preserve"> (FYA 2016</w:t>
      </w:r>
      <w:r w:rsidRPr="00493EF8">
        <w:rPr>
          <w:color w:val="000000"/>
          <w:lang w:eastAsia="zh-CN"/>
        </w:rPr>
        <w:t>)</w:t>
      </w:r>
      <w:r>
        <w:rPr>
          <w:color w:val="000000"/>
          <w:lang w:eastAsia="zh-CN"/>
        </w:rPr>
        <w:t xml:space="preserve"> –</w:t>
      </w:r>
      <w:r w:rsidRPr="00493EF8">
        <w:rPr>
          <w:color w:val="000000"/>
          <w:lang w:eastAsia="zh-CN"/>
        </w:rPr>
        <w:t xml:space="preserve"> </w:t>
      </w:r>
      <w:r>
        <w:rPr>
          <w:color w:val="000000"/>
          <w:lang w:eastAsia="zh-CN"/>
        </w:rPr>
        <w:t xml:space="preserve">may </w:t>
      </w:r>
      <w:r w:rsidRPr="00493EF8">
        <w:rPr>
          <w:color w:val="000000"/>
          <w:lang w:eastAsia="zh-CN"/>
        </w:rPr>
        <w:t>help students transition to further study, train</w:t>
      </w:r>
      <w:r>
        <w:rPr>
          <w:color w:val="000000"/>
          <w:lang w:eastAsia="zh-CN"/>
        </w:rPr>
        <w:t>ing or work (as employees or self-employed), as well as increasing</w:t>
      </w:r>
      <w:r w:rsidRPr="00493EF8">
        <w:rPr>
          <w:color w:val="000000"/>
          <w:lang w:eastAsia="zh-CN"/>
        </w:rPr>
        <w:t xml:space="preserve"> innovation within the existing workforce.</w:t>
      </w:r>
    </w:p>
    <w:p w14:paraId="2E373D27" w14:textId="241A4145" w:rsidR="000E572D" w:rsidRPr="00493EF8" w:rsidRDefault="00AF3B98" w:rsidP="008A32BA">
      <w:pPr>
        <w:autoSpaceDE w:val="0"/>
        <w:autoSpaceDN w:val="0"/>
        <w:adjustRightInd w:val="0"/>
        <w:jc w:val="both"/>
      </w:pPr>
      <w:r>
        <w:t>Practical a</w:t>
      </w:r>
      <w:r w:rsidRPr="00493EF8">
        <w:t xml:space="preserve">pplied </w:t>
      </w:r>
      <w:r w:rsidR="000E572D" w:rsidRPr="00493EF8">
        <w:t xml:space="preserve">and action learning </w:t>
      </w:r>
      <w:r>
        <w:t xml:space="preserve">in workplaces </w:t>
      </w:r>
      <w:r w:rsidR="000E572D" w:rsidRPr="00493EF8">
        <w:t xml:space="preserve">is an ingrained teaching approach in </w:t>
      </w:r>
      <w:r w:rsidR="00192CE5">
        <w:t xml:space="preserve">VET </w:t>
      </w:r>
      <w:r w:rsidR="000E572D" w:rsidRPr="00493EF8">
        <w:t xml:space="preserve">programs, and </w:t>
      </w:r>
      <w:r>
        <w:t>this approach</w:t>
      </w:r>
      <w:r w:rsidRPr="00493EF8">
        <w:t xml:space="preserve"> </w:t>
      </w:r>
      <w:r w:rsidR="000E572D" w:rsidRPr="00493EF8">
        <w:t xml:space="preserve">develops enterprise skills. However it is not necessarily a feature of general education in schools. Delivering VET as part of secondary schooling in regional, rural and remote areas </w:t>
      </w:r>
      <w:r w:rsidR="00192CE5">
        <w:t>may</w:t>
      </w:r>
      <w:r w:rsidR="00192CE5" w:rsidRPr="00493EF8">
        <w:t xml:space="preserve"> </w:t>
      </w:r>
      <w:r w:rsidR="000E572D" w:rsidRPr="00493EF8">
        <w:t xml:space="preserve">enable students to develop enterprise skills. These skills can also be gained through work experience or volunteer work. Connecting schools and students with community projects and local employers would enable students to apply and practice the skills they learn through VET and other school activities. </w:t>
      </w:r>
    </w:p>
    <w:p w14:paraId="1831C31C" w14:textId="01907429" w:rsidR="000E572D" w:rsidRPr="00493EF8" w:rsidRDefault="000E572D" w:rsidP="008A32BA">
      <w:pPr>
        <w:autoSpaceDE w:val="0"/>
        <w:autoSpaceDN w:val="0"/>
        <w:adjustRightInd w:val="0"/>
        <w:jc w:val="both"/>
        <w:rPr>
          <w:color w:val="000000"/>
          <w:lang w:eastAsia="zh-CN"/>
        </w:rPr>
      </w:pPr>
      <w:r w:rsidRPr="00493EF8">
        <w:t xml:space="preserve">There are benefits in students attending non-school, adult learning settings that prepare them for post-school learning and work readiness, </w:t>
      </w:r>
      <w:r w:rsidR="00AF3B98">
        <w:t>for example, they may</w:t>
      </w:r>
      <w:r w:rsidRPr="00493EF8">
        <w:t xml:space="preserve"> develop responsibility for their own behaviour, attendance and progress. Enterprise and soft skills can also be gained through formal and informal school activities, work experience or volunteer work.</w:t>
      </w:r>
      <w:r w:rsidR="00572BDD">
        <w:t xml:space="preserve">  Students could spend a week or a few days at one of the larger TAFE campuses to </w:t>
      </w:r>
      <w:r w:rsidR="00AF3B98">
        <w:t>explore available</w:t>
      </w:r>
      <w:r w:rsidR="00572BDD">
        <w:t xml:space="preserve"> courses and </w:t>
      </w:r>
      <w:r w:rsidR="00AF3B98">
        <w:t>experience</w:t>
      </w:r>
      <w:r w:rsidR="00DF6AF2">
        <w:t xml:space="preserve"> some of these courses in action.  This could be tied into work experience and should encompass a number of different career paths rather than just one.</w:t>
      </w:r>
    </w:p>
    <w:p w14:paraId="4816B6A7" w14:textId="1DC4E97E" w:rsidR="008A32BA" w:rsidRPr="00493EF8" w:rsidRDefault="008A32BA" w:rsidP="008A32BA">
      <w:pPr>
        <w:autoSpaceDE w:val="0"/>
        <w:autoSpaceDN w:val="0"/>
        <w:adjustRightInd w:val="0"/>
        <w:jc w:val="both"/>
        <w:rPr>
          <w:color w:val="000000"/>
          <w:lang w:eastAsia="zh-CN"/>
        </w:rPr>
      </w:pPr>
      <w:r w:rsidRPr="00493EF8">
        <w:rPr>
          <w:color w:val="000000"/>
          <w:lang w:eastAsia="zh-CN"/>
        </w:rPr>
        <w:t>Additionally, feedback received through TAFE Queensland’s industry engagement activities indicates employers feel school leavers are not provided with the necessary employability skills as part of their schooling to be taken on as apprentices/trainees.  This includes a lack of understanding of being work ready</w:t>
      </w:r>
      <w:r w:rsidR="00AF3B98">
        <w:rPr>
          <w:color w:val="000000"/>
          <w:lang w:eastAsia="zh-CN"/>
        </w:rPr>
        <w:t>, for example</w:t>
      </w:r>
      <w:r w:rsidRPr="00493EF8">
        <w:rPr>
          <w:color w:val="000000"/>
          <w:lang w:eastAsia="zh-CN"/>
        </w:rPr>
        <w:t>:</w:t>
      </w:r>
    </w:p>
    <w:p w14:paraId="2A6A0853" w14:textId="77777777" w:rsidR="008A32BA" w:rsidRPr="007E698C" w:rsidRDefault="007E698C" w:rsidP="007E698C">
      <w:pPr>
        <w:pStyle w:val="ListParagraph"/>
        <w:numPr>
          <w:ilvl w:val="0"/>
          <w:numId w:val="22"/>
        </w:numPr>
        <w:autoSpaceDE w:val="0"/>
        <w:autoSpaceDN w:val="0"/>
        <w:adjustRightInd w:val="0"/>
        <w:spacing w:after="160" w:line="259" w:lineRule="auto"/>
        <w:jc w:val="both"/>
        <w:rPr>
          <w:color w:val="000000"/>
          <w:lang w:eastAsia="zh-CN"/>
        </w:rPr>
      </w:pPr>
      <w:r>
        <w:rPr>
          <w:color w:val="000000"/>
          <w:lang w:eastAsia="zh-CN"/>
        </w:rPr>
        <w:t>b</w:t>
      </w:r>
      <w:r w:rsidR="008A32BA" w:rsidRPr="007E698C">
        <w:rPr>
          <w:color w:val="000000"/>
          <w:lang w:eastAsia="zh-CN"/>
        </w:rPr>
        <w:t>eing punctual</w:t>
      </w:r>
      <w:r>
        <w:rPr>
          <w:color w:val="000000"/>
          <w:lang w:eastAsia="zh-CN"/>
        </w:rPr>
        <w:t>;</w:t>
      </w:r>
      <w:r w:rsidR="008A32BA" w:rsidRPr="007E698C">
        <w:rPr>
          <w:color w:val="000000"/>
          <w:lang w:eastAsia="zh-CN"/>
        </w:rPr>
        <w:t xml:space="preserve">  </w:t>
      </w:r>
    </w:p>
    <w:p w14:paraId="40CE21F5" w14:textId="77777777" w:rsidR="008A32BA" w:rsidRPr="007E698C" w:rsidRDefault="007E698C" w:rsidP="007E698C">
      <w:pPr>
        <w:pStyle w:val="ListParagraph"/>
        <w:numPr>
          <w:ilvl w:val="0"/>
          <w:numId w:val="22"/>
        </w:numPr>
        <w:autoSpaceDE w:val="0"/>
        <w:autoSpaceDN w:val="0"/>
        <w:adjustRightInd w:val="0"/>
        <w:spacing w:after="160" w:line="259" w:lineRule="auto"/>
        <w:jc w:val="both"/>
        <w:rPr>
          <w:color w:val="000000"/>
          <w:lang w:eastAsia="zh-CN"/>
        </w:rPr>
      </w:pPr>
      <w:r>
        <w:rPr>
          <w:color w:val="000000"/>
          <w:lang w:eastAsia="zh-CN"/>
        </w:rPr>
        <w:t>t</w:t>
      </w:r>
      <w:r w:rsidR="008A32BA" w:rsidRPr="007E698C">
        <w:rPr>
          <w:color w:val="000000"/>
          <w:lang w:eastAsia="zh-CN"/>
        </w:rPr>
        <w:t>heir willingness to accept authority and critical feedback</w:t>
      </w:r>
      <w:r>
        <w:rPr>
          <w:color w:val="000000"/>
          <w:lang w:eastAsia="zh-CN"/>
        </w:rPr>
        <w:t>;</w:t>
      </w:r>
    </w:p>
    <w:p w14:paraId="3EF98A9F" w14:textId="77777777" w:rsidR="008A32BA" w:rsidRPr="007E698C" w:rsidRDefault="007E698C" w:rsidP="007E698C">
      <w:pPr>
        <w:pStyle w:val="ListParagraph"/>
        <w:numPr>
          <w:ilvl w:val="0"/>
          <w:numId w:val="22"/>
        </w:numPr>
        <w:autoSpaceDE w:val="0"/>
        <w:autoSpaceDN w:val="0"/>
        <w:adjustRightInd w:val="0"/>
        <w:spacing w:after="160" w:line="259" w:lineRule="auto"/>
        <w:jc w:val="both"/>
        <w:rPr>
          <w:color w:val="000000"/>
          <w:lang w:eastAsia="zh-CN"/>
        </w:rPr>
      </w:pPr>
      <w:r>
        <w:rPr>
          <w:color w:val="000000"/>
          <w:lang w:eastAsia="zh-CN"/>
        </w:rPr>
        <w:t>u</w:t>
      </w:r>
      <w:r w:rsidR="008A32BA" w:rsidRPr="007E698C">
        <w:rPr>
          <w:color w:val="000000"/>
          <w:lang w:eastAsia="zh-CN"/>
        </w:rPr>
        <w:t>se of mobile phones and social media in the workplace</w:t>
      </w:r>
      <w:r>
        <w:rPr>
          <w:color w:val="000000"/>
          <w:lang w:eastAsia="zh-CN"/>
        </w:rPr>
        <w:t>.</w:t>
      </w:r>
    </w:p>
    <w:p w14:paraId="0647CEB5" w14:textId="263E3AC7" w:rsidR="008A32BA" w:rsidRDefault="008A32BA" w:rsidP="00B64780">
      <w:pPr>
        <w:jc w:val="both"/>
      </w:pPr>
      <w:r w:rsidRPr="00493EF8">
        <w:rPr>
          <w:color w:val="000000"/>
          <w:lang w:eastAsia="zh-CN"/>
        </w:rPr>
        <w:t xml:space="preserve">As such it would be beneficial to introduce programs into schools which would enhance the employability skills of school leavers.  Additionally, employers are critical of guidance officers at school being ill-informed about the level of literacy and numeracy required for most trade related occupations (engineering and electro technology in particular).  </w:t>
      </w:r>
      <w:r w:rsidR="00AF3B98">
        <w:rPr>
          <w:color w:val="000000"/>
          <w:lang w:eastAsia="zh-CN"/>
        </w:rPr>
        <w:t>I</w:t>
      </w:r>
      <w:r w:rsidRPr="00493EF8">
        <w:rPr>
          <w:color w:val="000000"/>
          <w:lang w:eastAsia="zh-CN"/>
        </w:rPr>
        <w:t>t is proposed that career guidance officers and other relevant school staff receive professional development in regard to the literacy and numeracy requirements</w:t>
      </w:r>
      <w:r w:rsidRPr="00493EF8">
        <w:t>.</w:t>
      </w:r>
    </w:p>
    <w:p w14:paraId="58FA63C1" w14:textId="77777777" w:rsidR="00B269D3" w:rsidRDefault="00B269D3" w:rsidP="00B64780">
      <w:pPr>
        <w:jc w:val="both"/>
      </w:pPr>
    </w:p>
    <w:p w14:paraId="6F00F2DB" w14:textId="77777777" w:rsidR="00B269D3" w:rsidRDefault="00B269D3" w:rsidP="00B64780">
      <w:pPr>
        <w:jc w:val="both"/>
      </w:pPr>
    </w:p>
    <w:p w14:paraId="0631A901" w14:textId="77777777" w:rsidR="009C63B3" w:rsidRPr="00493EF8" w:rsidRDefault="009C63B3" w:rsidP="009C63B3">
      <w:pPr>
        <w:pStyle w:val="Heading1"/>
        <w:numPr>
          <w:ilvl w:val="0"/>
          <w:numId w:val="10"/>
        </w:numPr>
        <w:spacing w:before="120"/>
        <w:ind w:hanging="720"/>
        <w:jc w:val="both"/>
        <w:rPr>
          <w:color w:val="auto"/>
          <w:sz w:val="22"/>
          <w:szCs w:val="22"/>
          <w:lang w:val="en-US"/>
        </w:rPr>
      </w:pPr>
      <w:r w:rsidRPr="00493EF8">
        <w:rPr>
          <w:color w:val="auto"/>
          <w:sz w:val="22"/>
          <w:szCs w:val="22"/>
          <w:lang w:val="en-US"/>
        </w:rPr>
        <w:t>Improving access – enrolments, clusters, distance education, boarding</w:t>
      </w:r>
    </w:p>
    <w:p w14:paraId="3A2D32B4" w14:textId="7479945C" w:rsidR="00921D09" w:rsidRPr="00493EF8" w:rsidRDefault="00B269D3" w:rsidP="00921D09">
      <w:pPr>
        <w:rPr>
          <w:lang w:val="en-US"/>
        </w:rPr>
      </w:pPr>
      <w:r>
        <w:rPr>
          <w:noProof/>
        </w:rPr>
        <mc:AlternateContent>
          <mc:Choice Requires="wps">
            <w:drawing>
              <wp:anchor distT="45720" distB="45720" distL="114300" distR="114300" simplePos="0" relativeHeight="251698176" behindDoc="0" locked="0" layoutInCell="1" allowOverlap="1" wp14:anchorId="655D0C74" wp14:editId="27F688F5">
                <wp:simplePos x="0" y="0"/>
                <wp:positionH relativeFrom="margin">
                  <wp:posOffset>3498850</wp:posOffset>
                </wp:positionH>
                <wp:positionV relativeFrom="paragraph">
                  <wp:posOffset>274955</wp:posOffset>
                </wp:positionV>
                <wp:extent cx="2360930" cy="1114425"/>
                <wp:effectExtent l="0" t="0" r="101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4425"/>
                        </a:xfrm>
                        <a:prstGeom prst="rect">
                          <a:avLst/>
                        </a:prstGeom>
                        <a:solidFill>
                          <a:srgbClr val="FFFFFF"/>
                        </a:solidFill>
                        <a:ln w="9525">
                          <a:solidFill>
                            <a:srgbClr val="000000"/>
                          </a:solidFill>
                          <a:miter lim="800000"/>
                          <a:headEnd/>
                          <a:tailEnd/>
                        </a:ln>
                      </wps:spPr>
                      <wps:txbx>
                        <w:txbxContent>
                          <w:p w14:paraId="1271A7E8" w14:textId="77777777" w:rsidR="00B269D3" w:rsidRPr="00823814" w:rsidRDefault="00B269D3" w:rsidP="00B269D3">
                            <w:pPr>
                              <w:rPr>
                                <w:sz w:val="20"/>
                              </w:rPr>
                            </w:pPr>
                            <w:r w:rsidRPr="00823814">
                              <w:rPr>
                                <w:sz w:val="20"/>
                              </w:rPr>
                              <w:t xml:space="preserve">The only way to build a sustainable health workforce is to start investing in local people and empowering them </w:t>
                            </w:r>
                            <w:r>
                              <w:rPr>
                                <w:sz w:val="20"/>
                              </w:rPr>
                              <w:t>…</w:t>
                            </w:r>
                            <w:r w:rsidRPr="00823814">
                              <w:rPr>
                                <w:sz w:val="20"/>
                              </w:rPr>
                              <w:t xml:space="preserve"> in their communities. </w:t>
                            </w:r>
                          </w:p>
                          <w:p w14:paraId="2D433BEF" w14:textId="77777777" w:rsidR="00B269D3" w:rsidRPr="00823814" w:rsidRDefault="00B269D3" w:rsidP="00B269D3">
                            <w:pPr>
                              <w:rPr>
                                <w:sz w:val="20"/>
                              </w:rPr>
                            </w:pPr>
                            <w:r w:rsidRPr="00823814">
                              <w:rPr>
                                <w:sz w:val="20"/>
                              </w:rPr>
                              <w:t>Robin Moore, CEO NQPHN.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5D0C74" id="_x0000_s1032" type="#_x0000_t202" style="position:absolute;margin-left:275.5pt;margin-top:21.65pt;width:185.9pt;height:87.75pt;z-index:2516981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">
                <v:textbox>
                  <w:txbxContent>
                    <w:p w14:paraId="1271A7E8" w14:textId="77777777" w:rsidR="00B269D3" w:rsidRPr="00823814" w:rsidRDefault="00B269D3" w:rsidP="00B269D3">
                      <w:pPr>
                        <w:rPr>
                          <w:sz w:val="20"/>
                        </w:rPr>
                      </w:pPr>
                      <w:r w:rsidRPr="00823814">
                        <w:rPr>
                          <w:sz w:val="20"/>
                        </w:rPr>
                        <w:t xml:space="preserve">The only way to build a sustainable health workforce is to start investing in local people and empowering them </w:t>
                      </w:r>
                      <w:r>
                        <w:rPr>
                          <w:sz w:val="20"/>
                        </w:rPr>
                        <w:t>…</w:t>
                      </w:r>
                      <w:r w:rsidRPr="00823814">
                        <w:rPr>
                          <w:sz w:val="20"/>
                        </w:rPr>
                        <w:t xml:space="preserve"> in their communities. </w:t>
                      </w:r>
                    </w:p>
                    <w:p w14:paraId="2D433BEF" w14:textId="77777777" w:rsidR="00B269D3" w:rsidRPr="00823814" w:rsidRDefault="00B269D3" w:rsidP="00B269D3">
                      <w:pPr>
                        <w:rPr>
                          <w:sz w:val="20"/>
                        </w:rPr>
                      </w:pPr>
                      <w:r w:rsidRPr="00823814">
                        <w:rPr>
                          <w:sz w:val="20"/>
                        </w:rPr>
                        <w:t>Robin Moore, CEO NQPHN.</w:t>
                      </w:r>
                    </w:p>
                  </w:txbxContent>
                </v:textbox>
                <w10:wrap type="square" anchorx="margin"/>
              </v:shape>
            </w:pict>
          </mc:Fallback>
        </mc:AlternateContent>
      </w:r>
    </w:p>
    <w:p w14:paraId="464D939C" w14:textId="4F99C251" w:rsidR="00DE2139" w:rsidRDefault="00B269D3" w:rsidP="00DE2139">
      <w:pPr>
        <w:spacing w:after="160" w:line="288" w:lineRule="auto"/>
        <w:jc w:val="both"/>
      </w:pPr>
      <w:r>
        <w:t>In North Queensland</w:t>
      </w:r>
      <w:r w:rsidR="00DE2139">
        <w:t xml:space="preserve">, some </w:t>
      </w:r>
      <w:r>
        <w:t xml:space="preserve">of the TAFE Queensland </w:t>
      </w:r>
      <w:r w:rsidR="00DE2139">
        <w:t xml:space="preserve">Aboriginal and Torres Strait Islander programs on offer are delivered in intensive residential blocks on campus, for example, the Certificate IV in Aboriginal and/or Torres Strait Islander Primary Health Care Indigenous Primary Health Care.  The ability to do this can make a significant difference in retention rates for students who do not live close to a campus.  However, this can still come at a high cost for some participants who have to find and fund short term accommodation, meal and travel costs often at their own expense.  Residential stays can also have a significant impact on the emotional wellbeing of indigenous students, and students from remote communities who struggle with being away from their family and community. </w:t>
      </w:r>
    </w:p>
    <w:p w14:paraId="292492C0" w14:textId="568245B3" w:rsidR="00DE2139" w:rsidRDefault="00DE2139" w:rsidP="00DE2139">
      <w:pPr>
        <w:spacing w:after="160" w:line="288" w:lineRule="auto"/>
        <w:jc w:val="both"/>
      </w:pPr>
      <w:r>
        <w:t>Strengthened homestay networks in close proximity to educational/campus based facilities could assist to address the financial impost on students and allow TAFE Queensland to provide a broader range of educational outcomes.  An alternative to residential stays that may also improve student retention rates in VET programs would be to use a blended model of online or external learning with intensive training blocks where TAFE Queensland trainers travel to central points across regional Queensland.</w:t>
      </w:r>
    </w:p>
    <w:p w14:paraId="6248EB5C" w14:textId="66824B3D" w:rsidR="00B269D3" w:rsidRDefault="00DE2139" w:rsidP="00DE2139">
      <w:pPr>
        <w:spacing w:after="160" w:line="288" w:lineRule="auto"/>
        <w:jc w:val="both"/>
      </w:pPr>
      <w:r>
        <w:t>Queensland Government pays subsidies for eligible apprentices and trainees who are required to travel at least 100km (return) to attend off-the-job training away from their usual place of employment.  However the current rate is only $28 per day, including weekends, for accommodation when required to stay overnight within Queensland.  This causes a significant cost impact for apprentices who are already on reduced wages as part of their training contract.</w:t>
      </w:r>
    </w:p>
    <w:p w14:paraId="227A06E9" w14:textId="06DAD4EA" w:rsidR="00B269D3" w:rsidRPr="00B269D3" w:rsidRDefault="00B269D3" w:rsidP="00B269D3">
      <w:pPr>
        <w:pStyle w:val="Heading1"/>
        <w:numPr>
          <w:ilvl w:val="0"/>
          <w:numId w:val="10"/>
        </w:numPr>
        <w:spacing w:before="120"/>
        <w:ind w:hanging="720"/>
        <w:jc w:val="both"/>
        <w:rPr>
          <w:color w:val="auto"/>
          <w:sz w:val="22"/>
          <w:szCs w:val="22"/>
          <w:lang w:val="en-US"/>
        </w:rPr>
      </w:pPr>
      <w:r w:rsidRPr="00B269D3">
        <w:rPr>
          <w:color w:val="auto"/>
          <w:sz w:val="22"/>
          <w:szCs w:val="22"/>
          <w:lang w:val="en-US"/>
        </w:rPr>
        <w:t>Diversity</w:t>
      </w:r>
    </w:p>
    <w:p w14:paraId="2F566FB4" w14:textId="1426BA7A" w:rsidR="00B269D3" w:rsidRDefault="00B269D3" w:rsidP="00DE2139">
      <w:pPr>
        <w:spacing w:after="160" w:line="288" w:lineRule="auto"/>
        <w:jc w:val="both"/>
      </w:pPr>
      <w:r w:rsidRPr="00B269D3">
        <w:rPr>
          <w:b/>
          <w:bCs/>
          <w:noProof/>
        </w:rPr>
        <mc:AlternateContent>
          <mc:Choice Requires="wps">
            <w:drawing>
              <wp:anchor distT="45720" distB="45720" distL="114300" distR="114300" simplePos="0" relativeHeight="251700224" behindDoc="0" locked="0" layoutInCell="1" allowOverlap="1" wp14:anchorId="3890BF44" wp14:editId="77233388">
                <wp:simplePos x="0" y="0"/>
                <wp:positionH relativeFrom="margin">
                  <wp:posOffset>2707640</wp:posOffset>
                </wp:positionH>
                <wp:positionV relativeFrom="paragraph">
                  <wp:posOffset>244475</wp:posOffset>
                </wp:positionV>
                <wp:extent cx="3113405" cy="2371725"/>
                <wp:effectExtent l="0" t="0" r="1079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2371725"/>
                        </a:xfrm>
                        <a:prstGeom prst="rect">
                          <a:avLst/>
                        </a:prstGeom>
                        <a:solidFill>
                          <a:srgbClr val="FFFFFF"/>
                        </a:solidFill>
                        <a:ln w="9525">
                          <a:solidFill>
                            <a:srgbClr val="000000"/>
                          </a:solidFill>
                          <a:miter lim="800000"/>
                          <a:headEnd/>
                          <a:tailEnd/>
                        </a:ln>
                      </wps:spPr>
                      <wps:txbx>
                        <w:txbxContent>
                          <w:p w14:paraId="777387E1" w14:textId="77777777" w:rsidR="00B269D3" w:rsidRPr="006B7DE1" w:rsidRDefault="00B269D3" w:rsidP="00B269D3">
                            <w:pPr>
                              <w:autoSpaceDE w:val="0"/>
                              <w:autoSpaceDN w:val="0"/>
                              <w:adjustRightInd w:val="0"/>
                              <w:spacing w:after="0" w:line="288" w:lineRule="auto"/>
                              <w:jc w:val="both"/>
                              <w:rPr>
                                <w:sz w:val="20"/>
                                <w:szCs w:val="20"/>
                              </w:rPr>
                            </w:pPr>
                            <w:r w:rsidRPr="006B7DE1">
                              <w:rPr>
                                <w:sz w:val="20"/>
                                <w:szCs w:val="20"/>
                              </w:rPr>
                              <w:t>TAFE Queensland successfully piloted a low bandwidth</w:t>
                            </w:r>
                            <w:r>
                              <w:rPr>
                                <w:sz w:val="20"/>
                                <w:szCs w:val="20"/>
                              </w:rPr>
                              <w:t xml:space="preserve"> multimedia</w:t>
                            </w:r>
                            <w:r w:rsidRPr="006B7DE1">
                              <w:rPr>
                                <w:sz w:val="20"/>
                                <w:szCs w:val="20"/>
                              </w:rPr>
                              <w:t xml:space="preserve"> ‘virtual campus’ for delivery of </w:t>
                            </w:r>
                            <w:r w:rsidRPr="00823814">
                              <w:rPr>
                                <w:color w:val="000000" w:themeColor="text1"/>
                                <w:sz w:val="20"/>
                                <w:szCs w:val="20"/>
                              </w:rPr>
                              <w:t xml:space="preserve">Community Services curriculum (communication skills) to regional and rural students. </w:t>
                            </w:r>
                            <w:r w:rsidRPr="00823814">
                              <w:rPr>
                                <w:color w:val="000000" w:themeColor="text1"/>
                                <w:sz w:val="20"/>
                                <w:szCs w:val="20"/>
                                <w:lang w:eastAsia="zh-CN"/>
                              </w:rPr>
                              <w:t xml:space="preserve">Students created their own community worker avatar and then used client-avatars to role play with peers in real time case management and counselling sessions in the virtual world. Student feedback includes: “Without that opportunity for this assessment, there would have been a string of “n/a” comments on the third party report that would have been facilitated by a limited experience in my </w:t>
                            </w:r>
                            <w:r w:rsidRPr="006B7DE1">
                              <w:rPr>
                                <w:color w:val="000000"/>
                                <w:sz w:val="20"/>
                                <w:szCs w:val="20"/>
                                <w:lang w:eastAsia="zh-CN"/>
                              </w:rPr>
                              <w:t>work life at a local community centre</w:t>
                            </w:r>
                            <w:r>
                              <w:rPr>
                                <w:color w:val="000000"/>
                                <w:sz w:val="20"/>
                                <w:szCs w:val="20"/>
                                <w:lang w:eastAsia="zh-CN"/>
                              </w:rPr>
                              <w:t>” (Smith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0BF44" id="_x0000_s1033" type="#_x0000_t202" style="position:absolute;left:0;text-align:left;margin-left:213.2pt;margin-top:19.25pt;width:245.15pt;height:186.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o/JgIAAE4EAAAOAAAAZHJzL2Uyb0RvYy54bWysVNtu2zAMfR+wfxD0vjh2kr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">
                <v:textbox>
                  <w:txbxContent>
                    <w:p w14:paraId="777387E1" w14:textId="77777777" w:rsidR="00B269D3" w:rsidRPr="006B7DE1" w:rsidRDefault="00B269D3" w:rsidP="00B269D3">
                      <w:pPr>
                        <w:autoSpaceDE w:val="0"/>
                        <w:autoSpaceDN w:val="0"/>
                        <w:adjustRightInd w:val="0"/>
                        <w:spacing w:after="0" w:line="288" w:lineRule="auto"/>
                        <w:jc w:val="both"/>
                        <w:rPr>
                          <w:sz w:val="20"/>
                          <w:szCs w:val="20"/>
                        </w:rPr>
                      </w:pPr>
                      <w:r w:rsidRPr="006B7DE1">
                        <w:rPr>
                          <w:sz w:val="20"/>
                          <w:szCs w:val="20"/>
                        </w:rPr>
                        <w:t>TAFE Queensland successfully piloted a low bandwidth</w:t>
                      </w:r>
                      <w:r>
                        <w:rPr>
                          <w:sz w:val="20"/>
                          <w:szCs w:val="20"/>
                        </w:rPr>
                        <w:t xml:space="preserve"> multimedia</w:t>
                      </w:r>
                      <w:r w:rsidRPr="006B7DE1">
                        <w:rPr>
                          <w:sz w:val="20"/>
                          <w:szCs w:val="20"/>
                        </w:rPr>
                        <w:t xml:space="preserve"> ‘virtual campus’ for delivery of </w:t>
                      </w:r>
                      <w:r w:rsidRPr="00823814">
                        <w:rPr>
                          <w:color w:val="000000" w:themeColor="text1"/>
                          <w:sz w:val="20"/>
                          <w:szCs w:val="20"/>
                        </w:rPr>
                        <w:t xml:space="preserve">Community Services curriculum (communication skills) to regional and rural students. </w:t>
                      </w:r>
                      <w:r w:rsidRPr="00823814">
                        <w:rPr>
                          <w:color w:val="000000" w:themeColor="text1"/>
                          <w:sz w:val="20"/>
                          <w:szCs w:val="20"/>
                          <w:lang w:eastAsia="zh-CN"/>
                        </w:rPr>
                        <w:t xml:space="preserve">Students created their own community worker avatar and then used client-avatars to role play with peers in real time case management and counselling sessions in the virtual world. Student feedback includes: “Without that opportunity for this assessment, there would have been a string of “n/a” comments on the third party report that would have been facilitated by a limited experience in my </w:t>
                      </w:r>
                      <w:r w:rsidRPr="006B7DE1">
                        <w:rPr>
                          <w:color w:val="000000"/>
                          <w:sz w:val="20"/>
                          <w:szCs w:val="20"/>
                          <w:lang w:eastAsia="zh-CN"/>
                        </w:rPr>
                        <w:t>work life at a local community centre</w:t>
                      </w:r>
                      <w:r>
                        <w:rPr>
                          <w:color w:val="000000"/>
                          <w:sz w:val="20"/>
                          <w:szCs w:val="20"/>
                          <w:lang w:eastAsia="zh-CN"/>
                        </w:rPr>
                        <w:t>” (Smith 2017).</w:t>
                      </w:r>
                    </w:p>
                  </w:txbxContent>
                </v:textbox>
                <w10:wrap type="square" anchorx="margin"/>
              </v:shape>
            </w:pict>
          </mc:Fallback>
        </mc:AlternateContent>
      </w:r>
    </w:p>
    <w:p w14:paraId="7F52DF0B" w14:textId="4C41B6F9" w:rsidR="001719BC" w:rsidRPr="00B269D3" w:rsidRDefault="00AF3B98" w:rsidP="00B269D3">
      <w:pPr>
        <w:spacing w:after="160" w:line="288" w:lineRule="auto"/>
        <w:jc w:val="both"/>
      </w:pPr>
      <w:r w:rsidRPr="00B269D3">
        <w:t>Local training i</w:t>
      </w:r>
      <w:r w:rsidR="007662A4" w:rsidRPr="00B269D3">
        <w:t>n rural</w:t>
      </w:r>
      <w:r w:rsidRPr="00B269D3">
        <w:t xml:space="preserve">, regional and remote communities may improve the </w:t>
      </w:r>
      <w:r w:rsidR="001719BC" w:rsidRPr="00B269D3">
        <w:t xml:space="preserve">retention </w:t>
      </w:r>
      <w:r w:rsidR="00921D09" w:rsidRPr="00B269D3">
        <w:t xml:space="preserve">of </w:t>
      </w:r>
      <w:r w:rsidR="001C7E9E">
        <w:t xml:space="preserve">local </w:t>
      </w:r>
      <w:r w:rsidR="00921D09" w:rsidRPr="00B269D3">
        <w:t>youth from their communities</w:t>
      </w:r>
      <w:r w:rsidR="007662A4" w:rsidRPr="00B269D3">
        <w:t xml:space="preserve">. Furthermore this is exacerbated when families cannot afford the current financial costs of supporting a child </w:t>
      </w:r>
      <w:r w:rsidR="000371AD" w:rsidRPr="00B269D3">
        <w:t>(</w:t>
      </w:r>
      <w:r w:rsidR="007662A4" w:rsidRPr="00B269D3">
        <w:t>remotely</w:t>
      </w:r>
      <w:r w:rsidR="000371AD" w:rsidRPr="00B269D3">
        <w:t>)</w:t>
      </w:r>
      <w:r w:rsidR="00921D09" w:rsidRPr="00B269D3">
        <w:t>, which often leads to the whole family relocating</w:t>
      </w:r>
      <w:r w:rsidR="007662A4" w:rsidRPr="00B269D3">
        <w:t>.</w:t>
      </w:r>
      <w:r w:rsidR="00F56DEA" w:rsidRPr="00B269D3">
        <w:t xml:space="preserve"> </w:t>
      </w:r>
      <w:r w:rsidR="007662A4" w:rsidRPr="00B269D3">
        <w:t xml:space="preserve">TAFEs maintain a community obligation to deliver training </w:t>
      </w:r>
      <w:r w:rsidR="00B269D3">
        <w:t>state-</w:t>
      </w:r>
      <w:r w:rsidR="00B269D3" w:rsidRPr="00B269D3">
        <w:t>wide</w:t>
      </w:r>
      <w:r w:rsidR="007662A4" w:rsidRPr="00B269D3">
        <w:t xml:space="preserve"> and may run at a financial loss in rural and remote communities. Commerciality is important but some campuses</w:t>
      </w:r>
      <w:r w:rsidR="00F56DEA" w:rsidRPr="00B269D3">
        <w:t xml:space="preserve"> </w:t>
      </w:r>
      <w:r w:rsidR="00921D09" w:rsidRPr="00B269D3">
        <w:t>cannot be expected to run as a commercially viable enterprise</w:t>
      </w:r>
      <w:r w:rsidR="007662A4" w:rsidRPr="00B269D3">
        <w:t>, rather the Government may emphasise their broader socioeconomic benefits</w:t>
      </w:r>
      <w:r w:rsidR="00921D09" w:rsidRPr="00B269D3">
        <w:t>.</w:t>
      </w:r>
      <w:r w:rsidR="00921D09" w:rsidRPr="00B269D3">
        <w:rPr>
          <w:b/>
          <w:bCs/>
        </w:rPr>
        <w:t xml:space="preserve"> </w:t>
      </w:r>
    </w:p>
    <w:p w14:paraId="29173FC4" w14:textId="2943A5E7" w:rsidR="00921D09" w:rsidRDefault="00BE1D28" w:rsidP="00B64780">
      <w:pPr>
        <w:jc w:val="both"/>
      </w:pPr>
      <w:r w:rsidRPr="00BE1D28">
        <w:t>Regionalisation of the public service increases the need for education and a trained workforce in regions.</w:t>
      </w:r>
      <w:r w:rsidR="00921D09" w:rsidRPr="00493EF8">
        <w:t xml:space="preserve"> Government departments need to be encouraged to regionalise their workforce as that brings employment into the community and keeps the need for schools and hospitals and other essential government services.  A</w:t>
      </w:r>
      <w:r w:rsidR="00E16F54">
        <w:t xml:space="preserve">s previously mentioned, </w:t>
      </w:r>
      <w:r w:rsidR="00F56DEA">
        <w:t>a</w:t>
      </w:r>
      <w:r w:rsidR="00921D09" w:rsidRPr="00493EF8">
        <w:t xml:space="preserve">ddressing the significant ICT issues in rural areas is also at the foundation of building </w:t>
      </w:r>
      <w:r w:rsidR="00E16F54" w:rsidRPr="00493EF8">
        <w:t>entrepreneurs</w:t>
      </w:r>
      <w:r w:rsidR="00E16F54">
        <w:t xml:space="preserve"> and employment</w:t>
      </w:r>
      <w:r w:rsidR="00E16F54" w:rsidRPr="00493EF8">
        <w:t xml:space="preserve"> </w:t>
      </w:r>
      <w:r w:rsidR="00921D09" w:rsidRPr="00493EF8">
        <w:t>in rural communities</w:t>
      </w:r>
      <w:r w:rsidR="00E16F54">
        <w:t>.</w:t>
      </w:r>
    </w:p>
    <w:p w14:paraId="7BF6118D" w14:textId="55DEE10E" w:rsidR="00B27DE0" w:rsidRDefault="008B3645" w:rsidP="00B27DE0">
      <w:pPr>
        <w:spacing w:line="288" w:lineRule="auto"/>
        <w:jc w:val="both"/>
      </w:pPr>
      <w:r>
        <w:rPr>
          <w:noProof/>
        </w:rPr>
        <mc:AlternateContent>
          <mc:Choice Requires="wps">
            <w:drawing>
              <wp:anchor distT="45720" distB="45720" distL="114300" distR="114300" simplePos="0" relativeHeight="251689984" behindDoc="0" locked="0" layoutInCell="1" allowOverlap="1" wp14:anchorId="0C9D7D24" wp14:editId="07D48E62">
                <wp:simplePos x="0" y="0"/>
                <wp:positionH relativeFrom="margin">
                  <wp:align>right</wp:align>
                </wp:positionH>
                <wp:positionV relativeFrom="paragraph">
                  <wp:posOffset>1873250</wp:posOffset>
                </wp:positionV>
                <wp:extent cx="5810250" cy="733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33425"/>
                        </a:xfrm>
                        <a:prstGeom prst="rect">
                          <a:avLst/>
                        </a:prstGeom>
                        <a:solidFill>
                          <a:srgbClr val="C00000"/>
                        </a:solidFill>
                        <a:ln w="9525">
                          <a:solidFill>
                            <a:srgbClr val="000000"/>
                          </a:solidFill>
                          <a:miter lim="800000"/>
                          <a:headEnd/>
                          <a:tailEnd/>
                        </a:ln>
                      </wps:spPr>
                      <wps:txbx>
                        <w:txbxContent>
                          <w:p w14:paraId="57C67A82" w14:textId="77777777" w:rsidR="00E16F54" w:rsidRPr="00653F31" w:rsidRDefault="00E16F54">
                            <w:pPr>
                              <w:rPr>
                                <w:b/>
                                <w:color w:val="FFFFFF" w:themeColor="background1"/>
                              </w:rPr>
                            </w:pPr>
                            <w:r w:rsidRPr="00653F31">
                              <w:rPr>
                                <w:b/>
                                <w:color w:val="FFFFFF" w:themeColor="background1"/>
                              </w:rPr>
                              <w:t>Recommendation</w:t>
                            </w:r>
                            <w:r>
                              <w:rPr>
                                <w:b/>
                                <w:color w:val="FFFFFF" w:themeColor="background1"/>
                              </w:rPr>
                              <w:t xml:space="preserve"> 3</w:t>
                            </w:r>
                            <w:r w:rsidRPr="00653F31">
                              <w:rPr>
                                <w:b/>
                                <w:color w:val="FFFFFF" w:themeColor="background1"/>
                              </w:rPr>
                              <w:t xml:space="preserve">: That the Australian Government ensure equitable access for all learners to facilities and services in </w:t>
                            </w:r>
                            <w:r>
                              <w:rPr>
                                <w:b/>
                                <w:color w:val="FFFFFF" w:themeColor="background1"/>
                              </w:rPr>
                              <w:t>learning environments</w:t>
                            </w:r>
                            <w:r w:rsidRPr="00653F31">
                              <w:rPr>
                                <w:b/>
                                <w:color w:val="FFFFFF" w:themeColor="background1"/>
                              </w:rPr>
                              <w:t>; and that reasonable adjustments are made to enable diverse learners to participate on an equal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D7D24" id="_x0000_s1034" type="#_x0000_t202" style="position:absolute;left:0;text-align:left;margin-left:406.3pt;margin-top:147.5pt;width:457.5pt;height:57.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" fillcolor="#c00000">
                <v:textbox>
                  <w:txbxContent>
                    <w:p w14:paraId="57C67A82" w14:textId="77777777" w:rsidR="00E16F54" w:rsidRPr="00653F31" w:rsidRDefault="00E16F54">
                      <w:pPr>
                        <w:rPr>
                          <w:b/>
                          <w:color w:val="FFFFFF" w:themeColor="background1"/>
                        </w:rPr>
                      </w:pPr>
                      <w:r w:rsidRPr="00653F31">
                        <w:rPr>
                          <w:b/>
                          <w:color w:val="FFFFFF" w:themeColor="background1"/>
                        </w:rPr>
                        <w:t>Recommendation</w:t>
                      </w:r>
                      <w:r>
                        <w:rPr>
                          <w:b/>
                          <w:color w:val="FFFFFF" w:themeColor="background1"/>
                        </w:rPr>
                        <w:t xml:space="preserve"> 3</w:t>
                      </w:r>
                      <w:r w:rsidRPr="00653F31">
                        <w:rPr>
                          <w:b/>
                          <w:color w:val="FFFFFF" w:themeColor="background1"/>
                        </w:rPr>
                        <w:t xml:space="preserve">: That the Australian Government ensure equitable access for all learners to facilities and services in </w:t>
                      </w:r>
                      <w:r>
                        <w:rPr>
                          <w:b/>
                          <w:color w:val="FFFFFF" w:themeColor="background1"/>
                        </w:rPr>
                        <w:t>learning environments</w:t>
                      </w:r>
                      <w:r w:rsidRPr="00653F31">
                        <w:rPr>
                          <w:b/>
                          <w:color w:val="FFFFFF" w:themeColor="background1"/>
                        </w:rPr>
                        <w:t>; and that reasonable adjustments are made to enable diverse learners to participate on an equal basis.</w:t>
                      </w:r>
                    </w:p>
                  </w:txbxContent>
                </v:textbox>
                <w10:wrap type="square" anchorx="margin"/>
              </v:shape>
            </w:pict>
          </mc:Fallback>
        </mc:AlternateContent>
      </w:r>
      <w:r w:rsidR="004A0D24">
        <w:t>TAFE Queensland has a proud history of delivering VET to disadvantaged learners, including students with disability, students from low socio-economic background and Aboriginal and Torres Strait Islander students, which often result</w:t>
      </w:r>
      <w:r w:rsidR="001719BC">
        <w:t>s</w:t>
      </w:r>
      <w:r w:rsidR="004A0D24">
        <w:t xml:space="preserve"> in a life</w:t>
      </w:r>
      <w:r w:rsidR="00E16F54">
        <w:t>-</w:t>
      </w:r>
      <w:r w:rsidR="004A0D24">
        <w:t xml:space="preserve">changing ability to participate in the labour market. This experience presents an opportunity for government to partner with TAFE Queensland to </w:t>
      </w:r>
      <w:r w:rsidR="00E16F54">
        <w:t>identify career pathways</w:t>
      </w:r>
      <w:r w:rsidR="004A0D24">
        <w:t xml:space="preserve"> for disadvantaged and at</w:t>
      </w:r>
      <w:r w:rsidR="00E16F54">
        <w:t>-</w:t>
      </w:r>
      <w:r w:rsidR="004A0D24">
        <w:t>risk learners</w:t>
      </w:r>
      <w:r w:rsidR="00653F31">
        <w:t xml:space="preserve"> in schools</w:t>
      </w:r>
      <w:r w:rsidR="004A0D24">
        <w:t>.</w:t>
      </w:r>
      <w:r w:rsidR="00B27DE0">
        <w:t xml:space="preserve">  </w:t>
      </w:r>
      <w:r w:rsidR="00653F31">
        <w:t>The critical role that education and training plays in enabling individuals to access opportunities within the economy is widely known, and TAFE Queensland has a strong commitment to providing inclusive learning environments to enable this</w:t>
      </w:r>
      <w:r w:rsidR="00E16F54">
        <w:t xml:space="preserve"> state</w:t>
      </w:r>
      <w:r w:rsidR="00B269D3">
        <w:t>-</w:t>
      </w:r>
      <w:r w:rsidR="00E16F54">
        <w:t>wide</w:t>
      </w:r>
      <w:r w:rsidR="00653F31">
        <w:t>.</w:t>
      </w:r>
      <w:r w:rsidR="00B27DE0">
        <w:t xml:space="preserve"> </w:t>
      </w:r>
    </w:p>
    <w:p w14:paraId="67880B5E" w14:textId="098F3487" w:rsidR="00BE1D28" w:rsidRDefault="00BE1D28" w:rsidP="00B27DE0">
      <w:pPr>
        <w:spacing w:line="288" w:lineRule="auto"/>
        <w:jc w:val="both"/>
      </w:pPr>
      <w:r>
        <w:rPr>
          <w:noProof/>
        </w:rPr>
        <mc:AlternateContent>
          <mc:Choice Requires="wps">
            <w:drawing>
              <wp:anchor distT="45720" distB="45720" distL="114300" distR="114300" simplePos="0" relativeHeight="251692032" behindDoc="0" locked="0" layoutInCell="1" allowOverlap="1" wp14:anchorId="7D6FD884" wp14:editId="626CB0E6">
                <wp:simplePos x="0" y="0"/>
                <wp:positionH relativeFrom="margin">
                  <wp:align>right</wp:align>
                </wp:positionH>
                <wp:positionV relativeFrom="paragraph">
                  <wp:posOffset>1362710</wp:posOffset>
                </wp:positionV>
                <wp:extent cx="5810250" cy="6667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66750"/>
                        </a:xfrm>
                        <a:prstGeom prst="rect">
                          <a:avLst/>
                        </a:prstGeom>
                        <a:solidFill>
                          <a:srgbClr val="C00000"/>
                        </a:solidFill>
                        <a:ln w="9525">
                          <a:solidFill>
                            <a:srgbClr val="000000"/>
                          </a:solidFill>
                          <a:miter lim="800000"/>
                          <a:headEnd/>
                          <a:tailEnd/>
                        </a:ln>
                      </wps:spPr>
                      <wps:txbx>
                        <w:txbxContent>
                          <w:p w14:paraId="7A42212F" w14:textId="77777777" w:rsidR="00E16F54" w:rsidRPr="00653F31" w:rsidRDefault="00E16F54">
                            <w:pPr>
                              <w:rPr>
                                <w:b/>
                              </w:rPr>
                            </w:pPr>
                            <w:r>
                              <w:rPr>
                                <w:b/>
                              </w:rPr>
                              <w:t xml:space="preserve">Recommendation 4: </w:t>
                            </w:r>
                            <w:r w:rsidRPr="00653F31">
                              <w:rPr>
                                <w:b/>
                              </w:rPr>
                              <w:t>That teaching and administrative staff are adequately trained and informed of their responsibilities to provide learning environments that are responsive to and inclusive of diverse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FD884" id="_x0000_s1035" type="#_x0000_t202" style="position:absolute;left:0;text-align:left;margin-left:406.3pt;margin-top:107.3pt;width:457.5pt;height:5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" fillcolor="#c00000">
                <v:textbox>
                  <w:txbxContent>
                    <w:p w14:paraId="7A42212F" w14:textId="77777777" w:rsidR="00E16F54" w:rsidRPr="00653F31" w:rsidRDefault="00E16F54">
                      <w:pPr>
                        <w:rPr>
                          <w:b/>
                        </w:rPr>
                      </w:pPr>
                      <w:r>
                        <w:rPr>
                          <w:b/>
                        </w:rPr>
                        <w:t xml:space="preserve">Recommendation 4: </w:t>
                      </w:r>
                      <w:r w:rsidRPr="00653F31">
                        <w:rPr>
                          <w:b/>
                        </w:rPr>
                        <w:t>That teaching and administrative staff are adequately trained and informed of their responsibilities to provide learning environments that are responsive to and inclusive of diverse learners.</w:t>
                      </w:r>
                    </w:p>
                  </w:txbxContent>
                </v:textbox>
                <w10:wrap type="square" anchorx="margin"/>
              </v:shape>
            </w:pict>
          </mc:Fallback>
        </mc:AlternateContent>
      </w:r>
    </w:p>
    <w:p w14:paraId="6929016B" w14:textId="2E7C5565" w:rsidR="00BE1D28" w:rsidRDefault="00BE1D28" w:rsidP="00B27DE0">
      <w:pPr>
        <w:spacing w:line="288" w:lineRule="auto"/>
        <w:jc w:val="both"/>
      </w:pPr>
      <w:r>
        <w:rPr>
          <w:noProof/>
        </w:rPr>
        <mc:AlternateContent>
          <mc:Choice Requires="wps">
            <w:drawing>
              <wp:anchor distT="45720" distB="45720" distL="114300" distR="114300" simplePos="0" relativeHeight="251694080" behindDoc="0" locked="0" layoutInCell="1" allowOverlap="1" wp14:anchorId="31B94BEF" wp14:editId="17007B67">
                <wp:simplePos x="0" y="0"/>
                <wp:positionH relativeFrom="margin">
                  <wp:align>left</wp:align>
                </wp:positionH>
                <wp:positionV relativeFrom="paragraph">
                  <wp:posOffset>1191895</wp:posOffset>
                </wp:positionV>
                <wp:extent cx="5829300" cy="6858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solidFill>
                          <a:srgbClr val="C00000"/>
                        </a:solidFill>
                        <a:ln w="9525">
                          <a:solidFill>
                            <a:srgbClr val="000000"/>
                          </a:solidFill>
                          <a:miter lim="800000"/>
                          <a:headEnd/>
                          <a:tailEnd/>
                        </a:ln>
                      </wps:spPr>
                      <wps:txbx>
                        <w:txbxContent>
                          <w:p w14:paraId="69CFB8F1" w14:textId="0665929F" w:rsidR="00E16F54" w:rsidRPr="007B6AE7" w:rsidRDefault="00E16F54">
                            <w:pPr>
                              <w:rPr>
                                <w:b/>
                                <w:color w:val="FFFFFF" w:themeColor="background1"/>
                              </w:rPr>
                            </w:pPr>
                            <w:r w:rsidRPr="00737B3B">
                              <w:rPr>
                                <w:b/>
                                <w:color w:val="FFFFFF" w:themeColor="background1"/>
                              </w:rPr>
                              <w:t>Recommendation</w:t>
                            </w:r>
                            <w:r>
                              <w:rPr>
                                <w:b/>
                                <w:color w:val="FFFFFF" w:themeColor="background1"/>
                              </w:rPr>
                              <w:t xml:space="preserve"> 5: </w:t>
                            </w:r>
                            <w:r w:rsidRPr="007B6AE7">
                              <w:rPr>
                                <w:b/>
                                <w:color w:val="FFFFFF" w:themeColor="background1"/>
                              </w:rPr>
                              <w:t>That curriculum development is inclusive of the needs of diverse learners and provides clear pathways to achieving success at senior school, vocational and/or higher education, and to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94BEF" id="_x0000_s1036" type="#_x0000_t202" style="position:absolute;left:0;text-align:left;margin-left:0;margin-top:93.85pt;width:459pt;height:54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" fillcolor="#c00000">
                <v:textbox>
                  <w:txbxContent>
                    <w:p w14:paraId="69CFB8F1" w14:textId="0665929F" w:rsidR="00E16F54" w:rsidRPr="007B6AE7" w:rsidRDefault="00E16F54">
                      <w:pPr>
                        <w:rPr>
                          <w:b/>
                          <w:color w:val="FFFFFF" w:themeColor="background1"/>
                        </w:rPr>
                      </w:pPr>
                      <w:r w:rsidRPr="00737B3B">
                        <w:rPr>
                          <w:b/>
                          <w:color w:val="FFFFFF" w:themeColor="background1"/>
                        </w:rPr>
                        <w:t>Recommendation</w:t>
                      </w:r>
                      <w:r>
                        <w:rPr>
                          <w:b/>
                          <w:color w:val="FFFFFF" w:themeColor="background1"/>
                        </w:rPr>
                        <w:t xml:space="preserve"> 5: </w:t>
                      </w:r>
                      <w:r w:rsidRPr="007B6AE7">
                        <w:rPr>
                          <w:b/>
                          <w:color w:val="FFFFFF" w:themeColor="background1"/>
                        </w:rPr>
                        <w:t>That curriculum development is inclusive of the needs of diverse learners and provides clear pathways to achieving success at senior school, vocational and/or higher education, and to employment.</w:t>
                      </w:r>
                    </w:p>
                  </w:txbxContent>
                </v:textbox>
                <w10:wrap type="square" anchorx="margin"/>
              </v:shape>
            </w:pict>
          </mc:Fallback>
        </mc:AlternateContent>
      </w:r>
    </w:p>
    <w:p w14:paraId="2A0C35C6" w14:textId="2D323B80" w:rsidR="00653F31" w:rsidRDefault="00653F31" w:rsidP="00B27DE0">
      <w:pPr>
        <w:spacing w:line="288" w:lineRule="auto"/>
        <w:jc w:val="both"/>
      </w:pPr>
    </w:p>
    <w:p w14:paraId="1150A395" w14:textId="77777777" w:rsidR="008802DB" w:rsidRDefault="008802DB" w:rsidP="00B27DE0">
      <w:pPr>
        <w:spacing w:line="288" w:lineRule="auto"/>
        <w:jc w:val="both"/>
      </w:pPr>
    </w:p>
    <w:p w14:paraId="3177C7F8" w14:textId="7167B804" w:rsidR="00AC5DE5" w:rsidRDefault="009C63B3" w:rsidP="009C63B3">
      <w:pPr>
        <w:pStyle w:val="Heading1"/>
        <w:numPr>
          <w:ilvl w:val="0"/>
          <w:numId w:val="10"/>
        </w:numPr>
        <w:spacing w:before="120"/>
        <w:ind w:hanging="720"/>
        <w:jc w:val="both"/>
        <w:rPr>
          <w:color w:val="auto"/>
          <w:sz w:val="22"/>
          <w:szCs w:val="22"/>
          <w:lang w:val="en-US"/>
        </w:rPr>
      </w:pPr>
      <w:r w:rsidRPr="00493EF8">
        <w:rPr>
          <w:color w:val="auto"/>
          <w:sz w:val="22"/>
          <w:szCs w:val="22"/>
          <w:lang w:val="en-US"/>
        </w:rPr>
        <w:t>Transitioning beyond school</w:t>
      </w:r>
    </w:p>
    <w:p w14:paraId="5B3F432B" w14:textId="77777777" w:rsidR="00DF6AF2" w:rsidRDefault="00DF6AF2" w:rsidP="00AC5DE5">
      <w:pPr>
        <w:pStyle w:val="Body"/>
        <w:spacing w:line="240" w:lineRule="auto"/>
        <w:jc w:val="both"/>
        <w:rPr>
          <w:rFonts w:ascii="Arial" w:hAnsi="Arial" w:cs="Arial"/>
          <w:i/>
          <w:u w:val="single"/>
          <w:lang w:val="en-US"/>
        </w:rPr>
      </w:pPr>
    </w:p>
    <w:p w14:paraId="2500ACCD" w14:textId="77777777" w:rsidR="00AC5DE5" w:rsidRPr="00493EF8" w:rsidRDefault="00AC5DE5" w:rsidP="004F088E">
      <w:pPr>
        <w:pStyle w:val="Body"/>
        <w:widowControl w:val="0"/>
        <w:spacing w:line="240" w:lineRule="auto"/>
        <w:jc w:val="both"/>
        <w:rPr>
          <w:rFonts w:ascii="Arial" w:hAnsi="Arial" w:cs="Arial"/>
          <w:i/>
          <w:u w:val="single"/>
          <w:lang w:val="en-US"/>
        </w:rPr>
      </w:pPr>
      <w:r w:rsidRPr="00493EF8">
        <w:rPr>
          <w:rFonts w:ascii="Arial" w:hAnsi="Arial" w:cs="Arial"/>
          <w:i/>
          <w:u w:val="single"/>
          <w:lang w:val="en-US"/>
        </w:rPr>
        <w:t xml:space="preserve">Career Assessment and Guidance activities </w:t>
      </w:r>
    </w:p>
    <w:p w14:paraId="25F208B2" w14:textId="77777777" w:rsidR="00AC5DE5" w:rsidRPr="004F088E" w:rsidRDefault="00AC5DE5" w:rsidP="004F088E">
      <w:pPr>
        <w:widowControl w:val="0"/>
        <w:autoSpaceDE w:val="0"/>
        <w:autoSpaceDN w:val="0"/>
        <w:adjustRightInd w:val="0"/>
        <w:jc w:val="both"/>
        <w:rPr>
          <w:spacing w:val="-6"/>
        </w:rPr>
      </w:pPr>
      <w:r w:rsidRPr="004F088E">
        <w:rPr>
          <w:spacing w:val="-6"/>
        </w:rPr>
        <w:t xml:space="preserve">By participating in career assessment and guidance activities through schools, students can increase their skills in articulating their areas of strength and their long term career goals and objectives. </w:t>
      </w:r>
    </w:p>
    <w:p w14:paraId="51444E6F" w14:textId="66BCE557" w:rsidR="00AC5DE5" w:rsidRPr="00493EF8" w:rsidRDefault="00AC5DE5" w:rsidP="00CC5001">
      <w:pPr>
        <w:autoSpaceDE w:val="0"/>
        <w:autoSpaceDN w:val="0"/>
        <w:adjustRightInd w:val="0"/>
        <w:jc w:val="both"/>
      </w:pPr>
      <w:r w:rsidRPr="00493EF8">
        <w:t xml:space="preserve">Students need more exposure to the workplace to get a better understanding of what is required in the transition from school to work. There needs to be greater opportunities for work experience, work sampling and work shadowing. Vocational placement might also form an integral part of any TAFE </w:t>
      </w:r>
      <w:r w:rsidR="00E16F54">
        <w:t>at</w:t>
      </w:r>
      <w:r w:rsidR="00E16F54" w:rsidRPr="00493EF8">
        <w:t xml:space="preserve"> </w:t>
      </w:r>
      <w:r w:rsidRPr="00493EF8">
        <w:t>School program</w:t>
      </w:r>
      <w:r w:rsidR="00E16F54">
        <w:t xml:space="preserve"> (see below)</w:t>
      </w:r>
      <w:r w:rsidRPr="00493EF8">
        <w:t xml:space="preserve">. </w:t>
      </w:r>
    </w:p>
    <w:p w14:paraId="4481D3E3" w14:textId="78183ED6" w:rsidR="00AC5DE5" w:rsidRPr="00493EF8" w:rsidRDefault="00AC5DE5" w:rsidP="00CC5001">
      <w:pPr>
        <w:autoSpaceDE w:val="0"/>
        <w:autoSpaceDN w:val="0"/>
        <w:adjustRightInd w:val="0"/>
        <w:jc w:val="both"/>
      </w:pPr>
      <w:r w:rsidRPr="00493EF8">
        <w:t xml:space="preserve">Generally speaking, secondary schools </w:t>
      </w:r>
      <w:r w:rsidR="00F56DEA">
        <w:t xml:space="preserve">may </w:t>
      </w:r>
      <w:r w:rsidRPr="00493EF8">
        <w:t xml:space="preserve">be </w:t>
      </w:r>
      <w:r w:rsidR="00BE1D28">
        <w:t>better</w:t>
      </w:r>
      <w:r w:rsidRPr="00493EF8">
        <w:t xml:space="preserve"> informed on the world of work outside of schools. There is a distinct lack of connection between academic subjects and core employability skills. More could be done in schools to contextualise subjects and align them to work related competencies</w:t>
      </w:r>
      <w:r w:rsidR="00E16F54">
        <w:t xml:space="preserve"> (FYA 2016)</w:t>
      </w:r>
      <w:r w:rsidRPr="00493EF8">
        <w:t xml:space="preserve">. </w:t>
      </w:r>
    </w:p>
    <w:p w14:paraId="43AA83F5" w14:textId="7D7B09C2" w:rsidR="00AC5DE5" w:rsidRPr="00493EF8" w:rsidRDefault="00AC5DE5" w:rsidP="00CC5001">
      <w:pPr>
        <w:autoSpaceDE w:val="0"/>
        <w:autoSpaceDN w:val="0"/>
        <w:adjustRightInd w:val="0"/>
        <w:jc w:val="both"/>
      </w:pPr>
      <w:r w:rsidRPr="00493EF8">
        <w:t xml:space="preserve">TAFE Queensland recognises opportunities to better inform and support students with their post-school choices through investment in this area. Some examples </w:t>
      </w:r>
      <w:r w:rsidR="00F56DEA">
        <w:t xml:space="preserve">of TAFE Queensland innovative programs and tools </w:t>
      </w:r>
      <w:r w:rsidRPr="00493EF8">
        <w:t xml:space="preserve">include: </w:t>
      </w:r>
    </w:p>
    <w:p w14:paraId="7F951555" w14:textId="77777777" w:rsidR="00AC5DE5" w:rsidRPr="00493EF8" w:rsidRDefault="00AC5DE5" w:rsidP="00CC5001">
      <w:pPr>
        <w:autoSpaceDE w:val="0"/>
        <w:autoSpaceDN w:val="0"/>
        <w:adjustRightInd w:val="0"/>
        <w:spacing w:after="0" w:line="240" w:lineRule="auto"/>
        <w:jc w:val="both"/>
        <w:rPr>
          <w:color w:val="000000"/>
          <w:lang w:eastAsia="zh-CN"/>
        </w:rPr>
      </w:pPr>
    </w:p>
    <w:p w14:paraId="15605B16" w14:textId="77777777" w:rsidR="00AC5DE5" w:rsidRDefault="00AC5DE5" w:rsidP="00967EA2">
      <w:pPr>
        <w:pStyle w:val="ListParagraph"/>
        <w:numPr>
          <w:ilvl w:val="0"/>
          <w:numId w:val="17"/>
        </w:numPr>
        <w:autoSpaceDE w:val="0"/>
        <w:autoSpaceDN w:val="0"/>
        <w:adjustRightInd w:val="0"/>
        <w:jc w:val="both"/>
      </w:pPr>
      <w:r w:rsidRPr="00967EA2">
        <w:rPr>
          <w:b/>
        </w:rPr>
        <w:t>TAFE at School (TAS)</w:t>
      </w:r>
      <w:r w:rsidRPr="00967EA2">
        <w:t xml:space="preserve"> programs – providing a wide range of VET programs for school students to undertake while completing their senior years of schooling, with promotion through TAS Guides giving both program information and career pathway information. </w:t>
      </w:r>
    </w:p>
    <w:p w14:paraId="2C93228D" w14:textId="77777777" w:rsidR="00967EA2" w:rsidRPr="00967EA2" w:rsidRDefault="00967EA2" w:rsidP="00967EA2">
      <w:pPr>
        <w:pStyle w:val="ListParagraph"/>
        <w:autoSpaceDE w:val="0"/>
        <w:autoSpaceDN w:val="0"/>
        <w:adjustRightInd w:val="0"/>
        <w:jc w:val="both"/>
      </w:pPr>
    </w:p>
    <w:p w14:paraId="23A1409C" w14:textId="170E8C17" w:rsidR="00AC5DE5" w:rsidRDefault="00AC5DE5" w:rsidP="00967EA2">
      <w:pPr>
        <w:pStyle w:val="ListParagraph"/>
        <w:numPr>
          <w:ilvl w:val="0"/>
          <w:numId w:val="17"/>
        </w:numPr>
        <w:autoSpaceDE w:val="0"/>
        <w:autoSpaceDN w:val="0"/>
        <w:adjustRightInd w:val="0"/>
        <w:jc w:val="both"/>
      </w:pPr>
      <w:r w:rsidRPr="00967EA2">
        <w:rPr>
          <w:b/>
        </w:rPr>
        <w:t>#</w:t>
      </w:r>
      <w:proofErr w:type="spellStart"/>
      <w:r w:rsidRPr="00967EA2">
        <w:rPr>
          <w:b/>
        </w:rPr>
        <w:t>DiscoverMyFuture</w:t>
      </w:r>
      <w:proofErr w:type="spellEnd"/>
      <w:r w:rsidRPr="00967EA2">
        <w:t xml:space="preserve"> program – an innovative </w:t>
      </w:r>
      <w:r w:rsidR="00E16F54">
        <w:t xml:space="preserve">TAFE Queensland </w:t>
      </w:r>
      <w:r w:rsidRPr="00967EA2">
        <w:t xml:space="preserve">program targeted to Year 9 school students and aligned to components of the Australian Curriculum Work Studies subject. The program educates school students about diverse education, training and career pathways with a focus on individual interests and strengths. </w:t>
      </w:r>
    </w:p>
    <w:p w14:paraId="7C385BC9" w14:textId="77777777" w:rsidR="00967EA2" w:rsidRDefault="00967EA2" w:rsidP="00967EA2">
      <w:pPr>
        <w:pStyle w:val="ListParagraph"/>
      </w:pPr>
    </w:p>
    <w:p w14:paraId="19263A4A" w14:textId="563B6593" w:rsidR="00AC5DE5" w:rsidRPr="00967EA2" w:rsidRDefault="00AC5DE5" w:rsidP="00967EA2">
      <w:pPr>
        <w:pStyle w:val="ListParagraph"/>
        <w:numPr>
          <w:ilvl w:val="0"/>
          <w:numId w:val="17"/>
        </w:numPr>
        <w:autoSpaceDE w:val="0"/>
        <w:autoSpaceDN w:val="0"/>
        <w:adjustRightInd w:val="0"/>
        <w:jc w:val="both"/>
      </w:pPr>
      <w:r w:rsidRPr="00967EA2">
        <w:rPr>
          <w:b/>
        </w:rPr>
        <w:t>Discover My Career</w:t>
      </w:r>
      <w:r w:rsidRPr="00967EA2">
        <w:t xml:space="preserve"> assessment tool – a career assessment tool that assists Year 10 students to analyse their interests and strengths prior to subject selection, and senior education and training planning for senior schooling. The program is part of a longer term support strategy to allow students and parents to consider options for transitioning from school to work and/or further study, covering both university and vocational pathways. </w:t>
      </w:r>
      <w:r w:rsidR="00E16F54">
        <w:t>It addresses the misperception that TAFE training is a second choice to university.</w:t>
      </w:r>
    </w:p>
    <w:p w14:paraId="6A96DD8E" w14:textId="1C691B53" w:rsidR="00AC5DE5" w:rsidRPr="00967EA2" w:rsidRDefault="00AC5DE5" w:rsidP="00967EA2">
      <w:pPr>
        <w:autoSpaceDE w:val="0"/>
        <w:autoSpaceDN w:val="0"/>
        <w:adjustRightInd w:val="0"/>
        <w:jc w:val="both"/>
      </w:pPr>
      <w:r w:rsidRPr="00967EA2">
        <w:t xml:space="preserve">In addition to this, TAFE Queensland actively engages with high schools through information sessions and maintains a strong presence at careers expos and other events to </w:t>
      </w:r>
      <w:r w:rsidR="00E16F54">
        <w:t>promote</w:t>
      </w:r>
      <w:r w:rsidR="00E16F54" w:rsidRPr="00967EA2">
        <w:t xml:space="preserve"> the advantages of a vocational education</w:t>
      </w:r>
      <w:r w:rsidRPr="00967EA2">
        <w:t xml:space="preserve"> to high school students and </w:t>
      </w:r>
      <w:r w:rsidR="00E16F54">
        <w:t>parents</w:t>
      </w:r>
      <w:r w:rsidRPr="00967EA2">
        <w:t xml:space="preserve">. </w:t>
      </w:r>
    </w:p>
    <w:p w14:paraId="38BE8506" w14:textId="77777777" w:rsidR="00AC5DE5" w:rsidRPr="00967EA2" w:rsidRDefault="00AC5DE5" w:rsidP="00967EA2">
      <w:pPr>
        <w:autoSpaceDE w:val="0"/>
        <w:autoSpaceDN w:val="0"/>
        <w:adjustRightInd w:val="0"/>
        <w:jc w:val="both"/>
      </w:pPr>
      <w:r w:rsidRPr="00967EA2">
        <w:t xml:space="preserve">Increased support from the federal government could strengthen TAFE’s role in transitioning students from school to work or self-employment, for example via: </w:t>
      </w:r>
    </w:p>
    <w:p w14:paraId="00021B5D" w14:textId="77777777" w:rsidR="00AC5DE5" w:rsidRPr="00967EA2" w:rsidRDefault="00AC5DE5" w:rsidP="00967EA2">
      <w:pPr>
        <w:pStyle w:val="ListParagraph"/>
        <w:numPr>
          <w:ilvl w:val="0"/>
          <w:numId w:val="18"/>
        </w:numPr>
        <w:autoSpaceDE w:val="0"/>
        <w:autoSpaceDN w:val="0"/>
        <w:adjustRightInd w:val="0"/>
        <w:jc w:val="both"/>
      </w:pPr>
      <w:r w:rsidRPr="00967EA2">
        <w:t xml:space="preserve">A national campaign to enhance the reputation of the TAFE sector, its employer partnerships and employment outcomes; </w:t>
      </w:r>
    </w:p>
    <w:p w14:paraId="6BE06CA4" w14:textId="77777777" w:rsidR="00AC5DE5" w:rsidRPr="00967EA2" w:rsidRDefault="00AC5DE5" w:rsidP="00967EA2">
      <w:pPr>
        <w:pStyle w:val="ListParagraph"/>
        <w:numPr>
          <w:ilvl w:val="0"/>
          <w:numId w:val="18"/>
        </w:numPr>
        <w:autoSpaceDE w:val="0"/>
        <w:autoSpaceDN w:val="0"/>
        <w:adjustRightInd w:val="0"/>
        <w:jc w:val="both"/>
      </w:pPr>
      <w:r w:rsidRPr="00967EA2">
        <w:t xml:space="preserve">Supporting innovative career guidance activities in schools; </w:t>
      </w:r>
    </w:p>
    <w:p w14:paraId="1BB4AFB7" w14:textId="77777777" w:rsidR="00AC5DE5" w:rsidRPr="00967EA2" w:rsidRDefault="00AC5DE5" w:rsidP="00967EA2">
      <w:pPr>
        <w:pStyle w:val="ListParagraph"/>
        <w:numPr>
          <w:ilvl w:val="0"/>
          <w:numId w:val="18"/>
        </w:numPr>
        <w:autoSpaceDE w:val="0"/>
        <w:autoSpaceDN w:val="0"/>
        <w:adjustRightInd w:val="0"/>
        <w:jc w:val="both"/>
      </w:pPr>
      <w:r w:rsidRPr="00967EA2">
        <w:t xml:space="preserve">Improved employment and career information available to students, school staff, parents and the community; and </w:t>
      </w:r>
    </w:p>
    <w:p w14:paraId="7DC5C28A" w14:textId="77777777" w:rsidR="00AC5DE5" w:rsidRPr="00967EA2" w:rsidRDefault="00AC5DE5" w:rsidP="00967EA2">
      <w:pPr>
        <w:pStyle w:val="ListParagraph"/>
        <w:numPr>
          <w:ilvl w:val="0"/>
          <w:numId w:val="18"/>
        </w:numPr>
        <w:autoSpaceDE w:val="0"/>
        <w:autoSpaceDN w:val="0"/>
        <w:adjustRightInd w:val="0"/>
        <w:jc w:val="both"/>
      </w:pPr>
      <w:r w:rsidRPr="00967EA2">
        <w:t xml:space="preserve">Broader promotion of career and employment opportunities by government and industry. </w:t>
      </w:r>
    </w:p>
    <w:p w14:paraId="082BCF86" w14:textId="65DC45C9" w:rsidR="00DF6142" w:rsidRDefault="00CC5001" w:rsidP="00CC5001">
      <w:pPr>
        <w:spacing w:after="160" w:line="288" w:lineRule="auto"/>
        <w:jc w:val="both"/>
      </w:pPr>
      <w:r w:rsidRPr="00CC5001">
        <w:t xml:space="preserve">A number of rural secondary schools have supervised accommodation facilities to support students who do not have access to secondary schooling from their homes e.g. Leichhardt House at Chinchilla and the Dalby SHS Bunya Campus. These facilities allow students to attend Government schools and depending on their location still go home for weekends rather than boarding schools </w:t>
      </w:r>
      <w:r w:rsidR="00DF6142">
        <w:t>(</w:t>
      </w:r>
      <w:r w:rsidRPr="00CC5001">
        <w:t>where they may only get home on school holidays</w:t>
      </w:r>
      <w:r w:rsidR="00DF6142">
        <w:t>)</w:t>
      </w:r>
      <w:r w:rsidRPr="00CC5001">
        <w:t xml:space="preserve"> and thereby maintain the family dynamic.  If</w:t>
      </w:r>
      <w:r w:rsidR="00DF6142">
        <w:t xml:space="preserve"> </w:t>
      </w:r>
      <w:r w:rsidR="00BE1D28">
        <w:t>accommodation</w:t>
      </w:r>
      <w:r w:rsidR="00DF6142">
        <w:t xml:space="preserve"> facilities were made available on</w:t>
      </w:r>
      <w:r w:rsidRPr="00CC5001">
        <w:t xml:space="preserve"> TAFE Queensland</w:t>
      </w:r>
      <w:r w:rsidR="00DF6142">
        <w:t xml:space="preserve"> campuses</w:t>
      </w:r>
      <w:r w:rsidRPr="00CC5001">
        <w:t xml:space="preserve">, it may be </w:t>
      </w:r>
      <w:r w:rsidR="00DF6142">
        <w:t>support</w:t>
      </w:r>
      <w:r w:rsidRPr="00CC5001">
        <w:t xml:space="preserve"> students needing to attend </w:t>
      </w:r>
      <w:r w:rsidR="00DF6142">
        <w:t>in-person study</w:t>
      </w:r>
      <w:r w:rsidR="00DF6142" w:rsidRPr="00CC5001">
        <w:t xml:space="preserve"> </w:t>
      </w:r>
      <w:r w:rsidRPr="00CC5001">
        <w:t>blocks.  For example</w:t>
      </w:r>
      <w:r w:rsidR="00DF6142">
        <w:t>:</w:t>
      </w:r>
      <w:r w:rsidR="00DF6142" w:rsidRPr="00CC5001">
        <w:t xml:space="preserve"> </w:t>
      </w:r>
    </w:p>
    <w:p w14:paraId="26C517C7" w14:textId="7DB11783" w:rsidR="00CC5001" w:rsidRDefault="00CC5001" w:rsidP="00823814">
      <w:pPr>
        <w:pStyle w:val="ListParagraph"/>
        <w:numPr>
          <w:ilvl w:val="0"/>
          <w:numId w:val="24"/>
        </w:numPr>
        <w:spacing w:after="160" w:line="288" w:lineRule="auto"/>
        <w:jc w:val="both"/>
      </w:pPr>
      <w:r w:rsidRPr="00CC5001">
        <w:t xml:space="preserve">the </w:t>
      </w:r>
      <w:r w:rsidR="00DF6142">
        <w:t xml:space="preserve">TAFE Queensland </w:t>
      </w:r>
      <w:r w:rsidRPr="00CC5001">
        <w:t>Kingaroy Electrical team has a very strong reputation for their training</w:t>
      </w:r>
      <w:r w:rsidR="00DF6142">
        <w:t>, and</w:t>
      </w:r>
      <w:r w:rsidRPr="00CC5001">
        <w:t xml:space="preserve"> consequently apprentices from Roma, Dalby</w:t>
      </w:r>
      <w:r w:rsidR="00DF6142">
        <w:t xml:space="preserve"> and </w:t>
      </w:r>
      <w:r w:rsidRPr="00CC5001">
        <w:t xml:space="preserve">Chinchilla prefer to </w:t>
      </w:r>
      <w:r w:rsidR="00DF6142">
        <w:t xml:space="preserve">attend in-person so </w:t>
      </w:r>
      <w:r w:rsidRPr="00CC5001">
        <w:t xml:space="preserve">it provides a cheaper accommodation alternative and parent’s concerns around safety and security are reduced.  </w:t>
      </w:r>
    </w:p>
    <w:p w14:paraId="722DF9A4" w14:textId="77777777" w:rsidR="00967EA2" w:rsidRDefault="00967EA2" w:rsidP="00823814">
      <w:pPr>
        <w:pStyle w:val="ListParagraph"/>
        <w:numPr>
          <w:ilvl w:val="0"/>
          <w:numId w:val="24"/>
        </w:numPr>
        <w:spacing w:after="160" w:line="288" w:lineRule="auto"/>
        <w:jc w:val="both"/>
      </w:pPr>
      <w:r>
        <w:t>Queensland Housing provides a small number of houses for families who wish to relocate from remote communities to Cairns in order to undertake a university or TAFE course.</w:t>
      </w:r>
    </w:p>
    <w:p w14:paraId="68CF0C4D" w14:textId="30E4CEA5" w:rsidR="00967EA2" w:rsidRDefault="00967EA2" w:rsidP="00823814">
      <w:pPr>
        <w:pStyle w:val="ListParagraph"/>
        <w:numPr>
          <w:ilvl w:val="0"/>
          <w:numId w:val="24"/>
        </w:numPr>
        <w:spacing w:after="160" w:line="288" w:lineRule="auto"/>
        <w:jc w:val="both"/>
      </w:pPr>
      <w:r>
        <w:t xml:space="preserve">The Indigenous Youth Mobility Program </w:t>
      </w:r>
      <w:r w:rsidR="00492672">
        <w:t xml:space="preserve">(IYMP) </w:t>
      </w:r>
      <w:r>
        <w:t>provides houses for higher education or VET students who relocate to regional centres for study.</w:t>
      </w:r>
    </w:p>
    <w:p w14:paraId="6A17CC66" w14:textId="49AEBC67" w:rsidR="00967EA2" w:rsidRPr="00CC5001" w:rsidRDefault="00967EA2" w:rsidP="00823814">
      <w:pPr>
        <w:pStyle w:val="ListParagraph"/>
        <w:numPr>
          <w:ilvl w:val="0"/>
          <w:numId w:val="24"/>
        </w:numPr>
        <w:spacing w:after="160" w:line="288" w:lineRule="auto"/>
        <w:jc w:val="both"/>
      </w:pPr>
      <w:r>
        <w:t>Cape York AFL House provides dorm style accommodation and support for students who relocate to Cairns for school.  Queensland Hockey have recently established something similar.</w:t>
      </w:r>
    </w:p>
    <w:p w14:paraId="2E094A82" w14:textId="66397ABF" w:rsidR="00CC5001" w:rsidRDefault="00DF6142" w:rsidP="00CC5001">
      <w:pPr>
        <w:spacing w:after="160" w:line="288" w:lineRule="auto"/>
        <w:jc w:val="both"/>
      </w:pPr>
      <w:r>
        <w:t>P</w:t>
      </w:r>
      <w:r w:rsidR="00CC5001" w:rsidRPr="00CC5001">
        <w:t xml:space="preserve">artnerships between TAFE Queensland and </w:t>
      </w:r>
      <w:r w:rsidR="00B64780">
        <w:t>government</w:t>
      </w:r>
      <w:r w:rsidR="00CC5001" w:rsidRPr="00CC5001">
        <w:t xml:space="preserve"> could offer greater opportunities to create accommodation facilities for cohorts needing to access either Secondary Schooling</w:t>
      </w:r>
      <w:r w:rsidR="00B64780">
        <w:t xml:space="preserve"> or TAFE</w:t>
      </w:r>
      <w:r w:rsidR="00CC5001" w:rsidRPr="00CC5001">
        <w:t xml:space="preserve"> in a </w:t>
      </w:r>
      <w:r>
        <w:t xml:space="preserve">secure, </w:t>
      </w:r>
      <w:r w:rsidR="00CC5001" w:rsidRPr="00CC5001">
        <w:t xml:space="preserve">supervised home stay facility. </w:t>
      </w:r>
    </w:p>
    <w:p w14:paraId="0771ED81" w14:textId="5E7AEFBF" w:rsidR="00967EA2" w:rsidRDefault="004F088E" w:rsidP="00492672">
      <w:pPr>
        <w:spacing w:after="160" w:line="288" w:lineRule="auto"/>
        <w:jc w:val="both"/>
      </w:pPr>
      <w:r>
        <w:rPr>
          <w:noProof/>
        </w:rPr>
        <mc:AlternateContent>
          <mc:Choice Requires="wps">
            <w:drawing>
              <wp:anchor distT="45720" distB="45720" distL="114300" distR="114300" simplePos="0" relativeHeight="251683840" behindDoc="0" locked="0" layoutInCell="1" allowOverlap="1" wp14:anchorId="11C48449" wp14:editId="64CFCAD3">
                <wp:simplePos x="0" y="0"/>
                <wp:positionH relativeFrom="column">
                  <wp:posOffset>40005</wp:posOffset>
                </wp:positionH>
                <wp:positionV relativeFrom="paragraph">
                  <wp:posOffset>222885</wp:posOffset>
                </wp:positionV>
                <wp:extent cx="5819775" cy="1771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71650"/>
                        </a:xfrm>
                        <a:prstGeom prst="rect">
                          <a:avLst/>
                        </a:prstGeom>
                        <a:solidFill>
                          <a:srgbClr val="C00000"/>
                        </a:solidFill>
                        <a:ln w="9525">
                          <a:solidFill>
                            <a:srgbClr val="000000"/>
                          </a:solidFill>
                          <a:miter lim="800000"/>
                          <a:headEnd/>
                          <a:tailEnd/>
                        </a:ln>
                      </wps:spPr>
                      <wps:txbx>
                        <w:txbxContent>
                          <w:p w14:paraId="3CAA1975" w14:textId="77777777" w:rsidR="00E16F54" w:rsidRPr="00826D57" w:rsidRDefault="00E16F54">
                            <w:pPr>
                              <w:rPr>
                                <w:b/>
                              </w:rPr>
                            </w:pPr>
                            <w:r w:rsidRPr="00826D57">
                              <w:rPr>
                                <w:b/>
                              </w:rPr>
                              <w:t xml:space="preserve">Recommendation </w:t>
                            </w:r>
                            <w:r>
                              <w:rPr>
                                <w:b/>
                              </w:rPr>
                              <w:t>6</w:t>
                            </w:r>
                            <w:r w:rsidRPr="00826D57">
                              <w:rPr>
                                <w:b/>
                              </w:rPr>
                              <w:t>: That high school students in regional, rural and remote areas receive more support, by way of Australian Government funding, in preparing them for post-school education, training and work by providing additional opportunities for students to participate in:</w:t>
                            </w:r>
                          </w:p>
                          <w:p w14:paraId="649F7F49" w14:textId="77777777" w:rsidR="00E16F54" w:rsidRPr="00826D57" w:rsidRDefault="00E16F54" w:rsidP="00826D57">
                            <w:pPr>
                              <w:pStyle w:val="ListParagraph"/>
                              <w:numPr>
                                <w:ilvl w:val="0"/>
                                <w:numId w:val="20"/>
                              </w:numPr>
                              <w:rPr>
                                <w:b/>
                              </w:rPr>
                            </w:pPr>
                            <w:r w:rsidRPr="00826D57">
                              <w:rPr>
                                <w:b/>
                              </w:rPr>
                              <w:t>work experience and volunteer work;</w:t>
                            </w:r>
                          </w:p>
                          <w:p w14:paraId="55E2EEEE" w14:textId="77777777" w:rsidR="00E16F54" w:rsidRPr="00826D57" w:rsidRDefault="00E16F54" w:rsidP="00826D57">
                            <w:pPr>
                              <w:pStyle w:val="ListParagraph"/>
                              <w:numPr>
                                <w:ilvl w:val="0"/>
                                <w:numId w:val="20"/>
                              </w:numPr>
                              <w:rPr>
                                <w:b/>
                              </w:rPr>
                            </w:pPr>
                            <w:r w:rsidRPr="00826D57">
                              <w:rPr>
                                <w:b/>
                              </w:rPr>
                              <w:t>adult learning environments;</w:t>
                            </w:r>
                          </w:p>
                          <w:p w14:paraId="7DF51160" w14:textId="77777777" w:rsidR="00E16F54" w:rsidRPr="00826D57" w:rsidRDefault="00E16F54" w:rsidP="00826D57">
                            <w:pPr>
                              <w:pStyle w:val="ListParagraph"/>
                              <w:numPr>
                                <w:ilvl w:val="0"/>
                                <w:numId w:val="20"/>
                              </w:numPr>
                              <w:rPr>
                                <w:b/>
                              </w:rPr>
                            </w:pPr>
                            <w:r w:rsidRPr="00826D57">
                              <w:rPr>
                                <w:b/>
                              </w:rPr>
                              <w:t>career assessment and career guidance activities in order to assist them in recognising their career goals and their areas of strength.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48449" id="_x0000_s1037" type="#_x0000_t202" style="position:absolute;left:0;text-align:left;margin-left:3.15pt;margin-top:17.55pt;width:458.25pt;height:13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" fillcolor="#c00000">
                <v:textbox>
                  <w:txbxContent>
                    <w:p w14:paraId="3CAA1975" w14:textId="77777777" w:rsidR="00E16F54" w:rsidRPr="00826D57" w:rsidRDefault="00E16F54">
                      <w:pPr>
                        <w:rPr>
                          <w:b/>
                        </w:rPr>
                      </w:pPr>
                      <w:r w:rsidRPr="00826D57">
                        <w:rPr>
                          <w:b/>
                        </w:rPr>
                        <w:t xml:space="preserve">Recommendation </w:t>
                      </w:r>
                      <w:r>
                        <w:rPr>
                          <w:b/>
                        </w:rPr>
                        <w:t>6</w:t>
                      </w:r>
                      <w:r w:rsidRPr="00826D57">
                        <w:rPr>
                          <w:b/>
                        </w:rPr>
                        <w:t>: That high school students in regional, rural and remote areas receive more support, by way of Australian Government funding, in preparing them for post-school education, training and work by providing additional opportunities for students to participate in:</w:t>
                      </w:r>
                    </w:p>
                    <w:p w14:paraId="649F7F49" w14:textId="77777777" w:rsidR="00E16F54" w:rsidRPr="00826D57" w:rsidRDefault="00E16F54" w:rsidP="00826D57">
                      <w:pPr>
                        <w:pStyle w:val="ListParagraph"/>
                        <w:numPr>
                          <w:ilvl w:val="0"/>
                          <w:numId w:val="20"/>
                        </w:numPr>
                        <w:rPr>
                          <w:b/>
                        </w:rPr>
                      </w:pPr>
                      <w:r w:rsidRPr="00826D57">
                        <w:rPr>
                          <w:b/>
                        </w:rPr>
                        <w:t>work experience and volunteer work;</w:t>
                      </w:r>
                    </w:p>
                    <w:p w14:paraId="55E2EEEE" w14:textId="77777777" w:rsidR="00E16F54" w:rsidRPr="00826D57" w:rsidRDefault="00E16F54" w:rsidP="00826D57">
                      <w:pPr>
                        <w:pStyle w:val="ListParagraph"/>
                        <w:numPr>
                          <w:ilvl w:val="0"/>
                          <w:numId w:val="20"/>
                        </w:numPr>
                        <w:rPr>
                          <w:b/>
                        </w:rPr>
                      </w:pPr>
                      <w:r w:rsidRPr="00826D57">
                        <w:rPr>
                          <w:b/>
                        </w:rPr>
                        <w:t>adult learning environments;</w:t>
                      </w:r>
                    </w:p>
                    <w:p w14:paraId="7DF51160" w14:textId="77777777" w:rsidR="00E16F54" w:rsidRPr="00826D57" w:rsidRDefault="00E16F54" w:rsidP="00826D57">
                      <w:pPr>
                        <w:pStyle w:val="ListParagraph"/>
                        <w:numPr>
                          <w:ilvl w:val="0"/>
                          <w:numId w:val="20"/>
                        </w:numPr>
                        <w:rPr>
                          <w:b/>
                        </w:rPr>
                      </w:pPr>
                      <w:r w:rsidRPr="00826D57">
                        <w:rPr>
                          <w:b/>
                        </w:rPr>
                        <w:t>career assessment and career guidance activities in order to assist them in recognising their career goals and their areas of strength.</w:t>
                      </w:r>
                    </w:p>
                  </w:txbxContent>
                </v:textbox>
                <w10:wrap type="square"/>
              </v:shape>
            </w:pict>
          </mc:Fallback>
        </mc:AlternateContent>
      </w:r>
      <w:r w:rsidR="001420D4">
        <w:rPr>
          <w:noProof/>
        </w:rPr>
        <mc:AlternateContent>
          <mc:Choice Requires="wps">
            <w:drawing>
              <wp:anchor distT="45720" distB="45720" distL="114300" distR="114300" simplePos="0" relativeHeight="251685888" behindDoc="0" locked="0" layoutInCell="1" allowOverlap="1" wp14:anchorId="10935826" wp14:editId="7EA5BBFC">
                <wp:simplePos x="0" y="0"/>
                <wp:positionH relativeFrom="margin">
                  <wp:posOffset>21784</wp:posOffset>
                </wp:positionH>
                <wp:positionV relativeFrom="paragraph">
                  <wp:posOffset>2239424</wp:posOffset>
                </wp:positionV>
                <wp:extent cx="5829300" cy="13620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62075"/>
                        </a:xfrm>
                        <a:prstGeom prst="rect">
                          <a:avLst/>
                        </a:prstGeom>
                        <a:solidFill>
                          <a:srgbClr val="C00000"/>
                        </a:solidFill>
                        <a:ln w="9525">
                          <a:solidFill>
                            <a:srgbClr val="000000"/>
                          </a:solidFill>
                          <a:miter lim="800000"/>
                          <a:headEnd/>
                          <a:tailEnd/>
                        </a:ln>
                      </wps:spPr>
                      <wps:txbx>
                        <w:txbxContent>
                          <w:p w14:paraId="0C57E814" w14:textId="77777777" w:rsidR="00E16F54" w:rsidRPr="00826D57" w:rsidRDefault="00E16F54" w:rsidP="00826D57">
                            <w:pPr>
                              <w:rPr>
                                <w:b/>
                              </w:rPr>
                            </w:pPr>
                            <w:r w:rsidRPr="00826D57">
                              <w:rPr>
                                <w:b/>
                              </w:rPr>
                              <w:t xml:space="preserve">Recommendation </w:t>
                            </w:r>
                            <w:r>
                              <w:rPr>
                                <w:b/>
                              </w:rPr>
                              <w:t>7</w:t>
                            </w:r>
                            <w:r w:rsidRPr="00826D57">
                              <w:rPr>
                                <w:b/>
                              </w:rPr>
                              <w:t>: That schools are funded to allow them to implement into their curriculum units of study that increase students’ skills and capabilities, in preparing them for post-school education, training and work, in terms of:</w:t>
                            </w:r>
                          </w:p>
                          <w:p w14:paraId="236F0ADA" w14:textId="78BDDA03" w:rsidR="00E16F54" w:rsidRPr="00826D57" w:rsidRDefault="00E16F54" w:rsidP="00826D57">
                            <w:pPr>
                              <w:pStyle w:val="ListParagraph"/>
                              <w:numPr>
                                <w:ilvl w:val="0"/>
                                <w:numId w:val="21"/>
                              </w:numPr>
                              <w:rPr>
                                <w:b/>
                              </w:rPr>
                            </w:pPr>
                            <w:r w:rsidRPr="00826D57">
                              <w:rPr>
                                <w:b/>
                              </w:rPr>
                              <w:t>literacy and numeracy;</w:t>
                            </w:r>
                          </w:p>
                          <w:p w14:paraId="760020E3" w14:textId="17DE02B5" w:rsidR="00E16F54" w:rsidRPr="00826D57" w:rsidRDefault="00E16F54" w:rsidP="00826D57">
                            <w:pPr>
                              <w:pStyle w:val="ListParagraph"/>
                              <w:numPr>
                                <w:ilvl w:val="0"/>
                                <w:numId w:val="21"/>
                              </w:numPr>
                              <w:rPr>
                                <w:b/>
                              </w:rPr>
                            </w:pPr>
                            <w:r w:rsidRPr="00826D57">
                              <w:rPr>
                                <w:b/>
                              </w:rPr>
                              <w:t>enterprise skills</w:t>
                            </w:r>
                            <w:r w:rsidR="00E078D9">
                              <w:rPr>
                                <w:b/>
                              </w:rPr>
                              <w:t xml:space="preserve"> </w:t>
                            </w:r>
                            <w:r w:rsidR="00E078D9" w:rsidRPr="00826D57">
                              <w:rPr>
                                <w:b/>
                              </w:rPr>
                              <w:t>including digital literacy skills</w:t>
                            </w:r>
                            <w:r w:rsidRPr="00826D57">
                              <w:rPr>
                                <w:b/>
                              </w:rPr>
                              <w:t>;</w:t>
                            </w:r>
                          </w:p>
                          <w:p w14:paraId="7DFAA08B" w14:textId="77777777" w:rsidR="00E16F54" w:rsidRPr="00826D57" w:rsidRDefault="00E16F54" w:rsidP="00826D57">
                            <w:pPr>
                              <w:pStyle w:val="ListParagraph"/>
                              <w:numPr>
                                <w:ilvl w:val="0"/>
                                <w:numId w:val="21"/>
                              </w:numPr>
                              <w:rPr>
                                <w:b/>
                              </w:rPr>
                            </w:pPr>
                            <w:r w:rsidRPr="00826D57">
                              <w:rPr>
                                <w:b/>
                              </w:rPr>
                              <w:t>soft skills and work readiness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35826" id="_x0000_s1038" type="#_x0000_t202" style="position:absolute;left:0;text-align:left;margin-left:1.7pt;margin-top:176.35pt;width:459pt;height:107.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" fillcolor="#c00000">
                <v:textbox>
                  <w:txbxContent>
                    <w:p w14:paraId="0C57E814" w14:textId="77777777" w:rsidR="00E16F54" w:rsidRPr="00826D57" w:rsidRDefault="00E16F54" w:rsidP="00826D57">
                      <w:pPr>
                        <w:rPr>
                          <w:b/>
                        </w:rPr>
                      </w:pPr>
                      <w:r w:rsidRPr="00826D57">
                        <w:rPr>
                          <w:b/>
                        </w:rPr>
                        <w:t xml:space="preserve">Recommendation </w:t>
                      </w:r>
                      <w:r>
                        <w:rPr>
                          <w:b/>
                        </w:rPr>
                        <w:t>7</w:t>
                      </w:r>
                      <w:r w:rsidRPr="00826D57">
                        <w:rPr>
                          <w:b/>
                        </w:rPr>
                        <w:t>: That schools are funded to allow them to implement into their curriculum units of study that increase students’ skills and capabilities, in preparing them for post-school education, training and work, in terms of:</w:t>
                      </w:r>
                    </w:p>
                    <w:p w14:paraId="236F0ADA" w14:textId="78BDDA03" w:rsidR="00E16F54" w:rsidRPr="00826D57" w:rsidRDefault="00E16F54" w:rsidP="00826D57">
                      <w:pPr>
                        <w:pStyle w:val="ListParagraph"/>
                        <w:numPr>
                          <w:ilvl w:val="0"/>
                          <w:numId w:val="21"/>
                        </w:numPr>
                        <w:rPr>
                          <w:b/>
                        </w:rPr>
                      </w:pPr>
                      <w:r w:rsidRPr="00826D57">
                        <w:rPr>
                          <w:b/>
                        </w:rPr>
                        <w:t>literacy and numeracy;</w:t>
                      </w:r>
                    </w:p>
                    <w:p w14:paraId="760020E3" w14:textId="17DE02B5" w:rsidR="00E16F54" w:rsidRPr="00826D57" w:rsidRDefault="00E16F54" w:rsidP="00826D57">
                      <w:pPr>
                        <w:pStyle w:val="ListParagraph"/>
                        <w:numPr>
                          <w:ilvl w:val="0"/>
                          <w:numId w:val="21"/>
                        </w:numPr>
                        <w:rPr>
                          <w:b/>
                        </w:rPr>
                      </w:pPr>
                      <w:r w:rsidRPr="00826D57">
                        <w:rPr>
                          <w:b/>
                        </w:rPr>
                        <w:t>enterprise skills</w:t>
                      </w:r>
                      <w:r w:rsidR="00E078D9">
                        <w:rPr>
                          <w:b/>
                        </w:rPr>
                        <w:t xml:space="preserve"> </w:t>
                      </w:r>
                      <w:r w:rsidR="00E078D9" w:rsidRPr="00826D57">
                        <w:rPr>
                          <w:b/>
                        </w:rPr>
                        <w:t>including digital literacy skills</w:t>
                      </w:r>
                      <w:r w:rsidRPr="00826D57">
                        <w:rPr>
                          <w:b/>
                        </w:rPr>
                        <w:t>;</w:t>
                      </w:r>
                    </w:p>
                    <w:p w14:paraId="7DFAA08B" w14:textId="77777777" w:rsidR="00E16F54" w:rsidRPr="00826D57" w:rsidRDefault="00E16F54" w:rsidP="00826D57">
                      <w:pPr>
                        <w:pStyle w:val="ListParagraph"/>
                        <w:numPr>
                          <w:ilvl w:val="0"/>
                          <w:numId w:val="21"/>
                        </w:numPr>
                        <w:rPr>
                          <w:b/>
                        </w:rPr>
                      </w:pPr>
                      <w:r w:rsidRPr="00826D57">
                        <w:rPr>
                          <w:b/>
                        </w:rPr>
                        <w:t>soft skills and work readiness skills.</w:t>
                      </w:r>
                    </w:p>
                  </w:txbxContent>
                </v:textbox>
                <w10:wrap type="square" anchorx="margin"/>
              </v:shape>
            </w:pict>
          </mc:Fallback>
        </mc:AlternateContent>
      </w:r>
    </w:p>
    <w:p w14:paraId="01285299" w14:textId="2C5EBCF5" w:rsidR="001719BC" w:rsidRDefault="001719BC" w:rsidP="001420D4">
      <w:pPr>
        <w:pStyle w:val="ListParagraph"/>
        <w:spacing w:after="160" w:line="288" w:lineRule="auto"/>
        <w:jc w:val="both"/>
        <w:rPr>
          <w:b/>
          <w:lang w:val="en-US"/>
        </w:rPr>
      </w:pPr>
    </w:p>
    <w:p w14:paraId="02F57840" w14:textId="5DBBCF20" w:rsidR="001719BC" w:rsidRDefault="001719BC" w:rsidP="007E698C">
      <w:pPr>
        <w:spacing w:after="0" w:line="240" w:lineRule="auto"/>
        <w:rPr>
          <w:b/>
          <w:lang w:val="en-US"/>
        </w:rPr>
      </w:pPr>
    </w:p>
    <w:p w14:paraId="1E12D95D" w14:textId="77777777" w:rsidR="001719BC" w:rsidRDefault="001719BC" w:rsidP="007E698C">
      <w:pPr>
        <w:spacing w:after="0" w:line="240" w:lineRule="auto"/>
        <w:rPr>
          <w:b/>
          <w:lang w:val="en-US"/>
        </w:rPr>
      </w:pPr>
    </w:p>
    <w:p w14:paraId="542986E8" w14:textId="323DB071" w:rsidR="001719BC" w:rsidRDefault="004F088E" w:rsidP="007E698C">
      <w:pPr>
        <w:spacing w:after="0" w:line="240" w:lineRule="auto"/>
        <w:rPr>
          <w:b/>
          <w:lang w:val="en-US"/>
        </w:rPr>
      </w:pPr>
      <w:r w:rsidRPr="007E698C">
        <w:rPr>
          <w:b/>
          <w:noProof/>
        </w:rPr>
        <mc:AlternateContent>
          <mc:Choice Requires="wps">
            <w:drawing>
              <wp:anchor distT="45720" distB="45720" distL="114300" distR="114300" simplePos="0" relativeHeight="251687936" behindDoc="0" locked="0" layoutInCell="1" allowOverlap="1" wp14:anchorId="6720819C" wp14:editId="6E925AF7">
                <wp:simplePos x="0" y="0"/>
                <wp:positionH relativeFrom="margin">
                  <wp:align>right</wp:align>
                </wp:positionH>
                <wp:positionV relativeFrom="paragraph">
                  <wp:posOffset>31115</wp:posOffset>
                </wp:positionV>
                <wp:extent cx="5800725" cy="699135"/>
                <wp:effectExtent l="0" t="0" r="2857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99135"/>
                        </a:xfrm>
                        <a:prstGeom prst="rect">
                          <a:avLst/>
                        </a:prstGeom>
                        <a:solidFill>
                          <a:srgbClr val="C00000"/>
                        </a:solidFill>
                        <a:ln w="9525">
                          <a:solidFill>
                            <a:srgbClr val="000000"/>
                          </a:solidFill>
                          <a:miter lim="800000"/>
                          <a:headEnd/>
                          <a:tailEnd/>
                        </a:ln>
                      </wps:spPr>
                      <wps:txbx>
                        <w:txbxContent>
                          <w:p w14:paraId="043993FF" w14:textId="30B785A3" w:rsidR="00E16F54" w:rsidRPr="007E698C" w:rsidRDefault="00E16F54">
                            <w:pPr>
                              <w:rPr>
                                <w:b/>
                              </w:rPr>
                            </w:pPr>
                            <w:r w:rsidRPr="007E698C">
                              <w:rPr>
                                <w:b/>
                              </w:rPr>
                              <w:t xml:space="preserve">Recommendation </w:t>
                            </w:r>
                            <w:r>
                              <w:rPr>
                                <w:b/>
                              </w:rPr>
                              <w:t>8</w:t>
                            </w:r>
                            <w:r w:rsidRPr="007E698C">
                              <w:rPr>
                                <w:b/>
                              </w:rPr>
                              <w:t xml:space="preserve">: That </w:t>
                            </w:r>
                            <w:r w:rsidR="008802DB">
                              <w:rPr>
                                <w:b/>
                              </w:rPr>
                              <w:t xml:space="preserve">funding for the </w:t>
                            </w:r>
                            <w:r w:rsidRPr="007E698C">
                              <w:rPr>
                                <w:b/>
                              </w:rPr>
                              <w:t xml:space="preserve">development of digital literacy skills </w:t>
                            </w:r>
                            <w:r w:rsidR="008802DB">
                              <w:rPr>
                                <w:b/>
                              </w:rPr>
                              <w:t xml:space="preserve">be prioritised for VET students in </w:t>
                            </w:r>
                            <w:r w:rsidRPr="007E698C">
                              <w:rPr>
                                <w:b/>
                              </w:rPr>
                              <w:t>preparation for their transition to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819C" id="_x0000_s1039" type="#_x0000_t202" style="position:absolute;margin-left:405.55pt;margin-top:2.45pt;width:456.75pt;height:55.0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" fillcolor="#c00000">
                <v:textbox>
                  <w:txbxContent>
                    <w:p w14:paraId="043993FF" w14:textId="30B785A3" w:rsidR="00E16F54" w:rsidRPr="007E698C" w:rsidRDefault="00E16F54">
                      <w:pPr>
                        <w:rPr>
                          <w:b/>
                        </w:rPr>
                      </w:pPr>
                      <w:r w:rsidRPr="007E698C">
                        <w:rPr>
                          <w:b/>
                        </w:rPr>
                        <w:t xml:space="preserve">Recommendation </w:t>
                      </w:r>
                      <w:r>
                        <w:rPr>
                          <w:b/>
                        </w:rPr>
                        <w:t>8</w:t>
                      </w:r>
                      <w:r w:rsidRPr="007E698C">
                        <w:rPr>
                          <w:b/>
                        </w:rPr>
                        <w:t xml:space="preserve">: That </w:t>
                      </w:r>
                      <w:r w:rsidR="008802DB">
                        <w:rPr>
                          <w:b/>
                        </w:rPr>
                        <w:t xml:space="preserve">funding for the </w:t>
                      </w:r>
                      <w:r w:rsidRPr="007E698C">
                        <w:rPr>
                          <w:b/>
                        </w:rPr>
                        <w:t xml:space="preserve">development of digital literacy skills </w:t>
                      </w:r>
                      <w:r w:rsidR="008802DB">
                        <w:rPr>
                          <w:b/>
                        </w:rPr>
                        <w:t xml:space="preserve">be prioritised for VET students in </w:t>
                      </w:r>
                      <w:r w:rsidRPr="007E698C">
                        <w:rPr>
                          <w:b/>
                        </w:rPr>
                        <w:t>preparation for their transition to work.</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7A0E3F8E" wp14:editId="03A69D9F">
                <wp:simplePos x="0" y="0"/>
                <wp:positionH relativeFrom="margin">
                  <wp:align>right</wp:align>
                </wp:positionH>
                <wp:positionV relativeFrom="paragraph">
                  <wp:posOffset>1041400</wp:posOffset>
                </wp:positionV>
                <wp:extent cx="5813425" cy="845185"/>
                <wp:effectExtent l="0" t="0" r="15875"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845185"/>
                        </a:xfrm>
                        <a:prstGeom prst="rect">
                          <a:avLst/>
                        </a:prstGeom>
                        <a:solidFill>
                          <a:srgbClr val="C00000"/>
                        </a:solidFill>
                        <a:ln w="9525">
                          <a:solidFill>
                            <a:srgbClr val="000000"/>
                          </a:solidFill>
                          <a:miter lim="800000"/>
                          <a:headEnd/>
                          <a:tailEnd/>
                        </a:ln>
                      </wps:spPr>
                      <wps:txbx>
                        <w:txbxContent>
                          <w:p w14:paraId="052252CF" w14:textId="77777777" w:rsidR="00E16F54" w:rsidRPr="00CC5001" w:rsidRDefault="00E16F54" w:rsidP="00CC5001">
                            <w:pPr>
                              <w:jc w:val="both"/>
                              <w:rPr>
                                <w:b/>
                                <w:color w:val="FFFFFF" w:themeColor="background1"/>
                              </w:rPr>
                            </w:pPr>
                            <w:r>
                              <w:rPr>
                                <w:b/>
                                <w:color w:val="FFFFFF" w:themeColor="background1"/>
                              </w:rPr>
                              <w:t>Recommendation 9: That</w:t>
                            </w:r>
                            <w:r w:rsidRPr="00CC5001">
                              <w:rPr>
                                <w:b/>
                                <w:color w:val="FFFFFF" w:themeColor="background1"/>
                              </w:rPr>
                              <w:t xml:space="preserve"> a </w:t>
                            </w:r>
                            <w:r>
                              <w:rPr>
                                <w:b/>
                                <w:color w:val="FFFFFF" w:themeColor="background1"/>
                              </w:rPr>
                              <w:t xml:space="preserve">model, </w:t>
                            </w:r>
                            <w:r w:rsidRPr="00CC5001">
                              <w:rPr>
                                <w:b/>
                                <w:color w:val="FFFFFF" w:themeColor="background1"/>
                              </w:rPr>
                              <w:t xml:space="preserve">similar </w:t>
                            </w:r>
                            <w:r>
                              <w:rPr>
                                <w:b/>
                                <w:color w:val="FFFFFF" w:themeColor="background1"/>
                              </w:rPr>
                              <w:t>to that</w:t>
                            </w:r>
                            <w:r w:rsidRPr="00CC5001">
                              <w:rPr>
                                <w:b/>
                                <w:color w:val="FFFFFF" w:themeColor="background1"/>
                              </w:rPr>
                              <w:t xml:space="preserve"> of IYMP (Indigenous Youth Mobility Program)</w:t>
                            </w:r>
                            <w:r>
                              <w:rPr>
                                <w:b/>
                                <w:color w:val="FFFFFF" w:themeColor="background1"/>
                              </w:rPr>
                              <w:t>,</w:t>
                            </w:r>
                            <w:r w:rsidRPr="00CC5001">
                              <w:rPr>
                                <w:b/>
                                <w:color w:val="FFFFFF" w:themeColor="background1"/>
                              </w:rPr>
                              <w:t xml:space="preserve"> is adopted for rural and remote community children</w:t>
                            </w:r>
                            <w:r>
                              <w:rPr>
                                <w:b/>
                                <w:color w:val="FFFFFF" w:themeColor="background1"/>
                              </w:rPr>
                              <w:t>,</w:t>
                            </w:r>
                            <w:r w:rsidRPr="00CC5001">
                              <w:rPr>
                                <w:b/>
                                <w:color w:val="FFFFFF" w:themeColor="background1"/>
                              </w:rPr>
                              <w:t xml:space="preserve"> that provides a holistic approach to career planning, education and training plans, accommodation</w:t>
                            </w:r>
                            <w:r>
                              <w:rPr>
                                <w:b/>
                                <w:color w:val="FFFFFF" w:themeColor="background1"/>
                              </w:rPr>
                              <w:t>,</w:t>
                            </w:r>
                            <w:r w:rsidRPr="00CC5001">
                              <w:rPr>
                                <w:b/>
                                <w:color w:val="FFFFFF" w:themeColor="background1"/>
                              </w:rPr>
                              <w:t xml:space="preserve"> and professional and personal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E3F8E" id="_x0000_s1040" type="#_x0000_t202" style="position:absolute;margin-left:406.55pt;margin-top:82pt;width:457.75pt;height:66.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" fillcolor="#c00000">
                <v:textbox>
                  <w:txbxContent>
                    <w:p w14:paraId="052252CF" w14:textId="77777777" w:rsidR="00E16F54" w:rsidRPr="00CC5001" w:rsidRDefault="00E16F54" w:rsidP="00CC5001">
                      <w:pPr>
                        <w:jc w:val="both"/>
                        <w:rPr>
                          <w:b/>
                          <w:color w:val="FFFFFF" w:themeColor="background1"/>
                        </w:rPr>
                      </w:pPr>
                      <w:r>
                        <w:rPr>
                          <w:b/>
                          <w:color w:val="FFFFFF" w:themeColor="background1"/>
                        </w:rPr>
                        <w:t>Recommendation 9: That</w:t>
                      </w:r>
                      <w:r w:rsidRPr="00CC5001">
                        <w:rPr>
                          <w:b/>
                          <w:color w:val="FFFFFF" w:themeColor="background1"/>
                        </w:rPr>
                        <w:t xml:space="preserve"> a </w:t>
                      </w:r>
                      <w:r>
                        <w:rPr>
                          <w:b/>
                          <w:color w:val="FFFFFF" w:themeColor="background1"/>
                        </w:rPr>
                        <w:t xml:space="preserve">model, </w:t>
                      </w:r>
                      <w:r w:rsidRPr="00CC5001">
                        <w:rPr>
                          <w:b/>
                          <w:color w:val="FFFFFF" w:themeColor="background1"/>
                        </w:rPr>
                        <w:t xml:space="preserve">similar </w:t>
                      </w:r>
                      <w:r>
                        <w:rPr>
                          <w:b/>
                          <w:color w:val="FFFFFF" w:themeColor="background1"/>
                        </w:rPr>
                        <w:t>to that</w:t>
                      </w:r>
                      <w:r w:rsidRPr="00CC5001">
                        <w:rPr>
                          <w:b/>
                          <w:color w:val="FFFFFF" w:themeColor="background1"/>
                        </w:rPr>
                        <w:t xml:space="preserve"> of IYMP (Indigenous Youth Mobility Program)</w:t>
                      </w:r>
                      <w:r>
                        <w:rPr>
                          <w:b/>
                          <w:color w:val="FFFFFF" w:themeColor="background1"/>
                        </w:rPr>
                        <w:t>,</w:t>
                      </w:r>
                      <w:r w:rsidRPr="00CC5001">
                        <w:rPr>
                          <w:b/>
                          <w:color w:val="FFFFFF" w:themeColor="background1"/>
                        </w:rPr>
                        <w:t xml:space="preserve"> is adopted for rural and remote community children</w:t>
                      </w:r>
                      <w:r>
                        <w:rPr>
                          <w:b/>
                          <w:color w:val="FFFFFF" w:themeColor="background1"/>
                        </w:rPr>
                        <w:t>,</w:t>
                      </w:r>
                      <w:r w:rsidRPr="00CC5001">
                        <w:rPr>
                          <w:b/>
                          <w:color w:val="FFFFFF" w:themeColor="background1"/>
                        </w:rPr>
                        <w:t xml:space="preserve"> that provides a holistic approach to career planning, education and training plans, accommodation</w:t>
                      </w:r>
                      <w:r>
                        <w:rPr>
                          <w:b/>
                          <w:color w:val="FFFFFF" w:themeColor="background1"/>
                        </w:rPr>
                        <w:t>,</w:t>
                      </w:r>
                      <w:r w:rsidRPr="00CC5001">
                        <w:rPr>
                          <w:b/>
                          <w:color w:val="FFFFFF" w:themeColor="background1"/>
                        </w:rPr>
                        <w:t xml:space="preserve"> and professional and personal development.</w:t>
                      </w:r>
                    </w:p>
                  </w:txbxContent>
                </v:textbox>
                <w10:wrap type="square" anchorx="margin"/>
              </v:shape>
            </w:pict>
          </mc:Fallback>
        </mc:AlternateContent>
      </w:r>
    </w:p>
    <w:p w14:paraId="003B7C1B" w14:textId="78B3208A" w:rsidR="001420D4" w:rsidRDefault="001420D4">
      <w:pPr>
        <w:spacing w:after="0" w:line="240" w:lineRule="auto"/>
        <w:rPr>
          <w:b/>
          <w:lang w:val="en-US"/>
        </w:rPr>
      </w:pPr>
      <w:r>
        <w:rPr>
          <w:b/>
          <w:lang w:val="en-US"/>
        </w:rPr>
        <w:br w:type="page"/>
      </w:r>
    </w:p>
    <w:p w14:paraId="4AA3FE71" w14:textId="66A26CF9" w:rsidR="006929DC" w:rsidRDefault="00153913" w:rsidP="007E698C">
      <w:pPr>
        <w:spacing w:after="0" w:line="240" w:lineRule="auto"/>
        <w:rPr>
          <w:b/>
          <w:lang w:val="en-US"/>
        </w:rPr>
      </w:pPr>
      <w:r w:rsidRPr="00493EF8">
        <w:rPr>
          <w:b/>
          <w:lang w:val="en-US"/>
        </w:rPr>
        <w:t xml:space="preserve">References: </w:t>
      </w:r>
    </w:p>
    <w:p w14:paraId="1065047B" w14:textId="77777777" w:rsidR="007B6AE7" w:rsidRPr="00493EF8" w:rsidRDefault="007B6AE7" w:rsidP="007E698C">
      <w:pPr>
        <w:spacing w:after="0" w:line="240" w:lineRule="auto"/>
        <w:rPr>
          <w:b/>
          <w:lang w:val="en-US"/>
        </w:rPr>
      </w:pPr>
    </w:p>
    <w:p w14:paraId="1A183E30" w14:textId="77777777" w:rsidR="001E3DBC" w:rsidRPr="001E3DBC" w:rsidRDefault="001E3DBC" w:rsidP="001E3DBC">
      <w:pPr>
        <w:spacing w:after="0" w:line="240" w:lineRule="auto"/>
      </w:pPr>
      <w:r w:rsidRPr="001E3DBC">
        <w:t xml:space="preserve">Australian Bureau of Statistics 2016, </w:t>
      </w:r>
      <w:r w:rsidRPr="001E3DBC">
        <w:rPr>
          <w:i/>
          <w:iCs/>
        </w:rPr>
        <w:t>Education and Work, Australia</w:t>
      </w:r>
      <w:r w:rsidRPr="001E3DBC">
        <w:t xml:space="preserve">, May. Available at: </w:t>
      </w:r>
    </w:p>
    <w:p w14:paraId="2F1675B4"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&lt; </w:t>
      </w:r>
      <w:hyperlink r:id="rId12" w:history="1">
        <w:r w:rsidRPr="001E3DBC">
          <w:rPr>
            <w:rFonts w:cs="Univers LT Pro 47 Lt Cn"/>
            <w:color w:val="000000" w:themeColor="text1"/>
            <w:szCs w:val="18"/>
          </w:rPr>
          <w:t>http://www.abs.gov.au/ausstats/abs@.nsf/mf/6227.0</w:t>
        </w:r>
      </w:hyperlink>
      <w:r w:rsidRPr="001E3DBC">
        <w:rPr>
          <w:rFonts w:cs="Univers LT Pro 47 Lt Cn"/>
          <w:color w:val="000000" w:themeColor="text1"/>
          <w:szCs w:val="18"/>
        </w:rPr>
        <w:t>&gt;.</w:t>
      </w:r>
    </w:p>
    <w:p w14:paraId="0BAE520F" w14:textId="77777777" w:rsidR="001E3DBC" w:rsidRPr="001E3DBC" w:rsidRDefault="001E3DBC" w:rsidP="001E3DBC">
      <w:pPr>
        <w:spacing w:after="0" w:line="240" w:lineRule="auto"/>
        <w:rPr>
          <w:rFonts w:cs="Univers LT Pro 47 Lt Cn"/>
          <w:color w:val="000000" w:themeColor="text1"/>
          <w:szCs w:val="18"/>
        </w:rPr>
      </w:pPr>
    </w:p>
    <w:p w14:paraId="398ED0DB" w14:textId="77777777" w:rsidR="001E3DBC" w:rsidRPr="001E3DBC" w:rsidRDefault="001E3DBC" w:rsidP="001E3DBC">
      <w:pPr>
        <w:spacing w:after="0" w:line="240" w:lineRule="auto"/>
        <w:rPr>
          <w:rFonts w:cs="Univers LT Pro 47 Lt Cn"/>
          <w:color w:val="000000" w:themeColor="text1"/>
          <w:szCs w:val="18"/>
        </w:rPr>
      </w:pPr>
      <w:r w:rsidRPr="001E3DBC">
        <w:rPr>
          <w:lang w:val="en"/>
        </w:rPr>
        <w:t xml:space="preserve">Burchill, M., Higgins, D., </w:t>
      </w:r>
      <w:proofErr w:type="spellStart"/>
      <w:r w:rsidRPr="001E3DBC">
        <w:rPr>
          <w:lang w:val="en"/>
        </w:rPr>
        <w:t>Ramsamy</w:t>
      </w:r>
      <w:proofErr w:type="spellEnd"/>
      <w:r w:rsidRPr="001E3DBC">
        <w:rPr>
          <w:lang w:val="en"/>
        </w:rPr>
        <w:t>, L., &amp; Taylor, S. (2006). '</w:t>
      </w:r>
      <w:proofErr w:type="spellStart"/>
      <w:r w:rsidRPr="001E3DBC">
        <w:rPr>
          <w:lang w:val="en"/>
        </w:rPr>
        <w:t>Workin</w:t>
      </w:r>
      <w:proofErr w:type="spellEnd"/>
      <w:r w:rsidRPr="001E3DBC">
        <w:rPr>
          <w:lang w:val="en"/>
        </w:rPr>
        <w:t>' Together': Indigenous perspectives on community development. Family Matters, 75, 50-59. Retrieved from &lt;www.aifs.gov.au/institute/pubs/fm2006/fm75.html-mb&gt;.</w:t>
      </w:r>
    </w:p>
    <w:p w14:paraId="36EF3F5F" w14:textId="77777777" w:rsidR="001E3DBC" w:rsidRPr="001E3DBC" w:rsidRDefault="001E3DBC" w:rsidP="001E3DBC">
      <w:pPr>
        <w:spacing w:after="0" w:line="240" w:lineRule="auto"/>
        <w:rPr>
          <w:rFonts w:cs="Univers LT Pro 47 Lt Cn"/>
          <w:color w:val="000000" w:themeColor="text1"/>
          <w:szCs w:val="18"/>
        </w:rPr>
      </w:pPr>
    </w:p>
    <w:p w14:paraId="135EE2E0"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Deloitte Access Economics 2017, Soft skills attainment in Australia. Melbourne, </w:t>
      </w:r>
      <w:proofErr w:type="spellStart"/>
      <w:r w:rsidRPr="001E3DBC">
        <w:rPr>
          <w:rFonts w:cs="Univers LT Pro 47 Lt Cn"/>
          <w:color w:val="000000" w:themeColor="text1"/>
          <w:szCs w:val="18"/>
        </w:rPr>
        <w:t>DeakinCo</w:t>
      </w:r>
      <w:proofErr w:type="spellEnd"/>
      <w:r w:rsidRPr="001E3DBC">
        <w:rPr>
          <w:rFonts w:cs="Univers LT Pro 47 Lt Cn"/>
          <w:color w:val="000000" w:themeColor="text1"/>
          <w:szCs w:val="18"/>
        </w:rPr>
        <w:t>. 11 August. Available at: &lt;https://www.deakinco.com/media-centre/article/soft-skills-attainment-in-australia&gt;.</w:t>
      </w:r>
    </w:p>
    <w:p w14:paraId="3A326A2A" w14:textId="77777777" w:rsidR="001E3DBC" w:rsidRPr="001E3DBC" w:rsidRDefault="001E3DBC" w:rsidP="001E3DBC">
      <w:pPr>
        <w:spacing w:after="0" w:line="240" w:lineRule="auto"/>
        <w:rPr>
          <w:rFonts w:cs="Univers LT Pro 47 Lt Cn"/>
          <w:color w:val="000000" w:themeColor="text1"/>
          <w:szCs w:val="18"/>
        </w:rPr>
      </w:pPr>
    </w:p>
    <w:p w14:paraId="0095D33E" w14:textId="77777777" w:rsidR="00EA7E83" w:rsidRPr="00EA7E83" w:rsidRDefault="00EA7E83" w:rsidP="00EA7E83">
      <w:r w:rsidRPr="00EA7E83">
        <w:t xml:space="preserve">Foundation for Young Australians, </w:t>
      </w:r>
      <w:r w:rsidRPr="00EA7E83">
        <w:rPr>
          <w:i/>
        </w:rPr>
        <w:t xml:space="preserve">The New Work Mindset: 7 new job clusters to help young people navigate the new work order, </w:t>
      </w:r>
      <w:r w:rsidRPr="00EA7E83">
        <w:t>2016, Sydney</w:t>
      </w:r>
    </w:p>
    <w:p w14:paraId="3B1FAF57"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FYA 2016, The New Basics, Melbourne, Foundation for Young Australians. Available at: &lt;http://www.fya.org.au/wp-content/uploads/2016/04/The-New-Basics_Update_Web.pdf&gt;.</w:t>
      </w:r>
    </w:p>
    <w:p w14:paraId="49966D87" w14:textId="77777777" w:rsidR="001E3DBC" w:rsidRPr="001E3DBC" w:rsidRDefault="001E3DBC" w:rsidP="001E3DBC">
      <w:pPr>
        <w:spacing w:after="0" w:line="240" w:lineRule="auto"/>
        <w:rPr>
          <w:rFonts w:cs="Univers LT Pro 47 Lt Cn"/>
          <w:color w:val="000000" w:themeColor="text1"/>
          <w:szCs w:val="18"/>
        </w:rPr>
      </w:pPr>
    </w:p>
    <w:p w14:paraId="2AF4B47A" w14:textId="77777777" w:rsidR="001E3DBC" w:rsidRPr="001E3DBC" w:rsidRDefault="001E3DBC" w:rsidP="001E3DBC">
      <w:pPr>
        <w:spacing w:after="0" w:line="240" w:lineRule="auto"/>
        <w:contextualSpacing/>
        <w:outlineLvl w:val="0"/>
        <w:rPr>
          <w:rFonts w:cs="Univers LT Pro 47 Lt Cn"/>
          <w:color w:val="000000" w:themeColor="text1"/>
          <w:szCs w:val="18"/>
        </w:rPr>
      </w:pPr>
      <w:r w:rsidRPr="001E3DBC">
        <w:rPr>
          <w:rFonts w:cs="Univers LT Pro 47 Lt Cn"/>
          <w:color w:val="000000" w:themeColor="text1"/>
          <w:szCs w:val="18"/>
        </w:rPr>
        <w:t xml:space="preserve">NCVER 2016, VET in Schools 2015. Statistical report. Adelaide, NCVER. Available at: </w:t>
      </w:r>
    </w:p>
    <w:p w14:paraId="08BC7D65" w14:textId="77777777" w:rsidR="001E3DBC" w:rsidRPr="001E3DBC" w:rsidRDefault="001E3DBC" w:rsidP="001E3DBC">
      <w:pPr>
        <w:spacing w:after="0" w:line="240" w:lineRule="auto"/>
        <w:contextualSpacing/>
        <w:outlineLvl w:val="0"/>
        <w:rPr>
          <w:rFonts w:cs="Univers LT Pro 47 Lt Cn"/>
          <w:color w:val="000000" w:themeColor="text1"/>
          <w:szCs w:val="18"/>
        </w:rPr>
      </w:pPr>
      <w:r w:rsidRPr="001E3DBC">
        <w:rPr>
          <w:rFonts w:cs="Univers LT Pro 47 Lt Cn"/>
          <w:color w:val="000000" w:themeColor="text1"/>
          <w:szCs w:val="18"/>
        </w:rPr>
        <w:t xml:space="preserve">&lt; </w:t>
      </w:r>
      <w:hyperlink r:id="rId13" w:history="1">
        <w:r w:rsidRPr="001E3DBC">
          <w:rPr>
            <w:rFonts w:cs="Univers LT Pro 47 Lt Cn"/>
            <w:color w:val="000000" w:themeColor="text1"/>
            <w:szCs w:val="18"/>
          </w:rPr>
          <w:t>https://www.ncver.edu.au/publications/publications/all-publications/vet-in-schools-2015</w:t>
        </w:r>
      </w:hyperlink>
      <w:r w:rsidRPr="001E3DBC">
        <w:rPr>
          <w:rFonts w:cs="Univers LT Pro 47 Lt Cn"/>
          <w:color w:val="000000" w:themeColor="text1"/>
          <w:szCs w:val="18"/>
        </w:rPr>
        <w:t>&gt;.</w:t>
      </w:r>
    </w:p>
    <w:p w14:paraId="422353B3" w14:textId="77777777" w:rsidR="001E3DBC" w:rsidRPr="001E3DBC" w:rsidRDefault="001E3DBC" w:rsidP="001E3DBC">
      <w:pPr>
        <w:spacing w:after="0" w:line="240" w:lineRule="auto"/>
        <w:rPr>
          <w:rFonts w:cs="Univers LT Pro 47 Lt Cn"/>
          <w:color w:val="000000" w:themeColor="text1"/>
          <w:szCs w:val="18"/>
        </w:rPr>
      </w:pPr>
    </w:p>
    <w:p w14:paraId="604EC2DB"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NISA Agenda 2015. Canberra, Commonwealth of Australia. Available at:</w:t>
      </w:r>
    </w:p>
    <w:p w14:paraId="48963AAD"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&lt; </w:t>
      </w:r>
      <w:hyperlink r:id="rId14" w:history="1">
        <w:r w:rsidRPr="001E3DBC">
          <w:rPr>
            <w:rFonts w:cs="Univers LT Pro 47 Lt Cn"/>
            <w:color w:val="000000" w:themeColor="text1"/>
            <w:szCs w:val="18"/>
          </w:rPr>
          <w:t>https://www.innovation.gov.au/audience/researchers-and-universities</w:t>
        </w:r>
      </w:hyperlink>
      <w:r w:rsidRPr="001E3DBC">
        <w:rPr>
          <w:rFonts w:cs="Univers LT Pro 47 Lt Cn"/>
          <w:color w:val="000000" w:themeColor="text1"/>
          <w:szCs w:val="18"/>
        </w:rPr>
        <w:t xml:space="preserve">&gt;. </w:t>
      </w:r>
    </w:p>
    <w:p w14:paraId="4655E6FF" w14:textId="77777777" w:rsidR="001E3DBC" w:rsidRPr="001E3DBC" w:rsidRDefault="001E3DBC" w:rsidP="001E3DBC">
      <w:pPr>
        <w:spacing w:after="0" w:line="240" w:lineRule="auto"/>
        <w:rPr>
          <w:rFonts w:cs="Univers LT Pro 47 Lt Cn"/>
          <w:color w:val="000000" w:themeColor="text1"/>
          <w:szCs w:val="18"/>
        </w:rPr>
      </w:pPr>
    </w:p>
    <w:p w14:paraId="688BB0E8"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NQPHN, 2016. ‘Indigenous health worker students excelling in new TAFE course’, Northern Queensland Primary Health Network, 30 May. Available at:</w:t>
      </w:r>
    </w:p>
    <w:p w14:paraId="520EA02D"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&lt; http://www.primaryhealth.com.au/indigenous-health-worker-students-excelling-new-tafe-course/&gt;.</w:t>
      </w:r>
    </w:p>
    <w:p w14:paraId="1623CDC5" w14:textId="77777777" w:rsidR="001E3DBC" w:rsidRPr="001E3DBC" w:rsidRDefault="001E3DBC" w:rsidP="001E3DBC">
      <w:pPr>
        <w:spacing w:after="0" w:line="240" w:lineRule="auto"/>
        <w:rPr>
          <w:rFonts w:cs="Univers LT Pro 47 Lt Cn"/>
          <w:color w:val="000000" w:themeColor="text1"/>
          <w:szCs w:val="18"/>
        </w:rPr>
      </w:pPr>
    </w:p>
    <w:p w14:paraId="7699B5DC" w14:textId="77777777" w:rsid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Pratchett, l. et.al. 2017, The Knowledge City Index. A Tale of 25 Cities in Australia. Canberra, University of Canberra.  Available at: &lt; </w:t>
      </w:r>
      <w:hyperlink r:id="rId15" w:history="1">
        <w:r w:rsidRPr="001E3DBC">
          <w:rPr>
            <w:rFonts w:cs="Univers LT Pro 47 Lt Cn"/>
            <w:color w:val="000000" w:themeColor="text1"/>
            <w:szCs w:val="18"/>
          </w:rPr>
          <w:t>https://www.canberra.edu.au/research/faculty-research-centres/nexus-centre-for-research/research-progeammes/research-programs/research-areas/the-knowledge-city-index-a-tale-of-25-cities-in-australia/kci-files/A-Tale-of-25-Cities-in-Australia-PDF.pdf</w:t>
        </w:r>
      </w:hyperlink>
      <w:r w:rsidRPr="001E3DBC">
        <w:rPr>
          <w:rFonts w:cs="Univers LT Pro 47 Lt Cn"/>
          <w:color w:val="000000" w:themeColor="text1"/>
          <w:szCs w:val="18"/>
        </w:rPr>
        <w:t>&gt;.</w:t>
      </w:r>
    </w:p>
    <w:p w14:paraId="33BA9617" w14:textId="77777777" w:rsidR="00EA7E83" w:rsidRPr="001E3DBC" w:rsidRDefault="00EA7E83" w:rsidP="001E3DBC">
      <w:pPr>
        <w:spacing w:after="0" w:line="240" w:lineRule="auto"/>
        <w:rPr>
          <w:rFonts w:cs="Univers LT Pro 47 Lt Cn"/>
          <w:color w:val="000000" w:themeColor="text1"/>
          <w:szCs w:val="18"/>
        </w:rPr>
      </w:pPr>
    </w:p>
    <w:p w14:paraId="09559826" w14:textId="77777777" w:rsidR="00EA7E83" w:rsidRPr="00EA7E83" w:rsidRDefault="00EA7E83" w:rsidP="00EA7E83">
      <w:r w:rsidRPr="00EA7E83">
        <w:t xml:space="preserve">Reeson, A. et.al. 2016 </w:t>
      </w:r>
      <w:r w:rsidRPr="00EA7E83">
        <w:rPr>
          <w:i/>
        </w:rPr>
        <w:t>The VET Era. Equipping Australia’s workforce for the future digital economy</w:t>
      </w:r>
      <w:r w:rsidRPr="00EA7E83">
        <w:t>. Brisbane, TAFE Queensland/CSIRO</w:t>
      </w:r>
    </w:p>
    <w:p w14:paraId="01E2BB14" w14:textId="4A5D3697" w:rsidR="001E3DBC" w:rsidRPr="001E3DBC" w:rsidRDefault="001E3DBC" w:rsidP="001E3DBC">
      <w:pPr>
        <w:shd w:val="clear" w:color="auto" w:fill="FFFFFF"/>
        <w:spacing w:before="192" w:after="192"/>
        <w:rPr>
          <w:rFonts w:cs="Univers LT Pro 47 Lt Cn"/>
          <w:color w:val="000000" w:themeColor="text1"/>
          <w:szCs w:val="18"/>
        </w:rPr>
      </w:pPr>
      <w:r w:rsidRPr="001E3DBC">
        <w:rPr>
          <w:sz w:val="23"/>
          <w:szCs w:val="23"/>
        </w:rPr>
        <w:t xml:space="preserve">Secretariat of National Aboriginal and Islander Child Care. (2012). </w:t>
      </w:r>
      <w:r w:rsidRPr="001E3DBC">
        <w:rPr>
          <w:i/>
          <w:sz w:val="23"/>
          <w:szCs w:val="23"/>
        </w:rPr>
        <w:t xml:space="preserve">Healing in practice: Promising practices in healing programs for Aboriginal and Torres Strait Islander children and </w:t>
      </w:r>
      <w:r w:rsidRPr="001E3DBC">
        <w:rPr>
          <w:rFonts w:cs="Univers LT Pro 47 Lt Cn"/>
          <w:color w:val="000000" w:themeColor="text1"/>
          <w:szCs w:val="18"/>
        </w:rPr>
        <w:t>families. Melbourne: SNAICC. Retrieved from &lt;</w:t>
      </w:r>
      <w:hyperlink r:id="rId16" w:history="1">
        <w:r w:rsidRPr="001E3DBC">
          <w:rPr>
            <w:rFonts w:cs="Univers LT Pro 47 Lt Cn"/>
            <w:color w:val="000000" w:themeColor="text1"/>
            <w:szCs w:val="18"/>
          </w:rPr>
          <w:t>www.snaicc.org.au/tools-resources/dsp-default-e.cfm?loadref=150&amp;txnid=1356&amp;txnctype=resource&amp;txncstype=document</w:t>
        </w:r>
      </w:hyperlink>
      <w:r w:rsidRPr="001E3DBC">
        <w:rPr>
          <w:rFonts w:cs="Univers LT Pro 47 Lt Cn"/>
          <w:color w:val="000000" w:themeColor="text1"/>
          <w:szCs w:val="18"/>
        </w:rPr>
        <w:t>&gt;.</w:t>
      </w:r>
    </w:p>
    <w:p w14:paraId="722F8F02"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Smith, A.C. 2017, </w:t>
      </w:r>
      <w:proofErr w:type="spellStart"/>
      <w:r w:rsidRPr="001E3DBC">
        <w:rPr>
          <w:rFonts w:cs="Univers LT Pro 47 Lt Cn"/>
          <w:color w:val="000000" w:themeColor="text1"/>
          <w:szCs w:val="18"/>
        </w:rPr>
        <w:t>Sunkirsten</w:t>
      </w:r>
      <w:proofErr w:type="spellEnd"/>
      <w:r w:rsidRPr="001E3DBC">
        <w:rPr>
          <w:rFonts w:cs="Univers LT Pro 47 Lt Cn"/>
          <w:color w:val="000000" w:themeColor="text1"/>
          <w:szCs w:val="18"/>
        </w:rPr>
        <w:t xml:space="preserve"> Town Participant feedback Q4. YouTube. Available at </w:t>
      </w:r>
    </w:p>
    <w:p w14:paraId="258E2808"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&lt; </w:t>
      </w:r>
      <w:hyperlink r:id="rId17" w:history="1">
        <w:r w:rsidRPr="001E3DBC">
          <w:rPr>
            <w:rFonts w:cs="Univers LT Pro 47 Lt Cn"/>
            <w:color w:val="000000" w:themeColor="text1"/>
            <w:szCs w:val="18"/>
          </w:rPr>
          <w:t>https://www.youtube.com/watch?v=IvadcocdM0g&amp;feature=youtu.be</w:t>
        </w:r>
      </w:hyperlink>
      <w:r w:rsidRPr="001E3DBC">
        <w:rPr>
          <w:rFonts w:cs="Univers LT Pro 47 Lt Cn"/>
          <w:color w:val="000000" w:themeColor="text1"/>
          <w:szCs w:val="18"/>
        </w:rPr>
        <w:t xml:space="preserve">&gt;. </w:t>
      </w:r>
    </w:p>
    <w:p w14:paraId="59A27F77" w14:textId="77777777" w:rsidR="001E3DBC" w:rsidRPr="001E3DBC" w:rsidRDefault="001E3DBC" w:rsidP="001E3DBC">
      <w:pPr>
        <w:spacing w:after="0" w:line="240" w:lineRule="auto"/>
        <w:rPr>
          <w:rFonts w:cs="Univers LT Pro 47 Lt Cn"/>
          <w:color w:val="000000" w:themeColor="text1"/>
          <w:szCs w:val="18"/>
        </w:rPr>
      </w:pPr>
    </w:p>
    <w:p w14:paraId="4A00D9C9" w14:textId="77777777" w:rsidR="001E3DBC" w:rsidRPr="001E3DBC" w:rsidRDefault="001E3DBC" w:rsidP="001E3DBC">
      <w:pPr>
        <w:spacing w:after="0" w:line="240" w:lineRule="auto"/>
        <w:rPr>
          <w:rFonts w:cs="Univers LT Pro 47 Lt Cn"/>
          <w:color w:val="000000" w:themeColor="text1"/>
          <w:szCs w:val="18"/>
        </w:rPr>
      </w:pPr>
      <w:r w:rsidRPr="001E3DBC">
        <w:rPr>
          <w:rFonts w:cs="Univers LT Pro 47 Lt Cn"/>
          <w:color w:val="000000" w:themeColor="text1"/>
          <w:szCs w:val="18"/>
        </w:rPr>
        <w:t xml:space="preserve">Stronger Smarter Institute. &lt; </w:t>
      </w:r>
      <w:hyperlink r:id="rId18" w:history="1">
        <w:r w:rsidRPr="001E3DBC">
          <w:rPr>
            <w:rFonts w:cs="Univers LT Pro 47 Lt Cn"/>
            <w:color w:val="000000" w:themeColor="text1"/>
            <w:szCs w:val="18"/>
          </w:rPr>
          <w:t>http://strongersmarter.com.au/</w:t>
        </w:r>
      </w:hyperlink>
      <w:r w:rsidRPr="001E3DBC">
        <w:rPr>
          <w:rFonts w:cs="Univers LT Pro 47 Lt Cn"/>
          <w:color w:val="000000" w:themeColor="text1"/>
          <w:szCs w:val="18"/>
        </w:rPr>
        <w:t>&gt;</w:t>
      </w:r>
    </w:p>
    <w:p w14:paraId="1DAFE0E5" w14:textId="77777777" w:rsidR="001E3DBC" w:rsidRPr="001E3DBC" w:rsidRDefault="001E3DBC" w:rsidP="001E3DBC">
      <w:pPr>
        <w:spacing w:after="0" w:line="240" w:lineRule="auto"/>
        <w:rPr>
          <w:rFonts w:cs="Univers LT Pro 47 Lt Cn"/>
          <w:color w:val="000000" w:themeColor="text1"/>
          <w:szCs w:val="18"/>
        </w:rPr>
      </w:pPr>
    </w:p>
    <w:p w14:paraId="4C1623A2" w14:textId="7F5361BE" w:rsidR="001E3DBC" w:rsidRPr="00823814" w:rsidRDefault="001E3DBC" w:rsidP="001E3DBC">
      <w:pPr>
        <w:rPr>
          <w:rStyle w:val="A12"/>
          <w:color w:val="000000" w:themeColor="text1"/>
          <w:sz w:val="22"/>
        </w:rPr>
      </w:pPr>
      <w:r w:rsidRPr="001E3DBC">
        <w:t xml:space="preserve">The Coalition, </w:t>
      </w:r>
      <w:r w:rsidRPr="001E3DBC">
        <w:rPr>
          <w:i/>
          <w:iCs/>
        </w:rPr>
        <w:t xml:space="preserve">The Coalition's Policy for Indigenous Affairs. </w:t>
      </w:r>
      <w:r w:rsidRPr="001E3DBC">
        <w:t>(Canberra, 2013).</w:t>
      </w:r>
    </w:p>
    <w:p w14:paraId="399A3193" w14:textId="77777777" w:rsidR="006948B3" w:rsidRDefault="006948B3">
      <w:pPr>
        <w:rPr>
          <w:rStyle w:val="A12"/>
          <w:color w:val="000000" w:themeColor="text1"/>
          <w:sz w:val="22"/>
        </w:rPr>
      </w:pPr>
    </w:p>
    <w:p w14:paraId="1312475B" w14:textId="77777777" w:rsidR="001E3DBC" w:rsidRPr="00823814" w:rsidRDefault="001E3DBC">
      <w:pPr>
        <w:rPr>
          <w:rStyle w:val="A12"/>
          <w:color w:val="000000" w:themeColor="text1"/>
          <w:sz w:val="22"/>
        </w:rPr>
        <w:sectPr w:rsidR="001E3DBC" w:rsidRPr="00823814" w:rsidSect="0020468E">
          <w:headerReference w:type="default" r:id="rId19"/>
          <w:footerReference w:type="even" r:id="rId20"/>
          <w:footerReference w:type="default" r:id="rId21"/>
          <w:headerReference w:type="first" r:id="rId22"/>
          <w:footerReference w:type="first" r:id="rId23"/>
          <w:pgSz w:w="11906" w:h="16838" w:code="9"/>
          <w:pgMar w:top="1361" w:right="1361" w:bottom="1985" w:left="1361" w:header="709" w:footer="295" w:gutter="0"/>
          <w:pgNumType w:start="0"/>
          <w:cols w:space="708"/>
          <w:titlePg/>
          <w:docGrid w:linePitch="360"/>
        </w:sectPr>
      </w:pPr>
    </w:p>
    <w:p w14:paraId="6B6CA88B" w14:textId="77777777" w:rsidR="00F11325" w:rsidRPr="00FF24CC" w:rsidRDefault="00CB1EE6" w:rsidP="00F11325">
      <w:r>
        <w:rPr>
          <w:noProof/>
        </w:rPr>
        <w:drawing>
          <wp:anchor distT="0" distB="0" distL="114300" distR="114300" simplePos="0" relativeHeight="251663360" behindDoc="1" locked="0" layoutInCell="1" allowOverlap="1" wp14:anchorId="22FB9BD5" wp14:editId="0D52CF3C">
            <wp:simplePos x="0" y="0"/>
            <wp:positionH relativeFrom="column">
              <wp:posOffset>-549910</wp:posOffset>
            </wp:positionH>
            <wp:positionV relativeFrom="paragraph">
              <wp:posOffset>-1339653</wp:posOffset>
            </wp:positionV>
            <wp:extent cx="7658836" cy="10832400"/>
            <wp:effectExtent l="0" t="0" r="0" b="7620"/>
            <wp:wrapNone/>
            <wp:docPr id="5" name="Picture 5" title="Back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 v 3.jpg"/>
                    <pic:cNvPicPr/>
                  </pic:nvPicPr>
                  <pic:blipFill>
                    <a:blip r:embed="rId24">
                      <a:extLst>
                        <a:ext uri="{28A0092B-C50C-407E-A947-70E740481C1C}">
                          <a14:useLocalDpi xmlns:a14="http://schemas.microsoft.com/office/drawing/2010/main" val="0"/>
                        </a:ext>
                      </a:extLst>
                    </a:blip>
                    <a:stretch>
                      <a:fillRect/>
                    </a:stretch>
                  </pic:blipFill>
                  <pic:spPr>
                    <a:xfrm>
                      <a:off x="0" y="0"/>
                      <a:ext cx="7658836" cy="10832400"/>
                    </a:xfrm>
                    <a:prstGeom prst="rect">
                      <a:avLst/>
                    </a:prstGeom>
                  </pic:spPr>
                </pic:pic>
              </a:graphicData>
            </a:graphic>
            <wp14:sizeRelH relativeFrom="page">
              <wp14:pctWidth>0</wp14:pctWidth>
            </wp14:sizeRelH>
            <wp14:sizeRelV relativeFrom="page">
              <wp14:pctHeight>0</wp14:pctHeight>
            </wp14:sizeRelV>
          </wp:anchor>
        </w:drawing>
      </w:r>
    </w:p>
    <w:sectPr w:rsidR="00F11325" w:rsidRPr="00FF24CC" w:rsidSect="00F11325">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2102" w:right="1133"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FC77" w14:textId="77777777" w:rsidR="001B4CA8" w:rsidRDefault="001B4CA8" w:rsidP="00115E29">
      <w:r>
        <w:separator/>
      </w:r>
    </w:p>
  </w:endnote>
  <w:endnote w:type="continuationSeparator" w:id="0">
    <w:p w14:paraId="00E7DCA9" w14:textId="77777777" w:rsidR="001B4CA8" w:rsidRDefault="001B4CA8" w:rsidP="0011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ariol Regular">
    <w:altName w:val="Bariol Regular"/>
    <w:panose1 w:val="00000000000000000000"/>
    <w:charset w:val="00"/>
    <w:family w:val="swiss"/>
    <w:notTrueType/>
    <w:pitch w:val="default"/>
    <w:sig w:usb0="00000003" w:usb1="00000000" w:usb2="00000000" w:usb3="00000000" w:csb0="00000001" w:csb1="00000000"/>
  </w:font>
  <w:font w:name="Univers LT Pro 47 Lt Cn">
    <w:altName w:val="Univers LT Pro 47 Lt Cn"/>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DD24" w14:textId="6814159D" w:rsidR="00E16F54" w:rsidRPr="00145138" w:rsidRDefault="00E16F54" w:rsidP="009559E1">
    <w:pPr>
      <w:pStyle w:val="Footer"/>
      <w:tabs>
        <w:tab w:val="clear" w:pos="9026"/>
      </w:tabs>
      <w:ind w:right="-739"/>
      <w:jc w:val="right"/>
      <w:rPr>
        <w:sz w:val="20"/>
        <w:szCs w:val="20"/>
      </w:rPr>
    </w:pPr>
    <w:r>
      <w:rPr>
        <w:noProof/>
        <w:sz w:val="20"/>
        <w:szCs w:val="20"/>
      </w:rPr>
      <w:t xml:space="preserve">Report Title </w:t>
    </w:r>
    <w:r w:rsidRPr="00145138">
      <w:rPr>
        <w:noProof/>
        <w:sz w:val="20"/>
        <w:szCs w:val="20"/>
      </w:rPr>
      <w:t xml:space="preserve"> </w:t>
    </w:r>
    <w:r w:rsidRPr="00145138">
      <w:rPr>
        <w:rStyle w:val="Heading3Char"/>
      </w:rPr>
      <w:t>|</w:t>
    </w:r>
    <w:r>
      <w:rPr>
        <w:noProof/>
        <w:sz w:val="20"/>
        <w:szCs w:val="20"/>
      </w:rPr>
      <w:t xml:space="preserve">  </w:t>
    </w:r>
    <w:r>
      <w:rPr>
        <w:noProof/>
        <w:sz w:val="20"/>
        <w:szCs w:val="20"/>
      </w:rPr>
      <w:fldChar w:fldCharType="begin"/>
    </w:r>
    <w:r>
      <w:rPr>
        <w:noProof/>
        <w:sz w:val="20"/>
        <w:szCs w:val="20"/>
      </w:rPr>
      <w:instrText xml:space="preserve"> DATE \@ "d MMMM yyyy" </w:instrText>
    </w:r>
    <w:r>
      <w:rPr>
        <w:noProof/>
        <w:sz w:val="20"/>
        <w:szCs w:val="20"/>
      </w:rPr>
      <w:fldChar w:fldCharType="separate"/>
    </w:r>
    <w:r w:rsidR="0025203A">
      <w:rPr>
        <w:noProof/>
        <w:sz w:val="20"/>
        <w:szCs w:val="20"/>
      </w:rPr>
      <w:t>13 February 2018</w:t>
    </w:r>
    <w:r>
      <w:rPr>
        <w:noProof/>
        <w:sz w:val="20"/>
        <w:szCs w:val="20"/>
      </w:rPr>
      <w:fldChar w:fldCharType="end"/>
    </w:r>
    <w:r>
      <w:rPr>
        <w:noProof/>
        <w:sz w:val="20"/>
        <w:szCs w:val="20"/>
      </w:rPr>
      <w:t xml:space="preserve">  </w:t>
    </w:r>
    <w:r w:rsidRPr="00145138">
      <w:rPr>
        <w:rStyle w:val="Heading3Char"/>
      </w:rPr>
      <w:t>|</w:t>
    </w:r>
    <w:r w:rsidRPr="00145138">
      <w:rPr>
        <w:noProof/>
        <w:sz w:val="20"/>
        <w:szCs w:val="20"/>
      </w:rPr>
      <w:t xml:space="preserve"> </w:t>
    </w:r>
    <w:r>
      <w:rPr>
        <w:noProof/>
        <w:sz w:val="20"/>
        <w:szCs w:val="20"/>
      </w:rPr>
      <w:t xml:space="preserve"> </w:t>
    </w:r>
    <w:r w:rsidRPr="00145138">
      <w:rPr>
        <w:noProof/>
        <w:sz w:val="20"/>
        <w:szCs w:val="20"/>
      </w:rPr>
      <w:t>TAFE Queensland Brisbane</w:t>
    </w:r>
    <w:r w:rsidRPr="00AD51A5">
      <w:rPr>
        <w:b/>
        <w:color w:val="FFFFFF"/>
        <w:sz w:val="24"/>
        <w:szCs w:val="24"/>
      </w:rPr>
      <w:fldChar w:fldCharType="begin"/>
    </w:r>
    <w:r w:rsidRPr="00AD51A5">
      <w:rPr>
        <w:b/>
        <w:color w:val="FFFFFF"/>
        <w:sz w:val="24"/>
        <w:szCs w:val="24"/>
      </w:rPr>
      <w:instrText xml:space="preserve"> PAGE   \* MERGEFORMAT </w:instrText>
    </w:r>
    <w:r w:rsidRPr="00AD51A5">
      <w:rPr>
        <w:b/>
        <w:color w:val="FFFFFF"/>
        <w:sz w:val="24"/>
        <w:szCs w:val="24"/>
      </w:rPr>
      <w:fldChar w:fldCharType="separate"/>
    </w:r>
    <w:r w:rsidR="0025203A">
      <w:rPr>
        <w:b/>
        <w:noProof/>
        <w:color w:val="FFFFFF"/>
        <w:sz w:val="24"/>
        <w:szCs w:val="24"/>
      </w:rPr>
      <w:t>0</w:t>
    </w:r>
    <w:r w:rsidRPr="00AD51A5">
      <w:rPr>
        <w:b/>
        <w:noProof/>
        <w:color w:val="FFFFF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70542"/>
      <w:docPartObj>
        <w:docPartGallery w:val="Page Numbers (Bottom of Page)"/>
        <w:docPartUnique/>
      </w:docPartObj>
    </w:sdtPr>
    <w:sdtEndPr>
      <w:rPr>
        <w:rFonts w:asciiTheme="minorHAnsi" w:hAnsiTheme="minorHAnsi" w:cstheme="minorHAnsi"/>
        <w:noProof/>
        <w:sz w:val="20"/>
        <w:szCs w:val="20"/>
      </w:rPr>
    </w:sdtEndPr>
    <w:sdtContent>
      <w:p w14:paraId="11C164DC" w14:textId="0811ADF3" w:rsidR="00E16F54" w:rsidRPr="00277892" w:rsidRDefault="00E16F54">
        <w:pPr>
          <w:pStyle w:val="Footer"/>
          <w:jc w:val="right"/>
          <w:rPr>
            <w:rFonts w:asciiTheme="minorHAnsi" w:hAnsiTheme="minorHAnsi" w:cstheme="minorHAnsi"/>
            <w:sz w:val="20"/>
            <w:szCs w:val="20"/>
          </w:rPr>
        </w:pPr>
        <w:r w:rsidRPr="00277892">
          <w:rPr>
            <w:rFonts w:asciiTheme="minorHAnsi" w:hAnsiTheme="minorHAnsi" w:cstheme="minorHAnsi"/>
            <w:sz w:val="20"/>
            <w:szCs w:val="20"/>
          </w:rPr>
          <w:fldChar w:fldCharType="begin"/>
        </w:r>
        <w:r w:rsidRPr="00277892">
          <w:rPr>
            <w:rFonts w:asciiTheme="minorHAnsi" w:hAnsiTheme="minorHAnsi" w:cstheme="minorHAnsi"/>
            <w:sz w:val="20"/>
            <w:szCs w:val="20"/>
          </w:rPr>
          <w:instrText xml:space="preserve"> PAGE   \* MERGEFORMAT </w:instrText>
        </w:r>
        <w:r w:rsidRPr="00277892">
          <w:rPr>
            <w:rFonts w:asciiTheme="minorHAnsi" w:hAnsiTheme="minorHAnsi" w:cstheme="minorHAnsi"/>
            <w:sz w:val="20"/>
            <w:szCs w:val="20"/>
          </w:rPr>
          <w:fldChar w:fldCharType="separate"/>
        </w:r>
        <w:r w:rsidR="0025203A">
          <w:rPr>
            <w:rFonts w:asciiTheme="minorHAnsi" w:hAnsiTheme="minorHAnsi" w:cstheme="minorHAnsi"/>
            <w:noProof/>
            <w:sz w:val="20"/>
            <w:szCs w:val="20"/>
          </w:rPr>
          <w:t>16</w:t>
        </w:r>
        <w:r w:rsidRPr="00277892">
          <w:rPr>
            <w:rFonts w:asciiTheme="minorHAnsi" w:hAnsiTheme="minorHAnsi" w:cstheme="minorHAnsi"/>
            <w:noProof/>
            <w:sz w:val="20"/>
            <w:szCs w:val="20"/>
          </w:rPr>
          <w:fldChar w:fldCharType="end"/>
        </w:r>
      </w:p>
    </w:sdtContent>
  </w:sdt>
  <w:p w14:paraId="4346FD99" w14:textId="77777777" w:rsidR="00E16F54" w:rsidRPr="00277892" w:rsidRDefault="00E16F54" w:rsidP="00277892">
    <w:pPr>
      <w:pStyle w:val="Footer"/>
      <w:ind w:left="-851"/>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AA1E" w14:textId="77777777" w:rsidR="00E16F54" w:rsidRDefault="00E16F54" w:rsidP="0020468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5BB" w14:textId="77777777" w:rsidR="00E16F54" w:rsidRDefault="00E16F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D66E" w14:textId="77777777" w:rsidR="00E16F54" w:rsidRDefault="00E16F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7008" w14:textId="77777777" w:rsidR="00E16F54" w:rsidRDefault="00E1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36EF" w14:textId="77777777" w:rsidR="001B4CA8" w:rsidRDefault="001B4CA8" w:rsidP="00115E29">
      <w:r>
        <w:separator/>
      </w:r>
    </w:p>
  </w:footnote>
  <w:footnote w:type="continuationSeparator" w:id="0">
    <w:p w14:paraId="25725754" w14:textId="77777777" w:rsidR="001B4CA8" w:rsidRDefault="001B4CA8" w:rsidP="0011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70AF" w14:textId="580F7C97" w:rsidR="00E16F54" w:rsidRDefault="00E16F54" w:rsidP="004F7A5D">
    <w:pPr>
      <w:pStyle w:val="Header"/>
      <w:tabs>
        <w:tab w:val="clear" w:pos="9026"/>
        <w:tab w:val="left" w:pos="844"/>
        <w:tab w:val="left" w:pos="4260"/>
      </w:tabs>
      <w:ind w:left="-284"/>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7495" w14:textId="08CDBF65" w:rsidR="00E16F54" w:rsidRDefault="00E16F54" w:rsidP="0025203A">
    <w:pPr>
      <w:pStyle w:val="Header"/>
      <w:tabs>
        <w:tab w:val="clear" w:pos="4513"/>
        <w:tab w:val="clear" w:pos="9026"/>
        <w:tab w:val="left" w:pos="1644"/>
      </w:tabs>
    </w:pPr>
    <w:r>
      <w:rPr>
        <w:noProof/>
      </w:rPr>
      <w:drawing>
        <wp:anchor distT="0" distB="0" distL="114300" distR="114300" simplePos="0" relativeHeight="251657216" behindDoc="1" locked="0" layoutInCell="1" allowOverlap="1" wp14:anchorId="664E2D23" wp14:editId="26405C9C">
          <wp:simplePos x="0" y="0"/>
          <wp:positionH relativeFrom="page">
            <wp:align>left</wp:align>
          </wp:positionH>
          <wp:positionV relativeFrom="paragraph">
            <wp:posOffset>-440582</wp:posOffset>
          </wp:positionV>
          <wp:extent cx="7554790" cy="10686372"/>
          <wp:effectExtent l="0" t="0" r="8255" b="1270"/>
          <wp:wrapNone/>
          <wp:docPr id="1" name="Picture 1"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109_Regional SI TQ\SKILLS REFORM\Communications\PROJECTS\POLICY SUBMISSIONS\Front Covers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4790" cy="10686372"/>
                  </a:xfrm>
                  <a:prstGeom prst="rect">
                    <a:avLst/>
                  </a:prstGeom>
                  <a:noFill/>
                  <a:ln>
                    <a:noFill/>
                  </a:ln>
                </pic:spPr>
              </pic:pic>
            </a:graphicData>
          </a:graphic>
          <wp14:sizeRelH relativeFrom="page">
            <wp14:pctWidth>0</wp14:pctWidth>
          </wp14:sizeRelH>
          <wp14:sizeRelV relativeFrom="page">
            <wp14:pctHeight>0</wp14:pctHeight>
          </wp14:sizeRelV>
        </wp:anchor>
      </w:drawing>
    </w:r>
    <w:r w:rsidR="0025203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D580" w14:textId="77777777" w:rsidR="00E16F54" w:rsidRDefault="00E16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C84D" w14:textId="77777777" w:rsidR="00E16F54" w:rsidRPr="00F11325" w:rsidRDefault="00E16F54" w:rsidP="00F113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089D" w14:textId="77777777" w:rsidR="00E16F54" w:rsidRDefault="00E1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07"/>
    <w:multiLevelType w:val="multilevel"/>
    <w:tmpl w:val="6CE627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31104"/>
    <w:multiLevelType w:val="hybridMultilevel"/>
    <w:tmpl w:val="DBD64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B1629"/>
    <w:multiLevelType w:val="hybridMultilevel"/>
    <w:tmpl w:val="AE8E0D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C7D37"/>
    <w:multiLevelType w:val="hybridMultilevel"/>
    <w:tmpl w:val="ED6ABBC0"/>
    <w:lvl w:ilvl="0" w:tplc="0C09000B">
      <w:start w:val="1"/>
      <w:numFmt w:val="bullet"/>
      <w:lvlText w:val=""/>
      <w:lvlJc w:val="left"/>
      <w:pPr>
        <w:ind w:left="787" w:hanging="360"/>
      </w:pPr>
      <w:rPr>
        <w:rFonts w:ascii="Wingdings" w:hAnsi="Wingdings"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15:restartNumberingAfterBreak="0">
    <w:nsid w:val="255730B5"/>
    <w:multiLevelType w:val="hybridMultilevel"/>
    <w:tmpl w:val="7FF6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7C1415"/>
    <w:multiLevelType w:val="hybridMultilevel"/>
    <w:tmpl w:val="4AF876AC"/>
    <w:lvl w:ilvl="0" w:tplc="37CAAB6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9A1CC1"/>
    <w:multiLevelType w:val="hybridMultilevel"/>
    <w:tmpl w:val="996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B2BC2"/>
    <w:multiLevelType w:val="hybridMultilevel"/>
    <w:tmpl w:val="E5DEF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25AFA"/>
    <w:multiLevelType w:val="hybridMultilevel"/>
    <w:tmpl w:val="CEC6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A40D77"/>
    <w:multiLevelType w:val="multilevel"/>
    <w:tmpl w:val="A1B8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94EAF"/>
    <w:multiLevelType w:val="hybridMultilevel"/>
    <w:tmpl w:val="88E682E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406816"/>
    <w:multiLevelType w:val="hybridMultilevel"/>
    <w:tmpl w:val="A30A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D65562"/>
    <w:multiLevelType w:val="hybridMultilevel"/>
    <w:tmpl w:val="8A7A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10BCB"/>
    <w:multiLevelType w:val="hybridMultilevel"/>
    <w:tmpl w:val="2D74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65E54"/>
    <w:multiLevelType w:val="hybridMultilevel"/>
    <w:tmpl w:val="EFF0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7CB38"/>
    <w:multiLevelType w:val="hybridMultilevel"/>
    <w:tmpl w:val="F7E56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6554DFB"/>
    <w:multiLevelType w:val="hybridMultilevel"/>
    <w:tmpl w:val="D7A09B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972A28"/>
    <w:multiLevelType w:val="hybridMultilevel"/>
    <w:tmpl w:val="F14A477A"/>
    <w:lvl w:ilvl="0" w:tplc="F8126BDA">
      <w:start w:val="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54664"/>
    <w:multiLevelType w:val="hybridMultilevel"/>
    <w:tmpl w:val="650CF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57B73"/>
    <w:multiLevelType w:val="hybridMultilevel"/>
    <w:tmpl w:val="6BD42818"/>
    <w:lvl w:ilvl="0" w:tplc="55DE8796">
      <w:start w:val="3"/>
      <w:numFmt w:val="bullet"/>
      <w:lvlText w:val="-"/>
      <w:lvlJc w:val="left"/>
      <w:pPr>
        <w:ind w:left="360" w:hanging="360"/>
      </w:pPr>
      <w:rPr>
        <w:rFonts w:ascii="Calibri" w:eastAsia="SimSu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0242A1"/>
    <w:multiLevelType w:val="hybridMultilevel"/>
    <w:tmpl w:val="7190F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F36B7"/>
    <w:multiLevelType w:val="hybridMultilevel"/>
    <w:tmpl w:val="EE6E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CC3824"/>
    <w:multiLevelType w:val="hybridMultilevel"/>
    <w:tmpl w:val="0A6E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6F1CA8"/>
    <w:multiLevelType w:val="hybridMultilevel"/>
    <w:tmpl w:val="3184F0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8F3B61"/>
    <w:multiLevelType w:val="hybridMultilevel"/>
    <w:tmpl w:val="6F16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1D03C7"/>
    <w:multiLevelType w:val="hybridMultilevel"/>
    <w:tmpl w:val="1D9C429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67B2A23"/>
    <w:multiLevelType w:val="hybridMultilevel"/>
    <w:tmpl w:val="60DAFDE0"/>
    <w:lvl w:ilvl="0" w:tplc="634CBE12">
      <w:start w:val="1"/>
      <w:numFmt w:val="decimal"/>
      <w:lvlText w:val="%1."/>
      <w:lvlJc w:val="left"/>
      <w:pPr>
        <w:ind w:left="720" w:hanging="360"/>
      </w:pPr>
      <w:rPr>
        <w:rFonts w:eastAsia="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
  </w:num>
  <w:num w:numId="3">
    <w:abstractNumId w:val="3"/>
  </w:num>
  <w:num w:numId="4">
    <w:abstractNumId w:val="0"/>
  </w:num>
  <w:num w:numId="5">
    <w:abstractNumId w:val="12"/>
  </w:num>
  <w:num w:numId="6">
    <w:abstractNumId w:val="19"/>
  </w:num>
  <w:num w:numId="7">
    <w:abstractNumId w:val="17"/>
  </w:num>
  <w:num w:numId="8">
    <w:abstractNumId w:val="7"/>
  </w:num>
  <w:num w:numId="9">
    <w:abstractNumId w:val="16"/>
  </w:num>
  <w:num w:numId="10">
    <w:abstractNumId w:val="26"/>
  </w:num>
  <w:num w:numId="11">
    <w:abstractNumId w:val="15"/>
  </w:num>
  <w:num w:numId="12">
    <w:abstractNumId w:val="10"/>
  </w:num>
  <w:num w:numId="13">
    <w:abstractNumId w:val="21"/>
  </w:num>
  <w:num w:numId="14">
    <w:abstractNumId w:val="5"/>
  </w:num>
  <w:num w:numId="15">
    <w:abstractNumId w:val="18"/>
  </w:num>
  <w:num w:numId="16">
    <w:abstractNumId w:val="8"/>
  </w:num>
  <w:num w:numId="17">
    <w:abstractNumId w:val="20"/>
  </w:num>
  <w:num w:numId="18">
    <w:abstractNumId w:val="22"/>
  </w:num>
  <w:num w:numId="19">
    <w:abstractNumId w:val="6"/>
  </w:num>
  <w:num w:numId="20">
    <w:abstractNumId w:val="24"/>
  </w:num>
  <w:num w:numId="21">
    <w:abstractNumId w:val="13"/>
  </w:num>
  <w:num w:numId="22">
    <w:abstractNumId w:val="4"/>
  </w:num>
  <w:num w:numId="23">
    <w:abstractNumId w:val="25"/>
  </w:num>
  <w:num w:numId="24">
    <w:abstractNumId w:val="1"/>
  </w:num>
  <w:num w:numId="25">
    <w:abstractNumId w:val="9"/>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59"/>
    <w:rsid w:val="000018B0"/>
    <w:rsid w:val="00013D63"/>
    <w:rsid w:val="00024833"/>
    <w:rsid w:val="00026587"/>
    <w:rsid w:val="0003093B"/>
    <w:rsid w:val="00033D1D"/>
    <w:rsid w:val="000371AD"/>
    <w:rsid w:val="000446E4"/>
    <w:rsid w:val="000463A2"/>
    <w:rsid w:val="00054EAB"/>
    <w:rsid w:val="000A4559"/>
    <w:rsid w:val="000B2737"/>
    <w:rsid w:val="000C56F8"/>
    <w:rsid w:val="000E572D"/>
    <w:rsid w:val="000E7436"/>
    <w:rsid w:val="000F05EE"/>
    <w:rsid w:val="000F4681"/>
    <w:rsid w:val="000F4ABC"/>
    <w:rsid w:val="001030AF"/>
    <w:rsid w:val="00103E68"/>
    <w:rsid w:val="00104836"/>
    <w:rsid w:val="00115E29"/>
    <w:rsid w:val="00126C45"/>
    <w:rsid w:val="00132E9D"/>
    <w:rsid w:val="001367D5"/>
    <w:rsid w:val="00140005"/>
    <w:rsid w:val="001420D4"/>
    <w:rsid w:val="00144D6B"/>
    <w:rsid w:val="00145138"/>
    <w:rsid w:val="0014536E"/>
    <w:rsid w:val="00153913"/>
    <w:rsid w:val="001719BC"/>
    <w:rsid w:val="001813F9"/>
    <w:rsid w:val="00186073"/>
    <w:rsid w:val="00192CE5"/>
    <w:rsid w:val="001966D9"/>
    <w:rsid w:val="001B4CA8"/>
    <w:rsid w:val="001C263B"/>
    <w:rsid w:val="001C7E9E"/>
    <w:rsid w:val="001E179F"/>
    <w:rsid w:val="001E3DBC"/>
    <w:rsid w:val="001E5749"/>
    <w:rsid w:val="001F0DD9"/>
    <w:rsid w:val="00202C1E"/>
    <w:rsid w:val="0020468E"/>
    <w:rsid w:val="00205F3F"/>
    <w:rsid w:val="00210A49"/>
    <w:rsid w:val="002147C7"/>
    <w:rsid w:val="0022112E"/>
    <w:rsid w:val="00232706"/>
    <w:rsid w:val="00243B21"/>
    <w:rsid w:val="0025203A"/>
    <w:rsid w:val="00277892"/>
    <w:rsid w:val="00296A49"/>
    <w:rsid w:val="002B42CD"/>
    <w:rsid w:val="002B6CB6"/>
    <w:rsid w:val="002C46DF"/>
    <w:rsid w:val="002C660E"/>
    <w:rsid w:val="002E34C5"/>
    <w:rsid w:val="002F5D65"/>
    <w:rsid w:val="00372297"/>
    <w:rsid w:val="0038088C"/>
    <w:rsid w:val="003A3FBA"/>
    <w:rsid w:val="003C3070"/>
    <w:rsid w:val="003C7D22"/>
    <w:rsid w:val="003D327A"/>
    <w:rsid w:val="003E4E2F"/>
    <w:rsid w:val="003F2DDE"/>
    <w:rsid w:val="003F4359"/>
    <w:rsid w:val="003F4FEE"/>
    <w:rsid w:val="004131BF"/>
    <w:rsid w:val="004136B2"/>
    <w:rsid w:val="004244CF"/>
    <w:rsid w:val="004354BD"/>
    <w:rsid w:val="00450062"/>
    <w:rsid w:val="004700F0"/>
    <w:rsid w:val="0048774C"/>
    <w:rsid w:val="00492672"/>
    <w:rsid w:val="00493EF8"/>
    <w:rsid w:val="004A0D24"/>
    <w:rsid w:val="004B1537"/>
    <w:rsid w:val="004C34EA"/>
    <w:rsid w:val="004C412D"/>
    <w:rsid w:val="004C5DD9"/>
    <w:rsid w:val="004D0910"/>
    <w:rsid w:val="004F088E"/>
    <w:rsid w:val="004F7A5D"/>
    <w:rsid w:val="00511F6A"/>
    <w:rsid w:val="00511F9A"/>
    <w:rsid w:val="00540F4F"/>
    <w:rsid w:val="00572BDD"/>
    <w:rsid w:val="00580854"/>
    <w:rsid w:val="00583A1E"/>
    <w:rsid w:val="00584EBA"/>
    <w:rsid w:val="00591EB1"/>
    <w:rsid w:val="005A26F8"/>
    <w:rsid w:val="005A2D28"/>
    <w:rsid w:val="005B0A9C"/>
    <w:rsid w:val="005B4BE4"/>
    <w:rsid w:val="005B4EBE"/>
    <w:rsid w:val="005B5C6E"/>
    <w:rsid w:val="005D1D83"/>
    <w:rsid w:val="005D6604"/>
    <w:rsid w:val="005D7257"/>
    <w:rsid w:val="005E4153"/>
    <w:rsid w:val="00603993"/>
    <w:rsid w:val="00603F4B"/>
    <w:rsid w:val="006045DD"/>
    <w:rsid w:val="00634D4F"/>
    <w:rsid w:val="006364F1"/>
    <w:rsid w:val="0064659C"/>
    <w:rsid w:val="00653F31"/>
    <w:rsid w:val="00655F25"/>
    <w:rsid w:val="006628DE"/>
    <w:rsid w:val="00667539"/>
    <w:rsid w:val="00684CC3"/>
    <w:rsid w:val="006901C3"/>
    <w:rsid w:val="006929DC"/>
    <w:rsid w:val="006948B3"/>
    <w:rsid w:val="006B7085"/>
    <w:rsid w:val="006B7DE1"/>
    <w:rsid w:val="006D457E"/>
    <w:rsid w:val="006F3AFA"/>
    <w:rsid w:val="0070062F"/>
    <w:rsid w:val="00714A40"/>
    <w:rsid w:val="00727324"/>
    <w:rsid w:val="00737B3B"/>
    <w:rsid w:val="0075004A"/>
    <w:rsid w:val="007662A4"/>
    <w:rsid w:val="00776784"/>
    <w:rsid w:val="007B0E5D"/>
    <w:rsid w:val="007B3118"/>
    <w:rsid w:val="007B537B"/>
    <w:rsid w:val="007B61F5"/>
    <w:rsid w:val="007B6AE7"/>
    <w:rsid w:val="007C3B13"/>
    <w:rsid w:val="007E31AF"/>
    <w:rsid w:val="007E698C"/>
    <w:rsid w:val="007F435C"/>
    <w:rsid w:val="007F56BE"/>
    <w:rsid w:val="007F5CA0"/>
    <w:rsid w:val="00823814"/>
    <w:rsid w:val="00826D57"/>
    <w:rsid w:val="00833394"/>
    <w:rsid w:val="00847CC6"/>
    <w:rsid w:val="008637A6"/>
    <w:rsid w:val="00880267"/>
    <w:rsid w:val="008802DB"/>
    <w:rsid w:val="00881F6C"/>
    <w:rsid w:val="008820A3"/>
    <w:rsid w:val="008A32BA"/>
    <w:rsid w:val="008B3645"/>
    <w:rsid w:val="008C05D8"/>
    <w:rsid w:val="008F2C78"/>
    <w:rsid w:val="009134CC"/>
    <w:rsid w:val="00921D09"/>
    <w:rsid w:val="00934635"/>
    <w:rsid w:val="009347A1"/>
    <w:rsid w:val="00941B3F"/>
    <w:rsid w:val="00953D72"/>
    <w:rsid w:val="009559E1"/>
    <w:rsid w:val="00967EA2"/>
    <w:rsid w:val="00970BE6"/>
    <w:rsid w:val="0098252B"/>
    <w:rsid w:val="009C2565"/>
    <w:rsid w:val="009C63B3"/>
    <w:rsid w:val="009E2BC3"/>
    <w:rsid w:val="009E507F"/>
    <w:rsid w:val="00A264D5"/>
    <w:rsid w:val="00A275BA"/>
    <w:rsid w:val="00A31F6D"/>
    <w:rsid w:val="00A60D4E"/>
    <w:rsid w:val="00A769BE"/>
    <w:rsid w:val="00A85A16"/>
    <w:rsid w:val="00A94AE3"/>
    <w:rsid w:val="00A9770C"/>
    <w:rsid w:val="00AA39E9"/>
    <w:rsid w:val="00AB590C"/>
    <w:rsid w:val="00AC5DE5"/>
    <w:rsid w:val="00AD51A5"/>
    <w:rsid w:val="00AE1EEF"/>
    <w:rsid w:val="00AF3B98"/>
    <w:rsid w:val="00B118B1"/>
    <w:rsid w:val="00B2685D"/>
    <w:rsid w:val="00B269D3"/>
    <w:rsid w:val="00B27DE0"/>
    <w:rsid w:val="00B43F16"/>
    <w:rsid w:val="00B51E7B"/>
    <w:rsid w:val="00B64780"/>
    <w:rsid w:val="00BA579F"/>
    <w:rsid w:val="00BD0231"/>
    <w:rsid w:val="00BD5EA5"/>
    <w:rsid w:val="00BE1D28"/>
    <w:rsid w:val="00BE3D67"/>
    <w:rsid w:val="00BE6405"/>
    <w:rsid w:val="00BF47FA"/>
    <w:rsid w:val="00C20286"/>
    <w:rsid w:val="00C27F75"/>
    <w:rsid w:val="00C3167B"/>
    <w:rsid w:val="00C35AF5"/>
    <w:rsid w:val="00C3776A"/>
    <w:rsid w:val="00C538E9"/>
    <w:rsid w:val="00C53FC9"/>
    <w:rsid w:val="00C64128"/>
    <w:rsid w:val="00C67944"/>
    <w:rsid w:val="00CA30AE"/>
    <w:rsid w:val="00CB1EE6"/>
    <w:rsid w:val="00CC5001"/>
    <w:rsid w:val="00CE4A84"/>
    <w:rsid w:val="00D00479"/>
    <w:rsid w:val="00D00D87"/>
    <w:rsid w:val="00D10D70"/>
    <w:rsid w:val="00D15607"/>
    <w:rsid w:val="00D1717F"/>
    <w:rsid w:val="00D1743D"/>
    <w:rsid w:val="00D42823"/>
    <w:rsid w:val="00D71682"/>
    <w:rsid w:val="00D72562"/>
    <w:rsid w:val="00D86154"/>
    <w:rsid w:val="00DB723F"/>
    <w:rsid w:val="00DD2C7B"/>
    <w:rsid w:val="00DE2139"/>
    <w:rsid w:val="00DE2883"/>
    <w:rsid w:val="00DE7A36"/>
    <w:rsid w:val="00DF6142"/>
    <w:rsid w:val="00DF6AF2"/>
    <w:rsid w:val="00E078D9"/>
    <w:rsid w:val="00E14747"/>
    <w:rsid w:val="00E1686D"/>
    <w:rsid w:val="00E16F54"/>
    <w:rsid w:val="00E176D6"/>
    <w:rsid w:val="00E22DB2"/>
    <w:rsid w:val="00E343B0"/>
    <w:rsid w:val="00E35742"/>
    <w:rsid w:val="00E365A6"/>
    <w:rsid w:val="00EA55A3"/>
    <w:rsid w:val="00EA7E83"/>
    <w:rsid w:val="00EE1F19"/>
    <w:rsid w:val="00EF7FEB"/>
    <w:rsid w:val="00F04DD0"/>
    <w:rsid w:val="00F11325"/>
    <w:rsid w:val="00F11FF1"/>
    <w:rsid w:val="00F14A68"/>
    <w:rsid w:val="00F267A2"/>
    <w:rsid w:val="00F30782"/>
    <w:rsid w:val="00F3616D"/>
    <w:rsid w:val="00F56DEA"/>
    <w:rsid w:val="00F6205D"/>
    <w:rsid w:val="00F64396"/>
    <w:rsid w:val="00F856E0"/>
    <w:rsid w:val="00F858EF"/>
    <w:rsid w:val="00F9152E"/>
    <w:rsid w:val="00F955D9"/>
    <w:rsid w:val="00F97488"/>
    <w:rsid w:val="00FA0FF9"/>
    <w:rsid w:val="00FA65CE"/>
    <w:rsid w:val="00FB6B10"/>
    <w:rsid w:val="00FB71C3"/>
    <w:rsid w:val="00FE6823"/>
    <w:rsid w:val="00FE7448"/>
    <w:rsid w:val="00FF03B4"/>
    <w:rsid w:val="00FF24CC"/>
    <w:rsid w:val="00FF50A3"/>
    <w:rsid w:val="00FF5C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DAFE6"/>
  <w15:docId w15:val="{0EA29777-A8AC-486D-9A58-0A6B9486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29"/>
    <w:pPr>
      <w:spacing w:after="200" w:line="276" w:lineRule="auto"/>
    </w:pPr>
    <w:rPr>
      <w:rFonts w:ascii="Arial" w:hAnsi="Arial" w:cs="Arial"/>
      <w:sz w:val="22"/>
      <w:szCs w:val="22"/>
      <w:lang w:eastAsia="en-AU"/>
    </w:rPr>
  </w:style>
  <w:style w:type="paragraph" w:styleId="Heading1">
    <w:name w:val="heading 1"/>
    <w:basedOn w:val="Normal"/>
    <w:next w:val="Normal"/>
    <w:link w:val="Heading1Char"/>
    <w:uiPriority w:val="9"/>
    <w:qFormat/>
    <w:rsid w:val="003F4359"/>
    <w:pPr>
      <w:spacing w:before="480" w:after="0"/>
      <w:contextualSpacing/>
      <w:outlineLvl w:val="0"/>
    </w:pPr>
    <w:rPr>
      <w:b/>
      <w:bCs/>
      <w:color w:val="61A60E"/>
      <w:sz w:val="28"/>
      <w:szCs w:val="28"/>
    </w:rPr>
  </w:style>
  <w:style w:type="paragraph" w:styleId="Heading2">
    <w:name w:val="heading 2"/>
    <w:basedOn w:val="Normal"/>
    <w:next w:val="Normal"/>
    <w:link w:val="Heading2Char"/>
    <w:uiPriority w:val="9"/>
    <w:unhideWhenUsed/>
    <w:qFormat/>
    <w:rsid w:val="00B43F16"/>
    <w:pPr>
      <w:spacing w:before="200" w:after="0"/>
      <w:outlineLvl w:val="1"/>
    </w:pPr>
    <w:rPr>
      <w:b/>
      <w:bCs/>
      <w:color w:val="A1C387"/>
      <w:sz w:val="24"/>
      <w:szCs w:val="26"/>
    </w:rPr>
  </w:style>
  <w:style w:type="paragraph" w:styleId="Heading3">
    <w:name w:val="heading 3"/>
    <w:basedOn w:val="Normal"/>
    <w:next w:val="Normal"/>
    <w:link w:val="Heading3Char"/>
    <w:uiPriority w:val="9"/>
    <w:unhideWhenUsed/>
    <w:qFormat/>
    <w:rsid w:val="003F4359"/>
    <w:pPr>
      <w:spacing w:before="200" w:after="0" w:line="271" w:lineRule="auto"/>
      <w:outlineLvl w:val="2"/>
    </w:pPr>
    <w:rPr>
      <w:b/>
      <w:bCs/>
      <w:color w:val="61A60E"/>
    </w:rPr>
  </w:style>
  <w:style w:type="paragraph" w:styleId="Heading4">
    <w:name w:val="heading 4"/>
    <w:basedOn w:val="Normal"/>
    <w:next w:val="Normal"/>
    <w:link w:val="Heading4Char"/>
    <w:uiPriority w:val="9"/>
    <w:unhideWhenUsed/>
    <w:qFormat/>
    <w:rsid w:val="00115E29"/>
    <w:pPr>
      <w:spacing w:before="200" w:after="0"/>
      <w:outlineLvl w:val="3"/>
    </w:pPr>
    <w:rPr>
      <w:b/>
      <w:bCs/>
      <w:i/>
      <w:iCs/>
    </w:rPr>
  </w:style>
  <w:style w:type="paragraph" w:styleId="Heading5">
    <w:name w:val="heading 5"/>
    <w:basedOn w:val="Normal"/>
    <w:next w:val="Normal"/>
    <w:link w:val="Heading5Char"/>
    <w:uiPriority w:val="9"/>
    <w:unhideWhenUsed/>
    <w:qFormat/>
    <w:rsid w:val="00115E29"/>
    <w:pPr>
      <w:spacing w:before="200" w:after="0"/>
      <w:outlineLvl w:val="4"/>
    </w:pPr>
    <w:rPr>
      <w:b/>
      <w:bCs/>
      <w:color w:val="7F7F7F"/>
    </w:rPr>
  </w:style>
  <w:style w:type="paragraph" w:styleId="Heading6">
    <w:name w:val="heading 6"/>
    <w:basedOn w:val="Normal"/>
    <w:next w:val="Normal"/>
    <w:link w:val="Heading6Char"/>
    <w:uiPriority w:val="9"/>
    <w:unhideWhenUsed/>
    <w:qFormat/>
    <w:rsid w:val="004D0910"/>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unhideWhenUsed/>
    <w:qFormat/>
    <w:rsid w:val="004D0910"/>
    <w:pPr>
      <w:spacing w:after="0"/>
      <w:outlineLvl w:val="6"/>
    </w:pPr>
    <w:rPr>
      <w:rFonts w:ascii="Cambria" w:hAnsi="Cambria" w:cs="Times New Roman"/>
      <w:i/>
      <w:iCs/>
    </w:rPr>
  </w:style>
  <w:style w:type="paragraph" w:styleId="Heading8">
    <w:name w:val="heading 8"/>
    <w:basedOn w:val="Normal"/>
    <w:next w:val="Normal"/>
    <w:link w:val="Heading8Char"/>
    <w:uiPriority w:val="9"/>
    <w:unhideWhenUsed/>
    <w:qFormat/>
    <w:rsid w:val="004D0910"/>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unhideWhenUsed/>
    <w:qFormat/>
    <w:rsid w:val="004D0910"/>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910"/>
    <w:pPr>
      <w:tabs>
        <w:tab w:val="center" w:pos="4513"/>
        <w:tab w:val="right" w:pos="9026"/>
      </w:tabs>
    </w:pPr>
  </w:style>
  <w:style w:type="character" w:customStyle="1" w:styleId="HeaderChar">
    <w:name w:val="Header Char"/>
    <w:link w:val="Header"/>
    <w:uiPriority w:val="99"/>
    <w:rsid w:val="004D0910"/>
    <w:rPr>
      <w:sz w:val="22"/>
      <w:szCs w:val="22"/>
      <w:lang w:eastAsia="en-US"/>
    </w:rPr>
  </w:style>
  <w:style w:type="paragraph" w:styleId="Footer">
    <w:name w:val="footer"/>
    <w:basedOn w:val="Normal"/>
    <w:link w:val="FooterChar"/>
    <w:uiPriority w:val="99"/>
    <w:unhideWhenUsed/>
    <w:rsid w:val="004D0910"/>
    <w:pPr>
      <w:tabs>
        <w:tab w:val="center" w:pos="4513"/>
        <w:tab w:val="right" w:pos="9026"/>
      </w:tabs>
    </w:pPr>
  </w:style>
  <w:style w:type="character" w:customStyle="1" w:styleId="FooterChar">
    <w:name w:val="Footer Char"/>
    <w:link w:val="Footer"/>
    <w:uiPriority w:val="99"/>
    <w:rsid w:val="004D0910"/>
    <w:rPr>
      <w:sz w:val="22"/>
      <w:szCs w:val="22"/>
      <w:lang w:eastAsia="en-US"/>
    </w:rPr>
  </w:style>
  <w:style w:type="character" w:customStyle="1" w:styleId="Heading1Char">
    <w:name w:val="Heading 1 Char"/>
    <w:link w:val="Heading1"/>
    <w:uiPriority w:val="9"/>
    <w:rsid w:val="003F4359"/>
    <w:rPr>
      <w:rFonts w:ascii="Arial" w:hAnsi="Arial" w:cs="Arial"/>
      <w:b/>
      <w:bCs/>
      <w:color w:val="61A60E"/>
      <w:sz w:val="28"/>
      <w:szCs w:val="28"/>
    </w:rPr>
  </w:style>
  <w:style w:type="character" w:customStyle="1" w:styleId="Heading2Char">
    <w:name w:val="Heading 2 Char"/>
    <w:link w:val="Heading2"/>
    <w:uiPriority w:val="9"/>
    <w:rsid w:val="00B43F16"/>
    <w:rPr>
      <w:rFonts w:ascii="Arial" w:hAnsi="Arial" w:cs="Arial"/>
      <w:b/>
      <w:bCs/>
      <w:color w:val="A1C387"/>
      <w:sz w:val="24"/>
      <w:szCs w:val="26"/>
    </w:rPr>
  </w:style>
  <w:style w:type="character" w:customStyle="1" w:styleId="Heading3Char">
    <w:name w:val="Heading 3 Char"/>
    <w:link w:val="Heading3"/>
    <w:uiPriority w:val="9"/>
    <w:rsid w:val="003F4359"/>
    <w:rPr>
      <w:rFonts w:ascii="Arial" w:hAnsi="Arial" w:cs="Arial"/>
      <w:b/>
      <w:bCs/>
      <w:color w:val="61A60E"/>
      <w:sz w:val="22"/>
      <w:szCs w:val="22"/>
    </w:rPr>
  </w:style>
  <w:style w:type="character" w:customStyle="1" w:styleId="Heading4Char">
    <w:name w:val="Heading 4 Char"/>
    <w:link w:val="Heading4"/>
    <w:uiPriority w:val="9"/>
    <w:rsid w:val="00115E29"/>
    <w:rPr>
      <w:rFonts w:ascii="Arial" w:hAnsi="Arial" w:cs="Arial"/>
      <w:b/>
      <w:bCs/>
      <w:i/>
      <w:iCs/>
      <w:sz w:val="22"/>
      <w:szCs w:val="22"/>
    </w:rPr>
  </w:style>
  <w:style w:type="character" w:customStyle="1" w:styleId="Heading5Char">
    <w:name w:val="Heading 5 Char"/>
    <w:link w:val="Heading5"/>
    <w:uiPriority w:val="9"/>
    <w:rsid w:val="00115E29"/>
    <w:rPr>
      <w:rFonts w:ascii="Arial" w:hAnsi="Arial" w:cs="Arial"/>
      <w:b/>
      <w:bCs/>
      <w:color w:val="7F7F7F"/>
      <w:sz w:val="22"/>
      <w:szCs w:val="22"/>
    </w:rPr>
  </w:style>
  <w:style w:type="character" w:customStyle="1" w:styleId="Heading6Char">
    <w:name w:val="Heading 6 Char"/>
    <w:link w:val="Heading6"/>
    <w:uiPriority w:val="9"/>
    <w:rsid w:val="004D0910"/>
    <w:rPr>
      <w:rFonts w:ascii="Cambria" w:eastAsia="Times New Roman" w:hAnsi="Cambria" w:cs="Times New Roman"/>
      <w:b/>
      <w:bCs/>
      <w:i/>
      <w:iCs/>
      <w:color w:val="7F7F7F"/>
    </w:rPr>
  </w:style>
  <w:style w:type="character" w:customStyle="1" w:styleId="Heading7Char">
    <w:name w:val="Heading 7 Char"/>
    <w:link w:val="Heading7"/>
    <w:uiPriority w:val="9"/>
    <w:rsid w:val="004D0910"/>
    <w:rPr>
      <w:rFonts w:ascii="Cambria" w:eastAsia="Times New Roman" w:hAnsi="Cambria" w:cs="Times New Roman"/>
      <w:i/>
      <w:iCs/>
    </w:rPr>
  </w:style>
  <w:style w:type="character" w:customStyle="1" w:styleId="Heading8Char">
    <w:name w:val="Heading 8 Char"/>
    <w:link w:val="Heading8"/>
    <w:uiPriority w:val="9"/>
    <w:rsid w:val="004D0910"/>
    <w:rPr>
      <w:rFonts w:ascii="Cambria" w:eastAsia="Times New Roman" w:hAnsi="Cambria" w:cs="Times New Roman"/>
      <w:sz w:val="20"/>
      <w:szCs w:val="20"/>
    </w:rPr>
  </w:style>
  <w:style w:type="character" w:customStyle="1" w:styleId="Heading9Char">
    <w:name w:val="Heading 9 Char"/>
    <w:link w:val="Heading9"/>
    <w:uiPriority w:val="9"/>
    <w:rsid w:val="004D0910"/>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D0910"/>
    <w:rPr>
      <w:b/>
      <w:bCs/>
      <w:color w:val="365F91"/>
      <w:sz w:val="16"/>
      <w:szCs w:val="16"/>
    </w:rPr>
  </w:style>
  <w:style w:type="paragraph" w:styleId="Title">
    <w:name w:val="Title"/>
    <w:basedOn w:val="Normal"/>
    <w:next w:val="Normal"/>
    <w:link w:val="TitleChar"/>
    <w:uiPriority w:val="10"/>
    <w:qFormat/>
    <w:rsid w:val="002C46DF"/>
    <w:pPr>
      <w:pBdr>
        <w:bottom w:val="single" w:sz="4" w:space="1" w:color="auto"/>
      </w:pBdr>
      <w:spacing w:line="240" w:lineRule="auto"/>
      <w:contextualSpacing/>
    </w:pPr>
    <w:rPr>
      <w:rFonts w:ascii="Arial Black" w:hAnsi="Arial Black"/>
      <w:b/>
      <w:color w:val="61A60E"/>
      <w:spacing w:val="5"/>
      <w:sz w:val="66"/>
      <w:szCs w:val="52"/>
    </w:rPr>
  </w:style>
  <w:style w:type="character" w:customStyle="1" w:styleId="TitleChar">
    <w:name w:val="Title Char"/>
    <w:link w:val="Title"/>
    <w:uiPriority w:val="10"/>
    <w:rsid w:val="002C46DF"/>
    <w:rPr>
      <w:rFonts w:ascii="Arial Black" w:hAnsi="Arial Black" w:cs="Arial"/>
      <w:b/>
      <w:color w:val="61A60E"/>
      <w:spacing w:val="5"/>
      <w:sz w:val="66"/>
      <w:szCs w:val="52"/>
    </w:rPr>
  </w:style>
  <w:style w:type="paragraph" w:styleId="Subtitle">
    <w:name w:val="Subtitle"/>
    <w:basedOn w:val="Normal"/>
    <w:next w:val="Normal"/>
    <w:link w:val="SubtitleChar"/>
    <w:uiPriority w:val="11"/>
    <w:qFormat/>
    <w:rsid w:val="00115E29"/>
    <w:pPr>
      <w:spacing w:after="600"/>
    </w:pPr>
    <w:rPr>
      <w:i/>
      <w:iCs/>
      <w:spacing w:val="13"/>
      <w:sz w:val="24"/>
      <w:szCs w:val="24"/>
    </w:rPr>
  </w:style>
  <w:style w:type="character" w:customStyle="1" w:styleId="SubtitleChar">
    <w:name w:val="Subtitle Char"/>
    <w:link w:val="Subtitle"/>
    <w:uiPriority w:val="11"/>
    <w:rsid w:val="00115E29"/>
    <w:rPr>
      <w:rFonts w:ascii="Arial" w:hAnsi="Arial" w:cs="Arial"/>
      <w:i/>
      <w:iCs/>
      <w:spacing w:val="13"/>
      <w:sz w:val="24"/>
      <w:szCs w:val="24"/>
    </w:rPr>
  </w:style>
  <w:style w:type="character" w:styleId="Strong">
    <w:name w:val="Strong"/>
    <w:uiPriority w:val="22"/>
    <w:qFormat/>
    <w:rsid w:val="004D0910"/>
    <w:rPr>
      <w:b/>
      <w:bCs/>
    </w:rPr>
  </w:style>
  <w:style w:type="character" w:styleId="Emphasis">
    <w:name w:val="Emphasis"/>
    <w:uiPriority w:val="20"/>
    <w:qFormat/>
    <w:rsid w:val="004D0910"/>
    <w:rPr>
      <w:b/>
      <w:bCs/>
      <w:i/>
      <w:iCs/>
      <w:spacing w:val="10"/>
      <w:bdr w:val="none" w:sz="0" w:space="0" w:color="auto"/>
      <w:shd w:val="clear" w:color="auto" w:fill="auto"/>
    </w:rPr>
  </w:style>
  <w:style w:type="paragraph" w:styleId="NoSpacing">
    <w:name w:val="No Spacing"/>
    <w:basedOn w:val="Normal"/>
    <w:link w:val="NoSpacingChar"/>
    <w:uiPriority w:val="1"/>
    <w:qFormat/>
    <w:rsid w:val="004D0910"/>
    <w:pPr>
      <w:spacing w:after="0" w:line="240" w:lineRule="auto"/>
    </w:pPr>
  </w:style>
  <w:style w:type="character" w:customStyle="1" w:styleId="NoSpacingChar">
    <w:name w:val="No Spacing Char"/>
    <w:link w:val="NoSpacing"/>
    <w:uiPriority w:val="1"/>
    <w:rsid w:val="004D0910"/>
  </w:style>
  <w:style w:type="paragraph" w:styleId="ListParagraph">
    <w:name w:val="List Paragraph"/>
    <w:basedOn w:val="Normal"/>
    <w:uiPriority w:val="34"/>
    <w:qFormat/>
    <w:rsid w:val="004D0910"/>
    <w:pPr>
      <w:ind w:left="720"/>
      <w:contextualSpacing/>
    </w:pPr>
  </w:style>
  <w:style w:type="paragraph" w:styleId="Quote">
    <w:name w:val="Quote"/>
    <w:basedOn w:val="Normal"/>
    <w:next w:val="Normal"/>
    <w:link w:val="QuoteChar"/>
    <w:uiPriority w:val="29"/>
    <w:qFormat/>
    <w:rsid w:val="004D0910"/>
    <w:pPr>
      <w:spacing w:before="200" w:after="0"/>
      <w:ind w:left="360" w:right="360"/>
    </w:pPr>
    <w:rPr>
      <w:i/>
      <w:iCs/>
    </w:rPr>
  </w:style>
  <w:style w:type="character" w:customStyle="1" w:styleId="QuoteChar">
    <w:name w:val="Quote Char"/>
    <w:link w:val="Quote"/>
    <w:uiPriority w:val="29"/>
    <w:rsid w:val="004D0910"/>
    <w:rPr>
      <w:i/>
      <w:iCs/>
    </w:rPr>
  </w:style>
  <w:style w:type="paragraph" w:styleId="IntenseQuote">
    <w:name w:val="Intense Quote"/>
    <w:basedOn w:val="Normal"/>
    <w:next w:val="Normal"/>
    <w:link w:val="IntenseQuoteChar"/>
    <w:uiPriority w:val="30"/>
    <w:qFormat/>
    <w:rsid w:val="00B43F16"/>
    <w:pPr>
      <w:pBdr>
        <w:bottom w:val="single" w:sz="4" w:space="1" w:color="auto"/>
      </w:pBdr>
      <w:spacing w:before="200" w:after="280"/>
      <w:ind w:left="1008" w:right="1152"/>
    </w:pPr>
    <w:rPr>
      <w:b/>
      <w:bCs/>
      <w:i/>
      <w:iCs/>
      <w:color w:val="61A60E"/>
    </w:rPr>
  </w:style>
  <w:style w:type="character" w:customStyle="1" w:styleId="IntenseQuoteChar">
    <w:name w:val="Intense Quote Char"/>
    <w:link w:val="IntenseQuote"/>
    <w:uiPriority w:val="30"/>
    <w:rsid w:val="00B43F16"/>
    <w:rPr>
      <w:rFonts w:ascii="Arial" w:hAnsi="Arial" w:cs="Arial"/>
      <w:b/>
      <w:bCs/>
      <w:i/>
      <w:iCs/>
      <w:color w:val="61A60E"/>
      <w:sz w:val="22"/>
      <w:szCs w:val="22"/>
    </w:rPr>
  </w:style>
  <w:style w:type="character" w:styleId="SubtleEmphasis">
    <w:name w:val="Subtle Emphasis"/>
    <w:uiPriority w:val="19"/>
    <w:qFormat/>
    <w:rsid w:val="004D0910"/>
    <w:rPr>
      <w:i/>
      <w:iCs/>
    </w:rPr>
  </w:style>
  <w:style w:type="character" w:styleId="IntenseEmphasis">
    <w:name w:val="Intense Emphasis"/>
    <w:uiPriority w:val="21"/>
    <w:qFormat/>
    <w:rsid w:val="004D0910"/>
    <w:rPr>
      <w:b/>
      <w:bCs/>
    </w:rPr>
  </w:style>
  <w:style w:type="character" w:styleId="SubtleReference">
    <w:name w:val="Subtle Reference"/>
    <w:uiPriority w:val="31"/>
    <w:qFormat/>
    <w:rsid w:val="004D0910"/>
    <w:rPr>
      <w:smallCaps/>
    </w:rPr>
  </w:style>
  <w:style w:type="character" w:styleId="IntenseReference">
    <w:name w:val="Intense Reference"/>
    <w:uiPriority w:val="32"/>
    <w:qFormat/>
    <w:rsid w:val="004D0910"/>
    <w:rPr>
      <w:smallCaps/>
      <w:spacing w:val="5"/>
      <w:u w:val="single"/>
    </w:rPr>
  </w:style>
  <w:style w:type="character" w:styleId="BookTitle">
    <w:name w:val="Book Title"/>
    <w:uiPriority w:val="33"/>
    <w:qFormat/>
    <w:rsid w:val="004D0910"/>
    <w:rPr>
      <w:i/>
      <w:iCs/>
      <w:smallCaps/>
      <w:spacing w:val="5"/>
    </w:rPr>
  </w:style>
  <w:style w:type="paragraph" w:styleId="TOCHeading">
    <w:name w:val="TOC Heading"/>
    <w:basedOn w:val="Heading1"/>
    <w:next w:val="Normal"/>
    <w:uiPriority w:val="39"/>
    <w:semiHidden/>
    <w:unhideWhenUsed/>
    <w:qFormat/>
    <w:rsid w:val="004D0910"/>
    <w:pPr>
      <w:outlineLvl w:val="9"/>
    </w:pPr>
    <w:rPr>
      <w:rFonts w:ascii="Cambria" w:hAnsi="Cambria" w:cs="Times New Roman"/>
      <w:lang w:bidi="en-US"/>
    </w:rPr>
  </w:style>
  <w:style w:type="paragraph" w:customStyle="1" w:styleId="BasicParagraph">
    <w:name w:val="[Basic Paragraph]"/>
    <w:basedOn w:val="Normal"/>
    <w:uiPriority w:val="99"/>
    <w:rsid w:val="000B273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F113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1325"/>
    <w:rPr>
      <w:rFonts w:ascii="Tahoma" w:hAnsi="Tahoma" w:cs="Tahoma"/>
      <w:sz w:val="16"/>
      <w:szCs w:val="16"/>
    </w:rPr>
  </w:style>
  <w:style w:type="paragraph" w:styleId="Revision">
    <w:name w:val="Revision"/>
    <w:hidden/>
    <w:uiPriority w:val="99"/>
    <w:semiHidden/>
    <w:rsid w:val="00591EB1"/>
    <w:rPr>
      <w:rFonts w:ascii="Arial" w:hAnsi="Arial" w:cs="Arial"/>
      <w:sz w:val="22"/>
      <w:szCs w:val="22"/>
      <w:lang w:eastAsia="en-AU"/>
    </w:rPr>
  </w:style>
  <w:style w:type="character" w:styleId="Hyperlink">
    <w:name w:val="Hyperlink"/>
    <w:uiPriority w:val="99"/>
    <w:unhideWhenUsed/>
    <w:rsid w:val="00A9770C"/>
    <w:rPr>
      <w:color w:val="0000FF"/>
      <w:u w:val="single"/>
    </w:rPr>
  </w:style>
  <w:style w:type="paragraph" w:customStyle="1" w:styleId="Body">
    <w:name w:val="Body"/>
    <w:rsid w:val="006929DC"/>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styleId="NormalWeb">
    <w:name w:val="Normal (Web)"/>
    <w:basedOn w:val="Normal"/>
    <w:uiPriority w:val="99"/>
    <w:unhideWhenUsed/>
    <w:rsid w:val="006929DC"/>
    <w:pPr>
      <w:spacing w:before="100" w:beforeAutospacing="1" w:after="100" w:afterAutospacing="1" w:line="240" w:lineRule="auto"/>
    </w:pPr>
    <w:rPr>
      <w:rFonts w:ascii="Times New Roman" w:hAnsi="Times New Roman" w:cs="Times New Roman"/>
      <w:sz w:val="24"/>
      <w:szCs w:val="24"/>
      <w:lang w:eastAsia="zh-CN"/>
    </w:rPr>
  </w:style>
  <w:style w:type="paragraph" w:customStyle="1" w:styleId="Default">
    <w:name w:val="Default"/>
    <w:rsid w:val="006929DC"/>
    <w:pPr>
      <w:autoSpaceDE w:val="0"/>
      <w:autoSpaceDN w:val="0"/>
      <w:adjustRightInd w:val="0"/>
    </w:pPr>
    <w:rPr>
      <w:rFonts w:ascii="Goudy Old Style" w:eastAsia="SimSun" w:hAnsi="Goudy Old Style" w:cs="Goudy Old Style"/>
      <w:color w:val="000000"/>
      <w:sz w:val="24"/>
      <w:szCs w:val="24"/>
    </w:rPr>
  </w:style>
  <w:style w:type="paragraph" w:customStyle="1" w:styleId="Pa8">
    <w:name w:val="Pa8"/>
    <w:basedOn w:val="Default"/>
    <w:next w:val="Default"/>
    <w:uiPriority w:val="99"/>
    <w:rsid w:val="0003093B"/>
    <w:pPr>
      <w:spacing w:line="221" w:lineRule="atLeast"/>
    </w:pPr>
    <w:rPr>
      <w:rFonts w:ascii="Bariol Regular" w:eastAsia="Times New Roman" w:hAnsi="Bariol Regular" w:cs="Times New Roman"/>
      <w:color w:val="auto"/>
    </w:rPr>
  </w:style>
  <w:style w:type="character" w:styleId="CommentReference">
    <w:name w:val="annotation reference"/>
    <w:basedOn w:val="DefaultParagraphFont"/>
    <w:uiPriority w:val="99"/>
    <w:semiHidden/>
    <w:unhideWhenUsed/>
    <w:rsid w:val="00BE3D67"/>
    <w:rPr>
      <w:sz w:val="16"/>
      <w:szCs w:val="16"/>
    </w:rPr>
  </w:style>
  <w:style w:type="paragraph" w:styleId="CommentText">
    <w:name w:val="annotation text"/>
    <w:basedOn w:val="Normal"/>
    <w:link w:val="CommentTextChar"/>
    <w:uiPriority w:val="99"/>
    <w:semiHidden/>
    <w:unhideWhenUsed/>
    <w:rsid w:val="00BE3D67"/>
    <w:pPr>
      <w:spacing w:line="240" w:lineRule="auto"/>
    </w:pPr>
    <w:rPr>
      <w:sz w:val="20"/>
      <w:szCs w:val="20"/>
    </w:rPr>
  </w:style>
  <w:style w:type="character" w:customStyle="1" w:styleId="CommentTextChar">
    <w:name w:val="Comment Text Char"/>
    <w:basedOn w:val="DefaultParagraphFont"/>
    <w:link w:val="CommentText"/>
    <w:uiPriority w:val="99"/>
    <w:semiHidden/>
    <w:rsid w:val="00BE3D67"/>
    <w:rPr>
      <w:rFonts w:ascii="Arial" w:hAnsi="Arial" w:cs="Arial"/>
      <w:lang w:eastAsia="en-AU"/>
    </w:rPr>
  </w:style>
  <w:style w:type="paragraph" w:styleId="CommentSubject">
    <w:name w:val="annotation subject"/>
    <w:basedOn w:val="CommentText"/>
    <w:next w:val="CommentText"/>
    <w:link w:val="CommentSubjectChar"/>
    <w:uiPriority w:val="99"/>
    <w:semiHidden/>
    <w:unhideWhenUsed/>
    <w:rsid w:val="00BE3D67"/>
    <w:rPr>
      <w:b/>
      <w:bCs/>
    </w:rPr>
  </w:style>
  <w:style w:type="character" w:customStyle="1" w:styleId="CommentSubjectChar">
    <w:name w:val="Comment Subject Char"/>
    <w:basedOn w:val="CommentTextChar"/>
    <w:link w:val="CommentSubject"/>
    <w:uiPriority w:val="99"/>
    <w:semiHidden/>
    <w:rsid w:val="00BE3D67"/>
    <w:rPr>
      <w:rFonts w:ascii="Arial" w:hAnsi="Arial" w:cs="Arial"/>
      <w:b/>
      <w:bCs/>
      <w:lang w:eastAsia="en-AU"/>
    </w:rPr>
  </w:style>
  <w:style w:type="character" w:customStyle="1" w:styleId="Title1">
    <w:name w:val="Title1"/>
    <w:basedOn w:val="DefaultParagraphFont"/>
    <w:rsid w:val="00E078D9"/>
  </w:style>
  <w:style w:type="character" w:customStyle="1" w:styleId="A12">
    <w:name w:val="A12"/>
    <w:uiPriority w:val="99"/>
    <w:rsid w:val="000446E4"/>
    <w:rPr>
      <w:rFonts w:cs="Univers LT Pro 47 Lt Cn"/>
      <w:color w:val="737E8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6268">
      <w:bodyDiv w:val="1"/>
      <w:marLeft w:val="0"/>
      <w:marRight w:val="0"/>
      <w:marTop w:val="0"/>
      <w:marBottom w:val="0"/>
      <w:divBdr>
        <w:top w:val="none" w:sz="0" w:space="0" w:color="auto"/>
        <w:left w:val="none" w:sz="0" w:space="0" w:color="auto"/>
        <w:bottom w:val="none" w:sz="0" w:space="0" w:color="auto"/>
        <w:right w:val="none" w:sz="0" w:space="0" w:color="auto"/>
      </w:divBdr>
    </w:div>
    <w:div w:id="459617425">
      <w:bodyDiv w:val="1"/>
      <w:marLeft w:val="0"/>
      <w:marRight w:val="0"/>
      <w:marTop w:val="0"/>
      <w:marBottom w:val="0"/>
      <w:divBdr>
        <w:top w:val="none" w:sz="0" w:space="0" w:color="auto"/>
        <w:left w:val="none" w:sz="0" w:space="0" w:color="auto"/>
        <w:bottom w:val="none" w:sz="0" w:space="0" w:color="auto"/>
        <w:right w:val="none" w:sz="0" w:space="0" w:color="auto"/>
      </w:divBdr>
    </w:div>
    <w:div w:id="631833066">
      <w:bodyDiv w:val="1"/>
      <w:marLeft w:val="0"/>
      <w:marRight w:val="0"/>
      <w:marTop w:val="0"/>
      <w:marBottom w:val="0"/>
      <w:divBdr>
        <w:top w:val="none" w:sz="0" w:space="0" w:color="auto"/>
        <w:left w:val="none" w:sz="0" w:space="0" w:color="auto"/>
        <w:bottom w:val="none" w:sz="0" w:space="0" w:color="auto"/>
        <w:right w:val="none" w:sz="0" w:space="0" w:color="auto"/>
      </w:divBdr>
    </w:div>
    <w:div w:id="1422069342">
      <w:bodyDiv w:val="1"/>
      <w:marLeft w:val="0"/>
      <w:marRight w:val="0"/>
      <w:marTop w:val="0"/>
      <w:marBottom w:val="0"/>
      <w:divBdr>
        <w:top w:val="none" w:sz="0" w:space="0" w:color="auto"/>
        <w:left w:val="none" w:sz="0" w:space="0" w:color="auto"/>
        <w:bottom w:val="none" w:sz="0" w:space="0" w:color="auto"/>
        <w:right w:val="none" w:sz="0" w:space="0" w:color="auto"/>
      </w:divBdr>
    </w:div>
    <w:div w:id="14735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ver.edu.au/publications/publications/all-publications/vet-in-schools-2015" TargetMode="External"/><Relationship Id="rId18" Type="http://schemas.openxmlformats.org/officeDocument/2006/relationships/hyperlink" Target="http://strongersmarter.com.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bs.gov.au/ausstats/abs@.nsf/mf/6227.0" TargetMode="External"/><Relationship Id="rId17" Type="http://schemas.openxmlformats.org/officeDocument/2006/relationships/hyperlink" Target="https://www.youtube.com/watch?v=IvadcocdM0g&amp;feature=youtu.b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naicc.org.au/tools-resources/dsp-default-e.cfm?loadref=150&amp;txnid=1356&amp;txnctype=resource&amp;txncstype=document"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berra.edu.au/research/faculty-research-centres/nexus-centre-for-research/research-progeammes/research-programs/research-areas/the-knowledge-city-index-a-tale-of-25-cities-in-australia/kci-files/A-Tale-of-25-Cities-in-Australia-PDF.pdf"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novation.gov.au/audience/researchers-and-universitie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5605E-2CDC-45E6-9600-7B8DCEDCC7AB}"/>
</file>

<file path=customXml/itemProps2.xml><?xml version="1.0" encoding="utf-8"?>
<ds:datastoreItem xmlns:ds="http://schemas.openxmlformats.org/officeDocument/2006/customXml" ds:itemID="{07D1A36A-20E8-4065-B6E2-A81E577E7E52}"/>
</file>

<file path=customXml/itemProps3.xml><?xml version="1.0" encoding="utf-8"?>
<ds:datastoreItem xmlns:ds="http://schemas.openxmlformats.org/officeDocument/2006/customXml" ds:itemID="{2352D122-1466-4723-AE13-264CCBD5129D}"/>
</file>

<file path=customXml/itemProps4.xml><?xml version="1.0" encoding="utf-8"?>
<ds:datastoreItem xmlns:ds="http://schemas.openxmlformats.org/officeDocument/2006/customXml" ds:itemID="{DFBFAED0-B6BC-4420-8C7C-6E1BF52ECF0E}"/>
</file>

<file path=docProps/app.xml><?xml version="1.0" encoding="utf-8"?>
<Properties xmlns="http://schemas.openxmlformats.org/officeDocument/2006/extended-properties" xmlns:vt="http://schemas.openxmlformats.org/officeDocument/2006/docPropsVTypes">
  <Template>D982A8A5.dotm</Template>
  <TotalTime>1</TotalTime>
  <Pages>20</Pages>
  <Words>5683</Words>
  <Characters>32395</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Sonia.DAVIES@tafeqld.edu.au;Michaela.ROBERTS2@tafeqld.edu.au</dc:creator>
  <cp:lastModifiedBy>KIRUPAKARAN,Thevini</cp:lastModifiedBy>
  <cp:revision>2</cp:revision>
  <cp:lastPrinted>2017-08-31T04:50:00Z</cp:lastPrinted>
  <dcterms:created xsi:type="dcterms:W3CDTF">2018-02-13T05:27:00Z</dcterms:created>
  <dcterms:modified xsi:type="dcterms:W3CDTF">2018-02-13T05:27:00Z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