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0BE" w:rsidRPr="008F7BC0" w:rsidRDefault="001D20BE" w:rsidP="008F7BC0">
      <w:pPr>
        <w:pStyle w:val="Heading1"/>
        <w:rPr>
          <w:color w:val="auto"/>
        </w:rPr>
      </w:pPr>
      <w:r w:rsidRPr="008F7BC0">
        <w:rPr>
          <w:color w:val="auto"/>
        </w:rPr>
        <w:t>Recipient Details</w:t>
      </w:r>
    </w:p>
    <w:p w:rsidR="001D20BE" w:rsidRPr="008F7BC0" w:rsidRDefault="001D20BE">
      <w:r w:rsidRPr="008F7BC0">
        <w:t>Name of organisation or individual</w:t>
      </w:r>
      <w:r>
        <w:t xml:space="preserve">: </w:t>
      </w:r>
      <w:r>
        <w:rPr>
          <w:noProof/>
        </w:rPr>
        <w:t xml:space="preserve">[I] </w:t>
      </w:r>
      <w:bookmarkStart w:id="0" w:name="_GoBack"/>
      <w:r>
        <w:rPr>
          <w:noProof/>
        </w:rPr>
        <w:t>Pascoe, Lynda</w:t>
      </w:r>
      <w:bookmarkEnd w:id="0"/>
    </w:p>
    <w:p w:rsidR="001D20BE" w:rsidRPr="008F7BC0" w:rsidRDefault="001D20BE">
      <w:r w:rsidRPr="008F7BC0">
        <w:t>Reference Type</w:t>
      </w:r>
      <w:r>
        <w:t xml:space="preserve">: </w:t>
      </w:r>
      <w:r>
        <w:rPr>
          <w:noProof/>
        </w:rPr>
        <w:t>Principal</w:t>
      </w:r>
    </w:p>
    <w:p w:rsidR="001D20BE" w:rsidRPr="008F7BC0" w:rsidRDefault="001D20BE">
      <w:r w:rsidRPr="008F7BC0">
        <w:t>State or territory</w:t>
      </w:r>
      <w:r>
        <w:t xml:space="preserve">: </w:t>
      </w:r>
      <w:r>
        <w:rPr>
          <w:noProof/>
        </w:rPr>
        <w:t>NT</w:t>
      </w:r>
      <w:r w:rsidRPr="008F7BC0">
        <w:t xml:space="preserve"> </w:t>
      </w:r>
    </w:p>
    <w:p w:rsidR="001D20BE" w:rsidRPr="008F7BC0" w:rsidRDefault="001D20BE">
      <w:r>
        <w:t xml:space="preserve">Serial Identification Number: </w:t>
      </w:r>
      <w:r>
        <w:rPr>
          <w:noProof/>
        </w:rPr>
        <w:t>474226</w:t>
      </w:r>
    </w:p>
    <w:p w:rsidR="001D20BE" w:rsidRPr="008F7BC0" w:rsidRDefault="001D20BE" w:rsidP="008F7BC0">
      <w:pPr>
        <w:pStyle w:val="Heading1"/>
        <w:rPr>
          <w:color w:val="auto"/>
        </w:rPr>
      </w:pPr>
      <w:r w:rsidRPr="008F7BC0">
        <w:rPr>
          <w:color w:val="auto"/>
        </w:rPr>
        <w:t>Responses</w:t>
      </w:r>
    </w:p>
    <w:p w:rsidR="001D20BE" w:rsidRDefault="001D20BE" w:rsidP="008F7BC0">
      <w:pPr>
        <w:pStyle w:val="Heading2"/>
        <w:rPr>
          <w:color w:val="auto"/>
        </w:rPr>
      </w:pPr>
      <w:r w:rsidRPr="008F7BC0">
        <w:rPr>
          <w:color w:val="auto"/>
        </w:rPr>
        <w:t>Curriculum and assessment</w:t>
      </w:r>
    </w:p>
    <w:p w:rsidR="001D20BE" w:rsidRPr="008B5144" w:rsidRDefault="001D20BE" w:rsidP="008B5144">
      <w:r>
        <w:rPr>
          <w:noProof/>
        </w:rPr>
        <w:t>Improvements made to connectivity, software and hardware in all remote education sites.</w:t>
      </w:r>
    </w:p>
    <w:p w:rsidR="001D20BE" w:rsidRPr="008F7BC0" w:rsidRDefault="001D20BE">
      <w:r w:rsidRPr="008F7BC0">
        <w:t>Rating</w:t>
      </w:r>
      <w:r>
        <w:t xml:space="preserve">: </w:t>
      </w:r>
      <w:r>
        <w:rPr>
          <w:noProof/>
        </w:rPr>
        <w:t>5</w:t>
      </w:r>
    </w:p>
    <w:p w:rsidR="001D20BE" w:rsidRDefault="001D20BE" w:rsidP="008F7BC0">
      <w:pPr>
        <w:pStyle w:val="Heading2"/>
        <w:rPr>
          <w:color w:val="auto"/>
        </w:rPr>
      </w:pPr>
      <w:r w:rsidRPr="008F7BC0">
        <w:rPr>
          <w:color w:val="auto"/>
        </w:rPr>
        <w:t>Teachers and teaching</w:t>
      </w:r>
    </w:p>
    <w:p w:rsidR="001D20BE" w:rsidRPr="008B5144" w:rsidRDefault="001D20BE" w:rsidP="008B5144">
      <w:r>
        <w:rPr>
          <w:noProof/>
        </w:rPr>
        <w:t>One thing that would be a boon to many remote schools such as Ngukurr in Arnhem Land NT: If the very remote schools could be staffed to have one extra teacher to cover the business days and sick leave of staff it would ensure the teaching and learning program could continue. Compared to the availability of relief staff in cities we are disadvantaging our students.</w:t>
      </w:r>
    </w:p>
    <w:p w:rsidR="001D20BE" w:rsidRPr="008F7BC0" w:rsidRDefault="001D20BE">
      <w:r w:rsidRPr="008F7BC0">
        <w:t>Rating</w:t>
      </w:r>
      <w:r>
        <w:t xml:space="preserve">: </w:t>
      </w:r>
      <w:r>
        <w:rPr>
          <w:noProof/>
        </w:rPr>
        <w:t>7</w:t>
      </w:r>
    </w:p>
    <w:p w:rsidR="001D20BE" w:rsidRDefault="001D20BE" w:rsidP="008F7BC0">
      <w:pPr>
        <w:pStyle w:val="Heading2"/>
        <w:rPr>
          <w:color w:val="auto"/>
        </w:rPr>
      </w:pPr>
      <w:r w:rsidRPr="008F7BC0">
        <w:rPr>
          <w:color w:val="auto"/>
        </w:rPr>
        <w:t>Leaders and leadership</w:t>
      </w:r>
    </w:p>
    <w:p w:rsidR="001D20BE" w:rsidRPr="00AD11C2" w:rsidRDefault="001D20BE" w:rsidP="00AD11C2">
      <w:r>
        <w:rPr>
          <w:noProof/>
        </w:rPr>
        <w:t>Consistent and competent leaders who remain in remote communities for a decent amount of time are important drivers of school and student improvement. Induction, ongoing leadership coaching and support for school leaders is imperative.</w:t>
      </w:r>
    </w:p>
    <w:p w:rsidR="001D20BE" w:rsidRPr="008F7BC0" w:rsidRDefault="001D20BE">
      <w:r w:rsidRPr="008F7BC0">
        <w:t>Rating</w:t>
      </w:r>
      <w:r>
        <w:t xml:space="preserve">: </w:t>
      </w:r>
      <w:r>
        <w:rPr>
          <w:noProof/>
        </w:rPr>
        <w:t>7</w:t>
      </w:r>
    </w:p>
    <w:p w:rsidR="001D20BE" w:rsidRDefault="001D20BE" w:rsidP="008F7BC0">
      <w:pPr>
        <w:pStyle w:val="Heading2"/>
        <w:rPr>
          <w:color w:val="auto"/>
        </w:rPr>
      </w:pPr>
      <w:r w:rsidRPr="008F7BC0">
        <w:rPr>
          <w:color w:val="auto"/>
        </w:rPr>
        <w:t>School and Community</w:t>
      </w:r>
    </w:p>
    <w:p w:rsidR="001D20BE" w:rsidRPr="00AD11C2" w:rsidRDefault="001D20BE" w:rsidP="00AD11C2">
      <w:r>
        <w:rPr>
          <w:noProof/>
        </w:rPr>
        <w:t>Regular information sessions and participative workshops with parents and community members is something that is often difficult to do especially in remote Aboriginal communities.</w:t>
      </w:r>
    </w:p>
    <w:p w:rsidR="001D20BE" w:rsidRPr="008F7BC0" w:rsidRDefault="001D20BE">
      <w:r w:rsidRPr="008F7BC0">
        <w:t>Rating</w:t>
      </w:r>
      <w:r>
        <w:t xml:space="preserve">: </w:t>
      </w:r>
      <w:r>
        <w:rPr>
          <w:noProof/>
        </w:rPr>
        <w:t>7</w:t>
      </w:r>
    </w:p>
    <w:p w:rsidR="001D20BE" w:rsidRDefault="001D20BE" w:rsidP="008F7BC0">
      <w:pPr>
        <w:pStyle w:val="Heading2"/>
        <w:rPr>
          <w:color w:val="auto"/>
        </w:rPr>
      </w:pPr>
      <w:r w:rsidRPr="008F7BC0">
        <w:rPr>
          <w:color w:val="auto"/>
        </w:rPr>
        <w:t>Information and Communication Technology</w:t>
      </w:r>
    </w:p>
    <w:p w:rsidR="001D20BE" w:rsidRPr="00AD11C2" w:rsidRDefault="001D20BE" w:rsidP="00AD11C2">
      <w:r>
        <w:rPr>
          <w:noProof/>
        </w:rPr>
        <w:t>Very remote schools cannot provide education and experience comparable with urban sites. Without ITC the gap would be even greater.</w:t>
      </w:r>
    </w:p>
    <w:p w:rsidR="001D20BE" w:rsidRPr="008F7BC0" w:rsidRDefault="001D20BE">
      <w:r w:rsidRPr="008F7BC0">
        <w:t>Rating</w:t>
      </w:r>
      <w:r>
        <w:t xml:space="preserve">: </w:t>
      </w:r>
      <w:r>
        <w:rPr>
          <w:noProof/>
        </w:rPr>
        <w:t>7</w:t>
      </w:r>
    </w:p>
    <w:p w:rsidR="001D20BE" w:rsidRDefault="001D20BE" w:rsidP="008F7BC0">
      <w:pPr>
        <w:pStyle w:val="Heading2"/>
        <w:rPr>
          <w:color w:val="auto"/>
        </w:rPr>
      </w:pPr>
      <w:r w:rsidRPr="008F7BC0">
        <w:rPr>
          <w:color w:val="auto"/>
        </w:rPr>
        <w:t>Entrepreneurship and schools</w:t>
      </w:r>
    </w:p>
    <w:p w:rsidR="001D20BE" w:rsidRPr="00AD11C2" w:rsidRDefault="001D20BE" w:rsidP="00AD11C2">
      <w:r>
        <w:rPr>
          <w:noProof/>
        </w:rPr>
        <w:t>Often the 'thinking outside the square' allows for opportunities for students that would otherwise not materialise.</w:t>
      </w:r>
    </w:p>
    <w:p w:rsidR="001D20BE" w:rsidRPr="008F7BC0" w:rsidRDefault="001D20BE">
      <w:r w:rsidRPr="008F7BC0">
        <w:t>Rating</w:t>
      </w:r>
      <w:r>
        <w:t xml:space="preserve">: </w:t>
      </w:r>
      <w:r>
        <w:rPr>
          <w:noProof/>
        </w:rPr>
        <w:t>5</w:t>
      </w:r>
    </w:p>
    <w:p w:rsidR="001D20BE" w:rsidRDefault="001D20BE" w:rsidP="008F7BC0">
      <w:pPr>
        <w:pStyle w:val="Heading2"/>
        <w:rPr>
          <w:color w:val="auto"/>
        </w:rPr>
      </w:pPr>
      <w:r w:rsidRPr="008F7BC0">
        <w:rPr>
          <w:color w:val="auto"/>
        </w:rPr>
        <w:t>Improving access – enrolments, clusters, distance education and boarding</w:t>
      </w:r>
    </w:p>
    <w:p w:rsidR="001D20BE" w:rsidRPr="008F7BC0" w:rsidRDefault="001D20BE">
      <w:r w:rsidRPr="008F7BC0">
        <w:t>Rating for enrolments</w:t>
      </w:r>
      <w:r>
        <w:t xml:space="preserve">: </w:t>
      </w:r>
      <w:r>
        <w:rPr>
          <w:noProof/>
        </w:rPr>
        <w:t>4</w:t>
      </w:r>
    </w:p>
    <w:p w:rsidR="001D20BE" w:rsidRPr="008F7BC0" w:rsidRDefault="001D20BE">
      <w:r w:rsidRPr="008F7BC0">
        <w:t>Rating for clusters</w:t>
      </w:r>
      <w:r>
        <w:t xml:space="preserve">: </w:t>
      </w:r>
      <w:r>
        <w:rPr>
          <w:noProof/>
        </w:rPr>
        <w:t>4</w:t>
      </w:r>
    </w:p>
    <w:p w:rsidR="001D20BE" w:rsidRPr="008F7BC0" w:rsidRDefault="001D20BE">
      <w:r w:rsidRPr="008F7BC0">
        <w:lastRenderedPageBreak/>
        <w:t>Rating for distance education</w:t>
      </w:r>
      <w:r>
        <w:t xml:space="preserve">: </w:t>
      </w:r>
      <w:r>
        <w:rPr>
          <w:noProof/>
        </w:rPr>
        <w:t>7</w:t>
      </w:r>
    </w:p>
    <w:p w:rsidR="001D20BE" w:rsidRPr="008F7BC0" w:rsidRDefault="001D20BE">
      <w:r w:rsidRPr="008F7BC0">
        <w:t>Rating for boarding</w:t>
      </w:r>
      <w:r>
        <w:t xml:space="preserve">: </w:t>
      </w:r>
      <w:r>
        <w:rPr>
          <w:noProof/>
        </w:rPr>
        <w:t>3</w:t>
      </w:r>
    </w:p>
    <w:p w:rsidR="001D20BE" w:rsidRDefault="001D20BE" w:rsidP="008F7BC0">
      <w:pPr>
        <w:pStyle w:val="Heading2"/>
        <w:rPr>
          <w:color w:val="auto"/>
        </w:rPr>
      </w:pPr>
      <w:r w:rsidRPr="008F7BC0">
        <w:rPr>
          <w:color w:val="auto"/>
        </w:rPr>
        <w:t>Diversity</w:t>
      </w:r>
    </w:p>
    <w:p w:rsidR="001D20BE" w:rsidRPr="00AD11C2" w:rsidRDefault="001D20BE" w:rsidP="00AD11C2">
      <w:r>
        <w:rPr>
          <w:noProof/>
        </w:rPr>
        <w:t>All students should have equal access to everything. Period.</w:t>
      </w:r>
    </w:p>
    <w:p w:rsidR="001D20BE" w:rsidRPr="008F7BC0" w:rsidRDefault="001D20BE">
      <w:r w:rsidRPr="008F7BC0">
        <w:t>Rating</w:t>
      </w:r>
      <w:r>
        <w:t xml:space="preserve">: </w:t>
      </w:r>
      <w:r>
        <w:rPr>
          <w:noProof/>
        </w:rPr>
        <w:t>7</w:t>
      </w:r>
    </w:p>
    <w:p w:rsidR="001D20BE" w:rsidRDefault="001D20BE" w:rsidP="008F7BC0">
      <w:pPr>
        <w:pStyle w:val="Heading2"/>
        <w:rPr>
          <w:color w:val="auto"/>
        </w:rPr>
      </w:pPr>
      <w:r w:rsidRPr="008F7BC0">
        <w:rPr>
          <w:color w:val="auto"/>
        </w:rPr>
        <w:t>Transitioning beyond school</w:t>
      </w:r>
    </w:p>
    <w:p w:rsidR="001D20BE" w:rsidRPr="00AD11C2" w:rsidRDefault="001D20BE" w:rsidP="00AD11C2">
      <w:r>
        <w:rPr>
          <w:noProof/>
        </w:rPr>
        <w:t>A smooth transition can make or break a student's success or otherwise in Uni, or other further pathways including work. Follow-ups by the school, dedicated transition officers, relationship-holding are all important factors.</w:t>
      </w:r>
    </w:p>
    <w:p w:rsidR="001D20BE" w:rsidRPr="008F7BC0" w:rsidRDefault="001D20BE">
      <w:r w:rsidRPr="008F7BC0">
        <w:t>Rating</w:t>
      </w:r>
      <w:r>
        <w:t xml:space="preserve">: </w:t>
      </w:r>
      <w:r>
        <w:rPr>
          <w:noProof/>
        </w:rPr>
        <w:t>7</w:t>
      </w:r>
    </w:p>
    <w:p w:rsidR="001D20BE" w:rsidRDefault="001D20BE" w:rsidP="008F7BC0">
      <w:pPr>
        <w:pStyle w:val="Heading2"/>
        <w:rPr>
          <w:color w:val="auto"/>
        </w:rPr>
      </w:pPr>
      <w:r w:rsidRPr="008F7BC0">
        <w:rPr>
          <w:color w:val="auto"/>
        </w:rPr>
        <w:t>Additional Comments</w:t>
      </w:r>
    </w:p>
    <w:p w:rsidR="001D20BE" w:rsidRDefault="001D20BE" w:rsidP="00AD11C2">
      <w:pPr>
        <w:sectPr w:rsidR="001D20BE" w:rsidSect="001D20BE">
          <w:pgSz w:w="11906" w:h="16838"/>
          <w:pgMar w:top="1440" w:right="1440" w:bottom="1440" w:left="1440" w:header="708" w:footer="708" w:gutter="0"/>
          <w:pgNumType w:start="1"/>
          <w:cols w:space="708"/>
          <w:docGrid w:linePitch="360"/>
        </w:sectPr>
      </w:pPr>
      <w:r>
        <w:rPr>
          <w:noProof/>
        </w:rPr>
        <w:t>Equality of access in all areas of Australia is important for the future of the nation. We cannot simply sit back and expect there will be failures, simply because of the size of the nation and the scarcity of the population scattered though it. Every student deserves the same opportunities regardless of their need to live in their own country, particularly Aboriginal students with the complexities of relationships, land, culture, and poverty cycles.</w:t>
      </w:r>
    </w:p>
    <w:p w:rsidR="001D20BE" w:rsidRPr="00AD11C2" w:rsidRDefault="001D20BE" w:rsidP="00AD11C2"/>
    <w:sectPr w:rsidR="001D20BE" w:rsidRPr="00AD11C2" w:rsidSect="001D20BE">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1D20BE"/>
    <w:rsid w:val="00263C23"/>
    <w:rsid w:val="003A43E1"/>
    <w:rsid w:val="007718A1"/>
    <w:rsid w:val="008B5144"/>
    <w:rsid w:val="008F7BC0"/>
    <w:rsid w:val="00AD11C2"/>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6B85A5-BFBD-48B9-9096-7AE17C99E137}"/>
</file>

<file path=customXml/itemProps2.xml><?xml version="1.0" encoding="utf-8"?>
<ds:datastoreItem xmlns:ds="http://schemas.openxmlformats.org/officeDocument/2006/customXml" ds:itemID="{EE2B2345-0BDE-4953-8FBA-6A67D180C493}"/>
</file>

<file path=customXml/itemProps3.xml><?xml version="1.0" encoding="utf-8"?>
<ds:datastoreItem xmlns:ds="http://schemas.openxmlformats.org/officeDocument/2006/customXml" ds:itemID="{B93DFBBD-C7C7-494B-8D9C-97D386CEFEDE}"/>
</file>

<file path=docProps/app.xml><?xml version="1.0" encoding="utf-8"?>
<Properties xmlns="http://schemas.openxmlformats.org/officeDocument/2006/extended-properties" xmlns:vt="http://schemas.openxmlformats.org/officeDocument/2006/docPropsVTypes">
  <Template>D641C8BA.dotm</Template>
  <TotalTime>0</TotalTime>
  <Pages>2</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2018-02-08T02:55:00Z</dcterms:created>
  <dcterms:modified xsi:type="dcterms:W3CDTF">2018-02-08T02:55:00Z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