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A5" w:rsidRPr="00DF56FD" w:rsidRDefault="001105D6" w:rsidP="00EF5911">
      <w:pPr>
        <w:spacing w:before="600" w:after="160" w:line="259" w:lineRule="auto"/>
        <w:ind w:left="0" w:firstLine="0"/>
        <w:rPr>
          <w:b/>
          <w:sz w:val="48"/>
          <w:szCs w:val="48"/>
        </w:rPr>
      </w:pPr>
      <w:r>
        <w:rPr>
          <w:b/>
        </w:rPr>
        <w:t xml:space="preserve">  </w:t>
      </w:r>
      <w:r w:rsidRPr="00DF56FD">
        <w:rPr>
          <w:b/>
          <w:sz w:val="48"/>
          <w:szCs w:val="48"/>
        </w:rPr>
        <w:t>Submission to the Independent Review into</w:t>
      </w:r>
    </w:p>
    <w:p w:rsidR="001831A5" w:rsidRDefault="001105D6" w:rsidP="00EF5911">
      <w:pPr>
        <w:pStyle w:val="Heading1"/>
        <w:spacing w:after="600"/>
        <w:jc w:val="center"/>
      </w:pPr>
      <w:r w:rsidRPr="00DF56FD">
        <w:rPr>
          <w:b w:val="0"/>
          <w:sz w:val="48"/>
          <w:szCs w:val="48"/>
        </w:rPr>
        <w:t>Regional, Rural and Remote Education</w:t>
      </w:r>
      <w:r>
        <w:rPr>
          <w:sz w:val="48"/>
        </w:rPr>
        <w:t xml:space="preserve"> </w:t>
      </w:r>
      <w:bookmarkStart w:id="0" w:name="_GoBack"/>
      <w:bookmarkEnd w:id="0"/>
    </w:p>
    <w:p w:rsidR="001831A5" w:rsidRDefault="001105D6" w:rsidP="00EF5911">
      <w:pPr>
        <w:spacing w:after="120" w:line="259" w:lineRule="auto"/>
        <w:ind w:left="-5"/>
      </w:pPr>
      <w:r>
        <w:rPr>
          <w:sz w:val="28"/>
        </w:rPr>
        <w:t xml:space="preserve">Submitted by: </w:t>
      </w:r>
    </w:p>
    <w:p w:rsidR="001831A5" w:rsidRDefault="001105D6" w:rsidP="00EF5911">
      <w:pPr>
        <w:spacing w:after="120" w:line="259" w:lineRule="auto"/>
        <w:ind w:left="0" w:firstLine="0"/>
      </w:pPr>
      <w:r>
        <w:rPr>
          <w:sz w:val="28"/>
        </w:rPr>
        <w:t xml:space="preserve"> Ron Broadhead </w:t>
      </w:r>
    </w:p>
    <w:p w:rsidR="001831A5" w:rsidRDefault="001105D6">
      <w:pPr>
        <w:spacing w:after="0" w:line="259" w:lineRule="auto"/>
        <w:ind w:left="-5"/>
      </w:pPr>
      <w:r>
        <w:rPr>
          <w:sz w:val="28"/>
        </w:rPr>
        <w:t xml:space="preserve">Executive Officer </w:t>
      </w:r>
    </w:p>
    <w:p w:rsidR="001831A5" w:rsidRDefault="001105D6">
      <w:pPr>
        <w:spacing w:after="0" w:line="259" w:lineRule="auto"/>
        <w:ind w:left="-5"/>
      </w:pPr>
      <w:r>
        <w:rPr>
          <w:sz w:val="28"/>
        </w:rPr>
        <w:t xml:space="preserve">Northern Mallee Local Learning and Employment Network </w:t>
      </w:r>
    </w:p>
    <w:p w:rsidR="001831A5" w:rsidRDefault="001105D6">
      <w:pPr>
        <w:spacing w:after="0" w:line="259" w:lineRule="auto"/>
        <w:ind w:left="-5" w:right="7180"/>
      </w:pPr>
      <w:r>
        <w:rPr>
          <w:sz w:val="28"/>
        </w:rPr>
        <w:t xml:space="preserve">29 August 2017 </w:t>
      </w:r>
      <w:r>
        <w:rPr>
          <w:sz w:val="48"/>
        </w:rPr>
        <w:t xml:space="preserve"> </w:t>
      </w:r>
    </w:p>
    <w:p w:rsidR="001831A5" w:rsidRDefault="001105D6">
      <w:pPr>
        <w:spacing w:after="162" w:line="260" w:lineRule="auto"/>
        <w:ind w:left="-5"/>
      </w:pPr>
      <w:r>
        <w:rPr>
          <w:b/>
        </w:rPr>
        <w:t xml:space="preserve">Background: </w:t>
      </w:r>
    </w:p>
    <w:p w:rsidR="001831A5" w:rsidRDefault="001105D6">
      <w:pPr>
        <w:spacing w:after="168"/>
        <w:ind w:left="-5"/>
      </w:pPr>
      <w:r>
        <w:t xml:space="preserve">NMLLEN is a not for profit Incorporated Association whose mission is: </w:t>
      </w:r>
    </w:p>
    <w:p w:rsidR="001831A5" w:rsidRDefault="001105D6">
      <w:pPr>
        <w:spacing w:after="158" w:line="261" w:lineRule="auto"/>
        <w:ind w:left="0" w:firstLine="0"/>
      </w:pPr>
      <w:r>
        <w:rPr>
          <w:b/>
          <w:i/>
        </w:rPr>
        <w:t xml:space="preserve">Brokering strategic partnerships with stakeholder groups resulting in better outcomes in education, training and employment for young people aged 10-19 years. </w:t>
      </w:r>
    </w:p>
    <w:p w:rsidR="001831A5" w:rsidRDefault="001105D6" w:rsidP="007B0796">
      <w:pPr>
        <w:spacing w:after="170"/>
        <w:ind w:left="-5"/>
      </w:pPr>
      <w:r>
        <w:t xml:space="preserve"> NMLLEN’s region is located in North West Victoria and covers the Rural City of Mildura and Robinvale (Swan Hill Rural City).</w:t>
      </w:r>
      <w:r>
        <w:rPr>
          <w:b/>
        </w:rPr>
        <w:t xml:space="preserve"> </w:t>
      </w:r>
    </w:p>
    <w:p w:rsidR="001831A5" w:rsidRDefault="001105D6">
      <w:pPr>
        <w:spacing w:after="0" w:line="259" w:lineRule="auto"/>
        <w:ind w:left="0" w:right="2732" w:firstLine="0"/>
        <w:jc w:val="center"/>
      </w:pPr>
      <w:r>
        <w:rPr>
          <w:noProof/>
        </w:rPr>
        <w:drawing>
          <wp:inline distT="0" distB="0" distL="0" distR="0">
            <wp:extent cx="3946144" cy="2791460"/>
            <wp:effectExtent l="0" t="0" r="0" b="8890"/>
            <wp:docPr id="68" name="Picture 68" descr="Northern Mallee Local Learning and Employment Network Map" title="NMLLEN logo"/>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3946144" cy="2791460"/>
                    </a:xfrm>
                    <a:prstGeom prst="rect">
                      <a:avLst/>
                    </a:prstGeom>
                  </pic:spPr>
                </pic:pic>
              </a:graphicData>
            </a:graphic>
          </wp:inline>
        </w:drawing>
      </w:r>
      <w:r>
        <w:rPr>
          <w:b/>
          <w:sz w:val="28"/>
        </w:rPr>
        <w:t xml:space="preserve"> </w:t>
      </w:r>
    </w:p>
    <w:p w:rsidR="00DF56FD" w:rsidRDefault="00DF56FD">
      <w:pPr>
        <w:pStyle w:val="Heading1"/>
        <w:spacing w:after="81"/>
        <w:ind w:left="-5"/>
        <w:sectPr w:rsidR="00DF56FD">
          <w:headerReference w:type="even" r:id="rId8"/>
          <w:headerReference w:type="default" r:id="rId9"/>
          <w:footerReference w:type="even" r:id="rId10"/>
          <w:footerReference w:type="default" r:id="rId11"/>
          <w:headerReference w:type="first" r:id="rId12"/>
          <w:footerReference w:type="first" r:id="rId13"/>
          <w:pgSz w:w="11906" w:h="16838"/>
          <w:pgMar w:top="1600" w:right="1456" w:bottom="1149" w:left="1440" w:header="543" w:footer="709" w:gutter="0"/>
          <w:cols w:space="720"/>
        </w:sectPr>
      </w:pPr>
    </w:p>
    <w:p w:rsidR="001831A5" w:rsidRDefault="001105D6">
      <w:pPr>
        <w:pStyle w:val="Heading1"/>
        <w:spacing w:after="81"/>
        <w:ind w:left="-5"/>
      </w:pPr>
      <w:r>
        <w:lastRenderedPageBreak/>
        <w:t xml:space="preserve">Theme: Transitioning beyond school </w:t>
      </w:r>
    </w:p>
    <w:p w:rsidR="001831A5" w:rsidRDefault="001105D6">
      <w:pPr>
        <w:spacing w:after="162" w:line="260" w:lineRule="auto"/>
        <w:ind w:left="-5"/>
      </w:pPr>
      <w:r>
        <w:rPr>
          <w:b/>
        </w:rPr>
        <w:t xml:space="preserve">Student Destinations and Pathways </w:t>
      </w:r>
    </w:p>
    <w:p w:rsidR="00DF56FD" w:rsidRPr="00DF56FD" w:rsidRDefault="00DF56FD" w:rsidP="00DF56FD">
      <w:pPr>
        <w:pStyle w:val="Caption"/>
        <w:keepNext/>
        <w:rPr>
          <w:i w:val="0"/>
          <w:sz w:val="20"/>
          <w:szCs w:val="20"/>
        </w:rPr>
      </w:pPr>
      <w:r w:rsidRPr="00DF56FD">
        <w:rPr>
          <w:i w:val="0"/>
          <w:sz w:val="20"/>
          <w:szCs w:val="20"/>
        </w:rPr>
        <w:t>TABLE A: Year 12 Completion Destinations</w:t>
      </w:r>
    </w:p>
    <w:tbl>
      <w:tblPr>
        <w:tblStyle w:val="TableGrid"/>
        <w:tblW w:w="5041" w:type="dxa"/>
        <w:tblInd w:w="5" w:type="dxa"/>
        <w:tblCellMar>
          <w:top w:w="38" w:type="dxa"/>
          <w:left w:w="108" w:type="dxa"/>
          <w:right w:w="115" w:type="dxa"/>
        </w:tblCellMar>
        <w:tblLook w:val="04A0" w:firstRow="1" w:lastRow="0" w:firstColumn="1" w:lastColumn="0" w:noHBand="0" w:noVBand="1"/>
        <w:tblCaption w:val="Table A - Year 12 Completion Destinations"/>
        <w:tblDescription w:val="The proportion of Year 12 Completers in the NMLLEN Region who completed their Year 12 in 2016."/>
      </w:tblPr>
      <w:tblGrid>
        <w:gridCol w:w="2201"/>
        <w:gridCol w:w="1599"/>
        <w:gridCol w:w="1241"/>
      </w:tblGrid>
      <w:tr w:rsidR="001831A5" w:rsidTr="00DF56FD">
        <w:trPr>
          <w:trHeight w:val="310"/>
          <w:tblHeader/>
        </w:trPr>
        <w:tc>
          <w:tcPr>
            <w:tcW w:w="2201"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0" w:firstLine="0"/>
            </w:pPr>
            <w:r>
              <w:rPr>
                <w:sz w:val="22"/>
              </w:rPr>
              <w:t xml:space="preserve">  </w:t>
            </w:r>
          </w:p>
        </w:tc>
        <w:tc>
          <w:tcPr>
            <w:tcW w:w="1599"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12" w:firstLine="0"/>
              <w:jc w:val="center"/>
            </w:pPr>
            <w:r>
              <w:rPr>
                <w:sz w:val="22"/>
              </w:rPr>
              <w:t xml:space="preserve">Mildura LGA </w:t>
            </w:r>
          </w:p>
        </w:tc>
        <w:tc>
          <w:tcPr>
            <w:tcW w:w="1241"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8" w:firstLine="0"/>
              <w:jc w:val="center"/>
            </w:pPr>
            <w:r>
              <w:rPr>
                <w:sz w:val="22"/>
              </w:rPr>
              <w:t xml:space="preserve">Victoria </w:t>
            </w:r>
          </w:p>
        </w:tc>
      </w:tr>
      <w:tr w:rsidR="001831A5">
        <w:trPr>
          <w:trHeight w:val="342"/>
        </w:trPr>
        <w:tc>
          <w:tcPr>
            <w:tcW w:w="2201" w:type="dxa"/>
            <w:tcBorders>
              <w:top w:val="single" w:sz="4" w:space="0" w:color="000000"/>
              <w:left w:val="single" w:sz="4" w:space="0" w:color="000000"/>
              <w:bottom w:val="nil"/>
              <w:right w:val="single" w:sz="4" w:space="0" w:color="000000"/>
            </w:tcBorders>
          </w:tcPr>
          <w:p w:rsidR="001831A5" w:rsidRDefault="001105D6">
            <w:pPr>
              <w:spacing w:after="0" w:line="259" w:lineRule="auto"/>
              <w:ind w:left="0" w:firstLine="0"/>
            </w:pPr>
            <w:r>
              <w:rPr>
                <w:sz w:val="22"/>
              </w:rPr>
              <w:t xml:space="preserve">Bachelor Degree </w:t>
            </w:r>
          </w:p>
        </w:tc>
        <w:tc>
          <w:tcPr>
            <w:tcW w:w="1599" w:type="dxa"/>
            <w:tcBorders>
              <w:top w:val="single" w:sz="4" w:space="0" w:color="000000"/>
              <w:left w:val="single" w:sz="4" w:space="0" w:color="000000"/>
              <w:bottom w:val="nil"/>
              <w:right w:val="single" w:sz="4" w:space="0" w:color="000000"/>
            </w:tcBorders>
          </w:tcPr>
          <w:p w:rsidR="001831A5" w:rsidRDefault="001105D6">
            <w:pPr>
              <w:spacing w:after="0" w:line="259" w:lineRule="auto"/>
              <w:ind w:left="11" w:firstLine="0"/>
              <w:jc w:val="center"/>
            </w:pPr>
            <w:r>
              <w:rPr>
                <w:sz w:val="22"/>
              </w:rPr>
              <w:t xml:space="preserve">34.81% </w:t>
            </w:r>
          </w:p>
        </w:tc>
        <w:tc>
          <w:tcPr>
            <w:tcW w:w="1241" w:type="dxa"/>
            <w:tcBorders>
              <w:top w:val="single" w:sz="4" w:space="0" w:color="000000"/>
              <w:left w:val="single" w:sz="4" w:space="0" w:color="000000"/>
              <w:bottom w:val="nil"/>
              <w:right w:val="single" w:sz="4" w:space="0" w:color="000000"/>
            </w:tcBorders>
          </w:tcPr>
          <w:p w:rsidR="001831A5" w:rsidRDefault="001105D6">
            <w:pPr>
              <w:spacing w:after="0" w:line="259" w:lineRule="auto"/>
              <w:ind w:left="8" w:firstLine="0"/>
              <w:jc w:val="center"/>
            </w:pPr>
            <w:r>
              <w:rPr>
                <w:sz w:val="22"/>
              </w:rPr>
              <w:t xml:space="preserve">54.18%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Cert I-III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firstLine="0"/>
              <w:jc w:val="center"/>
            </w:pPr>
            <w:r>
              <w:rPr>
                <w:sz w:val="22"/>
              </w:rPr>
              <w:t xml:space="preserve">4.07%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7" w:firstLine="0"/>
              <w:jc w:val="center"/>
            </w:pPr>
            <w:r>
              <w:rPr>
                <w:sz w:val="22"/>
              </w:rPr>
              <w:t xml:space="preserve">2.55%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Cert IV +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firstLine="0"/>
              <w:jc w:val="center"/>
            </w:pPr>
            <w:r>
              <w:rPr>
                <w:sz w:val="22"/>
              </w:rPr>
              <w:t xml:space="preserve">6.67%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8" w:firstLine="0"/>
              <w:jc w:val="center"/>
            </w:pPr>
            <w:r>
              <w:rPr>
                <w:sz w:val="22"/>
              </w:rPr>
              <w:t xml:space="preserve">12.03%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Apprenticeship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firstLine="0"/>
              <w:jc w:val="center"/>
            </w:pPr>
            <w:r>
              <w:rPr>
                <w:sz w:val="22"/>
              </w:rPr>
              <w:t xml:space="preserve">9.63%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7" w:firstLine="0"/>
              <w:jc w:val="center"/>
            </w:pPr>
            <w:r>
              <w:rPr>
                <w:sz w:val="22"/>
              </w:rPr>
              <w:t xml:space="preserve">5.54%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Traineeship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firstLine="0"/>
              <w:jc w:val="center"/>
            </w:pPr>
            <w:r>
              <w:rPr>
                <w:sz w:val="22"/>
              </w:rPr>
              <w:t xml:space="preserve">3.70%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7" w:firstLine="0"/>
              <w:jc w:val="center"/>
            </w:pPr>
            <w:r>
              <w:rPr>
                <w:sz w:val="22"/>
              </w:rPr>
              <w:t xml:space="preserve">2.52%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Deferred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left="11" w:firstLine="0"/>
              <w:jc w:val="center"/>
            </w:pPr>
            <w:r>
              <w:rPr>
                <w:sz w:val="22"/>
              </w:rPr>
              <w:t xml:space="preserve">16.30%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7" w:firstLine="0"/>
              <w:jc w:val="center"/>
            </w:pPr>
            <w:r>
              <w:rPr>
                <w:sz w:val="22"/>
              </w:rPr>
              <w:t xml:space="preserve">9.70%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Employed F/T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firstLine="0"/>
              <w:jc w:val="center"/>
            </w:pPr>
            <w:r>
              <w:rPr>
                <w:sz w:val="22"/>
              </w:rPr>
              <w:t xml:space="preserve">4.81%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7" w:firstLine="0"/>
              <w:jc w:val="center"/>
            </w:pPr>
            <w:r>
              <w:rPr>
                <w:sz w:val="22"/>
              </w:rPr>
              <w:t xml:space="preserve">3.29% </w:t>
            </w:r>
          </w:p>
        </w:tc>
      </w:tr>
      <w:tr w:rsidR="001831A5">
        <w:trPr>
          <w:trHeight w:val="300"/>
        </w:trPr>
        <w:tc>
          <w:tcPr>
            <w:tcW w:w="2201" w:type="dxa"/>
            <w:tcBorders>
              <w:top w:val="nil"/>
              <w:left w:val="single" w:sz="4" w:space="0" w:color="000000"/>
              <w:bottom w:val="nil"/>
              <w:right w:val="single" w:sz="4" w:space="0" w:color="000000"/>
            </w:tcBorders>
          </w:tcPr>
          <w:p w:rsidR="001831A5" w:rsidRDefault="001105D6">
            <w:pPr>
              <w:spacing w:after="0" w:line="259" w:lineRule="auto"/>
              <w:ind w:left="0" w:firstLine="0"/>
            </w:pPr>
            <w:r>
              <w:rPr>
                <w:sz w:val="22"/>
              </w:rPr>
              <w:t xml:space="preserve">Employed P/T </w:t>
            </w:r>
          </w:p>
        </w:tc>
        <w:tc>
          <w:tcPr>
            <w:tcW w:w="1599" w:type="dxa"/>
            <w:tcBorders>
              <w:top w:val="nil"/>
              <w:left w:val="single" w:sz="4" w:space="0" w:color="000000"/>
              <w:bottom w:val="nil"/>
              <w:right w:val="single" w:sz="4" w:space="0" w:color="000000"/>
            </w:tcBorders>
          </w:tcPr>
          <w:p w:rsidR="001831A5" w:rsidRDefault="001105D6">
            <w:pPr>
              <w:spacing w:after="0" w:line="259" w:lineRule="auto"/>
              <w:ind w:left="11" w:firstLine="0"/>
              <w:jc w:val="center"/>
            </w:pPr>
            <w:r>
              <w:rPr>
                <w:sz w:val="22"/>
              </w:rPr>
              <w:t xml:space="preserve">14.44% </w:t>
            </w:r>
          </w:p>
        </w:tc>
        <w:tc>
          <w:tcPr>
            <w:tcW w:w="1241" w:type="dxa"/>
            <w:tcBorders>
              <w:top w:val="nil"/>
              <w:left w:val="single" w:sz="4" w:space="0" w:color="000000"/>
              <w:bottom w:val="nil"/>
              <w:right w:val="single" w:sz="4" w:space="0" w:color="000000"/>
            </w:tcBorders>
          </w:tcPr>
          <w:p w:rsidR="001831A5" w:rsidRDefault="001105D6">
            <w:pPr>
              <w:spacing w:after="0" w:line="259" w:lineRule="auto"/>
              <w:ind w:left="7" w:firstLine="0"/>
              <w:jc w:val="center"/>
            </w:pPr>
            <w:r>
              <w:rPr>
                <w:sz w:val="22"/>
              </w:rPr>
              <w:t xml:space="preserve">6.33% </w:t>
            </w:r>
          </w:p>
        </w:tc>
      </w:tr>
      <w:tr w:rsidR="001831A5">
        <w:trPr>
          <w:trHeight w:val="271"/>
        </w:trPr>
        <w:tc>
          <w:tcPr>
            <w:tcW w:w="2201" w:type="dxa"/>
            <w:tcBorders>
              <w:top w:val="nil"/>
              <w:left w:val="single" w:sz="4" w:space="0" w:color="000000"/>
              <w:bottom w:val="single" w:sz="4" w:space="0" w:color="000000"/>
              <w:right w:val="single" w:sz="4" w:space="0" w:color="000000"/>
            </w:tcBorders>
          </w:tcPr>
          <w:p w:rsidR="001831A5" w:rsidRDefault="001105D6">
            <w:pPr>
              <w:spacing w:after="0" w:line="259" w:lineRule="auto"/>
              <w:ind w:left="0" w:firstLine="0"/>
            </w:pPr>
            <w:r>
              <w:rPr>
                <w:sz w:val="22"/>
              </w:rPr>
              <w:t xml:space="preserve">Looking for Work </w:t>
            </w:r>
          </w:p>
        </w:tc>
        <w:tc>
          <w:tcPr>
            <w:tcW w:w="1599" w:type="dxa"/>
            <w:tcBorders>
              <w:top w:val="nil"/>
              <w:left w:val="single" w:sz="4" w:space="0" w:color="000000"/>
              <w:bottom w:val="single" w:sz="4" w:space="0" w:color="000000"/>
              <w:right w:val="single" w:sz="4" w:space="0" w:color="000000"/>
            </w:tcBorders>
          </w:tcPr>
          <w:p w:rsidR="001831A5" w:rsidRDefault="001105D6">
            <w:pPr>
              <w:spacing w:after="0" w:line="259" w:lineRule="auto"/>
              <w:ind w:firstLine="0"/>
              <w:jc w:val="center"/>
            </w:pPr>
            <w:r>
              <w:rPr>
                <w:sz w:val="22"/>
              </w:rPr>
              <w:t xml:space="preserve">5.56% </w:t>
            </w:r>
          </w:p>
        </w:tc>
        <w:tc>
          <w:tcPr>
            <w:tcW w:w="1241" w:type="dxa"/>
            <w:tcBorders>
              <w:top w:val="nil"/>
              <w:left w:val="single" w:sz="4" w:space="0" w:color="000000"/>
              <w:bottom w:val="single" w:sz="4" w:space="0" w:color="000000"/>
              <w:right w:val="single" w:sz="4" w:space="0" w:color="000000"/>
            </w:tcBorders>
          </w:tcPr>
          <w:p w:rsidR="001831A5" w:rsidRDefault="001105D6">
            <w:pPr>
              <w:spacing w:after="0" w:line="259" w:lineRule="auto"/>
              <w:ind w:left="7" w:firstLine="0"/>
              <w:jc w:val="center"/>
            </w:pPr>
            <w:r>
              <w:rPr>
                <w:sz w:val="22"/>
              </w:rPr>
              <w:t xml:space="preserve">3.33% </w:t>
            </w:r>
          </w:p>
        </w:tc>
      </w:tr>
    </w:tbl>
    <w:p w:rsidR="001831A5" w:rsidRDefault="001105D6" w:rsidP="00464619">
      <w:pPr>
        <w:spacing w:before="240" w:after="240" w:line="259" w:lineRule="auto"/>
        <w:ind w:left="0" w:firstLine="0"/>
      </w:pPr>
      <w:r>
        <w:t xml:space="preserve"> </w:t>
      </w:r>
      <w:r>
        <w:rPr>
          <w:sz w:val="16"/>
        </w:rPr>
        <w:t xml:space="preserve">Source: On Track /NMLLEN </w:t>
      </w:r>
    </w:p>
    <w:p w:rsidR="001831A5" w:rsidRDefault="001105D6" w:rsidP="00464619">
      <w:pPr>
        <w:spacing w:before="240" w:after="240" w:line="259" w:lineRule="auto"/>
        <w:ind w:left="0" w:firstLine="0"/>
      </w:pPr>
      <w:r>
        <w:t xml:space="preserve"> TABLE A lists the </w:t>
      </w:r>
      <w:r w:rsidR="00464619">
        <w:t>proportion</w:t>
      </w:r>
      <w:r>
        <w:t xml:space="preserve"> of Year 12 Completers in the NMLLEN Region who completed their Year 12 in 2016. </w:t>
      </w:r>
    </w:p>
    <w:p w:rsidR="001831A5" w:rsidRDefault="001105D6" w:rsidP="00464619">
      <w:pPr>
        <w:spacing w:after="240" w:line="259" w:lineRule="auto"/>
        <w:ind w:left="0" w:firstLine="0"/>
      </w:pPr>
      <w:r>
        <w:t xml:space="preserve"> </w:t>
      </w:r>
      <w:r w:rsidR="006B330F">
        <w:t>Typically</w:t>
      </w:r>
      <w:r w:rsidR="00464619">
        <w:t>,</w:t>
      </w:r>
      <w:r>
        <w:t xml:space="preserve"> there are approximately 550 students who complete Year 12 in the NMLLEN region each year. </w:t>
      </w:r>
    </w:p>
    <w:p w:rsidR="001831A5" w:rsidRDefault="001105D6" w:rsidP="00464619">
      <w:pPr>
        <w:spacing w:after="240" w:line="259" w:lineRule="auto"/>
        <w:ind w:left="0" w:firstLine="0"/>
      </w:pPr>
      <w:r>
        <w:t xml:space="preserve"> This table illustrates the percentage of 2016 Year Completers (who completed Victorian Certificate of Education VCE or the Victorian </w:t>
      </w:r>
      <w:r w:rsidR="006B330F">
        <w:t>Certificate</w:t>
      </w:r>
      <w:r>
        <w:t xml:space="preserve"> of Applied Learning VCAL) and their respective destinations. </w:t>
      </w:r>
    </w:p>
    <w:p w:rsidR="001831A5" w:rsidRDefault="001105D6" w:rsidP="00464619">
      <w:pPr>
        <w:spacing w:after="240" w:line="259" w:lineRule="auto"/>
        <w:ind w:left="0" w:firstLine="0"/>
      </w:pPr>
      <w:r>
        <w:t xml:space="preserve"> Points of interest are: </w:t>
      </w:r>
    </w:p>
    <w:p w:rsidR="001831A5" w:rsidRDefault="001105D6">
      <w:pPr>
        <w:numPr>
          <w:ilvl w:val="0"/>
          <w:numId w:val="1"/>
        </w:numPr>
        <w:ind w:hanging="360"/>
      </w:pPr>
      <w:r>
        <w:t xml:space="preserve">The greater percentage of Victorian students (54.18%) going to </w:t>
      </w:r>
      <w:r w:rsidR="006B330F">
        <w:t>university compared</w:t>
      </w:r>
      <w:r>
        <w:t xml:space="preserve"> to the NMLLEN region (34.81%) </w:t>
      </w:r>
    </w:p>
    <w:p w:rsidR="001831A5" w:rsidRDefault="001105D6">
      <w:pPr>
        <w:numPr>
          <w:ilvl w:val="0"/>
          <w:numId w:val="1"/>
        </w:numPr>
        <w:ind w:hanging="360"/>
      </w:pPr>
      <w:r>
        <w:t xml:space="preserve">The higher proportion of NMLLEN region students progressing onto apprenticeships (9.63%) than the State (5.54%) </w:t>
      </w:r>
    </w:p>
    <w:p w:rsidR="001831A5" w:rsidRDefault="001105D6">
      <w:pPr>
        <w:numPr>
          <w:ilvl w:val="0"/>
          <w:numId w:val="1"/>
        </w:numPr>
        <w:ind w:hanging="360"/>
      </w:pPr>
      <w:r>
        <w:t xml:space="preserve">The low proportion of NMLLEN region students (6.67%) progressing onto </w:t>
      </w:r>
      <w:r w:rsidR="00464619">
        <w:t>Certificate IV or higher compare</w:t>
      </w:r>
      <w:r>
        <w:t xml:space="preserve">d to the state (12.03%) </w:t>
      </w:r>
    </w:p>
    <w:p w:rsidR="001831A5" w:rsidRDefault="001105D6">
      <w:pPr>
        <w:numPr>
          <w:ilvl w:val="0"/>
          <w:numId w:val="1"/>
        </w:numPr>
        <w:ind w:hanging="360"/>
      </w:pPr>
      <w:r>
        <w:t xml:space="preserve">The very high proportion of NMLLEN region students that defer (16.3%) compared to the state (9.7%) </w:t>
      </w:r>
    </w:p>
    <w:p w:rsidR="001831A5" w:rsidRDefault="001105D6">
      <w:pPr>
        <w:numPr>
          <w:ilvl w:val="0"/>
          <w:numId w:val="1"/>
        </w:numPr>
        <w:ind w:hanging="360"/>
      </w:pPr>
      <w:r>
        <w:t xml:space="preserve">The very high proportion of NMLLEN region students (14.44%) in part time employment compared to the state (6.33%). </w:t>
      </w:r>
    </w:p>
    <w:p w:rsidR="001831A5" w:rsidRDefault="001105D6" w:rsidP="00464619">
      <w:pPr>
        <w:spacing w:after="240"/>
        <w:ind w:left="-5"/>
      </w:pPr>
      <w:r>
        <w:t xml:space="preserve">Comments:  </w:t>
      </w:r>
    </w:p>
    <w:p w:rsidR="001831A5" w:rsidRDefault="001105D6" w:rsidP="00464619">
      <w:pPr>
        <w:numPr>
          <w:ilvl w:val="0"/>
          <w:numId w:val="2"/>
        </w:numPr>
        <w:spacing w:after="240"/>
        <w:ind w:hanging="360"/>
      </w:pPr>
      <w:r>
        <w:t xml:space="preserve">(a) and (d) need to be considered together.  Previous studies by John Polesel (Univ. of Melb.)  and others have indicated that about 7 out of every 10 rural students that defer, go onto university the following year.  The high deferral rate reflects the economic costs </w:t>
      </w:r>
      <w:r w:rsidR="006B330F">
        <w:t>borne</w:t>
      </w:r>
      <w:r>
        <w:t xml:space="preserve"> by families in enabling their son or daughter to relocate to Melbourne or Adelaide to pursue university studies.  Many students defer so as to work in order to qualify for the Independent Living Allowance or save as much as they can before commencing their studies.</w:t>
      </w:r>
    </w:p>
    <w:p w:rsidR="001831A5" w:rsidRDefault="001105D6" w:rsidP="00464619">
      <w:pPr>
        <w:spacing w:after="240" w:line="259" w:lineRule="auto"/>
        <w:ind w:left="720" w:firstLine="0"/>
      </w:pPr>
      <w:r>
        <w:t xml:space="preserve"> If you take into account those that progress onto </w:t>
      </w:r>
      <w:r w:rsidR="00537FBD">
        <w:t>university</w:t>
      </w:r>
      <w:r>
        <w:t xml:space="preserve"> after deferring for 12 months, the proportion of Year 12 completers going to university rises to 46.22% (estimated).  </w:t>
      </w:r>
      <w:r w:rsidR="00464619">
        <w:t>Similarly,</w:t>
      </w:r>
      <w:r>
        <w:t xml:space="preserve"> the State figure rises to 60.98% (estimated) which is a 14.75 percentage points gap, down from an initial 19.37 percentage points gap. </w:t>
      </w:r>
    </w:p>
    <w:p w:rsidR="001831A5" w:rsidRDefault="001105D6">
      <w:pPr>
        <w:numPr>
          <w:ilvl w:val="0"/>
          <w:numId w:val="2"/>
        </w:numPr>
        <w:spacing w:after="36"/>
        <w:ind w:hanging="360"/>
      </w:pPr>
      <w:r>
        <w:lastRenderedPageBreak/>
        <w:t xml:space="preserve">Apprenticeships are a strong pathway for Year 12 completers in this region (nearly double the state average). </w:t>
      </w:r>
    </w:p>
    <w:p w:rsidR="001831A5" w:rsidRDefault="001105D6">
      <w:pPr>
        <w:numPr>
          <w:ilvl w:val="0"/>
          <w:numId w:val="2"/>
        </w:numPr>
        <w:ind w:hanging="360"/>
      </w:pPr>
      <w:r>
        <w:t xml:space="preserve">The low proportion of NMLLEN region’s students progressing onto Certificate IV, Diploma or </w:t>
      </w:r>
    </w:p>
    <w:p w:rsidR="001831A5" w:rsidRDefault="001105D6">
      <w:pPr>
        <w:spacing w:after="0" w:line="259" w:lineRule="auto"/>
        <w:ind w:left="0" w:right="65" w:firstLine="0"/>
        <w:jc w:val="right"/>
      </w:pPr>
      <w:r>
        <w:t xml:space="preserve">Advanced Diploma studies is of concern.  This may reflect a lack of appropriate courses offered at the </w:t>
      </w:r>
    </w:p>
    <w:p w:rsidR="001831A5" w:rsidRDefault="001105D6">
      <w:pPr>
        <w:spacing w:after="33"/>
        <w:ind w:left="730"/>
      </w:pPr>
      <w:r>
        <w:t xml:space="preserve">local TAFE Institute (Sunraysia Institute of TAFE) due to ‘thin’ markets, or the choice of University over TAFE. </w:t>
      </w:r>
    </w:p>
    <w:p w:rsidR="001831A5" w:rsidRDefault="001105D6" w:rsidP="00537FBD">
      <w:pPr>
        <w:numPr>
          <w:ilvl w:val="0"/>
          <w:numId w:val="2"/>
        </w:numPr>
        <w:spacing w:after="240"/>
        <w:ind w:hanging="360"/>
      </w:pPr>
      <w:r>
        <w:t xml:space="preserve">The very high proportion of Year 12 completers in part time employment in the NMLLEN region.  This may reflect a high degree of underemployment or that students, after completing Year 12, maintain their existing part time job they had whilst at school, while they try to find full time employment. </w:t>
      </w:r>
    </w:p>
    <w:p w:rsidR="001831A5" w:rsidRDefault="001105D6" w:rsidP="00537FBD">
      <w:pPr>
        <w:spacing w:after="240"/>
        <w:ind w:left="-5"/>
      </w:pPr>
      <w:r>
        <w:t xml:space="preserve">Overall comment. </w:t>
      </w:r>
    </w:p>
    <w:p w:rsidR="001831A5" w:rsidRDefault="001105D6">
      <w:pPr>
        <w:spacing w:after="167"/>
        <w:ind w:left="-5"/>
      </w:pPr>
      <w:r>
        <w:t xml:space="preserve">Parents and students are faced with difficult and complex choices about future educational pathways.  There is an almost automatic assumption that every child entering secondary should go to university.  Secondary schools in this region see their prime purpose is to prepare young people for university.   The oversupply that is now </w:t>
      </w:r>
      <w:r w:rsidR="00537FBD">
        <w:t>occurring</w:t>
      </w:r>
      <w:r>
        <w:t xml:space="preserve"> in some graduate markets (which is </w:t>
      </w:r>
      <w:r w:rsidR="00537FBD">
        <w:t>likely</w:t>
      </w:r>
      <w:r>
        <w:t xml:space="preserve"> to become more prevalent in the future) means that parents and young people need access to up to date information on the changing labour markets and the opportunity costs of choosing one educational pathway over another.  For example, the choice between a university pathway (including relocating and living in a city away from home; accumulating a HECS debt; and the prospect of unemployment) or a vocational pathway to skills training at the local TAFE leading to employment.  This choice is overlaid with the ‘value’ that is placed by society on someone who has a university degree over </w:t>
      </w:r>
      <w:r w:rsidR="00537FBD">
        <w:t>someone</w:t>
      </w:r>
      <w:r>
        <w:t xml:space="preserve"> that does not.  In the end it is about balance. What is the ‘right’ proportion of young people leaving rural communities to pursue higher education and the </w:t>
      </w:r>
      <w:r w:rsidR="00537FBD">
        <w:t>proportion</w:t>
      </w:r>
      <w:r>
        <w:t xml:space="preserve"> who remain to forge a career i</w:t>
      </w:r>
      <w:r w:rsidR="00464619">
        <w:t>n rural and regional industry.</w:t>
      </w:r>
    </w:p>
    <w:p w:rsidR="001831A5" w:rsidRDefault="001105D6">
      <w:pPr>
        <w:spacing w:after="167"/>
        <w:ind w:left="-5"/>
      </w:pPr>
      <w:r>
        <w:t xml:space="preserve">Overlaid on the above is the changing nature of work and how the new world of work will impact on rural and regional communities. </w:t>
      </w:r>
    </w:p>
    <w:p w:rsidR="001831A5" w:rsidRDefault="001105D6">
      <w:pPr>
        <w:spacing w:after="167"/>
        <w:ind w:left="-5"/>
      </w:pPr>
      <w:r>
        <w:t xml:space="preserve">Observing the local education scene over the past 30 years, it appears that more young people are ‘disengaging’ from education, and of those that remain, increasingly more young people do not know what they want to do in terms of future career directions and hence educational pathways.  They aimlessly continue through schooling to Year 12 to go to university with no idea what they want to do. </w:t>
      </w:r>
    </w:p>
    <w:p w:rsidR="001831A5" w:rsidRDefault="001105D6">
      <w:pPr>
        <w:spacing w:after="210"/>
        <w:ind w:left="-5"/>
      </w:pPr>
      <w:r>
        <w:t xml:space="preserve">Recent discussions with industry by the Victorian Skills Commissioner to </w:t>
      </w:r>
      <w:r w:rsidR="00537FBD">
        <w:t>identify</w:t>
      </w:r>
      <w:r>
        <w:t xml:space="preserve"> future skill needs and </w:t>
      </w:r>
      <w:r w:rsidR="00537FBD">
        <w:t>employment</w:t>
      </w:r>
      <w:r>
        <w:t xml:space="preserve"> growth opportunities highlighted the following: </w:t>
      </w:r>
    </w:p>
    <w:p w:rsidR="001831A5" w:rsidRDefault="001105D6">
      <w:pPr>
        <w:numPr>
          <w:ilvl w:val="0"/>
          <w:numId w:val="3"/>
        </w:numPr>
        <w:spacing w:after="52"/>
        <w:ind w:hanging="360"/>
      </w:pPr>
      <w:r>
        <w:t xml:space="preserve">The horticultural and agricultural industries of this region see </w:t>
      </w:r>
      <w:r w:rsidR="00537FBD">
        <w:t>strong</w:t>
      </w:r>
      <w:r>
        <w:t xml:space="preserve"> growth due to improved international markets for fresh food and produce, especially by Asian markets.  This growth has a </w:t>
      </w:r>
      <w:r w:rsidR="00537FBD">
        <w:t>spill over</w:t>
      </w:r>
      <w:r>
        <w:t xml:space="preserve"> effect into transport, logistics, warehousing, business services and other support industries. </w:t>
      </w:r>
    </w:p>
    <w:p w:rsidR="001831A5" w:rsidRDefault="001105D6">
      <w:pPr>
        <w:numPr>
          <w:ilvl w:val="0"/>
          <w:numId w:val="3"/>
        </w:numPr>
        <w:spacing w:after="52"/>
        <w:ind w:hanging="360"/>
      </w:pPr>
      <w:r>
        <w:t xml:space="preserve">For industry to respond to this growth there is a shortfall of skilled labour across a wide range of employment categories. </w:t>
      </w:r>
    </w:p>
    <w:p w:rsidR="00537FBD" w:rsidRDefault="001105D6">
      <w:pPr>
        <w:numPr>
          <w:ilvl w:val="0"/>
          <w:numId w:val="3"/>
        </w:numPr>
        <w:spacing w:after="167"/>
        <w:ind w:hanging="360"/>
        <w:sectPr w:rsidR="00537FBD">
          <w:pgSz w:w="11906" w:h="16838"/>
          <w:pgMar w:top="1600" w:right="1456" w:bottom="1149" w:left="1440" w:header="543" w:footer="709" w:gutter="0"/>
          <w:cols w:space="720"/>
        </w:sectPr>
      </w:pPr>
      <w:r>
        <w:t xml:space="preserve">A realisation by industry that it needs to work much more closely with schools to promote and inform young people and parents of these employment opportunities and the vocational pathways to these opportunities.  However, the school sector is heavily geared to university entrance and less to vocational pathways.  The </w:t>
      </w:r>
      <w:r w:rsidR="00537FBD">
        <w:t>challenge</w:t>
      </w:r>
      <w:r>
        <w:t xml:space="preserve"> will be to strengthen vocational education and training in schools. </w:t>
      </w:r>
    </w:p>
    <w:p w:rsidR="001831A5" w:rsidRDefault="001105D6" w:rsidP="00537FBD">
      <w:pPr>
        <w:spacing w:after="162" w:line="259" w:lineRule="auto"/>
        <w:ind w:left="0" w:firstLine="0"/>
      </w:pPr>
      <w:r>
        <w:rPr>
          <w:noProof/>
        </w:rPr>
        <w:lastRenderedPageBreak/>
        <w:drawing>
          <wp:inline distT="0" distB="0" distL="0" distR="0">
            <wp:extent cx="5751576" cy="3541776"/>
            <wp:effectExtent l="0" t="0" r="1905" b="1905"/>
            <wp:docPr id="23447" name="Picture 23447" descr="NMLLEN on Track (Year 12 Completers) % 2007-16, trends in destinations for Year 12 completers in the NMLLEN region" title="TABLE B"/>
            <wp:cNvGraphicFramePr/>
            <a:graphic xmlns:a="http://schemas.openxmlformats.org/drawingml/2006/main">
              <a:graphicData uri="http://schemas.openxmlformats.org/drawingml/2006/picture">
                <pic:pic xmlns:pic="http://schemas.openxmlformats.org/drawingml/2006/picture">
                  <pic:nvPicPr>
                    <pic:cNvPr id="23447" name="Picture 23447"/>
                    <pic:cNvPicPr/>
                  </pic:nvPicPr>
                  <pic:blipFill>
                    <a:blip r:embed="rId14"/>
                    <a:stretch>
                      <a:fillRect/>
                    </a:stretch>
                  </pic:blipFill>
                  <pic:spPr>
                    <a:xfrm>
                      <a:off x="0" y="0"/>
                      <a:ext cx="5751576" cy="3541776"/>
                    </a:xfrm>
                    <a:prstGeom prst="rect">
                      <a:avLst/>
                    </a:prstGeom>
                  </pic:spPr>
                </pic:pic>
              </a:graphicData>
            </a:graphic>
          </wp:inline>
        </w:drawing>
      </w:r>
    </w:p>
    <w:p w:rsidR="001831A5" w:rsidRDefault="001105D6">
      <w:pPr>
        <w:spacing w:after="170"/>
        <w:ind w:left="-5"/>
      </w:pPr>
      <w:r>
        <w:t xml:space="preserve">TABLE B illustrates the trends in destinations for Year 12 completers in the NMLLEN region. </w:t>
      </w:r>
    </w:p>
    <w:p w:rsidR="001831A5" w:rsidRDefault="001105D6">
      <w:pPr>
        <w:spacing w:after="210"/>
        <w:ind w:left="-5"/>
      </w:pPr>
      <w:r>
        <w:t xml:space="preserve">Trends include: </w:t>
      </w:r>
    </w:p>
    <w:p w:rsidR="001831A5" w:rsidRDefault="001105D6">
      <w:pPr>
        <w:numPr>
          <w:ilvl w:val="0"/>
          <w:numId w:val="3"/>
        </w:numPr>
        <w:spacing w:after="26"/>
        <w:ind w:hanging="360"/>
      </w:pPr>
      <w:r>
        <w:t xml:space="preserve">Increasing proportion of Y12 completers going to university. </w:t>
      </w:r>
    </w:p>
    <w:p w:rsidR="001831A5" w:rsidRDefault="001105D6">
      <w:pPr>
        <w:numPr>
          <w:ilvl w:val="0"/>
          <w:numId w:val="3"/>
        </w:numPr>
        <w:spacing w:after="26"/>
        <w:ind w:hanging="360"/>
      </w:pPr>
      <w:r>
        <w:t xml:space="preserve">Declining proportion of Y12 completers enrolling in higher level TAFE courses (Cert IV +) </w:t>
      </w:r>
    </w:p>
    <w:p w:rsidR="001831A5" w:rsidRDefault="001105D6">
      <w:pPr>
        <w:numPr>
          <w:ilvl w:val="0"/>
          <w:numId w:val="3"/>
        </w:numPr>
        <w:spacing w:after="29"/>
        <w:ind w:hanging="360"/>
      </w:pPr>
      <w:r>
        <w:t xml:space="preserve">Increasing proportion of Y12 completers enrolling in entry level TAFE courses (Cert I-III) </w:t>
      </w:r>
    </w:p>
    <w:p w:rsidR="001831A5" w:rsidRDefault="001105D6">
      <w:pPr>
        <w:numPr>
          <w:ilvl w:val="0"/>
          <w:numId w:val="3"/>
        </w:numPr>
        <w:spacing w:after="27"/>
        <w:ind w:hanging="360"/>
      </w:pPr>
      <w:r>
        <w:t xml:space="preserve">Increasing proportion of Y12 completers entering apprenticeships </w:t>
      </w:r>
    </w:p>
    <w:p w:rsidR="001831A5" w:rsidRDefault="001105D6">
      <w:pPr>
        <w:numPr>
          <w:ilvl w:val="0"/>
          <w:numId w:val="3"/>
        </w:numPr>
        <w:spacing w:after="26"/>
        <w:ind w:hanging="360"/>
      </w:pPr>
      <w:r>
        <w:t xml:space="preserve">Declining proportion of Y12 completers entering traineeships </w:t>
      </w:r>
    </w:p>
    <w:p w:rsidR="001831A5" w:rsidRDefault="001105D6">
      <w:pPr>
        <w:numPr>
          <w:ilvl w:val="0"/>
          <w:numId w:val="3"/>
        </w:numPr>
        <w:spacing w:after="26"/>
        <w:ind w:hanging="360"/>
      </w:pPr>
      <w:r>
        <w:t xml:space="preserve">Declining proportion of Y12 completers gaining full time employment </w:t>
      </w:r>
    </w:p>
    <w:p w:rsidR="001831A5" w:rsidRDefault="001105D6">
      <w:pPr>
        <w:numPr>
          <w:ilvl w:val="0"/>
          <w:numId w:val="3"/>
        </w:numPr>
        <w:spacing w:after="26"/>
        <w:ind w:hanging="360"/>
      </w:pPr>
      <w:r>
        <w:t xml:space="preserve">Increasing proportion of Y12 completers gaining part time employment </w:t>
      </w:r>
    </w:p>
    <w:p w:rsidR="001831A5" w:rsidRDefault="001105D6">
      <w:pPr>
        <w:numPr>
          <w:ilvl w:val="0"/>
          <w:numId w:val="3"/>
        </w:numPr>
        <w:spacing w:after="144"/>
        <w:ind w:hanging="360"/>
      </w:pPr>
      <w:r>
        <w:t xml:space="preserve">Increasing proportion of Y12 completers looking for work </w:t>
      </w:r>
    </w:p>
    <w:p w:rsidR="001831A5" w:rsidRDefault="001105D6">
      <w:pPr>
        <w:spacing w:after="213"/>
        <w:ind w:left="-5"/>
      </w:pPr>
      <w:r>
        <w:t xml:space="preserve">Comments: </w:t>
      </w:r>
    </w:p>
    <w:p w:rsidR="001831A5" w:rsidRDefault="001105D6">
      <w:pPr>
        <w:numPr>
          <w:ilvl w:val="0"/>
          <w:numId w:val="3"/>
        </w:numPr>
        <w:spacing w:after="52"/>
        <w:ind w:hanging="360"/>
      </w:pPr>
      <w:r>
        <w:t xml:space="preserve">The impact of reduction of employer subsidies for taking on traineeships has contributed to this decline.  Discussions with industry indicate that they believe that traineeships are a good vehicle for recruiting young people into their organisations and see a good future for this model. </w:t>
      </w:r>
    </w:p>
    <w:p w:rsidR="001831A5" w:rsidRDefault="001105D6">
      <w:pPr>
        <w:numPr>
          <w:ilvl w:val="0"/>
          <w:numId w:val="3"/>
        </w:numPr>
        <w:ind w:hanging="360"/>
      </w:pPr>
      <w:r>
        <w:t xml:space="preserve">More needs to be done to address the decline of young people entering higher level TAFE courses. </w:t>
      </w:r>
    </w:p>
    <w:p w:rsidR="001831A5" w:rsidRDefault="001105D6" w:rsidP="00537FBD">
      <w:pPr>
        <w:numPr>
          <w:ilvl w:val="0"/>
          <w:numId w:val="3"/>
        </w:numPr>
        <w:spacing w:after="147"/>
        <w:ind w:hanging="360"/>
      </w:pPr>
      <w:r>
        <w:t xml:space="preserve">Continue to build support for apprenticeships. </w:t>
      </w:r>
    </w:p>
    <w:p w:rsidR="00537FBD" w:rsidRDefault="00537FBD">
      <w:pPr>
        <w:pStyle w:val="Heading1"/>
        <w:ind w:left="-5"/>
        <w:sectPr w:rsidR="00537FBD">
          <w:pgSz w:w="11906" w:h="16838"/>
          <w:pgMar w:top="1600" w:right="1456" w:bottom="1149" w:left="1440" w:header="543" w:footer="709" w:gutter="0"/>
          <w:cols w:space="720"/>
        </w:sectPr>
      </w:pPr>
    </w:p>
    <w:p w:rsidR="001831A5" w:rsidRDefault="001105D6">
      <w:pPr>
        <w:pStyle w:val="Heading1"/>
        <w:ind w:left="-5"/>
      </w:pPr>
      <w:r>
        <w:lastRenderedPageBreak/>
        <w:t xml:space="preserve">Theme: School and community </w:t>
      </w:r>
    </w:p>
    <w:p w:rsidR="001831A5" w:rsidRDefault="001105D6">
      <w:pPr>
        <w:spacing w:after="203"/>
        <w:ind w:left="-5"/>
      </w:pPr>
      <w:r>
        <w:t xml:space="preserve">Sub theme: Addressing disengagement </w:t>
      </w:r>
    </w:p>
    <w:p w:rsidR="001831A5" w:rsidRDefault="001105D6">
      <w:pPr>
        <w:pStyle w:val="Heading2"/>
        <w:spacing w:after="144"/>
      </w:pPr>
      <w:r>
        <w:rPr>
          <w:b w:val="0"/>
        </w:rPr>
        <w:t xml:space="preserve">Background </w:t>
      </w:r>
    </w:p>
    <w:p w:rsidR="001831A5" w:rsidRDefault="001105D6">
      <w:pPr>
        <w:spacing w:after="173"/>
        <w:ind w:left="-5"/>
      </w:pPr>
      <w:r>
        <w:t xml:space="preserve">The ABS Census data in 2006 and 2011 gave statistical evidence of a persistent and increasing issue in the Northern Mallee region.  Too many young people were not completing their secondary schooling and were not moving into further training or employment. </w:t>
      </w:r>
    </w:p>
    <w:p w:rsidR="006B330F" w:rsidRPr="006B330F" w:rsidRDefault="006B330F" w:rsidP="006B330F">
      <w:pPr>
        <w:pStyle w:val="Caption"/>
        <w:keepNext/>
        <w:rPr>
          <w:b/>
          <w:i w:val="0"/>
          <w:sz w:val="20"/>
          <w:szCs w:val="20"/>
        </w:rPr>
      </w:pPr>
      <w:r w:rsidRPr="006B330F">
        <w:rPr>
          <w:b/>
          <w:i w:val="0"/>
          <w:sz w:val="20"/>
          <w:szCs w:val="20"/>
        </w:rPr>
        <w:t xml:space="preserve">Table </w:t>
      </w:r>
      <w:r w:rsidRPr="006B330F">
        <w:rPr>
          <w:b/>
          <w:i w:val="0"/>
          <w:sz w:val="20"/>
          <w:szCs w:val="20"/>
        </w:rPr>
        <w:fldChar w:fldCharType="begin"/>
      </w:r>
      <w:r w:rsidRPr="006B330F">
        <w:rPr>
          <w:b/>
          <w:i w:val="0"/>
          <w:sz w:val="20"/>
          <w:szCs w:val="20"/>
        </w:rPr>
        <w:instrText xml:space="preserve"> SEQ Table \* ARABIC </w:instrText>
      </w:r>
      <w:r w:rsidRPr="006B330F">
        <w:rPr>
          <w:b/>
          <w:i w:val="0"/>
          <w:sz w:val="20"/>
          <w:szCs w:val="20"/>
        </w:rPr>
        <w:fldChar w:fldCharType="separate"/>
      </w:r>
      <w:r>
        <w:rPr>
          <w:b/>
          <w:i w:val="0"/>
          <w:noProof/>
          <w:sz w:val="20"/>
          <w:szCs w:val="20"/>
        </w:rPr>
        <w:t>1</w:t>
      </w:r>
      <w:r w:rsidRPr="006B330F">
        <w:rPr>
          <w:b/>
          <w:i w:val="0"/>
          <w:sz w:val="20"/>
          <w:szCs w:val="20"/>
        </w:rPr>
        <w:fldChar w:fldCharType="end"/>
      </w:r>
      <w:r>
        <w:rPr>
          <w:b/>
          <w:i w:val="0"/>
          <w:sz w:val="20"/>
          <w:szCs w:val="20"/>
        </w:rPr>
        <w:t xml:space="preserve">: </w:t>
      </w:r>
      <w:r w:rsidRPr="006B330F">
        <w:rPr>
          <w:b/>
          <w:i w:val="0"/>
          <w:sz w:val="20"/>
          <w:szCs w:val="20"/>
        </w:rPr>
        <w:t>Percentage of young people not in paid employment or education/training (Mildura LGA</w:t>
      </w:r>
    </w:p>
    <w:tbl>
      <w:tblPr>
        <w:tblStyle w:val="TableGrid"/>
        <w:tblW w:w="8692" w:type="dxa"/>
        <w:tblInd w:w="239" w:type="dxa"/>
        <w:tblCellMar>
          <w:left w:w="2" w:type="dxa"/>
          <w:right w:w="17" w:type="dxa"/>
        </w:tblCellMar>
        <w:tblLook w:val="04A0" w:firstRow="1" w:lastRow="0" w:firstColumn="1" w:lastColumn="0" w:noHBand="0" w:noVBand="1"/>
        <w:tblCaption w:val="Table 1: Percentage of young people not in paid employment or education/training (Mildura LGA)"/>
        <w:tblDescription w:val="ABS census data in 2006 and 2011 gave statistical evidence of a persistent and increasing issue in the Northern Mallee region."/>
      </w:tblPr>
      <w:tblGrid>
        <w:gridCol w:w="612"/>
        <w:gridCol w:w="708"/>
        <w:gridCol w:w="994"/>
        <w:gridCol w:w="777"/>
        <w:gridCol w:w="922"/>
        <w:gridCol w:w="994"/>
        <w:gridCol w:w="920"/>
        <w:gridCol w:w="921"/>
        <w:gridCol w:w="996"/>
        <w:gridCol w:w="848"/>
      </w:tblGrid>
      <w:tr w:rsidR="001831A5" w:rsidTr="006B330F">
        <w:trPr>
          <w:trHeight w:val="462"/>
          <w:tblHeader/>
        </w:trPr>
        <w:tc>
          <w:tcPr>
            <w:tcW w:w="612" w:type="dxa"/>
            <w:tcBorders>
              <w:top w:val="single" w:sz="5" w:space="0" w:color="5B9BD4"/>
              <w:left w:val="single" w:sz="5" w:space="0" w:color="5B9BD4"/>
              <w:bottom w:val="single" w:sz="5" w:space="0" w:color="5B9BD4"/>
              <w:right w:val="single" w:sz="5" w:space="0" w:color="5B9BD4"/>
            </w:tcBorders>
            <w:vAlign w:val="center"/>
          </w:tcPr>
          <w:p w:rsidR="001831A5" w:rsidRDefault="001105D6">
            <w:pPr>
              <w:spacing w:after="0" w:line="259" w:lineRule="auto"/>
              <w:ind w:left="148" w:firstLine="0"/>
            </w:pPr>
            <w:r>
              <w:t xml:space="preserve">Age </w:t>
            </w:r>
          </w:p>
        </w:tc>
        <w:tc>
          <w:tcPr>
            <w:tcW w:w="708" w:type="dxa"/>
            <w:tcBorders>
              <w:top w:val="single" w:sz="5" w:space="0" w:color="5B9BD4"/>
              <w:left w:val="single" w:sz="5" w:space="0" w:color="5B9BD4"/>
              <w:bottom w:val="single" w:sz="5" w:space="0" w:color="5B9BD4"/>
              <w:right w:val="nil"/>
            </w:tcBorders>
          </w:tcPr>
          <w:p w:rsidR="001831A5" w:rsidRDefault="001831A5">
            <w:pPr>
              <w:spacing w:after="160" w:line="259" w:lineRule="auto"/>
              <w:ind w:left="0" w:firstLine="0"/>
            </w:pPr>
          </w:p>
        </w:tc>
        <w:tc>
          <w:tcPr>
            <w:tcW w:w="994" w:type="dxa"/>
            <w:tcBorders>
              <w:top w:val="single" w:sz="5" w:space="0" w:color="5B9BD4"/>
              <w:left w:val="nil"/>
              <w:bottom w:val="single" w:sz="5" w:space="0" w:color="5B9BD4"/>
              <w:right w:val="nil"/>
            </w:tcBorders>
            <w:vAlign w:val="center"/>
          </w:tcPr>
          <w:p w:rsidR="001831A5" w:rsidRDefault="001105D6">
            <w:pPr>
              <w:spacing w:after="0" w:line="259" w:lineRule="auto"/>
              <w:ind w:left="11" w:firstLine="0"/>
              <w:jc w:val="center"/>
            </w:pPr>
            <w:r>
              <w:t xml:space="preserve">15-19 </w:t>
            </w:r>
          </w:p>
        </w:tc>
        <w:tc>
          <w:tcPr>
            <w:tcW w:w="777" w:type="dxa"/>
            <w:tcBorders>
              <w:top w:val="single" w:sz="5" w:space="0" w:color="5B9BD4"/>
              <w:left w:val="nil"/>
              <w:bottom w:val="single" w:sz="5" w:space="0" w:color="5B9BD4"/>
              <w:right w:val="double" w:sz="5" w:space="0" w:color="5B9BD4"/>
            </w:tcBorders>
          </w:tcPr>
          <w:p w:rsidR="001831A5" w:rsidRDefault="001831A5">
            <w:pPr>
              <w:spacing w:after="160" w:line="259" w:lineRule="auto"/>
              <w:ind w:left="0" w:firstLine="0"/>
            </w:pPr>
          </w:p>
        </w:tc>
        <w:tc>
          <w:tcPr>
            <w:tcW w:w="922" w:type="dxa"/>
            <w:tcBorders>
              <w:top w:val="single" w:sz="5" w:space="0" w:color="5B9BD4"/>
              <w:left w:val="double" w:sz="5" w:space="0" w:color="5B9BD4"/>
              <w:bottom w:val="single" w:sz="5" w:space="0" w:color="5B9BD4"/>
              <w:right w:val="nil"/>
            </w:tcBorders>
          </w:tcPr>
          <w:p w:rsidR="001831A5" w:rsidRDefault="001105D6">
            <w:pPr>
              <w:spacing w:after="0" w:line="259" w:lineRule="auto"/>
              <w:ind w:left="0" w:firstLine="0"/>
            </w:pPr>
            <w:r>
              <w:t xml:space="preserve"> </w:t>
            </w:r>
          </w:p>
        </w:tc>
        <w:tc>
          <w:tcPr>
            <w:tcW w:w="994" w:type="dxa"/>
            <w:tcBorders>
              <w:top w:val="single" w:sz="5" w:space="0" w:color="5B9BD4"/>
              <w:left w:val="nil"/>
              <w:bottom w:val="single" w:sz="5" w:space="0" w:color="5B9BD4"/>
              <w:right w:val="nil"/>
            </w:tcBorders>
            <w:vAlign w:val="center"/>
          </w:tcPr>
          <w:p w:rsidR="001831A5" w:rsidRDefault="001105D6">
            <w:pPr>
              <w:spacing w:after="0" w:line="259" w:lineRule="auto"/>
              <w:ind w:left="15" w:firstLine="0"/>
              <w:jc w:val="center"/>
            </w:pPr>
            <w:r>
              <w:t xml:space="preserve">20-24 </w:t>
            </w:r>
          </w:p>
        </w:tc>
        <w:tc>
          <w:tcPr>
            <w:tcW w:w="920" w:type="dxa"/>
            <w:tcBorders>
              <w:top w:val="single" w:sz="5" w:space="0" w:color="5B9BD4"/>
              <w:left w:val="nil"/>
              <w:bottom w:val="single" w:sz="5" w:space="0" w:color="5B9BD4"/>
              <w:right w:val="double" w:sz="5" w:space="0" w:color="5B9BD4"/>
            </w:tcBorders>
          </w:tcPr>
          <w:p w:rsidR="001831A5" w:rsidRDefault="001831A5">
            <w:pPr>
              <w:spacing w:after="160" w:line="259" w:lineRule="auto"/>
              <w:ind w:left="0" w:firstLine="0"/>
            </w:pPr>
          </w:p>
        </w:tc>
        <w:tc>
          <w:tcPr>
            <w:tcW w:w="921" w:type="dxa"/>
            <w:tcBorders>
              <w:top w:val="single" w:sz="5" w:space="0" w:color="5B9BD4"/>
              <w:left w:val="double" w:sz="5" w:space="0" w:color="5B9BD4"/>
              <w:bottom w:val="single" w:sz="5" w:space="0" w:color="5B9BD4"/>
              <w:right w:val="nil"/>
            </w:tcBorders>
          </w:tcPr>
          <w:p w:rsidR="001831A5" w:rsidRDefault="001105D6">
            <w:pPr>
              <w:spacing w:after="0" w:line="259" w:lineRule="auto"/>
              <w:ind w:left="1" w:firstLine="0"/>
            </w:pPr>
            <w:r>
              <w:t xml:space="preserve"> </w:t>
            </w:r>
          </w:p>
        </w:tc>
        <w:tc>
          <w:tcPr>
            <w:tcW w:w="996" w:type="dxa"/>
            <w:tcBorders>
              <w:top w:val="single" w:sz="5" w:space="0" w:color="5B9BD4"/>
              <w:left w:val="nil"/>
              <w:bottom w:val="single" w:sz="5" w:space="0" w:color="5B9BD4"/>
              <w:right w:val="nil"/>
            </w:tcBorders>
            <w:vAlign w:val="center"/>
          </w:tcPr>
          <w:p w:rsidR="001831A5" w:rsidRDefault="001105D6">
            <w:pPr>
              <w:spacing w:after="0" w:line="259" w:lineRule="auto"/>
              <w:ind w:left="14" w:firstLine="0"/>
              <w:jc w:val="center"/>
            </w:pPr>
            <w:r>
              <w:t xml:space="preserve">15-24 </w:t>
            </w:r>
          </w:p>
        </w:tc>
        <w:tc>
          <w:tcPr>
            <w:tcW w:w="848" w:type="dxa"/>
            <w:tcBorders>
              <w:top w:val="single" w:sz="5" w:space="0" w:color="5B9BD4"/>
              <w:left w:val="nil"/>
              <w:bottom w:val="single" w:sz="5" w:space="0" w:color="5B9BD4"/>
              <w:right w:val="single" w:sz="5" w:space="0" w:color="5B9BD4"/>
            </w:tcBorders>
          </w:tcPr>
          <w:p w:rsidR="001831A5" w:rsidRDefault="001831A5">
            <w:pPr>
              <w:spacing w:after="160" w:line="259" w:lineRule="auto"/>
              <w:ind w:left="0" w:firstLine="0"/>
            </w:pPr>
          </w:p>
        </w:tc>
      </w:tr>
      <w:tr w:rsidR="001831A5">
        <w:trPr>
          <w:trHeight w:val="378"/>
        </w:trPr>
        <w:tc>
          <w:tcPr>
            <w:tcW w:w="612" w:type="dxa"/>
            <w:vMerge w:val="restart"/>
            <w:tcBorders>
              <w:top w:val="single" w:sz="5" w:space="0" w:color="5B9BD4"/>
              <w:left w:val="single" w:sz="5" w:space="0" w:color="5B9BD4"/>
              <w:bottom w:val="double" w:sz="5" w:space="0" w:color="5B9BD4"/>
              <w:right w:val="single" w:sz="5" w:space="0" w:color="5B9BD4"/>
            </w:tcBorders>
            <w:vAlign w:val="center"/>
          </w:tcPr>
          <w:p w:rsidR="001831A5" w:rsidRDefault="001105D6">
            <w:pPr>
              <w:spacing w:after="31" w:line="259" w:lineRule="auto"/>
              <w:ind w:left="50" w:firstLine="0"/>
              <w:jc w:val="center"/>
            </w:pPr>
            <w:r>
              <w:rPr>
                <w:b/>
                <w:sz w:val="15"/>
              </w:rPr>
              <w:t xml:space="preserve"> </w:t>
            </w:r>
          </w:p>
          <w:p w:rsidR="001831A5" w:rsidRDefault="001105D6">
            <w:pPr>
              <w:spacing w:after="0" w:line="259" w:lineRule="auto"/>
              <w:ind w:left="100" w:firstLine="0"/>
            </w:pPr>
            <w:r>
              <w:t xml:space="preserve">2011 </w:t>
            </w:r>
          </w:p>
        </w:tc>
        <w:tc>
          <w:tcPr>
            <w:tcW w:w="708"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48" w:firstLine="0"/>
            </w:pPr>
            <w:r>
              <w:t xml:space="preserve">Males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0" w:right="99" w:firstLine="0"/>
              <w:jc w:val="right"/>
            </w:pPr>
            <w:r>
              <w:t xml:space="preserve">Females </w:t>
            </w:r>
          </w:p>
        </w:tc>
        <w:tc>
          <w:tcPr>
            <w:tcW w:w="777"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0" w:right="1" w:firstLine="0"/>
              <w:jc w:val="right"/>
            </w:pPr>
            <w:r>
              <w:t xml:space="preserve"> </w:t>
            </w:r>
          </w:p>
          <w:p w:rsidR="001831A5" w:rsidRDefault="001105D6">
            <w:pPr>
              <w:spacing w:after="0" w:line="259" w:lineRule="auto"/>
              <w:ind w:left="9" w:firstLine="0"/>
              <w:jc w:val="center"/>
            </w:pPr>
            <w:r>
              <w:rPr>
                <w:b/>
              </w:rPr>
              <w:t>Total</w:t>
            </w:r>
            <w:r>
              <w:t xml:space="preserve"> </w:t>
            </w:r>
          </w:p>
        </w:tc>
        <w:tc>
          <w:tcPr>
            <w:tcW w:w="922"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55" w:firstLine="0"/>
              <w:jc w:val="center"/>
            </w:pPr>
            <w:r>
              <w:t xml:space="preserve">Males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60" w:firstLine="0"/>
            </w:pPr>
            <w:r>
              <w:t xml:space="preserve">Females </w:t>
            </w:r>
          </w:p>
        </w:tc>
        <w:tc>
          <w:tcPr>
            <w:tcW w:w="920"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0" w:firstLine="0"/>
              <w:jc w:val="right"/>
            </w:pPr>
            <w:r>
              <w:t xml:space="preserve"> </w:t>
            </w:r>
          </w:p>
          <w:p w:rsidR="001831A5" w:rsidRDefault="001105D6">
            <w:pPr>
              <w:spacing w:after="0" w:line="259" w:lineRule="auto"/>
              <w:ind w:left="0" w:right="86" w:firstLine="0"/>
              <w:jc w:val="center"/>
            </w:pPr>
            <w:r>
              <w:rPr>
                <w:b/>
              </w:rPr>
              <w:t>Total</w:t>
            </w:r>
            <w:r>
              <w:t xml:space="preserve"> </w:t>
            </w:r>
          </w:p>
        </w:tc>
        <w:tc>
          <w:tcPr>
            <w:tcW w:w="921"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44" w:firstLine="0"/>
              <w:jc w:val="center"/>
            </w:pPr>
            <w:r>
              <w:t xml:space="preserve">Males </w:t>
            </w:r>
          </w:p>
        </w:tc>
        <w:tc>
          <w:tcPr>
            <w:tcW w:w="996"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0" w:right="98" w:firstLine="0"/>
              <w:jc w:val="right"/>
            </w:pPr>
            <w:r>
              <w:t xml:space="preserve">Females </w:t>
            </w:r>
          </w:p>
        </w:tc>
        <w:tc>
          <w:tcPr>
            <w:tcW w:w="848" w:type="dxa"/>
            <w:tcBorders>
              <w:top w:val="single" w:sz="5" w:space="0" w:color="5B9BD4"/>
              <w:left w:val="single" w:sz="5" w:space="0" w:color="5B9BD4"/>
              <w:bottom w:val="single" w:sz="5" w:space="0" w:color="5B9BD4"/>
              <w:right w:val="single" w:sz="5" w:space="0" w:color="5B9BD4"/>
            </w:tcBorders>
            <w:shd w:val="clear" w:color="auto" w:fill="D9D9D9"/>
            <w:vAlign w:val="bottom"/>
          </w:tcPr>
          <w:p w:rsidR="001831A5" w:rsidRDefault="001105D6">
            <w:pPr>
              <w:spacing w:after="0" w:line="259" w:lineRule="auto"/>
              <w:ind w:left="60" w:firstLine="0"/>
              <w:jc w:val="center"/>
            </w:pPr>
            <w:r>
              <w:rPr>
                <w:b/>
              </w:rPr>
              <w:t>Total</w:t>
            </w:r>
            <w:r>
              <w:t xml:space="preserve"> </w:t>
            </w:r>
          </w:p>
        </w:tc>
      </w:tr>
      <w:tr w:rsidR="001831A5">
        <w:trPr>
          <w:trHeight w:val="378"/>
        </w:trPr>
        <w:tc>
          <w:tcPr>
            <w:tcW w:w="0" w:type="auto"/>
            <w:vMerge/>
            <w:tcBorders>
              <w:top w:val="nil"/>
              <w:left w:val="single" w:sz="5" w:space="0" w:color="5B9BD4"/>
              <w:bottom w:val="nil"/>
              <w:right w:val="single" w:sz="5" w:space="0" w:color="5B9BD4"/>
            </w:tcBorders>
          </w:tcPr>
          <w:p w:rsidR="001831A5" w:rsidRDefault="001831A5">
            <w:pPr>
              <w:spacing w:after="160" w:line="259" w:lineRule="auto"/>
              <w:ind w:left="0" w:firstLine="0"/>
            </w:pPr>
          </w:p>
        </w:tc>
        <w:tc>
          <w:tcPr>
            <w:tcW w:w="708"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88" w:firstLine="0"/>
              <w:jc w:val="center"/>
            </w:pPr>
            <w:r>
              <w:t xml:space="preserve">167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8" w:firstLine="0"/>
              <w:jc w:val="center"/>
            </w:pPr>
            <w:r>
              <w:t xml:space="preserve">158 </w:t>
            </w:r>
          </w:p>
        </w:tc>
        <w:tc>
          <w:tcPr>
            <w:tcW w:w="777"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0" w:right="1" w:firstLine="0"/>
              <w:jc w:val="right"/>
            </w:pPr>
            <w:r>
              <w:t xml:space="preserve"> </w:t>
            </w:r>
          </w:p>
          <w:p w:rsidR="001831A5" w:rsidRDefault="001105D6">
            <w:pPr>
              <w:spacing w:after="0" w:line="259" w:lineRule="auto"/>
              <w:ind w:left="9" w:firstLine="0"/>
              <w:jc w:val="center"/>
            </w:pPr>
            <w:r>
              <w:t xml:space="preserve">325 </w:t>
            </w:r>
          </w:p>
        </w:tc>
        <w:tc>
          <w:tcPr>
            <w:tcW w:w="922"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57" w:firstLine="0"/>
              <w:jc w:val="center"/>
            </w:pPr>
            <w:r>
              <w:t xml:space="preserve">272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3" w:firstLine="0"/>
              <w:jc w:val="center"/>
            </w:pPr>
            <w:r>
              <w:t xml:space="preserve">352 </w:t>
            </w:r>
          </w:p>
        </w:tc>
        <w:tc>
          <w:tcPr>
            <w:tcW w:w="920"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0" w:firstLine="0"/>
              <w:jc w:val="right"/>
            </w:pPr>
            <w:r>
              <w:t xml:space="preserve"> </w:t>
            </w:r>
          </w:p>
          <w:p w:rsidR="001831A5" w:rsidRDefault="001105D6">
            <w:pPr>
              <w:spacing w:after="0" w:line="259" w:lineRule="auto"/>
              <w:ind w:left="0" w:right="86" w:firstLine="0"/>
              <w:jc w:val="center"/>
            </w:pPr>
            <w:r>
              <w:t xml:space="preserve">624 </w:t>
            </w:r>
          </w:p>
        </w:tc>
        <w:tc>
          <w:tcPr>
            <w:tcW w:w="921"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41" w:firstLine="0"/>
              <w:jc w:val="center"/>
            </w:pPr>
            <w:r>
              <w:t xml:space="preserve">439 </w:t>
            </w:r>
          </w:p>
        </w:tc>
        <w:tc>
          <w:tcPr>
            <w:tcW w:w="996"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1" w:firstLine="0"/>
              <w:jc w:val="center"/>
            </w:pPr>
            <w:r>
              <w:t xml:space="preserve">510 </w:t>
            </w:r>
          </w:p>
        </w:tc>
        <w:tc>
          <w:tcPr>
            <w:tcW w:w="848" w:type="dxa"/>
            <w:tcBorders>
              <w:top w:val="single" w:sz="5" w:space="0" w:color="5B9BD4"/>
              <w:left w:val="single" w:sz="5" w:space="0" w:color="5B9BD4"/>
              <w:bottom w:val="single" w:sz="5" w:space="0" w:color="5B9BD4"/>
              <w:right w:val="single" w:sz="5" w:space="0" w:color="5B9BD4"/>
            </w:tcBorders>
            <w:shd w:val="clear" w:color="auto" w:fill="D9D9D9"/>
            <w:vAlign w:val="bottom"/>
          </w:tcPr>
          <w:p w:rsidR="001831A5" w:rsidRDefault="001105D6">
            <w:pPr>
              <w:spacing w:after="0" w:line="259" w:lineRule="auto"/>
              <w:ind w:left="60" w:firstLine="0"/>
              <w:jc w:val="center"/>
            </w:pPr>
            <w:r>
              <w:t xml:space="preserve">949 </w:t>
            </w:r>
          </w:p>
        </w:tc>
      </w:tr>
      <w:tr w:rsidR="001831A5">
        <w:trPr>
          <w:trHeight w:val="422"/>
        </w:trPr>
        <w:tc>
          <w:tcPr>
            <w:tcW w:w="0" w:type="auto"/>
            <w:vMerge/>
            <w:tcBorders>
              <w:top w:val="nil"/>
              <w:left w:val="single" w:sz="5" w:space="0" w:color="5B9BD4"/>
              <w:bottom w:val="double" w:sz="5" w:space="0" w:color="5B9BD4"/>
              <w:right w:val="single" w:sz="5" w:space="0" w:color="5B9BD4"/>
            </w:tcBorders>
          </w:tcPr>
          <w:p w:rsidR="001831A5" w:rsidRDefault="001831A5">
            <w:pPr>
              <w:spacing w:after="160" w:line="259" w:lineRule="auto"/>
              <w:ind w:left="0" w:firstLine="0"/>
            </w:pPr>
          </w:p>
        </w:tc>
        <w:tc>
          <w:tcPr>
            <w:tcW w:w="708" w:type="dxa"/>
            <w:tcBorders>
              <w:top w:val="single" w:sz="5" w:space="0" w:color="5B9BD4"/>
              <w:left w:val="single" w:sz="5" w:space="0" w:color="5B9BD4"/>
              <w:bottom w:val="double" w:sz="5" w:space="0" w:color="5B9BD4"/>
              <w:right w:val="single" w:sz="5" w:space="0" w:color="5B9BD4"/>
            </w:tcBorders>
            <w:vAlign w:val="bottom"/>
          </w:tcPr>
          <w:p w:rsidR="001831A5" w:rsidRDefault="001105D6">
            <w:pPr>
              <w:spacing w:after="0" w:line="259" w:lineRule="auto"/>
              <w:ind w:left="0" w:right="101" w:firstLine="0"/>
              <w:jc w:val="right"/>
            </w:pPr>
            <w:r>
              <w:t xml:space="preserve">9.0% </w:t>
            </w:r>
          </w:p>
        </w:tc>
        <w:tc>
          <w:tcPr>
            <w:tcW w:w="994" w:type="dxa"/>
            <w:tcBorders>
              <w:top w:val="single" w:sz="5" w:space="0" w:color="5B9BD4"/>
              <w:left w:val="single" w:sz="5" w:space="0" w:color="5B9BD4"/>
              <w:bottom w:val="double" w:sz="5" w:space="0" w:color="5B9BD4"/>
              <w:right w:val="single" w:sz="5" w:space="0" w:color="5B9BD4"/>
            </w:tcBorders>
            <w:vAlign w:val="bottom"/>
          </w:tcPr>
          <w:p w:rsidR="001831A5" w:rsidRDefault="001105D6">
            <w:pPr>
              <w:spacing w:after="0" w:line="259" w:lineRule="auto"/>
              <w:ind w:left="110" w:firstLine="0"/>
              <w:jc w:val="center"/>
            </w:pPr>
            <w:r>
              <w:t xml:space="preserve">8.7% </w:t>
            </w:r>
          </w:p>
        </w:tc>
        <w:tc>
          <w:tcPr>
            <w:tcW w:w="777" w:type="dxa"/>
            <w:tcBorders>
              <w:top w:val="single" w:sz="5" w:space="0" w:color="5B9BD4"/>
              <w:left w:val="single" w:sz="5" w:space="0" w:color="5B9BD4"/>
              <w:bottom w:val="double" w:sz="5" w:space="0" w:color="5B9BD4"/>
              <w:right w:val="double" w:sz="5" w:space="0" w:color="5B9BD4"/>
            </w:tcBorders>
          </w:tcPr>
          <w:p w:rsidR="001831A5" w:rsidRDefault="001105D6">
            <w:pPr>
              <w:spacing w:after="0" w:line="259" w:lineRule="auto"/>
              <w:ind w:left="0" w:right="1" w:firstLine="0"/>
              <w:jc w:val="right"/>
            </w:pPr>
            <w:r>
              <w:t xml:space="preserve"> </w:t>
            </w:r>
          </w:p>
          <w:p w:rsidR="001831A5" w:rsidRDefault="001105D6">
            <w:pPr>
              <w:spacing w:after="0" w:line="259" w:lineRule="auto"/>
              <w:ind w:firstLine="0"/>
              <w:jc w:val="center"/>
            </w:pPr>
            <w:r>
              <w:t xml:space="preserve">8.8% </w:t>
            </w:r>
          </w:p>
        </w:tc>
        <w:tc>
          <w:tcPr>
            <w:tcW w:w="922" w:type="dxa"/>
            <w:tcBorders>
              <w:top w:val="single" w:sz="5" w:space="0" w:color="5B9BD4"/>
              <w:left w:val="double" w:sz="5" w:space="0" w:color="5B9BD4"/>
              <w:bottom w:val="double" w:sz="5" w:space="0" w:color="5B9BD4"/>
              <w:right w:val="single" w:sz="5" w:space="0" w:color="5B9BD4"/>
            </w:tcBorders>
            <w:vAlign w:val="bottom"/>
          </w:tcPr>
          <w:p w:rsidR="001831A5" w:rsidRDefault="001105D6">
            <w:pPr>
              <w:spacing w:after="0" w:line="259" w:lineRule="auto"/>
              <w:ind w:left="58" w:firstLine="0"/>
              <w:jc w:val="center"/>
            </w:pPr>
            <w:r>
              <w:t xml:space="preserve">18.9% </w:t>
            </w:r>
          </w:p>
        </w:tc>
        <w:tc>
          <w:tcPr>
            <w:tcW w:w="994" w:type="dxa"/>
            <w:tcBorders>
              <w:top w:val="single" w:sz="5" w:space="0" w:color="5B9BD4"/>
              <w:left w:val="single" w:sz="5" w:space="0" w:color="5B9BD4"/>
              <w:bottom w:val="double" w:sz="5" w:space="0" w:color="5B9BD4"/>
              <w:right w:val="single" w:sz="5" w:space="0" w:color="5B9BD4"/>
            </w:tcBorders>
            <w:vAlign w:val="bottom"/>
          </w:tcPr>
          <w:p w:rsidR="001831A5" w:rsidRDefault="001105D6">
            <w:pPr>
              <w:spacing w:after="0" w:line="259" w:lineRule="auto"/>
              <w:ind w:left="114" w:firstLine="0"/>
              <w:jc w:val="center"/>
            </w:pPr>
            <w:r>
              <w:t xml:space="preserve">24.7% </w:t>
            </w:r>
          </w:p>
        </w:tc>
        <w:tc>
          <w:tcPr>
            <w:tcW w:w="920" w:type="dxa"/>
            <w:tcBorders>
              <w:top w:val="single" w:sz="5" w:space="0" w:color="5B9BD4"/>
              <w:left w:val="single" w:sz="5" w:space="0" w:color="5B9BD4"/>
              <w:bottom w:val="double" w:sz="5" w:space="0" w:color="5B9BD4"/>
              <w:right w:val="double" w:sz="5" w:space="0" w:color="5B9BD4"/>
            </w:tcBorders>
          </w:tcPr>
          <w:p w:rsidR="001831A5" w:rsidRDefault="001105D6">
            <w:pPr>
              <w:spacing w:after="0" w:line="259" w:lineRule="auto"/>
              <w:ind w:left="0" w:firstLine="0"/>
              <w:jc w:val="right"/>
            </w:pPr>
            <w:r>
              <w:t xml:space="preserve"> </w:t>
            </w:r>
          </w:p>
          <w:p w:rsidR="001831A5" w:rsidRDefault="001105D6">
            <w:pPr>
              <w:spacing w:after="0" w:line="259" w:lineRule="auto"/>
              <w:ind w:left="160" w:firstLine="0"/>
            </w:pPr>
            <w:r>
              <w:t xml:space="preserve">21.7% </w:t>
            </w:r>
          </w:p>
        </w:tc>
        <w:tc>
          <w:tcPr>
            <w:tcW w:w="921" w:type="dxa"/>
            <w:tcBorders>
              <w:top w:val="single" w:sz="5" w:space="0" w:color="5B9BD4"/>
              <w:left w:val="double" w:sz="5" w:space="0" w:color="5B9BD4"/>
              <w:bottom w:val="double" w:sz="5" w:space="0" w:color="5B9BD4"/>
              <w:right w:val="single" w:sz="5" w:space="0" w:color="5B9BD4"/>
            </w:tcBorders>
          </w:tcPr>
          <w:p w:rsidR="001831A5" w:rsidRDefault="001105D6">
            <w:pPr>
              <w:spacing w:after="0" w:line="259" w:lineRule="auto"/>
              <w:ind w:left="76" w:firstLine="0"/>
            </w:pPr>
            <w:r>
              <w:t xml:space="preserve"> </w:t>
            </w:r>
          </w:p>
        </w:tc>
        <w:tc>
          <w:tcPr>
            <w:tcW w:w="996" w:type="dxa"/>
            <w:tcBorders>
              <w:top w:val="single" w:sz="5" w:space="0" w:color="5B9BD4"/>
              <w:left w:val="single" w:sz="5" w:space="0" w:color="5B9BD4"/>
              <w:bottom w:val="double" w:sz="5" w:space="0" w:color="5B9BD4"/>
              <w:right w:val="single" w:sz="5" w:space="0" w:color="5B9BD4"/>
            </w:tcBorders>
          </w:tcPr>
          <w:p w:rsidR="001831A5" w:rsidRDefault="001105D6">
            <w:pPr>
              <w:spacing w:after="0" w:line="259" w:lineRule="auto"/>
              <w:ind w:left="7" w:firstLine="0"/>
            </w:pPr>
            <w:r>
              <w:t xml:space="preserve"> </w:t>
            </w:r>
          </w:p>
        </w:tc>
        <w:tc>
          <w:tcPr>
            <w:tcW w:w="848" w:type="dxa"/>
            <w:tcBorders>
              <w:top w:val="single" w:sz="5" w:space="0" w:color="5B9BD4"/>
              <w:left w:val="single" w:sz="5" w:space="0" w:color="5B9BD4"/>
              <w:bottom w:val="double" w:sz="5" w:space="0" w:color="5B9BD4"/>
              <w:right w:val="single" w:sz="5" w:space="0" w:color="5B9BD4"/>
            </w:tcBorders>
          </w:tcPr>
          <w:p w:rsidR="001831A5" w:rsidRDefault="001105D6">
            <w:pPr>
              <w:spacing w:after="0" w:line="259" w:lineRule="auto"/>
              <w:ind w:left="3" w:firstLine="0"/>
            </w:pPr>
            <w:r>
              <w:t xml:space="preserve"> </w:t>
            </w:r>
          </w:p>
        </w:tc>
      </w:tr>
      <w:tr w:rsidR="001831A5">
        <w:trPr>
          <w:trHeight w:val="422"/>
        </w:trPr>
        <w:tc>
          <w:tcPr>
            <w:tcW w:w="612" w:type="dxa"/>
            <w:tcBorders>
              <w:top w:val="double" w:sz="5" w:space="0" w:color="5B9BD4"/>
              <w:left w:val="single" w:sz="5" w:space="0" w:color="5B9BD4"/>
              <w:bottom w:val="single" w:sz="5" w:space="0" w:color="5B9BD4"/>
              <w:right w:val="single" w:sz="5" w:space="0" w:color="5B9BD4"/>
            </w:tcBorders>
          </w:tcPr>
          <w:p w:rsidR="001831A5" w:rsidRDefault="001105D6">
            <w:pPr>
              <w:spacing w:after="0" w:line="259" w:lineRule="auto"/>
              <w:ind w:left="4" w:firstLine="0"/>
            </w:pPr>
            <w:r>
              <w:t xml:space="preserve"> </w:t>
            </w:r>
          </w:p>
          <w:p w:rsidR="001831A5" w:rsidRDefault="001105D6">
            <w:pPr>
              <w:spacing w:after="0" w:line="259" w:lineRule="auto"/>
              <w:ind w:left="148" w:firstLine="0"/>
            </w:pPr>
            <w:r>
              <w:t xml:space="preserve">Age </w:t>
            </w:r>
          </w:p>
        </w:tc>
        <w:tc>
          <w:tcPr>
            <w:tcW w:w="708" w:type="dxa"/>
            <w:tcBorders>
              <w:top w:val="double" w:sz="5" w:space="0" w:color="5B9BD4"/>
              <w:left w:val="single" w:sz="5" w:space="0" w:color="5B9BD4"/>
              <w:bottom w:val="single" w:sz="5" w:space="0" w:color="5B9BD4"/>
              <w:right w:val="nil"/>
            </w:tcBorders>
          </w:tcPr>
          <w:p w:rsidR="001831A5" w:rsidRDefault="001831A5">
            <w:pPr>
              <w:spacing w:after="160" w:line="259" w:lineRule="auto"/>
              <w:ind w:left="0" w:firstLine="0"/>
            </w:pPr>
          </w:p>
        </w:tc>
        <w:tc>
          <w:tcPr>
            <w:tcW w:w="994" w:type="dxa"/>
            <w:tcBorders>
              <w:top w:val="double" w:sz="5" w:space="0" w:color="5B9BD4"/>
              <w:left w:val="nil"/>
              <w:bottom w:val="single" w:sz="5" w:space="0" w:color="5B9BD4"/>
              <w:right w:val="nil"/>
            </w:tcBorders>
          </w:tcPr>
          <w:p w:rsidR="001831A5" w:rsidRDefault="001105D6">
            <w:pPr>
              <w:spacing w:after="0" w:line="259" w:lineRule="auto"/>
              <w:ind w:left="336" w:firstLine="0"/>
            </w:pPr>
            <w:r>
              <w:t xml:space="preserve">15-19 </w:t>
            </w:r>
          </w:p>
        </w:tc>
        <w:tc>
          <w:tcPr>
            <w:tcW w:w="777" w:type="dxa"/>
            <w:tcBorders>
              <w:top w:val="double" w:sz="5" w:space="0" w:color="5B9BD4"/>
              <w:left w:val="nil"/>
              <w:bottom w:val="single" w:sz="5" w:space="0" w:color="5B9BD4"/>
              <w:right w:val="double" w:sz="5" w:space="0" w:color="5B9BD4"/>
            </w:tcBorders>
          </w:tcPr>
          <w:p w:rsidR="001831A5" w:rsidRDefault="001105D6">
            <w:pPr>
              <w:spacing w:after="0" w:line="259" w:lineRule="auto"/>
              <w:ind w:left="0" w:right="1" w:firstLine="0"/>
              <w:jc w:val="right"/>
            </w:pPr>
            <w:r>
              <w:t xml:space="preserve"> </w:t>
            </w:r>
          </w:p>
        </w:tc>
        <w:tc>
          <w:tcPr>
            <w:tcW w:w="922" w:type="dxa"/>
            <w:tcBorders>
              <w:top w:val="double" w:sz="5" w:space="0" w:color="5B9BD4"/>
              <w:left w:val="double" w:sz="5" w:space="0" w:color="5B9BD4"/>
              <w:bottom w:val="single" w:sz="5" w:space="0" w:color="5B9BD4"/>
              <w:right w:val="nil"/>
            </w:tcBorders>
          </w:tcPr>
          <w:p w:rsidR="001831A5" w:rsidRDefault="001105D6">
            <w:pPr>
              <w:spacing w:after="0" w:line="259" w:lineRule="auto"/>
              <w:ind w:left="0" w:firstLine="0"/>
            </w:pPr>
            <w:r>
              <w:t xml:space="preserve"> </w:t>
            </w:r>
          </w:p>
        </w:tc>
        <w:tc>
          <w:tcPr>
            <w:tcW w:w="994" w:type="dxa"/>
            <w:tcBorders>
              <w:top w:val="double" w:sz="5" w:space="0" w:color="5B9BD4"/>
              <w:left w:val="nil"/>
              <w:bottom w:val="single" w:sz="5" w:space="0" w:color="5B9BD4"/>
              <w:right w:val="nil"/>
            </w:tcBorders>
          </w:tcPr>
          <w:p w:rsidR="001831A5" w:rsidRDefault="001105D6">
            <w:pPr>
              <w:spacing w:after="0" w:line="259" w:lineRule="auto"/>
              <w:ind w:left="348" w:firstLine="0"/>
            </w:pPr>
            <w:r>
              <w:t xml:space="preserve">20-24 </w:t>
            </w:r>
          </w:p>
        </w:tc>
        <w:tc>
          <w:tcPr>
            <w:tcW w:w="920" w:type="dxa"/>
            <w:tcBorders>
              <w:top w:val="double" w:sz="5" w:space="0" w:color="5B9BD4"/>
              <w:left w:val="nil"/>
              <w:bottom w:val="single" w:sz="5" w:space="0" w:color="5B9BD4"/>
              <w:right w:val="double" w:sz="5" w:space="0" w:color="5B9BD4"/>
            </w:tcBorders>
          </w:tcPr>
          <w:p w:rsidR="001831A5" w:rsidRDefault="001105D6">
            <w:pPr>
              <w:spacing w:after="0" w:line="259" w:lineRule="auto"/>
              <w:ind w:left="0" w:firstLine="0"/>
              <w:jc w:val="right"/>
            </w:pPr>
            <w:r>
              <w:t xml:space="preserve"> </w:t>
            </w:r>
          </w:p>
        </w:tc>
        <w:tc>
          <w:tcPr>
            <w:tcW w:w="921" w:type="dxa"/>
            <w:tcBorders>
              <w:top w:val="double" w:sz="5" w:space="0" w:color="5B9BD4"/>
              <w:left w:val="double" w:sz="5" w:space="0" w:color="5B9BD4"/>
              <w:bottom w:val="single" w:sz="5" w:space="0" w:color="5B9BD4"/>
              <w:right w:val="nil"/>
            </w:tcBorders>
          </w:tcPr>
          <w:p w:rsidR="001831A5" w:rsidRDefault="001105D6">
            <w:pPr>
              <w:spacing w:after="0" w:line="259" w:lineRule="auto"/>
              <w:ind w:left="1" w:firstLine="0"/>
            </w:pPr>
            <w:r>
              <w:t xml:space="preserve"> </w:t>
            </w:r>
          </w:p>
        </w:tc>
        <w:tc>
          <w:tcPr>
            <w:tcW w:w="996" w:type="dxa"/>
            <w:tcBorders>
              <w:top w:val="double" w:sz="5" w:space="0" w:color="5B9BD4"/>
              <w:left w:val="nil"/>
              <w:bottom w:val="single" w:sz="5" w:space="0" w:color="5B9BD4"/>
              <w:right w:val="nil"/>
            </w:tcBorders>
          </w:tcPr>
          <w:p w:rsidR="001831A5" w:rsidRDefault="001105D6">
            <w:pPr>
              <w:spacing w:after="0" w:line="259" w:lineRule="auto"/>
              <w:ind w:left="369" w:firstLine="0"/>
            </w:pPr>
            <w:r>
              <w:t xml:space="preserve">15-24 </w:t>
            </w:r>
          </w:p>
        </w:tc>
        <w:tc>
          <w:tcPr>
            <w:tcW w:w="848" w:type="dxa"/>
            <w:tcBorders>
              <w:top w:val="double" w:sz="5" w:space="0" w:color="5B9BD4"/>
              <w:left w:val="nil"/>
              <w:bottom w:val="single" w:sz="5" w:space="0" w:color="5B9BD4"/>
              <w:right w:val="single" w:sz="5" w:space="0" w:color="5B9BD4"/>
            </w:tcBorders>
          </w:tcPr>
          <w:p w:rsidR="001831A5" w:rsidRDefault="001831A5">
            <w:pPr>
              <w:spacing w:after="160" w:line="259" w:lineRule="auto"/>
              <w:ind w:left="0" w:firstLine="0"/>
            </w:pPr>
          </w:p>
        </w:tc>
      </w:tr>
      <w:tr w:rsidR="001831A5">
        <w:trPr>
          <w:trHeight w:val="378"/>
        </w:trPr>
        <w:tc>
          <w:tcPr>
            <w:tcW w:w="612" w:type="dxa"/>
            <w:vMerge w:val="restart"/>
            <w:tcBorders>
              <w:top w:val="single" w:sz="5" w:space="0" w:color="5B9BD4"/>
              <w:left w:val="single" w:sz="5" w:space="0" w:color="5B9BD4"/>
              <w:bottom w:val="single" w:sz="5" w:space="0" w:color="5B9BD4"/>
              <w:right w:val="single" w:sz="5" w:space="0" w:color="5B9BD4"/>
            </w:tcBorders>
            <w:vAlign w:val="center"/>
          </w:tcPr>
          <w:p w:rsidR="001831A5" w:rsidRDefault="001105D6">
            <w:pPr>
              <w:spacing w:after="0" w:line="259" w:lineRule="auto"/>
              <w:ind w:left="100" w:firstLine="0"/>
            </w:pPr>
            <w:r>
              <w:t xml:space="preserve">2006 </w:t>
            </w:r>
          </w:p>
        </w:tc>
        <w:tc>
          <w:tcPr>
            <w:tcW w:w="708"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48" w:firstLine="0"/>
            </w:pPr>
            <w:r>
              <w:t xml:space="preserve">Males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0" w:right="99" w:firstLine="0"/>
              <w:jc w:val="right"/>
            </w:pPr>
            <w:r>
              <w:t xml:space="preserve">Females </w:t>
            </w:r>
          </w:p>
        </w:tc>
        <w:tc>
          <w:tcPr>
            <w:tcW w:w="777"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0" w:right="1" w:firstLine="0"/>
              <w:jc w:val="right"/>
            </w:pPr>
            <w:r>
              <w:t xml:space="preserve"> </w:t>
            </w:r>
          </w:p>
          <w:p w:rsidR="001831A5" w:rsidRDefault="001105D6">
            <w:pPr>
              <w:spacing w:after="0" w:line="259" w:lineRule="auto"/>
              <w:ind w:left="9" w:firstLine="0"/>
              <w:jc w:val="center"/>
            </w:pPr>
            <w:r>
              <w:rPr>
                <w:b/>
              </w:rPr>
              <w:t>Total</w:t>
            </w:r>
            <w:r>
              <w:t xml:space="preserve"> </w:t>
            </w:r>
          </w:p>
        </w:tc>
        <w:tc>
          <w:tcPr>
            <w:tcW w:w="922"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55" w:firstLine="0"/>
              <w:jc w:val="center"/>
            </w:pPr>
            <w:r>
              <w:t xml:space="preserve">Males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0" w:right="97" w:firstLine="0"/>
              <w:jc w:val="right"/>
            </w:pPr>
            <w:r>
              <w:t xml:space="preserve">Females </w:t>
            </w:r>
          </w:p>
        </w:tc>
        <w:tc>
          <w:tcPr>
            <w:tcW w:w="920"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0" w:firstLine="0"/>
              <w:jc w:val="right"/>
            </w:pPr>
            <w:r>
              <w:t xml:space="preserve"> </w:t>
            </w:r>
          </w:p>
          <w:p w:rsidR="001831A5" w:rsidRDefault="001105D6">
            <w:pPr>
              <w:spacing w:after="0" w:line="259" w:lineRule="auto"/>
              <w:ind w:left="0" w:right="86" w:firstLine="0"/>
              <w:jc w:val="center"/>
            </w:pPr>
            <w:r>
              <w:rPr>
                <w:b/>
              </w:rPr>
              <w:t>Total</w:t>
            </w:r>
            <w:r>
              <w:t xml:space="preserve"> </w:t>
            </w:r>
          </w:p>
        </w:tc>
        <w:tc>
          <w:tcPr>
            <w:tcW w:w="921"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44" w:firstLine="0"/>
              <w:jc w:val="center"/>
            </w:pPr>
            <w:r>
              <w:t xml:space="preserve">Males </w:t>
            </w:r>
          </w:p>
        </w:tc>
        <w:tc>
          <w:tcPr>
            <w:tcW w:w="996"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0" w:right="98" w:firstLine="0"/>
              <w:jc w:val="right"/>
            </w:pPr>
            <w:r>
              <w:t xml:space="preserve">Females </w:t>
            </w:r>
          </w:p>
        </w:tc>
        <w:tc>
          <w:tcPr>
            <w:tcW w:w="848" w:type="dxa"/>
            <w:tcBorders>
              <w:top w:val="single" w:sz="5" w:space="0" w:color="5B9BD4"/>
              <w:left w:val="single" w:sz="5" w:space="0" w:color="5B9BD4"/>
              <w:bottom w:val="single" w:sz="5" w:space="0" w:color="5B9BD4"/>
              <w:right w:val="single" w:sz="5" w:space="0" w:color="5B9BD4"/>
            </w:tcBorders>
            <w:shd w:val="clear" w:color="auto" w:fill="D9D9D9"/>
            <w:vAlign w:val="bottom"/>
          </w:tcPr>
          <w:p w:rsidR="001831A5" w:rsidRDefault="001105D6">
            <w:pPr>
              <w:spacing w:after="0" w:line="259" w:lineRule="auto"/>
              <w:ind w:left="60" w:firstLine="0"/>
              <w:jc w:val="center"/>
            </w:pPr>
            <w:r>
              <w:rPr>
                <w:b/>
              </w:rPr>
              <w:t>Total</w:t>
            </w:r>
            <w:r>
              <w:t xml:space="preserve"> </w:t>
            </w:r>
          </w:p>
        </w:tc>
      </w:tr>
      <w:tr w:rsidR="001831A5">
        <w:trPr>
          <w:trHeight w:val="462"/>
        </w:trPr>
        <w:tc>
          <w:tcPr>
            <w:tcW w:w="0" w:type="auto"/>
            <w:vMerge/>
            <w:tcBorders>
              <w:top w:val="nil"/>
              <w:left w:val="single" w:sz="5" w:space="0" w:color="5B9BD4"/>
              <w:bottom w:val="nil"/>
              <w:right w:val="single" w:sz="5" w:space="0" w:color="5B9BD4"/>
            </w:tcBorders>
          </w:tcPr>
          <w:p w:rsidR="001831A5" w:rsidRDefault="001831A5">
            <w:pPr>
              <w:spacing w:after="160" w:line="259" w:lineRule="auto"/>
              <w:ind w:left="0" w:firstLine="0"/>
            </w:pPr>
          </w:p>
        </w:tc>
        <w:tc>
          <w:tcPr>
            <w:tcW w:w="708" w:type="dxa"/>
            <w:tcBorders>
              <w:top w:val="single" w:sz="5" w:space="0" w:color="5B9BD4"/>
              <w:left w:val="single" w:sz="5" w:space="0" w:color="5B9BD4"/>
              <w:bottom w:val="single" w:sz="5" w:space="0" w:color="5B9BD4"/>
              <w:right w:val="single" w:sz="5" w:space="0" w:color="5B9BD4"/>
            </w:tcBorders>
          </w:tcPr>
          <w:p w:rsidR="001831A5" w:rsidRDefault="001105D6">
            <w:pPr>
              <w:spacing w:after="28" w:line="259" w:lineRule="auto"/>
              <w:ind w:left="4" w:firstLine="0"/>
            </w:pPr>
            <w:r>
              <w:rPr>
                <w:b/>
                <w:sz w:val="16"/>
              </w:rPr>
              <w:t xml:space="preserve"> </w:t>
            </w:r>
          </w:p>
          <w:p w:rsidR="001831A5" w:rsidRDefault="001105D6">
            <w:pPr>
              <w:spacing w:after="0" w:line="259" w:lineRule="auto"/>
              <w:ind w:left="88" w:firstLine="0"/>
              <w:jc w:val="center"/>
            </w:pPr>
            <w:r>
              <w:t xml:space="preserve">156 </w:t>
            </w:r>
          </w:p>
        </w:tc>
        <w:tc>
          <w:tcPr>
            <w:tcW w:w="994" w:type="dxa"/>
            <w:tcBorders>
              <w:top w:val="single" w:sz="5" w:space="0" w:color="5B9BD4"/>
              <w:left w:val="single" w:sz="5" w:space="0" w:color="5B9BD4"/>
              <w:bottom w:val="single" w:sz="5" w:space="0" w:color="5B9BD4"/>
              <w:right w:val="single" w:sz="5" w:space="0" w:color="5B9BD4"/>
            </w:tcBorders>
          </w:tcPr>
          <w:p w:rsidR="001831A5" w:rsidRDefault="001105D6">
            <w:pPr>
              <w:spacing w:after="28" w:line="259" w:lineRule="auto"/>
              <w:ind w:left="7" w:firstLine="0"/>
            </w:pPr>
            <w:r>
              <w:rPr>
                <w:b/>
                <w:sz w:val="16"/>
              </w:rPr>
              <w:t xml:space="preserve"> </w:t>
            </w:r>
          </w:p>
          <w:p w:rsidR="001831A5" w:rsidRDefault="001105D6">
            <w:pPr>
              <w:spacing w:after="0" w:line="259" w:lineRule="auto"/>
              <w:ind w:left="8" w:firstLine="0"/>
              <w:jc w:val="center"/>
            </w:pPr>
            <w:r>
              <w:t xml:space="preserve">160 </w:t>
            </w:r>
          </w:p>
        </w:tc>
        <w:tc>
          <w:tcPr>
            <w:tcW w:w="777"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105D6">
            <w:pPr>
              <w:spacing w:after="0" w:line="259" w:lineRule="auto"/>
              <w:ind w:left="4" w:firstLine="0"/>
              <w:jc w:val="both"/>
            </w:pPr>
            <w:r>
              <w:rPr>
                <w:b/>
                <w:sz w:val="16"/>
              </w:rPr>
              <w:t xml:space="preserve"> </w:t>
            </w:r>
            <w:r>
              <w:t xml:space="preserve"> </w:t>
            </w:r>
          </w:p>
          <w:p w:rsidR="001831A5" w:rsidRDefault="001105D6">
            <w:pPr>
              <w:spacing w:after="0" w:line="259" w:lineRule="auto"/>
              <w:ind w:left="9" w:firstLine="0"/>
              <w:jc w:val="center"/>
            </w:pPr>
            <w:r>
              <w:t xml:space="preserve">316 </w:t>
            </w:r>
          </w:p>
        </w:tc>
        <w:tc>
          <w:tcPr>
            <w:tcW w:w="922" w:type="dxa"/>
            <w:tcBorders>
              <w:top w:val="single" w:sz="5" w:space="0" w:color="5B9BD4"/>
              <w:left w:val="double" w:sz="5" w:space="0" w:color="5B9BD4"/>
              <w:bottom w:val="single" w:sz="5" w:space="0" w:color="5B9BD4"/>
              <w:right w:val="single" w:sz="5" w:space="0" w:color="5B9BD4"/>
            </w:tcBorders>
          </w:tcPr>
          <w:p w:rsidR="001831A5" w:rsidRDefault="001105D6">
            <w:pPr>
              <w:spacing w:after="28" w:line="259" w:lineRule="auto"/>
              <w:ind w:left="77" w:firstLine="0"/>
            </w:pPr>
            <w:r>
              <w:rPr>
                <w:b/>
                <w:sz w:val="16"/>
              </w:rPr>
              <w:t xml:space="preserve"> </w:t>
            </w:r>
          </w:p>
          <w:p w:rsidR="001831A5" w:rsidRDefault="001105D6">
            <w:pPr>
              <w:spacing w:after="0" w:line="259" w:lineRule="auto"/>
              <w:ind w:left="57" w:firstLine="0"/>
              <w:jc w:val="center"/>
            </w:pPr>
            <w:r>
              <w:t xml:space="preserve">203 </w:t>
            </w:r>
          </w:p>
        </w:tc>
        <w:tc>
          <w:tcPr>
            <w:tcW w:w="994" w:type="dxa"/>
            <w:tcBorders>
              <w:top w:val="single" w:sz="5" w:space="0" w:color="5B9BD4"/>
              <w:left w:val="single" w:sz="5" w:space="0" w:color="5B9BD4"/>
              <w:bottom w:val="single" w:sz="5" w:space="0" w:color="5B9BD4"/>
              <w:right w:val="single" w:sz="5" w:space="0" w:color="5B9BD4"/>
            </w:tcBorders>
          </w:tcPr>
          <w:p w:rsidR="001831A5" w:rsidRDefault="001105D6">
            <w:pPr>
              <w:spacing w:after="28" w:line="259" w:lineRule="auto"/>
              <w:ind w:left="7" w:firstLine="0"/>
            </w:pPr>
            <w:r>
              <w:rPr>
                <w:b/>
                <w:sz w:val="16"/>
              </w:rPr>
              <w:t xml:space="preserve"> </w:t>
            </w:r>
          </w:p>
          <w:p w:rsidR="001831A5" w:rsidRDefault="001105D6">
            <w:pPr>
              <w:spacing w:after="0" w:line="259" w:lineRule="auto"/>
              <w:ind w:left="13" w:firstLine="0"/>
              <w:jc w:val="center"/>
            </w:pPr>
            <w:r>
              <w:t xml:space="preserve">303 </w:t>
            </w:r>
          </w:p>
        </w:tc>
        <w:tc>
          <w:tcPr>
            <w:tcW w:w="920" w:type="dxa"/>
            <w:tcBorders>
              <w:top w:val="single" w:sz="5" w:space="0" w:color="5B9BD4"/>
              <w:left w:val="single" w:sz="5" w:space="0" w:color="5B9BD4"/>
              <w:bottom w:val="single" w:sz="5" w:space="0" w:color="5B9BD4"/>
              <w:right w:val="double" w:sz="5" w:space="0" w:color="5B9BD4"/>
            </w:tcBorders>
            <w:shd w:val="clear" w:color="auto" w:fill="D9D9D9"/>
          </w:tcPr>
          <w:p w:rsidR="001831A5" w:rsidRDefault="001831A5">
            <w:pPr>
              <w:spacing w:after="0" w:line="259" w:lineRule="auto"/>
              <w:ind w:left="4" w:firstLine="0"/>
              <w:jc w:val="both"/>
            </w:pPr>
          </w:p>
          <w:p w:rsidR="001831A5" w:rsidRDefault="001105D6">
            <w:pPr>
              <w:spacing w:after="0" w:line="259" w:lineRule="auto"/>
              <w:ind w:left="0" w:right="86" w:firstLine="0"/>
              <w:jc w:val="center"/>
            </w:pPr>
            <w:r>
              <w:t xml:space="preserve">506 </w:t>
            </w:r>
          </w:p>
        </w:tc>
        <w:tc>
          <w:tcPr>
            <w:tcW w:w="921" w:type="dxa"/>
            <w:tcBorders>
              <w:top w:val="single" w:sz="5" w:space="0" w:color="5B9BD4"/>
              <w:left w:val="double" w:sz="5" w:space="0" w:color="5B9BD4"/>
              <w:bottom w:val="single" w:sz="5" w:space="0" w:color="5B9BD4"/>
              <w:right w:val="single" w:sz="5" w:space="0" w:color="5B9BD4"/>
            </w:tcBorders>
          </w:tcPr>
          <w:p w:rsidR="001831A5" w:rsidRDefault="001105D6">
            <w:pPr>
              <w:spacing w:after="28" w:line="259" w:lineRule="auto"/>
              <w:ind w:left="76" w:firstLine="0"/>
            </w:pPr>
            <w:r>
              <w:rPr>
                <w:b/>
                <w:sz w:val="16"/>
              </w:rPr>
              <w:t xml:space="preserve"> </w:t>
            </w:r>
          </w:p>
          <w:p w:rsidR="001831A5" w:rsidRDefault="001105D6">
            <w:pPr>
              <w:spacing w:after="0" w:line="259" w:lineRule="auto"/>
              <w:ind w:left="41" w:firstLine="0"/>
              <w:jc w:val="center"/>
            </w:pPr>
            <w:r>
              <w:t xml:space="preserve">359 </w:t>
            </w:r>
          </w:p>
        </w:tc>
        <w:tc>
          <w:tcPr>
            <w:tcW w:w="996" w:type="dxa"/>
            <w:tcBorders>
              <w:top w:val="single" w:sz="5" w:space="0" w:color="5B9BD4"/>
              <w:left w:val="single" w:sz="5" w:space="0" w:color="5B9BD4"/>
              <w:bottom w:val="single" w:sz="5" w:space="0" w:color="5B9BD4"/>
              <w:right w:val="single" w:sz="5" w:space="0" w:color="5B9BD4"/>
            </w:tcBorders>
          </w:tcPr>
          <w:p w:rsidR="001831A5" w:rsidRDefault="001105D6">
            <w:pPr>
              <w:spacing w:after="28" w:line="259" w:lineRule="auto"/>
              <w:ind w:left="7" w:firstLine="0"/>
            </w:pPr>
            <w:r>
              <w:rPr>
                <w:b/>
                <w:sz w:val="16"/>
              </w:rPr>
              <w:t xml:space="preserve"> </w:t>
            </w:r>
          </w:p>
          <w:p w:rsidR="001831A5" w:rsidRDefault="001105D6">
            <w:pPr>
              <w:spacing w:after="0" w:line="259" w:lineRule="auto"/>
              <w:ind w:left="11" w:firstLine="0"/>
              <w:jc w:val="center"/>
            </w:pPr>
            <w:r>
              <w:t xml:space="preserve">463 </w:t>
            </w:r>
          </w:p>
        </w:tc>
        <w:tc>
          <w:tcPr>
            <w:tcW w:w="848" w:type="dxa"/>
            <w:tcBorders>
              <w:top w:val="single" w:sz="5" w:space="0" w:color="5B9BD4"/>
              <w:left w:val="single" w:sz="5" w:space="0" w:color="5B9BD4"/>
              <w:bottom w:val="single" w:sz="5" w:space="0" w:color="5B9BD4"/>
              <w:right w:val="single" w:sz="5" w:space="0" w:color="5B9BD4"/>
            </w:tcBorders>
            <w:shd w:val="clear" w:color="auto" w:fill="D9D9D9"/>
          </w:tcPr>
          <w:p w:rsidR="001831A5" w:rsidRDefault="001105D6">
            <w:pPr>
              <w:spacing w:after="28" w:line="259" w:lineRule="auto"/>
              <w:ind w:left="3" w:firstLine="0"/>
            </w:pPr>
            <w:r>
              <w:rPr>
                <w:b/>
                <w:sz w:val="16"/>
              </w:rPr>
              <w:t xml:space="preserve"> </w:t>
            </w:r>
          </w:p>
          <w:p w:rsidR="001831A5" w:rsidRDefault="001105D6">
            <w:pPr>
              <w:spacing w:after="0" w:line="259" w:lineRule="auto"/>
              <w:ind w:left="60" w:firstLine="0"/>
              <w:jc w:val="center"/>
            </w:pPr>
            <w:r>
              <w:t xml:space="preserve">822 </w:t>
            </w:r>
          </w:p>
        </w:tc>
      </w:tr>
      <w:tr w:rsidR="001831A5">
        <w:trPr>
          <w:trHeight w:val="364"/>
        </w:trPr>
        <w:tc>
          <w:tcPr>
            <w:tcW w:w="0" w:type="auto"/>
            <w:vMerge/>
            <w:tcBorders>
              <w:top w:val="nil"/>
              <w:left w:val="single" w:sz="5" w:space="0" w:color="5B9BD4"/>
              <w:bottom w:val="single" w:sz="5" w:space="0" w:color="5B9BD4"/>
              <w:right w:val="single" w:sz="5" w:space="0" w:color="5B9BD4"/>
            </w:tcBorders>
          </w:tcPr>
          <w:p w:rsidR="001831A5" w:rsidRDefault="001831A5">
            <w:pPr>
              <w:spacing w:after="160" w:line="259" w:lineRule="auto"/>
              <w:ind w:left="0" w:firstLine="0"/>
            </w:pPr>
          </w:p>
        </w:tc>
        <w:tc>
          <w:tcPr>
            <w:tcW w:w="708"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0" w:right="101" w:firstLine="0"/>
              <w:jc w:val="right"/>
            </w:pPr>
            <w:r>
              <w:t xml:space="preserve">8.5%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10" w:firstLine="0"/>
              <w:jc w:val="center"/>
            </w:pPr>
            <w:r>
              <w:t xml:space="preserve">9.0% </w:t>
            </w:r>
          </w:p>
        </w:tc>
        <w:tc>
          <w:tcPr>
            <w:tcW w:w="777" w:type="dxa"/>
            <w:tcBorders>
              <w:top w:val="single" w:sz="5" w:space="0" w:color="5B9BD4"/>
              <w:left w:val="single" w:sz="5" w:space="0" w:color="5B9BD4"/>
              <w:bottom w:val="single" w:sz="5" w:space="0" w:color="5B9BD4"/>
              <w:right w:val="double" w:sz="5" w:space="0" w:color="5B9BD4"/>
            </w:tcBorders>
          </w:tcPr>
          <w:p w:rsidR="001831A5" w:rsidRDefault="001105D6">
            <w:pPr>
              <w:spacing w:after="0" w:line="259" w:lineRule="auto"/>
              <w:ind w:left="0" w:right="1" w:firstLine="0"/>
              <w:jc w:val="right"/>
            </w:pPr>
            <w:r>
              <w:t xml:space="preserve"> </w:t>
            </w:r>
          </w:p>
          <w:p w:rsidR="001831A5" w:rsidRDefault="001105D6">
            <w:pPr>
              <w:spacing w:after="0" w:line="259" w:lineRule="auto"/>
              <w:ind w:firstLine="0"/>
              <w:jc w:val="center"/>
            </w:pPr>
            <w:r>
              <w:t xml:space="preserve">8.8% </w:t>
            </w:r>
          </w:p>
        </w:tc>
        <w:tc>
          <w:tcPr>
            <w:tcW w:w="922" w:type="dxa"/>
            <w:tcBorders>
              <w:top w:val="single" w:sz="5" w:space="0" w:color="5B9BD4"/>
              <w:left w:val="double" w:sz="5" w:space="0" w:color="5B9BD4"/>
              <w:bottom w:val="single" w:sz="5" w:space="0" w:color="5B9BD4"/>
              <w:right w:val="single" w:sz="5" w:space="0" w:color="5B9BD4"/>
            </w:tcBorders>
            <w:vAlign w:val="bottom"/>
          </w:tcPr>
          <w:p w:rsidR="001831A5" w:rsidRDefault="001105D6">
            <w:pPr>
              <w:spacing w:after="0" w:line="259" w:lineRule="auto"/>
              <w:ind w:left="58" w:firstLine="0"/>
              <w:jc w:val="center"/>
            </w:pPr>
            <w:r>
              <w:t xml:space="preserve">15.7% </w:t>
            </w:r>
          </w:p>
        </w:tc>
        <w:tc>
          <w:tcPr>
            <w:tcW w:w="994" w:type="dxa"/>
            <w:tcBorders>
              <w:top w:val="single" w:sz="5" w:space="0" w:color="5B9BD4"/>
              <w:left w:val="single" w:sz="5" w:space="0" w:color="5B9BD4"/>
              <w:bottom w:val="single" w:sz="5" w:space="0" w:color="5B9BD4"/>
              <w:right w:val="single" w:sz="5" w:space="0" w:color="5B9BD4"/>
            </w:tcBorders>
            <w:vAlign w:val="bottom"/>
          </w:tcPr>
          <w:p w:rsidR="001831A5" w:rsidRDefault="001105D6">
            <w:pPr>
              <w:spacing w:after="0" w:line="259" w:lineRule="auto"/>
              <w:ind w:left="114" w:firstLine="0"/>
              <w:jc w:val="center"/>
            </w:pPr>
            <w:r>
              <w:t xml:space="preserve">22.0% </w:t>
            </w:r>
          </w:p>
        </w:tc>
        <w:tc>
          <w:tcPr>
            <w:tcW w:w="920" w:type="dxa"/>
            <w:tcBorders>
              <w:top w:val="single" w:sz="5" w:space="0" w:color="5B9BD4"/>
              <w:left w:val="single" w:sz="5" w:space="0" w:color="5B9BD4"/>
              <w:bottom w:val="single" w:sz="5" w:space="0" w:color="5B9BD4"/>
              <w:right w:val="double" w:sz="5" w:space="0" w:color="5B9BD4"/>
            </w:tcBorders>
          </w:tcPr>
          <w:p w:rsidR="001831A5" w:rsidRDefault="001105D6">
            <w:pPr>
              <w:spacing w:after="0" w:line="259" w:lineRule="auto"/>
              <w:ind w:left="0" w:firstLine="0"/>
              <w:jc w:val="right"/>
            </w:pPr>
            <w:r>
              <w:t xml:space="preserve"> </w:t>
            </w:r>
          </w:p>
          <w:p w:rsidR="001831A5" w:rsidRDefault="001105D6">
            <w:pPr>
              <w:spacing w:after="0" w:line="259" w:lineRule="auto"/>
              <w:ind w:left="160" w:firstLine="0"/>
            </w:pPr>
            <w:r>
              <w:t xml:space="preserve">19.0% </w:t>
            </w:r>
          </w:p>
        </w:tc>
        <w:tc>
          <w:tcPr>
            <w:tcW w:w="921" w:type="dxa"/>
            <w:tcBorders>
              <w:top w:val="single" w:sz="5" w:space="0" w:color="5B9BD4"/>
              <w:left w:val="double" w:sz="5" w:space="0" w:color="5B9BD4"/>
              <w:bottom w:val="single" w:sz="5" w:space="0" w:color="5B9BD4"/>
              <w:right w:val="single" w:sz="5" w:space="0" w:color="5B9BD4"/>
            </w:tcBorders>
          </w:tcPr>
          <w:p w:rsidR="001831A5" w:rsidRDefault="001105D6">
            <w:pPr>
              <w:spacing w:after="0" w:line="259" w:lineRule="auto"/>
              <w:ind w:left="76" w:firstLine="0"/>
            </w:pPr>
            <w:r>
              <w:t xml:space="preserve"> </w:t>
            </w:r>
          </w:p>
        </w:tc>
        <w:tc>
          <w:tcPr>
            <w:tcW w:w="996" w:type="dxa"/>
            <w:tcBorders>
              <w:top w:val="single" w:sz="5" w:space="0" w:color="5B9BD4"/>
              <w:left w:val="single" w:sz="5" w:space="0" w:color="5B9BD4"/>
              <w:bottom w:val="single" w:sz="5" w:space="0" w:color="5B9BD4"/>
              <w:right w:val="single" w:sz="5" w:space="0" w:color="5B9BD4"/>
            </w:tcBorders>
          </w:tcPr>
          <w:p w:rsidR="001831A5" w:rsidRDefault="001105D6">
            <w:pPr>
              <w:spacing w:after="0" w:line="259" w:lineRule="auto"/>
              <w:ind w:left="7" w:firstLine="0"/>
            </w:pPr>
            <w:r>
              <w:t xml:space="preserve"> </w:t>
            </w:r>
          </w:p>
        </w:tc>
        <w:tc>
          <w:tcPr>
            <w:tcW w:w="848" w:type="dxa"/>
            <w:tcBorders>
              <w:top w:val="single" w:sz="5" w:space="0" w:color="5B9BD4"/>
              <w:left w:val="single" w:sz="5" w:space="0" w:color="5B9BD4"/>
              <w:bottom w:val="single" w:sz="5" w:space="0" w:color="5B9BD4"/>
              <w:right w:val="single" w:sz="5" w:space="0" w:color="5B9BD4"/>
            </w:tcBorders>
          </w:tcPr>
          <w:p w:rsidR="001831A5" w:rsidRDefault="001105D6">
            <w:pPr>
              <w:spacing w:after="0" w:line="259" w:lineRule="auto"/>
              <w:ind w:left="3" w:firstLine="0"/>
            </w:pPr>
            <w:r>
              <w:t xml:space="preserve"> </w:t>
            </w:r>
          </w:p>
        </w:tc>
      </w:tr>
    </w:tbl>
    <w:p w:rsidR="001831A5" w:rsidRDefault="001105D6">
      <w:pPr>
        <w:spacing w:after="206"/>
        <w:ind w:left="730"/>
      </w:pPr>
      <w:r>
        <w:t xml:space="preserve">Source:  ABS Census data 2006, 2011 </w:t>
      </w:r>
    </w:p>
    <w:p w:rsidR="001831A5" w:rsidRDefault="001105D6" w:rsidP="006B330F">
      <w:pPr>
        <w:pStyle w:val="Heading2"/>
        <w:spacing w:after="240"/>
      </w:pPr>
      <w:r>
        <w:t xml:space="preserve">FLO in Schools and FLO Connect </w:t>
      </w:r>
    </w:p>
    <w:p w:rsidR="001831A5" w:rsidRDefault="001105D6" w:rsidP="006B330F">
      <w:pPr>
        <w:spacing w:after="240" w:line="259" w:lineRule="auto"/>
        <w:ind w:left="0" w:firstLine="0"/>
      </w:pPr>
      <w:r>
        <w:t xml:space="preserve"> An opportunity to begin to address this issue arose through Youth Partnerships – a Victorian Government initiative to design and test new ways for the education, youth and family support, justice, homelessness and mental health sectors to work more collaboratively in supporting young people experiencing problems.  The key goal of Youth Partnerships (YP) was to improve engagement in education and training and to reduce the escalation of social, individual and behavioural problems for vulnerable young people. </w:t>
      </w:r>
    </w:p>
    <w:p w:rsidR="001831A5" w:rsidRDefault="001105D6">
      <w:pPr>
        <w:spacing w:after="184"/>
        <w:ind w:left="-5"/>
      </w:pPr>
      <w:r>
        <w:t xml:space="preserve">The YP pilot program for the Northern Mallee involved a partnership including the Department of Education and Early Childhood Development (DEECD), Mildura Rural City Council, NMLLEN and local secondary schools to develop and support Flexible Learning Options in School Programs for students at risk of disengaging. </w:t>
      </w:r>
    </w:p>
    <w:p w:rsidR="001831A5" w:rsidRDefault="001105D6">
      <w:pPr>
        <w:spacing w:after="186"/>
        <w:ind w:left="-5"/>
      </w:pPr>
      <w:r>
        <w:t>Flexible Learning Options in schools (FLOiS) Programs were established in six local secondary schools as part of the Youth Partnerships Northern Mallee Project set up in 2012.</w:t>
      </w:r>
    </w:p>
    <w:p w:rsidR="001831A5" w:rsidRDefault="001105D6">
      <w:pPr>
        <w:spacing w:after="167"/>
        <w:ind w:left="-5"/>
      </w:pPr>
      <w:r>
        <w:t xml:space="preserve">The schools involved were:  </w:t>
      </w:r>
    </w:p>
    <w:p w:rsidR="001831A5" w:rsidRDefault="001105D6">
      <w:pPr>
        <w:ind w:left="576" w:right="5625"/>
      </w:pPr>
      <w:r>
        <w:t xml:space="preserve">Chaffey Secondary College Irymple secondary College Merbein P-10 College </w:t>
      </w:r>
    </w:p>
    <w:p w:rsidR="001831A5" w:rsidRDefault="001105D6">
      <w:pPr>
        <w:ind w:left="576"/>
      </w:pPr>
      <w:r>
        <w:t xml:space="preserve">Mildura Senior College  </w:t>
      </w:r>
    </w:p>
    <w:p w:rsidR="001831A5" w:rsidRDefault="001105D6">
      <w:pPr>
        <w:ind w:left="576"/>
      </w:pPr>
      <w:r>
        <w:t xml:space="preserve">Red Cliffs Secondary College </w:t>
      </w:r>
    </w:p>
    <w:p w:rsidR="001831A5" w:rsidRDefault="001105D6" w:rsidP="006B330F">
      <w:pPr>
        <w:spacing w:after="240"/>
        <w:ind w:left="576"/>
      </w:pPr>
      <w:r>
        <w:t>Robinvale College</w:t>
      </w:r>
    </w:p>
    <w:p w:rsidR="001831A5" w:rsidRDefault="001105D6" w:rsidP="006B330F">
      <w:pPr>
        <w:spacing w:after="240" w:line="259" w:lineRule="auto"/>
        <w:ind w:left="0" w:firstLine="0"/>
      </w:pPr>
      <w:r>
        <w:t xml:space="preserve"> FLOiS Programs consisted of individual learning programs, community programs and case management for students who were at risk of disengaging from education too early.  Schools dedicated staff and other </w:t>
      </w:r>
      <w:r>
        <w:lastRenderedPageBreak/>
        <w:t xml:space="preserve">resources to the program and they were supported by a DEECD Project Officer.  Across the six schools there were 80 students involved in the program in 2012 and 90 students in 2013. </w:t>
      </w:r>
    </w:p>
    <w:p w:rsidR="001831A5" w:rsidRDefault="001105D6">
      <w:pPr>
        <w:spacing w:after="167"/>
        <w:ind w:left="-5"/>
      </w:pPr>
      <w:r>
        <w:t xml:space="preserve">NMLLEN has supported the schools since the beginning of the project at the strategic level as well as with communications and data collection.  The data collection includes information about the programs in each school as well as tracking the engagement and destination of students who had been engaged in the FLOiS programs. </w:t>
      </w:r>
    </w:p>
    <w:p w:rsidR="001831A5" w:rsidRDefault="001105D6">
      <w:pPr>
        <w:spacing w:after="167"/>
        <w:ind w:left="-5"/>
      </w:pPr>
      <w:r>
        <w:t>Funding for the Youth Partnerships Pilot Program ceased in 2014.  Five of the six schools continued to offer FLO in schools programs to their students in 2014 while at the same a new re-engagement setting known as FLO Connect was opened in Mildura in February 2014.</w:t>
      </w:r>
    </w:p>
    <w:p w:rsidR="001831A5" w:rsidRDefault="001105D6">
      <w:pPr>
        <w:spacing w:after="170"/>
        <w:ind w:left="-5"/>
      </w:pPr>
      <w:r>
        <w:t>FLO Connect is a cooperative arrangement with Red Cliffs Secondary College as the host school with Mildura Rural City Council as a co-located partner to provide case management for the young people.  Much work and support was also contributed by DEECD, NMLLEN and other community agencies.  FLO Connect was an extension of the FLOiS programs to offer a pathway for students who had already disengaged and left school to reconnect and explore further education, training and employment options.</w:t>
      </w:r>
    </w:p>
    <w:p w:rsidR="006B330F" w:rsidRPr="006B330F" w:rsidRDefault="006B330F" w:rsidP="006B330F">
      <w:pPr>
        <w:pStyle w:val="Caption"/>
        <w:keepNext/>
        <w:rPr>
          <w:b/>
          <w:i w:val="0"/>
          <w:color w:val="auto"/>
          <w:sz w:val="20"/>
          <w:szCs w:val="20"/>
        </w:rPr>
      </w:pPr>
      <w:r w:rsidRPr="006B330F">
        <w:rPr>
          <w:b/>
          <w:i w:val="0"/>
          <w:color w:val="auto"/>
          <w:sz w:val="20"/>
          <w:szCs w:val="20"/>
        </w:rPr>
        <w:t>Table 18: Number of students reported as remaining engaged in education, training or employment in the year following engagement in FLO program:</w:t>
      </w:r>
    </w:p>
    <w:tbl>
      <w:tblPr>
        <w:tblStyle w:val="TableGrid"/>
        <w:tblW w:w="8595" w:type="dxa"/>
        <w:tblInd w:w="0" w:type="dxa"/>
        <w:tblCellMar>
          <w:top w:w="44" w:type="dxa"/>
          <w:left w:w="107" w:type="dxa"/>
          <w:right w:w="9" w:type="dxa"/>
        </w:tblCellMar>
        <w:tblLook w:val="04A0" w:firstRow="1" w:lastRow="0" w:firstColumn="1" w:lastColumn="0" w:noHBand="0" w:noVBand="1"/>
        <w:tblCaption w:val="Table 18: Number of students reported as remaining engaged in education, training or employment in the year following engagement in FLO program"/>
        <w:tblDescription w:val="A snapshot of the enrolments in the FLO is Schools (FLOiS) program 2012-16 and the FLO Connect (FC) program 2014-16 and the associated outcomes"/>
      </w:tblPr>
      <w:tblGrid>
        <w:gridCol w:w="979"/>
        <w:gridCol w:w="983"/>
        <w:gridCol w:w="583"/>
        <w:gridCol w:w="781"/>
        <w:gridCol w:w="586"/>
        <w:gridCol w:w="718"/>
        <w:gridCol w:w="583"/>
        <w:gridCol w:w="829"/>
        <w:gridCol w:w="559"/>
        <w:gridCol w:w="718"/>
        <w:gridCol w:w="639"/>
        <w:gridCol w:w="637"/>
      </w:tblGrid>
      <w:tr w:rsidR="001831A5" w:rsidTr="006B330F">
        <w:trPr>
          <w:trHeight w:val="546"/>
          <w:tblHeader/>
        </w:trPr>
        <w:tc>
          <w:tcPr>
            <w:tcW w:w="979"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1" w:firstLine="0"/>
            </w:pPr>
            <w:r>
              <w:rPr>
                <w:sz w:val="22"/>
              </w:rPr>
              <w:t xml:space="preserve"> </w:t>
            </w: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49" w:firstLine="0"/>
              <w:jc w:val="center"/>
            </w:pPr>
            <w:r>
              <w:rPr>
                <w:sz w:val="22"/>
              </w:rPr>
              <w:t xml:space="preserve"> </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0" w:right="95" w:firstLine="0"/>
              <w:jc w:val="center"/>
            </w:pPr>
            <w:r>
              <w:rPr>
                <w:sz w:val="22"/>
              </w:rPr>
              <w:t xml:space="preserve">Education </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0" w:right="99" w:firstLine="0"/>
              <w:jc w:val="center"/>
            </w:pPr>
            <w:r>
              <w:rPr>
                <w:sz w:val="22"/>
              </w:rPr>
              <w:t xml:space="preserve">Training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28" w:firstLine="0"/>
            </w:pPr>
            <w:r>
              <w:rPr>
                <w:sz w:val="22"/>
              </w:rPr>
              <w:t xml:space="preserve">Employment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firstLine="0"/>
              <w:jc w:val="center"/>
            </w:pPr>
            <w:r>
              <w:rPr>
                <w:sz w:val="22"/>
              </w:rPr>
              <w:t xml:space="preserve">Total engaged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8" w:firstLine="0"/>
              <w:jc w:val="center"/>
            </w:pPr>
            <w:r>
              <w:rPr>
                <w:sz w:val="22"/>
              </w:rPr>
              <w:t xml:space="preserve">Other </w:t>
            </w:r>
          </w:p>
        </w:tc>
      </w:tr>
      <w:tr w:rsidR="001831A5" w:rsidTr="006B330F">
        <w:trPr>
          <w:trHeight w:val="816"/>
        </w:trPr>
        <w:tc>
          <w:tcPr>
            <w:tcW w:w="979"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1" w:firstLine="0"/>
            </w:pPr>
            <w:r>
              <w:rPr>
                <w:sz w:val="22"/>
              </w:rPr>
              <w:t xml:space="preserve">Year engaged  in FLO </w:t>
            </w:r>
          </w:p>
        </w:tc>
        <w:tc>
          <w:tcPr>
            <w:tcW w:w="983"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0" w:firstLine="0"/>
            </w:pPr>
            <w:r>
              <w:rPr>
                <w:sz w:val="22"/>
              </w:rPr>
              <w:t xml:space="preserve">Program </w:t>
            </w:r>
          </w:p>
        </w:tc>
        <w:tc>
          <w:tcPr>
            <w:tcW w:w="583"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54" w:firstLine="0"/>
            </w:pPr>
            <w:r>
              <w:rPr>
                <w:sz w:val="22"/>
              </w:rPr>
              <w:t xml:space="preserve">No </w:t>
            </w:r>
          </w:p>
        </w:tc>
        <w:tc>
          <w:tcPr>
            <w:tcW w:w="781"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0" w:right="97" w:firstLine="0"/>
              <w:jc w:val="center"/>
            </w:pPr>
            <w:r>
              <w:rPr>
                <w:b/>
                <w:sz w:val="22"/>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54" w:firstLine="0"/>
            </w:pPr>
            <w:r>
              <w:rPr>
                <w:sz w:val="22"/>
              </w:rPr>
              <w:t xml:space="preserve">No </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0" w:right="101" w:firstLine="0"/>
              <w:jc w:val="center"/>
            </w:pPr>
            <w:r>
              <w:rPr>
                <w:sz w:val="22"/>
              </w:rPr>
              <w:t xml:space="preserve">% </w:t>
            </w:r>
          </w:p>
        </w:tc>
        <w:tc>
          <w:tcPr>
            <w:tcW w:w="583"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54" w:firstLine="0"/>
            </w:pPr>
            <w:r>
              <w:rPr>
                <w:sz w:val="22"/>
              </w:rPr>
              <w:t xml:space="preserve">No </w:t>
            </w:r>
          </w:p>
        </w:tc>
        <w:tc>
          <w:tcPr>
            <w:tcW w:w="82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831A5" w:rsidRDefault="001105D6">
            <w:pPr>
              <w:spacing w:after="0" w:line="259" w:lineRule="auto"/>
              <w:ind w:left="0" w:right="97" w:firstLine="0"/>
              <w:jc w:val="center"/>
            </w:pPr>
            <w:r>
              <w:rPr>
                <w:b/>
                <w:sz w:val="22"/>
              </w:rPr>
              <w:t xml:space="preserve">% </w:t>
            </w:r>
          </w:p>
        </w:tc>
        <w:tc>
          <w:tcPr>
            <w:tcW w:w="559"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1831A5" w:rsidRDefault="001105D6">
            <w:pPr>
              <w:spacing w:after="0" w:line="259" w:lineRule="auto"/>
              <w:ind w:left="42" w:firstLine="0"/>
            </w:pPr>
            <w:r>
              <w:rPr>
                <w:sz w:val="22"/>
              </w:rPr>
              <w:t xml:space="preserve">No </w:t>
            </w:r>
          </w:p>
        </w:tc>
        <w:tc>
          <w:tcPr>
            <w:tcW w:w="718"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1831A5" w:rsidRDefault="001105D6">
            <w:pPr>
              <w:spacing w:after="0" w:line="259" w:lineRule="auto"/>
              <w:ind w:left="0" w:right="98" w:firstLine="0"/>
              <w:jc w:val="center"/>
            </w:pPr>
            <w:r>
              <w:rPr>
                <w:b/>
                <w:sz w:val="22"/>
              </w:rP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83" w:firstLine="0"/>
            </w:pPr>
            <w:r>
              <w:rPr>
                <w:sz w:val="22"/>
              </w:rPr>
              <w:t xml:space="preserve">No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 </w:t>
            </w:r>
          </w:p>
        </w:tc>
      </w:tr>
      <w:tr w:rsidR="001831A5" w:rsidTr="006B330F">
        <w:trPr>
          <w:trHeight w:val="278"/>
        </w:trPr>
        <w:tc>
          <w:tcPr>
            <w:tcW w:w="979"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0" w:right="100" w:firstLine="0"/>
              <w:jc w:val="center"/>
            </w:pPr>
            <w:r>
              <w:rPr>
                <w:sz w:val="22"/>
              </w:rPr>
              <w:t xml:space="preserve"> 2012 </w:t>
            </w: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FLOiS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22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36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14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23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7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11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43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b/>
                <w:sz w:val="22"/>
              </w:rPr>
              <w:t xml:space="preserve">70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19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30 </w:t>
            </w:r>
          </w:p>
        </w:tc>
      </w:tr>
      <w:tr w:rsidR="001831A5" w:rsidTr="006B330F">
        <w:trPr>
          <w:trHeight w:val="278"/>
        </w:trPr>
        <w:tc>
          <w:tcPr>
            <w:tcW w:w="979" w:type="dxa"/>
            <w:tcBorders>
              <w:top w:val="single" w:sz="4" w:space="0" w:color="000000"/>
              <w:left w:val="single" w:sz="4" w:space="0" w:color="000000"/>
              <w:bottom w:val="single" w:sz="4" w:space="0" w:color="000000"/>
              <w:right w:val="single" w:sz="4" w:space="0" w:color="000000"/>
            </w:tcBorders>
          </w:tcPr>
          <w:p w:rsidR="001831A5" w:rsidRDefault="001105D6">
            <w:pPr>
              <w:spacing w:after="0" w:line="259" w:lineRule="auto"/>
              <w:ind w:left="0" w:right="98" w:firstLine="0"/>
              <w:jc w:val="center"/>
            </w:pPr>
            <w:r>
              <w:rPr>
                <w:sz w:val="22"/>
              </w:rPr>
              <w:t xml:space="preserve">2013 </w:t>
            </w: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FLOiS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39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64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5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b/>
                <w:sz w:val="22"/>
              </w:rPr>
              <w:t xml:space="preserve">8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2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b/>
                <w:sz w:val="22"/>
              </w:rPr>
              <w:t xml:space="preserve">3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46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b/>
                <w:sz w:val="22"/>
              </w:rPr>
              <w:t xml:space="preserve">75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15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25 </w:t>
            </w:r>
          </w:p>
        </w:tc>
      </w:tr>
      <w:tr w:rsidR="001831A5" w:rsidTr="006B330F">
        <w:trPr>
          <w:trHeight w:val="279"/>
        </w:trPr>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1831A5" w:rsidRDefault="001105D6">
            <w:pPr>
              <w:spacing w:after="0" w:line="259" w:lineRule="auto"/>
              <w:ind w:left="0" w:right="98" w:firstLine="0"/>
              <w:jc w:val="center"/>
            </w:pPr>
            <w:r>
              <w:rPr>
                <w:sz w:val="22"/>
              </w:rPr>
              <w:t xml:space="preserve">2014 </w:t>
            </w: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FLOiS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75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75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18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18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3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sz w:val="22"/>
              </w:rPr>
              <w:t xml:space="preserve">3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96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sz w:val="22"/>
              </w:rPr>
              <w:t xml:space="preserve">96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4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5" w:firstLine="0"/>
              <w:jc w:val="center"/>
            </w:pPr>
            <w:r>
              <w:rPr>
                <w:sz w:val="22"/>
              </w:rPr>
              <w:t xml:space="preserve">4 </w:t>
            </w:r>
          </w:p>
        </w:tc>
      </w:tr>
      <w:tr w:rsidR="001831A5" w:rsidTr="006B330F">
        <w:trPr>
          <w:trHeight w:val="280"/>
        </w:trPr>
        <w:tc>
          <w:tcPr>
            <w:tcW w:w="0" w:type="auto"/>
            <w:vMerge/>
            <w:tcBorders>
              <w:top w:val="nil"/>
              <w:left w:val="single" w:sz="4" w:space="0" w:color="000000"/>
              <w:bottom w:val="nil"/>
              <w:right w:val="single" w:sz="4" w:space="0" w:color="000000"/>
            </w:tcBorders>
          </w:tcPr>
          <w:p w:rsidR="001831A5" w:rsidRDefault="001831A5">
            <w:pPr>
              <w:spacing w:after="160" w:line="259" w:lineRule="auto"/>
              <w:ind w:left="0" w:firstLine="0"/>
            </w:pP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FC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36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86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4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10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2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sz w:val="22"/>
              </w:rPr>
              <w:t xml:space="preserve">5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42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sz w:val="22"/>
              </w:rPr>
              <w:t xml:space="preserve">66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22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34 </w:t>
            </w:r>
          </w:p>
        </w:tc>
      </w:tr>
      <w:tr w:rsidR="001831A5" w:rsidTr="006B330F">
        <w:trPr>
          <w:trHeight w:val="278"/>
        </w:trPr>
        <w:tc>
          <w:tcPr>
            <w:tcW w:w="0" w:type="auto"/>
            <w:vMerge/>
            <w:tcBorders>
              <w:top w:val="nil"/>
              <w:left w:val="single" w:sz="4" w:space="0" w:color="000000"/>
              <w:bottom w:val="single" w:sz="4" w:space="0" w:color="000000"/>
              <w:right w:val="single" w:sz="4" w:space="0" w:color="000000"/>
            </w:tcBorders>
          </w:tcPr>
          <w:p w:rsidR="001831A5" w:rsidRDefault="001831A5">
            <w:pPr>
              <w:spacing w:after="160" w:line="259" w:lineRule="auto"/>
              <w:ind w:left="0" w:firstLine="0"/>
            </w:pP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Total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18" w:firstLine="0"/>
            </w:pPr>
            <w:r>
              <w:rPr>
                <w:sz w:val="22"/>
              </w:rPr>
              <w:t xml:space="preserve">111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64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22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13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5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b/>
                <w:sz w:val="22"/>
              </w:rPr>
              <w:t xml:space="preserve">3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 w:firstLine="0"/>
            </w:pPr>
            <w:r>
              <w:rPr>
                <w:sz w:val="22"/>
              </w:rPr>
              <w:t xml:space="preserve">148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b/>
                <w:sz w:val="22"/>
              </w:rPr>
              <w:t xml:space="preserve">85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26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15 </w:t>
            </w:r>
          </w:p>
        </w:tc>
      </w:tr>
      <w:tr w:rsidR="001831A5" w:rsidTr="006B330F">
        <w:trPr>
          <w:trHeight w:val="278"/>
        </w:trPr>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1831A5" w:rsidRDefault="001105D6">
            <w:pPr>
              <w:spacing w:after="0" w:line="259" w:lineRule="auto"/>
              <w:ind w:left="0" w:right="98" w:firstLine="0"/>
              <w:jc w:val="center"/>
            </w:pPr>
            <w:r>
              <w:rPr>
                <w:sz w:val="22"/>
              </w:rPr>
              <w:t xml:space="preserve">2015 </w:t>
            </w: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FLOiS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86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80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6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6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2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sz w:val="22"/>
              </w:rPr>
              <w:t xml:space="preserve">2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94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sz w:val="22"/>
              </w:rPr>
              <w:t xml:space="preserve">88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13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12 </w:t>
            </w:r>
          </w:p>
        </w:tc>
      </w:tr>
      <w:tr w:rsidR="001831A5" w:rsidTr="006B330F">
        <w:trPr>
          <w:trHeight w:val="280"/>
        </w:trPr>
        <w:tc>
          <w:tcPr>
            <w:tcW w:w="0" w:type="auto"/>
            <w:vMerge/>
            <w:tcBorders>
              <w:top w:val="nil"/>
              <w:left w:val="single" w:sz="4" w:space="0" w:color="000000"/>
              <w:bottom w:val="nil"/>
              <w:right w:val="single" w:sz="4" w:space="0" w:color="000000"/>
            </w:tcBorders>
          </w:tcPr>
          <w:p w:rsidR="001831A5" w:rsidRDefault="001831A5">
            <w:pPr>
              <w:spacing w:after="160" w:line="259" w:lineRule="auto"/>
              <w:ind w:left="0" w:firstLine="0"/>
            </w:pP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FC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37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55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14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21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5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sz w:val="22"/>
              </w:rPr>
              <w:t xml:space="preserve">7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56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sz w:val="22"/>
              </w:rPr>
              <w:t xml:space="preserve">84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11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16 </w:t>
            </w:r>
          </w:p>
        </w:tc>
      </w:tr>
      <w:tr w:rsidR="001831A5" w:rsidTr="006B330F">
        <w:trPr>
          <w:trHeight w:val="278"/>
        </w:trPr>
        <w:tc>
          <w:tcPr>
            <w:tcW w:w="0" w:type="auto"/>
            <w:vMerge/>
            <w:tcBorders>
              <w:top w:val="nil"/>
              <w:left w:val="single" w:sz="4" w:space="0" w:color="000000"/>
              <w:bottom w:val="single" w:sz="4" w:space="0" w:color="000000"/>
              <w:right w:val="single" w:sz="4" w:space="0" w:color="000000"/>
            </w:tcBorders>
          </w:tcPr>
          <w:p w:rsidR="001831A5" w:rsidRDefault="001831A5">
            <w:pPr>
              <w:spacing w:after="160" w:line="259" w:lineRule="auto"/>
              <w:ind w:left="0" w:firstLine="0"/>
            </w:pP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Total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18" w:firstLine="0"/>
            </w:pPr>
            <w:r>
              <w:rPr>
                <w:sz w:val="22"/>
              </w:rPr>
              <w:t xml:space="preserve">123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71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20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11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7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b/>
                <w:sz w:val="22"/>
              </w:rPr>
              <w:t xml:space="preserve">4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 w:firstLine="0"/>
            </w:pPr>
            <w:r>
              <w:rPr>
                <w:sz w:val="22"/>
              </w:rPr>
              <w:t xml:space="preserve">150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b/>
                <w:sz w:val="22"/>
              </w:rPr>
              <w:t xml:space="preserve">86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24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14 </w:t>
            </w:r>
          </w:p>
        </w:tc>
      </w:tr>
      <w:tr w:rsidR="001831A5" w:rsidTr="006B330F">
        <w:trPr>
          <w:trHeight w:val="278"/>
        </w:trPr>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1831A5" w:rsidRDefault="001105D6">
            <w:pPr>
              <w:spacing w:after="0" w:line="259" w:lineRule="auto"/>
              <w:ind w:left="0" w:right="98" w:firstLine="0"/>
              <w:jc w:val="center"/>
            </w:pPr>
            <w:r>
              <w:rPr>
                <w:sz w:val="22"/>
              </w:rPr>
              <w:t xml:space="preserve">2016 </w:t>
            </w: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FLOiS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79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77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10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10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4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sz w:val="22"/>
              </w:rPr>
              <w:t xml:space="preserve">4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93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sz w:val="22"/>
              </w:rPr>
              <w:t xml:space="preserve">90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10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10 </w:t>
            </w:r>
          </w:p>
        </w:tc>
      </w:tr>
      <w:tr w:rsidR="001831A5" w:rsidTr="006B330F">
        <w:trPr>
          <w:trHeight w:val="278"/>
        </w:trPr>
        <w:tc>
          <w:tcPr>
            <w:tcW w:w="0" w:type="auto"/>
            <w:vMerge/>
            <w:tcBorders>
              <w:top w:val="nil"/>
              <w:left w:val="single" w:sz="4" w:space="0" w:color="000000"/>
              <w:bottom w:val="nil"/>
              <w:right w:val="single" w:sz="4" w:space="0" w:color="000000"/>
            </w:tcBorders>
          </w:tcPr>
          <w:p w:rsidR="001831A5" w:rsidRDefault="001831A5">
            <w:pPr>
              <w:spacing w:after="160" w:line="259" w:lineRule="auto"/>
              <w:ind w:left="0" w:firstLine="0"/>
            </w:pP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FC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60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sz w:val="22"/>
              </w:rPr>
              <w:t xml:space="preserve">69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101" w:firstLine="0"/>
              <w:jc w:val="center"/>
            </w:pPr>
            <w:r>
              <w:rPr>
                <w:sz w:val="22"/>
              </w:rPr>
              <w:t xml:space="preserve">6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7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5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sz w:val="22"/>
              </w:rPr>
              <w:t xml:space="preserve">6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1" w:firstLine="0"/>
            </w:pPr>
            <w:r>
              <w:rPr>
                <w:sz w:val="22"/>
              </w:rPr>
              <w:t xml:space="preserve">71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sz w:val="22"/>
              </w:rPr>
              <w:t xml:space="preserve">82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16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18 </w:t>
            </w:r>
          </w:p>
        </w:tc>
      </w:tr>
      <w:tr w:rsidR="001831A5" w:rsidTr="006B330F">
        <w:trPr>
          <w:trHeight w:val="277"/>
        </w:trPr>
        <w:tc>
          <w:tcPr>
            <w:tcW w:w="0" w:type="auto"/>
            <w:vMerge/>
            <w:tcBorders>
              <w:top w:val="nil"/>
              <w:left w:val="single" w:sz="4" w:space="0" w:color="000000"/>
              <w:bottom w:val="single" w:sz="4" w:space="0" w:color="000000"/>
              <w:right w:val="single" w:sz="4" w:space="0" w:color="000000"/>
            </w:tcBorders>
          </w:tcPr>
          <w:p w:rsidR="001831A5" w:rsidRDefault="001831A5">
            <w:pPr>
              <w:spacing w:after="160" w:line="259" w:lineRule="auto"/>
              <w:ind w:left="0" w:firstLine="0"/>
            </w:pPr>
          </w:p>
        </w:tc>
        <w:tc>
          <w:tcPr>
            <w:tcW w:w="9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Total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18" w:firstLine="0"/>
            </w:pPr>
            <w:r>
              <w:rPr>
                <w:sz w:val="22"/>
              </w:rPr>
              <w:t xml:space="preserve">139 </w:t>
            </w:r>
          </w:p>
        </w:tc>
        <w:tc>
          <w:tcPr>
            <w:tcW w:w="781"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6" w:firstLine="0"/>
              <w:jc w:val="center"/>
            </w:pPr>
            <w:r>
              <w:rPr>
                <w:b/>
                <w:sz w:val="22"/>
              </w:rPr>
              <w:t xml:space="preserve">73 </w:t>
            </w:r>
          </w:p>
        </w:tc>
        <w:tc>
          <w:tcPr>
            <w:tcW w:w="586"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73" w:firstLine="0"/>
            </w:pPr>
            <w:r>
              <w:rPr>
                <w:sz w:val="22"/>
              </w:rPr>
              <w:t xml:space="preserve">16 </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b/>
                <w:sz w:val="22"/>
              </w:rPr>
              <w:t xml:space="preserve">8 </w:t>
            </w:r>
          </w:p>
        </w:tc>
        <w:tc>
          <w:tcPr>
            <w:tcW w:w="583"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9" w:firstLine="0"/>
              <w:jc w:val="center"/>
            </w:pPr>
            <w:r>
              <w:rPr>
                <w:sz w:val="22"/>
              </w:rPr>
              <w:t xml:space="preserve">9 </w:t>
            </w:r>
          </w:p>
        </w:tc>
        <w:tc>
          <w:tcPr>
            <w:tcW w:w="829" w:type="dxa"/>
            <w:tcBorders>
              <w:top w:val="single" w:sz="4" w:space="0" w:color="000000"/>
              <w:left w:val="single" w:sz="4" w:space="0" w:color="000000"/>
              <w:bottom w:val="single" w:sz="4" w:space="0" w:color="000000"/>
              <w:right w:val="single" w:sz="4" w:space="0" w:color="000000"/>
            </w:tcBorders>
            <w:shd w:val="clear" w:color="auto" w:fill="C5E0B3"/>
          </w:tcPr>
          <w:p w:rsidR="001831A5" w:rsidRDefault="001105D6">
            <w:pPr>
              <w:spacing w:after="0" w:line="259" w:lineRule="auto"/>
              <w:ind w:left="0" w:right="98" w:firstLine="0"/>
              <w:jc w:val="center"/>
            </w:pPr>
            <w:r>
              <w:rPr>
                <w:b/>
                <w:sz w:val="22"/>
              </w:rPr>
              <w:t xml:space="preserve">5 </w:t>
            </w:r>
          </w:p>
        </w:tc>
        <w:tc>
          <w:tcPr>
            <w:tcW w:w="559"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6" w:firstLine="0"/>
            </w:pPr>
            <w:r>
              <w:rPr>
                <w:sz w:val="22"/>
              </w:rPr>
              <w:t xml:space="preserve">164 </w:t>
            </w:r>
          </w:p>
        </w:tc>
        <w:tc>
          <w:tcPr>
            <w:tcW w:w="718" w:type="dxa"/>
            <w:tcBorders>
              <w:top w:val="single" w:sz="4" w:space="0" w:color="000000"/>
              <w:left w:val="single" w:sz="4" w:space="0" w:color="000000"/>
              <w:bottom w:val="single" w:sz="4" w:space="0" w:color="000000"/>
              <w:right w:val="single" w:sz="4" w:space="0" w:color="000000"/>
            </w:tcBorders>
            <w:shd w:val="clear" w:color="auto" w:fill="A8D08D"/>
          </w:tcPr>
          <w:p w:rsidR="001831A5" w:rsidRDefault="001105D6">
            <w:pPr>
              <w:spacing w:after="0" w:line="259" w:lineRule="auto"/>
              <w:ind w:left="0" w:right="96" w:firstLine="0"/>
              <w:jc w:val="center"/>
            </w:pPr>
            <w:r>
              <w:rPr>
                <w:b/>
                <w:sz w:val="22"/>
              </w:rPr>
              <w:t xml:space="preserve">86 </w:t>
            </w:r>
          </w:p>
        </w:tc>
        <w:tc>
          <w:tcPr>
            <w:tcW w:w="639"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9" w:firstLine="0"/>
              <w:jc w:val="center"/>
            </w:pPr>
            <w:r>
              <w:rPr>
                <w:sz w:val="22"/>
              </w:rPr>
              <w:t xml:space="preserve">26 </w:t>
            </w:r>
          </w:p>
        </w:tc>
        <w:tc>
          <w:tcPr>
            <w:tcW w:w="637" w:type="dxa"/>
            <w:tcBorders>
              <w:top w:val="single" w:sz="4" w:space="0" w:color="000000"/>
              <w:left w:val="single" w:sz="4" w:space="0" w:color="000000"/>
              <w:bottom w:val="single" w:sz="4" w:space="0" w:color="000000"/>
              <w:right w:val="single" w:sz="4" w:space="0" w:color="000000"/>
            </w:tcBorders>
            <w:shd w:val="clear" w:color="auto" w:fill="FFFF99"/>
          </w:tcPr>
          <w:p w:rsidR="001831A5" w:rsidRDefault="001105D6">
            <w:pPr>
              <w:spacing w:after="0" w:line="259" w:lineRule="auto"/>
              <w:ind w:left="0" w:right="97" w:firstLine="0"/>
              <w:jc w:val="center"/>
            </w:pPr>
            <w:r>
              <w:rPr>
                <w:sz w:val="22"/>
              </w:rPr>
              <w:t xml:space="preserve">14 </w:t>
            </w:r>
          </w:p>
        </w:tc>
      </w:tr>
    </w:tbl>
    <w:p w:rsidR="001831A5" w:rsidRDefault="001105D6" w:rsidP="006B330F">
      <w:pPr>
        <w:spacing w:before="240" w:after="0" w:line="259" w:lineRule="auto"/>
        <w:ind w:left="0" w:firstLine="0"/>
      </w:pPr>
      <w:r>
        <w:t xml:space="preserve"> Table 18 provides a snap shot of the enrolments in the FLO in Schools (FLOiS) program 2012-16 and the FLO Connect (FC) program 2014-16 and the associated outcomes ie. the number/proportion of students who were still engaged in education, training or employment the following year. </w:t>
      </w:r>
    </w:p>
    <w:p w:rsidR="001831A5" w:rsidRDefault="001105D6" w:rsidP="00EF5911">
      <w:pPr>
        <w:spacing w:after="240" w:line="259" w:lineRule="auto"/>
        <w:ind w:left="0" w:firstLine="0"/>
      </w:pPr>
      <w:r>
        <w:t xml:space="preserve"> In summary, FLO in Schools was designed to keep young people at high risk of leaving school to remain engaged with school, whilst FLO Connect was designed to re-engage young people who had left education. </w:t>
      </w:r>
    </w:p>
    <w:p w:rsidR="001831A5" w:rsidRDefault="001105D6" w:rsidP="00EF5911">
      <w:pPr>
        <w:spacing w:after="240"/>
        <w:ind w:left="370" w:right="208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FLO in Schools outcomes have increased from 70% in 2012 to 90% in 2016.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FLO Connect outcomes have increased from 66% in 2014 to 86% in 2016. </w:t>
      </w:r>
    </w:p>
    <w:p w:rsidR="001831A5" w:rsidRDefault="001105D6" w:rsidP="006B330F">
      <w:pPr>
        <w:spacing w:after="240" w:line="260" w:lineRule="auto"/>
        <w:ind w:left="-5"/>
      </w:pPr>
      <w:r>
        <w:rPr>
          <w:b/>
        </w:rPr>
        <w:t xml:space="preserve">In combination, both these programs will have a significant impact on the ABS data to be published in October 2017, of young people who are not engaged in education, training or employment. </w:t>
      </w:r>
    </w:p>
    <w:sectPr w:rsidR="001831A5">
      <w:pgSz w:w="11906" w:h="16838"/>
      <w:pgMar w:top="1600" w:right="1456" w:bottom="1149" w:left="1440" w:header="54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57" w:rsidRDefault="001105D6">
      <w:pPr>
        <w:spacing w:after="0" w:line="240" w:lineRule="auto"/>
      </w:pPr>
      <w:r>
        <w:separator/>
      </w:r>
    </w:p>
  </w:endnote>
  <w:endnote w:type="continuationSeparator" w:id="0">
    <w:p w:rsidR="00377457" w:rsidRDefault="0011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96" w:rsidRDefault="001105D6" w:rsidP="007B0796">
    <w:pPr>
      <w:spacing w:after="38" w:line="259" w:lineRule="auto"/>
      <w:ind w:left="0" w:right="-18" w:firstLine="0"/>
      <w:jc w:val="right"/>
      <w:rPr>
        <w:sz w:val="22"/>
      </w:rPr>
    </w:pPr>
    <w:r>
      <w:rPr>
        <w:sz w:val="16"/>
      </w:rPr>
      <w:t xml:space="preserve">Page | </w:t>
    </w:r>
    <w:r>
      <w:fldChar w:fldCharType="begin"/>
    </w:r>
    <w:r>
      <w:instrText xml:space="preserve"> PAGE   \* MERGEFORMAT </w:instrText>
    </w:r>
    <w:r>
      <w:fldChar w:fldCharType="separate"/>
    </w:r>
    <w:r w:rsidR="007B0796" w:rsidRPr="007B0796">
      <w:rPr>
        <w:noProof/>
        <w:sz w:val="16"/>
      </w:rPr>
      <w:t>1</w:t>
    </w:r>
    <w:r>
      <w:rPr>
        <w:sz w:val="16"/>
      </w:rPr>
      <w:fldChar w:fldCharType="end"/>
    </w:r>
  </w:p>
  <w:p w:rsidR="001831A5" w:rsidRDefault="001105D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96" w:rsidRDefault="001105D6" w:rsidP="007B0796">
    <w:pPr>
      <w:spacing w:after="38" w:line="259" w:lineRule="auto"/>
      <w:ind w:left="0" w:right="-18" w:firstLine="0"/>
      <w:jc w:val="right"/>
      <w:rPr>
        <w:sz w:val="22"/>
      </w:rPr>
    </w:pPr>
    <w:r>
      <w:rPr>
        <w:sz w:val="16"/>
      </w:rPr>
      <w:t xml:space="preserve">Page | </w:t>
    </w:r>
    <w:r>
      <w:fldChar w:fldCharType="begin"/>
    </w:r>
    <w:r>
      <w:instrText xml:space="preserve"> PAGE   \* MERGEFORMAT </w:instrText>
    </w:r>
    <w:r>
      <w:fldChar w:fldCharType="separate"/>
    </w:r>
    <w:r w:rsidR="002A3383" w:rsidRPr="002A3383">
      <w:rPr>
        <w:noProof/>
        <w:sz w:val="16"/>
      </w:rPr>
      <w:t>1</w:t>
    </w:r>
    <w:r>
      <w:rPr>
        <w:sz w:val="16"/>
      </w:rPr>
      <w:fldChar w:fldCharType="end"/>
    </w:r>
  </w:p>
  <w:p w:rsidR="001831A5" w:rsidRDefault="001105D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96" w:rsidRDefault="001105D6" w:rsidP="007B0796">
    <w:pPr>
      <w:spacing w:after="38" w:line="259" w:lineRule="auto"/>
      <w:ind w:left="0" w:right="-18" w:firstLine="0"/>
      <w:jc w:val="right"/>
      <w:rPr>
        <w:sz w:val="22"/>
      </w:rPr>
    </w:pPr>
    <w:r>
      <w:rPr>
        <w:sz w:val="16"/>
      </w:rPr>
      <w:t xml:space="preserve">Page | </w:t>
    </w:r>
    <w:r>
      <w:fldChar w:fldCharType="begin"/>
    </w:r>
    <w:r>
      <w:instrText xml:space="preserve"> PAGE   \* MERGEFORMAT </w:instrText>
    </w:r>
    <w:r>
      <w:fldChar w:fldCharType="separate"/>
    </w:r>
    <w:r w:rsidR="007B0796" w:rsidRPr="007B0796">
      <w:rPr>
        <w:noProof/>
        <w:sz w:val="16"/>
      </w:rPr>
      <w:t>1</w:t>
    </w:r>
    <w:r>
      <w:rPr>
        <w:sz w:val="16"/>
      </w:rPr>
      <w:fldChar w:fldCharType="end"/>
    </w:r>
  </w:p>
  <w:p w:rsidR="001831A5" w:rsidRDefault="001105D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57" w:rsidRDefault="001105D6">
      <w:pPr>
        <w:spacing w:after="0" w:line="240" w:lineRule="auto"/>
      </w:pPr>
      <w:r>
        <w:separator/>
      </w:r>
    </w:p>
  </w:footnote>
  <w:footnote w:type="continuationSeparator" w:id="0">
    <w:p w:rsidR="00377457" w:rsidRDefault="00110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96" w:rsidRDefault="001105D6" w:rsidP="007B0796">
    <w:pPr>
      <w:tabs>
        <w:tab w:val="center" w:pos="2551"/>
        <w:tab w:val="center" w:pos="6764"/>
      </w:tabs>
      <w:spacing w:after="0" w:line="259" w:lineRule="auto"/>
      <w:ind w:left="0" w:firstLine="0"/>
      <w:rPr>
        <w:color w:val="770227"/>
      </w:rPr>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344805</wp:posOffset>
          </wp:positionV>
          <wp:extent cx="1095375" cy="50863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095375" cy="508635"/>
                  </a:xfrm>
                  <a:prstGeom prst="rect">
                    <a:avLst/>
                  </a:prstGeom>
                </pic:spPr>
              </pic:pic>
            </a:graphicData>
          </a:graphic>
        </wp:anchor>
      </w:drawing>
    </w:r>
    <w:r>
      <w:rPr>
        <w:sz w:val="22"/>
      </w:rPr>
      <w:tab/>
    </w:r>
    <w:r>
      <w:rPr>
        <w:color w:val="770227"/>
      </w:rPr>
      <w:t>Northern Mallee</w:t>
    </w:r>
  </w:p>
  <w:p w:rsidR="001831A5" w:rsidRDefault="001105D6">
    <w:pPr>
      <w:tabs>
        <w:tab w:val="center" w:pos="3459"/>
        <w:tab w:val="center" w:pos="6764"/>
      </w:tabs>
      <w:spacing w:after="0" w:line="259" w:lineRule="auto"/>
      <w:ind w:left="0" w:firstLine="0"/>
    </w:pPr>
    <w:r>
      <w:rPr>
        <w:color w:val="770227"/>
      </w:rPr>
      <w:t>Local Learning &amp; Employment Network</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96" w:rsidRDefault="001105D6" w:rsidP="007B0796">
    <w:pPr>
      <w:tabs>
        <w:tab w:val="center" w:pos="2551"/>
        <w:tab w:val="center" w:pos="6764"/>
      </w:tabs>
      <w:spacing w:after="0" w:line="259" w:lineRule="auto"/>
      <w:ind w:left="0" w:firstLine="0"/>
      <w:rPr>
        <w:color w:val="770227"/>
      </w:rPr>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344805</wp:posOffset>
          </wp:positionV>
          <wp:extent cx="1095375" cy="508635"/>
          <wp:effectExtent l="0" t="0" r="9525" b="5715"/>
          <wp:wrapSquare wrapText="bothSides"/>
          <wp:docPr id="1" name="Picture 1" descr="NMLLEN" title="NMLLEN"/>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095375" cy="508635"/>
                  </a:xfrm>
                  <a:prstGeom prst="rect">
                    <a:avLst/>
                  </a:prstGeom>
                </pic:spPr>
              </pic:pic>
            </a:graphicData>
          </a:graphic>
        </wp:anchor>
      </w:drawing>
    </w:r>
    <w:r>
      <w:rPr>
        <w:sz w:val="22"/>
      </w:rPr>
      <w:tab/>
    </w:r>
    <w:r>
      <w:rPr>
        <w:color w:val="770227"/>
      </w:rPr>
      <w:t>Northern Mallee</w:t>
    </w:r>
  </w:p>
  <w:p w:rsidR="001831A5" w:rsidRDefault="001105D6">
    <w:pPr>
      <w:tabs>
        <w:tab w:val="center" w:pos="3459"/>
        <w:tab w:val="center" w:pos="6764"/>
      </w:tabs>
      <w:spacing w:after="0" w:line="259" w:lineRule="auto"/>
      <w:ind w:left="0" w:firstLine="0"/>
    </w:pPr>
    <w:r>
      <w:rPr>
        <w:color w:val="770227"/>
      </w:rPr>
      <w:t>Local Learning &amp; Employment Network</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96" w:rsidRDefault="001105D6" w:rsidP="007B0796">
    <w:pPr>
      <w:tabs>
        <w:tab w:val="center" w:pos="2551"/>
        <w:tab w:val="center" w:pos="6764"/>
      </w:tabs>
      <w:spacing w:after="0" w:line="259" w:lineRule="auto"/>
      <w:ind w:left="0" w:firstLine="0"/>
      <w:rPr>
        <w:color w:val="770227"/>
      </w:rPr>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344805</wp:posOffset>
          </wp:positionV>
          <wp:extent cx="1095375" cy="5086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095375" cy="508635"/>
                  </a:xfrm>
                  <a:prstGeom prst="rect">
                    <a:avLst/>
                  </a:prstGeom>
                </pic:spPr>
              </pic:pic>
            </a:graphicData>
          </a:graphic>
        </wp:anchor>
      </w:drawing>
    </w:r>
    <w:r>
      <w:rPr>
        <w:sz w:val="22"/>
      </w:rPr>
      <w:tab/>
    </w:r>
    <w:r>
      <w:rPr>
        <w:color w:val="770227"/>
      </w:rPr>
      <w:t>Northern Mallee</w:t>
    </w:r>
  </w:p>
  <w:p w:rsidR="001831A5" w:rsidRDefault="001105D6">
    <w:pPr>
      <w:tabs>
        <w:tab w:val="center" w:pos="3459"/>
        <w:tab w:val="center" w:pos="6764"/>
      </w:tabs>
      <w:spacing w:after="0" w:line="259" w:lineRule="auto"/>
      <w:ind w:left="0" w:firstLine="0"/>
    </w:pPr>
    <w:r>
      <w:rPr>
        <w:color w:val="770227"/>
      </w:rPr>
      <w:t>Local Learning &amp; Employment Network</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72FC6"/>
    <w:multiLevelType w:val="hybridMultilevel"/>
    <w:tmpl w:val="D3109454"/>
    <w:lvl w:ilvl="0" w:tplc="DAF239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08E2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6C33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9085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41D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44C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F4AE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22D8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7C66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9877D1"/>
    <w:multiLevelType w:val="hybridMultilevel"/>
    <w:tmpl w:val="A2365A3C"/>
    <w:lvl w:ilvl="0" w:tplc="0A1C57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E64D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6C31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3277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F4A7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140F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D8CF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58DB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6E17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A82807"/>
    <w:multiLevelType w:val="hybridMultilevel"/>
    <w:tmpl w:val="C13219BC"/>
    <w:lvl w:ilvl="0" w:tplc="BA3E57C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7EA81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287FE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0617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763A7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C4F5D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C4B4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38D7B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1803B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A5"/>
    <w:rsid w:val="001105D6"/>
    <w:rsid w:val="001831A5"/>
    <w:rsid w:val="002A3383"/>
    <w:rsid w:val="00377457"/>
    <w:rsid w:val="00464619"/>
    <w:rsid w:val="00537FBD"/>
    <w:rsid w:val="006B330F"/>
    <w:rsid w:val="007B0796"/>
    <w:rsid w:val="00DF56FD"/>
    <w:rsid w:val="00EF5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A56E8"/>
  <w15:docId w15:val="{296F6382-4D0E-4361-836E-693FCCC1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DF56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C07DD7-B4A0-4904-B8E8-036097620EB1}"/>
</file>

<file path=customXml/itemProps2.xml><?xml version="1.0" encoding="utf-8"?>
<ds:datastoreItem xmlns:ds="http://schemas.openxmlformats.org/officeDocument/2006/customXml" ds:itemID="{089E08FA-773E-41D8-9AF7-251B409F202D}"/>
</file>

<file path=customXml/itemProps3.xml><?xml version="1.0" encoding="utf-8"?>
<ds:datastoreItem xmlns:ds="http://schemas.openxmlformats.org/officeDocument/2006/customXml" ds:itemID="{3444C8FA-944D-4BF7-B950-6461BA32481D}"/>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cp:lastModifiedBy>KETCHELL,Palissa</cp:lastModifiedBy>
  <cp:revision>2</cp:revision>
  <dcterms:created xsi:type="dcterms:W3CDTF">2018-02-08T01:15:00Z</dcterms:created>
  <dcterms:modified xsi:type="dcterms:W3CDTF">2018-02-08T01:15:00Z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