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4A" w:rsidRDefault="0034754A">
      <w:pPr>
        <w:pStyle w:val="BodyText"/>
        <w:spacing w:before="1"/>
        <w:rPr>
          <w:rFonts w:ascii="Times New Roman"/>
          <w:sz w:val="7"/>
        </w:rPr>
      </w:pPr>
    </w:p>
    <w:p w:rsidR="0034754A" w:rsidRDefault="00DD5D77">
      <w:pPr>
        <w:pStyle w:val="BodyText"/>
        <w:ind w:left="4005"/>
        <w:rPr>
          <w:rFonts w:ascii="Times New Roman"/>
          <w:sz w:val="20"/>
        </w:rPr>
      </w:pPr>
      <w:r>
        <w:rPr>
          <w:rFonts w:ascii="Times New Roman"/>
          <w:noProof/>
          <w:sz w:val="20"/>
          <w:lang w:val="en-AU" w:eastAsia="en-AU"/>
        </w:rPr>
        <w:drawing>
          <wp:inline distT="0" distB="0" distL="0" distR="0">
            <wp:extent cx="817258"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7258" cy="1024127"/>
                    </a:xfrm>
                    <a:prstGeom prst="rect">
                      <a:avLst/>
                    </a:prstGeom>
                  </pic:spPr>
                </pic:pic>
              </a:graphicData>
            </a:graphic>
          </wp:inline>
        </w:drawing>
      </w:r>
    </w:p>
    <w:p w:rsidR="0034754A" w:rsidRPr="002E0611" w:rsidRDefault="00DD5D77">
      <w:pPr>
        <w:spacing w:before="10"/>
        <w:ind w:left="3475"/>
        <w:rPr>
          <w:rFonts w:ascii="Times New Roman"/>
          <w:b/>
          <w:sz w:val="26"/>
          <w:szCs w:val="26"/>
        </w:rPr>
      </w:pPr>
      <w:r w:rsidRPr="002E0611">
        <w:rPr>
          <w:rFonts w:ascii="Times New Roman"/>
          <w:b/>
          <w:color w:val="444D60"/>
          <w:w w:val="90"/>
          <w:sz w:val="26"/>
          <w:szCs w:val="26"/>
        </w:rPr>
        <w:t>BOND</w:t>
      </w:r>
      <w:r w:rsidR="002E0611">
        <w:rPr>
          <w:rFonts w:ascii="Times New Roman"/>
          <w:b/>
          <w:color w:val="444D60"/>
          <w:w w:val="90"/>
          <w:sz w:val="26"/>
          <w:szCs w:val="26"/>
        </w:rPr>
        <w:t xml:space="preserve"> </w:t>
      </w:r>
      <w:bookmarkStart w:id="0" w:name="_GoBack"/>
      <w:bookmarkEnd w:id="0"/>
      <w:r w:rsidR="002E0611" w:rsidRPr="002E0611">
        <w:rPr>
          <w:rFonts w:ascii="Times New Roman"/>
          <w:b/>
          <w:color w:val="444D60"/>
          <w:w w:val="90"/>
          <w:sz w:val="26"/>
          <w:szCs w:val="26"/>
        </w:rPr>
        <w:t>UNIV</w:t>
      </w:r>
      <w:r w:rsidRPr="002E0611">
        <w:rPr>
          <w:rFonts w:ascii="Times New Roman"/>
          <w:b/>
          <w:color w:val="444D60"/>
          <w:w w:val="90"/>
          <w:sz w:val="26"/>
          <w:szCs w:val="26"/>
        </w:rPr>
        <w:t>ERSITY</w:t>
      </w:r>
    </w:p>
    <w:p w:rsidR="0034754A" w:rsidRDefault="00DD5D77">
      <w:pPr>
        <w:spacing w:before="77"/>
        <w:ind w:left="2287"/>
        <w:rPr>
          <w:b/>
          <w:sz w:val="19"/>
        </w:rPr>
      </w:pPr>
      <w:r>
        <w:br w:type="column"/>
      </w:r>
      <w:r w:rsidR="00E860BA">
        <w:rPr>
          <w:b/>
          <w:color w:val="444D60"/>
          <w:w w:val="85"/>
          <w:sz w:val="19"/>
        </w:rPr>
        <w:t>Professor</w:t>
      </w:r>
      <w:r>
        <w:rPr>
          <w:b/>
          <w:color w:val="444D60"/>
          <w:w w:val="85"/>
          <w:sz w:val="19"/>
        </w:rPr>
        <w:t xml:space="preserve"> </w:t>
      </w:r>
      <w:r>
        <w:rPr>
          <w:b/>
          <w:color w:val="576072"/>
          <w:w w:val="85"/>
          <w:sz w:val="19"/>
        </w:rPr>
        <w:t>Tim</w:t>
      </w:r>
      <w:r>
        <w:rPr>
          <w:b/>
          <w:color w:val="576072"/>
          <w:spacing w:val="-3"/>
          <w:w w:val="85"/>
          <w:sz w:val="19"/>
        </w:rPr>
        <w:t xml:space="preserve"> </w:t>
      </w:r>
      <w:proofErr w:type="spellStart"/>
      <w:r>
        <w:rPr>
          <w:b/>
          <w:color w:val="444D60"/>
          <w:w w:val="85"/>
          <w:sz w:val="19"/>
        </w:rPr>
        <w:t>Brailsford</w:t>
      </w:r>
      <w:proofErr w:type="spellEnd"/>
    </w:p>
    <w:p w:rsidR="0034754A" w:rsidRDefault="00DD5D77">
      <w:pPr>
        <w:spacing w:before="11"/>
        <w:ind w:left="2305"/>
        <w:rPr>
          <w:b/>
          <w:sz w:val="15"/>
        </w:rPr>
      </w:pPr>
      <w:r>
        <w:rPr>
          <w:b/>
          <w:color w:val="444D60"/>
          <w:w w:val="90"/>
          <w:sz w:val="15"/>
        </w:rPr>
        <w:t>Vice-Chancellor</w:t>
      </w:r>
      <w:r>
        <w:rPr>
          <w:b/>
          <w:color w:val="444D60"/>
          <w:spacing w:val="-15"/>
          <w:w w:val="90"/>
          <w:sz w:val="15"/>
        </w:rPr>
        <w:t xml:space="preserve"> </w:t>
      </w:r>
      <w:r>
        <w:rPr>
          <w:b/>
          <w:color w:val="576072"/>
          <w:w w:val="90"/>
          <w:sz w:val="15"/>
        </w:rPr>
        <w:t>and</w:t>
      </w:r>
      <w:r>
        <w:rPr>
          <w:b/>
          <w:color w:val="576072"/>
          <w:spacing w:val="-17"/>
          <w:w w:val="90"/>
          <w:sz w:val="15"/>
        </w:rPr>
        <w:t xml:space="preserve"> </w:t>
      </w:r>
      <w:r>
        <w:rPr>
          <w:b/>
          <w:color w:val="444D60"/>
          <w:w w:val="90"/>
          <w:sz w:val="15"/>
        </w:rPr>
        <w:t>President</w:t>
      </w:r>
    </w:p>
    <w:p w:rsidR="0034754A" w:rsidRDefault="00DD5D77">
      <w:pPr>
        <w:spacing w:before="87" w:line="307" w:lineRule="auto"/>
        <w:ind w:left="2708" w:right="117" w:firstLine="649"/>
        <w:jc w:val="right"/>
        <w:rPr>
          <w:sz w:val="15"/>
        </w:rPr>
      </w:pPr>
      <w:r>
        <w:rPr>
          <w:color w:val="444D60"/>
          <w:w w:val="85"/>
          <w:sz w:val="15"/>
        </w:rPr>
        <w:t>Bond</w:t>
      </w:r>
      <w:r>
        <w:rPr>
          <w:color w:val="444D60"/>
          <w:spacing w:val="-22"/>
          <w:w w:val="85"/>
          <w:sz w:val="15"/>
        </w:rPr>
        <w:t xml:space="preserve"> </w:t>
      </w:r>
      <w:r>
        <w:rPr>
          <w:color w:val="444D60"/>
          <w:w w:val="85"/>
          <w:sz w:val="15"/>
        </w:rPr>
        <w:t>University</w:t>
      </w:r>
      <w:r>
        <w:rPr>
          <w:color w:val="444D60"/>
          <w:spacing w:val="-1"/>
          <w:w w:val="84"/>
          <w:sz w:val="15"/>
        </w:rPr>
        <w:t xml:space="preserve"> </w:t>
      </w:r>
      <w:r>
        <w:rPr>
          <w:color w:val="444D60"/>
          <w:w w:val="85"/>
          <w:sz w:val="15"/>
        </w:rPr>
        <w:t xml:space="preserve">Queensland </w:t>
      </w:r>
      <w:r>
        <w:rPr>
          <w:color w:val="576072"/>
          <w:w w:val="85"/>
          <w:sz w:val="15"/>
        </w:rPr>
        <w:t>4229</w:t>
      </w:r>
      <w:r>
        <w:rPr>
          <w:color w:val="576072"/>
          <w:spacing w:val="-25"/>
          <w:w w:val="85"/>
          <w:sz w:val="15"/>
        </w:rPr>
        <w:t xml:space="preserve"> </w:t>
      </w:r>
      <w:r>
        <w:rPr>
          <w:color w:val="576072"/>
          <w:w w:val="85"/>
          <w:sz w:val="15"/>
        </w:rPr>
        <w:t>Australia</w:t>
      </w:r>
    </w:p>
    <w:p w:rsidR="0034754A" w:rsidRDefault="00DD5D77">
      <w:pPr>
        <w:ind w:left="2374"/>
        <w:rPr>
          <w:sz w:val="15"/>
        </w:rPr>
      </w:pPr>
      <w:r>
        <w:rPr>
          <w:color w:val="444D60"/>
          <w:spacing w:val="-5"/>
          <w:w w:val="95"/>
          <w:sz w:val="15"/>
        </w:rPr>
        <w:t>Te</w:t>
      </w:r>
      <w:r>
        <w:rPr>
          <w:color w:val="212D34"/>
          <w:spacing w:val="-5"/>
          <w:w w:val="95"/>
          <w:sz w:val="15"/>
        </w:rPr>
        <w:t>l</w:t>
      </w:r>
      <w:r>
        <w:rPr>
          <w:color w:val="576072"/>
          <w:spacing w:val="-5"/>
          <w:w w:val="95"/>
          <w:sz w:val="15"/>
        </w:rPr>
        <w:t>epho</w:t>
      </w:r>
      <w:r>
        <w:rPr>
          <w:color w:val="31384D"/>
          <w:spacing w:val="-5"/>
          <w:w w:val="95"/>
          <w:sz w:val="15"/>
        </w:rPr>
        <w:t>ne:</w:t>
      </w:r>
      <w:r>
        <w:rPr>
          <w:color w:val="31384D"/>
          <w:spacing w:val="-22"/>
          <w:w w:val="95"/>
          <w:sz w:val="15"/>
        </w:rPr>
        <w:t xml:space="preserve"> </w:t>
      </w:r>
      <w:r>
        <w:rPr>
          <w:color w:val="576072"/>
          <w:w w:val="95"/>
          <w:sz w:val="15"/>
        </w:rPr>
        <w:t>+61</w:t>
      </w:r>
      <w:r>
        <w:rPr>
          <w:color w:val="576072"/>
          <w:spacing w:val="-19"/>
          <w:w w:val="95"/>
          <w:sz w:val="15"/>
        </w:rPr>
        <w:t xml:space="preserve"> </w:t>
      </w:r>
      <w:r>
        <w:rPr>
          <w:color w:val="444D60"/>
          <w:w w:val="95"/>
          <w:sz w:val="15"/>
        </w:rPr>
        <w:t>(0)7</w:t>
      </w:r>
      <w:r>
        <w:rPr>
          <w:color w:val="444D60"/>
          <w:spacing w:val="-18"/>
          <w:w w:val="95"/>
          <w:sz w:val="15"/>
        </w:rPr>
        <w:t xml:space="preserve"> </w:t>
      </w:r>
      <w:r>
        <w:rPr>
          <w:color w:val="576072"/>
          <w:w w:val="95"/>
          <w:sz w:val="15"/>
        </w:rPr>
        <w:t>55951050</w:t>
      </w:r>
    </w:p>
    <w:p w:rsidR="00E860BA" w:rsidRDefault="00DD5D77">
      <w:pPr>
        <w:spacing w:before="44" w:line="307" w:lineRule="auto"/>
        <w:ind w:left="2635" w:right="107" w:hanging="213"/>
        <w:jc w:val="right"/>
        <w:rPr>
          <w:color w:val="576072"/>
          <w:w w:val="88"/>
          <w:sz w:val="15"/>
        </w:rPr>
      </w:pPr>
      <w:r>
        <w:rPr>
          <w:color w:val="444D60"/>
          <w:w w:val="90"/>
          <w:sz w:val="15"/>
        </w:rPr>
        <w:t>Facsimile:</w:t>
      </w:r>
      <w:r>
        <w:rPr>
          <w:color w:val="444D60"/>
          <w:spacing w:val="-4"/>
          <w:w w:val="90"/>
          <w:sz w:val="15"/>
        </w:rPr>
        <w:t xml:space="preserve"> </w:t>
      </w:r>
      <w:r>
        <w:rPr>
          <w:color w:val="576072"/>
          <w:w w:val="90"/>
          <w:sz w:val="15"/>
        </w:rPr>
        <w:t>+</w:t>
      </w:r>
      <w:r>
        <w:rPr>
          <w:color w:val="576072"/>
          <w:spacing w:val="-6"/>
          <w:w w:val="90"/>
          <w:sz w:val="15"/>
        </w:rPr>
        <w:t xml:space="preserve"> </w:t>
      </w:r>
      <w:r>
        <w:rPr>
          <w:color w:val="576072"/>
          <w:spacing w:val="-3"/>
          <w:w w:val="90"/>
          <w:sz w:val="15"/>
        </w:rPr>
        <w:t>6</w:t>
      </w:r>
      <w:r>
        <w:rPr>
          <w:color w:val="31384D"/>
          <w:spacing w:val="-3"/>
          <w:w w:val="90"/>
          <w:sz w:val="15"/>
        </w:rPr>
        <w:t>1</w:t>
      </w:r>
      <w:r>
        <w:rPr>
          <w:color w:val="31384D"/>
          <w:spacing w:val="-16"/>
          <w:w w:val="90"/>
          <w:sz w:val="15"/>
        </w:rPr>
        <w:t xml:space="preserve"> </w:t>
      </w:r>
      <w:r>
        <w:rPr>
          <w:color w:val="31384D"/>
          <w:w w:val="90"/>
          <w:sz w:val="15"/>
        </w:rPr>
        <w:t>(0)7</w:t>
      </w:r>
      <w:r>
        <w:rPr>
          <w:color w:val="31384D"/>
          <w:spacing w:val="-13"/>
          <w:w w:val="90"/>
          <w:sz w:val="15"/>
        </w:rPr>
        <w:t xml:space="preserve"> </w:t>
      </w:r>
      <w:r>
        <w:rPr>
          <w:color w:val="444D60"/>
          <w:w w:val="90"/>
          <w:sz w:val="15"/>
        </w:rPr>
        <w:t>5595</w:t>
      </w:r>
      <w:r>
        <w:rPr>
          <w:color w:val="444D60"/>
          <w:spacing w:val="-12"/>
          <w:w w:val="90"/>
          <w:sz w:val="15"/>
        </w:rPr>
        <w:t xml:space="preserve"> </w:t>
      </w:r>
      <w:r>
        <w:rPr>
          <w:color w:val="444D60"/>
          <w:w w:val="90"/>
          <w:sz w:val="15"/>
        </w:rPr>
        <w:t>1026</w:t>
      </w:r>
      <w:r>
        <w:rPr>
          <w:color w:val="444D60"/>
          <w:spacing w:val="-1"/>
          <w:w w:val="88"/>
          <w:sz w:val="15"/>
        </w:rPr>
        <w:t xml:space="preserve"> </w:t>
      </w:r>
      <w:r>
        <w:rPr>
          <w:color w:val="444D60"/>
          <w:w w:val="85"/>
          <w:sz w:val="15"/>
        </w:rPr>
        <w:t>Ema</w:t>
      </w:r>
      <w:r>
        <w:rPr>
          <w:color w:val="1D4B4F"/>
          <w:w w:val="85"/>
          <w:sz w:val="15"/>
        </w:rPr>
        <w:t>il</w:t>
      </w:r>
      <w:r>
        <w:rPr>
          <w:color w:val="444D60"/>
          <w:w w:val="85"/>
          <w:sz w:val="15"/>
        </w:rPr>
        <w:t>:</w:t>
      </w:r>
      <w:r>
        <w:rPr>
          <w:color w:val="444D60"/>
          <w:spacing w:val="27"/>
          <w:w w:val="85"/>
          <w:sz w:val="15"/>
        </w:rPr>
        <w:t xml:space="preserve"> </w:t>
      </w:r>
      <w:hyperlink r:id="rId6">
        <w:r>
          <w:rPr>
            <w:color w:val="576072"/>
            <w:w w:val="85"/>
            <w:sz w:val="15"/>
          </w:rPr>
          <w:t>vc@bond.edu.au</w:t>
        </w:r>
      </w:hyperlink>
    </w:p>
    <w:p w:rsidR="0034754A" w:rsidRPr="00E860BA" w:rsidRDefault="00DD5D77">
      <w:pPr>
        <w:spacing w:before="44" w:line="307" w:lineRule="auto"/>
        <w:ind w:left="2635" w:right="107" w:hanging="213"/>
        <w:jc w:val="right"/>
        <w:rPr>
          <w:sz w:val="15"/>
          <w:szCs w:val="15"/>
        </w:rPr>
      </w:pPr>
      <w:r>
        <w:rPr>
          <w:color w:val="444D60"/>
          <w:spacing w:val="-1"/>
          <w:w w:val="95"/>
          <w:sz w:val="15"/>
        </w:rPr>
        <w:t>We</w:t>
      </w:r>
      <w:r w:rsidR="00E860BA">
        <w:rPr>
          <w:color w:val="444D60"/>
          <w:spacing w:val="-1"/>
          <w:w w:val="95"/>
          <w:sz w:val="15"/>
        </w:rPr>
        <w:t>bsite</w:t>
      </w:r>
      <w:r>
        <w:rPr>
          <w:color w:val="444D60"/>
          <w:w w:val="99"/>
          <w:sz w:val="15"/>
        </w:rPr>
        <w:t>:</w:t>
      </w:r>
      <w:r>
        <w:rPr>
          <w:color w:val="444D60"/>
          <w:spacing w:val="-18"/>
          <w:sz w:val="15"/>
        </w:rPr>
        <w:t xml:space="preserve"> </w:t>
      </w:r>
      <w:hyperlink r:id="rId7" w:history="1">
        <w:r w:rsidR="00E860BA" w:rsidRPr="00E860BA">
          <w:rPr>
            <w:color w:val="576072"/>
            <w:w w:val="85"/>
            <w:sz w:val="15"/>
            <w:szCs w:val="15"/>
          </w:rPr>
          <w:t>www.bond.edu.au</w:t>
        </w:r>
      </w:hyperlink>
    </w:p>
    <w:p w:rsidR="0034754A" w:rsidRDefault="00DD5D77">
      <w:pPr>
        <w:spacing w:before="10"/>
        <w:ind w:right="110"/>
        <w:jc w:val="right"/>
        <w:rPr>
          <w:sz w:val="12"/>
        </w:rPr>
      </w:pPr>
      <w:r>
        <w:rPr>
          <w:color w:val="576072"/>
          <w:spacing w:val="-6"/>
          <w:w w:val="90"/>
          <w:sz w:val="12"/>
        </w:rPr>
        <w:t>ABN</w:t>
      </w:r>
      <w:r>
        <w:rPr>
          <w:color w:val="727574"/>
          <w:spacing w:val="-6"/>
          <w:w w:val="90"/>
          <w:sz w:val="12"/>
        </w:rPr>
        <w:t>:</w:t>
      </w:r>
      <w:r>
        <w:rPr>
          <w:color w:val="727574"/>
          <w:spacing w:val="-18"/>
          <w:w w:val="90"/>
          <w:sz w:val="12"/>
        </w:rPr>
        <w:t xml:space="preserve"> </w:t>
      </w:r>
      <w:r>
        <w:rPr>
          <w:color w:val="576072"/>
          <w:w w:val="90"/>
          <w:sz w:val="12"/>
        </w:rPr>
        <w:t>88</w:t>
      </w:r>
      <w:r>
        <w:rPr>
          <w:color w:val="576072"/>
          <w:spacing w:val="-21"/>
          <w:w w:val="90"/>
          <w:sz w:val="12"/>
        </w:rPr>
        <w:t xml:space="preserve"> </w:t>
      </w:r>
      <w:r>
        <w:rPr>
          <w:color w:val="576072"/>
          <w:w w:val="90"/>
          <w:sz w:val="12"/>
        </w:rPr>
        <w:t>010</w:t>
      </w:r>
      <w:r>
        <w:rPr>
          <w:color w:val="576072"/>
          <w:spacing w:val="-18"/>
          <w:w w:val="90"/>
          <w:sz w:val="12"/>
        </w:rPr>
        <w:t xml:space="preserve"> </w:t>
      </w:r>
      <w:r>
        <w:rPr>
          <w:color w:val="576072"/>
          <w:w w:val="90"/>
          <w:sz w:val="12"/>
        </w:rPr>
        <w:t>694</w:t>
      </w:r>
      <w:r>
        <w:rPr>
          <w:color w:val="576072"/>
          <w:spacing w:val="-17"/>
          <w:w w:val="90"/>
          <w:sz w:val="12"/>
        </w:rPr>
        <w:t xml:space="preserve"> </w:t>
      </w:r>
      <w:r>
        <w:rPr>
          <w:color w:val="444D60"/>
          <w:w w:val="90"/>
          <w:sz w:val="12"/>
        </w:rPr>
        <w:t>121</w:t>
      </w:r>
    </w:p>
    <w:p w:rsidR="0034754A" w:rsidRDefault="0034754A">
      <w:pPr>
        <w:jc w:val="right"/>
        <w:rPr>
          <w:sz w:val="12"/>
        </w:rPr>
        <w:sectPr w:rsidR="0034754A">
          <w:type w:val="continuous"/>
          <w:pgSz w:w="11910" w:h="16820"/>
          <w:pgMar w:top="360" w:right="400" w:bottom="0" w:left="1360" w:header="720" w:footer="720" w:gutter="0"/>
          <w:cols w:num="2" w:space="720" w:equalWidth="0">
            <w:col w:w="5742" w:space="40"/>
            <w:col w:w="4368"/>
          </w:cols>
        </w:sectPr>
      </w:pPr>
    </w:p>
    <w:p w:rsidR="0034754A" w:rsidRDefault="002E0611">
      <w:pPr>
        <w:pStyle w:val="BodyText"/>
        <w:rPr>
          <w:sz w:val="20"/>
        </w:rPr>
      </w:pPr>
      <w:r>
        <w:pict>
          <v:line id="_x0000_s1026" style="position:absolute;z-index:1024;mso-position-horizontal-relative:page;mso-position-vertical-relative:page" from="594.5pt,840pt" to="594.5pt,146.1pt" strokeweight=".50883mm">
            <w10:wrap anchorx="page" anchory="page"/>
          </v:line>
        </w:pict>
      </w:r>
    </w:p>
    <w:p w:rsidR="0034754A" w:rsidRDefault="0034754A">
      <w:pPr>
        <w:pStyle w:val="BodyText"/>
        <w:rPr>
          <w:sz w:val="20"/>
        </w:rPr>
      </w:pPr>
    </w:p>
    <w:p w:rsidR="0034754A" w:rsidRDefault="0034754A">
      <w:pPr>
        <w:pStyle w:val="BodyText"/>
        <w:rPr>
          <w:sz w:val="20"/>
        </w:rPr>
      </w:pPr>
    </w:p>
    <w:p w:rsidR="0034754A" w:rsidRDefault="0034754A">
      <w:pPr>
        <w:pStyle w:val="BodyText"/>
        <w:rPr>
          <w:sz w:val="20"/>
        </w:rPr>
      </w:pPr>
    </w:p>
    <w:p w:rsidR="0034754A" w:rsidRDefault="0034754A">
      <w:pPr>
        <w:pStyle w:val="BodyText"/>
        <w:rPr>
          <w:sz w:val="20"/>
        </w:rPr>
      </w:pPr>
    </w:p>
    <w:p w:rsidR="0034754A" w:rsidRDefault="0034754A">
      <w:pPr>
        <w:pStyle w:val="BodyText"/>
        <w:spacing w:before="1"/>
        <w:rPr>
          <w:sz w:val="23"/>
        </w:rPr>
      </w:pPr>
    </w:p>
    <w:p w:rsidR="0034754A" w:rsidRDefault="00DD5D77">
      <w:pPr>
        <w:pStyle w:val="BodyText"/>
        <w:ind w:left="144"/>
      </w:pPr>
      <w:r>
        <w:rPr>
          <w:color w:val="131313"/>
        </w:rPr>
        <w:t>22 February 2019</w:t>
      </w:r>
    </w:p>
    <w:p w:rsidR="0034754A" w:rsidRDefault="0034754A">
      <w:pPr>
        <w:pStyle w:val="BodyText"/>
        <w:rPr>
          <w:sz w:val="20"/>
        </w:rPr>
      </w:pPr>
    </w:p>
    <w:p w:rsidR="0034754A" w:rsidRDefault="0034754A">
      <w:pPr>
        <w:pStyle w:val="BodyText"/>
        <w:spacing w:before="6"/>
        <w:rPr>
          <w:sz w:val="24"/>
        </w:rPr>
      </w:pPr>
    </w:p>
    <w:p w:rsidR="0034754A" w:rsidRPr="006B0B99" w:rsidRDefault="00DD5D77">
      <w:pPr>
        <w:pStyle w:val="BodyText"/>
        <w:spacing w:line="252" w:lineRule="auto"/>
        <w:ind w:left="136" w:right="7807" w:firstLine="2"/>
        <w:rPr>
          <w:color w:val="131313"/>
        </w:rPr>
      </w:pPr>
      <w:r>
        <w:rPr>
          <w:color w:val="131313"/>
        </w:rPr>
        <w:t xml:space="preserve">Hon. Robert S French AC Suite </w:t>
      </w:r>
      <w:r w:rsidRPr="006B0B99">
        <w:rPr>
          <w:color w:val="131313"/>
        </w:rPr>
        <w:t xml:space="preserve">2, </w:t>
      </w:r>
      <w:r>
        <w:rPr>
          <w:color w:val="131313"/>
        </w:rPr>
        <w:t xml:space="preserve">Level </w:t>
      </w:r>
      <w:r w:rsidRPr="006B0B99">
        <w:rPr>
          <w:color w:val="131313"/>
        </w:rPr>
        <w:t xml:space="preserve">13 </w:t>
      </w:r>
      <w:r>
        <w:rPr>
          <w:color w:val="131313"/>
        </w:rPr>
        <w:t>Allendale</w:t>
      </w:r>
      <w:r w:rsidRPr="006B0B99">
        <w:rPr>
          <w:color w:val="131313"/>
        </w:rPr>
        <w:t xml:space="preserve"> </w:t>
      </w:r>
      <w:r>
        <w:rPr>
          <w:color w:val="131313"/>
        </w:rPr>
        <w:t>Square</w:t>
      </w:r>
    </w:p>
    <w:p w:rsidR="0034754A" w:rsidRDefault="00DD5D77" w:rsidP="006B0B99">
      <w:pPr>
        <w:pStyle w:val="BodyText"/>
        <w:spacing w:line="252" w:lineRule="auto"/>
        <w:ind w:left="136" w:right="7807" w:firstLine="2"/>
      </w:pPr>
      <w:r w:rsidRPr="006B0B99">
        <w:rPr>
          <w:color w:val="131313"/>
        </w:rPr>
        <w:t xml:space="preserve">77 </w:t>
      </w:r>
      <w:r>
        <w:rPr>
          <w:color w:val="131313"/>
        </w:rPr>
        <w:t>St George's Terrace Perth WA 6000</w:t>
      </w:r>
    </w:p>
    <w:p w:rsidR="0034754A" w:rsidRDefault="0034754A">
      <w:pPr>
        <w:pStyle w:val="BodyText"/>
        <w:spacing w:before="1"/>
        <w:rPr>
          <w:sz w:val="21"/>
        </w:rPr>
      </w:pPr>
    </w:p>
    <w:p w:rsidR="0034754A" w:rsidRDefault="00DD5D77">
      <w:pPr>
        <w:pStyle w:val="BodyText"/>
        <w:ind w:left="129"/>
      </w:pPr>
      <w:r>
        <w:rPr>
          <w:color w:val="131313"/>
          <w:w w:val="105"/>
        </w:rPr>
        <w:t xml:space="preserve">Email: </w:t>
      </w:r>
      <w:hyperlink r:id="rId8">
        <w:r>
          <w:rPr>
            <w:color w:val="131313"/>
            <w:w w:val="105"/>
          </w:rPr>
          <w:t>sulcsj@bigpond.com</w:t>
        </w:r>
      </w:hyperlink>
    </w:p>
    <w:p w:rsidR="0034754A" w:rsidRDefault="0034754A">
      <w:pPr>
        <w:pStyle w:val="BodyText"/>
        <w:rPr>
          <w:sz w:val="20"/>
        </w:rPr>
      </w:pPr>
    </w:p>
    <w:p w:rsidR="0034754A" w:rsidRDefault="0034754A">
      <w:pPr>
        <w:pStyle w:val="BodyText"/>
        <w:spacing w:before="8"/>
        <w:rPr>
          <w:sz w:val="23"/>
        </w:rPr>
      </w:pPr>
    </w:p>
    <w:p w:rsidR="0034754A" w:rsidRDefault="00DD5D77">
      <w:pPr>
        <w:pStyle w:val="BodyText"/>
        <w:ind w:left="130"/>
      </w:pPr>
      <w:r>
        <w:rPr>
          <w:color w:val="131313"/>
        </w:rPr>
        <w:t>Dear Judge</w:t>
      </w:r>
    </w:p>
    <w:p w:rsidR="0034754A" w:rsidRDefault="0034754A">
      <w:pPr>
        <w:pStyle w:val="BodyText"/>
        <w:spacing w:before="7"/>
        <w:rPr>
          <w:sz w:val="23"/>
        </w:rPr>
      </w:pPr>
    </w:p>
    <w:p w:rsidR="0034754A" w:rsidRDefault="00DD5D77">
      <w:pPr>
        <w:pStyle w:val="BodyText"/>
        <w:spacing w:line="264" w:lineRule="auto"/>
        <w:ind w:left="130" w:right="195" w:hanging="14"/>
      </w:pPr>
      <w:r>
        <w:rPr>
          <w:color w:val="131313"/>
          <w:w w:val="105"/>
        </w:rPr>
        <w:t>I am writing in response to your letter of 8 February 2019 regarding the Freedom of Speech Review in Australian Higher Education and the proposed Draft Model Code.</w:t>
      </w:r>
    </w:p>
    <w:p w:rsidR="0034754A" w:rsidRDefault="0034754A">
      <w:pPr>
        <w:pStyle w:val="BodyText"/>
        <w:spacing w:before="3"/>
        <w:rPr>
          <w:sz w:val="21"/>
        </w:rPr>
      </w:pPr>
    </w:p>
    <w:p w:rsidR="0034754A" w:rsidRDefault="00DD5D77">
      <w:pPr>
        <w:pStyle w:val="BodyText"/>
        <w:spacing w:before="1" w:line="266" w:lineRule="auto"/>
        <w:ind w:left="117" w:right="1007" w:firstLine="7"/>
        <w:jc w:val="both"/>
      </w:pPr>
      <w:r>
        <w:rPr>
          <w:color w:val="131313"/>
          <w:w w:val="105"/>
        </w:rPr>
        <w:t>As we have previously advised, Bond University has a deep and abiding commitment to the principles of free expression and the expectation of unhindered intellectual inquiry that are embedded within the concept of academic freedom as defined in your report. This commitment is supported by our robust policy framework, which sets out the rights and responsibilities of all staff, students and visitors in this regard.</w:t>
      </w:r>
    </w:p>
    <w:p w:rsidR="0034754A" w:rsidRDefault="0034754A">
      <w:pPr>
        <w:pStyle w:val="BodyText"/>
        <w:spacing w:before="1"/>
        <w:rPr>
          <w:sz w:val="21"/>
        </w:rPr>
      </w:pPr>
    </w:p>
    <w:p w:rsidR="0034754A" w:rsidRDefault="00DD5D77">
      <w:pPr>
        <w:pStyle w:val="BodyText"/>
        <w:spacing w:before="1" w:line="264" w:lineRule="auto"/>
        <w:ind w:left="109" w:right="1020" w:hanging="3"/>
        <w:jc w:val="both"/>
      </w:pPr>
      <w:r>
        <w:rPr>
          <w:color w:val="131313"/>
        </w:rPr>
        <w:t>The Australian Higher Education sector is made up of an increasingly diverse set of institutions, with different histories, governance and ownership structures, and governing statutes. A continual challenge when dealing with the sector is striking an appropriate balance between a sector-wide approach, whilst allowing for the nuances</w:t>
      </w:r>
      <w:r w:rsidR="00473EEF">
        <w:rPr>
          <w:color w:val="131313"/>
        </w:rPr>
        <w:t xml:space="preserve"> and specific circumstances of individual institutions.  We believe</w:t>
      </w:r>
      <w:r>
        <w:rPr>
          <w:color w:val="131313"/>
        </w:rPr>
        <w:t xml:space="preserve"> that institutional autonomy and flexibility is aligned to our national </w:t>
      </w:r>
      <w:r w:rsidR="00473EEF">
        <w:rPr>
          <w:color w:val="131313"/>
        </w:rPr>
        <w:t>interest in ensuring a vibrant,</w:t>
      </w:r>
      <w:r>
        <w:rPr>
          <w:color w:val="131313"/>
        </w:rPr>
        <w:t xml:space="preserve"> </w:t>
      </w:r>
      <w:proofErr w:type="gramStart"/>
      <w:r>
        <w:rPr>
          <w:color w:val="131313"/>
        </w:rPr>
        <w:t>responsive  and</w:t>
      </w:r>
      <w:proofErr w:type="gramEnd"/>
      <w:r>
        <w:rPr>
          <w:color w:val="131313"/>
        </w:rPr>
        <w:t xml:space="preserve"> diverse higher education</w:t>
      </w:r>
      <w:r w:rsidR="00473EEF">
        <w:rPr>
          <w:color w:val="131313"/>
          <w:spacing w:val="52"/>
        </w:rPr>
        <w:t xml:space="preserve"> </w:t>
      </w:r>
      <w:r>
        <w:rPr>
          <w:color w:val="131313"/>
        </w:rPr>
        <w:t>sector.</w:t>
      </w:r>
    </w:p>
    <w:p w:rsidR="0034754A" w:rsidRDefault="0034754A">
      <w:pPr>
        <w:pStyle w:val="BodyText"/>
        <w:spacing w:before="1"/>
        <w:rPr>
          <w:sz w:val="22"/>
        </w:rPr>
      </w:pPr>
    </w:p>
    <w:p w:rsidR="0034754A" w:rsidRDefault="00DD5D77">
      <w:pPr>
        <w:pStyle w:val="BodyText"/>
        <w:spacing w:line="264" w:lineRule="auto"/>
        <w:ind w:left="108" w:right="1020" w:firstLine="5"/>
        <w:jc w:val="both"/>
      </w:pPr>
      <w:r>
        <w:rPr>
          <w:color w:val="131313"/>
          <w:w w:val="105"/>
        </w:rPr>
        <w:t>We note that the Draft Model Code is very broad in its scope and application and, if it were to be introduced as part of enforceable regulation, the implications for different institutions would vary widely and potentially be problematic. We point to specific matters below.</w:t>
      </w:r>
    </w:p>
    <w:p w:rsidR="0034754A" w:rsidRDefault="0034754A">
      <w:pPr>
        <w:pStyle w:val="BodyText"/>
        <w:spacing w:before="3"/>
        <w:rPr>
          <w:sz w:val="21"/>
        </w:rPr>
      </w:pPr>
    </w:p>
    <w:p w:rsidR="0034754A" w:rsidRDefault="00DD5D77">
      <w:pPr>
        <w:pStyle w:val="ListParagraph"/>
        <w:numPr>
          <w:ilvl w:val="0"/>
          <w:numId w:val="1"/>
        </w:numPr>
        <w:tabs>
          <w:tab w:val="left" w:pos="809"/>
        </w:tabs>
        <w:spacing w:line="266" w:lineRule="auto"/>
        <w:ind w:right="1031" w:hanging="351"/>
        <w:jc w:val="both"/>
        <w:rPr>
          <w:color w:val="131313"/>
          <w:sz w:val="19"/>
        </w:rPr>
      </w:pPr>
      <w:r>
        <w:rPr>
          <w:color w:val="131313"/>
          <w:w w:val="105"/>
          <w:sz w:val="19"/>
        </w:rPr>
        <w:t>The</w:t>
      </w:r>
      <w:r>
        <w:rPr>
          <w:color w:val="131313"/>
          <w:spacing w:val="-11"/>
          <w:w w:val="105"/>
          <w:sz w:val="19"/>
        </w:rPr>
        <w:t xml:space="preserve"> </w:t>
      </w:r>
      <w:r>
        <w:rPr>
          <w:color w:val="131313"/>
          <w:w w:val="105"/>
          <w:sz w:val="19"/>
        </w:rPr>
        <w:t>Code</w:t>
      </w:r>
      <w:r>
        <w:rPr>
          <w:color w:val="131313"/>
          <w:spacing w:val="-8"/>
          <w:w w:val="105"/>
          <w:sz w:val="19"/>
        </w:rPr>
        <w:t xml:space="preserve"> </w:t>
      </w:r>
      <w:r>
        <w:rPr>
          <w:color w:val="131313"/>
          <w:w w:val="105"/>
          <w:sz w:val="19"/>
        </w:rPr>
        <w:t>appears</w:t>
      </w:r>
      <w:r>
        <w:rPr>
          <w:color w:val="131313"/>
          <w:spacing w:val="-3"/>
          <w:w w:val="105"/>
          <w:sz w:val="19"/>
        </w:rPr>
        <w:t xml:space="preserve"> </w:t>
      </w:r>
      <w:r>
        <w:rPr>
          <w:color w:val="131313"/>
          <w:w w:val="105"/>
          <w:sz w:val="19"/>
        </w:rPr>
        <w:t>to</w:t>
      </w:r>
      <w:r>
        <w:rPr>
          <w:color w:val="131313"/>
          <w:spacing w:val="2"/>
          <w:w w:val="105"/>
          <w:sz w:val="19"/>
        </w:rPr>
        <w:t xml:space="preserve"> </w:t>
      </w:r>
      <w:r>
        <w:rPr>
          <w:color w:val="131313"/>
          <w:w w:val="105"/>
          <w:sz w:val="19"/>
        </w:rPr>
        <w:t>take</w:t>
      </w:r>
      <w:r>
        <w:rPr>
          <w:color w:val="131313"/>
          <w:spacing w:val="-12"/>
          <w:w w:val="105"/>
          <w:sz w:val="19"/>
        </w:rPr>
        <w:t xml:space="preserve"> </w:t>
      </w:r>
      <w:r>
        <w:rPr>
          <w:color w:val="131313"/>
          <w:w w:val="105"/>
          <w:sz w:val="19"/>
        </w:rPr>
        <w:t>the</w:t>
      </w:r>
      <w:r>
        <w:rPr>
          <w:color w:val="131313"/>
          <w:spacing w:val="-13"/>
          <w:w w:val="105"/>
          <w:sz w:val="19"/>
        </w:rPr>
        <w:t xml:space="preserve"> </w:t>
      </w:r>
      <w:r>
        <w:rPr>
          <w:color w:val="131313"/>
          <w:w w:val="105"/>
          <w:sz w:val="19"/>
        </w:rPr>
        <w:t>position</w:t>
      </w:r>
      <w:r>
        <w:rPr>
          <w:color w:val="131313"/>
          <w:spacing w:val="-1"/>
          <w:w w:val="105"/>
          <w:sz w:val="19"/>
        </w:rPr>
        <w:t xml:space="preserve"> </w:t>
      </w:r>
      <w:r>
        <w:rPr>
          <w:color w:val="131313"/>
          <w:w w:val="105"/>
          <w:sz w:val="19"/>
        </w:rPr>
        <w:t>that</w:t>
      </w:r>
      <w:r>
        <w:rPr>
          <w:color w:val="131313"/>
          <w:spacing w:val="-14"/>
          <w:w w:val="105"/>
          <w:sz w:val="19"/>
        </w:rPr>
        <w:t xml:space="preserve"> </w:t>
      </w:r>
      <w:r>
        <w:rPr>
          <w:color w:val="131313"/>
          <w:w w:val="105"/>
          <w:sz w:val="19"/>
        </w:rPr>
        <w:t>all</w:t>
      </w:r>
      <w:r>
        <w:rPr>
          <w:color w:val="131313"/>
          <w:spacing w:val="-8"/>
          <w:w w:val="105"/>
          <w:sz w:val="19"/>
        </w:rPr>
        <w:t xml:space="preserve"> </w:t>
      </w:r>
      <w:r>
        <w:rPr>
          <w:color w:val="131313"/>
          <w:w w:val="105"/>
          <w:sz w:val="19"/>
        </w:rPr>
        <w:t>Australian</w:t>
      </w:r>
      <w:r>
        <w:rPr>
          <w:color w:val="131313"/>
          <w:spacing w:val="1"/>
          <w:w w:val="105"/>
          <w:sz w:val="19"/>
        </w:rPr>
        <w:t xml:space="preserve"> </w:t>
      </w:r>
      <w:r>
        <w:rPr>
          <w:color w:val="131313"/>
          <w:w w:val="105"/>
          <w:sz w:val="19"/>
        </w:rPr>
        <w:t>universities</w:t>
      </w:r>
      <w:r>
        <w:rPr>
          <w:color w:val="131313"/>
          <w:spacing w:val="-3"/>
          <w:w w:val="105"/>
          <w:sz w:val="19"/>
        </w:rPr>
        <w:t xml:space="preserve"> </w:t>
      </w:r>
      <w:r>
        <w:rPr>
          <w:color w:val="131313"/>
          <w:w w:val="105"/>
          <w:sz w:val="19"/>
        </w:rPr>
        <w:t>are</w:t>
      </w:r>
      <w:r>
        <w:rPr>
          <w:color w:val="131313"/>
          <w:spacing w:val="-11"/>
          <w:w w:val="105"/>
          <w:sz w:val="19"/>
        </w:rPr>
        <w:t xml:space="preserve"> </w:t>
      </w:r>
      <w:r>
        <w:rPr>
          <w:color w:val="131313"/>
          <w:w w:val="105"/>
          <w:sz w:val="19"/>
        </w:rPr>
        <w:t>located</w:t>
      </w:r>
      <w:r>
        <w:rPr>
          <w:color w:val="131313"/>
          <w:spacing w:val="-10"/>
          <w:w w:val="105"/>
          <w:sz w:val="19"/>
        </w:rPr>
        <w:t xml:space="preserve"> </w:t>
      </w:r>
      <w:r>
        <w:rPr>
          <w:color w:val="131313"/>
          <w:w w:val="105"/>
          <w:sz w:val="19"/>
        </w:rPr>
        <w:t>on</w:t>
      </w:r>
      <w:r>
        <w:rPr>
          <w:color w:val="131313"/>
          <w:spacing w:val="-11"/>
          <w:w w:val="105"/>
          <w:sz w:val="19"/>
        </w:rPr>
        <w:t xml:space="preserve"> </w:t>
      </w:r>
      <w:r>
        <w:rPr>
          <w:color w:val="131313"/>
          <w:w w:val="105"/>
          <w:sz w:val="19"/>
        </w:rPr>
        <w:t>public</w:t>
      </w:r>
      <w:r>
        <w:rPr>
          <w:color w:val="131313"/>
          <w:spacing w:val="-5"/>
          <w:w w:val="105"/>
          <w:sz w:val="19"/>
        </w:rPr>
        <w:t xml:space="preserve"> </w:t>
      </w:r>
      <w:r>
        <w:rPr>
          <w:color w:val="131313"/>
          <w:w w:val="105"/>
          <w:sz w:val="19"/>
        </w:rPr>
        <w:t>land with facilities that might be viewed as public property. The Code then limits the circumstances under which a university might control entry of visitors onto its campus. While this might be a reasonable position to take at a publicly owned and funded institution, it would be inconsistent with the notion of a private university (such as Bond University) which owns its land and buildings withi</w:t>
      </w:r>
      <w:r w:rsidR="00473EEF">
        <w:rPr>
          <w:color w:val="131313"/>
          <w:w w:val="105"/>
          <w:sz w:val="19"/>
        </w:rPr>
        <w:t xml:space="preserve">n a private model.  Indeed, it </w:t>
      </w:r>
      <w:r>
        <w:rPr>
          <w:color w:val="131313"/>
          <w:w w:val="105"/>
          <w:sz w:val="19"/>
        </w:rPr>
        <w:t>is difficult to think of similar circumstances where a code like this seeks to overrule established legal principles of private property</w:t>
      </w:r>
      <w:r>
        <w:rPr>
          <w:color w:val="131313"/>
          <w:spacing w:val="-15"/>
          <w:w w:val="105"/>
          <w:sz w:val="19"/>
        </w:rPr>
        <w:t xml:space="preserve"> </w:t>
      </w:r>
      <w:r>
        <w:rPr>
          <w:color w:val="131313"/>
          <w:w w:val="105"/>
          <w:sz w:val="19"/>
        </w:rPr>
        <w:t>rights.</w:t>
      </w:r>
    </w:p>
    <w:p w:rsidR="0034754A" w:rsidRDefault="0034754A">
      <w:pPr>
        <w:pStyle w:val="BodyText"/>
        <w:spacing w:before="3"/>
        <w:rPr>
          <w:sz w:val="21"/>
        </w:rPr>
      </w:pPr>
    </w:p>
    <w:p w:rsidR="0034754A" w:rsidRDefault="00DD5D77">
      <w:pPr>
        <w:pStyle w:val="ListParagraph"/>
        <w:numPr>
          <w:ilvl w:val="0"/>
          <w:numId w:val="1"/>
        </w:numPr>
        <w:tabs>
          <w:tab w:val="left" w:pos="796"/>
        </w:tabs>
        <w:spacing w:line="266" w:lineRule="auto"/>
        <w:ind w:left="806" w:right="1037" w:hanging="350"/>
        <w:jc w:val="both"/>
        <w:rPr>
          <w:color w:val="131313"/>
          <w:sz w:val="19"/>
        </w:rPr>
      </w:pPr>
      <w:r>
        <w:rPr>
          <w:color w:val="131313"/>
          <w:w w:val="105"/>
          <w:sz w:val="19"/>
        </w:rPr>
        <w:t>In the specific case of Bond University, the university has a right to control access to its land and</w:t>
      </w:r>
      <w:r>
        <w:rPr>
          <w:color w:val="131313"/>
          <w:spacing w:val="-13"/>
          <w:w w:val="105"/>
          <w:sz w:val="19"/>
        </w:rPr>
        <w:t xml:space="preserve"> </w:t>
      </w:r>
      <w:r>
        <w:rPr>
          <w:color w:val="131313"/>
          <w:w w:val="105"/>
          <w:sz w:val="19"/>
        </w:rPr>
        <w:t>facilities,</w:t>
      </w:r>
      <w:r>
        <w:rPr>
          <w:color w:val="131313"/>
          <w:spacing w:val="-6"/>
          <w:w w:val="105"/>
          <w:sz w:val="19"/>
        </w:rPr>
        <w:t xml:space="preserve"> </w:t>
      </w:r>
      <w:r>
        <w:rPr>
          <w:color w:val="131313"/>
          <w:w w:val="105"/>
          <w:sz w:val="19"/>
        </w:rPr>
        <w:t>of</w:t>
      </w:r>
      <w:r>
        <w:rPr>
          <w:color w:val="131313"/>
          <w:spacing w:val="-12"/>
          <w:w w:val="105"/>
          <w:sz w:val="19"/>
        </w:rPr>
        <w:t xml:space="preserve"> </w:t>
      </w:r>
      <w:r>
        <w:rPr>
          <w:color w:val="131313"/>
          <w:w w:val="105"/>
          <w:sz w:val="19"/>
        </w:rPr>
        <w:t>which</w:t>
      </w:r>
      <w:r>
        <w:rPr>
          <w:color w:val="131313"/>
          <w:spacing w:val="-7"/>
          <w:w w:val="105"/>
          <w:sz w:val="19"/>
        </w:rPr>
        <w:t xml:space="preserve"> </w:t>
      </w:r>
      <w:r>
        <w:rPr>
          <w:color w:val="131313"/>
          <w:w w:val="105"/>
          <w:sz w:val="19"/>
        </w:rPr>
        <w:t>it</w:t>
      </w:r>
      <w:r>
        <w:rPr>
          <w:color w:val="131313"/>
          <w:spacing w:val="-5"/>
          <w:w w:val="105"/>
          <w:sz w:val="19"/>
        </w:rPr>
        <w:t xml:space="preserve"> </w:t>
      </w:r>
      <w:r>
        <w:rPr>
          <w:color w:val="131313"/>
          <w:w w:val="105"/>
          <w:sz w:val="19"/>
        </w:rPr>
        <w:t>is</w:t>
      </w:r>
      <w:r>
        <w:rPr>
          <w:color w:val="131313"/>
          <w:spacing w:val="-15"/>
          <w:w w:val="105"/>
          <w:sz w:val="19"/>
        </w:rPr>
        <w:t xml:space="preserve"> </w:t>
      </w:r>
      <w:r>
        <w:rPr>
          <w:color w:val="131313"/>
          <w:w w:val="105"/>
          <w:sz w:val="19"/>
        </w:rPr>
        <w:t>the</w:t>
      </w:r>
      <w:r>
        <w:rPr>
          <w:color w:val="131313"/>
          <w:spacing w:val="-13"/>
          <w:w w:val="105"/>
          <w:sz w:val="19"/>
        </w:rPr>
        <w:t xml:space="preserve"> </w:t>
      </w:r>
      <w:r>
        <w:rPr>
          <w:color w:val="131313"/>
          <w:w w:val="105"/>
          <w:sz w:val="19"/>
        </w:rPr>
        <w:t>registered</w:t>
      </w:r>
      <w:r>
        <w:rPr>
          <w:color w:val="131313"/>
          <w:spacing w:val="-2"/>
          <w:w w:val="105"/>
          <w:sz w:val="19"/>
        </w:rPr>
        <w:t xml:space="preserve"> </w:t>
      </w:r>
      <w:r>
        <w:rPr>
          <w:color w:val="131313"/>
          <w:w w:val="105"/>
          <w:sz w:val="19"/>
        </w:rPr>
        <w:t>proprietor</w:t>
      </w:r>
      <w:r>
        <w:rPr>
          <w:color w:val="131313"/>
          <w:spacing w:val="-4"/>
          <w:w w:val="105"/>
          <w:sz w:val="19"/>
        </w:rPr>
        <w:t xml:space="preserve"> </w:t>
      </w:r>
      <w:r>
        <w:rPr>
          <w:color w:val="131313"/>
          <w:w w:val="105"/>
          <w:sz w:val="19"/>
        </w:rPr>
        <w:t>in</w:t>
      </w:r>
      <w:r>
        <w:rPr>
          <w:color w:val="131313"/>
          <w:spacing w:val="-6"/>
          <w:w w:val="105"/>
          <w:sz w:val="19"/>
        </w:rPr>
        <w:t xml:space="preserve"> </w:t>
      </w:r>
      <w:r>
        <w:rPr>
          <w:color w:val="131313"/>
          <w:w w:val="105"/>
          <w:sz w:val="19"/>
        </w:rPr>
        <w:t>fee</w:t>
      </w:r>
      <w:r>
        <w:rPr>
          <w:color w:val="131313"/>
          <w:spacing w:val="-17"/>
          <w:w w:val="105"/>
          <w:sz w:val="19"/>
        </w:rPr>
        <w:t xml:space="preserve"> </w:t>
      </w:r>
      <w:r>
        <w:rPr>
          <w:color w:val="131313"/>
          <w:w w:val="105"/>
          <w:sz w:val="19"/>
        </w:rPr>
        <w:t>simple.</w:t>
      </w:r>
      <w:r>
        <w:rPr>
          <w:color w:val="131313"/>
          <w:spacing w:val="26"/>
          <w:w w:val="105"/>
          <w:sz w:val="19"/>
        </w:rPr>
        <w:t xml:space="preserve"> </w:t>
      </w:r>
      <w:r>
        <w:rPr>
          <w:color w:val="131313"/>
          <w:w w:val="105"/>
          <w:sz w:val="19"/>
        </w:rPr>
        <w:t>In</w:t>
      </w:r>
      <w:r>
        <w:rPr>
          <w:color w:val="131313"/>
          <w:spacing w:val="24"/>
          <w:w w:val="105"/>
          <w:sz w:val="19"/>
        </w:rPr>
        <w:t xml:space="preserve"> </w:t>
      </w:r>
      <w:r>
        <w:rPr>
          <w:color w:val="131313"/>
          <w:w w:val="105"/>
          <w:sz w:val="19"/>
        </w:rPr>
        <w:t>this</w:t>
      </w:r>
      <w:r>
        <w:rPr>
          <w:color w:val="131313"/>
          <w:spacing w:val="-17"/>
          <w:w w:val="105"/>
          <w:sz w:val="19"/>
        </w:rPr>
        <w:t xml:space="preserve"> </w:t>
      </w:r>
      <w:r>
        <w:rPr>
          <w:color w:val="131313"/>
          <w:w w:val="105"/>
          <w:sz w:val="19"/>
        </w:rPr>
        <w:t>context,</w:t>
      </w:r>
      <w:r>
        <w:rPr>
          <w:color w:val="131313"/>
          <w:spacing w:val="-13"/>
          <w:w w:val="105"/>
          <w:sz w:val="19"/>
        </w:rPr>
        <w:t xml:space="preserve"> </w:t>
      </w:r>
      <w:r>
        <w:rPr>
          <w:color w:val="131313"/>
          <w:w w:val="105"/>
          <w:sz w:val="19"/>
        </w:rPr>
        <w:t>the</w:t>
      </w:r>
      <w:r>
        <w:rPr>
          <w:color w:val="131313"/>
          <w:spacing w:val="-11"/>
          <w:w w:val="105"/>
          <w:sz w:val="19"/>
        </w:rPr>
        <w:t xml:space="preserve"> </w:t>
      </w:r>
      <w:r>
        <w:rPr>
          <w:color w:val="131313"/>
          <w:w w:val="105"/>
          <w:sz w:val="19"/>
        </w:rPr>
        <w:t>conditions proposed in the Code which would allow refusal of visitors are impracticably</w:t>
      </w:r>
      <w:r>
        <w:rPr>
          <w:color w:val="131313"/>
          <w:spacing w:val="5"/>
          <w:w w:val="105"/>
          <w:sz w:val="19"/>
        </w:rPr>
        <w:t xml:space="preserve"> </w:t>
      </w:r>
      <w:r>
        <w:rPr>
          <w:color w:val="131313"/>
          <w:w w:val="105"/>
          <w:sz w:val="19"/>
        </w:rPr>
        <w:t>narrow.</w:t>
      </w:r>
    </w:p>
    <w:p w:rsidR="0034754A" w:rsidRDefault="0034754A">
      <w:pPr>
        <w:spacing w:line="266" w:lineRule="auto"/>
        <w:jc w:val="both"/>
        <w:rPr>
          <w:sz w:val="19"/>
        </w:rPr>
        <w:sectPr w:rsidR="0034754A">
          <w:type w:val="continuous"/>
          <w:pgSz w:w="11910" w:h="16820"/>
          <w:pgMar w:top="360" w:right="400" w:bottom="0" w:left="1360" w:header="720" w:footer="720" w:gutter="0"/>
          <w:cols w:space="720"/>
        </w:sectPr>
      </w:pPr>
    </w:p>
    <w:p w:rsidR="0034754A" w:rsidRDefault="00DD5D77">
      <w:pPr>
        <w:pStyle w:val="ListParagraph"/>
        <w:numPr>
          <w:ilvl w:val="0"/>
          <w:numId w:val="1"/>
        </w:numPr>
        <w:tabs>
          <w:tab w:val="left" w:pos="856"/>
        </w:tabs>
        <w:spacing w:before="63" w:line="252" w:lineRule="auto"/>
        <w:ind w:left="860" w:hanging="351"/>
        <w:jc w:val="both"/>
        <w:rPr>
          <w:color w:val="151515"/>
          <w:sz w:val="20"/>
        </w:rPr>
      </w:pPr>
      <w:r>
        <w:rPr>
          <w:color w:val="151515"/>
          <w:sz w:val="20"/>
        </w:rPr>
        <w:lastRenderedPageBreak/>
        <w:t xml:space="preserve">The definition of invited visitor is very broad. </w:t>
      </w:r>
      <w:r w:rsidRPr="00DD5D77">
        <w:rPr>
          <w:color w:val="151515"/>
          <w:sz w:val="20"/>
        </w:rPr>
        <w:t xml:space="preserve">It </w:t>
      </w:r>
      <w:r>
        <w:rPr>
          <w:color w:val="151515"/>
          <w:sz w:val="20"/>
        </w:rPr>
        <w:t>should not be expected that every student society or association or group of students or representative body, or member or members of the academic staff, should be able to act on behalf of the University in inviting visitors to use the University's land or facilities. Universities are institutions that engage several thousand students and staff members and it is both impractical and inappropriate to imply that every individual can act on behalf of the</w:t>
      </w:r>
      <w:r>
        <w:rPr>
          <w:color w:val="151515"/>
          <w:spacing w:val="26"/>
          <w:sz w:val="20"/>
        </w:rPr>
        <w:t xml:space="preserve"> </w:t>
      </w:r>
      <w:r>
        <w:rPr>
          <w:color w:val="151515"/>
          <w:sz w:val="20"/>
        </w:rPr>
        <w:t>institution.</w:t>
      </w:r>
    </w:p>
    <w:p w:rsidR="0034754A" w:rsidRDefault="0034754A">
      <w:pPr>
        <w:pStyle w:val="BodyText"/>
        <w:spacing w:before="11"/>
        <w:rPr>
          <w:sz w:val="20"/>
        </w:rPr>
      </w:pPr>
    </w:p>
    <w:p w:rsidR="0034754A" w:rsidRDefault="00DD5D77">
      <w:pPr>
        <w:pStyle w:val="ListParagraph"/>
        <w:numPr>
          <w:ilvl w:val="0"/>
          <w:numId w:val="1"/>
        </w:numPr>
        <w:tabs>
          <w:tab w:val="left" w:pos="851"/>
        </w:tabs>
        <w:spacing w:line="254" w:lineRule="auto"/>
        <w:ind w:left="848" w:right="117" w:hanging="347"/>
        <w:jc w:val="both"/>
        <w:rPr>
          <w:color w:val="151515"/>
          <w:sz w:val="20"/>
        </w:rPr>
      </w:pPr>
      <w:r>
        <w:rPr>
          <w:color w:val="151515"/>
          <w:sz w:val="20"/>
        </w:rPr>
        <w:t>The definition of academic freedom in the Code infers that academic staff and students are free to make comment, in their capacity as an officer of the university, on issues that may be outside of their subjects of study or research, if their opinion relates to the University. In this sense, the definition of academic freedom in the Code is at odds with other elements of the same definition and the application of scholarly standards that would otherwise be expected. For instance, the Code provides the right for staff and students to make comment on areas outside of their subjects of study and research in a private capacity</w:t>
      </w:r>
      <w:r>
        <w:rPr>
          <w:color w:val="151515"/>
          <w:spacing w:val="14"/>
          <w:sz w:val="20"/>
        </w:rPr>
        <w:t xml:space="preserve"> </w:t>
      </w:r>
      <w:r>
        <w:rPr>
          <w:color w:val="151515"/>
          <w:sz w:val="20"/>
        </w:rPr>
        <w:t>only.</w:t>
      </w:r>
    </w:p>
    <w:p w:rsidR="0034754A" w:rsidRDefault="0034754A">
      <w:pPr>
        <w:pStyle w:val="BodyText"/>
        <w:rPr>
          <w:sz w:val="20"/>
        </w:rPr>
      </w:pPr>
    </w:p>
    <w:p w:rsidR="0034754A" w:rsidRDefault="00DD5D77">
      <w:pPr>
        <w:pStyle w:val="ListParagraph"/>
        <w:numPr>
          <w:ilvl w:val="0"/>
          <w:numId w:val="1"/>
        </w:numPr>
        <w:tabs>
          <w:tab w:val="left" w:pos="841"/>
        </w:tabs>
        <w:spacing w:line="254" w:lineRule="auto"/>
        <w:ind w:left="846" w:right="124" w:hanging="351"/>
        <w:jc w:val="both"/>
        <w:rPr>
          <w:color w:val="151515"/>
          <w:sz w:val="20"/>
        </w:rPr>
      </w:pPr>
      <w:r>
        <w:rPr>
          <w:color w:val="151515"/>
          <w:sz w:val="20"/>
        </w:rPr>
        <w:t>The rights established by the Code work in one direction only. Restrictions are placed on the institution, but there appear no corresponding obligations placed on the person or group who is granted rights to behave professionally or reasonably. While these obligations may be implied,</w:t>
      </w:r>
      <w:r>
        <w:rPr>
          <w:color w:val="151515"/>
          <w:spacing w:val="-4"/>
          <w:sz w:val="20"/>
        </w:rPr>
        <w:t xml:space="preserve"> </w:t>
      </w:r>
      <w:r>
        <w:rPr>
          <w:color w:val="151515"/>
          <w:sz w:val="20"/>
        </w:rPr>
        <w:t>the</w:t>
      </w:r>
      <w:r>
        <w:rPr>
          <w:color w:val="151515"/>
          <w:spacing w:val="-9"/>
          <w:sz w:val="20"/>
        </w:rPr>
        <w:t xml:space="preserve"> </w:t>
      </w:r>
      <w:r>
        <w:rPr>
          <w:color w:val="151515"/>
          <w:sz w:val="20"/>
        </w:rPr>
        <w:t>detailed</w:t>
      </w:r>
      <w:r>
        <w:rPr>
          <w:color w:val="151515"/>
          <w:spacing w:val="-9"/>
          <w:sz w:val="20"/>
        </w:rPr>
        <w:t xml:space="preserve"> </w:t>
      </w:r>
      <w:r>
        <w:rPr>
          <w:color w:val="151515"/>
          <w:sz w:val="20"/>
        </w:rPr>
        <w:t>and</w:t>
      </w:r>
      <w:r>
        <w:rPr>
          <w:color w:val="151515"/>
          <w:spacing w:val="-12"/>
          <w:sz w:val="20"/>
        </w:rPr>
        <w:t xml:space="preserve"> </w:t>
      </w:r>
      <w:r>
        <w:rPr>
          <w:color w:val="151515"/>
          <w:sz w:val="20"/>
        </w:rPr>
        <w:t>explicit</w:t>
      </w:r>
      <w:r>
        <w:rPr>
          <w:color w:val="151515"/>
          <w:spacing w:val="-3"/>
          <w:sz w:val="20"/>
        </w:rPr>
        <w:t xml:space="preserve"> </w:t>
      </w:r>
      <w:r>
        <w:rPr>
          <w:color w:val="151515"/>
          <w:sz w:val="20"/>
        </w:rPr>
        <w:t>nature</w:t>
      </w:r>
      <w:r>
        <w:rPr>
          <w:color w:val="151515"/>
          <w:spacing w:val="-10"/>
          <w:sz w:val="20"/>
        </w:rPr>
        <w:t xml:space="preserve"> </w:t>
      </w:r>
      <w:r>
        <w:rPr>
          <w:color w:val="151515"/>
          <w:sz w:val="20"/>
        </w:rPr>
        <w:t>of</w:t>
      </w:r>
      <w:r>
        <w:rPr>
          <w:color w:val="151515"/>
          <w:spacing w:val="-12"/>
          <w:sz w:val="20"/>
        </w:rPr>
        <w:t xml:space="preserve"> </w:t>
      </w:r>
      <w:r>
        <w:rPr>
          <w:color w:val="151515"/>
          <w:sz w:val="20"/>
        </w:rPr>
        <w:t>outlining</w:t>
      </w:r>
      <w:r>
        <w:rPr>
          <w:color w:val="151515"/>
          <w:spacing w:val="-4"/>
          <w:sz w:val="20"/>
        </w:rPr>
        <w:t xml:space="preserve"> </w:t>
      </w:r>
      <w:r>
        <w:rPr>
          <w:color w:val="151515"/>
          <w:sz w:val="20"/>
        </w:rPr>
        <w:t>institutional</w:t>
      </w:r>
      <w:r>
        <w:rPr>
          <w:color w:val="151515"/>
          <w:spacing w:val="1"/>
          <w:sz w:val="20"/>
        </w:rPr>
        <w:t xml:space="preserve"> </w:t>
      </w:r>
      <w:r>
        <w:rPr>
          <w:color w:val="151515"/>
          <w:sz w:val="20"/>
        </w:rPr>
        <w:t>responsibility</w:t>
      </w:r>
      <w:r>
        <w:rPr>
          <w:color w:val="151515"/>
          <w:spacing w:val="-13"/>
          <w:sz w:val="20"/>
        </w:rPr>
        <w:t xml:space="preserve"> </w:t>
      </w:r>
      <w:r>
        <w:rPr>
          <w:color w:val="151515"/>
          <w:sz w:val="20"/>
        </w:rPr>
        <w:t>sits</w:t>
      </w:r>
      <w:r>
        <w:rPr>
          <w:color w:val="151515"/>
          <w:spacing w:val="-11"/>
          <w:sz w:val="20"/>
        </w:rPr>
        <w:t xml:space="preserve"> </w:t>
      </w:r>
      <w:r>
        <w:rPr>
          <w:color w:val="151515"/>
          <w:sz w:val="20"/>
        </w:rPr>
        <w:t>rather starkly in the absence of personal</w:t>
      </w:r>
      <w:r>
        <w:rPr>
          <w:color w:val="151515"/>
          <w:spacing w:val="27"/>
          <w:sz w:val="20"/>
        </w:rPr>
        <w:t xml:space="preserve"> </w:t>
      </w:r>
      <w:r>
        <w:rPr>
          <w:color w:val="151515"/>
          <w:sz w:val="20"/>
        </w:rPr>
        <w:t>responsibility.</w:t>
      </w:r>
    </w:p>
    <w:p w:rsidR="0034754A" w:rsidRDefault="0034754A">
      <w:pPr>
        <w:pStyle w:val="BodyText"/>
        <w:spacing w:before="7"/>
        <w:rPr>
          <w:sz w:val="20"/>
        </w:rPr>
      </w:pPr>
    </w:p>
    <w:p w:rsidR="0034754A" w:rsidRDefault="00DD5D77">
      <w:pPr>
        <w:spacing w:line="252" w:lineRule="auto"/>
        <w:ind w:left="125" w:right="132" w:hanging="1"/>
        <w:jc w:val="both"/>
        <w:rPr>
          <w:sz w:val="20"/>
        </w:rPr>
      </w:pPr>
      <w:r>
        <w:rPr>
          <w:color w:val="151515"/>
          <w:sz w:val="20"/>
        </w:rPr>
        <w:t>Thank you for the opportunity to comment on the Draft Model Code. On balance, we submit that the draft Code does not meet the objective of affirming institutional autonomy. We do not agree that it would be appropriate for the current draft Code to prevail over the local regulations and policies in place at each University, and specifically Bond University.</w:t>
      </w:r>
    </w:p>
    <w:p w:rsidR="0034754A" w:rsidRDefault="0034754A">
      <w:pPr>
        <w:pStyle w:val="BodyText"/>
        <w:rPr>
          <w:sz w:val="22"/>
        </w:rPr>
      </w:pPr>
    </w:p>
    <w:p w:rsidR="0034754A" w:rsidRDefault="0034754A">
      <w:pPr>
        <w:pStyle w:val="BodyText"/>
        <w:spacing w:before="7"/>
        <w:rPr>
          <w:sz w:val="20"/>
        </w:rPr>
      </w:pPr>
    </w:p>
    <w:p w:rsidR="0034754A" w:rsidRDefault="00DD5D77">
      <w:pPr>
        <w:ind w:left="128"/>
        <w:jc w:val="both"/>
        <w:rPr>
          <w:sz w:val="20"/>
        </w:rPr>
      </w:pPr>
      <w:r>
        <w:rPr>
          <w:color w:val="151515"/>
          <w:sz w:val="20"/>
        </w:rPr>
        <w:t>Yours sincerely</w:t>
      </w:r>
    </w:p>
    <w:p w:rsidR="0034754A" w:rsidRDefault="00DD5D77">
      <w:pPr>
        <w:pStyle w:val="BodyText"/>
        <w:spacing w:before="8"/>
        <w:rPr>
          <w:sz w:val="29"/>
        </w:rPr>
      </w:pPr>
      <w:r>
        <w:rPr>
          <w:noProof/>
          <w:lang w:val="en-AU" w:eastAsia="en-AU"/>
        </w:rPr>
        <w:drawing>
          <wp:anchor distT="0" distB="0" distL="0" distR="0" simplePos="0" relativeHeight="251658240" behindDoc="0" locked="0" layoutInCell="1" allowOverlap="1">
            <wp:simplePos x="0" y="0"/>
            <wp:positionH relativeFrom="page">
              <wp:posOffset>1013561</wp:posOffset>
            </wp:positionH>
            <wp:positionV relativeFrom="paragraph">
              <wp:posOffset>242056</wp:posOffset>
            </wp:positionV>
            <wp:extent cx="1976001" cy="3048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76001" cy="304800"/>
                    </a:xfrm>
                    <a:prstGeom prst="rect">
                      <a:avLst/>
                    </a:prstGeom>
                  </pic:spPr>
                </pic:pic>
              </a:graphicData>
            </a:graphic>
          </wp:anchor>
        </w:drawing>
      </w:r>
    </w:p>
    <w:p w:rsidR="0034754A" w:rsidRDefault="0034754A">
      <w:pPr>
        <w:pStyle w:val="BodyText"/>
        <w:spacing w:before="9"/>
        <w:rPr>
          <w:sz w:val="28"/>
        </w:rPr>
      </w:pPr>
    </w:p>
    <w:p w:rsidR="0034754A" w:rsidRDefault="00DD5D77">
      <w:pPr>
        <w:spacing w:before="1"/>
        <w:ind w:left="119"/>
        <w:jc w:val="both"/>
        <w:rPr>
          <w:b/>
          <w:sz w:val="20"/>
        </w:rPr>
      </w:pPr>
      <w:r>
        <w:rPr>
          <w:b/>
          <w:color w:val="151515"/>
          <w:w w:val="105"/>
          <w:sz w:val="20"/>
        </w:rPr>
        <w:t xml:space="preserve">Professor Tim </w:t>
      </w:r>
      <w:proofErr w:type="spellStart"/>
      <w:r>
        <w:rPr>
          <w:b/>
          <w:color w:val="151515"/>
          <w:w w:val="105"/>
          <w:sz w:val="20"/>
        </w:rPr>
        <w:t>Brailsford</w:t>
      </w:r>
      <w:proofErr w:type="spellEnd"/>
    </w:p>
    <w:p w:rsidR="0034754A" w:rsidRDefault="00DD5D77">
      <w:pPr>
        <w:spacing w:before="15"/>
        <w:ind w:left="119"/>
        <w:jc w:val="both"/>
        <w:rPr>
          <w:b/>
          <w:sz w:val="20"/>
        </w:rPr>
      </w:pPr>
      <w:r>
        <w:rPr>
          <w:b/>
          <w:color w:val="151515"/>
          <w:w w:val="105"/>
          <w:sz w:val="20"/>
        </w:rPr>
        <w:t>Vice-Chancellor and President</w:t>
      </w:r>
    </w:p>
    <w:p w:rsidR="0034754A" w:rsidRDefault="0034754A">
      <w:pPr>
        <w:pStyle w:val="BodyText"/>
        <w:rPr>
          <w:b/>
          <w:sz w:val="22"/>
        </w:rPr>
      </w:pPr>
    </w:p>
    <w:p w:rsidR="0034754A" w:rsidRDefault="0034754A">
      <w:pPr>
        <w:pStyle w:val="BodyText"/>
        <w:spacing w:before="1"/>
        <w:rPr>
          <w:b/>
          <w:sz w:val="21"/>
        </w:rPr>
      </w:pPr>
    </w:p>
    <w:p w:rsidR="0034754A" w:rsidRDefault="00DD5D77">
      <w:pPr>
        <w:ind w:left="111"/>
        <w:jc w:val="both"/>
        <w:rPr>
          <w:sz w:val="20"/>
        </w:rPr>
      </w:pPr>
      <w:r>
        <w:rPr>
          <w:color w:val="151515"/>
          <w:sz w:val="20"/>
        </w:rPr>
        <w:t>cc: Secretariat for Review of Freedom of Speech</w:t>
      </w: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rPr>
          <w:sz w:val="22"/>
        </w:rPr>
      </w:pPr>
    </w:p>
    <w:p w:rsidR="0034754A" w:rsidRDefault="0034754A">
      <w:pPr>
        <w:pStyle w:val="BodyText"/>
        <w:spacing w:before="11"/>
        <w:rPr>
          <w:sz w:val="24"/>
        </w:rPr>
      </w:pPr>
    </w:p>
    <w:p w:rsidR="0034754A" w:rsidRDefault="00DD5D77">
      <w:pPr>
        <w:ind w:right="162"/>
        <w:jc w:val="right"/>
        <w:rPr>
          <w:sz w:val="16"/>
        </w:rPr>
      </w:pPr>
      <w:r>
        <w:rPr>
          <w:color w:val="151515"/>
          <w:w w:val="105"/>
          <w:sz w:val="16"/>
        </w:rPr>
        <w:t>2</w:t>
      </w:r>
    </w:p>
    <w:sectPr w:rsidR="0034754A">
      <w:pgSz w:w="11960" w:h="16860"/>
      <w:pgMar w:top="1420" w:right="128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73032"/>
    <w:multiLevelType w:val="hybridMultilevel"/>
    <w:tmpl w:val="6396E4AC"/>
    <w:lvl w:ilvl="0" w:tplc="381CFFC2">
      <w:start w:val="1"/>
      <w:numFmt w:val="decimal"/>
      <w:lvlText w:val="%1."/>
      <w:lvlJc w:val="left"/>
      <w:pPr>
        <w:ind w:left="811" w:hanging="348"/>
        <w:jc w:val="left"/>
      </w:pPr>
      <w:rPr>
        <w:rFonts w:hint="default"/>
        <w:spacing w:val="-1"/>
        <w:w w:val="109"/>
      </w:rPr>
    </w:lvl>
    <w:lvl w:ilvl="1" w:tplc="604470FE">
      <w:numFmt w:val="bullet"/>
      <w:lvlText w:val="•"/>
      <w:lvlJc w:val="left"/>
      <w:pPr>
        <w:ind w:left="1752" w:hanging="348"/>
      </w:pPr>
      <w:rPr>
        <w:rFonts w:hint="default"/>
      </w:rPr>
    </w:lvl>
    <w:lvl w:ilvl="2" w:tplc="358A3D92">
      <w:numFmt w:val="bullet"/>
      <w:lvlText w:val="•"/>
      <w:lvlJc w:val="left"/>
      <w:pPr>
        <w:ind w:left="2684" w:hanging="348"/>
      </w:pPr>
      <w:rPr>
        <w:rFonts w:hint="default"/>
      </w:rPr>
    </w:lvl>
    <w:lvl w:ilvl="3" w:tplc="67E63E7A">
      <w:numFmt w:val="bullet"/>
      <w:lvlText w:val="•"/>
      <w:lvlJc w:val="left"/>
      <w:pPr>
        <w:ind w:left="3617" w:hanging="348"/>
      </w:pPr>
      <w:rPr>
        <w:rFonts w:hint="default"/>
      </w:rPr>
    </w:lvl>
    <w:lvl w:ilvl="4" w:tplc="54BAFA8E">
      <w:numFmt w:val="bullet"/>
      <w:lvlText w:val="•"/>
      <w:lvlJc w:val="left"/>
      <w:pPr>
        <w:ind w:left="4549" w:hanging="348"/>
      </w:pPr>
      <w:rPr>
        <w:rFonts w:hint="default"/>
      </w:rPr>
    </w:lvl>
    <w:lvl w:ilvl="5" w:tplc="C6C898B6">
      <w:numFmt w:val="bullet"/>
      <w:lvlText w:val="•"/>
      <w:lvlJc w:val="left"/>
      <w:pPr>
        <w:ind w:left="5482" w:hanging="348"/>
      </w:pPr>
      <w:rPr>
        <w:rFonts w:hint="default"/>
      </w:rPr>
    </w:lvl>
    <w:lvl w:ilvl="6" w:tplc="0AAA7A40">
      <w:numFmt w:val="bullet"/>
      <w:lvlText w:val="•"/>
      <w:lvlJc w:val="left"/>
      <w:pPr>
        <w:ind w:left="6414" w:hanging="348"/>
      </w:pPr>
      <w:rPr>
        <w:rFonts w:hint="default"/>
      </w:rPr>
    </w:lvl>
    <w:lvl w:ilvl="7" w:tplc="545CE54C">
      <w:numFmt w:val="bullet"/>
      <w:lvlText w:val="•"/>
      <w:lvlJc w:val="left"/>
      <w:pPr>
        <w:ind w:left="7346" w:hanging="348"/>
      </w:pPr>
      <w:rPr>
        <w:rFonts w:hint="default"/>
      </w:rPr>
    </w:lvl>
    <w:lvl w:ilvl="8" w:tplc="36E4199E">
      <w:numFmt w:val="bullet"/>
      <w:lvlText w:val="•"/>
      <w:lvlJc w:val="left"/>
      <w:pPr>
        <w:ind w:left="8279"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4754A"/>
    <w:rsid w:val="002E0611"/>
    <w:rsid w:val="0034754A"/>
    <w:rsid w:val="00473EEF"/>
    <w:rsid w:val="006B0B99"/>
    <w:rsid w:val="00DD5D77"/>
    <w:rsid w:val="00E86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BCE30"/>
  <w15:docId w15:val="{48FCA00D-363C-4482-AF34-D731E107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06" w:right="114" w:hanging="35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6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ulcsj@bigpond.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ond.edu.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bond.edu.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A0067-1D07-47D8-9158-8A6D859D0EBC}"/>
</file>

<file path=customXml/itemProps2.xml><?xml version="1.0" encoding="utf-8"?>
<ds:datastoreItem xmlns:ds="http://schemas.openxmlformats.org/officeDocument/2006/customXml" ds:itemID="{17965AED-6C08-462D-827D-CD90AD245A77}"/>
</file>

<file path=customXml/itemProps3.xml><?xml version="1.0" encoding="utf-8"?>
<ds:datastoreItem xmlns:ds="http://schemas.openxmlformats.org/officeDocument/2006/customXml" ds:itemID="{439D0D31-5EAF-4471-9ECC-584AC63396E3}"/>
</file>

<file path=docProps/app.xml><?xml version="1.0" encoding="utf-8"?>
<Properties xmlns="http://schemas.openxmlformats.org/officeDocument/2006/extended-properties" xmlns:vt="http://schemas.openxmlformats.org/officeDocument/2006/docPropsVTypes">
  <Template>1CEE2222.dotm</Template>
  <TotalTime>2</TotalTime>
  <Pages>2</Pages>
  <Words>745</Words>
  <Characters>4250</Characters>
  <Application>Microsoft Office Word</Application>
  <DocSecurity>0</DocSecurity>
  <Lines>35</Lines>
  <Paragraphs>9</Paragraphs>
  <ScaleCrop>false</ScaleCrop>
  <Company>Australian Government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6</cp:revision>
  <dcterms:created xsi:type="dcterms:W3CDTF">2019-03-14T23:00:00Z</dcterms:created>
  <dcterms:modified xsi:type="dcterms:W3CDTF">2019-03-26T23:25:00Z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Streamline NX</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