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75"/>
        <w:ind w:left="150" w:right="0" w:firstLine="0"/>
        <w:jc w:val="left"/>
        <w:rPr>
          <w:rFonts w:ascii="Tahoma"/>
          <w:sz w:val="15"/>
        </w:rPr>
      </w:pPr>
      <w:bookmarkStart w:name="Freedom of Speech Review (UTS informatio" w:id="1"/>
      <w:bookmarkEnd w:id="1"/>
      <w:r>
        <w:rPr/>
      </w:r>
      <w:r>
        <w:rPr>
          <w:rFonts w:ascii="Tahoma"/>
          <w:b/>
          <w:sz w:val="15"/>
        </w:rPr>
        <w:t>From:</w:t>
        <w:tab/>
      </w:r>
      <w:hyperlink r:id="rId5">
        <w:r>
          <w:rPr>
            <w:rFonts w:ascii="Tahoma"/>
            <w:color w:val="0000FF"/>
            <w:sz w:val="15"/>
            <w:u w:val="single" w:color="0000FF"/>
          </w:rPr>
          <w:t>Bill</w:t>
        </w:r>
        <w:r>
          <w:rPr>
            <w:rFonts w:ascii="Tahoma"/>
            <w:color w:val="0000FF"/>
            <w:spacing w:val="-2"/>
            <w:sz w:val="15"/>
            <w:u w:val="single" w:color="0000FF"/>
          </w:rPr>
          <w:t> </w:t>
        </w:r>
        <w:r>
          <w:rPr>
            <w:rFonts w:ascii="Tahoma"/>
            <w:color w:val="0000FF"/>
            <w:sz w:val="15"/>
            <w:u w:val="single" w:color="0000FF"/>
          </w:rPr>
          <w:t>Paterson</w:t>
        </w:r>
      </w:hyperlink>
    </w:p>
    <w:p>
      <w:pPr>
        <w:tabs>
          <w:tab w:pos="1679" w:val="left" w:leader="none"/>
        </w:tabs>
        <w:spacing w:before="29"/>
        <w:ind w:left="150" w:right="0" w:firstLine="0"/>
        <w:jc w:val="left"/>
        <w:rPr>
          <w:rFonts w:ascii="Tahoma"/>
          <w:sz w:val="15"/>
        </w:rPr>
      </w:pPr>
      <w:r>
        <w:rPr>
          <w:rFonts w:ascii="Tahoma"/>
          <w:b/>
          <w:sz w:val="15"/>
        </w:rPr>
        <w:t>To:</w:t>
        <w:tab/>
      </w:r>
      <w:hyperlink r:id="rId6">
        <w:r>
          <w:rPr>
            <w:rFonts w:ascii="Tahoma"/>
            <w:color w:val="0000FF"/>
            <w:sz w:val="15"/>
            <w:u w:val="single" w:color="0000FF"/>
          </w:rPr>
          <w:t>Education - Freedom of Speech</w:t>
        </w:r>
        <w:r>
          <w:rPr>
            <w:rFonts w:ascii="Tahoma"/>
            <w:color w:val="0000FF"/>
            <w:spacing w:val="-2"/>
            <w:sz w:val="15"/>
            <w:u w:val="single" w:color="0000FF"/>
          </w:rPr>
          <w:t> </w:t>
        </w:r>
        <w:r>
          <w:rPr>
            <w:rFonts w:ascii="Tahoma"/>
            <w:color w:val="0000FF"/>
            <w:sz w:val="15"/>
            <w:u w:val="single" w:color="0000FF"/>
          </w:rPr>
          <w:t>Review</w:t>
        </w:r>
      </w:hyperlink>
    </w:p>
    <w:p>
      <w:pPr>
        <w:tabs>
          <w:tab w:pos="1679" w:val="left" w:leader="none"/>
        </w:tabs>
        <w:spacing w:before="29"/>
        <w:ind w:left="150" w:right="0" w:firstLine="0"/>
        <w:jc w:val="left"/>
        <w:rPr>
          <w:rFonts w:ascii="Tahoma"/>
          <w:sz w:val="15"/>
        </w:rPr>
      </w:pPr>
      <w:r>
        <w:rPr>
          <w:rFonts w:ascii="Tahoma"/>
          <w:b/>
          <w:sz w:val="15"/>
        </w:rPr>
        <w:t>Cc:</w:t>
        <w:tab/>
      </w:r>
      <w:hyperlink r:id="rId7">
        <w:r>
          <w:rPr>
            <w:rFonts w:ascii="Tahoma"/>
            <w:color w:val="0000FF"/>
            <w:sz w:val="15"/>
            <w:u w:val="single" w:color="0000FF"/>
          </w:rPr>
          <w:t>Simone</w:t>
        </w:r>
        <w:r>
          <w:rPr>
            <w:rFonts w:ascii="Tahoma"/>
            <w:color w:val="0000FF"/>
            <w:spacing w:val="-1"/>
            <w:sz w:val="15"/>
            <w:u w:val="single" w:color="0000FF"/>
          </w:rPr>
          <w:t> </w:t>
        </w:r>
        <w:r>
          <w:rPr>
            <w:rFonts w:ascii="Tahoma"/>
            <w:color w:val="0000FF"/>
            <w:sz w:val="15"/>
            <w:u w:val="single" w:color="0000FF"/>
          </w:rPr>
          <w:t>Lehmann</w:t>
        </w:r>
      </w:hyperlink>
    </w:p>
    <w:p>
      <w:pPr>
        <w:tabs>
          <w:tab w:pos="1679" w:val="left" w:leader="none"/>
        </w:tabs>
        <w:spacing w:before="28"/>
        <w:ind w:left="150" w:right="0" w:firstLine="0"/>
        <w:jc w:val="left"/>
        <w:rPr>
          <w:rFonts w:ascii="Tahoma"/>
          <w:sz w:val="15"/>
        </w:rPr>
      </w:pPr>
      <w:r>
        <w:rPr>
          <w:rFonts w:ascii="Tahoma"/>
          <w:b/>
          <w:sz w:val="15"/>
        </w:rPr>
        <w:t>Subject:</w:t>
        <w:tab/>
      </w:r>
      <w:r>
        <w:rPr>
          <w:rFonts w:ascii="Tahoma"/>
          <w:sz w:val="15"/>
        </w:rPr>
        <w:t>Freedom of Speech Review (UTS information)[DKIM</w:t>
      </w:r>
      <w:r>
        <w:rPr>
          <w:rFonts w:ascii="Tahoma"/>
          <w:spacing w:val="-3"/>
          <w:sz w:val="15"/>
        </w:rPr>
        <w:t> </w:t>
      </w:r>
      <w:r>
        <w:rPr>
          <w:rFonts w:ascii="Tahoma"/>
          <w:sz w:val="15"/>
        </w:rPr>
        <w:t>failed]</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Thursday, 20 December 2018</w:t>
      </w:r>
      <w:r>
        <w:rPr>
          <w:rFonts w:ascii="Tahoma"/>
          <w:spacing w:val="-1"/>
          <w:sz w:val="15"/>
        </w:rPr>
        <w:t> </w:t>
      </w:r>
      <w:r>
        <w:rPr>
          <w:rFonts w:ascii="Tahoma"/>
          <w:sz w:val="15"/>
        </w:rPr>
        <w:t>8:28:11</w:t>
      </w:r>
    </w:p>
    <w:p>
      <w:pPr>
        <w:tabs>
          <w:tab w:pos="1679" w:val="left" w:leader="none"/>
        </w:tabs>
        <w:spacing w:before="29"/>
        <w:ind w:left="1680" w:right="6415" w:hanging="1530"/>
        <w:jc w:val="both"/>
        <w:rPr>
          <w:rFonts w:ascii="Tahoma"/>
          <w:sz w:val="15"/>
        </w:rPr>
      </w:pPr>
      <w:r>
        <w:rPr>
          <w:rFonts w:ascii="Tahoma"/>
          <w:b/>
          <w:sz w:val="15"/>
        </w:rPr>
        <w:t>Attachments:</w:t>
        <w:tab/>
      </w:r>
      <w:r>
        <w:rPr>
          <w:rFonts w:ascii="Tahoma"/>
          <w:color w:val="0000FF"/>
          <w:sz w:val="15"/>
          <w:u w:val="single" w:color="0000FF"/>
        </w:rPr>
        <w:t>image001.png</w:t>
      </w:r>
      <w:r>
        <w:rPr>
          <w:rFonts w:ascii="Tahoma"/>
          <w:color w:val="0000FF"/>
          <w:sz w:val="15"/>
        </w:rPr>
        <w:t> </w:t>
      </w:r>
      <w:r>
        <w:rPr>
          <w:rFonts w:ascii="Tahoma"/>
          <w:color w:val="0000FF"/>
          <w:sz w:val="15"/>
          <w:u w:val="single" w:color="0000FF"/>
        </w:rPr>
        <w:t>image002.png</w:t>
      </w:r>
      <w:r>
        <w:rPr>
          <w:rFonts w:ascii="Tahoma"/>
          <w:color w:val="0000FF"/>
          <w:sz w:val="15"/>
        </w:rPr>
        <w:t> </w:t>
      </w:r>
      <w:r>
        <w:rPr>
          <w:rFonts w:ascii="Tahoma"/>
          <w:color w:val="0000FF"/>
          <w:sz w:val="15"/>
          <w:u w:val="single" w:color="0000FF"/>
        </w:rPr>
        <w:t>image003.png</w:t>
      </w:r>
      <w:r>
        <w:rPr>
          <w:rFonts w:ascii="Tahoma"/>
          <w:color w:val="0000FF"/>
          <w:sz w:val="15"/>
        </w:rPr>
        <w:t> </w:t>
      </w:r>
      <w:r>
        <w:rPr>
          <w:rFonts w:ascii="Tahoma"/>
          <w:color w:val="0000FF"/>
          <w:sz w:val="15"/>
          <w:u w:val="single" w:color="0000FF"/>
        </w:rPr>
        <w:t>image004.png</w:t>
      </w:r>
      <w:r>
        <w:rPr>
          <w:rFonts w:ascii="Tahoma"/>
          <w:color w:val="0000FF"/>
          <w:sz w:val="15"/>
        </w:rPr>
        <w:t> </w:t>
      </w:r>
      <w:r>
        <w:rPr>
          <w:rFonts w:ascii="Tahoma"/>
          <w:color w:val="0000FF"/>
          <w:sz w:val="15"/>
          <w:u w:val="single" w:color="0000FF"/>
        </w:rPr>
        <w:t>image005.png</w:t>
      </w:r>
      <w:r>
        <w:rPr>
          <w:rFonts w:ascii="Tahoma"/>
          <w:color w:val="0000FF"/>
          <w:sz w:val="15"/>
        </w:rPr>
        <w:t> </w:t>
      </w:r>
      <w:r>
        <w:rPr>
          <w:rFonts w:ascii="Tahoma"/>
          <w:color w:val="0000FF"/>
          <w:sz w:val="15"/>
          <w:u w:val="single" w:color="0000FF"/>
        </w:rPr>
        <w:t>image006.png</w:t>
      </w:r>
      <w:r>
        <w:rPr>
          <w:rFonts w:ascii="Tahoma"/>
          <w:color w:val="0000FF"/>
          <w:sz w:val="15"/>
        </w:rPr>
        <w:t> </w:t>
      </w:r>
      <w:r>
        <w:rPr>
          <w:rFonts w:ascii="Tahoma"/>
          <w:color w:val="0000FF"/>
          <w:sz w:val="15"/>
          <w:u w:val="single" w:color="0000FF"/>
        </w:rPr>
        <w:t>image007.png</w:t>
      </w:r>
    </w:p>
    <w:p>
      <w:pPr>
        <w:spacing w:line="174" w:lineRule="exact" w:before="0"/>
        <w:ind w:left="1680" w:right="0" w:firstLine="0"/>
        <w:jc w:val="left"/>
        <w:rPr>
          <w:rFonts w:ascii="Tahoma"/>
          <w:sz w:val="15"/>
        </w:rPr>
      </w:pPr>
      <w:r>
        <w:rPr>
          <w:rFonts w:ascii="Tahoma"/>
          <w:color w:val="0000FF"/>
          <w:sz w:val="15"/>
          <w:u w:val="single" w:color="0000FF"/>
        </w:rPr>
        <w:t>Equity Inclusion and Respect Policy.docx</w:t>
      </w:r>
    </w:p>
    <w:p>
      <w:pPr>
        <w:pStyle w:val="BodyText"/>
        <w:spacing w:before="1"/>
        <w:rPr>
          <w:rFonts w:ascii="Tahoma"/>
          <w:sz w:val="9"/>
        </w:rPr>
      </w:pPr>
      <w:r>
        <w:rPr/>
        <w:pict>
          <v:group style="position:absolute;margin-left:78pt;margin-top:7.482894pt;width:440.25pt;height:1.55pt;mso-position-horizontal-relative:page;mso-position-vertical-relative:paragraph;z-index:-1024;mso-wrap-distance-left:0;mso-wrap-distance-right:0" coordorigin="1560,150" coordsize="8805,31">
            <v:line style="position:absolute" from="1560,165" to="10365,165" stroked="true" strokeweight="1.5pt" strokecolor="#808080">
              <v:stroke dashstyle="solid"/>
            </v:line>
            <v:line style="position:absolute" from="1560,157" to="10365,157" stroked="true" strokeweight=".751pt" strokecolor="#808080">
              <v:stroke dashstyle="solid"/>
            </v:line>
            <v:line style="position:absolute" from="1560,172" to="10365,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350;top:149;width:15;height:31" coordorigin="10350,150" coordsize="15,31" path="m10365,150l10350,165,10365,180,10365,150xe" filled="true" fillcolor="#808080" stroked="false">
              <v:path arrowok="t"/>
              <v:fill type="solid"/>
            </v:shape>
            <w10:wrap type="topAndBottom"/>
          </v:group>
        </w:pict>
      </w:r>
    </w:p>
    <w:p>
      <w:pPr>
        <w:pStyle w:val="BodyText"/>
        <w:spacing w:before="121"/>
        <w:ind w:left="120"/>
        <w:rPr>
          <w:rFonts w:ascii="Calibri Light"/>
          <w:b w:val="0"/>
        </w:rPr>
      </w:pPr>
      <w:r>
        <w:rPr>
          <w:rFonts w:ascii="Calibri Light"/>
          <w:b w:val="0"/>
        </w:rPr>
        <w:t>Dear Secretariat,</w:t>
      </w:r>
    </w:p>
    <w:p>
      <w:pPr>
        <w:pStyle w:val="BodyText"/>
        <w:spacing w:before="1"/>
        <w:rPr>
          <w:rFonts w:ascii="Calibri Light"/>
          <w:b w:val="0"/>
          <w:sz w:val="27"/>
        </w:rPr>
      </w:pPr>
    </w:p>
    <w:p>
      <w:pPr>
        <w:pStyle w:val="BodyText"/>
        <w:spacing w:line="268" w:lineRule="auto"/>
        <w:ind w:left="120" w:right="379"/>
        <w:rPr>
          <w:rFonts w:ascii="Calibri Light"/>
          <w:b w:val="0"/>
        </w:rPr>
      </w:pPr>
      <w:r>
        <w:rPr>
          <w:rFonts w:ascii="Calibri Light"/>
          <w:b w:val="0"/>
        </w:rPr>
        <w:t>I am responding on behalf of Professor Attila Brungs (Vice-Chancellor, UTS) to a letter sent by The Honourable Mr Robert French AC dated 29 November 2019.</w:t>
      </w:r>
    </w:p>
    <w:p>
      <w:pPr>
        <w:pStyle w:val="BodyText"/>
        <w:spacing w:before="5"/>
        <w:rPr>
          <w:rFonts w:ascii="Calibri Light"/>
          <w:b w:val="0"/>
          <w:sz w:val="24"/>
        </w:rPr>
      </w:pPr>
    </w:p>
    <w:p>
      <w:pPr>
        <w:pStyle w:val="BodyText"/>
        <w:spacing w:line="268" w:lineRule="auto" w:before="1"/>
        <w:ind w:left="120" w:right="379"/>
        <w:rPr>
          <w:rFonts w:ascii="Calibri Light" w:hAnsi="Calibri Light"/>
          <w:b w:val="0"/>
        </w:rPr>
      </w:pPr>
      <w:r>
        <w:rPr>
          <w:rFonts w:ascii="Calibri Light" w:hAnsi="Calibri Light"/>
          <w:b w:val="0"/>
        </w:rPr>
        <w:t>Mr French requested information be provided that may be helpful to the review that the Minister has asked him to undertake in relation to the “policies supporting freedom of expression and intellectual inquiry in Australian higher education.”</w:t>
      </w:r>
    </w:p>
    <w:p>
      <w:pPr>
        <w:pStyle w:val="BodyText"/>
        <w:spacing w:before="4"/>
        <w:rPr>
          <w:rFonts w:ascii="Calibri Light"/>
          <w:b w:val="0"/>
          <w:sz w:val="24"/>
        </w:rPr>
      </w:pPr>
    </w:p>
    <w:p>
      <w:pPr>
        <w:pStyle w:val="BodyText"/>
        <w:ind w:left="120"/>
        <w:rPr>
          <w:rFonts w:ascii="Calibri Light"/>
          <w:b w:val="0"/>
        </w:rPr>
      </w:pPr>
      <w:r>
        <w:rPr>
          <w:rFonts w:ascii="Calibri Light"/>
          <w:b w:val="0"/>
        </w:rPr>
        <w:t>The two main information sources at UTS that are relevant to the review are:</w:t>
      </w:r>
    </w:p>
    <w:p>
      <w:pPr>
        <w:pStyle w:val="BodyText"/>
        <w:spacing w:before="2"/>
        <w:rPr>
          <w:rFonts w:ascii="Calibri Light"/>
          <w:b w:val="0"/>
          <w:sz w:val="27"/>
        </w:rPr>
      </w:pPr>
    </w:p>
    <w:p>
      <w:pPr>
        <w:pStyle w:val="ListParagraph"/>
        <w:numPr>
          <w:ilvl w:val="0"/>
          <w:numId w:val="1"/>
        </w:numPr>
        <w:tabs>
          <w:tab w:pos="525" w:val="left" w:leader="none"/>
          <w:tab w:pos="526" w:val="left" w:leader="none"/>
        </w:tabs>
        <w:spacing w:line="268" w:lineRule="auto" w:before="1" w:after="0"/>
        <w:ind w:left="479" w:right="157" w:hanging="359"/>
        <w:jc w:val="left"/>
        <w:rPr>
          <w:rFonts w:ascii="Calibri Light" w:hAnsi="Calibri Light"/>
          <w:b w:val="0"/>
          <w:sz w:val="22"/>
        </w:rPr>
      </w:pPr>
      <w:r>
        <w:rPr/>
        <w:tab/>
      </w:r>
      <w:r>
        <w:rPr>
          <w:rFonts w:ascii="Calibri" w:hAnsi="Calibri"/>
          <w:b/>
          <w:sz w:val="22"/>
        </w:rPr>
        <w:t>Policy: </w:t>
      </w:r>
      <w:r>
        <w:rPr>
          <w:rFonts w:ascii="Calibri Light" w:hAnsi="Calibri Light"/>
          <w:b w:val="0"/>
          <w:sz w:val="22"/>
        </w:rPr>
        <w:t>I am providing a link to the University’s current policy - Expression of and Practice of Religious, Political and Other Values, Beliefs and Ideas at UTS (</w:t>
      </w:r>
      <w:hyperlink r:id="rId8">
        <w:r>
          <w:rPr>
            <w:rFonts w:ascii="Calibri Light" w:hAnsi="Calibri Light"/>
            <w:b w:val="0"/>
            <w:color w:val="0000FF"/>
            <w:sz w:val="22"/>
            <w:u w:val="single" w:color="0000FF"/>
          </w:rPr>
          <w:t>http://www.gsu.uts.edu.au/policies/expressionpracticepolicy.html</w:t>
        </w:r>
      </w:hyperlink>
      <w:r>
        <w:rPr>
          <w:rFonts w:ascii="Calibri Light" w:hAnsi="Calibri Light"/>
          <w:b w:val="0"/>
          <w:sz w:val="22"/>
        </w:rPr>
        <w:t>)  (</w:t>
      </w:r>
      <w:r>
        <w:rPr>
          <w:rFonts w:ascii="Calibri Light" w:hAnsi="Calibri Light"/>
          <w:b w:val="0"/>
          <w:sz w:val="22"/>
          <w:u w:val="single"/>
        </w:rPr>
        <w:t>Note:</w:t>
      </w:r>
      <w:r>
        <w:rPr>
          <w:rFonts w:ascii="Calibri Light" w:hAnsi="Calibri Light"/>
          <w:b w:val="0"/>
          <w:sz w:val="22"/>
        </w:rPr>
        <w:t>   This  policy  will be replaced by a new policy “Equity, Inclusion and Respect Policy” that will come into effect  on 1 February 2019.  The new policy is attached as it will not be published on the UTS web   site until February</w:t>
      </w:r>
      <w:r>
        <w:rPr>
          <w:rFonts w:ascii="Calibri Light" w:hAnsi="Calibri Light"/>
          <w:b w:val="0"/>
          <w:spacing w:val="4"/>
          <w:sz w:val="22"/>
        </w:rPr>
        <w:t> </w:t>
      </w:r>
      <w:r>
        <w:rPr>
          <w:rFonts w:ascii="Calibri Light" w:hAnsi="Calibri Light"/>
          <w:b w:val="0"/>
          <w:sz w:val="22"/>
        </w:rPr>
        <w:t>2019.)</w:t>
      </w:r>
    </w:p>
    <w:p>
      <w:pPr>
        <w:pStyle w:val="BodyText"/>
        <w:spacing w:before="2"/>
        <w:rPr>
          <w:rFonts w:ascii="Calibri Light"/>
          <w:b w:val="0"/>
          <w:sz w:val="24"/>
        </w:rPr>
      </w:pPr>
    </w:p>
    <w:p>
      <w:pPr>
        <w:pStyle w:val="ListParagraph"/>
        <w:numPr>
          <w:ilvl w:val="0"/>
          <w:numId w:val="1"/>
        </w:numPr>
        <w:tabs>
          <w:tab w:pos="525" w:val="left" w:leader="none"/>
          <w:tab w:pos="526" w:val="left" w:leader="none"/>
        </w:tabs>
        <w:spacing w:line="268" w:lineRule="auto" w:before="0" w:after="0"/>
        <w:ind w:left="479" w:right="278" w:hanging="360"/>
        <w:jc w:val="left"/>
        <w:rPr>
          <w:rFonts w:ascii="Calibri Light"/>
          <w:b w:val="0"/>
          <w:color w:val="1F487C"/>
          <w:sz w:val="22"/>
        </w:rPr>
      </w:pPr>
      <w:r>
        <w:rPr/>
        <w:tab/>
      </w:r>
      <w:r>
        <w:rPr>
          <w:rFonts w:ascii="Calibri"/>
          <w:b/>
          <w:sz w:val="22"/>
        </w:rPr>
        <w:t>Enterprise Agreements</w:t>
      </w:r>
      <w:r>
        <w:rPr>
          <w:rFonts w:ascii="Calibri Light"/>
          <w:b w:val="0"/>
          <w:sz w:val="22"/>
        </w:rPr>
        <w:t>: The following sections of Staff Enterprise Agreements are also relevant. (</w:t>
      </w:r>
      <w:r>
        <w:rPr>
          <w:rFonts w:ascii="Calibri Light"/>
          <w:b w:val="0"/>
          <w:color w:val="0562C1"/>
          <w:sz w:val="22"/>
        </w:rPr>
        <w:t> </w:t>
      </w:r>
      <w:hyperlink r:id="rId9">
        <w:r>
          <w:rPr>
            <w:rFonts w:ascii="Calibri Light"/>
            <w:b w:val="0"/>
            <w:color w:val="0562C1"/>
            <w:sz w:val="22"/>
            <w:u w:val="single" w:color="0000FF"/>
          </w:rPr>
          <w:t>s51 of the Professional Staff Enterprise Agreement</w:t>
        </w:r>
        <w:r>
          <w:rPr>
            <w:rFonts w:ascii="Calibri Light"/>
            <w:b w:val="0"/>
            <w:color w:val="0562C1"/>
            <w:sz w:val="22"/>
          </w:rPr>
          <w:t> </w:t>
        </w:r>
      </w:hyperlink>
      <w:r>
        <w:rPr>
          <w:rFonts w:ascii="Calibri Light"/>
          <w:b w:val="0"/>
          <w:color w:val="1F487C"/>
          <w:sz w:val="22"/>
        </w:rPr>
        <w:t>and</w:t>
      </w:r>
      <w:hyperlink r:id="rId10">
        <w:r>
          <w:rPr>
            <w:rFonts w:ascii="Calibri Light"/>
            <w:b w:val="0"/>
            <w:color w:val="0562C1"/>
            <w:sz w:val="22"/>
          </w:rPr>
          <w:t> </w:t>
        </w:r>
        <w:r>
          <w:rPr>
            <w:rFonts w:ascii="Calibri Light"/>
            <w:b w:val="0"/>
            <w:color w:val="0562C1"/>
            <w:sz w:val="22"/>
            <w:u w:val="single" w:color="0000FF"/>
          </w:rPr>
          <w:t>s47 of the Academic Staff</w:t>
        </w:r>
      </w:hyperlink>
      <w:hyperlink r:id="rId10">
        <w:r>
          <w:rPr>
            <w:rFonts w:ascii="Calibri Light"/>
            <w:b w:val="0"/>
            <w:color w:val="0562C1"/>
            <w:sz w:val="22"/>
            <w:u w:val="single" w:color="0000FF"/>
          </w:rPr>
          <w:t> Enterprise Agreement</w:t>
        </w:r>
      </w:hyperlink>
      <w:r>
        <w:rPr>
          <w:rFonts w:ascii="Calibri Light"/>
          <w:b w:val="0"/>
          <w:color w:val="1F487C"/>
          <w:sz w:val="22"/>
        </w:rPr>
        <w:t>). </w:t>
      </w:r>
      <w:r>
        <w:rPr>
          <w:rFonts w:ascii="Calibri Light"/>
          <w:b w:val="0"/>
          <w:sz w:val="22"/>
        </w:rPr>
        <w:t>(</w:t>
      </w:r>
      <w:r>
        <w:rPr>
          <w:rFonts w:ascii="Calibri Light"/>
          <w:b w:val="0"/>
          <w:sz w:val="22"/>
          <w:u w:val="single"/>
        </w:rPr>
        <w:t>Note:</w:t>
      </w:r>
      <w:r>
        <w:rPr>
          <w:rFonts w:ascii="Calibri Light"/>
          <w:b w:val="0"/>
          <w:sz w:val="22"/>
        </w:rPr>
        <w:t> the current agreements will likely be replaced by new agreements that are currently under consideration by the Fair Work Commission)</w:t>
      </w:r>
    </w:p>
    <w:p>
      <w:pPr>
        <w:pStyle w:val="BodyText"/>
        <w:spacing w:before="3"/>
        <w:rPr>
          <w:rFonts w:ascii="Calibri Light"/>
          <w:b w:val="0"/>
          <w:sz w:val="24"/>
        </w:rPr>
      </w:pPr>
    </w:p>
    <w:p>
      <w:pPr>
        <w:pStyle w:val="BodyText"/>
        <w:spacing w:line="535" w:lineRule="auto" w:before="1"/>
        <w:ind w:left="119" w:right="2306"/>
        <w:rPr>
          <w:rFonts w:ascii="Calibri Light"/>
          <w:b w:val="0"/>
        </w:rPr>
      </w:pPr>
      <w:r>
        <w:rPr>
          <w:rFonts w:ascii="Calibri Light"/>
          <w:b w:val="0"/>
        </w:rPr>
        <w:t>Should you have any queries please do not hesitate to contact me. Regards,</w:t>
      </w:r>
    </w:p>
    <w:p>
      <w:pPr>
        <w:pStyle w:val="BodyText"/>
        <w:spacing w:before="6"/>
        <w:rPr>
          <w:rFonts w:ascii="Calibri Light"/>
          <w:b w:val="0"/>
          <w:sz w:val="24"/>
        </w:rPr>
      </w:pPr>
    </w:p>
    <w:p>
      <w:pPr>
        <w:spacing w:before="1"/>
        <w:ind w:left="120" w:right="0" w:firstLine="0"/>
        <w:jc w:val="left"/>
        <w:rPr>
          <w:b/>
          <w:sz w:val="21"/>
        </w:rPr>
      </w:pPr>
      <w:r>
        <w:rPr>
          <w:b/>
          <w:sz w:val="21"/>
        </w:rPr>
        <w:t>William Paterson</w:t>
      </w:r>
    </w:p>
    <w:p>
      <w:pPr>
        <w:spacing w:before="13"/>
        <w:ind w:left="120" w:right="0" w:firstLine="0"/>
        <w:jc w:val="left"/>
        <w:rPr>
          <w:sz w:val="21"/>
        </w:rPr>
      </w:pPr>
      <w:r>
        <w:rPr>
          <w:sz w:val="21"/>
        </w:rPr>
        <w:t>University Secretary and Director, Governance Support Unit</w:t>
      </w:r>
    </w:p>
    <w:p>
      <w:pPr>
        <w:pStyle w:val="BodyText"/>
      </w:pPr>
    </w:p>
    <w:p>
      <w:pPr>
        <w:spacing w:before="1"/>
        <w:ind w:left="120" w:right="0" w:firstLine="0"/>
        <w:jc w:val="left"/>
        <w:rPr>
          <w:b/>
          <w:sz w:val="21"/>
        </w:rPr>
      </w:pPr>
      <w:r>
        <w:rPr>
          <w:b/>
          <w:sz w:val="21"/>
        </w:rPr>
        <w:t>University of Technology Sydney</w:t>
      </w:r>
    </w:p>
    <w:p>
      <w:pPr>
        <w:spacing w:before="13"/>
        <w:ind w:left="120" w:right="0" w:firstLine="0"/>
        <w:jc w:val="left"/>
        <w:rPr>
          <w:sz w:val="21"/>
        </w:rPr>
      </w:pPr>
      <w:r>
        <w:rPr>
          <w:sz w:val="21"/>
        </w:rPr>
        <w:t>T. +61 (02) 9514 1285</w:t>
      </w:r>
    </w:p>
    <w:p>
      <w:pPr>
        <w:spacing w:before="14"/>
        <w:ind w:left="120" w:right="0" w:firstLine="0"/>
        <w:jc w:val="left"/>
        <w:rPr>
          <w:sz w:val="21"/>
        </w:rPr>
      </w:pPr>
      <w:r>
        <w:rPr>
          <w:sz w:val="21"/>
        </w:rPr>
        <w:t>E.</w:t>
      </w:r>
      <w:r>
        <w:rPr>
          <w:color w:val="0000FF"/>
          <w:sz w:val="21"/>
        </w:rPr>
        <w:t> </w:t>
      </w:r>
      <w:hyperlink r:id="rId11">
        <w:r>
          <w:rPr>
            <w:color w:val="0000FF"/>
            <w:sz w:val="21"/>
            <w:u w:val="single" w:color="0000FF"/>
          </w:rPr>
          <w:t>william.paterson@uts.edu.au</w:t>
        </w:r>
      </w:hyperlink>
    </w:p>
    <w:p>
      <w:pPr>
        <w:spacing w:before="13"/>
        <w:ind w:left="120" w:right="0" w:firstLine="0"/>
        <w:jc w:val="left"/>
        <w:rPr>
          <w:sz w:val="21"/>
        </w:rPr>
      </w:pPr>
      <w:r>
        <w:rPr>
          <w:sz w:val="21"/>
        </w:rPr>
        <w:t>PO Box 123 Broadway NSW 2007 Australia</w:t>
      </w:r>
    </w:p>
    <w:p>
      <w:pPr>
        <w:pStyle w:val="BodyText"/>
      </w:pPr>
    </w:p>
    <w:p>
      <w:pPr>
        <w:pStyle w:val="BodyText"/>
        <w:spacing w:before="3"/>
      </w:pPr>
    </w:p>
    <w:p>
      <w:pPr>
        <w:spacing w:before="0"/>
        <w:ind w:left="119" w:right="0" w:firstLine="0"/>
        <w:jc w:val="left"/>
        <w:rPr>
          <w:sz w:val="21"/>
        </w:rPr>
      </w:pPr>
      <w:hyperlink r:id="rId12">
        <w:r>
          <w:rPr>
            <w:color w:val="0F4AEB"/>
            <w:sz w:val="21"/>
            <w:u w:val="single" w:color="0000FF"/>
          </w:rPr>
          <w:t>uts.edu.au</w:t>
        </w:r>
      </w:hyperlink>
    </w:p>
    <w:p>
      <w:pPr>
        <w:pStyle w:val="BodyText"/>
        <w:spacing w:before="9"/>
        <w:rPr>
          <w:sz w:val="18"/>
        </w:rPr>
      </w:pPr>
      <w:r>
        <w:rPr/>
        <w:drawing>
          <wp:anchor distT="0" distB="0" distL="0" distR="0" allowOverlap="1" layoutInCell="1" locked="0" behindDoc="0" simplePos="0" relativeHeight="1">
            <wp:simplePos x="0" y="0"/>
            <wp:positionH relativeFrom="page">
              <wp:posOffset>990600</wp:posOffset>
            </wp:positionH>
            <wp:positionV relativeFrom="paragraph">
              <wp:posOffset>162303</wp:posOffset>
            </wp:positionV>
            <wp:extent cx="226193" cy="179069"/>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226193" cy="179069"/>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1314450</wp:posOffset>
            </wp:positionH>
            <wp:positionV relativeFrom="paragraph">
              <wp:posOffset>162303</wp:posOffset>
            </wp:positionV>
            <wp:extent cx="179069" cy="179069"/>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179069" cy="179069"/>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1590675</wp:posOffset>
            </wp:positionH>
            <wp:positionV relativeFrom="paragraph">
              <wp:posOffset>162303</wp:posOffset>
            </wp:positionV>
            <wp:extent cx="179070" cy="17906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5" cstate="print"/>
                    <a:stretch>
                      <a:fillRect/>
                    </a:stretch>
                  </pic:blipFill>
                  <pic:spPr>
                    <a:xfrm>
                      <a:off x="0" y="0"/>
                      <a:ext cx="179070" cy="179069"/>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1866900</wp:posOffset>
            </wp:positionH>
            <wp:positionV relativeFrom="paragraph">
              <wp:posOffset>162303</wp:posOffset>
            </wp:positionV>
            <wp:extent cx="179070" cy="179069"/>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6" cstate="print"/>
                    <a:stretch>
                      <a:fillRect/>
                    </a:stretch>
                  </pic:blipFill>
                  <pic:spPr>
                    <a:xfrm>
                      <a:off x="0" y="0"/>
                      <a:ext cx="179070" cy="179069"/>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2143125</wp:posOffset>
            </wp:positionH>
            <wp:positionV relativeFrom="paragraph">
              <wp:posOffset>162303</wp:posOffset>
            </wp:positionV>
            <wp:extent cx="245043" cy="179069"/>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7" cstate="print"/>
                    <a:stretch>
                      <a:fillRect/>
                    </a:stretch>
                  </pic:blipFill>
                  <pic:spPr>
                    <a:xfrm>
                      <a:off x="0" y="0"/>
                      <a:ext cx="245043" cy="179069"/>
                    </a:xfrm>
                    <a:prstGeom prst="rect">
                      <a:avLst/>
                    </a:prstGeom>
                  </pic:spPr>
                </pic:pic>
              </a:graphicData>
            </a:graphic>
          </wp:anchor>
        </w:drawing>
      </w:r>
    </w:p>
    <w:p>
      <w:pPr>
        <w:spacing w:after="0"/>
        <w:rPr>
          <w:sz w:val="18"/>
        </w:rPr>
        <w:sectPr>
          <w:type w:val="continuous"/>
          <w:pgSz w:w="11900" w:h="16820"/>
          <w:pgMar w:top="1160" w:bottom="280" w:left="1440" w:right="1420"/>
        </w:sectPr>
      </w:pPr>
    </w:p>
    <w:p>
      <w:pPr>
        <w:pStyle w:val="BodyText"/>
        <w:ind w:left="120"/>
        <w:rPr>
          <w:sz w:val="20"/>
        </w:rPr>
      </w:pPr>
      <w:r>
        <w:rPr>
          <w:sz w:val="20"/>
        </w:rPr>
        <w:drawing>
          <wp:inline distT="0" distB="0" distL="0" distR="0">
            <wp:extent cx="590537" cy="571500"/>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8" cstate="print"/>
                    <a:stretch>
                      <a:fillRect/>
                    </a:stretch>
                  </pic:blipFill>
                  <pic:spPr>
                    <a:xfrm>
                      <a:off x="0" y="0"/>
                      <a:ext cx="590537" cy="571500"/>
                    </a:xfrm>
                    <a:prstGeom prst="rect">
                      <a:avLst/>
                    </a:prstGeom>
                  </pic:spPr>
                </pic:pic>
              </a:graphicData>
            </a:graphic>
          </wp:inline>
        </w:drawing>
      </w:r>
      <w:r>
        <w:rPr>
          <w:sz w:val="20"/>
        </w:rPr>
      </w:r>
    </w:p>
    <w:p>
      <w:pPr>
        <w:pStyle w:val="BodyText"/>
        <w:spacing w:before="10"/>
        <w:rPr>
          <w:sz w:val="17"/>
        </w:rPr>
      </w:pPr>
      <w:r>
        <w:rPr/>
        <w:drawing>
          <wp:anchor distT="0" distB="0" distL="0" distR="0" allowOverlap="1" layoutInCell="1" locked="0" behindDoc="0" simplePos="0" relativeHeight="6">
            <wp:simplePos x="0" y="0"/>
            <wp:positionH relativeFrom="page">
              <wp:posOffset>990600</wp:posOffset>
            </wp:positionH>
            <wp:positionV relativeFrom="paragraph">
              <wp:posOffset>155575</wp:posOffset>
            </wp:positionV>
            <wp:extent cx="4276712" cy="942975"/>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9" cstate="print"/>
                    <a:stretch>
                      <a:fillRect/>
                    </a:stretch>
                  </pic:blipFill>
                  <pic:spPr>
                    <a:xfrm>
                      <a:off x="0" y="0"/>
                      <a:ext cx="4276712" cy="942975"/>
                    </a:xfrm>
                    <a:prstGeom prst="rect">
                      <a:avLst/>
                    </a:prstGeom>
                  </pic:spPr>
                </pic:pic>
              </a:graphicData>
            </a:graphic>
          </wp:anchor>
        </w:drawing>
      </w:r>
    </w:p>
    <w:p>
      <w:pPr>
        <w:pStyle w:val="BodyText"/>
        <w:rPr>
          <w:sz w:val="20"/>
        </w:rPr>
      </w:pPr>
    </w:p>
    <w:p>
      <w:pPr>
        <w:pStyle w:val="BodyText"/>
        <w:rPr>
          <w:sz w:val="20"/>
        </w:rPr>
      </w:pPr>
    </w:p>
    <w:p>
      <w:pPr>
        <w:pStyle w:val="BodyText"/>
        <w:spacing w:before="1"/>
        <w:rPr>
          <w:sz w:val="24"/>
        </w:rPr>
      </w:pPr>
    </w:p>
    <w:p>
      <w:pPr>
        <w:pStyle w:val="Heading2"/>
        <w:spacing w:line="235" w:lineRule="auto" w:before="94"/>
        <w:ind w:left="120" w:right="178"/>
      </w:pPr>
      <w:r>
        <w:rPr/>
        <w:t>UTS CRICOS Provider Code: 00099F DISCLAIMER: This email message and any accompanying attachments may contain confidential information. If you are not the intended recipient, do not read, use, disseminate, distribute or copy this message or attachments. If you have received this message in error, please notify the sender immediately and delete this message. Any views expressed in this message are those of </w:t>
      </w:r>
      <w:r>
        <w:rPr>
          <w:spacing w:val="-5"/>
        </w:rPr>
        <w:t>the </w:t>
      </w:r>
      <w:r>
        <w:rPr/>
        <w:t>individual sender, except where the sender expressly, and with authority, states them to be the views of the University of Technology Sydney. Before opening any attachments, please check them for viruses and defects. Think. Green. Do. Please consider the environment before printing this email.</w:t>
      </w:r>
    </w:p>
    <w:p>
      <w:pPr>
        <w:spacing w:after="0" w:line="235" w:lineRule="auto"/>
        <w:sectPr>
          <w:pgSz w:w="11900" w:h="16820"/>
          <w:pgMar w:top="1080" w:bottom="280" w:left="1440" w:right="1420"/>
        </w:sectPr>
      </w:pPr>
    </w:p>
    <w:p>
      <w:pPr>
        <w:pStyle w:val="BodyText"/>
        <w:spacing w:before="2"/>
        <w:rPr>
          <w:rFonts w:ascii="Times New Roman"/>
          <w:sz w:val="24"/>
        </w:rPr>
      </w:pPr>
    </w:p>
    <w:p>
      <w:pPr>
        <w:spacing w:before="88"/>
        <w:ind w:left="140" w:right="0" w:firstLine="0"/>
        <w:jc w:val="left"/>
        <w:rPr>
          <w:sz w:val="40"/>
        </w:rPr>
      </w:pPr>
      <w:r>
        <w:rPr/>
        <w:pict>
          <v:line style="position:absolute;mso-position-horizontal-relative:page;mso-position-vertical-relative:paragraph;z-index:-856;mso-wrap-distance-left:0;mso-wrap-distance-right:0" from="70.559998pt,32.040287pt" to="524.759998pt,32.040287pt" stroked="true" strokeweight=".959pt" strokecolor="#4f81bc">
            <v:stroke dashstyle="solid"/>
            <w10:wrap type="topAndBottom"/>
          </v:line>
        </w:pict>
      </w:r>
      <w:bookmarkStart w:name="University of Technology Sydney Equity I" w:id="2"/>
      <w:bookmarkEnd w:id="2"/>
      <w:r>
        <w:rPr/>
      </w:r>
      <w:r>
        <w:rPr>
          <w:color w:val="16365D"/>
          <w:sz w:val="40"/>
        </w:rPr>
        <w:t>Equity, Inclusion and Respect Policy</w:t>
      </w:r>
    </w:p>
    <w:p>
      <w:pPr>
        <w:pStyle w:val="Heading1"/>
        <w:numPr>
          <w:ilvl w:val="0"/>
          <w:numId w:val="2"/>
        </w:numPr>
        <w:tabs>
          <w:tab w:pos="376" w:val="left" w:leader="none"/>
        </w:tabs>
        <w:spacing w:line="240" w:lineRule="auto" w:before="147" w:after="0"/>
        <w:ind w:left="375" w:right="0" w:hanging="235"/>
        <w:jc w:val="left"/>
      </w:pPr>
      <w:bookmarkStart w:name="1 Purpose" w:id="3"/>
      <w:bookmarkEnd w:id="3"/>
      <w:r>
        <w:rPr>
          <w:b w:val="0"/>
        </w:rPr>
      </w:r>
      <w:bookmarkStart w:name="1 Purpose" w:id="4"/>
      <w:bookmarkEnd w:id="4"/>
      <w:r>
        <w:rPr>
          <w:color w:val="365F91"/>
        </w:rPr>
        <w:t>P</w:t>
      </w:r>
      <w:r>
        <w:rPr>
          <w:color w:val="365F91"/>
        </w:rPr>
        <w:t>urpose</w:t>
      </w:r>
    </w:p>
    <w:p>
      <w:pPr>
        <w:pStyle w:val="ListParagraph"/>
        <w:numPr>
          <w:ilvl w:val="1"/>
          <w:numId w:val="2"/>
        </w:numPr>
        <w:tabs>
          <w:tab w:pos="859" w:val="left" w:leader="none"/>
          <w:tab w:pos="860" w:val="left" w:leader="none"/>
        </w:tabs>
        <w:spacing w:line="278" w:lineRule="auto" w:before="51" w:after="0"/>
        <w:ind w:left="859" w:right="324" w:hanging="719"/>
        <w:jc w:val="left"/>
        <w:rPr>
          <w:sz w:val="22"/>
        </w:rPr>
      </w:pPr>
      <w:r>
        <w:rPr>
          <w:sz w:val="22"/>
        </w:rPr>
        <w:t>The Equity, Inclusion and Respect Policy (the policy) outlines the social, ethical and behavioural standards expected at UTS as part of our</w:t>
      </w:r>
      <w:r>
        <w:rPr>
          <w:color w:val="0000FF"/>
          <w:sz w:val="22"/>
        </w:rPr>
        <w:t> </w:t>
      </w:r>
      <w:hyperlink r:id="rId22">
        <w:r>
          <w:rPr>
            <w:color w:val="0000FF"/>
            <w:sz w:val="22"/>
            <w:u w:val="single" w:color="0000FF"/>
          </w:rPr>
          <w:t>core</w:t>
        </w:r>
        <w:r>
          <w:rPr>
            <w:color w:val="0000FF"/>
            <w:spacing w:val="-5"/>
            <w:sz w:val="22"/>
            <w:u w:val="single" w:color="0000FF"/>
          </w:rPr>
          <w:t> </w:t>
        </w:r>
        <w:r>
          <w:rPr>
            <w:color w:val="0000FF"/>
            <w:sz w:val="22"/>
            <w:u w:val="single" w:color="0000FF"/>
          </w:rPr>
          <w:t>values</w:t>
        </w:r>
      </w:hyperlink>
      <w:r>
        <w:rPr>
          <w:sz w:val="22"/>
        </w:rPr>
        <w:t>.</w:t>
      </w:r>
    </w:p>
    <w:p>
      <w:pPr>
        <w:pStyle w:val="ListParagraph"/>
        <w:numPr>
          <w:ilvl w:val="1"/>
          <w:numId w:val="2"/>
        </w:numPr>
        <w:tabs>
          <w:tab w:pos="859" w:val="left" w:leader="none"/>
          <w:tab w:pos="860" w:val="left" w:leader="none"/>
        </w:tabs>
        <w:spacing w:line="280" w:lineRule="auto" w:before="193" w:after="0"/>
        <w:ind w:left="859" w:right="777" w:hanging="719"/>
        <w:jc w:val="left"/>
        <w:rPr>
          <w:sz w:val="22"/>
        </w:rPr>
      </w:pPr>
      <w:r>
        <w:rPr>
          <w:sz w:val="22"/>
        </w:rPr>
        <w:t>In seeking to support and encourage diversity, fairness, respect and the ethical treatment of others, this policy</w:t>
      </w:r>
      <w:r>
        <w:rPr>
          <w:spacing w:val="-4"/>
          <w:sz w:val="22"/>
        </w:rPr>
        <w:t> </w:t>
      </w:r>
      <w:r>
        <w:rPr>
          <w:sz w:val="22"/>
        </w:rPr>
        <w:t>addresses:</w:t>
      </w:r>
    </w:p>
    <w:p>
      <w:pPr>
        <w:pStyle w:val="ListParagraph"/>
        <w:numPr>
          <w:ilvl w:val="2"/>
          <w:numId w:val="2"/>
        </w:numPr>
        <w:tabs>
          <w:tab w:pos="1219" w:val="left" w:leader="none"/>
          <w:tab w:pos="1220" w:val="left" w:leader="none"/>
        </w:tabs>
        <w:spacing w:line="240" w:lineRule="auto" w:before="190" w:after="0"/>
        <w:ind w:left="1219" w:right="0" w:hanging="360"/>
        <w:jc w:val="left"/>
        <w:rPr>
          <w:sz w:val="22"/>
        </w:rPr>
      </w:pPr>
      <w:r>
        <w:rPr>
          <w:sz w:val="22"/>
        </w:rPr>
        <w:t>equal opportunity and</w:t>
      </w:r>
      <w:r>
        <w:rPr>
          <w:spacing w:val="-5"/>
          <w:sz w:val="22"/>
        </w:rPr>
        <w:t> </w:t>
      </w:r>
      <w:r>
        <w:rPr>
          <w:sz w:val="22"/>
        </w:rPr>
        <w:t>equity</w:t>
      </w:r>
    </w:p>
    <w:p>
      <w:pPr>
        <w:pStyle w:val="ListParagraph"/>
        <w:numPr>
          <w:ilvl w:val="2"/>
          <w:numId w:val="2"/>
        </w:numPr>
        <w:tabs>
          <w:tab w:pos="1220" w:val="left" w:leader="none"/>
          <w:tab w:pos="1221" w:val="left" w:leader="none"/>
        </w:tabs>
        <w:spacing w:line="240" w:lineRule="auto" w:before="158" w:after="0"/>
        <w:ind w:left="1220" w:right="0" w:hanging="360"/>
        <w:jc w:val="left"/>
        <w:rPr>
          <w:sz w:val="22"/>
        </w:rPr>
      </w:pPr>
      <w:r>
        <w:rPr>
          <w:sz w:val="22"/>
        </w:rPr>
        <w:t>diversity and inclusion in a respectful and productive</w:t>
      </w:r>
      <w:r>
        <w:rPr>
          <w:spacing w:val="-12"/>
          <w:sz w:val="22"/>
        </w:rPr>
        <w:t> </w:t>
      </w:r>
      <w:r>
        <w:rPr>
          <w:sz w:val="22"/>
        </w:rPr>
        <w:t>workplace</w:t>
      </w:r>
    </w:p>
    <w:p>
      <w:pPr>
        <w:pStyle w:val="ListParagraph"/>
        <w:numPr>
          <w:ilvl w:val="2"/>
          <w:numId w:val="2"/>
        </w:numPr>
        <w:tabs>
          <w:tab w:pos="1220" w:val="left" w:leader="none"/>
          <w:tab w:pos="1221" w:val="left" w:leader="none"/>
        </w:tabs>
        <w:spacing w:line="240" w:lineRule="auto" w:before="155" w:after="0"/>
        <w:ind w:left="1220" w:right="0" w:hanging="360"/>
        <w:jc w:val="left"/>
        <w:rPr>
          <w:sz w:val="22"/>
        </w:rPr>
      </w:pPr>
      <w:r>
        <w:rPr>
          <w:sz w:val="22"/>
        </w:rPr>
        <w:t>discrimination, bullying and harassment</w:t>
      </w:r>
    </w:p>
    <w:p>
      <w:pPr>
        <w:pStyle w:val="BodyText"/>
        <w:rPr>
          <w:sz w:val="26"/>
        </w:rPr>
      </w:pPr>
    </w:p>
    <w:p>
      <w:pPr>
        <w:pStyle w:val="Heading1"/>
        <w:numPr>
          <w:ilvl w:val="0"/>
          <w:numId w:val="3"/>
        </w:numPr>
        <w:tabs>
          <w:tab w:pos="455" w:val="left" w:leader="none"/>
        </w:tabs>
        <w:spacing w:line="240" w:lineRule="auto" w:before="216" w:after="0"/>
        <w:ind w:left="454" w:right="0" w:hanging="314"/>
        <w:jc w:val="left"/>
      </w:pPr>
      <w:bookmarkStart w:name="2. Scope" w:id="5"/>
      <w:bookmarkEnd w:id="5"/>
      <w:r>
        <w:rPr>
          <w:b w:val="0"/>
        </w:rPr>
      </w:r>
      <w:bookmarkStart w:name="2. Scope" w:id="6"/>
      <w:bookmarkEnd w:id="6"/>
      <w:r>
        <w:rPr>
          <w:color w:val="365F91"/>
        </w:rPr>
        <w:t>S</w:t>
      </w:r>
      <w:r>
        <w:rPr>
          <w:color w:val="365F91"/>
        </w:rPr>
        <w:t>cope</w:t>
      </w:r>
    </w:p>
    <w:p>
      <w:pPr>
        <w:pStyle w:val="ListParagraph"/>
        <w:numPr>
          <w:ilvl w:val="1"/>
          <w:numId w:val="3"/>
        </w:numPr>
        <w:tabs>
          <w:tab w:pos="859" w:val="left" w:leader="none"/>
          <w:tab w:pos="860" w:val="left" w:leader="none"/>
        </w:tabs>
        <w:spacing w:line="276" w:lineRule="auto" w:before="51" w:after="0"/>
        <w:ind w:left="859" w:right="687" w:hanging="719"/>
        <w:jc w:val="left"/>
        <w:rPr>
          <w:sz w:val="22"/>
        </w:rPr>
      </w:pPr>
      <w:r>
        <w:rPr>
          <w:sz w:val="22"/>
        </w:rPr>
        <w:t>This policy applies to all staff, affiliates, contractors, students and visitors to the University and is in addition to the requirements of the</w:t>
      </w:r>
      <w:r>
        <w:rPr>
          <w:color w:val="0000FF"/>
          <w:sz w:val="22"/>
        </w:rPr>
        <w:t> </w:t>
      </w:r>
      <w:hyperlink r:id="rId23">
        <w:r>
          <w:rPr>
            <w:color w:val="0000FF"/>
            <w:sz w:val="22"/>
            <w:u w:val="single" w:color="0000FF"/>
          </w:rPr>
          <w:t>Code of Conduct</w:t>
        </w:r>
        <w:r>
          <w:rPr>
            <w:color w:val="0000FF"/>
            <w:sz w:val="22"/>
          </w:rPr>
          <w:t> </w:t>
        </w:r>
      </w:hyperlink>
      <w:r>
        <w:rPr>
          <w:sz w:val="22"/>
        </w:rPr>
        <w:t>and the Student Rights and Responsibilities</w:t>
      </w:r>
      <w:r>
        <w:rPr>
          <w:spacing w:val="-3"/>
          <w:sz w:val="22"/>
        </w:rPr>
        <w:t> </w:t>
      </w:r>
      <w:r>
        <w:rPr>
          <w:sz w:val="22"/>
        </w:rPr>
        <w:t>Policy.</w:t>
      </w:r>
    </w:p>
    <w:p>
      <w:pPr>
        <w:pStyle w:val="BodyText"/>
        <w:rPr>
          <w:sz w:val="24"/>
        </w:rPr>
      </w:pPr>
    </w:p>
    <w:p>
      <w:pPr>
        <w:pStyle w:val="Heading1"/>
        <w:numPr>
          <w:ilvl w:val="0"/>
          <w:numId w:val="3"/>
        </w:numPr>
        <w:tabs>
          <w:tab w:pos="455" w:val="left" w:leader="none"/>
        </w:tabs>
        <w:spacing w:line="240" w:lineRule="auto" w:before="204" w:after="0"/>
        <w:ind w:left="454" w:right="0" w:hanging="314"/>
        <w:jc w:val="left"/>
      </w:pPr>
      <w:bookmarkStart w:name="3. Principles" w:id="7"/>
      <w:bookmarkEnd w:id="7"/>
      <w:r>
        <w:rPr>
          <w:b w:val="0"/>
        </w:rPr>
      </w:r>
      <w:bookmarkStart w:name="3. Principles" w:id="8"/>
      <w:bookmarkEnd w:id="8"/>
      <w:r>
        <w:rPr>
          <w:color w:val="365F91"/>
        </w:rPr>
        <w:t>P</w:t>
      </w:r>
      <w:r>
        <w:rPr>
          <w:color w:val="365F91"/>
        </w:rPr>
        <w:t>rinciples</w:t>
      </w:r>
    </w:p>
    <w:p>
      <w:pPr>
        <w:pStyle w:val="ListParagraph"/>
        <w:numPr>
          <w:ilvl w:val="1"/>
          <w:numId w:val="3"/>
        </w:numPr>
        <w:tabs>
          <w:tab w:pos="859" w:val="left" w:leader="none"/>
          <w:tab w:pos="860" w:val="left" w:leader="none"/>
        </w:tabs>
        <w:spacing w:line="276" w:lineRule="auto" w:before="48" w:after="0"/>
        <w:ind w:left="859" w:right="250" w:hanging="719"/>
        <w:jc w:val="left"/>
        <w:rPr>
          <w:sz w:val="22"/>
        </w:rPr>
      </w:pPr>
      <w:r>
        <w:rPr>
          <w:sz w:val="22"/>
        </w:rPr>
        <w:t>As a public purpose institution, UTS is committed to driving social change within and beyond our campus. </w:t>
      </w:r>
      <w:r>
        <w:rPr>
          <w:spacing w:val="3"/>
          <w:sz w:val="22"/>
        </w:rPr>
        <w:t>We </w:t>
      </w:r>
      <w:r>
        <w:rPr>
          <w:sz w:val="22"/>
        </w:rPr>
        <w:t>aim to ensure that our research, education and practice, benefit the people who work and study at our university, as well as the wider community.</w:t>
      </w:r>
    </w:p>
    <w:p>
      <w:pPr>
        <w:pStyle w:val="ListParagraph"/>
        <w:numPr>
          <w:ilvl w:val="1"/>
          <w:numId w:val="3"/>
        </w:numPr>
        <w:tabs>
          <w:tab w:pos="859" w:val="left" w:leader="none"/>
          <w:tab w:pos="860" w:val="left" w:leader="none"/>
        </w:tabs>
        <w:spacing w:line="278" w:lineRule="auto" w:before="200" w:after="0"/>
        <w:ind w:left="859" w:right="267" w:hanging="719"/>
        <w:jc w:val="left"/>
        <w:rPr>
          <w:sz w:val="22"/>
        </w:rPr>
      </w:pPr>
      <w:r>
        <w:rPr>
          <w:sz w:val="22"/>
        </w:rPr>
        <w:t>UTS is committed to building a culture where the principles of diversity and inclusion are integrated into our everyday</w:t>
      </w:r>
      <w:r>
        <w:rPr>
          <w:spacing w:val="-9"/>
          <w:sz w:val="22"/>
        </w:rPr>
        <w:t> </w:t>
      </w:r>
      <w:r>
        <w:rPr>
          <w:sz w:val="22"/>
        </w:rPr>
        <w:t>activities.</w:t>
      </w:r>
    </w:p>
    <w:p>
      <w:pPr>
        <w:pStyle w:val="ListParagraph"/>
        <w:numPr>
          <w:ilvl w:val="1"/>
          <w:numId w:val="3"/>
        </w:numPr>
        <w:tabs>
          <w:tab w:pos="859" w:val="left" w:leader="none"/>
          <w:tab w:pos="860" w:val="left" w:leader="none"/>
        </w:tabs>
        <w:spacing w:line="276" w:lineRule="auto" w:before="195" w:after="0"/>
        <w:ind w:left="859" w:right="167" w:hanging="720"/>
        <w:jc w:val="left"/>
        <w:rPr>
          <w:sz w:val="22"/>
        </w:rPr>
      </w:pPr>
      <w:r>
        <w:rPr>
          <w:sz w:val="22"/>
        </w:rPr>
        <w:t>Everyone in the UTS community has a role to play in the creation and maintenance of an inclusive, safe and respectful work and learning environment. It is a condition of our employment that all UTS employees uphold our organisational values and standards in accordance with this policy, the Code of Conduct and the Student Rights and Responsibilities</w:t>
      </w:r>
      <w:r>
        <w:rPr>
          <w:spacing w:val="-2"/>
          <w:sz w:val="22"/>
        </w:rPr>
        <w:t> </w:t>
      </w:r>
      <w:r>
        <w:rPr>
          <w:sz w:val="22"/>
        </w:rPr>
        <w:t>Policy.</w:t>
      </w:r>
    </w:p>
    <w:p>
      <w:pPr>
        <w:pStyle w:val="ListParagraph"/>
        <w:numPr>
          <w:ilvl w:val="1"/>
          <w:numId w:val="3"/>
        </w:numPr>
        <w:tabs>
          <w:tab w:pos="860" w:val="left" w:leader="none"/>
        </w:tabs>
        <w:spacing w:line="276" w:lineRule="auto" w:before="199" w:after="0"/>
        <w:ind w:left="859" w:right="155" w:hanging="720"/>
        <w:jc w:val="both"/>
        <w:rPr>
          <w:sz w:val="22"/>
        </w:rPr>
      </w:pPr>
      <w:r>
        <w:rPr>
          <w:sz w:val="22"/>
        </w:rPr>
        <w:t>UTS is committed to equal educational and employment opportunities for all students and staff via clear and transparent selection, progression, assessment and promotion processes.</w:t>
      </w:r>
    </w:p>
    <w:p>
      <w:pPr>
        <w:pStyle w:val="ListParagraph"/>
        <w:numPr>
          <w:ilvl w:val="1"/>
          <w:numId w:val="3"/>
        </w:numPr>
        <w:tabs>
          <w:tab w:pos="859" w:val="left" w:leader="none"/>
          <w:tab w:pos="860" w:val="left" w:leader="none"/>
        </w:tabs>
        <w:spacing w:line="278" w:lineRule="auto" w:before="200" w:after="0"/>
        <w:ind w:left="859" w:right="226" w:hanging="720"/>
        <w:jc w:val="left"/>
        <w:rPr>
          <w:sz w:val="22"/>
        </w:rPr>
      </w:pPr>
      <w:r>
        <w:rPr>
          <w:sz w:val="22"/>
        </w:rPr>
        <w:t>UTS is a secular and non-political organisation. UTS reserves the right to express its values and principles within its mission statements and though its strategic</w:t>
      </w:r>
      <w:r>
        <w:rPr>
          <w:spacing w:val="-25"/>
          <w:sz w:val="22"/>
        </w:rPr>
        <w:t> </w:t>
      </w:r>
      <w:r>
        <w:rPr>
          <w:sz w:val="22"/>
        </w:rPr>
        <w:t>goals.</w:t>
      </w:r>
    </w:p>
    <w:p>
      <w:pPr>
        <w:pStyle w:val="ListParagraph"/>
        <w:numPr>
          <w:ilvl w:val="1"/>
          <w:numId w:val="3"/>
        </w:numPr>
        <w:tabs>
          <w:tab w:pos="858" w:val="left" w:leader="none"/>
          <w:tab w:pos="859" w:val="left" w:leader="none"/>
        </w:tabs>
        <w:spacing w:line="276" w:lineRule="auto" w:before="195" w:after="0"/>
        <w:ind w:left="858" w:right="326" w:hanging="719"/>
        <w:jc w:val="left"/>
        <w:rPr>
          <w:sz w:val="22"/>
        </w:rPr>
      </w:pPr>
      <w:r>
        <w:rPr>
          <w:sz w:val="22"/>
        </w:rPr>
        <w:t>UTS aims to provide an environment fostering equality and fairness, respecting and valuing diversity as an asset to the university and the wider community. UTS does not tolerate hate</w:t>
      </w:r>
      <w:r>
        <w:rPr>
          <w:spacing w:val="-6"/>
          <w:sz w:val="22"/>
        </w:rPr>
        <w:t> </w:t>
      </w:r>
      <w:r>
        <w:rPr>
          <w:sz w:val="22"/>
        </w:rPr>
        <w:t>advocacy.</w:t>
      </w:r>
    </w:p>
    <w:p>
      <w:pPr>
        <w:pStyle w:val="ListParagraph"/>
        <w:numPr>
          <w:ilvl w:val="1"/>
          <w:numId w:val="3"/>
        </w:numPr>
        <w:tabs>
          <w:tab w:pos="858" w:val="left" w:leader="none"/>
          <w:tab w:pos="859" w:val="left" w:leader="none"/>
        </w:tabs>
        <w:spacing w:line="276" w:lineRule="auto" w:before="200" w:after="0"/>
        <w:ind w:left="858" w:right="289" w:hanging="720"/>
        <w:jc w:val="left"/>
        <w:rPr>
          <w:sz w:val="22"/>
        </w:rPr>
      </w:pPr>
      <w:r>
        <w:rPr>
          <w:sz w:val="22"/>
        </w:rPr>
        <w:t>UTS supports and encourages rational and rigorous research, discussion, critical enquiry, and public discourse in a respectful, open-minded and generous spirit.</w:t>
      </w:r>
      <w:r>
        <w:rPr>
          <w:spacing w:val="-38"/>
          <w:sz w:val="22"/>
        </w:rPr>
        <w:t> </w:t>
      </w:r>
      <w:r>
        <w:rPr>
          <w:sz w:val="22"/>
        </w:rPr>
        <w:t>This</w:t>
      </w:r>
    </w:p>
    <w:p>
      <w:pPr>
        <w:spacing w:after="0" w:line="276" w:lineRule="auto"/>
        <w:jc w:val="left"/>
        <w:rPr>
          <w:sz w:val="22"/>
        </w:rPr>
        <w:sectPr>
          <w:headerReference w:type="default" r:id="rId20"/>
          <w:footerReference w:type="default" r:id="rId21"/>
          <w:pgSz w:w="11910" w:h="16840"/>
          <w:pgMar w:header="726" w:footer="1066" w:top="1340" w:bottom="1260" w:left="1300" w:right="1300"/>
          <w:pgNumType w:start="1"/>
        </w:sectPr>
      </w:pPr>
    </w:p>
    <w:p>
      <w:pPr>
        <w:pStyle w:val="BodyText"/>
        <w:spacing w:line="278" w:lineRule="auto" w:before="91"/>
        <w:ind w:left="860" w:right="958"/>
      </w:pPr>
      <w:r>
        <w:rPr/>
        <w:t>is underpinned by the university’s commitment to free enquiry and the pivotal importance of the pursuit of knowledge.</w:t>
      </w:r>
    </w:p>
    <w:p>
      <w:pPr>
        <w:pStyle w:val="ListParagraph"/>
        <w:numPr>
          <w:ilvl w:val="1"/>
          <w:numId w:val="3"/>
        </w:numPr>
        <w:tabs>
          <w:tab w:pos="859" w:val="left" w:leader="none"/>
          <w:tab w:pos="860" w:val="left" w:leader="none"/>
        </w:tabs>
        <w:spacing w:line="276" w:lineRule="auto" w:before="195" w:after="0"/>
        <w:ind w:left="859" w:right="141" w:hanging="720"/>
        <w:jc w:val="left"/>
        <w:rPr>
          <w:sz w:val="22"/>
        </w:rPr>
      </w:pPr>
      <w:r>
        <w:rPr>
          <w:sz w:val="22"/>
        </w:rPr>
        <w:t>UTS acknowledges that historic and ongoing disadvantage has created barriers to access and progression and will work to become part of the solution to this inequality. UTS will work to reach our equality and diversity targets and our commitment to our social and community</w:t>
      </w:r>
      <w:r>
        <w:rPr>
          <w:spacing w:val="-5"/>
          <w:sz w:val="22"/>
        </w:rPr>
        <w:t> </w:t>
      </w:r>
      <w:r>
        <w:rPr>
          <w:sz w:val="22"/>
        </w:rPr>
        <w:t>responsibilities.</w:t>
      </w:r>
    </w:p>
    <w:p>
      <w:pPr>
        <w:pStyle w:val="ListParagraph"/>
        <w:numPr>
          <w:ilvl w:val="1"/>
          <w:numId w:val="3"/>
        </w:numPr>
        <w:tabs>
          <w:tab w:pos="859" w:val="left" w:leader="none"/>
          <w:tab w:pos="860" w:val="left" w:leader="none"/>
        </w:tabs>
        <w:spacing w:line="276" w:lineRule="auto" w:before="200" w:after="0"/>
        <w:ind w:left="859" w:right="696" w:hanging="720"/>
        <w:jc w:val="left"/>
        <w:rPr>
          <w:sz w:val="22"/>
        </w:rPr>
      </w:pPr>
      <w:r>
        <w:rPr>
          <w:sz w:val="22"/>
        </w:rPr>
        <w:t>UTS has a ‘zero tolerance’ commitment to indecent assault, sexual assault and harassment as outlined in</w:t>
      </w:r>
      <w:r>
        <w:rPr>
          <w:color w:val="0000FF"/>
          <w:sz w:val="22"/>
        </w:rPr>
        <w:t> </w:t>
      </w:r>
      <w:hyperlink r:id="rId24">
        <w:r>
          <w:rPr>
            <w:color w:val="0000FF"/>
            <w:sz w:val="22"/>
            <w:u w:val="single" w:color="0000FF"/>
          </w:rPr>
          <w:t>Section 16</w:t>
        </w:r>
      </w:hyperlink>
      <w:r>
        <w:rPr>
          <w:sz w:val="22"/>
        </w:rPr>
        <w:t>, Student Rules. Further information on reporting incidents of sexual assault and available supports for victims of sexual assault is available on the</w:t>
      </w:r>
      <w:hyperlink r:id="rId25">
        <w:r>
          <w:rPr>
            <w:color w:val="0000FF"/>
            <w:sz w:val="22"/>
          </w:rPr>
          <w:t> </w:t>
        </w:r>
        <w:r>
          <w:rPr>
            <w:color w:val="0000FF"/>
            <w:sz w:val="22"/>
            <w:u w:val="single" w:color="0000FF"/>
          </w:rPr>
          <w:t>current students’</w:t>
        </w:r>
        <w:r>
          <w:rPr>
            <w:color w:val="0000FF"/>
            <w:spacing w:val="-1"/>
            <w:sz w:val="22"/>
            <w:u w:val="single" w:color="0000FF"/>
          </w:rPr>
          <w:t> </w:t>
        </w:r>
        <w:r>
          <w:rPr>
            <w:color w:val="0000FF"/>
            <w:sz w:val="22"/>
            <w:u w:val="single" w:color="0000FF"/>
          </w:rPr>
          <w:t>website</w:t>
        </w:r>
      </w:hyperlink>
      <w:r>
        <w:rPr>
          <w:sz w:val="22"/>
        </w:rPr>
        <w:t>.</w:t>
      </w:r>
    </w:p>
    <w:p>
      <w:pPr>
        <w:pStyle w:val="BodyText"/>
        <w:rPr>
          <w:sz w:val="20"/>
        </w:rPr>
      </w:pPr>
    </w:p>
    <w:p>
      <w:pPr>
        <w:pStyle w:val="Heading1"/>
        <w:numPr>
          <w:ilvl w:val="0"/>
          <w:numId w:val="3"/>
        </w:numPr>
        <w:tabs>
          <w:tab w:pos="455" w:val="left" w:leader="none"/>
        </w:tabs>
        <w:spacing w:line="240" w:lineRule="auto" w:before="249" w:after="0"/>
        <w:ind w:left="454" w:right="0" w:hanging="314"/>
        <w:jc w:val="left"/>
      </w:pPr>
      <w:bookmarkStart w:name="4. Policy statements" w:id="9"/>
      <w:bookmarkEnd w:id="9"/>
      <w:r>
        <w:rPr>
          <w:b w:val="0"/>
        </w:rPr>
      </w:r>
      <w:bookmarkStart w:name="4. Policy statements" w:id="10"/>
      <w:bookmarkEnd w:id="10"/>
      <w:r>
        <w:rPr>
          <w:color w:val="365F91"/>
        </w:rPr>
        <w:t>P</w:t>
      </w:r>
      <w:r>
        <w:rPr>
          <w:color w:val="365F91"/>
        </w:rPr>
        <w:t>olicy</w:t>
      </w:r>
      <w:r>
        <w:rPr>
          <w:color w:val="365F91"/>
          <w:spacing w:val="-10"/>
        </w:rPr>
        <w:t> </w:t>
      </w:r>
      <w:r>
        <w:rPr>
          <w:color w:val="365F91"/>
        </w:rPr>
        <w:t>statements</w:t>
      </w:r>
    </w:p>
    <w:p>
      <w:pPr>
        <w:pStyle w:val="Heading3"/>
        <w:spacing w:before="248"/>
      </w:pPr>
      <w:bookmarkStart w:name="Standards of behaviour" w:id="11"/>
      <w:bookmarkEnd w:id="11"/>
      <w:r>
        <w:rPr>
          <w:b w:val="0"/>
        </w:rPr>
      </w:r>
      <w:r>
        <w:rPr>
          <w:color w:val="4F81BC"/>
        </w:rPr>
        <w:t>Standards of behaviour</w:t>
      </w:r>
    </w:p>
    <w:p>
      <w:pPr>
        <w:pStyle w:val="ListParagraph"/>
        <w:numPr>
          <w:ilvl w:val="1"/>
          <w:numId w:val="3"/>
        </w:numPr>
        <w:tabs>
          <w:tab w:pos="859" w:val="left" w:leader="none"/>
          <w:tab w:pos="860" w:val="left" w:leader="none"/>
        </w:tabs>
        <w:spacing w:line="278" w:lineRule="auto" w:before="40" w:after="0"/>
        <w:ind w:left="859" w:right="259" w:hanging="719"/>
        <w:jc w:val="left"/>
        <w:rPr>
          <w:sz w:val="22"/>
        </w:rPr>
      </w:pPr>
      <w:r>
        <w:rPr>
          <w:sz w:val="22"/>
        </w:rPr>
        <w:t>Members of the university community should contribute to a productive, ethical, safe and equitable campus and learning environment</w:t>
      </w:r>
      <w:r>
        <w:rPr>
          <w:spacing w:val="-8"/>
          <w:sz w:val="22"/>
        </w:rPr>
        <w:t> </w:t>
      </w:r>
      <w:r>
        <w:rPr>
          <w:sz w:val="22"/>
        </w:rPr>
        <w:t>by:</w:t>
      </w:r>
    </w:p>
    <w:p>
      <w:pPr>
        <w:pStyle w:val="ListParagraph"/>
        <w:numPr>
          <w:ilvl w:val="2"/>
          <w:numId w:val="3"/>
        </w:numPr>
        <w:tabs>
          <w:tab w:pos="1219" w:val="left" w:leader="none"/>
          <w:tab w:pos="1220" w:val="left" w:leader="none"/>
        </w:tabs>
        <w:spacing w:line="273" w:lineRule="auto" w:before="193" w:after="0"/>
        <w:ind w:left="1219" w:right="144" w:hanging="360"/>
        <w:jc w:val="left"/>
        <w:rPr>
          <w:sz w:val="22"/>
        </w:rPr>
      </w:pPr>
      <w:r>
        <w:rPr>
          <w:sz w:val="22"/>
        </w:rPr>
        <w:t>recognising their individual role in contributing to and maintaining a respectful and inclusive</w:t>
      </w:r>
      <w:r>
        <w:rPr>
          <w:spacing w:val="-1"/>
          <w:sz w:val="22"/>
        </w:rPr>
        <w:t> </w:t>
      </w:r>
      <w:r>
        <w:rPr>
          <w:sz w:val="22"/>
        </w:rPr>
        <w:t>culture</w:t>
      </w:r>
    </w:p>
    <w:p>
      <w:pPr>
        <w:pStyle w:val="ListParagraph"/>
        <w:numPr>
          <w:ilvl w:val="2"/>
          <w:numId w:val="3"/>
        </w:numPr>
        <w:tabs>
          <w:tab w:pos="1220" w:val="left" w:leader="none"/>
          <w:tab w:pos="1221" w:val="left" w:leader="none"/>
        </w:tabs>
        <w:spacing w:line="240" w:lineRule="auto" w:before="122" w:after="0"/>
        <w:ind w:left="1220" w:right="0" w:hanging="360"/>
        <w:jc w:val="left"/>
        <w:rPr>
          <w:sz w:val="22"/>
        </w:rPr>
      </w:pPr>
      <w:r>
        <w:rPr>
          <w:sz w:val="22"/>
        </w:rPr>
        <w:t>treating others fairly, with dignity, respect and without</w:t>
      </w:r>
      <w:r>
        <w:rPr>
          <w:spacing w:val="-9"/>
          <w:sz w:val="22"/>
        </w:rPr>
        <w:t> </w:t>
      </w:r>
      <w:r>
        <w:rPr>
          <w:sz w:val="22"/>
        </w:rPr>
        <w:t>discrimination</w:t>
      </w:r>
    </w:p>
    <w:p>
      <w:pPr>
        <w:pStyle w:val="ListParagraph"/>
        <w:numPr>
          <w:ilvl w:val="2"/>
          <w:numId w:val="3"/>
        </w:numPr>
        <w:tabs>
          <w:tab w:pos="1220" w:val="left" w:leader="none"/>
          <w:tab w:pos="1221" w:val="left" w:leader="none"/>
        </w:tabs>
        <w:spacing w:line="240" w:lineRule="auto" w:before="155" w:after="0"/>
        <w:ind w:left="1220" w:right="0" w:hanging="360"/>
        <w:jc w:val="left"/>
        <w:rPr>
          <w:sz w:val="22"/>
        </w:rPr>
      </w:pPr>
      <w:r>
        <w:rPr>
          <w:sz w:val="22"/>
        </w:rPr>
        <w:t>avoiding any behaviour that could constitute bullying, harassment or</w:t>
      </w:r>
      <w:r>
        <w:rPr>
          <w:spacing w:val="-19"/>
          <w:sz w:val="22"/>
        </w:rPr>
        <w:t> </w:t>
      </w:r>
      <w:r>
        <w:rPr>
          <w:sz w:val="22"/>
        </w:rPr>
        <w:t>vilification</w:t>
      </w:r>
    </w:p>
    <w:p>
      <w:pPr>
        <w:pStyle w:val="ListParagraph"/>
        <w:numPr>
          <w:ilvl w:val="2"/>
          <w:numId w:val="3"/>
        </w:numPr>
        <w:tabs>
          <w:tab w:pos="1219" w:val="left" w:leader="none"/>
          <w:tab w:pos="1220" w:val="left" w:leader="none"/>
        </w:tabs>
        <w:spacing w:line="276" w:lineRule="auto" w:before="158" w:after="0"/>
        <w:ind w:left="1220" w:right="1144" w:hanging="360"/>
        <w:jc w:val="left"/>
        <w:rPr>
          <w:sz w:val="23"/>
        </w:rPr>
      </w:pPr>
      <w:r>
        <w:rPr>
          <w:sz w:val="23"/>
        </w:rPr>
        <w:t>attempting to resolve any issues of concern as early as possible in a respectful and courteous</w:t>
      </w:r>
      <w:r>
        <w:rPr>
          <w:spacing w:val="1"/>
          <w:sz w:val="23"/>
        </w:rPr>
        <w:t> </w:t>
      </w:r>
      <w:r>
        <w:rPr>
          <w:sz w:val="23"/>
        </w:rPr>
        <w:t>way</w:t>
      </w:r>
    </w:p>
    <w:p>
      <w:pPr>
        <w:pStyle w:val="ListParagraph"/>
        <w:numPr>
          <w:ilvl w:val="2"/>
          <w:numId w:val="3"/>
        </w:numPr>
        <w:tabs>
          <w:tab w:pos="1219" w:val="left" w:leader="none"/>
          <w:tab w:pos="1220" w:val="left" w:leader="none"/>
        </w:tabs>
        <w:spacing w:line="240" w:lineRule="auto" w:before="119" w:after="0"/>
        <w:ind w:left="1220" w:right="0" w:hanging="361"/>
        <w:jc w:val="left"/>
        <w:rPr>
          <w:sz w:val="23"/>
        </w:rPr>
      </w:pPr>
      <w:r>
        <w:rPr>
          <w:sz w:val="23"/>
        </w:rPr>
        <w:t>seeking advice if they do not understand any aspect of this policy,</w:t>
      </w:r>
      <w:r>
        <w:rPr>
          <w:spacing w:val="-11"/>
          <w:sz w:val="23"/>
        </w:rPr>
        <w:t> </w:t>
      </w:r>
      <w:r>
        <w:rPr>
          <w:sz w:val="23"/>
        </w:rPr>
        <w:t>and</w:t>
      </w:r>
    </w:p>
    <w:p>
      <w:pPr>
        <w:pStyle w:val="ListParagraph"/>
        <w:numPr>
          <w:ilvl w:val="2"/>
          <w:numId w:val="3"/>
        </w:numPr>
        <w:tabs>
          <w:tab w:pos="1220" w:val="left" w:leader="none"/>
          <w:tab w:pos="1221" w:val="left" w:leader="none"/>
        </w:tabs>
        <w:spacing w:line="240" w:lineRule="auto" w:before="160" w:after="0"/>
        <w:ind w:left="1220" w:right="0" w:hanging="360"/>
        <w:jc w:val="left"/>
        <w:rPr>
          <w:sz w:val="22"/>
        </w:rPr>
      </w:pPr>
      <w:r>
        <w:rPr>
          <w:sz w:val="22"/>
        </w:rPr>
        <w:t>reporting any behaviour that is in breach of this</w:t>
      </w:r>
      <w:r>
        <w:rPr>
          <w:spacing w:val="-6"/>
          <w:sz w:val="22"/>
        </w:rPr>
        <w:t> </w:t>
      </w:r>
      <w:r>
        <w:rPr>
          <w:sz w:val="22"/>
        </w:rPr>
        <w:t>policy.</w:t>
      </w:r>
    </w:p>
    <w:p>
      <w:pPr>
        <w:pStyle w:val="BodyText"/>
        <w:spacing w:before="5"/>
        <w:rPr>
          <w:sz w:val="20"/>
        </w:rPr>
      </w:pPr>
    </w:p>
    <w:p>
      <w:pPr>
        <w:pStyle w:val="Heading3"/>
      </w:pPr>
      <w:bookmarkStart w:name="Freedom of expression – rights and respo" w:id="12"/>
      <w:bookmarkEnd w:id="12"/>
      <w:r>
        <w:rPr>
          <w:b w:val="0"/>
        </w:rPr>
      </w:r>
      <w:r>
        <w:rPr>
          <w:color w:val="4F81BC"/>
        </w:rPr>
        <w:t>Freedom of expression – rights and responsibilities</w:t>
      </w:r>
    </w:p>
    <w:p>
      <w:pPr>
        <w:pStyle w:val="ListParagraph"/>
        <w:numPr>
          <w:ilvl w:val="1"/>
          <w:numId w:val="3"/>
        </w:numPr>
        <w:tabs>
          <w:tab w:pos="859" w:val="left" w:leader="none"/>
          <w:tab w:pos="860" w:val="left" w:leader="none"/>
        </w:tabs>
        <w:spacing w:line="276" w:lineRule="auto" w:before="40" w:after="0"/>
        <w:ind w:left="859" w:right="387" w:hanging="719"/>
        <w:jc w:val="left"/>
        <w:rPr>
          <w:sz w:val="22"/>
        </w:rPr>
      </w:pPr>
      <w:r>
        <w:rPr>
          <w:sz w:val="22"/>
        </w:rPr>
        <w:t>Staff and students are free to express and discuss political, religious, cultural and related beliefs and ideas. UTS requires that this is done in a respectful manner appropriate to a university setting in accordance with relevant legislation, university rules and polices.</w:t>
      </w:r>
    </w:p>
    <w:p>
      <w:pPr>
        <w:pStyle w:val="ListParagraph"/>
        <w:numPr>
          <w:ilvl w:val="1"/>
          <w:numId w:val="3"/>
        </w:numPr>
        <w:tabs>
          <w:tab w:pos="859" w:val="left" w:leader="none"/>
          <w:tab w:pos="860" w:val="left" w:leader="none"/>
        </w:tabs>
        <w:spacing w:line="276" w:lineRule="auto" w:before="199" w:after="0"/>
        <w:ind w:left="859" w:right="145" w:hanging="720"/>
        <w:jc w:val="left"/>
        <w:rPr>
          <w:sz w:val="22"/>
        </w:rPr>
      </w:pPr>
      <w:r>
        <w:rPr>
          <w:sz w:val="22"/>
        </w:rPr>
        <w:t>UTS requires that personal views and beliefs expressed by staff, students and visitors be identified as such and not represented as the views of the university. UTS does not implicitly or explicitly make any endorsement by permitting the expression of these</w:t>
      </w:r>
      <w:r>
        <w:rPr>
          <w:spacing w:val="-1"/>
          <w:sz w:val="22"/>
        </w:rPr>
        <w:t> </w:t>
      </w:r>
      <w:r>
        <w:rPr>
          <w:sz w:val="22"/>
        </w:rPr>
        <w:t>beliefs.</w:t>
      </w:r>
    </w:p>
    <w:p>
      <w:pPr>
        <w:pStyle w:val="ListParagraph"/>
        <w:numPr>
          <w:ilvl w:val="1"/>
          <w:numId w:val="3"/>
        </w:numPr>
        <w:tabs>
          <w:tab w:pos="860" w:val="left" w:leader="none"/>
        </w:tabs>
        <w:spacing w:line="276" w:lineRule="auto" w:before="199" w:after="0"/>
        <w:ind w:left="859" w:right="337" w:hanging="720"/>
        <w:jc w:val="both"/>
        <w:rPr>
          <w:sz w:val="22"/>
        </w:rPr>
      </w:pPr>
      <w:r>
        <w:rPr>
          <w:sz w:val="22"/>
        </w:rPr>
        <w:t>UTS reserves the right to exercise control over material disseminated through UTS outlets (including websites, emails, publications or public displays) if judged to be in breach of this</w:t>
      </w:r>
      <w:r>
        <w:rPr>
          <w:spacing w:val="-1"/>
          <w:sz w:val="22"/>
        </w:rPr>
        <w:t> </w:t>
      </w:r>
      <w:r>
        <w:rPr>
          <w:sz w:val="22"/>
        </w:rPr>
        <w:t>policy.</w:t>
      </w:r>
    </w:p>
    <w:p>
      <w:pPr>
        <w:pStyle w:val="Heading3"/>
        <w:spacing w:before="198"/>
        <w:ind w:left="139"/>
      </w:pPr>
      <w:bookmarkStart w:name="Equality, equity and inclusion" w:id="13"/>
      <w:bookmarkEnd w:id="13"/>
      <w:r>
        <w:rPr>
          <w:b w:val="0"/>
        </w:rPr>
      </w:r>
      <w:r>
        <w:rPr>
          <w:color w:val="4F81BC"/>
        </w:rPr>
        <w:t>Equality, equity and inclusion</w:t>
      </w:r>
    </w:p>
    <w:p>
      <w:pPr>
        <w:pStyle w:val="ListParagraph"/>
        <w:numPr>
          <w:ilvl w:val="1"/>
          <w:numId w:val="3"/>
        </w:numPr>
        <w:tabs>
          <w:tab w:pos="859" w:val="left" w:leader="none"/>
          <w:tab w:pos="860" w:val="left" w:leader="none"/>
        </w:tabs>
        <w:spacing w:line="278" w:lineRule="auto" w:before="40" w:after="0"/>
        <w:ind w:left="859" w:right="287" w:hanging="720"/>
        <w:jc w:val="left"/>
        <w:rPr>
          <w:sz w:val="22"/>
        </w:rPr>
      </w:pPr>
      <w:r>
        <w:rPr>
          <w:sz w:val="22"/>
        </w:rPr>
        <w:t>UTS will take a proactive approach to equality and equal opportunity by establishing programmes</w:t>
      </w:r>
      <w:r>
        <w:rPr>
          <w:spacing w:val="-4"/>
          <w:sz w:val="22"/>
        </w:rPr>
        <w:t> </w:t>
      </w:r>
      <w:r>
        <w:rPr>
          <w:sz w:val="22"/>
        </w:rPr>
        <w:t>to:</w:t>
      </w:r>
    </w:p>
    <w:p>
      <w:pPr>
        <w:spacing w:after="0" w:line="278" w:lineRule="auto"/>
        <w:jc w:val="left"/>
        <w:rPr>
          <w:sz w:val="22"/>
        </w:rPr>
        <w:sectPr>
          <w:pgSz w:w="11910" w:h="16840"/>
          <w:pgMar w:header="726" w:footer="1066" w:top="1340" w:bottom="1260" w:left="1300" w:right="1300"/>
        </w:sectPr>
      </w:pPr>
    </w:p>
    <w:p>
      <w:pPr>
        <w:pStyle w:val="ListParagraph"/>
        <w:numPr>
          <w:ilvl w:val="2"/>
          <w:numId w:val="3"/>
        </w:numPr>
        <w:tabs>
          <w:tab w:pos="1220" w:val="left" w:leader="none"/>
          <w:tab w:pos="1221" w:val="left" w:leader="none"/>
        </w:tabs>
        <w:spacing w:line="271" w:lineRule="auto" w:before="91" w:after="0"/>
        <w:ind w:left="1220" w:right="1407" w:hanging="360"/>
        <w:jc w:val="left"/>
        <w:rPr>
          <w:sz w:val="22"/>
        </w:rPr>
      </w:pPr>
      <w:r>
        <w:rPr>
          <w:sz w:val="22"/>
        </w:rPr>
        <w:t>provide access to under-represented equity target groups to improve representation with regard to education and</w:t>
      </w:r>
      <w:r>
        <w:rPr>
          <w:spacing w:val="-10"/>
          <w:sz w:val="22"/>
        </w:rPr>
        <w:t> </w:t>
      </w:r>
      <w:r>
        <w:rPr>
          <w:sz w:val="22"/>
        </w:rPr>
        <w:t>employment</w:t>
      </w:r>
    </w:p>
    <w:p>
      <w:pPr>
        <w:pStyle w:val="ListParagraph"/>
        <w:numPr>
          <w:ilvl w:val="2"/>
          <w:numId w:val="3"/>
        </w:numPr>
        <w:tabs>
          <w:tab w:pos="1220" w:val="left" w:leader="none"/>
          <w:tab w:pos="1221" w:val="left" w:leader="none"/>
        </w:tabs>
        <w:spacing w:line="271" w:lineRule="auto" w:before="127" w:after="0"/>
        <w:ind w:left="1220" w:right="1040" w:hanging="360"/>
        <w:jc w:val="left"/>
        <w:rPr>
          <w:sz w:val="22"/>
        </w:rPr>
      </w:pPr>
      <w:r>
        <w:rPr>
          <w:sz w:val="22"/>
        </w:rPr>
        <w:t>promote work and study practices that recognise and value a diversity of backgrounds and</w:t>
      </w:r>
      <w:r>
        <w:rPr>
          <w:spacing w:val="-3"/>
          <w:sz w:val="22"/>
        </w:rPr>
        <w:t> </w:t>
      </w:r>
      <w:r>
        <w:rPr>
          <w:sz w:val="22"/>
        </w:rPr>
        <w:t>perspectives</w:t>
      </w:r>
    </w:p>
    <w:p>
      <w:pPr>
        <w:pStyle w:val="ListParagraph"/>
        <w:numPr>
          <w:ilvl w:val="2"/>
          <w:numId w:val="3"/>
        </w:numPr>
        <w:tabs>
          <w:tab w:pos="1220" w:val="left" w:leader="none"/>
          <w:tab w:pos="1221" w:val="left" w:leader="none"/>
        </w:tabs>
        <w:spacing w:line="273" w:lineRule="auto" w:before="124" w:after="0"/>
        <w:ind w:left="1220" w:right="221" w:hanging="360"/>
        <w:jc w:val="left"/>
        <w:rPr>
          <w:sz w:val="22"/>
        </w:rPr>
      </w:pPr>
      <w:r>
        <w:rPr>
          <w:sz w:val="22"/>
        </w:rPr>
        <w:t>promote diversity on university employment, assessment, review and disciplinary panels</w:t>
      </w:r>
    </w:p>
    <w:p>
      <w:pPr>
        <w:pStyle w:val="ListParagraph"/>
        <w:numPr>
          <w:ilvl w:val="2"/>
          <w:numId w:val="3"/>
        </w:numPr>
        <w:tabs>
          <w:tab w:pos="1220" w:val="left" w:leader="none"/>
          <w:tab w:pos="1221" w:val="left" w:leader="none"/>
        </w:tabs>
        <w:spacing w:line="271" w:lineRule="auto" w:before="122" w:after="0"/>
        <w:ind w:left="1220" w:right="577" w:hanging="360"/>
        <w:jc w:val="left"/>
        <w:rPr>
          <w:sz w:val="22"/>
        </w:rPr>
      </w:pPr>
      <w:r>
        <w:rPr>
          <w:sz w:val="22"/>
        </w:rPr>
        <w:t>promote the university’s values and expectations of behaviour through policy, procedure and practice,</w:t>
      </w:r>
      <w:r>
        <w:rPr>
          <w:spacing w:val="-4"/>
          <w:sz w:val="22"/>
        </w:rPr>
        <w:t> </w:t>
      </w:r>
      <w:r>
        <w:rPr>
          <w:sz w:val="22"/>
        </w:rPr>
        <w:t>and</w:t>
      </w:r>
    </w:p>
    <w:p>
      <w:pPr>
        <w:pStyle w:val="ListParagraph"/>
        <w:numPr>
          <w:ilvl w:val="2"/>
          <w:numId w:val="3"/>
        </w:numPr>
        <w:tabs>
          <w:tab w:pos="1220" w:val="left" w:leader="none"/>
          <w:tab w:pos="1221" w:val="left" w:leader="none"/>
        </w:tabs>
        <w:spacing w:line="273" w:lineRule="auto" w:before="125" w:after="0"/>
        <w:ind w:left="1221" w:right="928" w:hanging="361"/>
        <w:jc w:val="left"/>
        <w:rPr>
          <w:sz w:val="22"/>
        </w:rPr>
      </w:pPr>
      <w:r>
        <w:rPr>
          <w:sz w:val="22"/>
        </w:rPr>
        <w:t>monitor and report our equity performance against identified priorities and legislative</w:t>
      </w:r>
      <w:r>
        <w:rPr>
          <w:spacing w:val="-1"/>
          <w:sz w:val="22"/>
        </w:rPr>
        <w:t> </w:t>
      </w:r>
      <w:r>
        <w:rPr>
          <w:sz w:val="22"/>
        </w:rPr>
        <w:t>requirements.</w:t>
      </w:r>
    </w:p>
    <w:p>
      <w:pPr>
        <w:pStyle w:val="Heading3"/>
        <w:spacing w:before="202"/>
        <w:ind w:left="141"/>
      </w:pPr>
      <w:bookmarkStart w:name="Discrimination, vilification, victimisat" w:id="14"/>
      <w:bookmarkEnd w:id="14"/>
      <w:r>
        <w:rPr>
          <w:b w:val="0"/>
        </w:rPr>
      </w:r>
      <w:r>
        <w:rPr>
          <w:color w:val="4F81BC"/>
        </w:rPr>
        <w:t>Discrimination, vilification, victimisation, bullying and harassment</w:t>
      </w:r>
    </w:p>
    <w:p>
      <w:pPr>
        <w:pStyle w:val="ListParagraph"/>
        <w:numPr>
          <w:ilvl w:val="1"/>
          <w:numId w:val="3"/>
        </w:numPr>
        <w:tabs>
          <w:tab w:pos="860" w:val="left" w:leader="none"/>
          <w:tab w:pos="861" w:val="left" w:leader="none"/>
        </w:tabs>
        <w:spacing w:line="276" w:lineRule="auto" w:before="39" w:after="0"/>
        <w:ind w:left="860" w:right="814" w:hanging="719"/>
        <w:jc w:val="left"/>
        <w:rPr>
          <w:sz w:val="22"/>
        </w:rPr>
      </w:pPr>
      <w:r>
        <w:rPr>
          <w:sz w:val="22"/>
        </w:rPr>
        <w:t>UTS will address identified incidents of discrimination, vilification, victimisation, bullying and harassment on grounds specified under state and federal anti- discrimination</w:t>
      </w:r>
      <w:r>
        <w:rPr>
          <w:spacing w:val="-1"/>
          <w:sz w:val="22"/>
        </w:rPr>
        <w:t> </w:t>
      </w:r>
      <w:r>
        <w:rPr>
          <w:sz w:val="22"/>
        </w:rPr>
        <w:t>legislation.</w:t>
      </w:r>
    </w:p>
    <w:p>
      <w:pPr>
        <w:pStyle w:val="ListParagraph"/>
        <w:numPr>
          <w:ilvl w:val="1"/>
          <w:numId w:val="3"/>
        </w:numPr>
        <w:tabs>
          <w:tab w:pos="860" w:val="left" w:leader="none"/>
          <w:tab w:pos="861" w:val="left" w:leader="none"/>
        </w:tabs>
        <w:spacing w:line="276" w:lineRule="auto" w:before="200" w:after="0"/>
        <w:ind w:left="860" w:right="188" w:hanging="720"/>
        <w:jc w:val="left"/>
        <w:rPr>
          <w:sz w:val="22"/>
        </w:rPr>
      </w:pPr>
      <w:r>
        <w:rPr>
          <w:sz w:val="22"/>
        </w:rPr>
        <w:t>Discrimination occurs when a person is treated less favourably than another person or group because of characteristics (or combinations of characteristics), including but not limited</w:t>
      </w:r>
      <w:r>
        <w:rPr>
          <w:spacing w:val="-1"/>
          <w:sz w:val="22"/>
        </w:rPr>
        <w:t> </w:t>
      </w:r>
      <w:r>
        <w:rPr>
          <w:sz w:val="22"/>
        </w:rPr>
        <w:t>to:</w:t>
      </w:r>
    </w:p>
    <w:p>
      <w:pPr>
        <w:pStyle w:val="ListParagraph"/>
        <w:numPr>
          <w:ilvl w:val="2"/>
          <w:numId w:val="3"/>
        </w:numPr>
        <w:tabs>
          <w:tab w:pos="1220" w:val="left" w:leader="none"/>
          <w:tab w:pos="1221" w:val="left" w:leader="none"/>
        </w:tabs>
        <w:spacing w:line="240" w:lineRule="auto" w:before="200" w:after="0"/>
        <w:ind w:left="1220" w:right="0" w:hanging="360"/>
        <w:jc w:val="left"/>
        <w:rPr>
          <w:sz w:val="22"/>
        </w:rPr>
      </w:pPr>
      <w:r>
        <w:rPr>
          <w:sz w:val="22"/>
        </w:rPr>
        <w:t>age</w:t>
      </w:r>
    </w:p>
    <w:p>
      <w:pPr>
        <w:pStyle w:val="ListParagraph"/>
        <w:numPr>
          <w:ilvl w:val="2"/>
          <w:numId w:val="3"/>
        </w:numPr>
        <w:tabs>
          <w:tab w:pos="1220" w:val="left" w:leader="none"/>
          <w:tab w:pos="1221" w:val="left" w:leader="none"/>
        </w:tabs>
        <w:spacing w:line="240" w:lineRule="auto" w:before="155" w:after="0"/>
        <w:ind w:left="1221" w:right="0" w:hanging="361"/>
        <w:jc w:val="left"/>
        <w:rPr>
          <w:sz w:val="22"/>
        </w:rPr>
      </w:pPr>
      <w:r>
        <w:rPr>
          <w:sz w:val="22"/>
        </w:rPr>
        <w:t>pregnancy, potential pregnancy or</w:t>
      </w:r>
      <w:r>
        <w:rPr>
          <w:spacing w:val="-3"/>
          <w:sz w:val="22"/>
        </w:rPr>
        <w:t> </w:t>
      </w:r>
      <w:r>
        <w:rPr>
          <w:sz w:val="22"/>
        </w:rPr>
        <w:t>breastfeeding</w:t>
      </w:r>
    </w:p>
    <w:p>
      <w:pPr>
        <w:pStyle w:val="ListParagraph"/>
        <w:numPr>
          <w:ilvl w:val="2"/>
          <w:numId w:val="3"/>
        </w:numPr>
        <w:tabs>
          <w:tab w:pos="1221" w:val="left" w:leader="none"/>
          <w:tab w:pos="1222" w:val="left" w:leader="none"/>
        </w:tabs>
        <w:spacing w:line="240" w:lineRule="auto" w:before="155" w:after="0"/>
        <w:ind w:left="1221" w:right="0" w:hanging="360"/>
        <w:jc w:val="left"/>
        <w:rPr>
          <w:sz w:val="22"/>
        </w:rPr>
      </w:pPr>
      <w:r>
        <w:rPr>
          <w:sz w:val="22"/>
        </w:rPr>
        <w:t>family or carers</w:t>
      </w:r>
      <w:r>
        <w:rPr>
          <w:spacing w:val="-3"/>
          <w:sz w:val="22"/>
        </w:rPr>
        <w:t> </w:t>
      </w:r>
      <w:r>
        <w:rPr>
          <w:sz w:val="22"/>
        </w:rPr>
        <w:t>responsibility</w:t>
      </w:r>
    </w:p>
    <w:p>
      <w:pPr>
        <w:pStyle w:val="ListParagraph"/>
        <w:numPr>
          <w:ilvl w:val="2"/>
          <w:numId w:val="3"/>
        </w:numPr>
        <w:tabs>
          <w:tab w:pos="1221" w:val="left" w:leader="none"/>
          <w:tab w:pos="1222" w:val="left" w:leader="none"/>
        </w:tabs>
        <w:spacing w:line="240" w:lineRule="auto" w:before="158" w:after="0"/>
        <w:ind w:left="1221" w:right="0" w:hanging="360"/>
        <w:jc w:val="left"/>
        <w:rPr>
          <w:sz w:val="22"/>
        </w:rPr>
      </w:pPr>
      <w:r>
        <w:rPr>
          <w:sz w:val="22"/>
        </w:rPr>
        <w:t>disability or</w:t>
      </w:r>
      <w:r>
        <w:rPr>
          <w:spacing w:val="-1"/>
          <w:sz w:val="22"/>
        </w:rPr>
        <w:t> </w:t>
      </w:r>
      <w:r>
        <w:rPr>
          <w:sz w:val="22"/>
        </w:rPr>
        <w:t>impairment</w:t>
      </w:r>
    </w:p>
    <w:p>
      <w:pPr>
        <w:pStyle w:val="ListParagraph"/>
        <w:numPr>
          <w:ilvl w:val="2"/>
          <w:numId w:val="3"/>
        </w:numPr>
        <w:tabs>
          <w:tab w:pos="1221" w:val="left" w:leader="none"/>
          <w:tab w:pos="1222" w:val="left" w:leader="none"/>
        </w:tabs>
        <w:spacing w:line="240" w:lineRule="auto" w:before="156" w:after="0"/>
        <w:ind w:left="1221" w:right="0" w:hanging="360"/>
        <w:jc w:val="left"/>
        <w:rPr>
          <w:sz w:val="22"/>
        </w:rPr>
      </w:pPr>
      <w:r>
        <w:rPr>
          <w:sz w:val="22"/>
        </w:rPr>
        <w:t>political or religious</w:t>
      </w:r>
      <w:r>
        <w:rPr>
          <w:spacing w:val="2"/>
          <w:sz w:val="22"/>
        </w:rPr>
        <w:t> </w:t>
      </w:r>
      <w:r>
        <w:rPr>
          <w:sz w:val="22"/>
        </w:rPr>
        <w:t>beliefs</w:t>
      </w:r>
    </w:p>
    <w:p>
      <w:pPr>
        <w:pStyle w:val="ListParagraph"/>
        <w:numPr>
          <w:ilvl w:val="2"/>
          <w:numId w:val="3"/>
        </w:numPr>
        <w:tabs>
          <w:tab w:pos="1221" w:val="left" w:leader="none"/>
          <w:tab w:pos="1222" w:val="left" w:leader="none"/>
        </w:tabs>
        <w:spacing w:line="240" w:lineRule="auto" w:before="157" w:after="0"/>
        <w:ind w:left="1221" w:right="0" w:hanging="360"/>
        <w:jc w:val="left"/>
        <w:rPr>
          <w:sz w:val="22"/>
        </w:rPr>
      </w:pPr>
      <w:r>
        <w:rPr>
          <w:sz w:val="22"/>
        </w:rPr>
        <w:t>marital or relationship</w:t>
      </w:r>
      <w:r>
        <w:rPr>
          <w:spacing w:val="-2"/>
          <w:sz w:val="22"/>
        </w:rPr>
        <w:t> </w:t>
      </w:r>
      <w:r>
        <w:rPr>
          <w:sz w:val="22"/>
        </w:rPr>
        <w:t>status</w:t>
      </w:r>
    </w:p>
    <w:p>
      <w:pPr>
        <w:pStyle w:val="ListParagraph"/>
        <w:numPr>
          <w:ilvl w:val="2"/>
          <w:numId w:val="3"/>
        </w:numPr>
        <w:tabs>
          <w:tab w:pos="1221" w:val="left" w:leader="none"/>
          <w:tab w:pos="1222" w:val="left" w:leader="none"/>
        </w:tabs>
        <w:spacing w:line="240" w:lineRule="auto" w:before="156" w:after="0"/>
        <w:ind w:left="1221" w:right="0" w:hanging="360"/>
        <w:jc w:val="left"/>
        <w:rPr>
          <w:sz w:val="22"/>
        </w:rPr>
      </w:pPr>
      <w:r>
        <w:rPr>
          <w:sz w:val="22"/>
        </w:rPr>
        <w:t>race, colour, descent, nationality, ethnic, ethno-religious or national origin,</w:t>
      </w:r>
      <w:r>
        <w:rPr>
          <w:spacing w:val="-27"/>
          <w:sz w:val="22"/>
        </w:rPr>
        <w:t> </w:t>
      </w:r>
      <w:r>
        <w:rPr>
          <w:sz w:val="22"/>
        </w:rPr>
        <w:t>and/or</w:t>
      </w:r>
    </w:p>
    <w:p>
      <w:pPr>
        <w:pStyle w:val="ListParagraph"/>
        <w:numPr>
          <w:ilvl w:val="2"/>
          <w:numId w:val="3"/>
        </w:numPr>
        <w:tabs>
          <w:tab w:pos="1221" w:val="left" w:leader="none"/>
          <w:tab w:pos="1222" w:val="left" w:leader="none"/>
        </w:tabs>
        <w:spacing w:line="240" w:lineRule="auto" w:before="155" w:after="0"/>
        <w:ind w:left="1221" w:right="0" w:hanging="360"/>
        <w:jc w:val="left"/>
        <w:rPr>
          <w:sz w:val="22"/>
        </w:rPr>
      </w:pPr>
      <w:r>
        <w:rPr>
          <w:sz w:val="22"/>
        </w:rPr>
        <w:t>sex, gender, sexual orientation or preference or transgender</w:t>
      </w:r>
      <w:r>
        <w:rPr>
          <w:spacing w:val="-7"/>
          <w:sz w:val="22"/>
        </w:rPr>
        <w:t> </w:t>
      </w:r>
      <w:r>
        <w:rPr>
          <w:sz w:val="22"/>
        </w:rPr>
        <w:t>status.</w:t>
      </w:r>
    </w:p>
    <w:p>
      <w:pPr>
        <w:pStyle w:val="ListParagraph"/>
        <w:numPr>
          <w:ilvl w:val="1"/>
          <w:numId w:val="3"/>
        </w:numPr>
        <w:tabs>
          <w:tab w:pos="861" w:val="left" w:leader="none"/>
          <w:tab w:pos="862" w:val="left" w:leader="none"/>
        </w:tabs>
        <w:spacing w:line="240" w:lineRule="auto" w:before="158" w:after="0"/>
        <w:ind w:left="861" w:right="273" w:hanging="720"/>
        <w:jc w:val="left"/>
        <w:rPr>
          <w:sz w:val="22"/>
        </w:rPr>
      </w:pPr>
      <w:r>
        <w:rPr>
          <w:sz w:val="22"/>
        </w:rPr>
        <w:t>UTS will, where possible and reasonable, make adjustments to facilitate access and learning in line with the Student</w:t>
      </w:r>
      <w:r>
        <w:rPr>
          <w:spacing w:val="-2"/>
          <w:sz w:val="22"/>
        </w:rPr>
        <w:t> </w:t>
      </w:r>
      <w:r>
        <w:rPr>
          <w:sz w:val="22"/>
        </w:rPr>
        <w:t>Rules.</w:t>
      </w:r>
    </w:p>
    <w:p>
      <w:pPr>
        <w:pStyle w:val="BodyText"/>
        <w:spacing w:before="11"/>
        <w:rPr>
          <w:sz w:val="21"/>
        </w:rPr>
      </w:pPr>
    </w:p>
    <w:p>
      <w:pPr>
        <w:pStyle w:val="ListParagraph"/>
        <w:numPr>
          <w:ilvl w:val="1"/>
          <w:numId w:val="3"/>
        </w:numPr>
        <w:tabs>
          <w:tab w:pos="860" w:val="left" w:leader="none"/>
          <w:tab w:pos="861" w:val="left" w:leader="none"/>
        </w:tabs>
        <w:spacing w:line="240" w:lineRule="auto" w:before="0" w:after="0"/>
        <w:ind w:left="860" w:right="436" w:hanging="719"/>
        <w:jc w:val="left"/>
        <w:rPr>
          <w:sz w:val="22"/>
        </w:rPr>
      </w:pPr>
      <w:r>
        <w:rPr>
          <w:sz w:val="22"/>
        </w:rPr>
        <w:t>Bullying behaviour, as defined in this policy, can be manifested verbally, physically and/or through body language and can take the form of action or lack of action. Examples of bullying behaviour may</w:t>
      </w:r>
      <w:r>
        <w:rPr>
          <w:spacing w:val="5"/>
          <w:sz w:val="22"/>
        </w:rPr>
        <w:t> </w:t>
      </w:r>
      <w:r>
        <w:rPr>
          <w:sz w:val="22"/>
        </w:rPr>
        <w:t>include:</w:t>
      </w:r>
    </w:p>
    <w:p>
      <w:pPr>
        <w:pStyle w:val="BodyText"/>
      </w:pPr>
    </w:p>
    <w:p>
      <w:pPr>
        <w:pStyle w:val="ListParagraph"/>
        <w:numPr>
          <w:ilvl w:val="2"/>
          <w:numId w:val="3"/>
        </w:numPr>
        <w:tabs>
          <w:tab w:pos="1220" w:val="left" w:leader="none"/>
          <w:tab w:pos="1221" w:val="left" w:leader="none"/>
        </w:tabs>
        <w:spacing w:line="240" w:lineRule="auto" w:before="0" w:after="0"/>
        <w:ind w:left="1220" w:right="0" w:hanging="360"/>
        <w:jc w:val="left"/>
        <w:rPr>
          <w:sz w:val="22"/>
        </w:rPr>
      </w:pPr>
      <w:r>
        <w:rPr>
          <w:sz w:val="22"/>
        </w:rPr>
        <w:t>abusive, insulting or offensive language or</w:t>
      </w:r>
      <w:r>
        <w:rPr>
          <w:spacing w:val="1"/>
          <w:sz w:val="22"/>
        </w:rPr>
        <w:t> </w:t>
      </w:r>
      <w:r>
        <w:rPr>
          <w:sz w:val="22"/>
        </w:rPr>
        <w:t>comments</w:t>
      </w:r>
    </w:p>
    <w:p>
      <w:pPr>
        <w:pStyle w:val="BodyText"/>
        <w:spacing w:before="2"/>
        <w:rPr>
          <w:sz w:val="21"/>
        </w:rPr>
      </w:pPr>
    </w:p>
    <w:p>
      <w:pPr>
        <w:pStyle w:val="ListParagraph"/>
        <w:numPr>
          <w:ilvl w:val="2"/>
          <w:numId w:val="3"/>
        </w:numPr>
        <w:tabs>
          <w:tab w:pos="1220" w:val="left" w:leader="none"/>
          <w:tab w:pos="1221" w:val="left" w:leader="none"/>
        </w:tabs>
        <w:spacing w:line="240" w:lineRule="auto" w:before="1" w:after="0"/>
        <w:ind w:left="1220" w:right="0" w:hanging="360"/>
        <w:jc w:val="left"/>
        <w:rPr>
          <w:sz w:val="22"/>
        </w:rPr>
      </w:pPr>
      <w:r>
        <w:rPr>
          <w:sz w:val="22"/>
        </w:rPr>
        <w:t>aggressive and intimidating</w:t>
      </w:r>
      <w:r>
        <w:rPr>
          <w:spacing w:val="-1"/>
          <w:sz w:val="22"/>
        </w:rPr>
        <w:t> </w:t>
      </w:r>
      <w:r>
        <w:rPr>
          <w:sz w:val="22"/>
        </w:rPr>
        <w:t>conduct</w:t>
      </w:r>
    </w:p>
    <w:p>
      <w:pPr>
        <w:pStyle w:val="BodyText"/>
        <w:spacing w:before="2"/>
        <w:rPr>
          <w:sz w:val="21"/>
        </w:rPr>
      </w:pPr>
    </w:p>
    <w:p>
      <w:pPr>
        <w:pStyle w:val="ListParagraph"/>
        <w:numPr>
          <w:ilvl w:val="2"/>
          <w:numId w:val="3"/>
        </w:numPr>
        <w:tabs>
          <w:tab w:pos="1221" w:val="left" w:leader="none"/>
          <w:tab w:pos="1222" w:val="left" w:leader="none"/>
        </w:tabs>
        <w:spacing w:line="240" w:lineRule="auto" w:before="0" w:after="0"/>
        <w:ind w:left="1221" w:right="0" w:hanging="360"/>
        <w:jc w:val="left"/>
        <w:rPr>
          <w:sz w:val="22"/>
        </w:rPr>
      </w:pPr>
      <w:r>
        <w:rPr>
          <w:sz w:val="22"/>
        </w:rPr>
        <w:t>belittling or humiliating</w:t>
      </w:r>
      <w:r>
        <w:rPr>
          <w:spacing w:val="-17"/>
          <w:sz w:val="22"/>
        </w:rPr>
        <w:t> </w:t>
      </w:r>
      <w:r>
        <w:rPr>
          <w:sz w:val="22"/>
        </w:rPr>
        <w:t>comments</w:t>
      </w:r>
    </w:p>
    <w:p>
      <w:pPr>
        <w:pStyle w:val="BodyText"/>
        <w:spacing w:before="5"/>
        <w:rPr>
          <w:sz w:val="21"/>
        </w:rPr>
      </w:pPr>
    </w:p>
    <w:p>
      <w:pPr>
        <w:pStyle w:val="ListParagraph"/>
        <w:numPr>
          <w:ilvl w:val="2"/>
          <w:numId w:val="3"/>
        </w:numPr>
        <w:tabs>
          <w:tab w:pos="1221" w:val="left" w:leader="none"/>
          <w:tab w:pos="1222" w:val="left" w:leader="none"/>
        </w:tabs>
        <w:spacing w:line="240" w:lineRule="auto" w:before="0" w:after="0"/>
        <w:ind w:left="1221" w:right="0" w:hanging="360"/>
        <w:jc w:val="left"/>
        <w:rPr>
          <w:sz w:val="22"/>
        </w:rPr>
      </w:pPr>
      <w:r>
        <w:rPr>
          <w:sz w:val="22"/>
        </w:rPr>
        <w:t>being subjected to practical</w:t>
      </w:r>
      <w:r>
        <w:rPr>
          <w:spacing w:val="-11"/>
          <w:sz w:val="22"/>
        </w:rPr>
        <w:t> </w:t>
      </w:r>
      <w:r>
        <w:rPr>
          <w:sz w:val="22"/>
        </w:rPr>
        <w:t>jokes</w:t>
      </w:r>
    </w:p>
    <w:p>
      <w:pPr>
        <w:pStyle w:val="BodyText"/>
        <w:spacing w:before="3"/>
        <w:rPr>
          <w:sz w:val="21"/>
        </w:rPr>
      </w:pPr>
    </w:p>
    <w:p>
      <w:pPr>
        <w:pStyle w:val="ListParagraph"/>
        <w:numPr>
          <w:ilvl w:val="2"/>
          <w:numId w:val="3"/>
        </w:numPr>
        <w:tabs>
          <w:tab w:pos="1221" w:val="left" w:leader="none"/>
          <w:tab w:pos="1222" w:val="left" w:leader="none"/>
        </w:tabs>
        <w:spacing w:line="240" w:lineRule="auto" w:before="0" w:after="0"/>
        <w:ind w:left="1221" w:right="0" w:hanging="360"/>
        <w:jc w:val="left"/>
        <w:rPr>
          <w:sz w:val="22"/>
        </w:rPr>
      </w:pPr>
      <w:r>
        <w:rPr>
          <w:sz w:val="22"/>
        </w:rPr>
        <w:t>unjustified</w:t>
      </w:r>
      <w:r>
        <w:rPr>
          <w:spacing w:val="-3"/>
          <w:sz w:val="22"/>
        </w:rPr>
        <w:t> </w:t>
      </w:r>
      <w:r>
        <w:rPr>
          <w:sz w:val="22"/>
        </w:rPr>
        <w:t>criticism</w:t>
      </w:r>
    </w:p>
    <w:p>
      <w:pPr>
        <w:spacing w:after="0" w:line="240" w:lineRule="auto"/>
        <w:jc w:val="left"/>
        <w:rPr>
          <w:sz w:val="22"/>
        </w:rPr>
        <w:sectPr>
          <w:pgSz w:w="11910" w:h="16840"/>
          <w:pgMar w:header="726" w:footer="1066" w:top="1340" w:bottom="1260" w:left="1300" w:right="1300"/>
        </w:sectPr>
      </w:pPr>
    </w:p>
    <w:p>
      <w:pPr>
        <w:pStyle w:val="ListParagraph"/>
        <w:numPr>
          <w:ilvl w:val="2"/>
          <w:numId w:val="3"/>
        </w:numPr>
        <w:tabs>
          <w:tab w:pos="1220" w:val="left" w:leader="none"/>
          <w:tab w:pos="1221" w:val="left" w:leader="none"/>
        </w:tabs>
        <w:spacing w:line="350" w:lineRule="auto" w:before="91" w:after="0"/>
        <w:ind w:left="1220" w:right="355" w:hanging="360"/>
        <w:jc w:val="left"/>
        <w:rPr>
          <w:sz w:val="22"/>
        </w:rPr>
      </w:pPr>
      <w:r>
        <w:rPr>
          <w:sz w:val="22"/>
        </w:rPr>
        <w:t>deliberately excluding or isolating employees, students or other members of the university</w:t>
      </w:r>
      <w:r>
        <w:rPr>
          <w:spacing w:val="-3"/>
          <w:sz w:val="22"/>
        </w:rPr>
        <w:t> </w:t>
      </w:r>
      <w:r>
        <w:rPr>
          <w:sz w:val="22"/>
        </w:rPr>
        <w:t>community.</w:t>
      </w:r>
    </w:p>
    <w:p>
      <w:pPr>
        <w:pStyle w:val="ListParagraph"/>
        <w:numPr>
          <w:ilvl w:val="1"/>
          <w:numId w:val="3"/>
        </w:numPr>
        <w:tabs>
          <w:tab w:pos="860" w:val="left" w:leader="none"/>
          <w:tab w:pos="861" w:val="left" w:leader="none"/>
        </w:tabs>
        <w:spacing w:line="240" w:lineRule="auto" w:before="130" w:after="0"/>
        <w:ind w:left="860" w:right="273" w:hanging="720"/>
        <w:jc w:val="left"/>
        <w:rPr>
          <w:sz w:val="22"/>
        </w:rPr>
      </w:pPr>
      <w:r>
        <w:rPr>
          <w:sz w:val="22"/>
        </w:rPr>
        <w:t>Under Work, Healthy and Safety legislation, all UTS staff must take reasonable care to ensure that their behaviour does not adversely affect the health and safety of others in the</w:t>
      </w:r>
      <w:r>
        <w:rPr>
          <w:spacing w:val="-5"/>
          <w:sz w:val="22"/>
        </w:rPr>
        <w:t> </w:t>
      </w:r>
      <w:r>
        <w:rPr>
          <w:sz w:val="22"/>
        </w:rPr>
        <w:t>workplace.</w:t>
      </w:r>
    </w:p>
    <w:p>
      <w:pPr>
        <w:pStyle w:val="Heading3"/>
        <w:spacing w:before="201"/>
      </w:pPr>
      <w:bookmarkStart w:name="Appropriate personal relationships and c" w:id="15"/>
      <w:bookmarkEnd w:id="15"/>
      <w:r>
        <w:rPr>
          <w:b w:val="0"/>
        </w:rPr>
      </w:r>
      <w:r>
        <w:rPr>
          <w:color w:val="4F81BC"/>
        </w:rPr>
        <w:t>Appropriate personal relationships and conflicts of interest</w:t>
      </w:r>
    </w:p>
    <w:p>
      <w:pPr>
        <w:pStyle w:val="ListParagraph"/>
        <w:numPr>
          <w:ilvl w:val="1"/>
          <w:numId w:val="3"/>
        </w:numPr>
        <w:tabs>
          <w:tab w:pos="860" w:val="left" w:leader="none"/>
          <w:tab w:pos="861" w:val="left" w:leader="none"/>
        </w:tabs>
        <w:spacing w:line="276" w:lineRule="auto" w:before="37" w:after="0"/>
        <w:ind w:left="860" w:right="301" w:hanging="720"/>
        <w:jc w:val="left"/>
        <w:rPr>
          <w:sz w:val="22"/>
        </w:rPr>
      </w:pPr>
      <w:r>
        <w:rPr>
          <w:sz w:val="22"/>
        </w:rPr>
        <w:t>High professional and ethical standards are essential to the pursuit of good practice in university teaching, learning and research. UTS recognises that there is an inherent imbalance of power between staff and students and often, between staff members. While the university does not intervene in personal relationships between adults, it acknowledges that relationships between colleagues, or between staff and students can be problematic due to such power imbalances. Specifically, relationships between staff and students are strongly</w:t>
      </w:r>
      <w:r>
        <w:rPr>
          <w:spacing w:val="-5"/>
          <w:sz w:val="22"/>
        </w:rPr>
        <w:t> </w:t>
      </w:r>
      <w:r>
        <w:rPr>
          <w:sz w:val="22"/>
        </w:rPr>
        <w:t>discouraged.</w:t>
      </w:r>
    </w:p>
    <w:p>
      <w:pPr>
        <w:pStyle w:val="ListParagraph"/>
        <w:numPr>
          <w:ilvl w:val="1"/>
          <w:numId w:val="3"/>
        </w:numPr>
        <w:tabs>
          <w:tab w:pos="860" w:val="left" w:leader="none"/>
          <w:tab w:pos="861" w:val="left" w:leader="none"/>
        </w:tabs>
        <w:spacing w:line="278" w:lineRule="auto" w:before="200" w:after="0"/>
        <w:ind w:left="860" w:right="217" w:hanging="720"/>
        <w:jc w:val="left"/>
        <w:rPr>
          <w:sz w:val="22"/>
        </w:rPr>
      </w:pPr>
      <w:r>
        <w:rPr>
          <w:sz w:val="22"/>
        </w:rPr>
        <w:t>Any issues of harassment that may arise as a result of an imbalance of power will be addressed under this</w:t>
      </w:r>
      <w:r>
        <w:rPr>
          <w:spacing w:val="-1"/>
          <w:sz w:val="22"/>
        </w:rPr>
        <w:t> </w:t>
      </w:r>
      <w:r>
        <w:rPr>
          <w:sz w:val="22"/>
        </w:rPr>
        <w:t>policy.</w:t>
      </w:r>
    </w:p>
    <w:p>
      <w:pPr>
        <w:pStyle w:val="ListParagraph"/>
        <w:numPr>
          <w:ilvl w:val="1"/>
          <w:numId w:val="3"/>
        </w:numPr>
        <w:tabs>
          <w:tab w:pos="861" w:val="left" w:leader="none"/>
        </w:tabs>
        <w:spacing w:line="276" w:lineRule="auto" w:before="195" w:after="0"/>
        <w:ind w:left="860" w:right="397" w:hanging="720"/>
        <w:jc w:val="both"/>
        <w:rPr>
          <w:sz w:val="22"/>
        </w:rPr>
      </w:pPr>
      <w:r>
        <w:rPr>
          <w:sz w:val="22"/>
        </w:rPr>
        <w:t>Where relationships (or the breakdown of such relationships) result in either real or potential unfair advantage or disadvantage, this is considered a conflict of interest. and will be addressed in line with the</w:t>
      </w:r>
      <w:r>
        <w:rPr>
          <w:color w:val="0000FF"/>
          <w:sz w:val="22"/>
        </w:rPr>
        <w:t> </w:t>
      </w:r>
      <w:hyperlink r:id="rId26">
        <w:r>
          <w:rPr>
            <w:color w:val="0000FF"/>
            <w:sz w:val="22"/>
            <w:u w:val="single" w:color="0000FF"/>
          </w:rPr>
          <w:t>Code of</w:t>
        </w:r>
        <w:r>
          <w:rPr>
            <w:color w:val="0000FF"/>
            <w:spacing w:val="-8"/>
            <w:sz w:val="22"/>
            <w:u w:val="single" w:color="0000FF"/>
          </w:rPr>
          <w:t> </w:t>
        </w:r>
        <w:r>
          <w:rPr>
            <w:color w:val="0000FF"/>
            <w:sz w:val="22"/>
            <w:u w:val="single" w:color="0000FF"/>
          </w:rPr>
          <w:t>Conduct</w:t>
        </w:r>
      </w:hyperlink>
      <w:r>
        <w:rPr>
          <w:sz w:val="22"/>
        </w:rPr>
        <w:t>.</w:t>
      </w:r>
    </w:p>
    <w:p>
      <w:pPr>
        <w:pStyle w:val="Heading3"/>
        <w:spacing w:before="199"/>
      </w:pPr>
      <w:bookmarkStart w:name="Complaints and policy breaches" w:id="16"/>
      <w:bookmarkEnd w:id="16"/>
      <w:r>
        <w:rPr>
          <w:b w:val="0"/>
        </w:rPr>
      </w:r>
      <w:r>
        <w:rPr>
          <w:color w:val="4F81BC"/>
        </w:rPr>
        <w:t>Complaints and policy breaches</w:t>
      </w:r>
    </w:p>
    <w:p>
      <w:pPr>
        <w:pStyle w:val="ListParagraph"/>
        <w:numPr>
          <w:ilvl w:val="1"/>
          <w:numId w:val="3"/>
        </w:numPr>
        <w:tabs>
          <w:tab w:pos="859" w:val="left" w:leader="none"/>
          <w:tab w:pos="860" w:val="left" w:leader="none"/>
        </w:tabs>
        <w:spacing w:line="278" w:lineRule="auto" w:before="40" w:after="0"/>
        <w:ind w:left="859" w:right="187" w:hanging="719"/>
        <w:jc w:val="left"/>
        <w:rPr>
          <w:sz w:val="22"/>
        </w:rPr>
      </w:pPr>
      <w:r>
        <w:rPr>
          <w:sz w:val="22"/>
        </w:rPr>
        <w:t>Staff and students who wish to make a complaint against the university, its staff or its students should do so in line with the Student Complaints Policy and</w:t>
      </w:r>
      <w:r>
        <w:rPr>
          <w:spacing w:val="-30"/>
          <w:sz w:val="22"/>
        </w:rPr>
        <w:t> </w:t>
      </w:r>
      <w:r>
        <w:rPr>
          <w:sz w:val="22"/>
        </w:rPr>
        <w:t>Procedures.</w:t>
      </w:r>
    </w:p>
    <w:p>
      <w:pPr>
        <w:pStyle w:val="ListParagraph"/>
        <w:numPr>
          <w:ilvl w:val="1"/>
          <w:numId w:val="3"/>
        </w:numPr>
        <w:tabs>
          <w:tab w:pos="859" w:val="left" w:leader="none"/>
          <w:tab w:pos="860" w:val="left" w:leader="none"/>
        </w:tabs>
        <w:spacing w:line="276" w:lineRule="auto" w:before="195" w:after="0"/>
        <w:ind w:left="859" w:right="163" w:hanging="720"/>
        <w:jc w:val="left"/>
        <w:rPr>
          <w:sz w:val="22"/>
        </w:rPr>
      </w:pPr>
      <w:r>
        <w:rPr>
          <w:sz w:val="22"/>
        </w:rPr>
        <w:t>The university may take action against those under the scope of this policy who are found to have been in breach of this policy under the applicable enterprise agreement and the</w:t>
      </w:r>
      <w:r>
        <w:rPr>
          <w:color w:val="0000FF"/>
          <w:sz w:val="22"/>
        </w:rPr>
        <w:t> </w:t>
      </w:r>
      <w:hyperlink r:id="rId23">
        <w:r>
          <w:rPr>
            <w:color w:val="0000FF"/>
            <w:sz w:val="22"/>
            <w:u w:val="single" w:color="0000FF"/>
          </w:rPr>
          <w:t>Code of Conduct</w:t>
        </w:r>
        <w:r>
          <w:rPr>
            <w:color w:val="0000FF"/>
            <w:sz w:val="22"/>
          </w:rPr>
          <w:t> </w:t>
        </w:r>
      </w:hyperlink>
      <w:r>
        <w:rPr>
          <w:sz w:val="22"/>
        </w:rPr>
        <w:t>or the Student Rules,</w:t>
      </w:r>
      <w:hyperlink r:id="rId24">
        <w:r>
          <w:rPr>
            <w:color w:val="0000FF"/>
            <w:sz w:val="22"/>
          </w:rPr>
          <w:t> </w:t>
        </w:r>
        <w:r>
          <w:rPr>
            <w:color w:val="0000FF"/>
            <w:sz w:val="22"/>
            <w:u w:val="single" w:color="0000FF"/>
          </w:rPr>
          <w:t>section 16</w:t>
        </w:r>
        <w:r>
          <w:rPr>
            <w:color w:val="0000FF"/>
            <w:sz w:val="22"/>
          </w:rPr>
          <w:t> </w:t>
        </w:r>
      </w:hyperlink>
      <w:r>
        <w:rPr>
          <w:sz w:val="22"/>
        </w:rPr>
        <w:t>as</w:t>
      </w:r>
      <w:r>
        <w:rPr>
          <w:spacing w:val="-33"/>
          <w:sz w:val="22"/>
        </w:rPr>
        <w:t> </w:t>
      </w:r>
      <w:r>
        <w:rPr>
          <w:sz w:val="22"/>
        </w:rPr>
        <w:t>appropriate.</w:t>
      </w:r>
    </w:p>
    <w:p>
      <w:pPr>
        <w:pStyle w:val="ListParagraph"/>
        <w:numPr>
          <w:ilvl w:val="1"/>
          <w:numId w:val="3"/>
        </w:numPr>
        <w:tabs>
          <w:tab w:pos="859" w:val="left" w:leader="none"/>
          <w:tab w:pos="861" w:val="left" w:leader="none"/>
        </w:tabs>
        <w:spacing w:line="276" w:lineRule="auto" w:before="200" w:after="0"/>
        <w:ind w:left="860" w:right="334" w:hanging="720"/>
        <w:jc w:val="left"/>
        <w:rPr>
          <w:sz w:val="22"/>
        </w:rPr>
      </w:pPr>
      <w:r>
        <w:rPr>
          <w:sz w:val="22"/>
        </w:rPr>
        <w:t>Breaches of this policy that constitute unlawful behaviour under state and/or federal legislation may be managed and handled by the relevant external authorities and may result in criminal prosecution in line with the</w:t>
      </w:r>
      <w:r>
        <w:rPr>
          <w:color w:val="0000FF"/>
          <w:sz w:val="22"/>
        </w:rPr>
        <w:t> </w:t>
      </w:r>
      <w:hyperlink r:id="rId23">
        <w:r>
          <w:rPr>
            <w:color w:val="0000FF"/>
            <w:sz w:val="22"/>
            <w:u w:val="single" w:color="0000FF"/>
          </w:rPr>
          <w:t>Code of Conduct</w:t>
        </w:r>
        <w:r>
          <w:rPr>
            <w:color w:val="0000FF"/>
            <w:sz w:val="22"/>
          </w:rPr>
          <w:t> </w:t>
        </w:r>
      </w:hyperlink>
      <w:r>
        <w:rPr>
          <w:sz w:val="22"/>
        </w:rPr>
        <w:t>and the Student Rules.</w:t>
      </w:r>
    </w:p>
    <w:p>
      <w:pPr>
        <w:pStyle w:val="ListParagraph"/>
        <w:numPr>
          <w:ilvl w:val="1"/>
          <w:numId w:val="3"/>
        </w:numPr>
        <w:tabs>
          <w:tab w:pos="859" w:val="left" w:leader="none"/>
          <w:tab w:pos="861" w:val="left" w:leader="none"/>
        </w:tabs>
        <w:spacing w:line="276" w:lineRule="auto" w:before="200" w:after="0"/>
        <w:ind w:left="860" w:right="202" w:hanging="720"/>
        <w:jc w:val="left"/>
        <w:rPr>
          <w:sz w:val="22"/>
        </w:rPr>
      </w:pPr>
      <w:r>
        <w:rPr>
          <w:sz w:val="22"/>
        </w:rPr>
        <w:t>The university reserves the right to undertake its own investigation (on the basis of a balance of probabilities) that may be in addition to any external criminal proceedings. The exception to this statement, is where any criminal proceedings specifically requires the university to suspend any ongoing internal investigation. The result of any internal investigation will be independent of external</w:t>
      </w:r>
      <w:r>
        <w:rPr>
          <w:spacing w:val="-10"/>
          <w:sz w:val="22"/>
        </w:rPr>
        <w:t> </w:t>
      </w:r>
      <w:r>
        <w:rPr>
          <w:sz w:val="22"/>
        </w:rPr>
        <w:t>investigations.</w:t>
      </w:r>
    </w:p>
    <w:p>
      <w:pPr>
        <w:pStyle w:val="ListParagraph"/>
        <w:numPr>
          <w:ilvl w:val="1"/>
          <w:numId w:val="3"/>
        </w:numPr>
        <w:tabs>
          <w:tab w:pos="860" w:val="left" w:leader="none"/>
          <w:tab w:pos="861" w:val="left" w:leader="none"/>
        </w:tabs>
        <w:spacing w:line="278" w:lineRule="auto" w:before="199" w:after="0"/>
        <w:ind w:left="860" w:right="152" w:hanging="720"/>
        <w:jc w:val="left"/>
        <w:rPr>
          <w:sz w:val="22"/>
        </w:rPr>
      </w:pPr>
      <w:r>
        <w:rPr>
          <w:sz w:val="22"/>
        </w:rPr>
        <w:t>UTS may take such steps identified as necessary to dissociate itself from the actions, statements and claims of any person or group that are inconsistent with the provisions of this policy, other policies, university rules and the university’s</w:t>
      </w:r>
      <w:r>
        <w:rPr>
          <w:spacing w:val="-28"/>
          <w:sz w:val="22"/>
        </w:rPr>
        <w:t> </w:t>
      </w:r>
      <w:r>
        <w:rPr>
          <w:sz w:val="22"/>
        </w:rPr>
        <w:t>values.</w:t>
      </w:r>
    </w:p>
    <w:p>
      <w:pPr>
        <w:pStyle w:val="Heading3"/>
        <w:spacing w:before="190"/>
      </w:pPr>
      <w:bookmarkStart w:name="Support and advice" w:id="17"/>
      <w:bookmarkEnd w:id="17"/>
      <w:r>
        <w:rPr>
          <w:b w:val="0"/>
        </w:rPr>
      </w:r>
      <w:r>
        <w:rPr>
          <w:color w:val="4F81BC"/>
        </w:rPr>
        <w:t>Support and advice</w:t>
      </w:r>
    </w:p>
    <w:p>
      <w:pPr>
        <w:pStyle w:val="ListParagraph"/>
        <w:numPr>
          <w:ilvl w:val="1"/>
          <w:numId w:val="3"/>
        </w:numPr>
        <w:tabs>
          <w:tab w:pos="860" w:val="left" w:leader="none"/>
          <w:tab w:pos="861" w:val="left" w:leader="none"/>
        </w:tabs>
        <w:spacing w:line="276" w:lineRule="auto" w:before="42" w:after="0"/>
        <w:ind w:left="860" w:right="300" w:hanging="720"/>
        <w:jc w:val="left"/>
        <w:rPr>
          <w:sz w:val="22"/>
        </w:rPr>
      </w:pPr>
      <w:r>
        <w:rPr>
          <w:sz w:val="22"/>
        </w:rPr>
        <w:t>Support for students is available from the</w:t>
      </w:r>
      <w:r>
        <w:rPr>
          <w:color w:val="0000FF"/>
          <w:sz w:val="22"/>
        </w:rPr>
        <w:t> </w:t>
      </w:r>
      <w:hyperlink r:id="rId27">
        <w:r>
          <w:rPr>
            <w:color w:val="0000FF"/>
            <w:sz w:val="22"/>
            <w:u w:val="single" w:color="0000FF"/>
          </w:rPr>
          <w:t>Equity and Diversity Unit</w:t>
        </w:r>
        <w:r>
          <w:rPr>
            <w:color w:val="0000FF"/>
            <w:sz w:val="22"/>
          </w:rPr>
          <w:t> </w:t>
        </w:r>
      </w:hyperlink>
      <w:r>
        <w:rPr>
          <w:sz w:val="22"/>
        </w:rPr>
        <w:t>(in particular to manage bullying, discrimination and harassment) and the</w:t>
      </w:r>
      <w:hyperlink r:id="rId28">
        <w:r>
          <w:rPr>
            <w:color w:val="0000FF"/>
            <w:sz w:val="22"/>
          </w:rPr>
          <w:t> </w:t>
        </w:r>
        <w:r>
          <w:rPr>
            <w:color w:val="0000FF"/>
            <w:sz w:val="22"/>
            <w:u w:val="single" w:color="0000FF"/>
          </w:rPr>
          <w:t>Student Services Unit</w:t>
        </w:r>
        <w:r>
          <w:rPr>
            <w:color w:val="0000FF"/>
            <w:sz w:val="22"/>
          </w:rPr>
          <w:t> </w:t>
        </w:r>
      </w:hyperlink>
      <w:r>
        <w:rPr>
          <w:sz w:val="22"/>
        </w:rPr>
        <w:t>(for any counselling, medical advice and other health supports). The</w:t>
      </w:r>
      <w:hyperlink r:id="rId29">
        <w:r>
          <w:rPr>
            <w:color w:val="0000FF"/>
            <w:spacing w:val="-16"/>
            <w:sz w:val="22"/>
          </w:rPr>
          <w:t> </w:t>
        </w:r>
        <w:r>
          <w:rPr>
            <w:color w:val="0000FF"/>
            <w:sz w:val="22"/>
            <w:u w:val="single" w:color="0000FF"/>
          </w:rPr>
          <w:t>Students’</w:t>
        </w:r>
      </w:hyperlink>
    </w:p>
    <w:p>
      <w:pPr>
        <w:spacing w:after="0" w:line="276" w:lineRule="auto"/>
        <w:jc w:val="left"/>
        <w:rPr>
          <w:sz w:val="22"/>
        </w:rPr>
        <w:sectPr>
          <w:pgSz w:w="11910" w:h="16840"/>
          <w:pgMar w:header="726" w:footer="1066" w:top="1340" w:bottom="1260" w:left="1300" w:right="1300"/>
        </w:sectPr>
      </w:pPr>
    </w:p>
    <w:p>
      <w:pPr>
        <w:pStyle w:val="BodyText"/>
        <w:spacing w:line="278" w:lineRule="auto" w:before="91"/>
        <w:ind w:left="860" w:right="566"/>
      </w:pPr>
      <w:hyperlink r:id="rId29">
        <w:r>
          <w:rPr>
            <w:color w:val="0000FF"/>
            <w:u w:val="single" w:color="0000FF"/>
          </w:rPr>
          <w:t>Association</w:t>
        </w:r>
        <w:r>
          <w:rPr>
            <w:color w:val="0000FF"/>
          </w:rPr>
          <w:t> </w:t>
        </w:r>
      </w:hyperlink>
      <w:r>
        <w:rPr/>
        <w:t>also provides advice and advocacy for students. Further support and advice options are outlined in the Student Complaints Policy.</w:t>
      </w:r>
    </w:p>
    <w:p>
      <w:pPr>
        <w:pStyle w:val="ListParagraph"/>
        <w:numPr>
          <w:ilvl w:val="1"/>
          <w:numId w:val="3"/>
        </w:numPr>
        <w:tabs>
          <w:tab w:pos="859" w:val="left" w:leader="none"/>
          <w:tab w:pos="861" w:val="left" w:leader="none"/>
        </w:tabs>
        <w:spacing w:line="276" w:lineRule="auto" w:before="195" w:after="0"/>
        <w:ind w:left="860" w:right="187" w:hanging="720"/>
        <w:jc w:val="left"/>
        <w:rPr>
          <w:sz w:val="22"/>
        </w:rPr>
      </w:pPr>
      <w:r>
        <w:rPr>
          <w:sz w:val="22"/>
        </w:rPr>
        <w:t>Staff experiencing any form of bullying, harassment or discrimination should refer the matter to their immediate supervisor in the first instance (where possible), or seek confidential information and advice from the</w:t>
      </w:r>
      <w:r>
        <w:rPr>
          <w:color w:val="0000FF"/>
          <w:sz w:val="22"/>
        </w:rPr>
        <w:t> </w:t>
      </w:r>
      <w:hyperlink r:id="rId27">
        <w:r>
          <w:rPr>
            <w:color w:val="0000FF"/>
            <w:sz w:val="22"/>
            <w:u w:val="single" w:color="0000FF"/>
          </w:rPr>
          <w:t>Equity and Diversity Unit</w:t>
        </w:r>
        <w:r>
          <w:rPr>
            <w:color w:val="0000FF"/>
            <w:sz w:val="22"/>
          </w:rPr>
          <w:t> </w:t>
        </w:r>
      </w:hyperlink>
      <w:r>
        <w:rPr>
          <w:sz w:val="22"/>
        </w:rPr>
        <w:t>or the</w:t>
      </w:r>
      <w:hyperlink r:id="rId30">
        <w:r>
          <w:rPr>
            <w:color w:val="0000FF"/>
            <w:sz w:val="22"/>
          </w:rPr>
          <w:t> </w:t>
        </w:r>
        <w:r>
          <w:rPr>
            <w:color w:val="0000FF"/>
            <w:sz w:val="22"/>
            <w:u w:val="single" w:color="0000FF"/>
          </w:rPr>
          <w:t>Human</w:t>
        </w:r>
      </w:hyperlink>
      <w:hyperlink r:id="rId30">
        <w:r>
          <w:rPr>
            <w:color w:val="0000FF"/>
            <w:sz w:val="22"/>
            <w:u w:val="single" w:color="0000FF"/>
          </w:rPr>
          <w:t> Resources Unit </w:t>
        </w:r>
      </w:hyperlink>
      <w:r>
        <w:rPr>
          <w:color w:val="0000FF"/>
          <w:sz w:val="22"/>
          <w:u w:val="single" w:color="0000FF"/>
        </w:rPr>
        <w:t>or in the </w:t>
      </w:r>
      <w:hyperlink w:history="true" w:anchor="_bookmark0">
        <w:r>
          <w:rPr>
            <w:color w:val="0000FF"/>
            <w:sz w:val="22"/>
            <w:u w:val="single" w:color="0000FF"/>
          </w:rPr>
          <w:t>references section </w:t>
        </w:r>
      </w:hyperlink>
      <w:r>
        <w:rPr>
          <w:color w:val="0000FF"/>
          <w:sz w:val="22"/>
          <w:u w:val="single" w:color="0000FF"/>
        </w:rPr>
        <w:t>of this policy</w:t>
      </w:r>
      <w:r>
        <w:rPr>
          <w:sz w:val="22"/>
        </w:rPr>
        <w:t>. Information on other work hazards that impact a person’s wellbeing, including work related violence is</w:t>
      </w:r>
      <w:hyperlink r:id="rId31">
        <w:r>
          <w:rPr>
            <w:color w:val="0000FF"/>
            <w:sz w:val="22"/>
          </w:rPr>
          <w:t> </w:t>
        </w:r>
        <w:r>
          <w:rPr>
            <w:color w:val="0000FF"/>
            <w:sz w:val="22"/>
            <w:u w:val="single" w:color="0000FF"/>
          </w:rPr>
          <w:t>available</w:t>
        </w:r>
      </w:hyperlink>
      <w:hyperlink r:id="rId31">
        <w:r>
          <w:rPr>
            <w:color w:val="0000FF"/>
            <w:sz w:val="22"/>
            <w:u w:val="single" w:color="0000FF"/>
          </w:rPr>
          <w:t> online</w:t>
        </w:r>
        <w:r>
          <w:rPr>
            <w:sz w:val="22"/>
          </w:rPr>
          <w:t>.</w:t>
        </w:r>
      </w:hyperlink>
    </w:p>
    <w:p>
      <w:pPr>
        <w:pStyle w:val="BodyText"/>
        <w:rPr>
          <w:sz w:val="20"/>
        </w:rPr>
      </w:pPr>
    </w:p>
    <w:p>
      <w:pPr>
        <w:pStyle w:val="Heading1"/>
        <w:numPr>
          <w:ilvl w:val="0"/>
          <w:numId w:val="3"/>
        </w:numPr>
        <w:tabs>
          <w:tab w:pos="455" w:val="left" w:leader="none"/>
        </w:tabs>
        <w:spacing w:line="240" w:lineRule="auto" w:before="249" w:after="0"/>
        <w:ind w:left="454" w:right="0" w:hanging="314"/>
        <w:jc w:val="left"/>
      </w:pPr>
      <w:bookmarkStart w:name="5. Policy ownership and support" w:id="18"/>
      <w:bookmarkEnd w:id="18"/>
      <w:r>
        <w:rPr>
          <w:b w:val="0"/>
        </w:rPr>
      </w:r>
      <w:bookmarkStart w:name="5. Policy ownership and support" w:id="19"/>
      <w:bookmarkEnd w:id="19"/>
      <w:r>
        <w:rPr>
          <w:color w:val="365F91"/>
        </w:rPr>
        <w:t>P</w:t>
      </w:r>
      <w:r>
        <w:rPr>
          <w:color w:val="365F91"/>
        </w:rPr>
        <w:t>olicy ownership and</w:t>
      </w:r>
      <w:r>
        <w:rPr>
          <w:color w:val="365F91"/>
          <w:spacing w:val="-10"/>
        </w:rPr>
        <w:t> </w:t>
      </w:r>
      <w:r>
        <w:rPr>
          <w:color w:val="365F91"/>
        </w:rPr>
        <w:t>support</w:t>
      </w:r>
    </w:p>
    <w:p>
      <w:pPr>
        <w:pStyle w:val="BodyText"/>
        <w:spacing w:before="51"/>
        <w:ind w:left="140"/>
      </w:pPr>
      <w:r>
        <w:rPr/>
        <w:t>A list of the following:</w:t>
      </w:r>
    </w:p>
    <w:p>
      <w:pPr>
        <w:pStyle w:val="BodyText"/>
        <w:spacing w:before="4"/>
        <w:rPr>
          <w:sz w:val="20"/>
        </w:rPr>
      </w:pPr>
    </w:p>
    <w:p>
      <w:pPr>
        <w:pStyle w:val="ListParagraph"/>
        <w:numPr>
          <w:ilvl w:val="1"/>
          <w:numId w:val="3"/>
        </w:numPr>
        <w:tabs>
          <w:tab w:pos="859" w:val="left" w:leader="none"/>
          <w:tab w:pos="860" w:val="left" w:leader="none"/>
        </w:tabs>
        <w:spacing w:line="278" w:lineRule="auto" w:before="0" w:after="0"/>
        <w:ind w:left="859" w:right="487" w:hanging="719"/>
        <w:jc w:val="left"/>
        <w:rPr>
          <w:sz w:val="22"/>
        </w:rPr>
      </w:pPr>
      <w:r>
        <w:rPr>
          <w:b/>
          <w:sz w:val="22"/>
        </w:rPr>
        <w:t>Policy owner</w:t>
      </w:r>
      <w:r>
        <w:rPr>
          <w:sz w:val="22"/>
        </w:rPr>
        <w:t>: The Provost is responsible for policy enforcement and compliance, ensuring that its principles and statements are observed. The Provost is also responsible for approval of any associated university level procedures and any training associated with this</w:t>
      </w:r>
      <w:r>
        <w:rPr>
          <w:spacing w:val="-1"/>
          <w:sz w:val="22"/>
        </w:rPr>
        <w:t> </w:t>
      </w:r>
      <w:r>
        <w:rPr>
          <w:sz w:val="22"/>
        </w:rPr>
        <w:t>policy.</w:t>
      </w:r>
    </w:p>
    <w:p>
      <w:pPr>
        <w:pStyle w:val="ListParagraph"/>
        <w:numPr>
          <w:ilvl w:val="1"/>
          <w:numId w:val="3"/>
        </w:numPr>
        <w:tabs>
          <w:tab w:pos="859" w:val="left" w:leader="none"/>
          <w:tab w:pos="860" w:val="left" w:leader="none"/>
        </w:tabs>
        <w:spacing w:line="280" w:lineRule="auto" w:before="189" w:after="0"/>
        <w:ind w:left="859" w:right="142" w:hanging="720"/>
        <w:jc w:val="left"/>
        <w:rPr>
          <w:sz w:val="22"/>
        </w:rPr>
      </w:pPr>
      <w:r>
        <w:rPr>
          <w:b/>
          <w:sz w:val="22"/>
        </w:rPr>
        <w:t>Policy contact: </w:t>
      </w:r>
      <w:r>
        <w:rPr>
          <w:sz w:val="22"/>
        </w:rPr>
        <w:t>The Director, Equity and Diversity Unit (EDU) acts as a primary point of contact for advice on implementing the provisions outlined in this policy,</w:t>
      </w:r>
      <w:r>
        <w:rPr>
          <w:spacing w:val="-39"/>
          <w:sz w:val="22"/>
        </w:rPr>
        <w:t> </w:t>
      </w:r>
      <w:r>
        <w:rPr>
          <w:sz w:val="22"/>
        </w:rPr>
        <w:t>including:</w:t>
      </w:r>
    </w:p>
    <w:p>
      <w:pPr>
        <w:pStyle w:val="ListParagraph"/>
        <w:numPr>
          <w:ilvl w:val="2"/>
          <w:numId w:val="3"/>
        </w:numPr>
        <w:tabs>
          <w:tab w:pos="1572" w:val="left" w:leader="none"/>
          <w:tab w:pos="1573" w:val="left" w:leader="none"/>
        </w:tabs>
        <w:spacing w:line="271" w:lineRule="auto" w:before="193" w:after="0"/>
        <w:ind w:left="1572" w:right="525" w:hanging="355"/>
        <w:jc w:val="left"/>
        <w:rPr>
          <w:sz w:val="22"/>
        </w:rPr>
      </w:pPr>
      <w:r>
        <w:rPr>
          <w:sz w:val="22"/>
        </w:rPr>
        <w:t>providing advice to the university on meeting key equity targets and equity related opportunity obligations under federal and state</w:t>
      </w:r>
      <w:r>
        <w:rPr>
          <w:spacing w:val="-17"/>
          <w:sz w:val="22"/>
        </w:rPr>
        <w:t> </w:t>
      </w:r>
      <w:r>
        <w:rPr>
          <w:sz w:val="22"/>
        </w:rPr>
        <w:t>legislation</w:t>
      </w:r>
    </w:p>
    <w:p>
      <w:pPr>
        <w:pStyle w:val="ListParagraph"/>
        <w:numPr>
          <w:ilvl w:val="2"/>
          <w:numId w:val="3"/>
        </w:numPr>
        <w:tabs>
          <w:tab w:pos="1572" w:val="left" w:leader="none"/>
          <w:tab w:pos="1573" w:val="left" w:leader="none"/>
        </w:tabs>
        <w:spacing w:line="271" w:lineRule="auto" w:before="7" w:after="0"/>
        <w:ind w:left="1572" w:right="1382" w:hanging="355"/>
        <w:jc w:val="left"/>
        <w:rPr>
          <w:sz w:val="22"/>
        </w:rPr>
      </w:pPr>
      <w:r>
        <w:rPr>
          <w:sz w:val="22"/>
        </w:rPr>
        <w:t>providing advice in line with the Student Complaints Policy on the management and resolution of equity related</w:t>
      </w:r>
      <w:r>
        <w:rPr>
          <w:spacing w:val="-10"/>
          <w:sz w:val="22"/>
        </w:rPr>
        <w:t> </w:t>
      </w:r>
      <w:r>
        <w:rPr>
          <w:sz w:val="22"/>
        </w:rPr>
        <w:t>complaints</w:t>
      </w:r>
    </w:p>
    <w:p>
      <w:pPr>
        <w:pStyle w:val="ListParagraph"/>
        <w:numPr>
          <w:ilvl w:val="2"/>
          <w:numId w:val="3"/>
        </w:numPr>
        <w:tabs>
          <w:tab w:pos="1572" w:val="left" w:leader="none"/>
          <w:tab w:pos="1573" w:val="left" w:leader="none"/>
        </w:tabs>
        <w:spacing w:line="273" w:lineRule="auto" w:before="5" w:after="0"/>
        <w:ind w:left="1572" w:right="220" w:hanging="355"/>
        <w:jc w:val="left"/>
        <w:rPr>
          <w:sz w:val="22"/>
        </w:rPr>
      </w:pPr>
      <w:r>
        <w:rPr>
          <w:sz w:val="22"/>
        </w:rPr>
        <w:t>working with the relevant university units and committees to monitor and report on the university’s equity performance under relevant state and federal legislation</w:t>
      </w:r>
    </w:p>
    <w:p>
      <w:pPr>
        <w:pStyle w:val="ListParagraph"/>
        <w:numPr>
          <w:ilvl w:val="2"/>
          <w:numId w:val="3"/>
        </w:numPr>
        <w:tabs>
          <w:tab w:pos="1572" w:val="left" w:leader="none"/>
          <w:tab w:pos="1573" w:val="left" w:leader="none"/>
        </w:tabs>
        <w:spacing w:line="271" w:lineRule="auto" w:before="3" w:after="0"/>
        <w:ind w:left="1573" w:right="796" w:hanging="356"/>
        <w:jc w:val="left"/>
        <w:rPr>
          <w:sz w:val="22"/>
        </w:rPr>
      </w:pPr>
      <w:r>
        <w:rPr>
          <w:sz w:val="22"/>
        </w:rPr>
        <w:t>recommending, developing and/or implementing educational programs, awareness campaigns and inclusion initiatives,</w:t>
      </w:r>
      <w:r>
        <w:rPr>
          <w:spacing w:val="-1"/>
          <w:sz w:val="22"/>
        </w:rPr>
        <w:t> </w:t>
      </w:r>
      <w:r>
        <w:rPr>
          <w:sz w:val="22"/>
        </w:rPr>
        <w:t>and</w:t>
      </w:r>
    </w:p>
    <w:p>
      <w:pPr>
        <w:pStyle w:val="ListParagraph"/>
        <w:numPr>
          <w:ilvl w:val="2"/>
          <w:numId w:val="3"/>
        </w:numPr>
        <w:tabs>
          <w:tab w:pos="1573" w:val="left" w:leader="none"/>
          <w:tab w:pos="1574" w:val="left" w:leader="none"/>
        </w:tabs>
        <w:spacing w:line="273" w:lineRule="auto" w:before="8" w:after="0"/>
        <w:ind w:left="1573" w:right="601" w:hanging="356"/>
        <w:jc w:val="left"/>
        <w:rPr>
          <w:sz w:val="22"/>
        </w:rPr>
      </w:pPr>
      <w:r>
        <w:rPr>
          <w:sz w:val="22"/>
        </w:rPr>
        <w:t>providing advice and guidance on local level initiatives to enhance equity, diversity and inclusion and where required providing committee representatives.</w:t>
      </w:r>
    </w:p>
    <w:p>
      <w:pPr>
        <w:pStyle w:val="BodyText"/>
        <w:spacing w:before="5"/>
        <w:rPr>
          <w:sz w:val="24"/>
        </w:rPr>
      </w:pPr>
    </w:p>
    <w:p>
      <w:pPr>
        <w:pStyle w:val="Heading1"/>
        <w:numPr>
          <w:ilvl w:val="0"/>
          <w:numId w:val="3"/>
        </w:numPr>
        <w:tabs>
          <w:tab w:pos="455" w:val="left" w:leader="none"/>
        </w:tabs>
        <w:spacing w:line="240" w:lineRule="auto" w:before="1" w:after="0"/>
        <w:ind w:left="454" w:right="0" w:hanging="314"/>
        <w:jc w:val="left"/>
      </w:pPr>
      <w:bookmarkStart w:name="6. Definitions" w:id="20"/>
      <w:bookmarkEnd w:id="20"/>
      <w:r>
        <w:rPr>
          <w:b w:val="0"/>
        </w:rPr>
      </w:r>
      <w:bookmarkStart w:name="6. Definitions" w:id="21"/>
      <w:bookmarkEnd w:id="21"/>
      <w:r>
        <w:rPr>
          <w:color w:val="365F91"/>
        </w:rPr>
        <w:t>D</w:t>
      </w:r>
      <w:r>
        <w:rPr>
          <w:color w:val="365F91"/>
        </w:rPr>
        <w:t>efinitions</w:t>
      </w:r>
    </w:p>
    <w:p>
      <w:pPr>
        <w:pStyle w:val="BodyText"/>
        <w:spacing w:line="278" w:lineRule="auto" w:before="48"/>
        <w:ind w:left="140" w:right="185"/>
      </w:pPr>
      <w:r>
        <w:rPr/>
        <w:t>These definitions apply for this policy and all associated procedures. These are presented in addition to the definitions of misconduct outlined in </w:t>
      </w:r>
      <w:hyperlink r:id="rId24">
        <w:r>
          <w:rPr>
            <w:color w:val="0000FF"/>
            <w:u w:val="single" w:color="0000FF"/>
          </w:rPr>
          <w:t>Section 16</w:t>
        </w:r>
      </w:hyperlink>
      <w:r>
        <w:rPr/>
        <w:t>, Student Rules and the definitions outlined in Schedule 1, Student Rules.</w:t>
      </w:r>
    </w:p>
    <w:p>
      <w:pPr>
        <w:spacing w:before="193"/>
        <w:ind w:left="140" w:right="0" w:firstLine="0"/>
        <w:jc w:val="left"/>
        <w:rPr>
          <w:sz w:val="22"/>
        </w:rPr>
      </w:pPr>
      <w:r>
        <w:rPr>
          <w:b/>
          <w:sz w:val="22"/>
        </w:rPr>
        <w:t>Affiliates </w:t>
      </w:r>
      <w:r>
        <w:rPr>
          <w:sz w:val="22"/>
        </w:rPr>
        <w:t>are defined in the </w:t>
      </w:r>
      <w:hyperlink r:id="rId32">
        <w:r>
          <w:rPr>
            <w:color w:val="0000FF"/>
            <w:sz w:val="22"/>
            <w:u w:val="single" w:color="0000FF"/>
          </w:rPr>
          <w:t>Code of Conduct</w:t>
        </w:r>
      </w:hyperlink>
      <w:r>
        <w:rPr>
          <w:sz w:val="22"/>
        </w:rPr>
        <w:t>.</w:t>
      </w:r>
    </w:p>
    <w:p>
      <w:pPr>
        <w:pStyle w:val="BodyText"/>
        <w:spacing w:before="6"/>
        <w:rPr>
          <w:sz w:val="20"/>
        </w:rPr>
      </w:pPr>
    </w:p>
    <w:p>
      <w:pPr>
        <w:pStyle w:val="BodyText"/>
        <w:spacing w:line="276" w:lineRule="auto"/>
        <w:ind w:left="140" w:right="235"/>
      </w:pPr>
      <w:r>
        <w:rPr>
          <w:b/>
        </w:rPr>
        <w:t>Bullying </w:t>
      </w:r>
      <w:r>
        <w:rPr/>
        <w:t>means the repeated and unreasonable behaviour (intimidation, undermining, and humiliation) directed towards an individual or group of individuals in a manner that creates a risk to the health, wellbeing and/or safety of the individual or community. Standard performance evaluation and reasonable management actions and requirements are not considered a form of bullying. Further guidance is available under </w:t>
      </w:r>
      <w:hyperlink w:history="true" w:anchor="_bookmark0">
        <w:r>
          <w:rPr>
            <w:color w:val="0000FF"/>
            <w:u w:val="single" w:color="0000FF"/>
          </w:rPr>
          <w:t>references</w:t>
        </w:r>
      </w:hyperlink>
      <w:r>
        <w:rPr/>
        <w:t>.</w:t>
      </w:r>
    </w:p>
    <w:p>
      <w:pPr>
        <w:spacing w:after="0" w:line="276" w:lineRule="auto"/>
        <w:sectPr>
          <w:pgSz w:w="11910" w:h="16840"/>
          <w:pgMar w:header="726" w:footer="1066" w:top="1340" w:bottom="1260" w:left="1300" w:right="1300"/>
        </w:sectPr>
      </w:pPr>
    </w:p>
    <w:p>
      <w:pPr>
        <w:pStyle w:val="BodyText"/>
        <w:spacing w:line="276" w:lineRule="auto" w:before="89"/>
        <w:ind w:left="139" w:right="432"/>
      </w:pPr>
      <w:r>
        <w:rPr>
          <w:b/>
        </w:rPr>
        <w:t>Discrimination </w:t>
      </w:r>
      <w:r>
        <w:rPr/>
        <w:t>means bias, unjust or prejudicial treatment of individuals or groups on the basis of certain characteristics or grounds. UTS acknowledges that discrimination can be direct (treating people less favourably because of physical characteristics or group associations for example) or indirect (where a practice or policy gives the appearance of neutrality, but unreasonably impacts or disadvantages a particular group of people) or a combination of any of the above. UTS also acknowledges a commitment to certain requirements under governing bodies, regulations or other reasonable authorities (eg AHPRA regulations).</w:t>
      </w:r>
    </w:p>
    <w:p>
      <w:pPr>
        <w:spacing w:before="202"/>
        <w:ind w:left="139" w:right="0" w:firstLine="0"/>
        <w:jc w:val="left"/>
        <w:rPr>
          <w:sz w:val="22"/>
        </w:rPr>
      </w:pPr>
      <w:r>
        <w:rPr>
          <w:b/>
          <w:sz w:val="22"/>
        </w:rPr>
        <w:t>Equity target groups </w:t>
      </w:r>
      <w:r>
        <w:rPr>
          <w:sz w:val="22"/>
        </w:rPr>
        <w:t>at UTS include, but are not limited to:</w:t>
      </w:r>
    </w:p>
    <w:p>
      <w:pPr>
        <w:pStyle w:val="BodyText"/>
        <w:spacing w:before="8"/>
        <w:rPr>
          <w:sz w:val="20"/>
        </w:rPr>
      </w:pPr>
    </w:p>
    <w:p>
      <w:pPr>
        <w:pStyle w:val="ListParagraph"/>
        <w:numPr>
          <w:ilvl w:val="0"/>
          <w:numId w:val="4"/>
        </w:numPr>
        <w:tabs>
          <w:tab w:pos="1220" w:val="left" w:leader="none"/>
          <w:tab w:pos="1221" w:val="left" w:leader="none"/>
        </w:tabs>
        <w:spacing w:line="240" w:lineRule="auto" w:before="0" w:after="0"/>
        <w:ind w:left="1220" w:right="0" w:hanging="360"/>
        <w:jc w:val="left"/>
        <w:rPr>
          <w:sz w:val="22"/>
        </w:rPr>
      </w:pPr>
      <w:r>
        <w:rPr>
          <w:sz w:val="22"/>
        </w:rPr>
        <w:t>Students from Low Socio-Economic Status (LSES)</w:t>
      </w:r>
      <w:r>
        <w:rPr>
          <w:spacing w:val="-10"/>
          <w:sz w:val="22"/>
        </w:rPr>
        <w:t> </w:t>
      </w:r>
      <w:r>
        <w:rPr>
          <w:sz w:val="22"/>
        </w:rPr>
        <w:t>backgrounds</w:t>
      </w:r>
    </w:p>
    <w:p>
      <w:pPr>
        <w:pStyle w:val="ListParagraph"/>
        <w:numPr>
          <w:ilvl w:val="0"/>
          <w:numId w:val="4"/>
        </w:numPr>
        <w:tabs>
          <w:tab w:pos="1220" w:val="left" w:leader="none"/>
          <w:tab w:pos="1221" w:val="left" w:leader="none"/>
        </w:tabs>
        <w:spacing w:line="240" w:lineRule="auto" w:before="155" w:after="0"/>
        <w:ind w:left="1220" w:right="0" w:hanging="360"/>
        <w:jc w:val="left"/>
        <w:rPr>
          <w:sz w:val="22"/>
        </w:rPr>
      </w:pPr>
      <w:r>
        <w:rPr>
          <w:sz w:val="22"/>
        </w:rPr>
        <w:t>Students with a</w:t>
      </w:r>
      <w:r>
        <w:rPr>
          <w:spacing w:val="-3"/>
          <w:sz w:val="22"/>
        </w:rPr>
        <w:t> </w:t>
      </w:r>
      <w:r>
        <w:rPr>
          <w:sz w:val="22"/>
        </w:rPr>
        <w:t>Disability</w:t>
      </w:r>
    </w:p>
    <w:p>
      <w:pPr>
        <w:pStyle w:val="ListParagraph"/>
        <w:numPr>
          <w:ilvl w:val="0"/>
          <w:numId w:val="4"/>
        </w:numPr>
        <w:tabs>
          <w:tab w:pos="1220" w:val="left" w:leader="none"/>
          <w:tab w:pos="1221" w:val="left" w:leader="none"/>
        </w:tabs>
        <w:spacing w:line="240" w:lineRule="auto" w:before="156" w:after="0"/>
        <w:ind w:left="1220" w:right="0" w:hanging="360"/>
        <w:jc w:val="left"/>
        <w:rPr>
          <w:sz w:val="22"/>
        </w:rPr>
      </w:pPr>
      <w:r>
        <w:rPr>
          <w:sz w:val="22"/>
        </w:rPr>
        <w:t>Students from Non-English Speaking</w:t>
      </w:r>
      <w:r>
        <w:rPr>
          <w:spacing w:val="-7"/>
          <w:sz w:val="22"/>
        </w:rPr>
        <w:t> </w:t>
      </w:r>
      <w:r>
        <w:rPr>
          <w:sz w:val="22"/>
        </w:rPr>
        <w:t>Backgrounds</w:t>
      </w:r>
    </w:p>
    <w:p>
      <w:pPr>
        <w:pStyle w:val="ListParagraph"/>
        <w:numPr>
          <w:ilvl w:val="0"/>
          <w:numId w:val="4"/>
        </w:numPr>
        <w:tabs>
          <w:tab w:pos="1220" w:val="left" w:leader="none"/>
          <w:tab w:pos="1221" w:val="left" w:leader="none"/>
        </w:tabs>
        <w:spacing w:line="240" w:lineRule="auto" w:before="157" w:after="0"/>
        <w:ind w:left="1220" w:right="0" w:hanging="360"/>
        <w:jc w:val="left"/>
        <w:rPr>
          <w:sz w:val="22"/>
        </w:rPr>
      </w:pPr>
      <w:r>
        <w:rPr>
          <w:sz w:val="22"/>
        </w:rPr>
        <w:t>Students from Rural or Isolated</w:t>
      </w:r>
      <w:r>
        <w:rPr>
          <w:spacing w:val="-7"/>
          <w:sz w:val="22"/>
        </w:rPr>
        <w:t> </w:t>
      </w:r>
      <w:r>
        <w:rPr>
          <w:sz w:val="22"/>
        </w:rPr>
        <w:t>Areas</w:t>
      </w:r>
    </w:p>
    <w:p>
      <w:pPr>
        <w:pStyle w:val="ListParagraph"/>
        <w:numPr>
          <w:ilvl w:val="0"/>
          <w:numId w:val="4"/>
        </w:numPr>
        <w:tabs>
          <w:tab w:pos="1220" w:val="left" w:leader="none"/>
          <w:tab w:pos="1221" w:val="left" w:leader="none"/>
        </w:tabs>
        <w:spacing w:line="240" w:lineRule="auto" w:before="156" w:after="0"/>
        <w:ind w:left="1220" w:right="0" w:hanging="360"/>
        <w:jc w:val="left"/>
        <w:rPr>
          <w:sz w:val="22"/>
        </w:rPr>
      </w:pPr>
      <w:r>
        <w:rPr>
          <w:sz w:val="22"/>
        </w:rPr>
        <w:t>Women in Non-Traditional Areas of Study</w:t>
      </w:r>
      <w:r>
        <w:rPr>
          <w:spacing w:val="-3"/>
          <w:sz w:val="22"/>
        </w:rPr>
        <w:t> </w:t>
      </w:r>
      <w:r>
        <w:rPr>
          <w:sz w:val="22"/>
        </w:rPr>
        <w:t>and</w:t>
      </w:r>
    </w:p>
    <w:p>
      <w:pPr>
        <w:pStyle w:val="ListParagraph"/>
        <w:numPr>
          <w:ilvl w:val="0"/>
          <w:numId w:val="4"/>
        </w:numPr>
        <w:tabs>
          <w:tab w:pos="1220" w:val="left" w:leader="none"/>
          <w:tab w:pos="1221" w:val="left" w:leader="none"/>
        </w:tabs>
        <w:spacing w:line="240" w:lineRule="auto" w:before="157" w:after="0"/>
        <w:ind w:left="1220" w:right="0" w:hanging="360"/>
        <w:jc w:val="left"/>
        <w:rPr>
          <w:sz w:val="22"/>
        </w:rPr>
      </w:pPr>
      <w:r>
        <w:rPr>
          <w:sz w:val="22"/>
        </w:rPr>
        <w:t>Indigenous</w:t>
      </w:r>
      <w:r>
        <w:rPr>
          <w:spacing w:val="-3"/>
          <w:sz w:val="22"/>
        </w:rPr>
        <w:t> </w:t>
      </w:r>
      <w:r>
        <w:rPr>
          <w:sz w:val="22"/>
        </w:rPr>
        <w:t>Australians.</w:t>
      </w:r>
    </w:p>
    <w:p>
      <w:pPr>
        <w:pStyle w:val="BodyText"/>
        <w:spacing w:line="276" w:lineRule="auto" w:before="156"/>
        <w:ind w:left="140" w:right="247"/>
        <w:jc w:val="both"/>
      </w:pPr>
      <w:r>
        <w:rPr/>
        <w:t>Equity strategies at UTS may also target people with disability or accessibility requirements, people from identified cultural groups, members of the LGBTIQ+ community and women. in fields or at levels of seniority where they are under-represented.</w:t>
      </w:r>
    </w:p>
    <w:p>
      <w:pPr>
        <w:pStyle w:val="BodyText"/>
        <w:spacing w:line="276" w:lineRule="auto" w:before="198"/>
        <w:ind w:left="141" w:right="343"/>
      </w:pPr>
      <w:r>
        <w:rPr>
          <w:b/>
        </w:rPr>
        <w:t>Harassment </w:t>
      </w:r>
      <w:r>
        <w:rPr/>
        <w:t>is a form of discrimination and means any unwelcome, offensive, abusive, belittling or threatening behaviour that humiliates, offends, or intimidates another person or group of people on the basis of race, religion, nationality, gender or gender status, sexual orientation or any other grounds specified under anti-discrimination legislation. This is in addition to, and consistent with, the definitions outlined under Section 16 of the Student Rules, which includes the definition of sexual harassment.</w:t>
      </w:r>
    </w:p>
    <w:p>
      <w:pPr>
        <w:pStyle w:val="BodyText"/>
        <w:spacing w:before="203"/>
        <w:ind w:left="141"/>
      </w:pPr>
      <w:r>
        <w:rPr>
          <w:b/>
        </w:rPr>
        <w:t>Staff </w:t>
      </w:r>
      <w:r>
        <w:rPr/>
        <w:t>is defined in the </w:t>
      </w:r>
      <w:hyperlink r:id="rId32">
        <w:r>
          <w:rPr>
            <w:color w:val="0000FF"/>
            <w:u w:val="single" w:color="0000FF"/>
          </w:rPr>
          <w:t>Code of Conduct</w:t>
        </w:r>
      </w:hyperlink>
      <w:r>
        <w:rPr/>
        <w:t>.</w:t>
      </w:r>
    </w:p>
    <w:p>
      <w:pPr>
        <w:pStyle w:val="BodyText"/>
        <w:spacing w:before="4"/>
        <w:rPr>
          <w:sz w:val="20"/>
        </w:rPr>
      </w:pPr>
    </w:p>
    <w:p>
      <w:pPr>
        <w:pStyle w:val="BodyText"/>
        <w:spacing w:line="280" w:lineRule="auto"/>
        <w:ind w:left="140" w:right="345"/>
      </w:pPr>
      <w:r>
        <w:rPr>
          <w:b/>
        </w:rPr>
        <w:t>Student </w:t>
      </w:r>
      <w:r>
        <w:rPr/>
        <w:t>is defined in </w:t>
      </w:r>
      <w:hyperlink r:id="rId33">
        <w:r>
          <w:rPr>
            <w:color w:val="0000FF"/>
            <w:u w:val="single" w:color="0000FF"/>
          </w:rPr>
          <w:t>Schedule 1</w:t>
        </w:r>
      </w:hyperlink>
      <w:r>
        <w:rPr/>
        <w:t>, Student Rules. For the purposes of this policy, a student also includes a person who has:</w:t>
      </w:r>
    </w:p>
    <w:p>
      <w:pPr>
        <w:pStyle w:val="ListParagraph"/>
        <w:numPr>
          <w:ilvl w:val="0"/>
          <w:numId w:val="4"/>
        </w:numPr>
        <w:tabs>
          <w:tab w:pos="1220" w:val="left" w:leader="none"/>
          <w:tab w:pos="1221" w:val="left" w:leader="none"/>
        </w:tabs>
        <w:spacing w:line="240" w:lineRule="auto" w:before="193" w:after="0"/>
        <w:ind w:left="1220" w:right="0" w:hanging="360"/>
        <w:jc w:val="left"/>
        <w:rPr>
          <w:sz w:val="22"/>
        </w:rPr>
      </w:pPr>
      <w:r>
        <w:rPr>
          <w:sz w:val="22"/>
        </w:rPr>
        <w:t>recently completed the requirements of the</w:t>
      </w:r>
      <w:r>
        <w:rPr>
          <w:spacing w:val="-8"/>
          <w:sz w:val="22"/>
        </w:rPr>
        <w:t> </w:t>
      </w:r>
      <w:r>
        <w:rPr>
          <w:sz w:val="22"/>
        </w:rPr>
        <w:t>course</w:t>
      </w:r>
    </w:p>
    <w:p>
      <w:pPr>
        <w:pStyle w:val="ListParagraph"/>
        <w:numPr>
          <w:ilvl w:val="0"/>
          <w:numId w:val="4"/>
        </w:numPr>
        <w:tabs>
          <w:tab w:pos="1220" w:val="left" w:leader="none"/>
          <w:tab w:pos="1221" w:val="left" w:leader="none"/>
        </w:tabs>
        <w:spacing w:line="240" w:lineRule="auto" w:before="35" w:after="0"/>
        <w:ind w:left="1220" w:right="0" w:hanging="360"/>
        <w:jc w:val="left"/>
        <w:rPr>
          <w:sz w:val="22"/>
        </w:rPr>
      </w:pPr>
      <w:r>
        <w:rPr>
          <w:sz w:val="22"/>
        </w:rPr>
        <w:t>withdrawn from the</w:t>
      </w:r>
      <w:r>
        <w:rPr>
          <w:spacing w:val="-4"/>
          <w:sz w:val="22"/>
        </w:rPr>
        <w:t> </w:t>
      </w:r>
      <w:r>
        <w:rPr>
          <w:sz w:val="22"/>
        </w:rPr>
        <w:t>course</w:t>
      </w:r>
    </w:p>
    <w:p>
      <w:pPr>
        <w:pStyle w:val="ListParagraph"/>
        <w:numPr>
          <w:ilvl w:val="0"/>
          <w:numId w:val="4"/>
        </w:numPr>
        <w:tabs>
          <w:tab w:pos="1220" w:val="left" w:leader="none"/>
          <w:tab w:pos="1221" w:val="left" w:leader="none"/>
        </w:tabs>
        <w:spacing w:line="271" w:lineRule="auto" w:before="38" w:after="0"/>
        <w:ind w:left="1220" w:right="773" w:hanging="360"/>
        <w:jc w:val="left"/>
        <w:rPr>
          <w:sz w:val="22"/>
        </w:rPr>
      </w:pPr>
      <w:r>
        <w:rPr>
          <w:sz w:val="22"/>
        </w:rPr>
        <w:t>withdrawn temporarily from the course for a period of at least one semester through approved leave of</w:t>
      </w:r>
      <w:r>
        <w:rPr>
          <w:spacing w:val="1"/>
          <w:sz w:val="22"/>
        </w:rPr>
        <w:t> </w:t>
      </w:r>
      <w:r>
        <w:rPr>
          <w:sz w:val="22"/>
        </w:rPr>
        <w:t>absence</w:t>
      </w:r>
    </w:p>
    <w:p>
      <w:pPr>
        <w:pStyle w:val="ListParagraph"/>
        <w:numPr>
          <w:ilvl w:val="0"/>
          <w:numId w:val="4"/>
        </w:numPr>
        <w:tabs>
          <w:tab w:pos="1220" w:val="left" w:leader="none"/>
          <w:tab w:pos="1221" w:val="left" w:leader="none"/>
        </w:tabs>
        <w:spacing w:line="240" w:lineRule="auto" w:before="4" w:after="0"/>
        <w:ind w:left="1220" w:right="0" w:hanging="360"/>
        <w:jc w:val="left"/>
        <w:rPr>
          <w:sz w:val="22"/>
        </w:rPr>
      </w:pPr>
      <w:r>
        <w:rPr>
          <w:sz w:val="22"/>
        </w:rPr>
        <w:t>no active enrolment in subjects or in time-based study in a particular semester;</w:t>
      </w:r>
      <w:r>
        <w:rPr>
          <w:spacing w:val="-32"/>
          <w:sz w:val="22"/>
        </w:rPr>
        <w:t> </w:t>
      </w:r>
      <w:r>
        <w:rPr>
          <w:sz w:val="22"/>
        </w:rPr>
        <w:t>or</w:t>
      </w:r>
    </w:p>
    <w:p>
      <w:pPr>
        <w:pStyle w:val="ListParagraph"/>
        <w:numPr>
          <w:ilvl w:val="0"/>
          <w:numId w:val="4"/>
        </w:numPr>
        <w:tabs>
          <w:tab w:pos="1220" w:val="left" w:leader="none"/>
          <w:tab w:pos="1221" w:val="left" w:leader="none"/>
        </w:tabs>
        <w:spacing w:line="271" w:lineRule="auto" w:before="38" w:after="0"/>
        <w:ind w:left="1220" w:right="698" w:hanging="360"/>
        <w:jc w:val="left"/>
        <w:rPr>
          <w:sz w:val="22"/>
        </w:rPr>
      </w:pPr>
      <w:r>
        <w:rPr>
          <w:sz w:val="22"/>
        </w:rPr>
        <w:t>been excluded from the course or from the university in accordance with the Rules in the last</w:t>
      </w:r>
      <w:r>
        <w:rPr>
          <w:spacing w:val="2"/>
          <w:sz w:val="22"/>
        </w:rPr>
        <w:t> </w:t>
      </w:r>
      <w:r>
        <w:rPr>
          <w:sz w:val="22"/>
        </w:rPr>
        <w:t>semester.</w:t>
      </w:r>
    </w:p>
    <w:p>
      <w:pPr>
        <w:pStyle w:val="BodyText"/>
        <w:rPr>
          <w:sz w:val="24"/>
        </w:rPr>
      </w:pPr>
    </w:p>
    <w:p>
      <w:pPr>
        <w:pStyle w:val="BodyText"/>
        <w:rPr>
          <w:sz w:val="19"/>
        </w:rPr>
      </w:pPr>
    </w:p>
    <w:p>
      <w:pPr>
        <w:pStyle w:val="BodyText"/>
        <w:spacing w:line="280" w:lineRule="auto"/>
        <w:ind w:left="140" w:right="1080" w:hanging="1"/>
      </w:pPr>
      <w:r>
        <w:rPr>
          <w:b/>
        </w:rPr>
        <w:t>Victimisation </w:t>
      </w:r>
      <w:r>
        <w:rPr/>
        <w:t>means subjecting or threatening to subject a person to some form of detriment because they have:</w:t>
      </w:r>
    </w:p>
    <w:p>
      <w:pPr>
        <w:pStyle w:val="ListParagraph"/>
        <w:numPr>
          <w:ilvl w:val="0"/>
          <w:numId w:val="4"/>
        </w:numPr>
        <w:tabs>
          <w:tab w:pos="1220" w:val="left" w:leader="none"/>
          <w:tab w:pos="1221" w:val="left" w:leader="none"/>
        </w:tabs>
        <w:spacing w:line="240" w:lineRule="auto" w:before="193" w:after="0"/>
        <w:ind w:left="1221" w:right="0" w:hanging="361"/>
        <w:jc w:val="left"/>
        <w:rPr>
          <w:sz w:val="22"/>
        </w:rPr>
      </w:pPr>
      <w:r>
        <w:rPr>
          <w:sz w:val="22"/>
        </w:rPr>
        <w:t>lodged, or is proposing to lodge, a complaint of discrimination or</w:t>
      </w:r>
      <w:r>
        <w:rPr>
          <w:spacing w:val="-19"/>
          <w:sz w:val="22"/>
        </w:rPr>
        <w:t> </w:t>
      </w:r>
      <w:r>
        <w:rPr>
          <w:sz w:val="22"/>
        </w:rPr>
        <w:t>harassment</w:t>
      </w:r>
    </w:p>
    <w:p>
      <w:pPr>
        <w:spacing w:after="0" w:line="240" w:lineRule="auto"/>
        <w:jc w:val="left"/>
        <w:rPr>
          <w:sz w:val="22"/>
        </w:rPr>
        <w:sectPr>
          <w:pgSz w:w="11910" w:h="16840"/>
          <w:pgMar w:header="726" w:footer="1066" w:top="1340" w:bottom="1260" w:left="1300" w:right="1300"/>
        </w:sectPr>
      </w:pPr>
    </w:p>
    <w:p>
      <w:pPr>
        <w:pStyle w:val="ListParagraph"/>
        <w:numPr>
          <w:ilvl w:val="0"/>
          <w:numId w:val="4"/>
        </w:numPr>
        <w:tabs>
          <w:tab w:pos="1220" w:val="left" w:leader="none"/>
          <w:tab w:pos="1221" w:val="left" w:leader="none"/>
        </w:tabs>
        <w:spacing w:line="271" w:lineRule="auto" w:before="91" w:after="0"/>
        <w:ind w:left="1220" w:right="674" w:hanging="360"/>
        <w:jc w:val="left"/>
        <w:rPr>
          <w:sz w:val="22"/>
        </w:rPr>
      </w:pPr>
      <w:r>
        <w:rPr>
          <w:sz w:val="22"/>
        </w:rPr>
        <w:t>provided information or documents to an internal investigation or an external agency</w:t>
      </w:r>
    </w:p>
    <w:p>
      <w:pPr>
        <w:pStyle w:val="ListParagraph"/>
        <w:numPr>
          <w:ilvl w:val="0"/>
          <w:numId w:val="4"/>
        </w:numPr>
        <w:tabs>
          <w:tab w:pos="1220" w:val="left" w:leader="none"/>
          <w:tab w:pos="1221" w:val="left" w:leader="none"/>
        </w:tabs>
        <w:spacing w:line="240" w:lineRule="auto" w:before="127" w:after="0"/>
        <w:ind w:left="1220" w:right="0" w:hanging="360"/>
        <w:jc w:val="left"/>
        <w:rPr>
          <w:sz w:val="22"/>
        </w:rPr>
      </w:pPr>
      <w:r>
        <w:rPr>
          <w:sz w:val="22"/>
        </w:rPr>
        <w:t>attended a conciliation</w:t>
      </w:r>
      <w:r>
        <w:rPr>
          <w:spacing w:val="-3"/>
          <w:sz w:val="22"/>
        </w:rPr>
        <w:t> </w:t>
      </w:r>
      <w:r>
        <w:rPr>
          <w:sz w:val="22"/>
        </w:rPr>
        <w:t>conference</w:t>
      </w:r>
    </w:p>
    <w:p>
      <w:pPr>
        <w:pStyle w:val="ListParagraph"/>
        <w:numPr>
          <w:ilvl w:val="0"/>
          <w:numId w:val="4"/>
        </w:numPr>
        <w:tabs>
          <w:tab w:pos="1220" w:val="left" w:leader="none"/>
          <w:tab w:pos="1221" w:val="left" w:leader="none"/>
        </w:tabs>
        <w:spacing w:line="271" w:lineRule="auto" w:before="155" w:after="0"/>
        <w:ind w:left="1220" w:right="782" w:hanging="360"/>
        <w:jc w:val="left"/>
        <w:rPr>
          <w:sz w:val="22"/>
        </w:rPr>
      </w:pPr>
      <w:r>
        <w:rPr>
          <w:sz w:val="22"/>
        </w:rPr>
        <w:t>reasonably asserted their rights, or supported someone else’s rights, under federal anti-discrimination</w:t>
      </w:r>
      <w:r>
        <w:rPr>
          <w:spacing w:val="-1"/>
          <w:sz w:val="22"/>
        </w:rPr>
        <w:t> </w:t>
      </w:r>
      <w:r>
        <w:rPr>
          <w:sz w:val="22"/>
        </w:rPr>
        <w:t>laws</w:t>
      </w:r>
    </w:p>
    <w:p>
      <w:pPr>
        <w:pStyle w:val="ListParagraph"/>
        <w:numPr>
          <w:ilvl w:val="0"/>
          <w:numId w:val="4"/>
        </w:numPr>
        <w:tabs>
          <w:tab w:pos="1220" w:val="left" w:leader="none"/>
          <w:tab w:pos="1221" w:val="left" w:leader="none"/>
        </w:tabs>
        <w:spacing w:line="271" w:lineRule="auto" w:before="127" w:after="0"/>
        <w:ind w:left="1220" w:right="985" w:hanging="360"/>
        <w:jc w:val="left"/>
        <w:rPr>
          <w:sz w:val="22"/>
        </w:rPr>
      </w:pPr>
      <w:r>
        <w:rPr>
          <w:sz w:val="22"/>
        </w:rPr>
        <w:t>made an allegation that a person has acted unlawfully under federal anti- discrimination</w:t>
      </w:r>
      <w:r>
        <w:rPr>
          <w:spacing w:val="-1"/>
          <w:sz w:val="22"/>
        </w:rPr>
        <w:t> </w:t>
      </w:r>
      <w:r>
        <w:rPr>
          <w:sz w:val="22"/>
        </w:rPr>
        <w:t>laws.</w:t>
      </w:r>
    </w:p>
    <w:p>
      <w:pPr>
        <w:pStyle w:val="BodyText"/>
        <w:spacing w:line="280" w:lineRule="auto" w:before="123"/>
        <w:ind w:left="140" w:right="186"/>
      </w:pPr>
      <w:r>
        <w:rPr>
          <w:b/>
        </w:rPr>
        <w:t>Vilification </w:t>
      </w:r>
      <w:r>
        <w:rPr/>
        <w:t>means the public incitement of hatred, contempt or ridicule of another person on the basis of certain characteristics or grounds.</w:t>
      </w:r>
    </w:p>
    <w:p>
      <w:pPr>
        <w:pStyle w:val="BodyText"/>
        <w:rPr>
          <w:sz w:val="24"/>
        </w:rPr>
      </w:pPr>
    </w:p>
    <w:p>
      <w:pPr>
        <w:pStyle w:val="Heading1"/>
        <w:spacing w:before="197" w:after="51"/>
        <w:ind w:left="140" w:firstLine="0"/>
      </w:pPr>
      <w:bookmarkStart w:name="Approval information" w:id="22"/>
      <w:bookmarkEnd w:id="22"/>
      <w:r>
        <w:rPr>
          <w:b w:val="0"/>
        </w:rPr>
      </w:r>
      <w:r>
        <w:rPr>
          <w:color w:val="365F91"/>
        </w:rPr>
        <w:t>Approval information</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6672"/>
      </w:tblGrid>
      <w:tr>
        <w:trPr>
          <w:trHeight w:val="253" w:hRule="atLeast"/>
        </w:trPr>
        <w:tc>
          <w:tcPr>
            <w:tcW w:w="2345" w:type="dxa"/>
          </w:tcPr>
          <w:p>
            <w:pPr>
              <w:pStyle w:val="TableParagraph"/>
              <w:rPr>
                <w:b/>
                <w:sz w:val="22"/>
              </w:rPr>
            </w:pPr>
            <w:r>
              <w:rPr>
                <w:b/>
                <w:color w:val="808080"/>
                <w:sz w:val="22"/>
              </w:rPr>
              <w:t>Policy contact</w:t>
            </w:r>
          </w:p>
        </w:tc>
        <w:tc>
          <w:tcPr>
            <w:tcW w:w="6672" w:type="dxa"/>
          </w:tcPr>
          <w:p>
            <w:pPr>
              <w:pStyle w:val="TableParagraph"/>
              <w:rPr>
                <w:sz w:val="22"/>
              </w:rPr>
            </w:pPr>
            <w:r>
              <w:rPr>
                <w:sz w:val="22"/>
              </w:rPr>
              <w:t>The Director, Equity and Diversity Unit</w:t>
            </w:r>
          </w:p>
        </w:tc>
      </w:tr>
      <w:tr>
        <w:trPr>
          <w:trHeight w:val="251" w:hRule="atLeast"/>
        </w:trPr>
        <w:tc>
          <w:tcPr>
            <w:tcW w:w="2345" w:type="dxa"/>
          </w:tcPr>
          <w:p>
            <w:pPr>
              <w:pStyle w:val="TableParagraph"/>
              <w:spacing w:line="232" w:lineRule="exact"/>
              <w:rPr>
                <w:b/>
                <w:sz w:val="22"/>
              </w:rPr>
            </w:pPr>
            <w:r>
              <w:rPr>
                <w:b/>
                <w:color w:val="808080"/>
                <w:sz w:val="22"/>
              </w:rPr>
              <w:t>Approval authority</w:t>
            </w:r>
          </w:p>
        </w:tc>
        <w:tc>
          <w:tcPr>
            <w:tcW w:w="6672" w:type="dxa"/>
          </w:tcPr>
          <w:p>
            <w:pPr>
              <w:pStyle w:val="TableParagraph"/>
              <w:spacing w:line="232" w:lineRule="exact"/>
              <w:rPr>
                <w:sz w:val="22"/>
              </w:rPr>
            </w:pPr>
            <w:r>
              <w:rPr>
                <w:sz w:val="22"/>
              </w:rPr>
              <w:t>Council</w:t>
            </w:r>
          </w:p>
        </w:tc>
      </w:tr>
      <w:tr>
        <w:trPr>
          <w:trHeight w:val="254" w:hRule="atLeast"/>
        </w:trPr>
        <w:tc>
          <w:tcPr>
            <w:tcW w:w="2345" w:type="dxa"/>
          </w:tcPr>
          <w:p>
            <w:pPr>
              <w:pStyle w:val="TableParagraph"/>
              <w:rPr>
                <w:b/>
                <w:sz w:val="22"/>
              </w:rPr>
            </w:pPr>
            <w:r>
              <w:rPr>
                <w:b/>
                <w:color w:val="808080"/>
                <w:sz w:val="22"/>
              </w:rPr>
              <w:t>Review date</w:t>
            </w:r>
          </w:p>
        </w:tc>
        <w:tc>
          <w:tcPr>
            <w:tcW w:w="6672" w:type="dxa"/>
          </w:tcPr>
          <w:p>
            <w:pPr>
              <w:pStyle w:val="TableParagraph"/>
              <w:rPr>
                <w:sz w:val="22"/>
              </w:rPr>
            </w:pPr>
            <w:r>
              <w:rPr>
                <w:sz w:val="22"/>
              </w:rPr>
              <w:t>Three years post approval</w:t>
            </w:r>
          </w:p>
        </w:tc>
      </w:tr>
      <w:tr>
        <w:trPr>
          <w:trHeight w:val="251" w:hRule="atLeast"/>
        </w:trPr>
        <w:tc>
          <w:tcPr>
            <w:tcW w:w="2345" w:type="dxa"/>
          </w:tcPr>
          <w:p>
            <w:pPr>
              <w:pStyle w:val="TableParagraph"/>
              <w:spacing w:line="232" w:lineRule="exact"/>
              <w:rPr>
                <w:b/>
                <w:sz w:val="22"/>
              </w:rPr>
            </w:pPr>
            <w:r>
              <w:rPr>
                <w:b/>
                <w:color w:val="808080"/>
                <w:sz w:val="22"/>
              </w:rPr>
              <w:t>Version</w:t>
            </w:r>
          </w:p>
        </w:tc>
        <w:tc>
          <w:tcPr>
            <w:tcW w:w="6672" w:type="dxa"/>
          </w:tcPr>
          <w:p>
            <w:pPr>
              <w:pStyle w:val="TableParagraph"/>
              <w:spacing w:line="232" w:lineRule="exact"/>
              <w:rPr>
                <w:sz w:val="22"/>
              </w:rPr>
            </w:pPr>
            <w:r>
              <w:rPr>
                <w:sz w:val="22"/>
              </w:rPr>
              <w:t>V1.0 at first publication</w:t>
            </w:r>
          </w:p>
        </w:tc>
      </w:tr>
      <w:tr>
        <w:trPr>
          <w:trHeight w:val="254" w:hRule="atLeast"/>
        </w:trPr>
        <w:tc>
          <w:tcPr>
            <w:tcW w:w="2345" w:type="dxa"/>
          </w:tcPr>
          <w:p>
            <w:pPr>
              <w:pStyle w:val="TableParagraph"/>
              <w:rPr>
                <w:b/>
                <w:sz w:val="22"/>
              </w:rPr>
            </w:pPr>
            <w:r>
              <w:rPr>
                <w:b/>
                <w:color w:val="808080"/>
                <w:sz w:val="22"/>
              </w:rPr>
              <w:t>File number</w:t>
            </w:r>
          </w:p>
        </w:tc>
        <w:tc>
          <w:tcPr>
            <w:tcW w:w="6672" w:type="dxa"/>
          </w:tcPr>
          <w:p>
            <w:pPr>
              <w:pStyle w:val="TableParagraph"/>
              <w:rPr>
                <w:sz w:val="22"/>
              </w:rPr>
            </w:pPr>
            <w:r>
              <w:rPr>
                <w:sz w:val="22"/>
              </w:rPr>
              <w:t>TBC</w:t>
            </w:r>
          </w:p>
        </w:tc>
      </w:tr>
      <w:tr>
        <w:trPr>
          <w:trHeight w:val="1770" w:hRule="atLeast"/>
        </w:trPr>
        <w:tc>
          <w:tcPr>
            <w:tcW w:w="2345" w:type="dxa"/>
          </w:tcPr>
          <w:p>
            <w:pPr>
              <w:pStyle w:val="TableParagraph"/>
              <w:spacing w:line="240" w:lineRule="auto"/>
              <w:ind w:right="948"/>
              <w:rPr>
                <w:b/>
                <w:sz w:val="22"/>
              </w:rPr>
            </w:pPr>
            <w:r>
              <w:rPr>
                <w:b/>
                <w:color w:val="808080"/>
                <w:sz w:val="22"/>
              </w:rPr>
              <w:t>Superseded documents</w:t>
            </w:r>
          </w:p>
        </w:tc>
        <w:tc>
          <w:tcPr>
            <w:tcW w:w="6672" w:type="dxa"/>
          </w:tcPr>
          <w:p>
            <w:pPr>
              <w:pStyle w:val="TableParagraph"/>
              <w:spacing w:line="240" w:lineRule="auto"/>
              <w:ind w:right="1472"/>
              <w:rPr>
                <w:sz w:val="22"/>
              </w:rPr>
            </w:pPr>
            <w:r>
              <w:rPr>
                <w:sz w:val="22"/>
              </w:rPr>
              <w:t>Equal Opportunity and Diversity Policy (UR 07/631) UTS Policy on the Prevention of Harassment (2000)</w:t>
            </w:r>
          </w:p>
          <w:p>
            <w:pPr>
              <w:pStyle w:val="TableParagraph"/>
              <w:spacing w:line="240" w:lineRule="auto"/>
              <w:ind w:right="322"/>
              <w:rPr>
                <w:sz w:val="22"/>
              </w:rPr>
            </w:pPr>
            <w:r>
              <w:rPr>
                <w:sz w:val="22"/>
              </w:rPr>
              <w:t>Policy on the Expression and Practice of Religious, Political and Other Beliefs and Ideas at UTS (2005)</w:t>
            </w:r>
          </w:p>
          <w:p>
            <w:pPr>
              <w:pStyle w:val="TableParagraph"/>
              <w:spacing w:line="252" w:lineRule="exact" w:before="3"/>
              <w:ind w:right="310"/>
              <w:rPr>
                <w:sz w:val="22"/>
              </w:rPr>
            </w:pPr>
            <w:r>
              <w:rPr>
                <w:sz w:val="22"/>
              </w:rPr>
              <w:t>Procedures and Guidelines in respect of the Policy on the Expression and Practice of Religious, Political and Other Beliefs and Ideas at UTS (2005)</w:t>
            </w:r>
          </w:p>
        </w:tc>
      </w:tr>
    </w:tbl>
    <w:p>
      <w:pPr>
        <w:pStyle w:val="BodyText"/>
        <w:spacing w:before="5"/>
        <w:rPr>
          <w:b/>
          <w:sz w:val="41"/>
        </w:rPr>
      </w:pPr>
    </w:p>
    <w:p>
      <w:pPr>
        <w:spacing w:before="0" w:after="51"/>
        <w:ind w:left="140" w:right="0" w:firstLine="0"/>
        <w:jc w:val="left"/>
        <w:rPr>
          <w:b/>
          <w:sz w:val="28"/>
        </w:rPr>
      </w:pPr>
      <w:bookmarkStart w:name="Version history" w:id="23"/>
      <w:bookmarkEnd w:id="23"/>
      <w:r>
        <w:rPr/>
      </w:r>
      <w:r>
        <w:rPr>
          <w:b/>
          <w:color w:val="365F91"/>
          <w:sz w:val="28"/>
        </w:rPr>
        <w:t>Version history</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1807"/>
        <w:gridCol w:w="1805"/>
        <w:gridCol w:w="1810"/>
        <w:gridCol w:w="1800"/>
      </w:tblGrid>
      <w:tr>
        <w:trPr>
          <w:trHeight w:val="506" w:hRule="atLeast"/>
        </w:trPr>
        <w:tc>
          <w:tcPr>
            <w:tcW w:w="1795" w:type="dxa"/>
          </w:tcPr>
          <w:p>
            <w:pPr>
              <w:pStyle w:val="TableParagraph"/>
              <w:spacing w:line="248" w:lineRule="exact"/>
              <w:rPr>
                <w:b/>
                <w:sz w:val="22"/>
              </w:rPr>
            </w:pPr>
            <w:r>
              <w:rPr>
                <w:b/>
                <w:color w:val="808080"/>
                <w:sz w:val="22"/>
              </w:rPr>
              <w:t>Version</w:t>
            </w:r>
          </w:p>
        </w:tc>
        <w:tc>
          <w:tcPr>
            <w:tcW w:w="1807" w:type="dxa"/>
          </w:tcPr>
          <w:p>
            <w:pPr>
              <w:pStyle w:val="TableParagraph"/>
              <w:spacing w:line="248" w:lineRule="exact"/>
              <w:ind w:left="108"/>
              <w:rPr>
                <w:b/>
                <w:sz w:val="22"/>
              </w:rPr>
            </w:pPr>
            <w:r>
              <w:rPr>
                <w:b/>
                <w:color w:val="808080"/>
                <w:sz w:val="22"/>
              </w:rPr>
              <w:t>Approved by</w:t>
            </w:r>
          </w:p>
        </w:tc>
        <w:tc>
          <w:tcPr>
            <w:tcW w:w="1805" w:type="dxa"/>
          </w:tcPr>
          <w:p>
            <w:pPr>
              <w:pStyle w:val="TableParagraph"/>
              <w:spacing w:line="248" w:lineRule="exact"/>
              <w:ind w:left="108"/>
              <w:rPr>
                <w:b/>
                <w:sz w:val="22"/>
              </w:rPr>
            </w:pPr>
            <w:r>
              <w:rPr>
                <w:b/>
                <w:color w:val="808080"/>
                <w:sz w:val="22"/>
              </w:rPr>
              <w:t>Approval date</w:t>
            </w:r>
          </w:p>
        </w:tc>
        <w:tc>
          <w:tcPr>
            <w:tcW w:w="1810" w:type="dxa"/>
          </w:tcPr>
          <w:p>
            <w:pPr>
              <w:pStyle w:val="TableParagraph"/>
              <w:spacing w:line="248" w:lineRule="exact"/>
              <w:rPr>
                <w:b/>
                <w:sz w:val="22"/>
              </w:rPr>
            </w:pPr>
            <w:r>
              <w:rPr>
                <w:b/>
                <w:color w:val="808080"/>
                <w:sz w:val="22"/>
              </w:rPr>
              <w:t>Effective date</w:t>
            </w:r>
          </w:p>
        </w:tc>
        <w:tc>
          <w:tcPr>
            <w:tcW w:w="1800" w:type="dxa"/>
          </w:tcPr>
          <w:p>
            <w:pPr>
              <w:pStyle w:val="TableParagraph"/>
              <w:spacing w:line="248" w:lineRule="exact"/>
              <w:rPr>
                <w:b/>
                <w:sz w:val="22"/>
              </w:rPr>
            </w:pPr>
            <w:r>
              <w:rPr>
                <w:b/>
                <w:color w:val="808080"/>
                <w:sz w:val="22"/>
              </w:rPr>
              <w:t>Sections</w:t>
            </w:r>
          </w:p>
          <w:p>
            <w:pPr>
              <w:pStyle w:val="TableParagraph"/>
              <w:spacing w:line="237" w:lineRule="exact" w:before="1"/>
              <w:rPr>
                <w:b/>
                <w:sz w:val="22"/>
              </w:rPr>
            </w:pPr>
            <w:r>
              <w:rPr>
                <w:b/>
                <w:color w:val="808080"/>
                <w:sz w:val="22"/>
              </w:rPr>
              <w:t>modified</w:t>
            </w:r>
          </w:p>
        </w:tc>
      </w:tr>
      <w:tr>
        <w:trPr>
          <w:trHeight w:val="506" w:hRule="atLeast"/>
        </w:trPr>
        <w:tc>
          <w:tcPr>
            <w:tcW w:w="1795" w:type="dxa"/>
          </w:tcPr>
          <w:p>
            <w:pPr>
              <w:pStyle w:val="TableParagraph"/>
              <w:spacing w:line="250" w:lineRule="exact"/>
              <w:rPr>
                <w:sz w:val="22"/>
              </w:rPr>
            </w:pPr>
            <w:r>
              <w:rPr>
                <w:sz w:val="22"/>
              </w:rPr>
              <w:t>1.0</w:t>
            </w:r>
          </w:p>
        </w:tc>
        <w:tc>
          <w:tcPr>
            <w:tcW w:w="1807" w:type="dxa"/>
          </w:tcPr>
          <w:p>
            <w:pPr>
              <w:pStyle w:val="TableParagraph"/>
              <w:spacing w:line="250" w:lineRule="exact"/>
              <w:ind w:left="108"/>
              <w:rPr>
                <w:sz w:val="22"/>
              </w:rPr>
            </w:pPr>
            <w:r>
              <w:rPr>
                <w:sz w:val="22"/>
              </w:rPr>
              <w:t>Council</w:t>
            </w:r>
          </w:p>
        </w:tc>
        <w:tc>
          <w:tcPr>
            <w:tcW w:w="1805" w:type="dxa"/>
          </w:tcPr>
          <w:p>
            <w:pPr>
              <w:pStyle w:val="TableParagraph"/>
              <w:spacing w:line="250" w:lineRule="exact"/>
              <w:ind w:left="108"/>
              <w:rPr>
                <w:sz w:val="22"/>
              </w:rPr>
            </w:pPr>
            <w:r>
              <w:rPr>
                <w:sz w:val="22"/>
              </w:rPr>
              <w:t>17 October</w:t>
            </w:r>
          </w:p>
          <w:p>
            <w:pPr>
              <w:pStyle w:val="TableParagraph"/>
              <w:spacing w:before="1"/>
              <w:ind w:left="108"/>
              <w:rPr>
                <w:sz w:val="22"/>
              </w:rPr>
            </w:pPr>
            <w:r>
              <w:rPr>
                <w:sz w:val="22"/>
              </w:rPr>
              <w:t>2018</w:t>
            </w:r>
          </w:p>
        </w:tc>
        <w:tc>
          <w:tcPr>
            <w:tcW w:w="1810" w:type="dxa"/>
          </w:tcPr>
          <w:p>
            <w:pPr>
              <w:pStyle w:val="TableParagraph"/>
              <w:spacing w:line="254" w:lineRule="exact"/>
              <w:ind w:right="621"/>
              <w:rPr>
                <w:sz w:val="22"/>
              </w:rPr>
            </w:pPr>
            <w:r>
              <w:rPr>
                <w:sz w:val="22"/>
              </w:rPr>
              <w:t>Date of publication</w:t>
            </w:r>
          </w:p>
        </w:tc>
        <w:tc>
          <w:tcPr>
            <w:tcW w:w="1800" w:type="dxa"/>
          </w:tcPr>
          <w:p>
            <w:pPr>
              <w:pStyle w:val="TableParagraph"/>
              <w:spacing w:line="250" w:lineRule="exact"/>
              <w:rPr>
                <w:sz w:val="22"/>
              </w:rPr>
            </w:pPr>
            <w:r>
              <w:rPr>
                <w:sz w:val="22"/>
              </w:rPr>
              <w:t>NA</w:t>
            </w:r>
          </w:p>
        </w:tc>
      </w:tr>
    </w:tbl>
    <w:p>
      <w:pPr>
        <w:pStyle w:val="BodyText"/>
        <w:spacing w:before="5"/>
        <w:rPr>
          <w:b/>
          <w:sz w:val="41"/>
        </w:rPr>
      </w:pPr>
    </w:p>
    <w:p>
      <w:pPr>
        <w:spacing w:before="0"/>
        <w:ind w:left="140" w:right="0" w:firstLine="0"/>
        <w:jc w:val="left"/>
        <w:rPr>
          <w:b/>
          <w:sz w:val="28"/>
        </w:rPr>
      </w:pPr>
      <w:bookmarkStart w:name="References" w:id="24"/>
      <w:bookmarkEnd w:id="24"/>
      <w:r>
        <w:rPr/>
      </w:r>
      <w:bookmarkStart w:name="_bookmark0" w:id="25"/>
      <w:bookmarkEnd w:id="25"/>
      <w:r>
        <w:rPr/>
      </w:r>
      <w:r>
        <w:rPr>
          <w:b/>
          <w:color w:val="365F91"/>
          <w:sz w:val="28"/>
        </w:rPr>
        <w:t>References</w:t>
      </w:r>
    </w:p>
    <w:p>
      <w:pPr>
        <w:pStyle w:val="Heading3"/>
        <w:spacing w:before="250"/>
      </w:pPr>
      <w:bookmarkStart w:name="Relevant legislation" w:id="26"/>
      <w:bookmarkEnd w:id="26"/>
      <w:r>
        <w:rPr>
          <w:b w:val="0"/>
        </w:rPr>
      </w:r>
      <w:r>
        <w:rPr>
          <w:color w:val="4F81BC"/>
        </w:rPr>
        <w:t>Relevant legislation</w:t>
      </w:r>
    </w:p>
    <w:p>
      <w:pPr>
        <w:pStyle w:val="BodyText"/>
        <w:spacing w:line="465" w:lineRule="auto" w:before="40"/>
        <w:ind w:left="140" w:right="5628"/>
      </w:pPr>
      <w:hyperlink r:id="rId34">
        <w:r>
          <w:rPr>
            <w:color w:val="0000FF"/>
            <w:u w:val="single" w:color="0000FF"/>
          </w:rPr>
          <w:t>Anti-Discrimination Act 1977 (NSW)</w:t>
        </w:r>
      </w:hyperlink>
      <w:r>
        <w:rPr>
          <w:color w:val="0000FF"/>
        </w:rPr>
        <w:t> </w:t>
      </w:r>
      <w:hyperlink r:id="rId35">
        <w:r>
          <w:rPr>
            <w:color w:val="0000FF"/>
            <w:u w:val="single" w:color="0000FF"/>
          </w:rPr>
          <w:t>Age Discrimination Act 2004 (Cwlth</w:t>
        </w:r>
      </w:hyperlink>
      <w:r>
        <w:rPr/>
        <w:t>)</w:t>
      </w:r>
    </w:p>
    <w:p>
      <w:pPr>
        <w:pStyle w:val="BodyText"/>
        <w:spacing w:line="465" w:lineRule="auto"/>
        <w:ind w:left="140" w:right="3758"/>
      </w:pPr>
      <w:hyperlink r:id="rId36">
        <w:r>
          <w:rPr>
            <w:color w:val="0000FF"/>
            <w:u w:val="single" w:color="0000FF"/>
          </w:rPr>
          <w:t>Australian Human Rights Commission Act 1986 (Cwlth)</w:t>
        </w:r>
      </w:hyperlink>
      <w:r>
        <w:rPr>
          <w:color w:val="0000FF"/>
        </w:rPr>
        <w:t> </w:t>
      </w:r>
      <w:hyperlink r:id="rId37">
        <w:r>
          <w:rPr>
            <w:color w:val="0000FF"/>
            <w:u w:val="single" w:color="0000FF"/>
          </w:rPr>
          <w:t>Disability Discrimination Act 1992 (Cwlth)</w:t>
        </w:r>
      </w:hyperlink>
    </w:p>
    <w:p>
      <w:pPr>
        <w:pStyle w:val="BodyText"/>
        <w:spacing w:line="465" w:lineRule="auto"/>
        <w:ind w:left="140" w:right="5408"/>
      </w:pPr>
      <w:hyperlink r:id="rId38">
        <w:r>
          <w:rPr>
            <w:color w:val="0000FF"/>
            <w:u w:val="single" w:color="0000FF"/>
          </w:rPr>
          <w:t>Racial Discrimination Act 1975 (Cwlth)</w:t>
        </w:r>
      </w:hyperlink>
      <w:r>
        <w:rPr>
          <w:color w:val="0000FF"/>
        </w:rPr>
        <w:t> </w:t>
      </w:r>
      <w:hyperlink r:id="rId39">
        <w:r>
          <w:rPr>
            <w:color w:val="0000FF"/>
            <w:u w:val="single" w:color="0000FF"/>
          </w:rPr>
          <w:t>Sex Discrimination Act 1984 (Cwlth)</w:t>
        </w:r>
      </w:hyperlink>
    </w:p>
    <w:p>
      <w:pPr>
        <w:pStyle w:val="Heading3"/>
        <w:spacing w:line="251" w:lineRule="exact"/>
      </w:pPr>
      <w:bookmarkStart w:name="University rules and policy" w:id="27"/>
      <w:bookmarkEnd w:id="27"/>
      <w:r>
        <w:rPr>
          <w:b w:val="0"/>
        </w:rPr>
      </w:r>
      <w:r>
        <w:rPr>
          <w:color w:val="4F81BC"/>
        </w:rPr>
        <w:t>University rules and policy</w:t>
      </w:r>
    </w:p>
    <w:p>
      <w:pPr>
        <w:pStyle w:val="BodyText"/>
        <w:spacing w:before="42"/>
        <w:ind w:left="140"/>
      </w:pPr>
      <w:r>
        <w:rPr/>
        <w:t>Student Rules</w:t>
      </w:r>
    </w:p>
    <w:p>
      <w:pPr>
        <w:spacing w:after="0"/>
        <w:sectPr>
          <w:pgSz w:w="11910" w:h="16840"/>
          <w:pgMar w:header="726" w:footer="1066" w:top="1340" w:bottom="1260" w:left="1300" w:right="1300"/>
        </w:sectPr>
      </w:pPr>
    </w:p>
    <w:p>
      <w:pPr>
        <w:pStyle w:val="ListParagraph"/>
        <w:numPr>
          <w:ilvl w:val="0"/>
          <w:numId w:val="5"/>
        </w:numPr>
        <w:tabs>
          <w:tab w:pos="860" w:val="left" w:leader="none"/>
          <w:tab w:pos="861" w:val="left" w:leader="none"/>
        </w:tabs>
        <w:spacing w:line="273" w:lineRule="auto" w:before="91" w:after="0"/>
        <w:ind w:left="140" w:right="7403" w:firstLine="360"/>
        <w:jc w:val="left"/>
        <w:rPr>
          <w:sz w:val="22"/>
        </w:rPr>
      </w:pPr>
      <w:hyperlink r:id="rId24">
        <w:r>
          <w:rPr>
            <w:color w:val="0000FF"/>
            <w:sz w:val="22"/>
            <w:u w:val="single" w:color="0000FF"/>
          </w:rPr>
          <w:t>Section </w:t>
        </w:r>
        <w:r>
          <w:rPr>
            <w:color w:val="0000FF"/>
            <w:spacing w:val="-8"/>
            <w:sz w:val="22"/>
            <w:u w:val="single" w:color="0000FF"/>
          </w:rPr>
          <w:t>16</w:t>
        </w:r>
      </w:hyperlink>
      <w:r>
        <w:rPr>
          <w:spacing w:val="-8"/>
          <w:sz w:val="22"/>
        </w:rPr>
        <w:t> </w:t>
      </w:r>
      <w:r>
        <w:rPr>
          <w:sz w:val="22"/>
        </w:rPr>
        <w:t>Code of</w:t>
      </w:r>
      <w:r>
        <w:rPr>
          <w:spacing w:val="-2"/>
          <w:sz w:val="22"/>
        </w:rPr>
        <w:t> </w:t>
      </w:r>
      <w:r>
        <w:rPr>
          <w:sz w:val="22"/>
        </w:rPr>
        <w:t>Conduct</w:t>
      </w:r>
    </w:p>
    <w:p>
      <w:pPr>
        <w:pStyle w:val="BodyText"/>
        <w:spacing w:line="465" w:lineRule="auto" w:before="203"/>
        <w:ind w:left="140" w:right="3904"/>
      </w:pPr>
      <w:r>
        <w:rPr/>
        <w:t>Handling Staff Grievances Vice-Chancellor’s Directive Student Complaints Policy</w:t>
      </w:r>
    </w:p>
    <w:p>
      <w:pPr>
        <w:pStyle w:val="BodyText"/>
        <w:ind w:left="140"/>
      </w:pPr>
      <w:r>
        <w:rPr/>
        <w:t>Student Rights and Behaviour Policy (Student Charter)</w:t>
      </w:r>
    </w:p>
    <w:p>
      <w:pPr>
        <w:pStyle w:val="BodyText"/>
        <w:spacing w:before="4"/>
        <w:rPr>
          <w:sz w:val="20"/>
        </w:rPr>
      </w:pPr>
    </w:p>
    <w:p>
      <w:pPr>
        <w:pStyle w:val="Heading3"/>
        <w:spacing w:before="1"/>
      </w:pPr>
      <w:bookmarkStart w:name="Advice and support for staff and student" w:id="28"/>
      <w:bookmarkEnd w:id="28"/>
      <w:r>
        <w:rPr>
          <w:b w:val="0"/>
        </w:rPr>
      </w:r>
      <w:r>
        <w:rPr>
          <w:color w:val="4F81BC"/>
        </w:rPr>
        <w:t>Advice and support for staff and students</w:t>
      </w:r>
    </w:p>
    <w:p>
      <w:pPr>
        <w:pStyle w:val="BodyText"/>
        <w:spacing w:before="42"/>
        <w:ind w:left="140"/>
      </w:pPr>
      <w:hyperlink r:id="rId40">
        <w:r>
          <w:rPr>
            <w:color w:val="0000FF"/>
            <w:u w:val="single" w:color="0000FF"/>
          </w:rPr>
          <w:t>Accessibility Services</w:t>
        </w:r>
      </w:hyperlink>
    </w:p>
    <w:p>
      <w:pPr>
        <w:pStyle w:val="BodyText"/>
        <w:spacing w:before="6"/>
        <w:rPr>
          <w:sz w:val="20"/>
        </w:rPr>
      </w:pPr>
    </w:p>
    <w:p>
      <w:pPr>
        <w:pStyle w:val="BodyText"/>
        <w:spacing w:before="1"/>
        <w:ind w:left="140"/>
      </w:pPr>
      <w:hyperlink r:id="rId41">
        <w:r>
          <w:rPr>
            <w:color w:val="0000FF"/>
            <w:u w:val="single" w:color="0000FF"/>
          </w:rPr>
          <w:t>Jumbunna Institute for Indigenous Education and Research</w:t>
        </w:r>
      </w:hyperlink>
    </w:p>
    <w:p>
      <w:pPr>
        <w:pStyle w:val="BodyText"/>
        <w:spacing w:before="4"/>
        <w:rPr>
          <w:sz w:val="20"/>
        </w:rPr>
      </w:pPr>
    </w:p>
    <w:p>
      <w:pPr>
        <w:pStyle w:val="Heading3"/>
      </w:pPr>
      <w:bookmarkStart w:name="External agencies and resources" w:id="29"/>
      <w:bookmarkEnd w:id="29"/>
      <w:r>
        <w:rPr>
          <w:b w:val="0"/>
        </w:rPr>
      </w:r>
      <w:r>
        <w:rPr>
          <w:color w:val="4F81BC"/>
        </w:rPr>
        <w:t>External agencies and resources</w:t>
      </w:r>
    </w:p>
    <w:p>
      <w:pPr>
        <w:pStyle w:val="BodyText"/>
        <w:spacing w:before="42"/>
        <w:ind w:left="140"/>
      </w:pPr>
      <w:r>
        <w:rPr/>
        <w:t>Australian Human Rights Commission (AHRC)</w:t>
      </w:r>
    </w:p>
    <w:p>
      <w:pPr>
        <w:pStyle w:val="BodyText"/>
        <w:spacing w:before="6"/>
        <w:rPr>
          <w:sz w:val="20"/>
        </w:rPr>
      </w:pPr>
    </w:p>
    <w:p>
      <w:pPr>
        <w:pStyle w:val="ListParagraph"/>
        <w:numPr>
          <w:ilvl w:val="0"/>
          <w:numId w:val="5"/>
        </w:numPr>
        <w:tabs>
          <w:tab w:pos="859" w:val="left" w:leader="none"/>
          <w:tab w:pos="861" w:val="left" w:leader="none"/>
        </w:tabs>
        <w:spacing w:line="240" w:lineRule="auto" w:before="0" w:after="0"/>
        <w:ind w:left="860" w:right="0" w:hanging="361"/>
        <w:jc w:val="left"/>
        <w:rPr>
          <w:sz w:val="22"/>
        </w:rPr>
      </w:pPr>
      <w:hyperlink r:id="rId42">
        <w:r>
          <w:rPr>
            <w:color w:val="0000FF"/>
            <w:sz w:val="22"/>
            <w:u w:val="single" w:color="0000FF"/>
          </w:rPr>
          <w:t>Quick guide to Australian discrimination</w:t>
        </w:r>
        <w:r>
          <w:rPr>
            <w:color w:val="0000FF"/>
            <w:spacing w:val="-5"/>
            <w:sz w:val="22"/>
            <w:u w:val="single" w:color="0000FF"/>
          </w:rPr>
          <w:t> </w:t>
        </w:r>
        <w:r>
          <w:rPr>
            <w:color w:val="0000FF"/>
            <w:sz w:val="22"/>
            <w:u w:val="single" w:color="0000FF"/>
          </w:rPr>
          <w:t>laws</w:t>
        </w:r>
      </w:hyperlink>
    </w:p>
    <w:p>
      <w:pPr>
        <w:pStyle w:val="BodyText"/>
        <w:spacing w:line="278" w:lineRule="auto" w:before="36"/>
        <w:ind w:left="140" w:right="1029"/>
      </w:pPr>
      <w:hyperlink r:id="rId43">
        <w:r>
          <w:rPr>
            <w:color w:val="0000FF"/>
            <w:u w:val="single" w:color="0000FF"/>
          </w:rPr>
          <w:t>Declaration on the Rights of Persons Belonging to National or Ethnic, Religious and</w:t>
        </w:r>
      </w:hyperlink>
      <w:r>
        <w:rPr>
          <w:color w:val="0000FF"/>
        </w:rPr>
        <w:t> </w:t>
      </w:r>
      <w:hyperlink r:id="rId43">
        <w:r>
          <w:rPr>
            <w:color w:val="0000FF"/>
            <w:u w:val="single" w:color="0000FF"/>
          </w:rPr>
          <w:t>Linguistic Minorities</w:t>
        </w:r>
      </w:hyperlink>
    </w:p>
    <w:p>
      <w:pPr>
        <w:pStyle w:val="BodyText"/>
        <w:spacing w:line="465" w:lineRule="auto" w:before="198"/>
        <w:ind w:left="140" w:right="4221"/>
      </w:pPr>
      <w:r>
        <w:rPr/>
        <w:t>New South Wales Anti-Discrimination Board </w:t>
      </w:r>
      <w:hyperlink r:id="rId44">
        <w:r>
          <w:rPr>
            <w:color w:val="0000FF"/>
            <w:u w:val="single" w:color="0000FF"/>
          </w:rPr>
          <w:t>International Covenant on Civil and Political Rights</w:t>
        </w:r>
      </w:hyperlink>
      <w:r>
        <w:rPr>
          <w:color w:val="0000FF"/>
        </w:rPr>
        <w:t> </w:t>
      </w:r>
      <w:r>
        <w:rPr/>
        <w:t>Fair Work Commission</w:t>
      </w:r>
    </w:p>
    <w:p>
      <w:pPr>
        <w:pStyle w:val="BodyText"/>
        <w:spacing w:line="465" w:lineRule="auto" w:before="1"/>
        <w:ind w:left="140" w:right="1616"/>
      </w:pPr>
      <w:hyperlink r:id="rId45">
        <w:r>
          <w:rPr>
            <w:color w:val="0000FF"/>
            <w:u w:val="single" w:color="0000FF"/>
          </w:rPr>
          <w:t>Fair work guidance on Bullying and Harassment prevention and management</w:t>
        </w:r>
      </w:hyperlink>
      <w:r>
        <w:rPr>
          <w:color w:val="0000FF"/>
        </w:rPr>
        <w:t> </w:t>
      </w:r>
      <w:r>
        <w:rPr/>
        <w:t>Bullying. No Way. </w:t>
      </w:r>
      <w:hyperlink r:id="rId46">
        <w:r>
          <w:rPr>
            <w:color w:val="0000FF"/>
            <w:u w:val="single" w:color="0000FF"/>
          </w:rPr>
          <w:t>https://bullyingnoway.gov.au</w:t>
        </w:r>
      </w:hyperlink>
    </w:p>
    <w:p>
      <w:pPr>
        <w:pStyle w:val="BodyText"/>
        <w:spacing w:line="251" w:lineRule="exact"/>
        <w:ind w:left="140"/>
      </w:pPr>
      <w:hyperlink r:id="rId47">
        <w:r>
          <w:rPr>
            <w:color w:val="0000FF"/>
            <w:u w:val="single" w:color="0000FF"/>
          </w:rPr>
          <w:t>Universal Declaration of Human Rights</w:t>
        </w:r>
      </w:hyperlink>
    </w:p>
    <w:sectPr>
      <w:pgSz w:w="11910" w:h="16840"/>
      <w:pgMar w:header="726" w:footer="1066" w:top="1340" w:bottom="12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599976pt;margin-top:777.616699pt;width:10.7pt;height:15.45pt;mso-position-horizontal-relative:page;mso-position-vertical-relative:page;z-index:-11416" type="#_x0000_t202" filled="false" stroked="false">
          <v:textbox inset="0,0,0,0">
            <w:txbxContent>
              <w:p>
                <w:pPr>
                  <w:spacing w:before="12"/>
                  <w:ind w:left="4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296703pt;width:176.85pt;height:15.45pt;mso-position-horizontal-relative:page;mso-position-vertical-relative:page;z-index:-11440" type="#_x0000_t202" filled="false" stroked="false">
          <v:textbox inset="0,0,0,0">
            <w:txbxContent>
              <w:p>
                <w:pPr>
                  <w:spacing w:before="12"/>
                  <w:ind w:left="20" w:right="0" w:firstLine="0"/>
                  <w:jc w:val="left"/>
                  <w:rPr>
                    <w:sz w:val="24"/>
                  </w:rPr>
                </w:pPr>
                <w:r>
                  <w:rPr>
                    <w:b/>
                    <w:sz w:val="24"/>
                    <w:u w:val="thick"/>
                  </w:rPr>
                  <w:t>Date of effect:</w:t>
                </w:r>
                <w:r>
                  <w:rPr>
                    <w:b/>
                    <w:sz w:val="24"/>
                  </w:rPr>
                  <w:t> </w:t>
                </w:r>
                <w:r>
                  <w:rPr>
                    <w:sz w:val="24"/>
                  </w:rPr>
                  <w:t>1 February 2019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40" w:hanging="361"/>
      </w:pPr>
      <w:rPr>
        <w:rFonts w:hint="default" w:ascii="Symbol" w:hAnsi="Symbol" w:eastAsia="Symbol" w:cs="Symbol"/>
        <w:w w:val="100"/>
        <w:sz w:val="22"/>
        <w:szCs w:val="22"/>
      </w:rPr>
    </w:lvl>
    <w:lvl w:ilvl="1">
      <w:start w:val="0"/>
      <w:numFmt w:val="bullet"/>
      <w:lvlText w:val="•"/>
      <w:lvlJc w:val="left"/>
      <w:pPr>
        <w:ind w:left="1056" w:hanging="361"/>
      </w:pPr>
      <w:rPr>
        <w:rFonts w:hint="default"/>
      </w:rPr>
    </w:lvl>
    <w:lvl w:ilvl="2">
      <w:start w:val="0"/>
      <w:numFmt w:val="bullet"/>
      <w:lvlText w:val="•"/>
      <w:lvlJc w:val="left"/>
      <w:pPr>
        <w:ind w:left="1973" w:hanging="361"/>
      </w:pPr>
      <w:rPr>
        <w:rFonts w:hint="default"/>
      </w:rPr>
    </w:lvl>
    <w:lvl w:ilvl="3">
      <w:start w:val="0"/>
      <w:numFmt w:val="bullet"/>
      <w:lvlText w:val="•"/>
      <w:lvlJc w:val="left"/>
      <w:pPr>
        <w:ind w:left="2889" w:hanging="361"/>
      </w:pPr>
      <w:rPr>
        <w:rFonts w:hint="default"/>
      </w:rPr>
    </w:lvl>
    <w:lvl w:ilvl="4">
      <w:start w:val="0"/>
      <w:numFmt w:val="bullet"/>
      <w:lvlText w:val="•"/>
      <w:lvlJc w:val="left"/>
      <w:pPr>
        <w:ind w:left="3806" w:hanging="361"/>
      </w:pPr>
      <w:rPr>
        <w:rFonts w:hint="default"/>
      </w:rPr>
    </w:lvl>
    <w:lvl w:ilvl="5">
      <w:start w:val="0"/>
      <w:numFmt w:val="bullet"/>
      <w:lvlText w:val="•"/>
      <w:lvlJc w:val="left"/>
      <w:pPr>
        <w:ind w:left="4723" w:hanging="361"/>
      </w:pPr>
      <w:rPr>
        <w:rFonts w:hint="default"/>
      </w:rPr>
    </w:lvl>
    <w:lvl w:ilvl="6">
      <w:start w:val="0"/>
      <w:numFmt w:val="bullet"/>
      <w:lvlText w:val="•"/>
      <w:lvlJc w:val="left"/>
      <w:pPr>
        <w:ind w:left="5639" w:hanging="361"/>
      </w:pPr>
      <w:rPr>
        <w:rFonts w:hint="default"/>
      </w:rPr>
    </w:lvl>
    <w:lvl w:ilvl="7">
      <w:start w:val="0"/>
      <w:numFmt w:val="bullet"/>
      <w:lvlText w:val="•"/>
      <w:lvlJc w:val="left"/>
      <w:pPr>
        <w:ind w:left="6556" w:hanging="361"/>
      </w:pPr>
      <w:rPr>
        <w:rFonts w:hint="default"/>
      </w:rPr>
    </w:lvl>
    <w:lvl w:ilvl="8">
      <w:start w:val="0"/>
      <w:numFmt w:val="bullet"/>
      <w:lvlText w:val="•"/>
      <w:lvlJc w:val="left"/>
      <w:pPr>
        <w:ind w:left="7473" w:hanging="361"/>
      </w:pPr>
      <w:rPr>
        <w:rFonts w:hint="default"/>
      </w:rPr>
    </w:lvl>
  </w:abstractNum>
  <w:abstractNum w:abstractNumId="3">
    <w:multiLevelType w:val="hybridMultilevel"/>
    <w:lvl w:ilvl="0">
      <w:start w:val="0"/>
      <w:numFmt w:val="bullet"/>
      <w:lvlText w:val=""/>
      <w:lvlJc w:val="left"/>
      <w:pPr>
        <w:ind w:left="1220" w:hanging="361"/>
      </w:pPr>
      <w:rPr>
        <w:rFonts w:hint="default" w:ascii="Symbol" w:hAnsi="Symbol" w:eastAsia="Symbol" w:cs="Symbol"/>
        <w:w w:val="100"/>
        <w:sz w:val="22"/>
        <w:szCs w:val="22"/>
      </w:rPr>
    </w:lvl>
    <w:lvl w:ilvl="1">
      <w:start w:val="0"/>
      <w:numFmt w:val="bullet"/>
      <w:lvlText w:val="•"/>
      <w:lvlJc w:val="left"/>
      <w:pPr>
        <w:ind w:left="2028" w:hanging="361"/>
      </w:pPr>
      <w:rPr>
        <w:rFonts w:hint="default"/>
      </w:rPr>
    </w:lvl>
    <w:lvl w:ilvl="2">
      <w:start w:val="0"/>
      <w:numFmt w:val="bullet"/>
      <w:lvlText w:val="•"/>
      <w:lvlJc w:val="left"/>
      <w:pPr>
        <w:ind w:left="2837" w:hanging="361"/>
      </w:pPr>
      <w:rPr>
        <w:rFonts w:hint="default"/>
      </w:rPr>
    </w:lvl>
    <w:lvl w:ilvl="3">
      <w:start w:val="0"/>
      <w:numFmt w:val="bullet"/>
      <w:lvlText w:val="•"/>
      <w:lvlJc w:val="left"/>
      <w:pPr>
        <w:ind w:left="3645" w:hanging="361"/>
      </w:pPr>
      <w:rPr>
        <w:rFonts w:hint="default"/>
      </w:rPr>
    </w:lvl>
    <w:lvl w:ilvl="4">
      <w:start w:val="0"/>
      <w:numFmt w:val="bullet"/>
      <w:lvlText w:val="•"/>
      <w:lvlJc w:val="left"/>
      <w:pPr>
        <w:ind w:left="4454" w:hanging="361"/>
      </w:pPr>
      <w:rPr>
        <w:rFonts w:hint="default"/>
      </w:rPr>
    </w:lvl>
    <w:lvl w:ilvl="5">
      <w:start w:val="0"/>
      <w:numFmt w:val="bullet"/>
      <w:lvlText w:val="•"/>
      <w:lvlJc w:val="left"/>
      <w:pPr>
        <w:ind w:left="5263" w:hanging="361"/>
      </w:pPr>
      <w:rPr>
        <w:rFonts w:hint="default"/>
      </w:rPr>
    </w:lvl>
    <w:lvl w:ilvl="6">
      <w:start w:val="0"/>
      <w:numFmt w:val="bullet"/>
      <w:lvlText w:val="•"/>
      <w:lvlJc w:val="left"/>
      <w:pPr>
        <w:ind w:left="6071" w:hanging="361"/>
      </w:pPr>
      <w:rPr>
        <w:rFonts w:hint="default"/>
      </w:rPr>
    </w:lvl>
    <w:lvl w:ilvl="7">
      <w:start w:val="0"/>
      <w:numFmt w:val="bullet"/>
      <w:lvlText w:val="•"/>
      <w:lvlJc w:val="left"/>
      <w:pPr>
        <w:ind w:left="6880" w:hanging="361"/>
      </w:pPr>
      <w:rPr>
        <w:rFonts w:hint="default"/>
      </w:rPr>
    </w:lvl>
    <w:lvl w:ilvl="8">
      <w:start w:val="0"/>
      <w:numFmt w:val="bullet"/>
      <w:lvlText w:val="•"/>
      <w:lvlJc w:val="left"/>
      <w:pPr>
        <w:ind w:left="7689" w:hanging="361"/>
      </w:pPr>
      <w:rPr>
        <w:rFonts w:hint="default"/>
      </w:rPr>
    </w:lvl>
  </w:abstractNum>
  <w:abstractNum w:abstractNumId="2">
    <w:multiLevelType w:val="hybridMultilevel"/>
    <w:lvl w:ilvl="0">
      <w:start w:val="2"/>
      <w:numFmt w:val="decimal"/>
      <w:lvlText w:val="%1."/>
      <w:lvlJc w:val="left"/>
      <w:pPr>
        <w:ind w:left="454" w:hanging="315"/>
        <w:jc w:val="left"/>
      </w:pPr>
      <w:rPr>
        <w:rFonts w:hint="default" w:ascii="Arial" w:hAnsi="Arial" w:eastAsia="Arial" w:cs="Arial"/>
        <w:b/>
        <w:bCs/>
        <w:color w:val="365F91"/>
        <w:spacing w:val="-1"/>
        <w:w w:val="100"/>
        <w:sz w:val="28"/>
        <w:szCs w:val="28"/>
      </w:rPr>
    </w:lvl>
    <w:lvl w:ilvl="1">
      <w:start w:val="1"/>
      <w:numFmt w:val="decimal"/>
      <w:lvlText w:val="%1.%2"/>
      <w:lvlJc w:val="left"/>
      <w:pPr>
        <w:ind w:left="859" w:hanging="720"/>
        <w:jc w:val="left"/>
      </w:pPr>
      <w:rPr>
        <w:rFonts w:hint="default" w:ascii="Arial" w:hAnsi="Arial" w:eastAsia="Arial" w:cs="Arial"/>
        <w:spacing w:val="-1"/>
        <w:w w:val="100"/>
        <w:sz w:val="22"/>
        <w:szCs w:val="22"/>
      </w:rPr>
    </w:lvl>
    <w:lvl w:ilvl="2">
      <w:start w:val="0"/>
      <w:numFmt w:val="bullet"/>
      <w:lvlText w:val=""/>
      <w:lvlJc w:val="left"/>
      <w:pPr>
        <w:ind w:left="1219" w:hanging="361"/>
      </w:pPr>
      <w:rPr>
        <w:rFonts w:hint="default" w:ascii="Symbol" w:hAnsi="Symbol" w:eastAsia="Symbol" w:cs="Symbol"/>
        <w:w w:val="100"/>
        <w:sz w:val="22"/>
        <w:szCs w:val="22"/>
      </w:rPr>
    </w:lvl>
    <w:lvl w:ilvl="3">
      <w:start w:val="0"/>
      <w:numFmt w:val="bullet"/>
      <w:lvlText w:val="•"/>
      <w:lvlJc w:val="left"/>
      <w:pPr>
        <w:ind w:left="1580" w:hanging="361"/>
      </w:pPr>
      <w:rPr>
        <w:rFonts w:hint="default"/>
      </w:rPr>
    </w:lvl>
    <w:lvl w:ilvl="4">
      <w:start w:val="0"/>
      <w:numFmt w:val="bullet"/>
      <w:lvlText w:val="•"/>
      <w:lvlJc w:val="left"/>
      <w:pPr>
        <w:ind w:left="2683" w:hanging="361"/>
      </w:pPr>
      <w:rPr>
        <w:rFonts w:hint="default"/>
      </w:rPr>
    </w:lvl>
    <w:lvl w:ilvl="5">
      <w:start w:val="0"/>
      <w:numFmt w:val="bullet"/>
      <w:lvlText w:val="•"/>
      <w:lvlJc w:val="left"/>
      <w:pPr>
        <w:ind w:left="3787" w:hanging="361"/>
      </w:pPr>
      <w:rPr>
        <w:rFonts w:hint="default"/>
      </w:rPr>
    </w:lvl>
    <w:lvl w:ilvl="6">
      <w:start w:val="0"/>
      <w:numFmt w:val="bullet"/>
      <w:lvlText w:val="•"/>
      <w:lvlJc w:val="left"/>
      <w:pPr>
        <w:ind w:left="4891" w:hanging="361"/>
      </w:pPr>
      <w:rPr>
        <w:rFonts w:hint="default"/>
      </w:rPr>
    </w:lvl>
    <w:lvl w:ilvl="7">
      <w:start w:val="0"/>
      <w:numFmt w:val="bullet"/>
      <w:lvlText w:val="•"/>
      <w:lvlJc w:val="left"/>
      <w:pPr>
        <w:ind w:left="5995" w:hanging="361"/>
      </w:pPr>
      <w:rPr>
        <w:rFonts w:hint="default"/>
      </w:rPr>
    </w:lvl>
    <w:lvl w:ilvl="8">
      <w:start w:val="0"/>
      <w:numFmt w:val="bullet"/>
      <w:lvlText w:val="•"/>
      <w:lvlJc w:val="left"/>
      <w:pPr>
        <w:ind w:left="7098" w:hanging="361"/>
      </w:pPr>
      <w:rPr>
        <w:rFonts w:hint="default"/>
      </w:rPr>
    </w:lvl>
  </w:abstractNum>
  <w:abstractNum w:abstractNumId="1">
    <w:multiLevelType w:val="hybridMultilevel"/>
    <w:lvl w:ilvl="0">
      <w:start w:val="1"/>
      <w:numFmt w:val="decimal"/>
      <w:lvlText w:val="%1"/>
      <w:lvlJc w:val="left"/>
      <w:pPr>
        <w:ind w:left="375" w:hanging="236"/>
        <w:jc w:val="left"/>
      </w:pPr>
      <w:rPr>
        <w:rFonts w:hint="default" w:ascii="Arial" w:hAnsi="Arial" w:eastAsia="Arial" w:cs="Arial"/>
        <w:b/>
        <w:bCs/>
        <w:color w:val="365F91"/>
        <w:w w:val="100"/>
        <w:sz w:val="28"/>
        <w:szCs w:val="28"/>
      </w:rPr>
    </w:lvl>
    <w:lvl w:ilvl="1">
      <w:start w:val="1"/>
      <w:numFmt w:val="decimal"/>
      <w:lvlText w:val="%1.%2"/>
      <w:lvlJc w:val="left"/>
      <w:pPr>
        <w:ind w:left="859" w:hanging="720"/>
        <w:jc w:val="left"/>
      </w:pPr>
      <w:rPr>
        <w:rFonts w:hint="default" w:ascii="Arial" w:hAnsi="Arial" w:eastAsia="Arial" w:cs="Arial"/>
        <w:spacing w:val="-1"/>
        <w:w w:val="100"/>
        <w:sz w:val="22"/>
        <w:szCs w:val="22"/>
      </w:rPr>
    </w:lvl>
    <w:lvl w:ilvl="2">
      <w:start w:val="0"/>
      <w:numFmt w:val="bullet"/>
      <w:lvlText w:val=""/>
      <w:lvlJc w:val="left"/>
      <w:pPr>
        <w:ind w:left="1219" w:hanging="361"/>
      </w:pPr>
      <w:rPr>
        <w:rFonts w:hint="default" w:ascii="Symbol" w:hAnsi="Symbol" w:eastAsia="Symbol" w:cs="Symbol"/>
        <w:w w:val="100"/>
        <w:sz w:val="22"/>
        <w:szCs w:val="22"/>
      </w:rPr>
    </w:lvl>
    <w:lvl w:ilvl="3">
      <w:start w:val="0"/>
      <w:numFmt w:val="bullet"/>
      <w:lvlText w:val="•"/>
      <w:lvlJc w:val="left"/>
      <w:pPr>
        <w:ind w:left="2230" w:hanging="361"/>
      </w:pPr>
      <w:rPr>
        <w:rFonts w:hint="default"/>
      </w:rPr>
    </w:lvl>
    <w:lvl w:ilvl="4">
      <w:start w:val="0"/>
      <w:numFmt w:val="bullet"/>
      <w:lvlText w:val="•"/>
      <w:lvlJc w:val="left"/>
      <w:pPr>
        <w:ind w:left="3241" w:hanging="361"/>
      </w:pPr>
      <w:rPr>
        <w:rFonts w:hint="default"/>
      </w:rPr>
    </w:lvl>
    <w:lvl w:ilvl="5">
      <w:start w:val="0"/>
      <w:numFmt w:val="bullet"/>
      <w:lvlText w:val="•"/>
      <w:lvlJc w:val="left"/>
      <w:pPr>
        <w:ind w:left="4252" w:hanging="361"/>
      </w:pPr>
      <w:rPr>
        <w:rFonts w:hint="default"/>
      </w:rPr>
    </w:lvl>
    <w:lvl w:ilvl="6">
      <w:start w:val="0"/>
      <w:numFmt w:val="bullet"/>
      <w:lvlText w:val="•"/>
      <w:lvlJc w:val="left"/>
      <w:pPr>
        <w:ind w:left="5263" w:hanging="361"/>
      </w:pPr>
      <w:rPr>
        <w:rFonts w:hint="default"/>
      </w:rPr>
    </w:lvl>
    <w:lvl w:ilvl="7">
      <w:start w:val="0"/>
      <w:numFmt w:val="bullet"/>
      <w:lvlText w:val="•"/>
      <w:lvlJc w:val="left"/>
      <w:pPr>
        <w:ind w:left="6274" w:hanging="361"/>
      </w:pPr>
      <w:rPr>
        <w:rFonts w:hint="default"/>
      </w:rPr>
    </w:lvl>
    <w:lvl w:ilvl="8">
      <w:start w:val="0"/>
      <w:numFmt w:val="bullet"/>
      <w:lvlText w:val="•"/>
      <w:lvlJc w:val="left"/>
      <w:pPr>
        <w:ind w:left="7284" w:hanging="361"/>
      </w:pPr>
      <w:rPr>
        <w:rFonts w:hint="default"/>
      </w:rPr>
    </w:lvl>
  </w:abstractNum>
  <w:abstractNum w:abstractNumId="0">
    <w:multiLevelType w:val="hybridMultilevel"/>
    <w:lvl w:ilvl="0">
      <w:start w:val="1"/>
      <w:numFmt w:val="decimal"/>
      <w:lvlText w:val="%1."/>
      <w:lvlJc w:val="left"/>
      <w:pPr>
        <w:ind w:left="479" w:hanging="406"/>
        <w:jc w:val="left"/>
      </w:pPr>
      <w:rPr>
        <w:rFonts w:hint="default"/>
        <w:w w:val="102"/>
      </w:rPr>
    </w:lvl>
    <w:lvl w:ilvl="1">
      <w:start w:val="0"/>
      <w:numFmt w:val="bullet"/>
      <w:lvlText w:val="•"/>
      <w:lvlJc w:val="left"/>
      <w:pPr>
        <w:ind w:left="1336" w:hanging="406"/>
      </w:pPr>
      <w:rPr>
        <w:rFonts w:hint="default"/>
      </w:rPr>
    </w:lvl>
    <w:lvl w:ilvl="2">
      <w:start w:val="0"/>
      <w:numFmt w:val="bullet"/>
      <w:lvlText w:val="•"/>
      <w:lvlJc w:val="left"/>
      <w:pPr>
        <w:ind w:left="2192" w:hanging="406"/>
      </w:pPr>
      <w:rPr>
        <w:rFonts w:hint="default"/>
      </w:rPr>
    </w:lvl>
    <w:lvl w:ilvl="3">
      <w:start w:val="0"/>
      <w:numFmt w:val="bullet"/>
      <w:lvlText w:val="•"/>
      <w:lvlJc w:val="left"/>
      <w:pPr>
        <w:ind w:left="3048" w:hanging="406"/>
      </w:pPr>
      <w:rPr>
        <w:rFonts w:hint="default"/>
      </w:rPr>
    </w:lvl>
    <w:lvl w:ilvl="4">
      <w:start w:val="0"/>
      <w:numFmt w:val="bullet"/>
      <w:lvlText w:val="•"/>
      <w:lvlJc w:val="left"/>
      <w:pPr>
        <w:ind w:left="3904" w:hanging="406"/>
      </w:pPr>
      <w:rPr>
        <w:rFonts w:hint="default"/>
      </w:rPr>
    </w:lvl>
    <w:lvl w:ilvl="5">
      <w:start w:val="0"/>
      <w:numFmt w:val="bullet"/>
      <w:lvlText w:val="•"/>
      <w:lvlJc w:val="left"/>
      <w:pPr>
        <w:ind w:left="4760" w:hanging="406"/>
      </w:pPr>
      <w:rPr>
        <w:rFonts w:hint="default"/>
      </w:rPr>
    </w:lvl>
    <w:lvl w:ilvl="6">
      <w:start w:val="0"/>
      <w:numFmt w:val="bullet"/>
      <w:lvlText w:val="•"/>
      <w:lvlJc w:val="left"/>
      <w:pPr>
        <w:ind w:left="5616" w:hanging="406"/>
      </w:pPr>
      <w:rPr>
        <w:rFonts w:hint="default"/>
      </w:rPr>
    </w:lvl>
    <w:lvl w:ilvl="7">
      <w:start w:val="0"/>
      <w:numFmt w:val="bullet"/>
      <w:lvlText w:val="•"/>
      <w:lvlJc w:val="left"/>
      <w:pPr>
        <w:ind w:left="6472" w:hanging="406"/>
      </w:pPr>
      <w:rPr>
        <w:rFonts w:hint="default"/>
      </w:rPr>
    </w:lvl>
    <w:lvl w:ilvl="8">
      <w:start w:val="0"/>
      <w:numFmt w:val="bullet"/>
      <w:lvlText w:val="•"/>
      <w:lvlJc w:val="left"/>
      <w:pPr>
        <w:ind w:left="7328" w:hanging="406"/>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454" w:hanging="314"/>
      <w:outlineLvl w:val="1"/>
    </w:pPr>
    <w:rPr>
      <w:rFonts w:ascii="Arial" w:hAnsi="Arial" w:eastAsia="Arial" w:cs="Arial"/>
      <w:b/>
      <w:bCs/>
      <w:sz w:val="28"/>
      <w:szCs w:val="28"/>
    </w:rPr>
  </w:style>
  <w:style w:styleId="Heading2" w:type="paragraph">
    <w:name w:val="Heading 2"/>
    <w:basedOn w:val="Normal"/>
    <w:uiPriority w:val="1"/>
    <w:qFormat/>
    <w:pPr>
      <w:spacing w:before="12"/>
      <w:ind w:left="40"/>
      <w:outlineLvl w:val="2"/>
    </w:pPr>
    <w:rPr>
      <w:rFonts w:ascii="Times New Roman" w:hAnsi="Times New Roman" w:eastAsia="Times New Roman" w:cs="Times New Roman"/>
      <w:sz w:val="24"/>
      <w:szCs w:val="24"/>
    </w:rPr>
  </w:style>
  <w:style w:styleId="Heading3" w:type="paragraph">
    <w:name w:val="Heading 3"/>
    <w:basedOn w:val="Normal"/>
    <w:uiPriority w:val="1"/>
    <w:qFormat/>
    <w:pPr>
      <w:ind w:left="140"/>
      <w:outlineLvl w:val="3"/>
    </w:pPr>
    <w:rPr>
      <w:rFonts w:ascii="Arial" w:hAnsi="Arial" w:eastAsia="Arial" w:cs="Arial"/>
      <w:b/>
      <w:bCs/>
      <w:sz w:val="22"/>
      <w:szCs w:val="22"/>
    </w:rPr>
  </w:style>
  <w:style w:styleId="ListParagraph" w:type="paragraph">
    <w:name w:val="List Paragraph"/>
    <w:basedOn w:val="Normal"/>
    <w:uiPriority w:val="1"/>
    <w:qFormat/>
    <w:pPr>
      <w:ind w:left="1220" w:hanging="360"/>
    </w:pPr>
    <w:rPr>
      <w:rFonts w:ascii="Arial" w:hAnsi="Arial" w:eastAsia="Arial" w:cs="Arial"/>
    </w:rPr>
  </w:style>
  <w:style w:styleId="TableParagraph" w:type="paragraph">
    <w:name w:val="Table Paragraph"/>
    <w:basedOn w:val="Normal"/>
    <w:uiPriority w:val="1"/>
    <w:qFormat/>
    <w:pPr>
      <w:spacing w:line="234" w:lineRule="exact"/>
      <w:ind w:left="107"/>
    </w:pPr>
    <w:rPr>
      <w:rFonts w:ascii="Arial" w:hAnsi="Arial" w:eastAsia="Arial" w:cs="Arial"/>
    </w:rPr>
  </w:style>
</w:style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gsu.uts.edu.au/policies/code-conduct.html#conflicts" TargetMode="External"/><Relationship Id="rId39" Type="http://schemas.openxmlformats.org/officeDocument/2006/relationships/hyperlink" Target="https://www.legislation.gov.au/Details/C2014C00002" TargetMode="External"/><Relationship Id="rId21" Type="http://schemas.openxmlformats.org/officeDocument/2006/relationships/footer" Target="footer1.xml"/><Relationship Id="rId34" Type="http://schemas.openxmlformats.org/officeDocument/2006/relationships/hyperlink" Target="https://www.legislation.nsw.gov.au/%23/view/act/1977/48" TargetMode="External"/><Relationship Id="rId42" Type="http://schemas.openxmlformats.org/officeDocument/2006/relationships/hyperlink" Target="https://www.humanrights.gov.au/employers/good-practice-good-business-factsheets/quick-guide-australian-discrimination-laws" TargetMode="External"/><Relationship Id="rId47" Type="http://schemas.openxmlformats.org/officeDocument/2006/relationships/hyperlink" Target="http://www.un.org/en/universal-declaration-human-rights/index.html" TargetMode="External"/><Relationship Id="rId50" Type="http://schemas.openxmlformats.org/officeDocument/2006/relationships/customXml" Target="../customXml/item2.xml"/><Relationship Id="rId7" Type="http://schemas.openxmlformats.org/officeDocument/2006/relationships/hyperlink" Target="mailto:Simone.Lehmann@uts.edu.au" TargetMode="External"/><Relationship Id="rId2" Type="http://schemas.openxmlformats.org/officeDocument/2006/relationships/fontTable" Target="fontTable.xml"/><Relationship Id="rId16" Type="http://schemas.openxmlformats.org/officeDocument/2006/relationships/image" Target="media/image4.png"/><Relationship Id="rId29" Type="http://schemas.openxmlformats.org/officeDocument/2006/relationships/hyperlink" Target="https://www.uts.edu.au/current-students/campus-life/communication-uts/students-association" TargetMode="External"/><Relationship Id="rId11" Type="http://schemas.openxmlformats.org/officeDocument/2006/relationships/hyperlink" Target="mailto:william.paterson@uts.edu.au" TargetMode="External"/><Relationship Id="rId24" Type="http://schemas.openxmlformats.org/officeDocument/2006/relationships/hyperlink" Target="http://www.gsu.uts.edu.au/rules/student/section-16.html" TargetMode="External"/><Relationship Id="rId32" Type="http://schemas.openxmlformats.org/officeDocument/2006/relationships/hyperlink" Target="http://www.gsu.uts.edu.au/policies/code-conduct.html#scope" TargetMode="External"/><Relationship Id="rId37" Type="http://schemas.openxmlformats.org/officeDocument/2006/relationships/hyperlink" Target="https://www.legislation.gov.au/Series/C2004A04426" TargetMode="External"/><Relationship Id="rId40" Type="http://schemas.openxmlformats.org/officeDocument/2006/relationships/hyperlink" Target="https://www.uts.edu.au/current-students/students-with-accessibility-requirements/accessibility-service" TargetMode="External"/><Relationship Id="rId45" Type="http://schemas.openxmlformats.org/officeDocument/2006/relationships/hyperlink" Target="https://www.fairwork.gov.au/employee-entitlements/bullying-and-harassment" TargetMode="External"/><Relationship Id="rId5" Type="http://schemas.openxmlformats.org/officeDocument/2006/relationships/hyperlink" Target="mailto:William.Paterson@uts.edu.au" TargetMode="External"/><Relationship Id="rId15" Type="http://schemas.openxmlformats.org/officeDocument/2006/relationships/image" Target="media/image3.png"/><Relationship Id="rId23" Type="http://schemas.openxmlformats.org/officeDocument/2006/relationships/hyperlink" Target="http://www.gsu.uts.edu.au/policies/code-conduct.html" TargetMode="External"/><Relationship Id="rId28" Type="http://schemas.openxmlformats.org/officeDocument/2006/relationships/hyperlink" Target="https://www.uts.edu.au/current-students/support" TargetMode="External"/><Relationship Id="rId36" Type="http://schemas.openxmlformats.org/officeDocument/2006/relationships/hyperlink" Target="https://www.legislation.gov.au/Details/C2017C00143" TargetMode="External"/><Relationship Id="rId49" Type="http://schemas.openxmlformats.org/officeDocument/2006/relationships/customXml" Target="../customXml/item1.xml"/><Relationship Id="rId10" Type="http://schemas.openxmlformats.org/officeDocument/2006/relationships/hyperlink" Target="https://www.uts.edu.au/sites/default/files/article/downloads/academic-staff-agreement-2014.pdf" TargetMode="External"/><Relationship Id="rId19" Type="http://schemas.openxmlformats.org/officeDocument/2006/relationships/image" Target="media/image7.png"/><Relationship Id="rId31" Type="http://schemas.openxmlformats.org/officeDocument/2006/relationships/hyperlink" Target="https://www.uts.edu.au/about/safety-and-wellbeing/preventing-injury-and-illness/hazards/psychosocial-hazards" TargetMode="External"/><Relationship Id="rId44" Type="http://schemas.openxmlformats.org/officeDocument/2006/relationships/hyperlink" Target="http://www.ohchr.org/EN/ProfessionalInterest/Pages/CCPR.aspx" TargetMode="External"/><Relationship Id="rId4" Type="http://schemas.openxmlformats.org/officeDocument/2006/relationships/settings" Target="settings.xml"/><Relationship Id="rId9" Type="http://schemas.openxmlformats.org/officeDocument/2006/relationships/hyperlink" Target="https://www.uts.edu.au/sites/default/files/article/downloads/prof-staff-agreement-2014_0.pdf" TargetMode="External"/><Relationship Id="rId14" Type="http://schemas.openxmlformats.org/officeDocument/2006/relationships/image" Target="media/image2.png"/><Relationship Id="rId22" Type="http://schemas.openxmlformats.org/officeDocument/2006/relationships/hyperlink" Target="https://www.uts.edu.au/about/university/uts-strategic-direction" TargetMode="External"/><Relationship Id="rId27" Type="http://schemas.openxmlformats.org/officeDocument/2006/relationships/hyperlink" Target="https://www.uts.edu.au/about/equity-and-diversity/welcome" TargetMode="External"/><Relationship Id="rId30" Type="http://schemas.openxmlformats.org/officeDocument/2006/relationships/hyperlink" Target="https://www.uts.edu.au/staff/working-uts/our-staff-benefits" TargetMode="External"/><Relationship Id="rId35" Type="http://schemas.openxmlformats.org/officeDocument/2006/relationships/hyperlink" Target="https://www.legislation.gov.au/Series/C2004A01302" TargetMode="External"/><Relationship Id="rId43" Type="http://schemas.openxmlformats.org/officeDocument/2006/relationships/hyperlink" Target="http://www.ohchr.org/EN/ProfessionalInterest/Pages/Minorities.aspx" TargetMode="External"/><Relationship Id="rId48" Type="http://schemas.openxmlformats.org/officeDocument/2006/relationships/numbering" Target="numbering.xml"/><Relationship Id="rId8" Type="http://schemas.openxmlformats.org/officeDocument/2006/relationships/hyperlink" Target="http://www.gsu.uts.edu.au/policies/expressionpracticepolicy.html" TargetMode="External"/><Relationship Id="rId51" Type="http://schemas.openxmlformats.org/officeDocument/2006/relationships/customXml" Target="../customXml/item3.xml"/><Relationship Id="rId3" Type="http://schemas.openxmlformats.org/officeDocument/2006/relationships/theme" Target="theme/theme1.xml"/><Relationship Id="rId12" Type="http://schemas.openxmlformats.org/officeDocument/2006/relationships/hyperlink" Target="http://uts.edu.au/" TargetMode="External"/><Relationship Id="rId17" Type="http://schemas.openxmlformats.org/officeDocument/2006/relationships/image" Target="media/image5.png"/><Relationship Id="rId25" Type="http://schemas.openxmlformats.org/officeDocument/2006/relationships/hyperlink" Target="https://www.uts.edu.au/current-students/support/when-things-go-wrong/sexual-assault-indecent-assault-sexual-harassment" TargetMode="External"/><Relationship Id="rId33" Type="http://schemas.openxmlformats.org/officeDocument/2006/relationships/hyperlink" Target="http://www.gsu.uts.edu.au/rules/student/schedule-1.html" TargetMode="External"/><Relationship Id="rId38" Type="http://schemas.openxmlformats.org/officeDocument/2006/relationships/hyperlink" Target="https://www.legislation.gov.au/Details/C2014C00014" TargetMode="External"/><Relationship Id="rId46" Type="http://schemas.openxmlformats.org/officeDocument/2006/relationships/hyperlink" Target="https://bullyingnoway.gov.au/" TargetMode="External"/><Relationship Id="rId20" Type="http://schemas.openxmlformats.org/officeDocument/2006/relationships/header" Target="header1.xml"/><Relationship Id="rId41" Type="http://schemas.openxmlformats.org/officeDocument/2006/relationships/hyperlink" Target="https://www.uts.edu.au/research-and-teaching/our-research/jumbunna-institute-indigenous-education-and-research" TargetMode="External"/><Relationship Id="rId1" Type="http://schemas.openxmlformats.org/officeDocument/2006/relationships/styles" Target="styles.xml"/><Relationship Id="rId6" Type="http://schemas.openxmlformats.org/officeDocument/2006/relationships/hyperlink" Target="mailto:freedomofspeechreview@educ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E709B-30B5-49A7-8298-9B2F73F37C22}"/>
</file>

<file path=customXml/itemProps2.xml><?xml version="1.0" encoding="utf-8"?>
<ds:datastoreItem xmlns:ds="http://schemas.openxmlformats.org/officeDocument/2006/customXml" ds:itemID="{24899600-D852-43A7-8A58-185B26FC6264}"/>
</file>

<file path=customXml/itemProps3.xml><?xml version="1.0" encoding="utf-8"?>
<ds:datastoreItem xmlns:ds="http://schemas.openxmlformats.org/officeDocument/2006/customXml" ds:itemID="{2B3DE383-0664-4B69-88C5-EF7B1B315F3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2019-03-14T05:26:21Z</dcterms:created>
  <dcterms:modified xsi:type="dcterms:W3CDTF">2019-03-14T05:26:21Z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Adobe Acrobat Pro DC 19.10.20064</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