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981DD" w14:textId="77777777" w:rsidR="00AE132A" w:rsidRPr="004317E2" w:rsidRDefault="00AE132A" w:rsidP="0084498C">
      <w:pPr>
        <w:pStyle w:val="CoverTitle"/>
      </w:pPr>
      <w:bookmarkStart w:id="0" w:name="_GoBack"/>
      <w:bookmarkEnd w:id="0"/>
      <w:r w:rsidRPr="004317E2">
        <w:t xml:space="preserve">CSIRO Submission </w:t>
      </w:r>
      <w:r w:rsidR="00AC5FD3">
        <w:t>14</w:t>
      </w:r>
      <w:r w:rsidRPr="004317E2">
        <w:t>/</w:t>
      </w:r>
      <w:r w:rsidR="00394849">
        <w:t>520</w:t>
      </w:r>
    </w:p>
    <w:p w14:paraId="40C981DE" w14:textId="77777777" w:rsidR="0084498C" w:rsidRDefault="00AC5FD3" w:rsidP="0084498C">
      <w:pPr>
        <w:pStyle w:val="CoverSubtitle"/>
      </w:pPr>
      <w:r>
        <w:t>Boosting the commercial returns from research</w:t>
      </w:r>
    </w:p>
    <w:p w14:paraId="40C981DF" w14:textId="77777777" w:rsidR="008D6AEB" w:rsidRDefault="008D6AEB" w:rsidP="0084498C">
      <w:pPr>
        <w:pStyle w:val="CoverSubtitle"/>
      </w:pPr>
    </w:p>
    <w:p w14:paraId="40C981E0" w14:textId="77777777" w:rsidR="0084498C" w:rsidRPr="0084498C" w:rsidRDefault="0084498C" w:rsidP="0084498C"/>
    <w:p w14:paraId="40C981E1" w14:textId="77777777" w:rsidR="00AE132A" w:rsidRPr="0084498C" w:rsidRDefault="00AC5FD3" w:rsidP="0084498C">
      <w:pPr>
        <w:pStyle w:val="CoverDate"/>
      </w:pPr>
      <w:r>
        <w:t>December</w:t>
      </w:r>
      <w:r w:rsidR="00AE132A" w:rsidRPr="0084498C">
        <w:t xml:space="preserve"> 201</w:t>
      </w:r>
      <w:r>
        <w:t>4</w:t>
      </w:r>
    </w:p>
    <w:p w14:paraId="40C981E2" w14:textId="77777777" w:rsidR="004E55B4" w:rsidRDefault="004E55B4" w:rsidP="004317E2"/>
    <w:p w14:paraId="40C981E3" w14:textId="77777777" w:rsidR="00F47FE3" w:rsidRDefault="00F47FE3" w:rsidP="004317E2"/>
    <w:p w14:paraId="40C981E4" w14:textId="77777777" w:rsidR="00892467" w:rsidRDefault="00892467" w:rsidP="004317E2"/>
    <w:p w14:paraId="40C981E5" w14:textId="77777777" w:rsidR="00892467" w:rsidRDefault="00892467" w:rsidP="004317E2"/>
    <w:p w14:paraId="40C981E6" w14:textId="77777777" w:rsidR="00892467" w:rsidRDefault="00892467" w:rsidP="004317E2"/>
    <w:p w14:paraId="40C981E7" w14:textId="77777777" w:rsidR="00892467" w:rsidRDefault="00892467" w:rsidP="004317E2"/>
    <w:p w14:paraId="40C981E8" w14:textId="77777777" w:rsidR="00892467" w:rsidRDefault="00892467" w:rsidP="004317E2"/>
    <w:p w14:paraId="40C981E9" w14:textId="77777777" w:rsidR="00892467" w:rsidRDefault="00892467" w:rsidP="004317E2"/>
    <w:p w14:paraId="40C981EA" w14:textId="77777777" w:rsidR="00892467" w:rsidRDefault="00892467" w:rsidP="004317E2"/>
    <w:p w14:paraId="40C981EB" w14:textId="77777777" w:rsidR="00892467" w:rsidRDefault="00892467" w:rsidP="004317E2"/>
    <w:p w14:paraId="40C981EC" w14:textId="77777777" w:rsidR="00892467" w:rsidRDefault="00892467" w:rsidP="004317E2"/>
    <w:p w14:paraId="40C981ED" w14:textId="77777777" w:rsidR="00892467" w:rsidRPr="004317E2" w:rsidRDefault="00892467" w:rsidP="004317E2"/>
    <w:p w14:paraId="40C981FF" w14:textId="77777777" w:rsidR="004E55B4" w:rsidRPr="004317E2" w:rsidRDefault="004E55B4" w:rsidP="004317E2"/>
    <w:p w14:paraId="40C98200" w14:textId="77777777" w:rsidR="004E55B4" w:rsidRPr="004317E2" w:rsidRDefault="004E55B4" w:rsidP="004317E2"/>
    <w:p w14:paraId="40C98201" w14:textId="77777777" w:rsidR="004E55B4" w:rsidRPr="004317E2" w:rsidRDefault="004E55B4" w:rsidP="004317E2"/>
    <w:p w14:paraId="40C98202" w14:textId="77777777" w:rsidR="008C202A" w:rsidRDefault="004E55B4" w:rsidP="00CC6610">
      <w:pPr>
        <w:pStyle w:val="Pre-Heading1"/>
      </w:pPr>
      <w:r w:rsidRPr="004317E2">
        <w:br w:type="page"/>
      </w:r>
    </w:p>
    <w:p w14:paraId="40C98203" w14:textId="77777777" w:rsidR="00346146" w:rsidRDefault="00346146" w:rsidP="00346146">
      <w:pPr>
        <w:pStyle w:val="Pre-Heading1"/>
      </w:pPr>
      <w:bookmarkStart w:id="1" w:name="_Toc405494764"/>
      <w:r>
        <w:lastRenderedPageBreak/>
        <w:t>Table of Contents</w:t>
      </w:r>
      <w:bookmarkEnd w:id="1"/>
    </w:p>
    <w:p w14:paraId="40C98204" w14:textId="77777777" w:rsidR="000E5652" w:rsidRDefault="000E5652" w:rsidP="00346146">
      <w:pPr>
        <w:pStyle w:val="Pre-Heading1"/>
      </w:pPr>
    </w:p>
    <w:p w14:paraId="40C98205" w14:textId="77777777" w:rsidR="00BF4742" w:rsidRDefault="00342311">
      <w:pPr>
        <w:pStyle w:val="TOC1"/>
        <w:tabs>
          <w:tab w:val="right" w:leader="dot" w:pos="9628"/>
        </w:tabs>
        <w:spacing w:line="360" w:lineRule="auto"/>
        <w:rPr>
          <w:noProof/>
        </w:rPr>
      </w:pPr>
      <w:r>
        <w:fldChar w:fldCharType="begin"/>
      </w:r>
      <w:r w:rsidR="00346146">
        <w:instrText xml:space="preserve"> TOC \o "1-1" \h \z \t "Heading 2,2" </w:instrText>
      </w:r>
      <w:r>
        <w:fldChar w:fldCharType="separate"/>
      </w:r>
      <w:hyperlink w:anchor="_Toc405494764" w:history="1">
        <w:r w:rsidR="00241CC3" w:rsidRPr="00DB0CE4">
          <w:rPr>
            <w:rStyle w:val="Hyperlink"/>
            <w:noProof/>
          </w:rPr>
          <w:t>Table of Contents</w:t>
        </w:r>
        <w:r w:rsidR="00241CC3">
          <w:rPr>
            <w:noProof/>
            <w:webHidden/>
          </w:rPr>
          <w:tab/>
        </w:r>
        <w:r>
          <w:rPr>
            <w:noProof/>
            <w:webHidden/>
          </w:rPr>
          <w:fldChar w:fldCharType="begin"/>
        </w:r>
        <w:r w:rsidR="00241CC3">
          <w:rPr>
            <w:noProof/>
            <w:webHidden/>
          </w:rPr>
          <w:instrText xml:space="preserve"> PAGEREF _Toc405494764 \h </w:instrText>
        </w:r>
        <w:r>
          <w:rPr>
            <w:noProof/>
            <w:webHidden/>
          </w:rPr>
        </w:r>
        <w:r>
          <w:rPr>
            <w:noProof/>
            <w:webHidden/>
          </w:rPr>
          <w:fldChar w:fldCharType="separate"/>
        </w:r>
        <w:r w:rsidR="000E7578">
          <w:rPr>
            <w:noProof/>
            <w:webHidden/>
          </w:rPr>
          <w:t>2</w:t>
        </w:r>
        <w:r>
          <w:rPr>
            <w:noProof/>
            <w:webHidden/>
          </w:rPr>
          <w:fldChar w:fldCharType="end"/>
        </w:r>
      </w:hyperlink>
    </w:p>
    <w:p w14:paraId="40C98206" w14:textId="77777777" w:rsidR="00BF4742" w:rsidRDefault="000E7578">
      <w:pPr>
        <w:pStyle w:val="TOC1"/>
        <w:tabs>
          <w:tab w:val="right" w:leader="dot" w:pos="9628"/>
        </w:tabs>
        <w:spacing w:line="360" w:lineRule="auto"/>
        <w:rPr>
          <w:noProof/>
        </w:rPr>
      </w:pPr>
      <w:hyperlink w:anchor="_Toc405494765" w:history="1">
        <w:r w:rsidR="00241CC3" w:rsidRPr="00DB0CE4">
          <w:rPr>
            <w:rStyle w:val="Hyperlink"/>
            <w:rFonts w:eastAsiaTheme="majorEastAsia"/>
            <w:noProof/>
          </w:rPr>
          <w:t>Introduction</w:t>
        </w:r>
        <w:r w:rsidR="00241CC3">
          <w:rPr>
            <w:noProof/>
            <w:webHidden/>
          </w:rPr>
          <w:tab/>
        </w:r>
        <w:r w:rsidR="00342311">
          <w:rPr>
            <w:noProof/>
            <w:webHidden/>
          </w:rPr>
          <w:fldChar w:fldCharType="begin"/>
        </w:r>
        <w:r w:rsidR="00241CC3">
          <w:rPr>
            <w:noProof/>
            <w:webHidden/>
          </w:rPr>
          <w:instrText xml:space="preserve"> PAGEREF _Toc405494765 \h </w:instrText>
        </w:r>
        <w:r w:rsidR="00342311">
          <w:rPr>
            <w:noProof/>
            <w:webHidden/>
          </w:rPr>
        </w:r>
        <w:r w:rsidR="00342311">
          <w:rPr>
            <w:noProof/>
            <w:webHidden/>
          </w:rPr>
          <w:fldChar w:fldCharType="separate"/>
        </w:r>
        <w:r>
          <w:rPr>
            <w:noProof/>
            <w:webHidden/>
          </w:rPr>
          <w:t>3</w:t>
        </w:r>
        <w:r w:rsidR="00342311">
          <w:rPr>
            <w:noProof/>
            <w:webHidden/>
          </w:rPr>
          <w:fldChar w:fldCharType="end"/>
        </w:r>
      </w:hyperlink>
    </w:p>
    <w:p w14:paraId="40C98207" w14:textId="77777777" w:rsidR="00BF4742" w:rsidRDefault="000E7578">
      <w:pPr>
        <w:pStyle w:val="TOC1"/>
        <w:tabs>
          <w:tab w:val="right" w:leader="dot" w:pos="9628"/>
        </w:tabs>
        <w:spacing w:line="360" w:lineRule="auto"/>
        <w:rPr>
          <w:noProof/>
        </w:rPr>
      </w:pPr>
      <w:hyperlink w:anchor="_Toc405494766" w:history="1">
        <w:r w:rsidR="00241CC3" w:rsidRPr="00DB0CE4">
          <w:rPr>
            <w:rStyle w:val="Hyperlink"/>
            <w:rFonts w:eastAsiaTheme="majorEastAsia"/>
            <w:noProof/>
          </w:rPr>
          <w:t>CSIRO’s response to the opportunities outlined in the paper</w:t>
        </w:r>
        <w:r w:rsidR="00241CC3">
          <w:rPr>
            <w:noProof/>
            <w:webHidden/>
          </w:rPr>
          <w:tab/>
        </w:r>
        <w:r w:rsidR="00342311">
          <w:rPr>
            <w:noProof/>
            <w:webHidden/>
          </w:rPr>
          <w:fldChar w:fldCharType="begin"/>
        </w:r>
        <w:r w:rsidR="00241CC3">
          <w:rPr>
            <w:noProof/>
            <w:webHidden/>
          </w:rPr>
          <w:instrText xml:space="preserve"> PAGEREF _Toc405494766 \h </w:instrText>
        </w:r>
        <w:r w:rsidR="00342311">
          <w:rPr>
            <w:noProof/>
            <w:webHidden/>
          </w:rPr>
        </w:r>
        <w:r w:rsidR="00342311">
          <w:rPr>
            <w:noProof/>
            <w:webHidden/>
          </w:rPr>
          <w:fldChar w:fldCharType="separate"/>
        </w:r>
        <w:r>
          <w:rPr>
            <w:noProof/>
            <w:webHidden/>
          </w:rPr>
          <w:t>6</w:t>
        </w:r>
        <w:r w:rsidR="00342311">
          <w:rPr>
            <w:noProof/>
            <w:webHidden/>
          </w:rPr>
          <w:fldChar w:fldCharType="end"/>
        </w:r>
      </w:hyperlink>
    </w:p>
    <w:p w14:paraId="40C98208" w14:textId="77777777" w:rsidR="00BF4742" w:rsidRDefault="000E7578">
      <w:pPr>
        <w:pStyle w:val="TOC2"/>
        <w:tabs>
          <w:tab w:val="right" w:leader="dot" w:pos="9628"/>
        </w:tabs>
        <w:spacing w:line="360" w:lineRule="auto"/>
        <w:rPr>
          <w:noProof/>
        </w:rPr>
      </w:pPr>
      <w:hyperlink w:anchor="_Toc405494767" w:history="1">
        <w:r w:rsidR="00241CC3" w:rsidRPr="00DB0CE4">
          <w:rPr>
            <w:rStyle w:val="Hyperlink"/>
            <w:rFonts w:eastAsiaTheme="majorEastAsia"/>
            <w:noProof/>
            <w:lang w:eastAsia="en-US"/>
          </w:rPr>
          <w:t>‘Opportunity to assure Australia’s research focus’</w:t>
        </w:r>
        <w:r w:rsidR="00241CC3">
          <w:rPr>
            <w:noProof/>
            <w:webHidden/>
          </w:rPr>
          <w:tab/>
        </w:r>
        <w:r w:rsidR="00342311">
          <w:rPr>
            <w:noProof/>
            <w:webHidden/>
          </w:rPr>
          <w:fldChar w:fldCharType="begin"/>
        </w:r>
        <w:r w:rsidR="00241CC3">
          <w:rPr>
            <w:noProof/>
            <w:webHidden/>
          </w:rPr>
          <w:instrText xml:space="preserve"> PAGEREF _Toc405494767 \h </w:instrText>
        </w:r>
        <w:r w:rsidR="00342311">
          <w:rPr>
            <w:noProof/>
            <w:webHidden/>
          </w:rPr>
        </w:r>
        <w:r w:rsidR="00342311">
          <w:rPr>
            <w:noProof/>
            <w:webHidden/>
          </w:rPr>
          <w:fldChar w:fldCharType="separate"/>
        </w:r>
        <w:r>
          <w:rPr>
            <w:noProof/>
            <w:webHidden/>
          </w:rPr>
          <w:t>6</w:t>
        </w:r>
        <w:r w:rsidR="00342311">
          <w:rPr>
            <w:noProof/>
            <w:webHidden/>
          </w:rPr>
          <w:fldChar w:fldCharType="end"/>
        </w:r>
      </w:hyperlink>
    </w:p>
    <w:p w14:paraId="40C98209" w14:textId="77777777" w:rsidR="00BF4742" w:rsidRDefault="000E7578">
      <w:pPr>
        <w:pStyle w:val="TOC2"/>
        <w:tabs>
          <w:tab w:val="right" w:leader="dot" w:pos="9628"/>
        </w:tabs>
        <w:spacing w:line="360" w:lineRule="auto"/>
        <w:rPr>
          <w:noProof/>
        </w:rPr>
      </w:pPr>
      <w:hyperlink w:anchor="_Toc405494768" w:history="1">
        <w:r w:rsidR="00241CC3" w:rsidRPr="00DB0CE4">
          <w:rPr>
            <w:rStyle w:val="Hyperlink"/>
            <w:rFonts w:eastAsiaTheme="majorEastAsia"/>
            <w:noProof/>
            <w:lang w:eastAsia="en-US"/>
          </w:rPr>
          <w:t>‘Opportunities to support collaboration’</w:t>
        </w:r>
        <w:r w:rsidR="00241CC3">
          <w:rPr>
            <w:noProof/>
            <w:webHidden/>
          </w:rPr>
          <w:tab/>
        </w:r>
        <w:r w:rsidR="00342311">
          <w:rPr>
            <w:noProof/>
            <w:webHidden/>
          </w:rPr>
          <w:fldChar w:fldCharType="begin"/>
        </w:r>
        <w:r w:rsidR="00241CC3">
          <w:rPr>
            <w:noProof/>
            <w:webHidden/>
          </w:rPr>
          <w:instrText xml:space="preserve"> PAGEREF _Toc405494768 \h </w:instrText>
        </w:r>
        <w:r w:rsidR="00342311">
          <w:rPr>
            <w:noProof/>
            <w:webHidden/>
          </w:rPr>
        </w:r>
        <w:r w:rsidR="00342311">
          <w:rPr>
            <w:noProof/>
            <w:webHidden/>
          </w:rPr>
          <w:fldChar w:fldCharType="separate"/>
        </w:r>
        <w:r>
          <w:rPr>
            <w:noProof/>
            <w:webHidden/>
          </w:rPr>
          <w:t>10</w:t>
        </w:r>
        <w:r w:rsidR="00342311">
          <w:rPr>
            <w:noProof/>
            <w:webHidden/>
          </w:rPr>
          <w:fldChar w:fldCharType="end"/>
        </w:r>
      </w:hyperlink>
    </w:p>
    <w:p w14:paraId="40C9820A" w14:textId="77777777" w:rsidR="00BF4742" w:rsidRDefault="000E7578">
      <w:pPr>
        <w:pStyle w:val="TOC2"/>
        <w:tabs>
          <w:tab w:val="right" w:leader="dot" w:pos="9628"/>
        </w:tabs>
        <w:spacing w:line="360" w:lineRule="auto"/>
        <w:rPr>
          <w:noProof/>
        </w:rPr>
      </w:pPr>
      <w:hyperlink w:anchor="_Toc405494769" w:history="1">
        <w:r w:rsidR="00241CC3" w:rsidRPr="00DB0CE4">
          <w:rPr>
            <w:rStyle w:val="Hyperlink"/>
            <w:rFonts w:eastAsiaTheme="majorEastAsia"/>
            <w:noProof/>
            <w:lang w:eastAsia="en-US"/>
          </w:rPr>
          <w:t>‘Opportunities to reshape research grant incentives’</w:t>
        </w:r>
        <w:r w:rsidR="00241CC3">
          <w:rPr>
            <w:noProof/>
            <w:webHidden/>
          </w:rPr>
          <w:tab/>
        </w:r>
        <w:r w:rsidR="00342311">
          <w:rPr>
            <w:noProof/>
            <w:webHidden/>
          </w:rPr>
          <w:fldChar w:fldCharType="begin"/>
        </w:r>
        <w:r w:rsidR="00241CC3">
          <w:rPr>
            <w:noProof/>
            <w:webHidden/>
          </w:rPr>
          <w:instrText xml:space="preserve"> PAGEREF _Toc405494769 \h </w:instrText>
        </w:r>
        <w:r w:rsidR="00342311">
          <w:rPr>
            <w:noProof/>
            <w:webHidden/>
          </w:rPr>
        </w:r>
        <w:r w:rsidR="00342311">
          <w:rPr>
            <w:noProof/>
            <w:webHidden/>
          </w:rPr>
          <w:fldChar w:fldCharType="separate"/>
        </w:r>
        <w:r>
          <w:rPr>
            <w:noProof/>
            <w:webHidden/>
          </w:rPr>
          <w:t>12</w:t>
        </w:r>
        <w:r w:rsidR="00342311">
          <w:rPr>
            <w:noProof/>
            <w:webHidden/>
          </w:rPr>
          <w:fldChar w:fldCharType="end"/>
        </w:r>
      </w:hyperlink>
    </w:p>
    <w:p w14:paraId="40C9820B" w14:textId="77777777" w:rsidR="00BF4742" w:rsidRDefault="000E7578">
      <w:pPr>
        <w:pStyle w:val="TOC2"/>
        <w:tabs>
          <w:tab w:val="right" w:leader="dot" w:pos="9628"/>
        </w:tabs>
        <w:spacing w:line="360" w:lineRule="auto"/>
        <w:rPr>
          <w:noProof/>
        </w:rPr>
      </w:pPr>
      <w:hyperlink w:anchor="_Toc405494770" w:history="1">
        <w:r w:rsidR="00241CC3" w:rsidRPr="00DB0CE4">
          <w:rPr>
            <w:rStyle w:val="Hyperlink"/>
            <w:rFonts w:eastAsiaTheme="majorEastAsia"/>
            <w:noProof/>
            <w:lang w:eastAsia="en-US"/>
          </w:rPr>
          <w:t>‘Opportunity to ensure graduate industry skills’</w:t>
        </w:r>
        <w:r w:rsidR="00241CC3">
          <w:rPr>
            <w:noProof/>
            <w:webHidden/>
          </w:rPr>
          <w:tab/>
        </w:r>
        <w:r w:rsidR="00342311">
          <w:rPr>
            <w:noProof/>
            <w:webHidden/>
          </w:rPr>
          <w:fldChar w:fldCharType="begin"/>
        </w:r>
        <w:r w:rsidR="00241CC3">
          <w:rPr>
            <w:noProof/>
            <w:webHidden/>
          </w:rPr>
          <w:instrText xml:space="preserve"> PAGEREF _Toc405494770 \h </w:instrText>
        </w:r>
        <w:r w:rsidR="00342311">
          <w:rPr>
            <w:noProof/>
            <w:webHidden/>
          </w:rPr>
        </w:r>
        <w:r w:rsidR="00342311">
          <w:rPr>
            <w:noProof/>
            <w:webHidden/>
          </w:rPr>
          <w:fldChar w:fldCharType="separate"/>
        </w:r>
        <w:r>
          <w:rPr>
            <w:noProof/>
            <w:webHidden/>
          </w:rPr>
          <w:t>14</w:t>
        </w:r>
        <w:r w:rsidR="00342311">
          <w:rPr>
            <w:noProof/>
            <w:webHidden/>
          </w:rPr>
          <w:fldChar w:fldCharType="end"/>
        </w:r>
      </w:hyperlink>
    </w:p>
    <w:p w14:paraId="40C9820C" w14:textId="77777777" w:rsidR="00BF4742" w:rsidRDefault="000E7578">
      <w:pPr>
        <w:pStyle w:val="TOC2"/>
        <w:tabs>
          <w:tab w:val="right" w:leader="dot" w:pos="9628"/>
        </w:tabs>
        <w:spacing w:line="360" w:lineRule="auto"/>
        <w:rPr>
          <w:noProof/>
        </w:rPr>
      </w:pPr>
      <w:hyperlink w:anchor="_Toc405494771" w:history="1">
        <w:r w:rsidR="00241CC3" w:rsidRPr="00DB0CE4">
          <w:rPr>
            <w:rStyle w:val="Hyperlink"/>
            <w:rFonts w:eastAsiaTheme="majorEastAsia"/>
            <w:noProof/>
            <w:lang w:eastAsia="en-US"/>
          </w:rPr>
          <w:t>‘Opportunities to encourage innovation by Australian businesses’</w:t>
        </w:r>
        <w:r w:rsidR="00241CC3">
          <w:rPr>
            <w:noProof/>
            <w:webHidden/>
          </w:rPr>
          <w:tab/>
        </w:r>
        <w:r w:rsidR="00342311">
          <w:rPr>
            <w:noProof/>
            <w:webHidden/>
          </w:rPr>
          <w:fldChar w:fldCharType="begin"/>
        </w:r>
        <w:r w:rsidR="00241CC3">
          <w:rPr>
            <w:noProof/>
            <w:webHidden/>
          </w:rPr>
          <w:instrText xml:space="preserve"> PAGEREF _Toc405494771 \h </w:instrText>
        </w:r>
        <w:r w:rsidR="00342311">
          <w:rPr>
            <w:noProof/>
            <w:webHidden/>
          </w:rPr>
        </w:r>
        <w:r w:rsidR="00342311">
          <w:rPr>
            <w:noProof/>
            <w:webHidden/>
          </w:rPr>
          <w:fldChar w:fldCharType="separate"/>
        </w:r>
        <w:r>
          <w:rPr>
            <w:noProof/>
            <w:webHidden/>
          </w:rPr>
          <w:t>14</w:t>
        </w:r>
        <w:r w:rsidR="00342311">
          <w:rPr>
            <w:noProof/>
            <w:webHidden/>
          </w:rPr>
          <w:fldChar w:fldCharType="end"/>
        </w:r>
      </w:hyperlink>
    </w:p>
    <w:p w14:paraId="40C9820D" w14:textId="77777777" w:rsidR="00BF4742" w:rsidRDefault="000E7578">
      <w:pPr>
        <w:pStyle w:val="TOC2"/>
        <w:tabs>
          <w:tab w:val="right" w:leader="dot" w:pos="9628"/>
        </w:tabs>
        <w:spacing w:line="360" w:lineRule="auto"/>
        <w:rPr>
          <w:noProof/>
        </w:rPr>
      </w:pPr>
      <w:hyperlink w:anchor="_Toc405494772" w:history="1">
        <w:r w:rsidR="00241CC3" w:rsidRPr="00DB0CE4">
          <w:rPr>
            <w:rStyle w:val="Hyperlink"/>
            <w:rFonts w:eastAsiaTheme="majorEastAsia"/>
            <w:noProof/>
            <w:lang w:eastAsia="en-US"/>
          </w:rPr>
          <w:t>‘Opportunity to encourage entrepreneurial culture’</w:t>
        </w:r>
        <w:r w:rsidR="00241CC3">
          <w:rPr>
            <w:noProof/>
            <w:webHidden/>
          </w:rPr>
          <w:tab/>
        </w:r>
        <w:r w:rsidR="00342311">
          <w:rPr>
            <w:noProof/>
            <w:webHidden/>
          </w:rPr>
          <w:fldChar w:fldCharType="begin"/>
        </w:r>
        <w:r w:rsidR="00241CC3">
          <w:rPr>
            <w:noProof/>
            <w:webHidden/>
          </w:rPr>
          <w:instrText xml:space="preserve"> PAGEREF _Toc405494772 \h </w:instrText>
        </w:r>
        <w:r w:rsidR="00342311">
          <w:rPr>
            <w:noProof/>
            <w:webHidden/>
          </w:rPr>
        </w:r>
        <w:r w:rsidR="00342311">
          <w:rPr>
            <w:noProof/>
            <w:webHidden/>
          </w:rPr>
          <w:fldChar w:fldCharType="separate"/>
        </w:r>
        <w:r>
          <w:rPr>
            <w:noProof/>
            <w:webHidden/>
          </w:rPr>
          <w:t>15</w:t>
        </w:r>
        <w:r w:rsidR="00342311">
          <w:rPr>
            <w:noProof/>
            <w:webHidden/>
          </w:rPr>
          <w:fldChar w:fldCharType="end"/>
        </w:r>
      </w:hyperlink>
    </w:p>
    <w:p w14:paraId="40C9820E" w14:textId="77777777" w:rsidR="00BF4742" w:rsidRDefault="000E7578">
      <w:pPr>
        <w:pStyle w:val="TOC2"/>
        <w:tabs>
          <w:tab w:val="right" w:leader="dot" w:pos="9628"/>
        </w:tabs>
        <w:spacing w:line="360" w:lineRule="auto"/>
        <w:rPr>
          <w:noProof/>
        </w:rPr>
      </w:pPr>
      <w:hyperlink w:anchor="_Toc405494773" w:history="1">
        <w:r w:rsidR="00241CC3" w:rsidRPr="00DB0CE4">
          <w:rPr>
            <w:rStyle w:val="Hyperlink"/>
            <w:rFonts w:eastAsiaTheme="majorEastAsia"/>
            <w:noProof/>
            <w:lang w:eastAsia="en-US"/>
          </w:rPr>
          <w:t>‘Opportunity to reform IP arrangements to assist collaboration’</w:t>
        </w:r>
        <w:r w:rsidR="00241CC3">
          <w:rPr>
            <w:noProof/>
            <w:webHidden/>
          </w:rPr>
          <w:tab/>
        </w:r>
        <w:r w:rsidR="00342311">
          <w:rPr>
            <w:noProof/>
            <w:webHidden/>
          </w:rPr>
          <w:fldChar w:fldCharType="begin"/>
        </w:r>
        <w:r w:rsidR="00241CC3">
          <w:rPr>
            <w:noProof/>
            <w:webHidden/>
          </w:rPr>
          <w:instrText xml:space="preserve"> PAGEREF _Toc405494773 \h </w:instrText>
        </w:r>
        <w:r w:rsidR="00342311">
          <w:rPr>
            <w:noProof/>
            <w:webHidden/>
          </w:rPr>
        </w:r>
        <w:r w:rsidR="00342311">
          <w:rPr>
            <w:noProof/>
            <w:webHidden/>
          </w:rPr>
          <w:fldChar w:fldCharType="separate"/>
        </w:r>
        <w:r>
          <w:rPr>
            <w:noProof/>
            <w:webHidden/>
          </w:rPr>
          <w:t>15</w:t>
        </w:r>
        <w:r w:rsidR="00342311">
          <w:rPr>
            <w:noProof/>
            <w:webHidden/>
          </w:rPr>
          <w:fldChar w:fldCharType="end"/>
        </w:r>
      </w:hyperlink>
    </w:p>
    <w:p w14:paraId="40C9820F" w14:textId="77777777" w:rsidR="00BF4742" w:rsidRDefault="000E7578">
      <w:pPr>
        <w:pStyle w:val="TOC1"/>
        <w:tabs>
          <w:tab w:val="right" w:leader="dot" w:pos="9628"/>
        </w:tabs>
        <w:spacing w:line="360" w:lineRule="auto"/>
        <w:rPr>
          <w:noProof/>
        </w:rPr>
      </w:pPr>
      <w:hyperlink w:anchor="_Toc405494774" w:history="1">
        <w:r w:rsidR="00241CC3" w:rsidRPr="00DB0CE4">
          <w:rPr>
            <w:rStyle w:val="Hyperlink"/>
            <w:rFonts w:eastAsiaTheme="majorEastAsia"/>
            <w:noProof/>
          </w:rPr>
          <w:t>Principles to achieve strong industry/research linkages</w:t>
        </w:r>
        <w:r w:rsidR="00241CC3">
          <w:rPr>
            <w:noProof/>
            <w:webHidden/>
          </w:rPr>
          <w:tab/>
        </w:r>
        <w:r w:rsidR="00342311">
          <w:rPr>
            <w:noProof/>
            <w:webHidden/>
          </w:rPr>
          <w:fldChar w:fldCharType="begin"/>
        </w:r>
        <w:r w:rsidR="00241CC3">
          <w:rPr>
            <w:noProof/>
            <w:webHidden/>
          </w:rPr>
          <w:instrText xml:space="preserve"> PAGEREF _Toc405494774 \h </w:instrText>
        </w:r>
        <w:r w:rsidR="00342311">
          <w:rPr>
            <w:noProof/>
            <w:webHidden/>
          </w:rPr>
        </w:r>
        <w:r w:rsidR="00342311">
          <w:rPr>
            <w:noProof/>
            <w:webHidden/>
          </w:rPr>
          <w:fldChar w:fldCharType="separate"/>
        </w:r>
        <w:r>
          <w:rPr>
            <w:noProof/>
            <w:webHidden/>
          </w:rPr>
          <w:t>17</w:t>
        </w:r>
        <w:r w:rsidR="00342311">
          <w:rPr>
            <w:noProof/>
            <w:webHidden/>
          </w:rPr>
          <w:fldChar w:fldCharType="end"/>
        </w:r>
      </w:hyperlink>
    </w:p>
    <w:p w14:paraId="40C98210" w14:textId="77777777" w:rsidR="00BF4742" w:rsidRDefault="000E7578">
      <w:pPr>
        <w:pStyle w:val="TOC1"/>
        <w:tabs>
          <w:tab w:val="right" w:leader="dot" w:pos="9628"/>
        </w:tabs>
        <w:spacing w:line="360" w:lineRule="auto"/>
        <w:rPr>
          <w:noProof/>
        </w:rPr>
      </w:pPr>
      <w:hyperlink w:anchor="_Toc405494775" w:history="1">
        <w:r w:rsidR="00241CC3" w:rsidRPr="00DB0CE4">
          <w:rPr>
            <w:rStyle w:val="Hyperlink"/>
            <w:noProof/>
          </w:rPr>
          <w:t>Attachment 1: CSIRO - Delivering Impact with Industry</w:t>
        </w:r>
        <w:r w:rsidR="00241CC3">
          <w:rPr>
            <w:noProof/>
            <w:webHidden/>
          </w:rPr>
          <w:tab/>
        </w:r>
        <w:r w:rsidR="00342311">
          <w:rPr>
            <w:noProof/>
            <w:webHidden/>
          </w:rPr>
          <w:fldChar w:fldCharType="begin"/>
        </w:r>
        <w:r w:rsidR="00241CC3">
          <w:rPr>
            <w:noProof/>
            <w:webHidden/>
          </w:rPr>
          <w:instrText xml:space="preserve"> PAGEREF _Toc405494775 \h </w:instrText>
        </w:r>
        <w:r w:rsidR="00342311">
          <w:rPr>
            <w:noProof/>
            <w:webHidden/>
          </w:rPr>
        </w:r>
        <w:r w:rsidR="00342311">
          <w:rPr>
            <w:noProof/>
            <w:webHidden/>
          </w:rPr>
          <w:fldChar w:fldCharType="separate"/>
        </w:r>
        <w:r>
          <w:rPr>
            <w:noProof/>
            <w:webHidden/>
          </w:rPr>
          <w:t>19</w:t>
        </w:r>
        <w:r w:rsidR="00342311">
          <w:rPr>
            <w:noProof/>
            <w:webHidden/>
          </w:rPr>
          <w:fldChar w:fldCharType="end"/>
        </w:r>
      </w:hyperlink>
    </w:p>
    <w:p w14:paraId="40C98211" w14:textId="77777777" w:rsidR="00BF4742" w:rsidRDefault="000E7578">
      <w:pPr>
        <w:pStyle w:val="TOC1"/>
        <w:tabs>
          <w:tab w:val="right" w:leader="dot" w:pos="9628"/>
        </w:tabs>
        <w:spacing w:line="360" w:lineRule="auto"/>
        <w:rPr>
          <w:noProof/>
        </w:rPr>
      </w:pPr>
      <w:hyperlink w:anchor="_Toc405494776" w:history="1">
        <w:r w:rsidR="00241CC3" w:rsidRPr="00DB0CE4">
          <w:rPr>
            <w:rStyle w:val="Hyperlink"/>
            <w:noProof/>
          </w:rPr>
          <w:t>Attachment 2: CSIRO investment criteria</w:t>
        </w:r>
        <w:r w:rsidR="00241CC3">
          <w:rPr>
            <w:noProof/>
            <w:webHidden/>
          </w:rPr>
          <w:tab/>
        </w:r>
        <w:r w:rsidR="00342311">
          <w:rPr>
            <w:noProof/>
            <w:webHidden/>
          </w:rPr>
          <w:fldChar w:fldCharType="begin"/>
        </w:r>
        <w:r w:rsidR="00241CC3">
          <w:rPr>
            <w:noProof/>
            <w:webHidden/>
          </w:rPr>
          <w:instrText xml:space="preserve"> PAGEREF _Toc405494776 \h </w:instrText>
        </w:r>
        <w:r w:rsidR="00342311">
          <w:rPr>
            <w:noProof/>
            <w:webHidden/>
          </w:rPr>
        </w:r>
        <w:r w:rsidR="00342311">
          <w:rPr>
            <w:noProof/>
            <w:webHidden/>
          </w:rPr>
          <w:fldChar w:fldCharType="separate"/>
        </w:r>
        <w:r>
          <w:rPr>
            <w:noProof/>
            <w:webHidden/>
          </w:rPr>
          <w:t>20</w:t>
        </w:r>
        <w:r w:rsidR="00342311">
          <w:rPr>
            <w:noProof/>
            <w:webHidden/>
          </w:rPr>
          <w:fldChar w:fldCharType="end"/>
        </w:r>
      </w:hyperlink>
    </w:p>
    <w:p w14:paraId="40C98212" w14:textId="77777777" w:rsidR="00BF4742" w:rsidRDefault="000E7578">
      <w:pPr>
        <w:pStyle w:val="TOC1"/>
        <w:tabs>
          <w:tab w:val="right" w:leader="dot" w:pos="9628"/>
        </w:tabs>
        <w:spacing w:line="360" w:lineRule="auto"/>
        <w:rPr>
          <w:noProof/>
        </w:rPr>
      </w:pPr>
      <w:hyperlink w:anchor="_Toc405494777" w:history="1">
        <w:r w:rsidR="00241CC3" w:rsidRPr="00DB0CE4">
          <w:rPr>
            <w:rStyle w:val="Hyperlink"/>
            <w:rFonts w:eastAsiaTheme="minorHAnsi"/>
            <w:noProof/>
          </w:rPr>
          <w:t>Attachment 3: National Discipline Specialisation – Design for Future State</w:t>
        </w:r>
        <w:r w:rsidR="00241CC3">
          <w:rPr>
            <w:noProof/>
            <w:webHidden/>
          </w:rPr>
          <w:tab/>
        </w:r>
        <w:r w:rsidR="00342311">
          <w:rPr>
            <w:noProof/>
            <w:webHidden/>
          </w:rPr>
          <w:fldChar w:fldCharType="begin"/>
        </w:r>
        <w:r w:rsidR="00241CC3">
          <w:rPr>
            <w:noProof/>
            <w:webHidden/>
          </w:rPr>
          <w:instrText xml:space="preserve"> PAGEREF _Toc405494777 \h </w:instrText>
        </w:r>
        <w:r w:rsidR="00342311">
          <w:rPr>
            <w:noProof/>
            <w:webHidden/>
          </w:rPr>
        </w:r>
        <w:r w:rsidR="00342311">
          <w:rPr>
            <w:noProof/>
            <w:webHidden/>
          </w:rPr>
          <w:fldChar w:fldCharType="separate"/>
        </w:r>
        <w:r>
          <w:rPr>
            <w:noProof/>
            <w:webHidden/>
          </w:rPr>
          <w:t>22</w:t>
        </w:r>
        <w:r w:rsidR="00342311">
          <w:rPr>
            <w:noProof/>
            <w:webHidden/>
          </w:rPr>
          <w:fldChar w:fldCharType="end"/>
        </w:r>
      </w:hyperlink>
    </w:p>
    <w:p w14:paraId="40C98213" w14:textId="77777777" w:rsidR="00BF4742" w:rsidRDefault="000E7578">
      <w:pPr>
        <w:pStyle w:val="TOC1"/>
        <w:tabs>
          <w:tab w:val="right" w:leader="dot" w:pos="9628"/>
        </w:tabs>
        <w:spacing w:line="360" w:lineRule="auto"/>
        <w:rPr>
          <w:noProof/>
        </w:rPr>
      </w:pPr>
      <w:hyperlink w:anchor="_Toc405494778" w:history="1">
        <w:r w:rsidR="00241CC3" w:rsidRPr="00DB0CE4">
          <w:rPr>
            <w:rStyle w:val="Hyperlink"/>
            <w:noProof/>
          </w:rPr>
          <w:t>Attachment 4: CSIRO’s National Research Infrastructure role</w:t>
        </w:r>
        <w:r w:rsidR="00241CC3">
          <w:rPr>
            <w:noProof/>
            <w:webHidden/>
          </w:rPr>
          <w:tab/>
        </w:r>
        <w:r w:rsidR="00342311">
          <w:rPr>
            <w:noProof/>
            <w:webHidden/>
          </w:rPr>
          <w:fldChar w:fldCharType="begin"/>
        </w:r>
        <w:r w:rsidR="00241CC3">
          <w:rPr>
            <w:noProof/>
            <w:webHidden/>
          </w:rPr>
          <w:instrText xml:space="preserve"> PAGEREF _Toc405494778 \h </w:instrText>
        </w:r>
        <w:r w:rsidR="00342311">
          <w:rPr>
            <w:noProof/>
            <w:webHidden/>
          </w:rPr>
        </w:r>
        <w:r w:rsidR="00342311">
          <w:rPr>
            <w:noProof/>
            <w:webHidden/>
          </w:rPr>
          <w:fldChar w:fldCharType="separate"/>
        </w:r>
        <w:r>
          <w:rPr>
            <w:noProof/>
            <w:webHidden/>
          </w:rPr>
          <w:t>25</w:t>
        </w:r>
        <w:r w:rsidR="00342311">
          <w:rPr>
            <w:noProof/>
            <w:webHidden/>
          </w:rPr>
          <w:fldChar w:fldCharType="end"/>
        </w:r>
      </w:hyperlink>
    </w:p>
    <w:p w14:paraId="40C98214" w14:textId="77777777" w:rsidR="00BF4742" w:rsidRDefault="000E7578">
      <w:pPr>
        <w:pStyle w:val="TOC1"/>
        <w:tabs>
          <w:tab w:val="right" w:leader="dot" w:pos="9628"/>
        </w:tabs>
        <w:spacing w:line="360" w:lineRule="auto"/>
        <w:rPr>
          <w:noProof/>
        </w:rPr>
      </w:pPr>
      <w:hyperlink w:anchor="_Toc405494779" w:history="1">
        <w:r w:rsidR="00241CC3" w:rsidRPr="00DB0CE4">
          <w:rPr>
            <w:rStyle w:val="Hyperlink"/>
            <w:noProof/>
          </w:rPr>
          <w:t>Attachment 5: CSIRO’s Policies and Posture of transfer of Intellectual Property to Industry</w:t>
        </w:r>
        <w:r w:rsidR="00241CC3">
          <w:rPr>
            <w:noProof/>
            <w:webHidden/>
          </w:rPr>
          <w:tab/>
        </w:r>
        <w:r w:rsidR="00342311">
          <w:rPr>
            <w:noProof/>
            <w:webHidden/>
          </w:rPr>
          <w:fldChar w:fldCharType="begin"/>
        </w:r>
        <w:r w:rsidR="00241CC3">
          <w:rPr>
            <w:noProof/>
            <w:webHidden/>
          </w:rPr>
          <w:instrText xml:space="preserve"> PAGEREF _Toc405494779 \h </w:instrText>
        </w:r>
        <w:r w:rsidR="00342311">
          <w:rPr>
            <w:noProof/>
            <w:webHidden/>
          </w:rPr>
        </w:r>
        <w:r w:rsidR="00342311">
          <w:rPr>
            <w:noProof/>
            <w:webHidden/>
          </w:rPr>
          <w:fldChar w:fldCharType="separate"/>
        </w:r>
        <w:r>
          <w:rPr>
            <w:noProof/>
            <w:webHidden/>
          </w:rPr>
          <w:t>27</w:t>
        </w:r>
        <w:r w:rsidR="00342311">
          <w:rPr>
            <w:noProof/>
            <w:webHidden/>
          </w:rPr>
          <w:fldChar w:fldCharType="end"/>
        </w:r>
      </w:hyperlink>
    </w:p>
    <w:p w14:paraId="40C98215" w14:textId="77777777" w:rsidR="00BF4742" w:rsidRDefault="000E7578">
      <w:pPr>
        <w:pStyle w:val="TOC1"/>
        <w:tabs>
          <w:tab w:val="right" w:leader="dot" w:pos="9628"/>
        </w:tabs>
        <w:spacing w:line="360" w:lineRule="auto"/>
        <w:rPr>
          <w:noProof/>
        </w:rPr>
      </w:pPr>
      <w:hyperlink w:anchor="_Toc405494780" w:history="1">
        <w:r w:rsidR="00241CC3" w:rsidRPr="00DB0CE4">
          <w:rPr>
            <w:rStyle w:val="Hyperlink"/>
            <w:rFonts w:eastAsiaTheme="majorEastAsia"/>
            <w:noProof/>
          </w:rPr>
          <w:t>References</w:t>
        </w:r>
        <w:r w:rsidR="00241CC3">
          <w:rPr>
            <w:noProof/>
            <w:webHidden/>
          </w:rPr>
          <w:tab/>
        </w:r>
        <w:r w:rsidR="00342311">
          <w:rPr>
            <w:noProof/>
            <w:webHidden/>
          </w:rPr>
          <w:fldChar w:fldCharType="begin"/>
        </w:r>
        <w:r w:rsidR="00241CC3">
          <w:rPr>
            <w:noProof/>
            <w:webHidden/>
          </w:rPr>
          <w:instrText xml:space="preserve"> PAGEREF _Toc405494780 \h </w:instrText>
        </w:r>
        <w:r w:rsidR="00342311">
          <w:rPr>
            <w:noProof/>
            <w:webHidden/>
          </w:rPr>
        </w:r>
        <w:r w:rsidR="00342311">
          <w:rPr>
            <w:noProof/>
            <w:webHidden/>
          </w:rPr>
          <w:fldChar w:fldCharType="separate"/>
        </w:r>
        <w:r>
          <w:rPr>
            <w:noProof/>
            <w:webHidden/>
          </w:rPr>
          <w:t>32</w:t>
        </w:r>
        <w:r w:rsidR="00342311">
          <w:rPr>
            <w:noProof/>
            <w:webHidden/>
          </w:rPr>
          <w:fldChar w:fldCharType="end"/>
        </w:r>
      </w:hyperlink>
    </w:p>
    <w:p w14:paraId="40C98216" w14:textId="77777777" w:rsidR="00BF4742" w:rsidRDefault="00342311">
      <w:pPr>
        <w:spacing w:before="120" w:after="120"/>
      </w:pPr>
      <w:r>
        <w:fldChar w:fldCharType="end"/>
      </w:r>
    </w:p>
    <w:p w14:paraId="40C98217" w14:textId="77777777" w:rsidR="008C202A" w:rsidRDefault="008C202A" w:rsidP="004317E2">
      <w:pPr>
        <w:sectPr w:rsidR="008C202A" w:rsidSect="00992EDB">
          <w:headerReference w:type="default" r:id="rId12"/>
          <w:footerReference w:type="default" r:id="rId13"/>
          <w:headerReference w:type="first" r:id="rId14"/>
          <w:footerReference w:type="first" r:id="rId15"/>
          <w:pgSz w:w="11906" w:h="16838" w:code="9"/>
          <w:pgMar w:top="1418" w:right="1134" w:bottom="1134" w:left="1134" w:header="709" w:footer="709" w:gutter="0"/>
          <w:cols w:space="708"/>
          <w:titlePg/>
          <w:docGrid w:linePitch="360"/>
        </w:sectPr>
      </w:pPr>
    </w:p>
    <w:p w14:paraId="40C98218" w14:textId="77777777" w:rsidR="00AC5FD3" w:rsidRPr="00AC5FD3" w:rsidRDefault="00AC5FD3" w:rsidP="00AC5FD3">
      <w:pPr>
        <w:pStyle w:val="Heading1"/>
      </w:pPr>
      <w:bookmarkStart w:id="2" w:name="_Toc405494765"/>
      <w:r w:rsidRPr="00AC5FD3">
        <w:lastRenderedPageBreak/>
        <w:t>Introduction</w:t>
      </w:r>
      <w:bookmarkEnd w:id="2"/>
    </w:p>
    <w:p w14:paraId="40C98219" w14:textId="77777777" w:rsidR="00AC5FD3" w:rsidRDefault="00AC5FD3" w:rsidP="00AC5FD3">
      <w:pPr>
        <w:rPr>
          <w:rFonts w:eastAsiaTheme="minorHAnsi"/>
          <w:lang w:eastAsia="en-US"/>
        </w:rPr>
      </w:pPr>
      <w:r w:rsidRPr="00AC5FD3">
        <w:rPr>
          <w:rFonts w:eastAsiaTheme="minorHAnsi"/>
          <w:lang w:eastAsia="en-US"/>
        </w:rPr>
        <w:t xml:space="preserve">CSIRO welcomes the opportunity to provide a submission to the ‘Boosting the commercial returns from research paper’. </w:t>
      </w:r>
      <w:r w:rsidR="008F3879">
        <w:rPr>
          <w:rFonts w:eastAsiaTheme="minorHAnsi"/>
          <w:lang w:eastAsia="en-US"/>
        </w:rPr>
        <w:t xml:space="preserve"> </w:t>
      </w:r>
      <w:r w:rsidRPr="00AC5FD3">
        <w:rPr>
          <w:rFonts w:eastAsiaTheme="minorHAnsi"/>
          <w:lang w:eastAsia="en-US"/>
        </w:rPr>
        <w:t xml:space="preserve">CSIRO agrees with the importance of the four factors outlined in the </w:t>
      </w:r>
      <w:r w:rsidR="008F3879">
        <w:rPr>
          <w:rFonts w:eastAsiaTheme="minorHAnsi"/>
          <w:lang w:eastAsia="en-US"/>
        </w:rPr>
        <w:t xml:space="preserve">discussion </w:t>
      </w:r>
      <w:r w:rsidRPr="00AC5FD3">
        <w:rPr>
          <w:rFonts w:eastAsiaTheme="minorHAnsi"/>
          <w:lang w:eastAsia="en-US"/>
        </w:rPr>
        <w:t xml:space="preserve">paper that are </w:t>
      </w:r>
      <w:r w:rsidRPr="00AC5FD3">
        <w:rPr>
          <w:rFonts w:eastAsiaTheme="minorHAnsi" w:cs="Calibri"/>
          <w:lang w:eastAsia="en-US"/>
        </w:rPr>
        <w:t>common to countries that successfully translate their research into commercial outcomes</w:t>
      </w:r>
      <w:r w:rsidRPr="00AC5FD3">
        <w:rPr>
          <w:rFonts w:eastAsiaTheme="minorHAnsi"/>
          <w:lang w:eastAsia="en-US"/>
        </w:rPr>
        <w:t xml:space="preserve">, namely research excellence, targeted research effort, cooperation between research and industry, and entrepreneurship. </w:t>
      </w:r>
    </w:p>
    <w:p w14:paraId="40C9821A" w14:textId="77777777" w:rsidR="00436AD7" w:rsidRPr="00AC5FD3" w:rsidRDefault="00436AD7" w:rsidP="00AC5FD3">
      <w:pPr>
        <w:rPr>
          <w:rFonts w:eastAsiaTheme="minorHAnsi"/>
          <w:lang w:eastAsia="en-US"/>
        </w:rPr>
      </w:pPr>
      <w:r>
        <w:rPr>
          <w:rFonts w:eastAsiaTheme="minorHAnsi"/>
          <w:lang w:eastAsia="en-US"/>
        </w:rPr>
        <w:t xml:space="preserve">In this submission, CSIRO seeks to comment on each of these factors taking the perspective of the </w:t>
      </w:r>
      <w:r w:rsidR="00D2725D">
        <w:rPr>
          <w:rFonts w:eastAsiaTheme="minorHAnsi"/>
          <w:lang w:eastAsia="en-US"/>
        </w:rPr>
        <w:t xml:space="preserve">requirements of the </w:t>
      </w:r>
      <w:r>
        <w:rPr>
          <w:rFonts w:eastAsiaTheme="minorHAnsi"/>
          <w:lang w:eastAsia="en-US"/>
        </w:rPr>
        <w:t>Australian innovation system</w:t>
      </w:r>
      <w:r w:rsidR="00D2725D">
        <w:rPr>
          <w:rFonts w:eastAsiaTheme="minorHAnsi"/>
          <w:lang w:eastAsia="en-US"/>
        </w:rPr>
        <w:t xml:space="preserve"> as a whole</w:t>
      </w:r>
      <w:r>
        <w:rPr>
          <w:rFonts w:eastAsiaTheme="minorHAnsi"/>
          <w:lang w:eastAsia="en-US"/>
        </w:rPr>
        <w:t xml:space="preserve">.  However in addition to this, for a number of these </w:t>
      </w:r>
      <w:r w:rsidR="00D2725D">
        <w:rPr>
          <w:rFonts w:eastAsiaTheme="minorHAnsi"/>
          <w:lang w:eastAsia="en-US"/>
        </w:rPr>
        <w:t xml:space="preserve">topics </w:t>
      </w:r>
      <w:r>
        <w:rPr>
          <w:rFonts w:eastAsiaTheme="minorHAnsi"/>
          <w:lang w:eastAsia="en-US"/>
        </w:rPr>
        <w:t>information on the relevant activities</w:t>
      </w:r>
      <w:r w:rsidR="00D2725D">
        <w:rPr>
          <w:rFonts w:eastAsiaTheme="minorHAnsi"/>
          <w:lang w:eastAsia="en-US"/>
        </w:rPr>
        <w:t xml:space="preserve"> of CSIRO is also provided</w:t>
      </w:r>
      <w:r w:rsidR="008F3879">
        <w:rPr>
          <w:rFonts w:eastAsiaTheme="minorHAnsi"/>
          <w:lang w:eastAsia="en-US"/>
        </w:rPr>
        <w:t xml:space="preserve"> for contextual purposes</w:t>
      </w:r>
      <w:r w:rsidR="00D2725D">
        <w:rPr>
          <w:rFonts w:eastAsiaTheme="minorHAnsi"/>
          <w:lang w:eastAsia="en-US"/>
        </w:rPr>
        <w:t>.</w:t>
      </w:r>
      <w:r>
        <w:rPr>
          <w:rFonts w:eastAsiaTheme="minorHAnsi"/>
          <w:lang w:eastAsia="en-US"/>
        </w:rPr>
        <w:t xml:space="preserve"> </w:t>
      </w:r>
      <w:r w:rsidR="008F3879">
        <w:rPr>
          <w:rFonts w:eastAsiaTheme="minorHAnsi"/>
          <w:lang w:eastAsia="en-US"/>
        </w:rPr>
        <w:t xml:space="preserve"> This submission is almost exclusively directed towards research investment and activities conducted in the public sector.</w:t>
      </w:r>
    </w:p>
    <w:p w14:paraId="40C9821B" w14:textId="77777777" w:rsidR="00D2725D" w:rsidRDefault="00AC5FD3" w:rsidP="00AC5FD3">
      <w:pPr>
        <w:rPr>
          <w:rFonts w:eastAsiaTheme="minorHAnsi"/>
          <w:lang w:eastAsia="en-US"/>
        </w:rPr>
      </w:pPr>
      <w:r w:rsidRPr="00AC5FD3">
        <w:rPr>
          <w:rFonts w:eastAsiaTheme="minorHAnsi"/>
          <w:lang w:eastAsia="en-US"/>
        </w:rPr>
        <w:t>Within an Innovation System, research is often framed as to</w:t>
      </w:r>
      <w:r w:rsidR="008C38F0">
        <w:rPr>
          <w:rFonts w:eastAsiaTheme="minorHAnsi"/>
          <w:lang w:eastAsia="en-US"/>
        </w:rPr>
        <w:t xml:space="preserve"> different types by</w:t>
      </w:r>
      <w:r w:rsidRPr="00AC5FD3">
        <w:rPr>
          <w:rFonts w:eastAsiaTheme="minorHAnsi"/>
          <w:lang w:eastAsia="en-US"/>
        </w:rPr>
        <w:t xml:space="preserve"> whether it is </w:t>
      </w:r>
      <w:r w:rsidR="00D2725D">
        <w:rPr>
          <w:rFonts w:eastAsiaTheme="minorHAnsi"/>
          <w:lang w:eastAsia="en-US"/>
        </w:rPr>
        <w:t>‘</w:t>
      </w:r>
      <w:r w:rsidRPr="00AC5FD3">
        <w:rPr>
          <w:rFonts w:eastAsiaTheme="minorHAnsi"/>
          <w:lang w:eastAsia="en-US"/>
        </w:rPr>
        <w:t>investigator-led</w:t>
      </w:r>
      <w:r w:rsidR="00D2725D">
        <w:rPr>
          <w:rFonts w:eastAsiaTheme="minorHAnsi"/>
          <w:lang w:eastAsia="en-US"/>
        </w:rPr>
        <w:t>’</w:t>
      </w:r>
      <w:r w:rsidRPr="00AC5FD3">
        <w:rPr>
          <w:rFonts w:eastAsiaTheme="minorHAnsi"/>
          <w:lang w:eastAsia="en-US"/>
        </w:rPr>
        <w:t xml:space="preserve"> or </w:t>
      </w:r>
      <w:r w:rsidR="00D2725D">
        <w:rPr>
          <w:rFonts w:eastAsiaTheme="minorHAnsi"/>
          <w:lang w:eastAsia="en-US"/>
        </w:rPr>
        <w:t>‘</w:t>
      </w:r>
      <w:r w:rsidRPr="00AC5FD3">
        <w:rPr>
          <w:rFonts w:eastAsiaTheme="minorHAnsi"/>
          <w:lang w:eastAsia="en-US"/>
        </w:rPr>
        <w:t>mission-directed</w:t>
      </w:r>
      <w:r w:rsidR="00D2725D">
        <w:rPr>
          <w:rFonts w:eastAsiaTheme="minorHAnsi"/>
          <w:lang w:eastAsia="en-US"/>
        </w:rPr>
        <w:t>’</w:t>
      </w:r>
      <w:r w:rsidR="008F3879">
        <w:rPr>
          <w:rFonts w:eastAsiaTheme="minorHAnsi"/>
          <w:lang w:eastAsia="en-US"/>
        </w:rPr>
        <w:t>:</w:t>
      </w:r>
      <w:r w:rsidRPr="00AC5FD3">
        <w:rPr>
          <w:rFonts w:eastAsiaTheme="minorHAnsi"/>
          <w:lang w:eastAsia="en-US"/>
        </w:rPr>
        <w:t xml:space="preserve"> </w:t>
      </w:r>
      <w:r w:rsidR="00D2725D">
        <w:rPr>
          <w:rFonts w:eastAsiaTheme="minorHAnsi"/>
          <w:lang w:eastAsia="en-US"/>
        </w:rPr>
        <w:t xml:space="preserve"> </w:t>
      </w:r>
    </w:p>
    <w:p w14:paraId="40C9821C" w14:textId="77777777" w:rsidR="00BF4742" w:rsidRDefault="008E6341">
      <w:pPr>
        <w:pStyle w:val="ListParagraph"/>
        <w:numPr>
          <w:ilvl w:val="0"/>
          <w:numId w:val="24"/>
        </w:numPr>
        <w:rPr>
          <w:rFonts w:eastAsiaTheme="minorHAnsi"/>
          <w:lang w:eastAsia="en-US"/>
        </w:rPr>
      </w:pPr>
      <w:r w:rsidRPr="008E6341">
        <w:rPr>
          <w:rFonts w:eastAsiaTheme="minorHAnsi"/>
          <w:lang w:eastAsia="en-US"/>
        </w:rPr>
        <w:t>Investigator-led research is generally performed in universities, and is supported through government funded granting bodies such as the Australian Research Council</w:t>
      </w:r>
      <w:r w:rsidR="008C38F0">
        <w:rPr>
          <w:rFonts w:eastAsiaTheme="minorHAnsi"/>
          <w:lang w:eastAsia="en-US"/>
        </w:rPr>
        <w:t>.  I</w:t>
      </w:r>
      <w:r w:rsidR="008C38F0" w:rsidRPr="00D2725D">
        <w:rPr>
          <w:rFonts w:eastAsiaTheme="minorHAnsi"/>
          <w:lang w:eastAsia="en-US"/>
        </w:rPr>
        <w:t>nvestigator-led research</w:t>
      </w:r>
      <w:r w:rsidR="008C38F0">
        <w:rPr>
          <w:rFonts w:eastAsiaTheme="minorHAnsi"/>
          <w:lang w:eastAsia="en-US"/>
        </w:rPr>
        <w:t xml:space="preserve"> is often directed towards the expansion of basic knowledge</w:t>
      </w:r>
      <w:r w:rsidR="0089281F">
        <w:rPr>
          <w:rFonts w:eastAsiaTheme="minorHAnsi"/>
          <w:lang w:eastAsia="en-US"/>
        </w:rPr>
        <w:t>. A</w:t>
      </w:r>
      <w:r w:rsidR="008C38F0">
        <w:rPr>
          <w:rFonts w:eastAsiaTheme="minorHAnsi"/>
          <w:lang w:eastAsia="en-US"/>
        </w:rPr>
        <w:t xml:space="preserve">t </w:t>
      </w:r>
      <w:r w:rsidR="0089281F">
        <w:rPr>
          <w:rFonts w:eastAsiaTheme="minorHAnsi"/>
          <w:lang w:eastAsia="en-US"/>
        </w:rPr>
        <w:t>this</w:t>
      </w:r>
      <w:r w:rsidR="008C38F0">
        <w:rPr>
          <w:rFonts w:eastAsiaTheme="minorHAnsi"/>
          <w:lang w:eastAsia="en-US"/>
        </w:rPr>
        <w:t xml:space="preserve"> discovery stage it </w:t>
      </w:r>
      <w:r w:rsidR="0089281F">
        <w:rPr>
          <w:rFonts w:eastAsiaTheme="minorHAnsi"/>
          <w:lang w:eastAsia="en-US"/>
        </w:rPr>
        <w:t>is almost invariably</w:t>
      </w:r>
      <w:r w:rsidR="008C38F0">
        <w:rPr>
          <w:rFonts w:eastAsiaTheme="minorHAnsi"/>
          <w:lang w:eastAsia="en-US"/>
        </w:rPr>
        <w:t xml:space="preserve"> highly speculative as to the utility of that knowledge when considered in the timeframes that apply in commerce.</w:t>
      </w:r>
    </w:p>
    <w:p w14:paraId="40C9821D" w14:textId="77777777" w:rsidR="00BF4742" w:rsidRDefault="008F3879">
      <w:pPr>
        <w:pStyle w:val="ListParagraph"/>
        <w:numPr>
          <w:ilvl w:val="0"/>
          <w:numId w:val="24"/>
        </w:numPr>
        <w:rPr>
          <w:rFonts w:eastAsiaTheme="minorHAnsi"/>
          <w:lang w:eastAsia="en-US"/>
        </w:rPr>
      </w:pPr>
      <w:r>
        <w:rPr>
          <w:rFonts w:eastAsiaTheme="minorHAnsi"/>
          <w:lang w:eastAsia="en-US"/>
        </w:rPr>
        <w:t>M</w:t>
      </w:r>
      <w:r w:rsidR="008C38F0">
        <w:rPr>
          <w:rFonts w:eastAsiaTheme="minorHAnsi"/>
          <w:lang w:eastAsia="en-US"/>
        </w:rPr>
        <w:t xml:space="preserve">ission-directed research </w:t>
      </w:r>
      <w:r w:rsidR="00D2725D" w:rsidRPr="00AC5FD3">
        <w:rPr>
          <w:rFonts w:eastAsiaTheme="minorHAnsi"/>
          <w:lang w:eastAsia="en-US"/>
        </w:rPr>
        <w:t>is focused on addressing specific problems or opportunities</w:t>
      </w:r>
      <w:r w:rsidR="0089281F">
        <w:rPr>
          <w:rFonts w:eastAsiaTheme="minorHAnsi"/>
          <w:lang w:eastAsia="en-US"/>
        </w:rPr>
        <w:t>. It</w:t>
      </w:r>
      <w:r w:rsidR="00D2725D">
        <w:rPr>
          <w:rFonts w:eastAsiaTheme="minorHAnsi"/>
          <w:lang w:eastAsia="en-US"/>
        </w:rPr>
        <w:t xml:space="preserve"> is almost exclusively performed by </w:t>
      </w:r>
      <w:r w:rsidR="008E6341" w:rsidRPr="008E6341">
        <w:rPr>
          <w:rFonts w:eastAsiaTheme="minorHAnsi"/>
          <w:lang w:eastAsia="en-US"/>
        </w:rPr>
        <w:t>publically funded research agencies</w:t>
      </w:r>
      <w:r w:rsidR="008C38F0">
        <w:rPr>
          <w:rFonts w:eastAsiaTheme="minorHAnsi"/>
          <w:lang w:eastAsia="en-US"/>
        </w:rPr>
        <w:t xml:space="preserve"> </w:t>
      </w:r>
      <w:r w:rsidR="00D2725D">
        <w:rPr>
          <w:rFonts w:eastAsiaTheme="minorHAnsi"/>
          <w:lang w:eastAsia="en-US"/>
        </w:rPr>
        <w:t xml:space="preserve">which </w:t>
      </w:r>
      <w:r w:rsidR="008E6341" w:rsidRPr="008E6341">
        <w:rPr>
          <w:rFonts w:eastAsiaTheme="minorHAnsi"/>
          <w:lang w:eastAsia="en-US"/>
        </w:rPr>
        <w:t>hav</w:t>
      </w:r>
      <w:r w:rsidR="00D2725D">
        <w:rPr>
          <w:rFonts w:eastAsiaTheme="minorHAnsi"/>
          <w:lang w:eastAsia="en-US"/>
        </w:rPr>
        <w:t>e</w:t>
      </w:r>
      <w:r w:rsidR="008E6341" w:rsidRPr="008E6341">
        <w:rPr>
          <w:rFonts w:eastAsiaTheme="minorHAnsi"/>
          <w:lang w:eastAsia="en-US"/>
        </w:rPr>
        <w:t xml:space="preserve"> a mandate to focus on research that delivers economic, environmental, and social benefits.  </w:t>
      </w:r>
      <w:r w:rsidR="00D2725D">
        <w:rPr>
          <w:rFonts w:eastAsiaTheme="minorHAnsi"/>
          <w:lang w:eastAsia="en-US"/>
        </w:rPr>
        <w:t xml:space="preserve"> </w:t>
      </w:r>
      <w:r w:rsidR="008C38F0">
        <w:rPr>
          <w:rFonts w:eastAsiaTheme="minorHAnsi"/>
          <w:lang w:eastAsia="en-US"/>
        </w:rPr>
        <w:t>Mission-directed research is – as the term implies – primarily designed and motivated to result in applied knowledge, including with commercial applications.  Suitability for timely commercial application is often a stated requirement at the start of mission-directed research activities.</w:t>
      </w:r>
    </w:p>
    <w:p w14:paraId="40C9821E" w14:textId="77777777" w:rsidR="00D2725D" w:rsidRDefault="003C50A5" w:rsidP="00D2725D">
      <w:pPr>
        <w:rPr>
          <w:rFonts w:eastAsiaTheme="minorHAnsi"/>
          <w:lang w:eastAsia="en-US"/>
        </w:rPr>
      </w:pPr>
      <w:r>
        <w:rPr>
          <w:rFonts w:eastAsiaTheme="minorHAnsi"/>
          <w:lang w:eastAsia="en-US"/>
        </w:rPr>
        <w:t xml:space="preserve">Although these two </w:t>
      </w:r>
      <w:r w:rsidR="008C38F0">
        <w:rPr>
          <w:rFonts w:eastAsiaTheme="minorHAnsi"/>
          <w:lang w:eastAsia="en-US"/>
        </w:rPr>
        <w:t>types</w:t>
      </w:r>
      <w:r>
        <w:rPr>
          <w:rFonts w:eastAsiaTheme="minorHAnsi"/>
          <w:lang w:eastAsia="en-US"/>
        </w:rPr>
        <w:t xml:space="preserve"> of </w:t>
      </w:r>
      <w:r w:rsidR="00D2725D">
        <w:rPr>
          <w:rFonts w:eastAsiaTheme="minorHAnsi"/>
          <w:lang w:eastAsia="en-US"/>
        </w:rPr>
        <w:t>research acti</w:t>
      </w:r>
      <w:r>
        <w:rPr>
          <w:rFonts w:eastAsiaTheme="minorHAnsi"/>
          <w:lang w:eastAsia="en-US"/>
        </w:rPr>
        <w:t>vities have common requirements</w:t>
      </w:r>
      <w:r w:rsidR="0089281F">
        <w:rPr>
          <w:rFonts w:eastAsiaTheme="minorHAnsi"/>
          <w:lang w:eastAsia="en-US"/>
        </w:rPr>
        <w:t>,</w:t>
      </w:r>
      <w:r>
        <w:rPr>
          <w:rFonts w:eastAsiaTheme="minorHAnsi"/>
          <w:lang w:eastAsia="en-US"/>
        </w:rPr>
        <w:t xml:space="preserve"> including</w:t>
      </w:r>
      <w:r w:rsidR="008F3879">
        <w:rPr>
          <w:rFonts w:eastAsiaTheme="minorHAnsi"/>
          <w:lang w:eastAsia="en-US"/>
        </w:rPr>
        <w:t xml:space="preserve"> for example</w:t>
      </w:r>
      <w:r w:rsidR="008C38F0">
        <w:rPr>
          <w:rFonts w:eastAsiaTheme="minorHAnsi"/>
          <w:lang w:eastAsia="en-US"/>
        </w:rPr>
        <w:t>,</w:t>
      </w:r>
      <w:r w:rsidR="008F3879">
        <w:rPr>
          <w:rFonts w:eastAsiaTheme="minorHAnsi"/>
          <w:lang w:eastAsia="en-US"/>
        </w:rPr>
        <w:t xml:space="preserve"> </w:t>
      </w:r>
      <w:r>
        <w:rPr>
          <w:rFonts w:eastAsiaTheme="minorHAnsi"/>
          <w:lang w:eastAsia="en-US"/>
        </w:rPr>
        <w:t>the</w:t>
      </w:r>
      <w:r w:rsidR="00D2725D">
        <w:rPr>
          <w:rFonts w:eastAsiaTheme="minorHAnsi"/>
          <w:lang w:eastAsia="en-US"/>
        </w:rPr>
        <w:t xml:space="preserve"> requirement of</w:t>
      </w:r>
      <w:r>
        <w:rPr>
          <w:rFonts w:eastAsiaTheme="minorHAnsi"/>
          <w:lang w:eastAsia="en-US"/>
        </w:rPr>
        <w:t xml:space="preserve"> excellence of scientific method</w:t>
      </w:r>
      <w:r w:rsidR="00D2725D">
        <w:rPr>
          <w:rFonts w:eastAsiaTheme="minorHAnsi"/>
          <w:lang w:eastAsia="en-US"/>
        </w:rPr>
        <w:t xml:space="preserve"> and leadership, </w:t>
      </w:r>
      <w:r w:rsidR="008F3879">
        <w:rPr>
          <w:rFonts w:eastAsiaTheme="minorHAnsi"/>
          <w:lang w:eastAsia="en-US"/>
        </w:rPr>
        <w:t>inquiring intellects</w:t>
      </w:r>
      <w:r>
        <w:rPr>
          <w:rFonts w:eastAsiaTheme="minorHAnsi"/>
          <w:lang w:eastAsia="en-US"/>
        </w:rPr>
        <w:t xml:space="preserve"> and </w:t>
      </w:r>
      <w:r w:rsidR="008F3879">
        <w:rPr>
          <w:rFonts w:eastAsiaTheme="minorHAnsi"/>
          <w:lang w:eastAsia="en-US"/>
        </w:rPr>
        <w:t xml:space="preserve">a </w:t>
      </w:r>
      <w:r>
        <w:rPr>
          <w:rFonts w:eastAsiaTheme="minorHAnsi"/>
          <w:lang w:eastAsia="en-US"/>
        </w:rPr>
        <w:t xml:space="preserve">risk-taking approach, </w:t>
      </w:r>
      <w:r w:rsidR="00D2725D">
        <w:rPr>
          <w:rFonts w:eastAsiaTheme="minorHAnsi"/>
          <w:lang w:eastAsia="en-US"/>
        </w:rPr>
        <w:t>ethical approach, appropriate levels of resourcing and infrastructure,</w:t>
      </w:r>
      <w:r>
        <w:rPr>
          <w:rFonts w:eastAsiaTheme="minorHAnsi"/>
          <w:lang w:eastAsia="en-US"/>
        </w:rPr>
        <w:t xml:space="preserve"> and regulatory compliance </w:t>
      </w:r>
      <w:r w:rsidR="00D2725D">
        <w:rPr>
          <w:rFonts w:eastAsiaTheme="minorHAnsi"/>
          <w:lang w:eastAsia="en-US"/>
        </w:rPr>
        <w:t xml:space="preserve">–the </w:t>
      </w:r>
      <w:r>
        <w:rPr>
          <w:rFonts w:eastAsiaTheme="minorHAnsi" w:cs="Calibri"/>
          <w:lang w:eastAsia="en-US"/>
        </w:rPr>
        <w:t>translation</w:t>
      </w:r>
      <w:r w:rsidR="00D2725D">
        <w:rPr>
          <w:rFonts w:eastAsiaTheme="minorHAnsi" w:cs="Calibri"/>
          <w:lang w:eastAsia="en-US"/>
        </w:rPr>
        <w:t xml:space="preserve"> of</w:t>
      </w:r>
      <w:r w:rsidR="00D2725D" w:rsidRPr="00AC5FD3">
        <w:rPr>
          <w:rFonts w:eastAsiaTheme="minorHAnsi" w:cs="Calibri"/>
          <w:lang w:eastAsia="en-US"/>
        </w:rPr>
        <w:t xml:space="preserve"> research </w:t>
      </w:r>
      <w:r w:rsidR="00D2725D">
        <w:rPr>
          <w:rFonts w:eastAsiaTheme="minorHAnsi" w:cs="Calibri"/>
          <w:lang w:eastAsia="en-US"/>
        </w:rPr>
        <w:t>output</w:t>
      </w:r>
      <w:r w:rsidR="008F3879">
        <w:rPr>
          <w:rFonts w:eastAsiaTheme="minorHAnsi" w:cs="Calibri"/>
          <w:lang w:eastAsia="en-US"/>
        </w:rPr>
        <w:t>s</w:t>
      </w:r>
      <w:r w:rsidR="00D2725D">
        <w:rPr>
          <w:rFonts w:eastAsiaTheme="minorHAnsi" w:cs="Calibri"/>
          <w:lang w:eastAsia="en-US"/>
        </w:rPr>
        <w:t xml:space="preserve"> </w:t>
      </w:r>
      <w:r w:rsidR="00D2725D" w:rsidRPr="00AC5FD3">
        <w:rPr>
          <w:rFonts w:eastAsiaTheme="minorHAnsi" w:cs="Calibri"/>
          <w:lang w:eastAsia="en-US"/>
        </w:rPr>
        <w:t>into commercial outcomes</w:t>
      </w:r>
      <w:r>
        <w:rPr>
          <w:rFonts w:eastAsiaTheme="minorHAnsi" w:cs="Calibri"/>
          <w:lang w:eastAsia="en-US"/>
        </w:rPr>
        <w:t xml:space="preserve"> will frequently involve different </w:t>
      </w:r>
      <w:r w:rsidR="00D2725D">
        <w:rPr>
          <w:rFonts w:eastAsiaTheme="minorHAnsi"/>
          <w:lang w:eastAsia="en-US"/>
        </w:rPr>
        <w:t xml:space="preserve">approaches </w:t>
      </w:r>
      <w:r>
        <w:rPr>
          <w:rFonts w:eastAsiaTheme="minorHAnsi"/>
          <w:lang w:eastAsia="en-US"/>
        </w:rPr>
        <w:t>in these two cases and this should be kept in mind when considering this submission.</w:t>
      </w:r>
      <w:r w:rsidR="00D2725D">
        <w:rPr>
          <w:rFonts w:eastAsiaTheme="minorHAnsi"/>
          <w:lang w:eastAsia="en-US"/>
        </w:rPr>
        <w:t xml:space="preserve">  </w:t>
      </w:r>
    </w:p>
    <w:p w14:paraId="40C9821F" w14:textId="77777777" w:rsidR="00AC5FD3" w:rsidRPr="00AC5FD3" w:rsidRDefault="008E6341" w:rsidP="00AC5FD3">
      <w:pPr>
        <w:rPr>
          <w:rFonts w:eastAsiaTheme="minorHAnsi"/>
          <w:lang w:eastAsia="en-US"/>
        </w:rPr>
      </w:pPr>
      <w:r w:rsidRPr="008E6341">
        <w:rPr>
          <w:rFonts w:eastAsiaTheme="minorHAnsi"/>
          <w:lang w:eastAsia="en-US"/>
        </w:rPr>
        <w:t>All high performing national innovation systems balance investment between</w:t>
      </w:r>
      <w:r w:rsidR="003C50A5">
        <w:rPr>
          <w:rFonts w:eastAsiaTheme="minorHAnsi"/>
          <w:lang w:eastAsia="en-US"/>
        </w:rPr>
        <w:t>,</w:t>
      </w:r>
      <w:r w:rsidRPr="008E6341">
        <w:rPr>
          <w:rFonts w:eastAsiaTheme="minorHAnsi"/>
          <w:lang w:eastAsia="en-US"/>
        </w:rPr>
        <w:t xml:space="preserve"> and have different mechanisms for</w:t>
      </w:r>
      <w:r w:rsidR="003C50A5">
        <w:rPr>
          <w:rFonts w:eastAsiaTheme="minorHAnsi"/>
          <w:lang w:eastAsia="en-US"/>
        </w:rPr>
        <w:t>,</w:t>
      </w:r>
      <w:r w:rsidRPr="008E6341">
        <w:rPr>
          <w:rFonts w:eastAsiaTheme="minorHAnsi"/>
          <w:lang w:eastAsia="en-US"/>
        </w:rPr>
        <w:t xml:space="preserve"> managing mission-directed and investigator-led research. </w:t>
      </w:r>
      <w:r w:rsidR="008F3879">
        <w:rPr>
          <w:rFonts w:eastAsiaTheme="minorHAnsi"/>
          <w:lang w:eastAsia="en-US"/>
        </w:rPr>
        <w:t xml:space="preserve"> </w:t>
      </w:r>
      <w:r w:rsidRPr="008E6341">
        <w:rPr>
          <w:rFonts w:eastAsiaTheme="minorHAnsi"/>
          <w:lang w:eastAsia="en-US"/>
        </w:rPr>
        <w:t xml:space="preserve">A </w:t>
      </w:r>
      <w:r w:rsidR="008F3879">
        <w:rPr>
          <w:rFonts w:eastAsiaTheme="minorHAnsi"/>
          <w:lang w:eastAsia="en-US"/>
        </w:rPr>
        <w:t>‘</w:t>
      </w:r>
      <w:r w:rsidRPr="008E6341">
        <w:rPr>
          <w:rFonts w:eastAsiaTheme="minorHAnsi"/>
          <w:lang w:eastAsia="en-US"/>
        </w:rPr>
        <w:t>balance</w:t>
      </w:r>
      <w:r w:rsidR="008F3879">
        <w:rPr>
          <w:rFonts w:eastAsiaTheme="minorHAnsi"/>
          <w:lang w:eastAsia="en-US"/>
        </w:rPr>
        <w:t>’</w:t>
      </w:r>
      <w:r w:rsidRPr="008E6341">
        <w:rPr>
          <w:rFonts w:eastAsiaTheme="minorHAnsi"/>
          <w:lang w:eastAsia="en-US"/>
        </w:rPr>
        <w:t xml:space="preserve"> between mission-directed and investigator-led research improves the likelihood of pursuing and transitioning the best ideas into commercial outcomes. </w:t>
      </w:r>
      <w:r w:rsidR="003C50A5">
        <w:rPr>
          <w:rFonts w:eastAsiaTheme="minorHAnsi"/>
          <w:lang w:eastAsia="en-US"/>
        </w:rPr>
        <w:t xml:space="preserve">  </w:t>
      </w:r>
      <w:r w:rsidRPr="008E6341">
        <w:rPr>
          <w:rFonts w:eastAsiaTheme="minorHAnsi"/>
          <w:b/>
          <w:lang w:eastAsia="en-US"/>
        </w:rPr>
        <w:t xml:space="preserve">A key strategic decision for investment in a public innovation system is the intended ‘balance’ between these, in order that required national outcomes are achieved.  But a ‘system’ does not arise by </w:t>
      </w:r>
      <w:proofErr w:type="gramStart"/>
      <w:r w:rsidRPr="008E6341">
        <w:rPr>
          <w:rFonts w:eastAsiaTheme="minorHAnsi"/>
          <w:b/>
          <w:lang w:eastAsia="en-US"/>
        </w:rPr>
        <w:t>chance,</w:t>
      </w:r>
      <w:proofErr w:type="gramEnd"/>
      <w:r w:rsidRPr="008E6341">
        <w:rPr>
          <w:rFonts w:eastAsiaTheme="minorHAnsi"/>
          <w:b/>
          <w:lang w:eastAsia="en-US"/>
        </w:rPr>
        <w:t xml:space="preserve"> it must also be designed from a structural perspective to meet national needs</w:t>
      </w:r>
      <w:r w:rsidR="001C2DC5">
        <w:rPr>
          <w:rFonts w:eastAsiaTheme="minorHAnsi"/>
          <w:lang w:eastAsia="en-US"/>
        </w:rPr>
        <w:t xml:space="preserve">. </w:t>
      </w:r>
      <w:r w:rsidR="00062317">
        <w:rPr>
          <w:rFonts w:eastAsiaTheme="minorHAnsi"/>
          <w:lang w:eastAsia="en-US"/>
        </w:rPr>
        <w:t xml:space="preserve">The Case Study below on the German Innovation </w:t>
      </w:r>
      <w:r w:rsidR="00062317">
        <w:rPr>
          <w:rFonts w:eastAsiaTheme="minorHAnsi"/>
          <w:lang w:eastAsia="en-US"/>
        </w:rPr>
        <w:lastRenderedPageBreak/>
        <w:t>System provides an example of how a highly functioning innovation system</w:t>
      </w:r>
      <w:r w:rsidR="008C38F0">
        <w:rPr>
          <w:rFonts w:eastAsiaTheme="minorHAnsi"/>
          <w:lang w:eastAsia="en-US"/>
        </w:rPr>
        <w:t>,</w:t>
      </w:r>
      <w:r w:rsidR="00062317">
        <w:rPr>
          <w:rFonts w:eastAsiaTheme="minorHAnsi"/>
          <w:lang w:eastAsia="en-US"/>
        </w:rPr>
        <w:t xml:space="preserve"> that produces high quality scientific outputs and enables industry to generate commercial returns</w:t>
      </w:r>
      <w:r w:rsidR="008C38F0">
        <w:rPr>
          <w:rFonts w:eastAsiaTheme="minorHAnsi"/>
          <w:lang w:eastAsia="en-US"/>
        </w:rPr>
        <w:t>,</w:t>
      </w:r>
      <w:r w:rsidR="001C2DC5">
        <w:rPr>
          <w:rFonts w:eastAsiaTheme="minorHAnsi"/>
          <w:lang w:eastAsia="en-US"/>
        </w:rPr>
        <w:t xml:space="preserve"> has been built</w:t>
      </w:r>
      <w:r w:rsidR="00062317">
        <w:rPr>
          <w:rFonts w:eastAsiaTheme="minorHAnsi"/>
          <w:lang w:eastAsia="en-US"/>
        </w:rPr>
        <w:t>.</w:t>
      </w:r>
    </w:p>
    <w:p w14:paraId="40C98220"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
          <w:lang w:eastAsia="en-US"/>
        </w:rPr>
        <w:t>Case Study: The German Innovation System</w:t>
      </w:r>
      <w:r w:rsidRPr="00AC5FD3">
        <w:rPr>
          <w:rFonts w:eastAsiaTheme="minorHAnsi"/>
          <w:bCs/>
          <w:lang w:eastAsia="en-US"/>
        </w:rPr>
        <w:br/>
        <w:t>The German Innovation System provides an example of how a country can realise substantial benefits through targeted and balanced Government support of innovation.  Government support in Germany takes many forms, including provision of strategic direction and research investment against those strategic directions.  There are also other reasons why Government support for the German Innovation System is considered successful:</w:t>
      </w:r>
    </w:p>
    <w:p w14:paraId="40C98221"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1.  The German Government releases regular long term innovation strategies.</w:t>
      </w:r>
    </w:p>
    <w:p w14:paraId="40C98222"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 xml:space="preserve">2.  The roles of the organisations in the system are well defined, reducing resource inefficiencies and unnecessary capability and activity duplication.  These roles are reinforced by different funding structures, for example the </w:t>
      </w:r>
      <w:proofErr w:type="spellStart"/>
      <w:r w:rsidRPr="00AC5FD3">
        <w:rPr>
          <w:rFonts w:eastAsiaTheme="minorHAnsi"/>
          <w:bCs/>
          <w:lang w:eastAsia="en-US"/>
        </w:rPr>
        <w:t>Fraunhofer</w:t>
      </w:r>
      <w:proofErr w:type="spellEnd"/>
      <w:r w:rsidRPr="00AC5FD3">
        <w:rPr>
          <w:rFonts w:eastAsiaTheme="minorHAnsi"/>
          <w:bCs/>
          <w:lang w:eastAsia="en-US"/>
        </w:rPr>
        <w:t xml:space="preserve"> institutes are funded at a 1:1 </w:t>
      </w:r>
      <w:proofErr w:type="spellStart"/>
      <w:r w:rsidRPr="00AC5FD3">
        <w:rPr>
          <w:rFonts w:eastAsiaTheme="minorHAnsi"/>
          <w:bCs/>
          <w:lang w:eastAsia="en-US"/>
        </w:rPr>
        <w:t>government:industry</w:t>
      </w:r>
      <w:proofErr w:type="spellEnd"/>
      <w:r w:rsidRPr="00AC5FD3">
        <w:rPr>
          <w:rFonts w:eastAsiaTheme="minorHAnsi"/>
          <w:bCs/>
          <w:lang w:eastAsia="en-US"/>
        </w:rPr>
        <w:t xml:space="preserve"> ratio whereas the Max Planck institutes rely almost entirely on state and federal government funds.  </w:t>
      </w:r>
    </w:p>
    <w:p w14:paraId="40C98223"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3.  The balance of funding between the various sectors of the system is made based on national need (as set out in the long term innovation strategies), ensuring that resources are focused on resolving problems critical to Germany’s sustainable global competitiveness.  These needs are reviewed regularly to ensure the mix is appropriate.</w:t>
      </w:r>
    </w:p>
    <w:p w14:paraId="40C98224"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 xml:space="preserve">4.  Funding for research that delivers social, economic and environmental benefits is balanced against funding for supporting collaboration and funding that supports the development of new research capability and infrastructure. </w:t>
      </w:r>
    </w:p>
    <w:p w14:paraId="40C98225"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 xml:space="preserve">5.  The German Government recognises that its industry cannot compete on a volume cost basis but rather on the production of high value products and services.  The importance of maintaining a high to medium-high technology economy, including an industry base that matches that and a long term industry focused R&amp;D sector (e.g. conducted by </w:t>
      </w:r>
      <w:proofErr w:type="spellStart"/>
      <w:r w:rsidRPr="00AC5FD3">
        <w:rPr>
          <w:rFonts w:eastAsiaTheme="minorHAnsi"/>
          <w:bCs/>
          <w:lang w:eastAsia="en-US"/>
        </w:rPr>
        <w:t>Fraunhofer</w:t>
      </w:r>
      <w:proofErr w:type="spellEnd"/>
      <w:r w:rsidRPr="00AC5FD3">
        <w:rPr>
          <w:rFonts w:eastAsiaTheme="minorHAnsi"/>
          <w:bCs/>
          <w:lang w:eastAsia="en-US"/>
        </w:rPr>
        <w:t>) illustrates the Government’s commitment to maintaining this competitive advantage.</w:t>
      </w:r>
    </w:p>
    <w:p w14:paraId="40C98226" w14:textId="77777777" w:rsidR="00AC5FD3" w:rsidRP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 xml:space="preserve">6.  Research funding for industry is transparent with policy rules understood by both industry and the public sector.  </w:t>
      </w:r>
    </w:p>
    <w:p w14:paraId="40C98227" w14:textId="77777777" w:rsidR="00AC5FD3" w:rsidRDefault="00AC5FD3" w:rsidP="004F2C5A">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Cs/>
          <w:lang w:eastAsia="en-US"/>
        </w:rPr>
        <w:t xml:space="preserve">The combination of </w:t>
      </w:r>
      <w:r w:rsidR="00944970" w:rsidRPr="00AC5FD3">
        <w:rPr>
          <w:rFonts w:eastAsiaTheme="minorHAnsi"/>
          <w:bCs/>
          <w:lang w:eastAsia="en-US"/>
        </w:rPr>
        <w:t>well-defined</w:t>
      </w:r>
      <w:r w:rsidRPr="00AC5FD3">
        <w:rPr>
          <w:rFonts w:eastAsiaTheme="minorHAnsi"/>
          <w:bCs/>
          <w:lang w:eastAsia="en-US"/>
        </w:rPr>
        <w:t xml:space="preserve"> funding streams and roles results in organisations that can focus on their strengths whilst ensuring that other requirements of the innovation system are covered by other organisations. This is best illustrated through </w:t>
      </w:r>
      <w:r w:rsidR="004F2C5A">
        <w:rPr>
          <w:rFonts w:eastAsiaTheme="minorHAnsi"/>
          <w:bCs/>
          <w:lang w:eastAsia="en-US"/>
        </w:rPr>
        <w:t xml:space="preserve">the funding models of </w:t>
      </w:r>
      <w:r w:rsidRPr="00AC5FD3">
        <w:rPr>
          <w:rFonts w:eastAsiaTheme="minorHAnsi"/>
          <w:bCs/>
          <w:lang w:eastAsia="en-US"/>
        </w:rPr>
        <w:t>the major research organisations/ groupings in Germany</w:t>
      </w:r>
      <w:r w:rsidR="00885CFD">
        <w:rPr>
          <w:rFonts w:eastAsiaTheme="minorHAnsi"/>
          <w:bCs/>
          <w:lang w:eastAsia="en-US"/>
        </w:rPr>
        <w:t xml:space="preserve"> as shown in </w:t>
      </w:r>
      <w:r w:rsidR="00342311">
        <w:rPr>
          <w:rFonts w:eastAsiaTheme="minorHAnsi"/>
          <w:bCs/>
          <w:lang w:eastAsia="en-US"/>
        </w:rPr>
        <w:fldChar w:fldCharType="begin"/>
      </w:r>
      <w:r w:rsidR="00885CFD">
        <w:rPr>
          <w:rFonts w:eastAsiaTheme="minorHAnsi"/>
          <w:bCs/>
          <w:lang w:eastAsia="en-US"/>
        </w:rPr>
        <w:instrText xml:space="preserve"> REF _Ref405291716 </w:instrText>
      </w:r>
      <w:r w:rsidR="00342311">
        <w:rPr>
          <w:rFonts w:eastAsiaTheme="minorHAnsi"/>
          <w:bCs/>
          <w:lang w:eastAsia="en-US"/>
        </w:rPr>
        <w:fldChar w:fldCharType="separate"/>
      </w:r>
      <w:r w:rsidR="000E7578" w:rsidRPr="00BF4742">
        <w:rPr>
          <w:b/>
          <w:color w:val="1F497D" w:themeColor="text2"/>
        </w:rPr>
        <w:t xml:space="preserve">Figure </w:t>
      </w:r>
      <w:r w:rsidR="000E7578">
        <w:rPr>
          <w:b/>
          <w:noProof/>
          <w:color w:val="1F497D" w:themeColor="text2"/>
        </w:rPr>
        <w:t>1</w:t>
      </w:r>
      <w:r w:rsidR="00342311">
        <w:rPr>
          <w:rFonts w:eastAsiaTheme="minorHAnsi"/>
          <w:bCs/>
          <w:lang w:eastAsia="en-US"/>
        </w:rPr>
        <w:fldChar w:fldCharType="end"/>
      </w:r>
      <w:r w:rsidRPr="00AC5FD3">
        <w:rPr>
          <w:rFonts w:eastAsiaTheme="minorHAnsi"/>
          <w:bCs/>
          <w:lang w:eastAsia="en-US"/>
        </w:rPr>
        <w:t xml:space="preserve">. This approach has enabled Germany to maintain a strong R&amp;D sector despite increasing international competition.  </w:t>
      </w:r>
    </w:p>
    <w:p w14:paraId="40C98228" w14:textId="77777777" w:rsidR="004F2C5A" w:rsidRDefault="004F2C5A" w:rsidP="004F2C5A">
      <w:pPr>
        <w:pBdr>
          <w:top w:val="single" w:sz="4" w:space="1" w:color="auto"/>
          <w:left w:val="single" w:sz="4" w:space="4" w:color="auto"/>
          <w:bottom w:val="single" w:sz="4" w:space="1" w:color="auto"/>
          <w:right w:val="single" w:sz="4" w:space="4" w:color="auto"/>
        </w:pBdr>
        <w:rPr>
          <w:rFonts w:eastAsiaTheme="minorHAnsi"/>
          <w:bCs/>
          <w:lang w:eastAsia="en-US"/>
        </w:rPr>
      </w:pPr>
      <w:r>
        <w:rPr>
          <w:rFonts w:eastAsiaTheme="minorHAnsi"/>
          <w:bCs/>
          <w:noProof/>
        </w:rPr>
        <w:lastRenderedPageBreak/>
        <w:drawing>
          <wp:inline distT="0" distB="0" distL="0" distR="0" wp14:anchorId="40C983B7" wp14:editId="3DDB55E2">
            <wp:extent cx="5685203" cy="3457575"/>
            <wp:effectExtent l="0" t="0" r="0" b="0"/>
            <wp:docPr id="29" name="Picture 29" descr="Diagram plots key players in the innovation system against financing (public, private) and research type (curiosity oriented, applied oriented)." title="Diagram of the German innov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1741" cy="3461551"/>
                    </a:xfrm>
                    <a:prstGeom prst="rect">
                      <a:avLst/>
                    </a:prstGeom>
                    <a:noFill/>
                  </pic:spPr>
                </pic:pic>
              </a:graphicData>
            </a:graphic>
          </wp:inline>
        </w:drawing>
      </w:r>
    </w:p>
    <w:p w14:paraId="40C98229" w14:textId="77777777" w:rsidR="00BF4742" w:rsidRDefault="004F2C5A" w:rsidP="00BF4742">
      <w:pPr>
        <w:autoSpaceDE w:val="0"/>
        <w:autoSpaceDN w:val="0"/>
        <w:adjustRightInd w:val="0"/>
      </w:pPr>
      <w:bookmarkStart w:id="3" w:name="_Ref405291716"/>
      <w:r w:rsidRPr="00BF4742">
        <w:rPr>
          <w:b/>
          <w:color w:val="1F497D" w:themeColor="text2"/>
        </w:rPr>
        <w:t xml:space="preserve">Figure </w:t>
      </w:r>
      <w:r w:rsidR="00342311" w:rsidRPr="00BF4742">
        <w:rPr>
          <w:b/>
          <w:color w:val="1F497D" w:themeColor="text2"/>
        </w:rPr>
        <w:fldChar w:fldCharType="begin"/>
      </w:r>
      <w:r w:rsidR="008E6341" w:rsidRPr="00BF4742">
        <w:rPr>
          <w:b/>
          <w:color w:val="1F497D" w:themeColor="text2"/>
        </w:rPr>
        <w:instrText xml:space="preserve"> SEQ Figure \* ARABIC </w:instrText>
      </w:r>
      <w:r w:rsidR="00342311" w:rsidRPr="00BF4742">
        <w:rPr>
          <w:b/>
          <w:color w:val="1F497D" w:themeColor="text2"/>
        </w:rPr>
        <w:fldChar w:fldCharType="separate"/>
      </w:r>
      <w:r w:rsidR="000E7578">
        <w:rPr>
          <w:b/>
          <w:noProof/>
          <w:color w:val="1F497D" w:themeColor="text2"/>
        </w:rPr>
        <w:t>1</w:t>
      </w:r>
      <w:r w:rsidR="00342311" w:rsidRPr="00BF4742">
        <w:rPr>
          <w:b/>
          <w:color w:val="1F497D" w:themeColor="text2"/>
        </w:rPr>
        <w:fldChar w:fldCharType="end"/>
      </w:r>
      <w:bookmarkEnd w:id="3"/>
      <w:r w:rsidRPr="00BF4742">
        <w:rPr>
          <w:b/>
          <w:color w:val="1F497D" w:themeColor="text2"/>
        </w:rPr>
        <w:t>: The German Innovation System: Source of financing versus research type</w:t>
      </w:r>
      <w:r w:rsidR="00BF4742">
        <w:t xml:space="preserve">.    </w:t>
      </w:r>
    </w:p>
    <w:p w14:paraId="40C9822A" w14:textId="77777777" w:rsidR="004F2C5A" w:rsidRPr="00BF4742" w:rsidRDefault="00BF4742" w:rsidP="00BF4742">
      <w:pPr>
        <w:autoSpaceDE w:val="0"/>
        <w:autoSpaceDN w:val="0"/>
        <w:adjustRightInd w:val="0"/>
        <w:rPr>
          <w:rFonts w:ascii="Calibri-Italic" w:hAnsi="Calibri-Italic" w:cs="Calibri-Italic"/>
          <w:i/>
          <w:iCs/>
          <w:color w:val="1F497D" w:themeColor="text2"/>
          <w:sz w:val="18"/>
          <w:szCs w:val="18"/>
        </w:rPr>
      </w:pPr>
      <w:r w:rsidRPr="00BF4742">
        <w:rPr>
          <w:color w:val="1F497D" w:themeColor="text2"/>
          <w:sz w:val="20"/>
          <w:szCs w:val="20"/>
        </w:rPr>
        <w:t xml:space="preserve">This diagram has been generated by CSIRO to illustrate the key players in the German Innovation System and further information about these players can be found for example at: </w:t>
      </w:r>
      <w:r w:rsidRPr="00BF4742">
        <w:rPr>
          <w:rFonts w:ascii="Calibri-Italic" w:hAnsi="Calibri-Italic" w:cs="Calibri-Italic"/>
          <w:i/>
          <w:iCs/>
          <w:color w:val="1F497D" w:themeColor="text2"/>
          <w:sz w:val="18"/>
          <w:szCs w:val="18"/>
        </w:rPr>
        <w:t>http://www.germaninnovation.org/research</w:t>
      </w:r>
      <w:r w:rsidRPr="00BF4742">
        <w:rPr>
          <w:rFonts w:ascii="Cambria Math" w:hAnsi="Cambria Math" w:cs="Cambria Math"/>
          <w:i/>
          <w:iCs/>
          <w:color w:val="1F497D" w:themeColor="text2"/>
          <w:sz w:val="18"/>
          <w:szCs w:val="18"/>
        </w:rPr>
        <w:t>‐</w:t>
      </w:r>
      <w:r w:rsidRPr="00BF4742">
        <w:rPr>
          <w:rFonts w:ascii="Calibri-Italic" w:hAnsi="Calibri-Italic" w:cs="Calibri-Italic"/>
          <w:i/>
          <w:iCs/>
          <w:color w:val="1F497D" w:themeColor="text2"/>
          <w:sz w:val="18"/>
          <w:szCs w:val="18"/>
        </w:rPr>
        <w:t>andinnovation/research</w:t>
      </w:r>
      <w:r w:rsidRPr="00BF4742">
        <w:rPr>
          <w:rFonts w:ascii="Cambria Math" w:hAnsi="Cambria Math" w:cs="Cambria Math"/>
          <w:i/>
          <w:iCs/>
          <w:color w:val="1F497D" w:themeColor="text2"/>
          <w:sz w:val="18"/>
          <w:szCs w:val="18"/>
        </w:rPr>
        <w:t>‐</w:t>
      </w:r>
      <w:r w:rsidRPr="00BF4742">
        <w:rPr>
          <w:rFonts w:ascii="Calibri-Italic" w:hAnsi="Calibri-Italic" w:cs="Calibri-Italic"/>
          <w:i/>
          <w:iCs/>
          <w:color w:val="1F497D" w:themeColor="text2"/>
          <w:sz w:val="18"/>
          <w:szCs w:val="18"/>
        </w:rPr>
        <w:t>in</w:t>
      </w:r>
      <w:r w:rsidRPr="00BF4742">
        <w:rPr>
          <w:rFonts w:ascii="Cambria Math" w:hAnsi="Cambria Math" w:cs="Cambria Math"/>
          <w:i/>
          <w:iCs/>
          <w:color w:val="1F497D" w:themeColor="text2"/>
          <w:sz w:val="18"/>
          <w:szCs w:val="18"/>
        </w:rPr>
        <w:t>‐</w:t>
      </w:r>
      <w:r w:rsidRPr="00BF4742">
        <w:rPr>
          <w:rFonts w:ascii="Calibri-Italic" w:hAnsi="Calibri-Italic" w:cs="Calibri-Italic"/>
          <w:i/>
          <w:iCs/>
          <w:color w:val="1F497D" w:themeColor="text2"/>
          <w:sz w:val="18"/>
          <w:szCs w:val="18"/>
        </w:rPr>
        <w:t>germany</w:t>
      </w:r>
    </w:p>
    <w:p w14:paraId="40C9822B" w14:textId="77777777" w:rsidR="00BF4742" w:rsidRDefault="00BF4742" w:rsidP="00AC5FD3">
      <w:pPr>
        <w:rPr>
          <w:rFonts w:eastAsiaTheme="minorHAnsi"/>
          <w:lang w:eastAsia="en-US"/>
        </w:rPr>
      </w:pPr>
    </w:p>
    <w:p w14:paraId="40C9822C" w14:textId="77777777" w:rsidR="00AC5FD3" w:rsidRPr="00AC5FD3" w:rsidRDefault="00AC5FD3" w:rsidP="00AC5FD3">
      <w:pPr>
        <w:rPr>
          <w:rFonts w:eastAsiaTheme="minorHAnsi"/>
          <w:lang w:eastAsia="en-US"/>
        </w:rPr>
      </w:pPr>
      <w:r w:rsidRPr="00AC5FD3">
        <w:rPr>
          <w:rFonts w:eastAsiaTheme="minorHAnsi"/>
          <w:lang w:eastAsia="en-US"/>
        </w:rPr>
        <w:t xml:space="preserve">As well as ensuring a balance of research in the system, </w:t>
      </w:r>
      <w:r w:rsidR="008E6341" w:rsidRPr="008E6341">
        <w:rPr>
          <w:rFonts w:eastAsiaTheme="minorHAnsi"/>
          <w:b/>
          <w:lang w:eastAsia="en-US"/>
        </w:rPr>
        <w:t>it is important that the sectoral differences in the system are considered</w:t>
      </w:r>
      <w:r w:rsidRPr="00AC5FD3">
        <w:rPr>
          <w:rFonts w:eastAsiaTheme="minorHAnsi"/>
          <w:lang w:eastAsia="en-US"/>
        </w:rPr>
        <w:t>. As CSIRO argues in its submission to the Inquiry into the Innovation System,</w:t>
      </w:r>
      <w:r w:rsidRPr="00AC5FD3">
        <w:rPr>
          <w:rFonts w:eastAsiaTheme="minorHAnsi"/>
          <w:vertAlign w:val="superscript"/>
          <w:lang w:eastAsia="en-US"/>
        </w:rPr>
        <w:endnoteReference w:id="1"/>
      </w:r>
      <w:r w:rsidRPr="00AC5FD3">
        <w:rPr>
          <w:rFonts w:eastAsiaTheme="minorHAnsi"/>
          <w:lang w:eastAsia="en-US"/>
        </w:rPr>
        <w:t xml:space="preserve"> the ability of public sector research to support industry objectives varies greatly between sectors. An example of a well performing sector is that of pre-farm gate agriculture where the sector maintains a R&amp;D system that can focus on opportunities based on their benefit to the industry by allowing farmers and other producers to have a say in the direction of research. CSIRO notes three key factors in this:</w:t>
      </w:r>
    </w:p>
    <w:p w14:paraId="40C9822D" w14:textId="77777777" w:rsidR="00AC5FD3" w:rsidRPr="00AC5FD3" w:rsidRDefault="00AC5FD3" w:rsidP="00855D5A">
      <w:pPr>
        <w:numPr>
          <w:ilvl w:val="0"/>
          <w:numId w:val="1"/>
        </w:numPr>
        <w:contextualSpacing/>
        <w:rPr>
          <w:rFonts w:eastAsiaTheme="minorHAnsi"/>
        </w:rPr>
      </w:pPr>
      <w:r w:rsidRPr="00AC5FD3">
        <w:rPr>
          <w:rFonts w:eastAsiaTheme="minorHAnsi"/>
        </w:rPr>
        <w:t xml:space="preserve">The Rural Development Corporations provide a mechanism that consolidates industry requirements for R&amp;D into an integrated portfolio, with this research directed towards the needs of producers. </w:t>
      </w:r>
    </w:p>
    <w:p w14:paraId="40C9822E" w14:textId="77777777" w:rsidR="00AC5FD3" w:rsidRPr="00AC5FD3" w:rsidRDefault="00AC5FD3" w:rsidP="00855D5A">
      <w:pPr>
        <w:numPr>
          <w:ilvl w:val="0"/>
          <w:numId w:val="1"/>
        </w:numPr>
        <w:contextualSpacing/>
        <w:rPr>
          <w:rFonts w:eastAsiaTheme="minorHAnsi"/>
        </w:rPr>
      </w:pPr>
      <w:r w:rsidRPr="00AC5FD3">
        <w:rPr>
          <w:rFonts w:eastAsiaTheme="minorHAnsi"/>
        </w:rPr>
        <w:t xml:space="preserve">The research has relatively stable funding through a </w:t>
      </w:r>
      <w:r w:rsidR="00944970" w:rsidRPr="00AC5FD3">
        <w:rPr>
          <w:rFonts w:eastAsiaTheme="minorHAnsi"/>
        </w:rPr>
        <w:t>well-articulated</w:t>
      </w:r>
      <w:r w:rsidRPr="00AC5FD3">
        <w:rPr>
          <w:rFonts w:eastAsiaTheme="minorHAnsi"/>
        </w:rPr>
        <w:t xml:space="preserve"> mix of Government funding and industry levies. </w:t>
      </w:r>
    </w:p>
    <w:p w14:paraId="40C9822F" w14:textId="77777777" w:rsidR="00AC5FD3" w:rsidRPr="00AC5FD3" w:rsidRDefault="00AC5FD3" w:rsidP="00855D5A">
      <w:pPr>
        <w:numPr>
          <w:ilvl w:val="0"/>
          <w:numId w:val="1"/>
        </w:numPr>
        <w:spacing w:after="240"/>
        <w:contextualSpacing/>
        <w:rPr>
          <w:rFonts w:eastAsiaTheme="minorHAnsi"/>
        </w:rPr>
      </w:pPr>
      <w:r w:rsidRPr="00AC5FD3">
        <w:rPr>
          <w:rFonts w:eastAsiaTheme="minorHAnsi"/>
        </w:rPr>
        <w:t xml:space="preserve">Significant sector specific capability is maintained in organisations, including CSIRO, who have developed and maintained long term relationships with suppliers and key industry bodies. </w:t>
      </w:r>
    </w:p>
    <w:p w14:paraId="40C98230" w14:textId="77777777" w:rsidR="00AC5FD3" w:rsidRDefault="00AC5FD3" w:rsidP="00AC5FD3">
      <w:pPr>
        <w:rPr>
          <w:rFonts w:eastAsiaTheme="minorHAnsi"/>
          <w:lang w:eastAsia="en-US"/>
        </w:rPr>
      </w:pPr>
      <w:r w:rsidRPr="00AC5FD3">
        <w:rPr>
          <w:rFonts w:eastAsiaTheme="minorHAnsi"/>
          <w:lang w:eastAsia="en-US"/>
        </w:rPr>
        <w:t xml:space="preserve">The Manufacturing </w:t>
      </w:r>
      <w:r w:rsidR="00111BB5">
        <w:rPr>
          <w:rFonts w:eastAsiaTheme="minorHAnsi"/>
          <w:lang w:eastAsia="en-US"/>
        </w:rPr>
        <w:t>s</w:t>
      </w:r>
      <w:r w:rsidRPr="00AC5FD3">
        <w:rPr>
          <w:rFonts w:eastAsiaTheme="minorHAnsi"/>
          <w:lang w:eastAsia="en-US"/>
        </w:rPr>
        <w:t xml:space="preserve">ector in comparison </w:t>
      </w:r>
      <w:r w:rsidR="008C38F0">
        <w:rPr>
          <w:rFonts w:eastAsiaTheme="minorHAnsi"/>
          <w:lang w:eastAsia="en-US"/>
        </w:rPr>
        <w:t xml:space="preserve">is more challenging as it </w:t>
      </w:r>
      <w:r w:rsidRPr="00AC5FD3">
        <w:rPr>
          <w:rFonts w:eastAsiaTheme="minorHAnsi"/>
          <w:lang w:eastAsia="en-US"/>
        </w:rPr>
        <w:t>combines low public and private investment in innovation (by international standards)</w:t>
      </w:r>
      <w:r w:rsidR="00111BB5">
        <w:rPr>
          <w:rFonts w:eastAsiaTheme="minorHAnsi"/>
          <w:lang w:eastAsia="en-US"/>
        </w:rPr>
        <w:t>, is</w:t>
      </w:r>
      <w:r w:rsidR="0089281F">
        <w:rPr>
          <w:rFonts w:eastAsiaTheme="minorHAnsi"/>
          <w:lang w:eastAsia="en-US"/>
        </w:rPr>
        <w:t xml:space="preserve"> an </w:t>
      </w:r>
      <w:r w:rsidR="00111BB5">
        <w:rPr>
          <w:rFonts w:eastAsiaTheme="minorHAnsi"/>
          <w:lang w:eastAsia="en-US"/>
        </w:rPr>
        <w:t xml:space="preserve">industry sector that has a large </w:t>
      </w:r>
      <w:r w:rsidR="00111BB5">
        <w:rPr>
          <w:rFonts w:eastAsiaTheme="minorHAnsi"/>
          <w:lang w:eastAsia="en-US"/>
        </w:rPr>
        <w:lastRenderedPageBreak/>
        <w:t xml:space="preserve">proportion of </w:t>
      </w:r>
      <w:proofErr w:type="spellStart"/>
      <w:r w:rsidR="00111BB5">
        <w:rPr>
          <w:rFonts w:eastAsiaTheme="minorHAnsi"/>
          <w:lang w:eastAsia="en-US"/>
        </w:rPr>
        <w:t>SMEs</w:t>
      </w:r>
      <w:proofErr w:type="spellEnd"/>
      <w:r w:rsidR="0089281F">
        <w:rPr>
          <w:rFonts w:eastAsiaTheme="minorHAnsi"/>
          <w:lang w:eastAsia="en-US"/>
        </w:rPr>
        <w:t xml:space="preserve">, </w:t>
      </w:r>
      <w:r w:rsidR="00111BB5">
        <w:rPr>
          <w:rFonts w:eastAsiaTheme="minorHAnsi"/>
          <w:lang w:eastAsia="en-US"/>
        </w:rPr>
        <w:t>with the attendant capital limitations,</w:t>
      </w:r>
      <w:r w:rsidRPr="00AC5FD3">
        <w:rPr>
          <w:rFonts w:eastAsiaTheme="minorHAnsi"/>
          <w:lang w:eastAsia="en-US"/>
        </w:rPr>
        <w:t xml:space="preserve"> </w:t>
      </w:r>
      <w:r w:rsidR="00111BB5">
        <w:rPr>
          <w:rFonts w:eastAsiaTheme="minorHAnsi"/>
          <w:lang w:eastAsia="en-US"/>
        </w:rPr>
        <w:t>and has</w:t>
      </w:r>
      <w:r w:rsidR="00111BB5" w:rsidRPr="00AC5FD3">
        <w:rPr>
          <w:rFonts w:eastAsiaTheme="minorHAnsi"/>
          <w:lang w:eastAsia="en-US"/>
        </w:rPr>
        <w:t xml:space="preserve"> </w:t>
      </w:r>
      <w:r w:rsidRPr="00AC5FD3">
        <w:rPr>
          <w:rFonts w:eastAsiaTheme="minorHAnsi"/>
          <w:lang w:eastAsia="en-US"/>
        </w:rPr>
        <w:t>low numbers of industry based researchers.</w:t>
      </w:r>
      <w:r w:rsidRPr="00AC5FD3">
        <w:rPr>
          <w:rFonts w:eastAsiaTheme="minorHAnsi"/>
          <w:vertAlign w:val="superscript"/>
          <w:lang w:eastAsia="en-US"/>
        </w:rPr>
        <w:endnoteReference w:id="2"/>
      </w:r>
      <w:r w:rsidRPr="00AC5FD3">
        <w:rPr>
          <w:rFonts w:eastAsiaTheme="minorHAnsi"/>
          <w:lang w:eastAsia="en-US"/>
        </w:rPr>
        <w:t xml:space="preserve"> This is a major factor in Australia maintaining the lowest percentage value add (Approximately 6-7% of total manufacturing value add) in the OECD for high technology manufacturing</w:t>
      </w:r>
      <w:r w:rsidRPr="00AC5FD3">
        <w:rPr>
          <w:rFonts w:eastAsiaTheme="minorHAnsi"/>
          <w:vertAlign w:val="superscript"/>
          <w:lang w:eastAsia="en-US"/>
        </w:rPr>
        <w:endnoteReference w:id="3"/>
      </w:r>
      <w:r w:rsidRPr="00AC5FD3">
        <w:rPr>
          <w:rFonts w:eastAsiaTheme="minorHAnsi"/>
          <w:vertAlign w:val="superscript"/>
          <w:lang w:eastAsia="en-US"/>
        </w:rPr>
        <w:t>,</w:t>
      </w:r>
      <w:r w:rsidRPr="00AC5FD3">
        <w:rPr>
          <w:rFonts w:eastAsiaTheme="minorHAnsi"/>
          <w:vertAlign w:val="superscript"/>
          <w:lang w:eastAsia="en-US"/>
        </w:rPr>
        <w:endnoteReference w:id="4"/>
      </w:r>
      <w:r w:rsidRPr="00AC5FD3">
        <w:rPr>
          <w:rFonts w:eastAsiaTheme="minorHAnsi"/>
          <w:lang w:eastAsia="en-US"/>
        </w:rPr>
        <w:t xml:space="preserve"> and places the sector at a significant disadvantage when competing globally.</w:t>
      </w:r>
    </w:p>
    <w:p w14:paraId="40C98231" w14:textId="77777777" w:rsidR="00062317" w:rsidRPr="00AC5FD3" w:rsidRDefault="00062317" w:rsidP="00855D5A">
      <w:pPr>
        <w:rPr>
          <w:rFonts w:eastAsiaTheme="minorHAnsi"/>
          <w:lang w:eastAsia="en-US"/>
        </w:rPr>
      </w:pPr>
      <w:r>
        <w:rPr>
          <w:rFonts w:eastAsiaTheme="minorHAnsi"/>
          <w:lang w:eastAsia="en-US"/>
        </w:rPr>
        <w:t>CSIRO through its long history of engaging with industry</w:t>
      </w:r>
      <w:r w:rsidR="002522E4">
        <w:rPr>
          <w:rFonts w:eastAsiaTheme="minorHAnsi"/>
          <w:lang w:eastAsia="en-US"/>
        </w:rPr>
        <w:t xml:space="preserve"> </w:t>
      </w:r>
      <w:r>
        <w:rPr>
          <w:rFonts w:eastAsiaTheme="minorHAnsi"/>
          <w:lang w:eastAsia="en-US"/>
        </w:rPr>
        <w:t xml:space="preserve">believes its experience in working with industry is worth highlighting in the context of the discussion of boosting commercial returns. </w:t>
      </w:r>
      <w:r w:rsidR="002522E4" w:rsidRPr="00855D5A">
        <w:rPr>
          <w:rFonts w:eastAsiaTheme="minorHAnsi"/>
          <w:lang w:eastAsia="en-US"/>
        </w:rPr>
        <w:t xml:space="preserve">CSIRO delivers benefit to industry in a number of ways, including conducting research and services; providing near-to-market, technical support services in areas of CSIRO expertise; participating in collaborations with industry collaboration vehicles including 15 </w:t>
      </w:r>
      <w:proofErr w:type="spellStart"/>
      <w:r w:rsidR="002522E4" w:rsidRPr="00855D5A">
        <w:rPr>
          <w:rFonts w:eastAsiaTheme="minorHAnsi"/>
          <w:lang w:eastAsia="en-US"/>
        </w:rPr>
        <w:t>RDCs</w:t>
      </w:r>
      <w:proofErr w:type="spellEnd"/>
      <w:r w:rsidR="002522E4" w:rsidRPr="00855D5A">
        <w:rPr>
          <w:rFonts w:eastAsiaTheme="minorHAnsi"/>
          <w:lang w:eastAsia="en-US"/>
        </w:rPr>
        <w:t xml:space="preserve"> and 28 industry associations</w:t>
      </w:r>
      <w:r w:rsidR="002E163A">
        <w:rPr>
          <w:rFonts w:eastAsiaTheme="minorHAnsi"/>
          <w:lang w:eastAsia="en-US"/>
        </w:rPr>
        <w:t>, and the 139</w:t>
      </w:r>
      <w:r w:rsidR="002E163A" w:rsidRPr="00855D5A">
        <w:rPr>
          <w:rFonts w:eastAsiaTheme="minorHAnsi"/>
          <w:lang w:eastAsia="en-US"/>
        </w:rPr>
        <w:t xml:space="preserve"> CRCs</w:t>
      </w:r>
      <w:r w:rsidR="002E163A">
        <w:rPr>
          <w:rFonts w:eastAsiaTheme="minorHAnsi"/>
          <w:lang w:eastAsia="en-US"/>
        </w:rPr>
        <w:t xml:space="preserve"> that CSIRO has participated in</w:t>
      </w:r>
      <w:r w:rsidR="002522E4" w:rsidRPr="00855D5A">
        <w:rPr>
          <w:rFonts w:eastAsiaTheme="minorHAnsi"/>
          <w:lang w:eastAsia="en-US"/>
        </w:rPr>
        <w:t>.  In 2012-13, CSIRO conducted more than $</w:t>
      </w:r>
      <w:proofErr w:type="spellStart"/>
      <w:r w:rsidR="002522E4" w:rsidRPr="00855D5A">
        <w:rPr>
          <w:rFonts w:eastAsiaTheme="minorHAnsi"/>
          <w:lang w:eastAsia="en-US"/>
        </w:rPr>
        <w:t>430m</w:t>
      </w:r>
      <w:proofErr w:type="spellEnd"/>
      <w:r w:rsidR="002522E4" w:rsidRPr="00855D5A">
        <w:rPr>
          <w:rFonts w:eastAsiaTheme="minorHAnsi"/>
          <w:lang w:eastAsia="en-US"/>
        </w:rPr>
        <w:t xml:space="preserve"> of research and development activities under these arrangements with firms, industry associations </w:t>
      </w:r>
      <w:r w:rsidR="00855D5A" w:rsidRPr="00855D5A">
        <w:rPr>
          <w:rFonts w:eastAsiaTheme="minorHAnsi"/>
          <w:lang w:eastAsia="en-US"/>
        </w:rPr>
        <w:t>and collaborative arrangements</w:t>
      </w:r>
      <w:r w:rsidR="002522E4" w:rsidRPr="00855D5A">
        <w:rPr>
          <w:rFonts w:eastAsiaTheme="minorHAnsi"/>
          <w:lang w:eastAsia="en-US"/>
        </w:rPr>
        <w:t xml:space="preserve">.  </w:t>
      </w:r>
      <w:r w:rsidR="00855D5A" w:rsidRPr="00855D5A">
        <w:rPr>
          <w:rFonts w:eastAsiaTheme="minorHAnsi"/>
          <w:lang w:eastAsia="en-US"/>
        </w:rPr>
        <w:t xml:space="preserve">To support this engagement CSIRO runs a systematic client feedback program to understand how effective CSIRO is in delivering to its industry partners. This feedback along with advice from industry focused advisory groups provides part of the evidence base to help CSIRO improve its engagement with industry. </w:t>
      </w:r>
      <w:r w:rsidR="009B2E56">
        <w:fldChar w:fldCharType="begin"/>
      </w:r>
      <w:r w:rsidR="009B2E56">
        <w:instrText xml:space="preserve"> REF _Ref405280401 \h  \* MERGEFORMAT </w:instrText>
      </w:r>
      <w:r w:rsidR="009B2E56">
        <w:fldChar w:fldCharType="separate"/>
      </w:r>
      <w:r w:rsidR="000E7578" w:rsidRPr="000E7578">
        <w:rPr>
          <w:rFonts w:eastAsiaTheme="minorHAnsi"/>
          <w:b/>
          <w:lang w:eastAsia="en-US"/>
        </w:rPr>
        <w:t>Attachment 1: CSIRO - Delivering Impact with Industry</w:t>
      </w:r>
      <w:r w:rsidR="009B2E56">
        <w:fldChar w:fldCharType="end"/>
      </w:r>
      <w:r w:rsidRPr="00AC5FD3">
        <w:rPr>
          <w:rFonts w:eastAsiaTheme="minorHAnsi"/>
          <w:lang w:eastAsia="en-US"/>
        </w:rPr>
        <w:t xml:space="preserve"> outlines</w:t>
      </w:r>
      <w:r w:rsidR="00C73F8A">
        <w:rPr>
          <w:rFonts w:eastAsiaTheme="minorHAnsi"/>
          <w:lang w:eastAsia="en-US"/>
        </w:rPr>
        <w:t xml:space="preserve"> and provides examples of</w:t>
      </w:r>
      <w:r w:rsidRPr="00AC5FD3">
        <w:rPr>
          <w:rFonts w:eastAsiaTheme="minorHAnsi"/>
          <w:lang w:eastAsia="en-US"/>
        </w:rPr>
        <w:t xml:space="preserve"> how CSIRO engages with the private sector to deliver commercial returns from research.</w:t>
      </w:r>
    </w:p>
    <w:p w14:paraId="40C98233" w14:textId="77777777" w:rsidR="00AC5FD3" w:rsidRPr="00AC5FD3" w:rsidRDefault="00AC5FD3" w:rsidP="00AC5FD3">
      <w:pPr>
        <w:pStyle w:val="Heading1"/>
      </w:pPr>
      <w:bookmarkStart w:id="4" w:name="_Toc405494766"/>
      <w:r w:rsidRPr="00AC5FD3">
        <w:t>CSIRO’s</w:t>
      </w:r>
      <w:r w:rsidR="00ED212A">
        <w:t xml:space="preserve"> r</w:t>
      </w:r>
      <w:r w:rsidRPr="00AC5FD3">
        <w:t xml:space="preserve">esponse to the </w:t>
      </w:r>
      <w:r w:rsidR="00792F61">
        <w:t>o</w:t>
      </w:r>
      <w:r w:rsidRPr="00AC5FD3">
        <w:t>pportunities outlined in the paper</w:t>
      </w:r>
      <w:bookmarkEnd w:id="4"/>
    </w:p>
    <w:p w14:paraId="40C98234" w14:textId="77777777" w:rsidR="00AC5FD3" w:rsidRDefault="00AC5FD3" w:rsidP="00AC5FD3">
      <w:pPr>
        <w:rPr>
          <w:rFonts w:eastAsiaTheme="minorHAnsi"/>
          <w:lang w:eastAsia="en-US"/>
        </w:rPr>
      </w:pPr>
      <w:r w:rsidRPr="00AC5FD3">
        <w:rPr>
          <w:rFonts w:eastAsiaTheme="minorHAnsi"/>
          <w:lang w:eastAsia="en-US"/>
        </w:rPr>
        <w:t>The Boosting Commercial Returns from Research paper includes a number of opportunities that CSIRO supports. CSIRO makes the following comments on each of the opportunities.</w:t>
      </w:r>
    </w:p>
    <w:p w14:paraId="40C98236" w14:textId="77777777" w:rsidR="00AC5FD3" w:rsidRPr="00AC5FD3" w:rsidRDefault="00AC5FD3" w:rsidP="00AC5FD3">
      <w:pPr>
        <w:pStyle w:val="Heading2"/>
        <w:rPr>
          <w:lang w:eastAsia="en-US"/>
        </w:rPr>
      </w:pPr>
      <w:bookmarkStart w:id="5" w:name="_Toc405494767"/>
      <w:r w:rsidRPr="00AC5FD3">
        <w:rPr>
          <w:lang w:eastAsia="en-US"/>
        </w:rPr>
        <w:t>‘Opportunity to assure Australia’s research focus’</w:t>
      </w:r>
      <w:bookmarkEnd w:id="5"/>
    </w:p>
    <w:p w14:paraId="40C98237" w14:textId="77777777" w:rsidR="00AC5FD3" w:rsidRPr="00AC5FD3" w:rsidRDefault="00AC5FD3" w:rsidP="00AC5FD3">
      <w:pPr>
        <w:rPr>
          <w:rFonts w:eastAsiaTheme="minorHAnsi"/>
          <w:lang w:eastAsia="en-US"/>
        </w:rPr>
      </w:pPr>
      <w:r w:rsidRPr="00AC5FD3">
        <w:rPr>
          <w:rFonts w:eastAsiaTheme="minorHAnsi"/>
          <w:lang w:eastAsia="en-US"/>
        </w:rPr>
        <w:t xml:space="preserve">CSIRO supports the development of practical challenges and </w:t>
      </w:r>
      <w:r w:rsidR="00B22169">
        <w:rPr>
          <w:rFonts w:eastAsiaTheme="minorHAnsi"/>
          <w:lang w:eastAsia="en-US"/>
        </w:rPr>
        <w:t xml:space="preserve">then </w:t>
      </w:r>
      <w:r w:rsidRPr="00AC5FD3">
        <w:rPr>
          <w:rFonts w:eastAsiaTheme="minorHAnsi"/>
          <w:lang w:eastAsia="en-US"/>
        </w:rPr>
        <w:t xml:space="preserve">aligning </w:t>
      </w:r>
      <w:r w:rsidR="00111BB5">
        <w:rPr>
          <w:rFonts w:eastAsiaTheme="minorHAnsi"/>
          <w:lang w:eastAsia="en-US"/>
        </w:rPr>
        <w:t xml:space="preserve">a planned proportion of the national </w:t>
      </w:r>
      <w:r w:rsidRPr="00AC5FD3">
        <w:rPr>
          <w:rFonts w:eastAsiaTheme="minorHAnsi"/>
          <w:lang w:eastAsia="en-US"/>
        </w:rPr>
        <w:t>research effort to</w:t>
      </w:r>
      <w:r w:rsidR="00111BB5">
        <w:rPr>
          <w:rFonts w:eastAsiaTheme="minorHAnsi"/>
          <w:lang w:eastAsia="en-US"/>
        </w:rPr>
        <w:t>wards</w:t>
      </w:r>
      <w:r w:rsidRPr="00AC5FD3">
        <w:rPr>
          <w:rFonts w:eastAsiaTheme="minorHAnsi"/>
          <w:lang w:eastAsia="en-US"/>
        </w:rPr>
        <w:t xml:space="preserve"> these</w:t>
      </w:r>
      <w:r w:rsidR="00B22169">
        <w:rPr>
          <w:rFonts w:eastAsiaTheme="minorHAnsi"/>
          <w:lang w:eastAsia="en-US"/>
        </w:rPr>
        <w:t xml:space="preserve"> with ongoing measurement of that alignment</w:t>
      </w:r>
      <w:r w:rsidRPr="00AC5FD3">
        <w:rPr>
          <w:rFonts w:eastAsiaTheme="minorHAnsi"/>
          <w:lang w:eastAsia="en-US"/>
        </w:rPr>
        <w:t xml:space="preserve">.  To ensure that the practical challenges are useful in guiding research effort it is important that </w:t>
      </w:r>
      <w:r w:rsidR="00B22169">
        <w:rPr>
          <w:rFonts w:eastAsiaTheme="minorHAnsi"/>
          <w:lang w:eastAsia="en-US"/>
        </w:rPr>
        <w:t xml:space="preserve">- </w:t>
      </w:r>
      <w:r w:rsidRPr="00AC5FD3">
        <w:rPr>
          <w:rFonts w:eastAsiaTheme="minorHAnsi"/>
          <w:lang w:eastAsia="en-US"/>
        </w:rPr>
        <w:t>as well as taking ‘into account areas of current and future research excellence, industrial strength, global trends and community interests’</w:t>
      </w:r>
      <w:r w:rsidRPr="00AC5FD3">
        <w:rPr>
          <w:rFonts w:eastAsiaTheme="minorHAnsi"/>
          <w:vertAlign w:val="superscript"/>
          <w:lang w:eastAsia="en-US"/>
        </w:rPr>
        <w:endnoteReference w:id="5"/>
      </w:r>
      <w:r w:rsidRPr="00AC5FD3">
        <w:rPr>
          <w:rFonts w:eastAsiaTheme="minorHAnsi"/>
          <w:lang w:eastAsia="en-US"/>
        </w:rPr>
        <w:t xml:space="preserve"> </w:t>
      </w:r>
      <w:r w:rsidR="00B22169">
        <w:rPr>
          <w:rFonts w:eastAsiaTheme="minorHAnsi"/>
          <w:lang w:eastAsia="en-US"/>
        </w:rPr>
        <w:t>-</w:t>
      </w:r>
      <w:r w:rsidRPr="00AC5FD3">
        <w:rPr>
          <w:rFonts w:eastAsiaTheme="minorHAnsi"/>
          <w:lang w:eastAsia="en-US"/>
        </w:rPr>
        <w:t xml:space="preserve"> they are </w:t>
      </w:r>
      <w:r w:rsidR="00EC6A4E">
        <w:rPr>
          <w:rFonts w:eastAsiaTheme="minorHAnsi"/>
          <w:lang w:eastAsia="en-US"/>
        </w:rPr>
        <w:t>limited in number and scope</w:t>
      </w:r>
      <w:r w:rsidR="00EC6A4E" w:rsidRPr="00AC5FD3">
        <w:rPr>
          <w:rFonts w:eastAsiaTheme="minorHAnsi"/>
          <w:lang w:eastAsia="en-US"/>
        </w:rPr>
        <w:t xml:space="preserve"> </w:t>
      </w:r>
      <w:r w:rsidRPr="00AC5FD3">
        <w:rPr>
          <w:rFonts w:eastAsiaTheme="minorHAnsi"/>
          <w:lang w:eastAsia="en-US"/>
        </w:rPr>
        <w:t xml:space="preserve">to enable </w:t>
      </w:r>
      <w:r w:rsidR="00B22169">
        <w:rPr>
          <w:rFonts w:eastAsiaTheme="minorHAnsi"/>
          <w:lang w:eastAsia="en-US"/>
        </w:rPr>
        <w:t xml:space="preserve">both </w:t>
      </w:r>
      <w:r w:rsidRPr="00AC5FD3">
        <w:rPr>
          <w:rFonts w:eastAsiaTheme="minorHAnsi"/>
          <w:lang w:eastAsia="en-US"/>
        </w:rPr>
        <w:t xml:space="preserve">research organisations and industry to effectively </w:t>
      </w:r>
      <w:r w:rsidR="00EC6A4E">
        <w:rPr>
          <w:rFonts w:eastAsiaTheme="minorHAnsi"/>
          <w:lang w:eastAsia="en-US"/>
        </w:rPr>
        <w:t>focus</w:t>
      </w:r>
      <w:r w:rsidR="00EC6A4E" w:rsidRPr="00AC5FD3">
        <w:rPr>
          <w:rFonts w:eastAsiaTheme="minorHAnsi"/>
          <w:lang w:eastAsia="en-US"/>
        </w:rPr>
        <w:t xml:space="preserve"> </w:t>
      </w:r>
      <w:r w:rsidRPr="00AC5FD3">
        <w:rPr>
          <w:rFonts w:eastAsiaTheme="minorHAnsi"/>
          <w:lang w:eastAsia="en-US"/>
        </w:rPr>
        <w:t xml:space="preserve">their investments and activities. In summary, if Australia is to maximise the </w:t>
      </w:r>
      <w:r w:rsidR="002E163A">
        <w:rPr>
          <w:rFonts w:eastAsiaTheme="minorHAnsi"/>
          <w:lang w:eastAsia="en-US"/>
        </w:rPr>
        <w:t>impact of</w:t>
      </w:r>
      <w:r w:rsidRPr="00AC5FD3">
        <w:rPr>
          <w:rFonts w:eastAsiaTheme="minorHAnsi"/>
          <w:lang w:eastAsia="en-US"/>
        </w:rPr>
        <w:t xml:space="preserve"> its research</w:t>
      </w:r>
      <w:r w:rsidR="002E163A">
        <w:rPr>
          <w:rFonts w:eastAsiaTheme="minorHAnsi"/>
          <w:lang w:eastAsia="en-US"/>
        </w:rPr>
        <w:t xml:space="preserve"> generally, as well as the commercial outcomes from that research,</w:t>
      </w:r>
      <w:r w:rsidRPr="00AC5FD3">
        <w:rPr>
          <w:rFonts w:eastAsiaTheme="minorHAnsi"/>
          <w:lang w:eastAsia="en-US"/>
        </w:rPr>
        <w:t xml:space="preserve"> then it must </w:t>
      </w:r>
      <w:r w:rsidR="002E163A">
        <w:rPr>
          <w:rFonts w:eastAsiaTheme="minorHAnsi"/>
          <w:lang w:eastAsia="en-US"/>
        </w:rPr>
        <w:t xml:space="preserve">both </w:t>
      </w:r>
      <w:r w:rsidRPr="00AC5FD3">
        <w:rPr>
          <w:rFonts w:eastAsiaTheme="minorHAnsi"/>
          <w:lang w:eastAsia="en-US"/>
        </w:rPr>
        <w:t>play to its strengths</w:t>
      </w:r>
      <w:r w:rsidR="002E163A">
        <w:rPr>
          <w:rFonts w:eastAsiaTheme="minorHAnsi"/>
          <w:lang w:eastAsia="en-US"/>
        </w:rPr>
        <w:t xml:space="preserve"> and also align research to intended outcomes</w:t>
      </w:r>
      <w:r w:rsidRPr="00AC5FD3">
        <w:rPr>
          <w:rFonts w:eastAsiaTheme="minorHAnsi"/>
          <w:lang w:eastAsia="en-US"/>
        </w:rPr>
        <w:t>.</w:t>
      </w:r>
    </w:p>
    <w:p w14:paraId="40C98238" w14:textId="77777777" w:rsidR="00AC5FD3" w:rsidRPr="00AC5FD3" w:rsidRDefault="00AC5FD3" w:rsidP="00AC5FD3">
      <w:pPr>
        <w:rPr>
          <w:rFonts w:eastAsiaTheme="minorHAnsi"/>
          <w:lang w:eastAsia="en-US"/>
        </w:rPr>
      </w:pPr>
      <w:r w:rsidRPr="00AC5FD3">
        <w:rPr>
          <w:rFonts w:eastAsiaTheme="minorHAnsi"/>
          <w:lang w:eastAsia="en-US"/>
        </w:rPr>
        <w:t xml:space="preserve">Aligning research programs to research challenges is </w:t>
      </w:r>
      <w:r w:rsidR="00B22169">
        <w:rPr>
          <w:rFonts w:eastAsiaTheme="minorHAnsi"/>
          <w:lang w:eastAsia="en-US"/>
        </w:rPr>
        <w:t>a</w:t>
      </w:r>
      <w:r w:rsidR="002E163A">
        <w:rPr>
          <w:rFonts w:eastAsiaTheme="minorHAnsi"/>
          <w:lang w:eastAsia="en-US"/>
        </w:rPr>
        <w:t xml:space="preserve"> precondition</w:t>
      </w:r>
      <w:r w:rsidRPr="00AC5FD3">
        <w:rPr>
          <w:rFonts w:eastAsiaTheme="minorHAnsi"/>
          <w:lang w:eastAsia="en-US"/>
        </w:rPr>
        <w:t xml:space="preserve"> for boosting the commercial returns from research</w:t>
      </w:r>
      <w:r w:rsidR="002E163A">
        <w:rPr>
          <w:rFonts w:eastAsiaTheme="minorHAnsi"/>
          <w:lang w:eastAsia="en-US"/>
        </w:rPr>
        <w:t>,</w:t>
      </w:r>
      <w:r w:rsidRPr="00AC5FD3">
        <w:rPr>
          <w:rFonts w:eastAsiaTheme="minorHAnsi"/>
          <w:lang w:eastAsia="en-US"/>
        </w:rPr>
        <w:t xml:space="preserve"> but is not in itself sufficient: </w:t>
      </w:r>
      <w:r w:rsidR="008E6341" w:rsidRPr="008E6341">
        <w:rPr>
          <w:rFonts w:eastAsiaTheme="minorHAnsi"/>
          <w:b/>
          <w:lang w:eastAsia="en-US"/>
        </w:rPr>
        <w:t xml:space="preserve">Tools appropriate to the type of research (investigator-led or mission-directed) </w:t>
      </w:r>
      <w:r w:rsidR="000E63D5">
        <w:rPr>
          <w:rFonts w:eastAsiaTheme="minorHAnsi"/>
          <w:b/>
          <w:lang w:eastAsia="en-US"/>
        </w:rPr>
        <w:t xml:space="preserve">and </w:t>
      </w:r>
      <w:r w:rsidR="008E6341" w:rsidRPr="008E6341">
        <w:rPr>
          <w:rFonts w:eastAsiaTheme="minorHAnsi"/>
          <w:b/>
          <w:lang w:eastAsia="en-US"/>
        </w:rPr>
        <w:t>to the planning of the research activity</w:t>
      </w:r>
      <w:r w:rsidR="000E5652">
        <w:rPr>
          <w:rFonts w:eastAsiaTheme="minorHAnsi"/>
          <w:lang w:eastAsia="en-US"/>
        </w:rPr>
        <w:t xml:space="preserve"> </w:t>
      </w:r>
      <w:r w:rsidR="008E6341" w:rsidRPr="008E6341">
        <w:rPr>
          <w:rFonts w:eastAsiaTheme="minorHAnsi"/>
          <w:b/>
          <w:lang w:eastAsia="en-US"/>
        </w:rPr>
        <w:t>from the perspective of how to achieve the intended commercial outcomes</w:t>
      </w:r>
      <w:r w:rsidR="009723E7">
        <w:rPr>
          <w:rFonts w:eastAsiaTheme="minorHAnsi"/>
          <w:b/>
          <w:lang w:eastAsia="en-US"/>
        </w:rPr>
        <w:t>,</w:t>
      </w:r>
      <w:r w:rsidR="000E5652" w:rsidRPr="000E5652">
        <w:rPr>
          <w:rFonts w:eastAsiaTheme="minorHAnsi"/>
          <w:b/>
          <w:lang w:eastAsia="en-US"/>
        </w:rPr>
        <w:t xml:space="preserve"> should be implemented</w:t>
      </w:r>
      <w:r w:rsidR="008E6341" w:rsidRPr="008E6341">
        <w:rPr>
          <w:rFonts w:eastAsiaTheme="minorHAnsi"/>
          <w:b/>
          <w:lang w:eastAsia="en-US"/>
        </w:rPr>
        <w:t xml:space="preserve">.  </w:t>
      </w:r>
      <w:r w:rsidR="000E63D5">
        <w:rPr>
          <w:rFonts w:eastAsiaTheme="minorHAnsi"/>
          <w:b/>
          <w:lang w:eastAsia="en-US"/>
        </w:rPr>
        <w:t>I</w:t>
      </w:r>
      <w:r w:rsidR="000E5652">
        <w:rPr>
          <w:rFonts w:eastAsiaTheme="minorHAnsi"/>
          <w:b/>
          <w:lang w:eastAsia="en-US"/>
        </w:rPr>
        <w:t xml:space="preserve">n concert with this, </w:t>
      </w:r>
      <w:r w:rsidR="008E6341" w:rsidRPr="008E6341">
        <w:rPr>
          <w:rFonts w:eastAsiaTheme="minorHAnsi"/>
          <w:b/>
          <w:lang w:eastAsia="en-US"/>
        </w:rPr>
        <w:t>appropriate tools and metrics</w:t>
      </w:r>
      <w:r w:rsidR="000E63D5">
        <w:rPr>
          <w:rFonts w:eastAsiaTheme="minorHAnsi"/>
          <w:b/>
          <w:lang w:eastAsia="en-US"/>
        </w:rPr>
        <w:t xml:space="preserve"> should be</w:t>
      </w:r>
      <w:r w:rsidR="008E6341" w:rsidRPr="008E6341">
        <w:rPr>
          <w:rFonts w:eastAsiaTheme="minorHAnsi"/>
          <w:b/>
          <w:lang w:eastAsia="en-US"/>
        </w:rPr>
        <w:t xml:space="preserve"> introduced for monitoring and evaluating the economic, social and environmental impacts of publically-funded research.</w:t>
      </w:r>
      <w:r w:rsidRPr="00AC5FD3">
        <w:rPr>
          <w:rFonts w:eastAsiaTheme="minorHAnsi"/>
          <w:lang w:eastAsia="en-US"/>
        </w:rPr>
        <w:t xml:space="preserve">  To get the greatest return from investment in research</w:t>
      </w:r>
      <w:r w:rsidR="00B22169">
        <w:rPr>
          <w:rFonts w:eastAsiaTheme="minorHAnsi"/>
          <w:lang w:eastAsia="en-US"/>
        </w:rPr>
        <w:t xml:space="preserve"> where a commercial application is an intended outcome, consideration should be given to engaging </w:t>
      </w:r>
      <w:r w:rsidRPr="00AC5FD3">
        <w:rPr>
          <w:rFonts w:eastAsiaTheme="minorHAnsi"/>
          <w:lang w:eastAsia="en-US"/>
        </w:rPr>
        <w:t xml:space="preserve">partners from across the system - notably </w:t>
      </w:r>
      <w:r w:rsidRPr="00AC5FD3">
        <w:rPr>
          <w:rFonts w:eastAsiaTheme="minorHAnsi"/>
          <w:lang w:eastAsia="en-US"/>
        </w:rPr>
        <w:lastRenderedPageBreak/>
        <w:t xml:space="preserve">industry - </w:t>
      </w:r>
      <w:r w:rsidR="00B22169">
        <w:rPr>
          <w:rFonts w:eastAsiaTheme="minorHAnsi"/>
          <w:lang w:eastAsia="en-US"/>
        </w:rPr>
        <w:t>into the research activity</w:t>
      </w:r>
      <w:r w:rsidR="00796837">
        <w:rPr>
          <w:rFonts w:eastAsiaTheme="minorHAnsi"/>
          <w:lang w:eastAsia="en-US"/>
        </w:rPr>
        <w:t xml:space="preserve"> and </w:t>
      </w:r>
      <w:r w:rsidRPr="00AC5FD3">
        <w:rPr>
          <w:rFonts w:eastAsiaTheme="minorHAnsi"/>
          <w:lang w:eastAsia="en-US"/>
        </w:rPr>
        <w:t>active portfolio management of research investments</w:t>
      </w:r>
      <w:r w:rsidR="000E63D5">
        <w:rPr>
          <w:rFonts w:eastAsiaTheme="minorHAnsi"/>
          <w:lang w:eastAsia="en-US"/>
        </w:rPr>
        <w:t xml:space="preserve"> should be </w:t>
      </w:r>
      <w:r w:rsidR="00796837">
        <w:rPr>
          <w:rFonts w:eastAsiaTheme="minorHAnsi"/>
          <w:lang w:eastAsia="en-US"/>
        </w:rPr>
        <w:t>implemented</w:t>
      </w:r>
      <w:r w:rsidRPr="00AC5FD3">
        <w:rPr>
          <w:rFonts w:eastAsiaTheme="minorHAnsi"/>
          <w:lang w:eastAsia="en-US"/>
        </w:rPr>
        <w:t>.</w:t>
      </w:r>
    </w:p>
    <w:p w14:paraId="40C98239" w14:textId="77777777" w:rsidR="00AC5FD3" w:rsidRPr="00AC5FD3" w:rsidRDefault="00AC5FD3" w:rsidP="00AC5FD3">
      <w:pPr>
        <w:pStyle w:val="Heading3"/>
        <w:rPr>
          <w:lang w:eastAsia="en-US"/>
        </w:rPr>
      </w:pPr>
      <w:r w:rsidRPr="00AC5FD3">
        <w:rPr>
          <w:lang w:eastAsia="en-US"/>
        </w:rPr>
        <w:t xml:space="preserve">Planning, monitoring and evaluating the returns from </w:t>
      </w:r>
      <w:r w:rsidR="002E540D">
        <w:rPr>
          <w:lang w:eastAsia="en-US"/>
        </w:rPr>
        <w:t>strategic/applied research</w:t>
      </w:r>
      <w:r w:rsidR="002E540D" w:rsidRPr="00AC5FD3" w:rsidDel="002E540D">
        <w:rPr>
          <w:lang w:eastAsia="en-US"/>
        </w:rPr>
        <w:t xml:space="preserve"> </w:t>
      </w:r>
    </w:p>
    <w:p w14:paraId="40C9823A" w14:textId="77777777" w:rsidR="002E540D" w:rsidRDefault="00AC5FD3" w:rsidP="00AC5FD3">
      <w:pPr>
        <w:rPr>
          <w:rFonts w:eastAsiaTheme="minorHAnsi"/>
          <w:lang w:eastAsia="en-US"/>
        </w:rPr>
      </w:pPr>
      <w:r w:rsidRPr="00AC5FD3">
        <w:rPr>
          <w:rFonts w:eastAsiaTheme="minorHAnsi"/>
          <w:lang w:eastAsia="en-US"/>
        </w:rPr>
        <w:t xml:space="preserve">For research focussed on translating research into commercial outcomes, tools to plan, monitor and evaluate the economic, social and environmental impacts of science are recommended. </w:t>
      </w:r>
      <w:r w:rsidR="00566AA1">
        <w:rPr>
          <w:rFonts w:eastAsiaTheme="minorHAnsi"/>
          <w:lang w:eastAsia="en-US"/>
        </w:rPr>
        <w:t xml:space="preserve">In the context of being a multidisciplinary applied research organisation, CSIRO has developed investment criteria based around the following: Appropriateness, Benefits to Australia, Path to Impact, Research </w:t>
      </w:r>
      <w:proofErr w:type="spellStart"/>
      <w:r w:rsidR="00566AA1">
        <w:rPr>
          <w:rFonts w:eastAsiaTheme="minorHAnsi"/>
          <w:lang w:eastAsia="en-US"/>
        </w:rPr>
        <w:t>Prospectivity</w:t>
      </w:r>
      <w:proofErr w:type="spellEnd"/>
      <w:r w:rsidR="00566AA1">
        <w:rPr>
          <w:rFonts w:eastAsiaTheme="minorHAnsi"/>
          <w:lang w:eastAsia="en-US"/>
        </w:rPr>
        <w:t xml:space="preserve">, Research Competitiveness, Performance and Portfolio. CSIRO believes that these criteria are appropriate for its own role and may be beneficial –with modification - in guiding investment in publically funded commercially focussed research. Further details of CSIRO’s investment criteria are contained in </w:t>
      </w:r>
      <w:r w:rsidR="009B2E56">
        <w:fldChar w:fldCharType="begin"/>
      </w:r>
      <w:r w:rsidR="009B2E56">
        <w:instrText xml:space="preserve"> REF _Ref405280291 \h  \* MERGEFORMAT </w:instrText>
      </w:r>
      <w:r w:rsidR="009B2E56">
        <w:fldChar w:fldCharType="separate"/>
      </w:r>
      <w:r w:rsidR="000E7578" w:rsidRPr="000E7578">
        <w:rPr>
          <w:b/>
        </w:rPr>
        <w:t>Attachment 2: CSIRO investment criteria</w:t>
      </w:r>
      <w:r w:rsidR="009B2E56">
        <w:fldChar w:fldCharType="end"/>
      </w:r>
      <w:r w:rsidR="00566AA1">
        <w:rPr>
          <w:rFonts w:eastAsiaTheme="minorHAnsi"/>
          <w:lang w:eastAsia="en-US"/>
        </w:rPr>
        <w:t xml:space="preserve">. </w:t>
      </w:r>
      <w:r w:rsidRPr="00AC5FD3">
        <w:rPr>
          <w:rFonts w:eastAsiaTheme="minorHAnsi"/>
          <w:lang w:eastAsia="en-US"/>
        </w:rPr>
        <w:t>The Productivity Commission has acknowledged the effort of CSIRO in developing a framework and supporting tools to plan, monitor and evaluate the economic, social and environmental impacts of our science.</w:t>
      </w:r>
      <w:r w:rsidRPr="00AC5FD3">
        <w:rPr>
          <w:rFonts w:eastAsiaTheme="minorHAnsi"/>
          <w:vertAlign w:val="superscript"/>
          <w:lang w:eastAsia="en-US"/>
        </w:rPr>
        <w:t xml:space="preserve"> </w:t>
      </w:r>
      <w:r w:rsidRPr="00AC5FD3">
        <w:rPr>
          <w:rFonts w:eastAsiaTheme="minorHAnsi"/>
          <w:vertAlign w:val="superscript"/>
          <w:lang w:eastAsia="en-US"/>
        </w:rPr>
        <w:endnoteReference w:id="6"/>
      </w:r>
      <w:r w:rsidRPr="00AC5FD3">
        <w:rPr>
          <w:rFonts w:eastAsiaTheme="minorHAnsi"/>
          <w:lang w:eastAsia="en-US"/>
        </w:rPr>
        <w:t xml:space="preserve">  Through the framework, CSIRO has a portfolio view of the impact being pursued within and across Flagships to help make informed decisions.  Planning future impact assists the alignment of research activity with Flagship goals and enables CSIRO staff to articulate and communicate the impact of their work. Articulating future impact</w:t>
      </w:r>
      <w:r w:rsidR="002E540D">
        <w:rPr>
          <w:rFonts w:eastAsiaTheme="minorHAnsi"/>
          <w:lang w:eastAsia="en-US"/>
        </w:rPr>
        <w:t>,</w:t>
      </w:r>
      <w:r w:rsidRPr="00AC5FD3">
        <w:rPr>
          <w:rFonts w:eastAsiaTheme="minorHAnsi"/>
          <w:lang w:eastAsia="en-US"/>
        </w:rPr>
        <w:t xml:space="preserve"> and monitoring progress towards that impact</w:t>
      </w:r>
      <w:r w:rsidR="002E540D">
        <w:rPr>
          <w:rFonts w:eastAsiaTheme="minorHAnsi"/>
          <w:lang w:eastAsia="en-US"/>
        </w:rPr>
        <w:t>,</w:t>
      </w:r>
      <w:r w:rsidRPr="00AC5FD3">
        <w:rPr>
          <w:rFonts w:eastAsiaTheme="minorHAnsi"/>
          <w:lang w:eastAsia="en-US"/>
        </w:rPr>
        <w:t xml:space="preserve"> provides greater confidence to our clients, the government and the general public.</w:t>
      </w:r>
      <w:r w:rsidRPr="00AC5FD3">
        <w:rPr>
          <w:rFonts w:eastAsiaTheme="minorHAnsi"/>
          <w:vertAlign w:val="superscript"/>
          <w:lang w:eastAsia="en-US"/>
        </w:rPr>
        <w:endnoteReference w:id="7"/>
      </w:r>
      <w:r w:rsidR="002E540D">
        <w:rPr>
          <w:rFonts w:eastAsiaTheme="minorHAnsi"/>
          <w:lang w:eastAsia="en-US"/>
        </w:rPr>
        <w:t xml:space="preserve">  </w:t>
      </w:r>
    </w:p>
    <w:p w14:paraId="40C9823B" w14:textId="77777777" w:rsidR="00AC5FD3" w:rsidRPr="00AC5FD3" w:rsidRDefault="002E540D" w:rsidP="00AC5FD3">
      <w:pPr>
        <w:rPr>
          <w:rFonts w:eastAsiaTheme="minorHAnsi"/>
          <w:lang w:eastAsia="en-US"/>
        </w:rPr>
      </w:pPr>
      <w:r>
        <w:rPr>
          <w:rFonts w:eastAsiaTheme="minorHAnsi"/>
          <w:lang w:eastAsia="en-US"/>
        </w:rPr>
        <w:t xml:space="preserve">These tools are also applicable, to </w:t>
      </w:r>
      <w:r w:rsidR="000E5652">
        <w:rPr>
          <w:rFonts w:eastAsiaTheme="minorHAnsi"/>
          <w:lang w:eastAsia="en-US"/>
        </w:rPr>
        <w:t xml:space="preserve">varying degrees, to </w:t>
      </w:r>
      <w:r>
        <w:rPr>
          <w:rFonts w:eastAsiaTheme="minorHAnsi"/>
          <w:lang w:eastAsia="en-US"/>
        </w:rPr>
        <w:t>investigator</w:t>
      </w:r>
      <w:r w:rsidR="000E5652">
        <w:rPr>
          <w:rFonts w:eastAsiaTheme="minorHAnsi"/>
          <w:lang w:eastAsia="en-US"/>
        </w:rPr>
        <w:t xml:space="preserve">-led </w:t>
      </w:r>
      <w:r>
        <w:rPr>
          <w:rFonts w:eastAsiaTheme="minorHAnsi"/>
          <w:lang w:eastAsia="en-US"/>
        </w:rPr>
        <w:t>research activities.</w:t>
      </w:r>
    </w:p>
    <w:p w14:paraId="40C9823C" w14:textId="77777777" w:rsidR="00AC5FD3" w:rsidRPr="00AC5FD3" w:rsidRDefault="00AC5FD3" w:rsidP="00AC5FD3">
      <w:pPr>
        <w:pStyle w:val="Heading3"/>
        <w:rPr>
          <w:lang w:eastAsia="en-US"/>
        </w:rPr>
      </w:pPr>
      <w:r w:rsidRPr="00AC5FD3">
        <w:rPr>
          <w:lang w:eastAsia="en-US"/>
        </w:rPr>
        <w:t>Engagement of research partners</w:t>
      </w:r>
      <w:r w:rsidR="00E92A2E">
        <w:rPr>
          <w:lang w:eastAsia="en-US"/>
        </w:rPr>
        <w:t xml:space="preserve"> in strategic/applied research</w:t>
      </w:r>
    </w:p>
    <w:p w14:paraId="40C9823D" w14:textId="77777777" w:rsidR="00AC5FD3" w:rsidRDefault="00E92A2E" w:rsidP="00AC5FD3">
      <w:pPr>
        <w:rPr>
          <w:rFonts w:eastAsiaTheme="minorHAnsi"/>
          <w:lang w:eastAsia="en-US"/>
        </w:rPr>
      </w:pPr>
      <w:r>
        <w:rPr>
          <w:rFonts w:eastAsiaTheme="minorHAnsi"/>
          <w:lang w:eastAsia="en-US"/>
        </w:rPr>
        <w:t xml:space="preserve">Early engagement with users of research output is ‘best practice’ for </w:t>
      </w:r>
      <w:r w:rsidR="002E540D">
        <w:rPr>
          <w:rFonts w:eastAsiaTheme="minorHAnsi"/>
          <w:lang w:eastAsia="en-US"/>
        </w:rPr>
        <w:t>strategic/</w:t>
      </w:r>
      <w:r>
        <w:rPr>
          <w:rFonts w:eastAsiaTheme="minorHAnsi"/>
          <w:lang w:eastAsia="en-US"/>
        </w:rPr>
        <w:t xml:space="preserve">applied research.  </w:t>
      </w:r>
      <w:r w:rsidR="00AC5FD3" w:rsidRPr="00AC5FD3">
        <w:rPr>
          <w:rFonts w:eastAsiaTheme="minorHAnsi"/>
          <w:lang w:eastAsia="en-US"/>
        </w:rPr>
        <w:t xml:space="preserve">The delivery of the social, economic and environmental benefits of a research program is best enabled through the engagement of all partners </w:t>
      </w:r>
      <w:r w:rsidR="002E540D">
        <w:rPr>
          <w:rFonts w:eastAsiaTheme="minorHAnsi"/>
          <w:lang w:eastAsia="en-US"/>
        </w:rPr>
        <w:t xml:space="preserve">– </w:t>
      </w:r>
      <w:r w:rsidR="00BB0B72">
        <w:rPr>
          <w:rFonts w:eastAsiaTheme="minorHAnsi"/>
          <w:lang w:eastAsia="en-US"/>
        </w:rPr>
        <w:t>particularly</w:t>
      </w:r>
      <w:r w:rsidR="00AC5FD3" w:rsidRPr="00AC5FD3">
        <w:rPr>
          <w:rFonts w:eastAsiaTheme="minorHAnsi"/>
          <w:lang w:eastAsia="en-US"/>
        </w:rPr>
        <w:t xml:space="preserve"> end users - in the development, evolution and delivery of the R&amp;D. This broad engagement helps shape the direction of the research to include the necessary steps for effective utilisation of the research outcomes into new products, services or processes. The reason this ongoing engagement is important is that </w:t>
      </w:r>
      <w:r>
        <w:rPr>
          <w:rFonts w:eastAsiaTheme="minorHAnsi"/>
          <w:lang w:eastAsia="en-US"/>
        </w:rPr>
        <w:t xml:space="preserve">strategic/applied </w:t>
      </w:r>
      <w:r w:rsidR="00AC5FD3" w:rsidRPr="00AC5FD3">
        <w:rPr>
          <w:rFonts w:eastAsiaTheme="minorHAnsi"/>
          <w:lang w:eastAsia="en-US"/>
        </w:rPr>
        <w:t>research is not a linear process</w:t>
      </w:r>
      <w:r w:rsidR="00BB0B72">
        <w:rPr>
          <w:rFonts w:eastAsiaTheme="minorHAnsi"/>
          <w:lang w:eastAsia="en-US"/>
        </w:rPr>
        <w:t xml:space="preserve"> leading to a delivery event at the end of the research, </w:t>
      </w:r>
      <w:r w:rsidR="00AC5FD3" w:rsidRPr="00AC5FD3">
        <w:rPr>
          <w:rFonts w:eastAsiaTheme="minorHAnsi"/>
          <w:lang w:eastAsia="en-US"/>
        </w:rPr>
        <w:t>but requires regular iteration to ensure that the research and its goals remain achievable and acceptable to key partners. An important demonstrator of the engagement of research partners is the investment of resources including financial commitment, but a particularly crucial factor for success is the attention of business management at the decision-making level.</w:t>
      </w:r>
    </w:p>
    <w:p w14:paraId="40C9823E" w14:textId="77777777" w:rsidR="00BB0B72" w:rsidRPr="00AC5FD3" w:rsidRDefault="000E5652" w:rsidP="00AC5FD3">
      <w:pPr>
        <w:rPr>
          <w:rFonts w:eastAsiaTheme="minorHAnsi"/>
          <w:lang w:eastAsia="en-US"/>
        </w:rPr>
      </w:pPr>
      <w:r>
        <w:rPr>
          <w:rFonts w:eastAsiaTheme="minorHAnsi"/>
          <w:lang w:eastAsia="en-US"/>
        </w:rPr>
        <w:t xml:space="preserve">A unified model of engagement with end-users </w:t>
      </w:r>
      <w:r w:rsidR="00BB0B72">
        <w:rPr>
          <w:rFonts w:eastAsiaTheme="minorHAnsi"/>
          <w:lang w:eastAsia="en-US"/>
        </w:rPr>
        <w:t>of research output for investigator-led resear</w:t>
      </w:r>
      <w:r>
        <w:rPr>
          <w:rFonts w:eastAsiaTheme="minorHAnsi"/>
          <w:lang w:eastAsia="en-US"/>
        </w:rPr>
        <w:t>ch is not so simple</w:t>
      </w:r>
      <w:r w:rsidR="00BB0B72">
        <w:rPr>
          <w:rFonts w:eastAsiaTheme="minorHAnsi"/>
          <w:lang w:eastAsia="en-US"/>
        </w:rPr>
        <w:t>.  The same logic, that engagement with end-users at an early stage can be applicable</w:t>
      </w:r>
      <w:r w:rsidR="008C1B3B">
        <w:rPr>
          <w:rFonts w:eastAsiaTheme="minorHAnsi"/>
          <w:lang w:eastAsia="en-US"/>
        </w:rPr>
        <w:t>,</w:t>
      </w:r>
      <w:r w:rsidR="00BB0B72">
        <w:rPr>
          <w:rFonts w:eastAsiaTheme="minorHAnsi"/>
          <w:lang w:eastAsia="en-US"/>
        </w:rPr>
        <w:t xml:space="preserve"> however th</w:t>
      </w:r>
      <w:r w:rsidR="007A4924">
        <w:rPr>
          <w:rFonts w:eastAsiaTheme="minorHAnsi"/>
          <w:lang w:eastAsia="en-US"/>
        </w:rPr>
        <w:t>at</w:t>
      </w:r>
      <w:r>
        <w:rPr>
          <w:rFonts w:eastAsiaTheme="minorHAnsi"/>
          <w:lang w:eastAsia="en-US"/>
        </w:rPr>
        <w:t xml:space="preserve"> activity</w:t>
      </w:r>
      <w:r w:rsidR="00BB0B72">
        <w:rPr>
          <w:rFonts w:eastAsiaTheme="minorHAnsi"/>
          <w:lang w:eastAsia="en-US"/>
        </w:rPr>
        <w:t xml:space="preserve"> </w:t>
      </w:r>
      <w:r w:rsidR="007A4924">
        <w:rPr>
          <w:rFonts w:eastAsiaTheme="minorHAnsi"/>
          <w:lang w:eastAsia="en-US"/>
        </w:rPr>
        <w:t>requires</w:t>
      </w:r>
      <w:r w:rsidR="00BB0B72">
        <w:rPr>
          <w:rFonts w:eastAsiaTheme="minorHAnsi"/>
          <w:lang w:eastAsia="en-US"/>
        </w:rPr>
        <w:t xml:space="preserve"> a </w:t>
      </w:r>
      <w:r w:rsidR="007A4924">
        <w:rPr>
          <w:rFonts w:eastAsiaTheme="minorHAnsi"/>
          <w:lang w:eastAsia="en-US"/>
        </w:rPr>
        <w:t>somewhat developed</w:t>
      </w:r>
      <w:r w:rsidR="00BB0B72">
        <w:rPr>
          <w:rFonts w:eastAsiaTheme="minorHAnsi"/>
          <w:lang w:eastAsia="en-US"/>
        </w:rPr>
        <w:t xml:space="preserve"> understanding of the utility of the new knowledge</w:t>
      </w:r>
      <w:r>
        <w:rPr>
          <w:rFonts w:eastAsiaTheme="minorHAnsi"/>
          <w:lang w:eastAsia="en-US"/>
        </w:rPr>
        <w:t xml:space="preserve">, which </w:t>
      </w:r>
      <w:r w:rsidR="008C1B3B">
        <w:rPr>
          <w:rFonts w:eastAsiaTheme="minorHAnsi"/>
          <w:lang w:eastAsia="en-US"/>
        </w:rPr>
        <w:t>may be problematic</w:t>
      </w:r>
      <w:r>
        <w:rPr>
          <w:rFonts w:eastAsiaTheme="minorHAnsi"/>
          <w:lang w:eastAsia="en-US"/>
        </w:rPr>
        <w:t xml:space="preserve"> in the case of investigator-led research</w:t>
      </w:r>
      <w:r w:rsidR="00BB0B72">
        <w:rPr>
          <w:rFonts w:eastAsiaTheme="minorHAnsi"/>
          <w:lang w:eastAsia="en-US"/>
        </w:rPr>
        <w:t>.</w:t>
      </w:r>
    </w:p>
    <w:p w14:paraId="40C9823F" w14:textId="77777777" w:rsidR="00AC5FD3" w:rsidRPr="00AC5FD3" w:rsidRDefault="00AC5FD3" w:rsidP="00AC5FD3">
      <w:pPr>
        <w:pStyle w:val="Heading3"/>
        <w:rPr>
          <w:lang w:eastAsia="en-US"/>
        </w:rPr>
      </w:pPr>
      <w:r w:rsidRPr="00AC5FD3">
        <w:rPr>
          <w:lang w:eastAsia="en-US"/>
        </w:rPr>
        <w:lastRenderedPageBreak/>
        <w:t>Active research portfolio management</w:t>
      </w:r>
    </w:p>
    <w:p w14:paraId="40C98240" w14:textId="77777777" w:rsidR="007A4924" w:rsidRDefault="00AC5FD3" w:rsidP="00AC5FD3">
      <w:pPr>
        <w:rPr>
          <w:rFonts w:eastAsiaTheme="minorHAnsi"/>
          <w:bCs/>
          <w:lang w:eastAsia="en-US"/>
        </w:rPr>
      </w:pPr>
      <w:r w:rsidRPr="00AC5FD3">
        <w:rPr>
          <w:rFonts w:eastAsiaTheme="minorHAnsi"/>
          <w:bCs/>
          <w:lang w:eastAsia="en-US"/>
        </w:rPr>
        <w:t>CSIRO’s research is actively managed within nine portfolios, known as Flagships.</w:t>
      </w:r>
      <w:r w:rsidRPr="00AC5FD3">
        <w:rPr>
          <w:rFonts w:eastAsiaTheme="minorHAnsi"/>
          <w:bCs/>
          <w:vertAlign w:val="superscript"/>
          <w:lang w:eastAsia="en-US"/>
        </w:rPr>
        <w:footnoteReference w:id="1"/>
      </w:r>
      <w:r w:rsidRPr="00AC5FD3">
        <w:rPr>
          <w:rFonts w:eastAsiaTheme="minorHAnsi"/>
          <w:bCs/>
          <w:lang w:eastAsia="en-US"/>
        </w:rPr>
        <w:t xml:space="preserve"> The Flagships have goals developed around national challenges that are shaped and iterated with input from external experts from industry, government and scientific institutions that form its advisory committees and review panels. These active and participatory engagements provide incalculable value in terms of informing, challenging and refining CSIRO’s research goals and pathways to maximise the likelihood of the uptake and adoption of Flagship research. </w:t>
      </w:r>
    </w:p>
    <w:p w14:paraId="40C98241" w14:textId="77777777" w:rsidR="00AC5FD3" w:rsidRPr="00AC5FD3" w:rsidRDefault="008E6341" w:rsidP="00AC5FD3">
      <w:pPr>
        <w:rPr>
          <w:rFonts w:eastAsiaTheme="minorHAnsi"/>
          <w:lang w:eastAsia="en-US"/>
        </w:rPr>
      </w:pPr>
      <w:r w:rsidRPr="008E6341">
        <w:rPr>
          <w:rFonts w:eastAsiaTheme="minorHAnsi"/>
          <w:b/>
          <w:bCs/>
          <w:lang w:eastAsia="en-US"/>
        </w:rPr>
        <w:t>It is CSIRO’s experience that some form of active research portfolio performance management is essential to ensure that investment of public resources in research achieves its maximum</w:t>
      </w:r>
      <w:r w:rsidR="00AC5FD3" w:rsidRPr="00AC5FD3">
        <w:rPr>
          <w:rFonts w:eastAsiaTheme="minorHAnsi"/>
          <w:bCs/>
          <w:lang w:eastAsia="en-US"/>
        </w:rPr>
        <w:t xml:space="preserve"> </w:t>
      </w:r>
      <w:r w:rsidRPr="008E6341">
        <w:rPr>
          <w:rFonts w:eastAsiaTheme="minorHAnsi"/>
          <w:b/>
          <w:bCs/>
          <w:lang w:eastAsia="en-US"/>
        </w:rPr>
        <w:t>environmental, economic or social impact.</w:t>
      </w:r>
      <w:r w:rsidR="00AC5FD3" w:rsidRPr="00AC5FD3">
        <w:rPr>
          <w:rFonts w:eastAsiaTheme="minorHAnsi"/>
          <w:bCs/>
          <w:lang w:eastAsia="en-US"/>
        </w:rPr>
        <w:t xml:space="preserve"> </w:t>
      </w:r>
      <w:r w:rsidR="00AC5FD3" w:rsidRPr="00AC5FD3">
        <w:rPr>
          <w:rFonts w:eastAsiaTheme="minorHAnsi"/>
          <w:lang w:eastAsia="en-US"/>
        </w:rPr>
        <w:t xml:space="preserve">Regardless of whether a CSIRO </w:t>
      </w:r>
      <w:r w:rsidR="00E92A2E">
        <w:rPr>
          <w:rFonts w:eastAsiaTheme="minorHAnsi"/>
          <w:lang w:eastAsia="en-US"/>
        </w:rPr>
        <w:t xml:space="preserve">research </w:t>
      </w:r>
      <w:r w:rsidR="00AC5FD3" w:rsidRPr="00AC5FD3">
        <w:rPr>
          <w:rFonts w:eastAsiaTheme="minorHAnsi"/>
          <w:lang w:eastAsia="en-US"/>
        </w:rPr>
        <w:t xml:space="preserve">activity </w:t>
      </w:r>
      <w:r w:rsidR="007A4924">
        <w:rPr>
          <w:rFonts w:eastAsiaTheme="minorHAnsi"/>
          <w:lang w:eastAsia="en-US"/>
        </w:rPr>
        <w:t>is for the benefit of</w:t>
      </w:r>
      <w:r w:rsidR="007A4924" w:rsidRPr="00AC5FD3">
        <w:rPr>
          <w:rFonts w:eastAsiaTheme="minorHAnsi"/>
          <w:lang w:eastAsia="en-US"/>
        </w:rPr>
        <w:t xml:space="preserve"> </w:t>
      </w:r>
      <w:r w:rsidR="00AC5FD3" w:rsidRPr="00AC5FD3">
        <w:rPr>
          <w:rFonts w:eastAsiaTheme="minorHAnsi"/>
          <w:lang w:eastAsia="en-US"/>
        </w:rPr>
        <w:t xml:space="preserve">the public and/ or private sector, </w:t>
      </w:r>
      <w:r w:rsidR="007A4924">
        <w:rPr>
          <w:rFonts w:eastAsiaTheme="minorHAnsi"/>
          <w:lang w:eastAsia="en-US"/>
        </w:rPr>
        <w:t>‘</w:t>
      </w:r>
      <w:r w:rsidR="00AC5FD3" w:rsidRPr="00AC5FD3">
        <w:rPr>
          <w:rFonts w:eastAsiaTheme="minorHAnsi"/>
          <w:lang w:eastAsia="en-US"/>
        </w:rPr>
        <w:t>national benefit</w:t>
      </w:r>
      <w:r w:rsidR="007A4924">
        <w:rPr>
          <w:rFonts w:eastAsiaTheme="minorHAnsi"/>
          <w:lang w:eastAsia="en-US"/>
        </w:rPr>
        <w:t>’</w:t>
      </w:r>
      <w:r w:rsidR="00AC5FD3" w:rsidRPr="00AC5FD3">
        <w:rPr>
          <w:rFonts w:eastAsiaTheme="minorHAnsi"/>
          <w:lang w:eastAsia="en-US"/>
        </w:rPr>
        <w:t xml:space="preserve"> in the context of national challenges and opportunities is the threshold criteria.</w:t>
      </w:r>
      <w:r w:rsidR="00AC5FD3" w:rsidRPr="00AC5FD3">
        <w:rPr>
          <w:rFonts w:eastAsiaTheme="minorHAnsi"/>
          <w:vertAlign w:val="superscript"/>
          <w:lang w:eastAsia="en-US"/>
        </w:rPr>
        <w:endnoteReference w:id="8"/>
      </w:r>
      <w:r w:rsidR="00AC5FD3" w:rsidRPr="00AC5FD3">
        <w:rPr>
          <w:rFonts w:eastAsiaTheme="minorHAnsi"/>
          <w:lang w:eastAsia="en-US"/>
        </w:rPr>
        <w:t xml:space="preserve"> </w:t>
      </w:r>
    </w:p>
    <w:p w14:paraId="40C98242" w14:textId="77777777" w:rsidR="009D5C20" w:rsidRDefault="00AC5FD3" w:rsidP="00AC5FD3">
      <w:pPr>
        <w:rPr>
          <w:rFonts w:eastAsiaTheme="minorHAnsi"/>
          <w:lang w:eastAsia="en-US"/>
        </w:rPr>
      </w:pPr>
      <w:r w:rsidRPr="00AC5FD3">
        <w:rPr>
          <w:rFonts w:eastAsiaTheme="minorHAnsi"/>
          <w:lang w:eastAsia="en-US"/>
        </w:rPr>
        <w:t xml:space="preserve">Active research portfolio management helps ensure the relevance of research by allowing for research to adapt to market, regulatory and other changes. It encourages the </w:t>
      </w:r>
      <w:r w:rsidR="009D5C20">
        <w:rPr>
          <w:rFonts w:eastAsiaTheme="minorHAnsi"/>
          <w:lang w:eastAsia="en-US"/>
        </w:rPr>
        <w:t>management of investment and resources through a mentality of ‘</w:t>
      </w:r>
      <w:r w:rsidRPr="00AC5FD3">
        <w:rPr>
          <w:rFonts w:eastAsiaTheme="minorHAnsi"/>
          <w:lang w:eastAsia="en-US"/>
        </w:rPr>
        <w:t>fast fail</w:t>
      </w:r>
      <w:r w:rsidR="009D5C20">
        <w:rPr>
          <w:rFonts w:eastAsiaTheme="minorHAnsi"/>
          <w:lang w:eastAsia="en-US"/>
        </w:rPr>
        <w:t>’</w:t>
      </w:r>
      <w:r w:rsidRPr="00AC5FD3">
        <w:rPr>
          <w:rFonts w:eastAsiaTheme="minorHAnsi"/>
          <w:lang w:eastAsia="en-US"/>
        </w:rPr>
        <w:t xml:space="preserve"> of projects</w:t>
      </w:r>
      <w:r w:rsidR="009D5C20">
        <w:rPr>
          <w:rFonts w:eastAsiaTheme="minorHAnsi"/>
          <w:lang w:eastAsia="en-US"/>
        </w:rPr>
        <w:t>, enabling active management</w:t>
      </w:r>
      <w:r w:rsidRPr="00AC5FD3">
        <w:rPr>
          <w:rFonts w:eastAsiaTheme="minorHAnsi"/>
          <w:lang w:eastAsia="en-US"/>
        </w:rPr>
        <w:t xml:space="preserve"> through modifying or even cancelling projects that are unlikely to deliver on their intended impacts (see </w:t>
      </w:r>
      <w:r w:rsidRPr="00AC5FD3">
        <w:rPr>
          <w:rFonts w:eastAsiaTheme="minorHAnsi"/>
          <w:b/>
          <w:lang w:eastAsia="en-US"/>
        </w:rPr>
        <w:t>Case Study: Performance Management in the Light Metals Flagship)</w:t>
      </w:r>
      <w:r w:rsidRPr="00AC5FD3">
        <w:rPr>
          <w:rFonts w:eastAsiaTheme="minorHAnsi"/>
          <w:lang w:eastAsia="en-US"/>
        </w:rPr>
        <w:t xml:space="preserve">. </w:t>
      </w:r>
      <w:r w:rsidR="009D5C20">
        <w:rPr>
          <w:rFonts w:eastAsiaTheme="minorHAnsi"/>
          <w:lang w:eastAsia="en-US"/>
        </w:rPr>
        <w:t xml:space="preserve"> </w:t>
      </w:r>
    </w:p>
    <w:p w14:paraId="40C98243" w14:textId="77777777" w:rsidR="00AC5FD3" w:rsidRPr="00AC5FD3" w:rsidRDefault="009D5C20" w:rsidP="00AC5FD3">
      <w:pPr>
        <w:rPr>
          <w:rFonts w:eastAsiaTheme="minorHAnsi"/>
          <w:lang w:eastAsia="en-US"/>
        </w:rPr>
      </w:pPr>
      <w:r>
        <w:rPr>
          <w:rFonts w:eastAsiaTheme="minorHAnsi"/>
          <w:lang w:eastAsia="en-US"/>
        </w:rPr>
        <w:t>Such a</w:t>
      </w:r>
      <w:r w:rsidR="00AC5FD3" w:rsidRPr="00AC5FD3">
        <w:rPr>
          <w:rFonts w:eastAsiaTheme="minorHAnsi"/>
          <w:lang w:eastAsia="en-US"/>
        </w:rPr>
        <w:t xml:space="preserve">ctive research portfolio management contrasts with the processes </w:t>
      </w:r>
      <w:r>
        <w:rPr>
          <w:rFonts w:eastAsiaTheme="minorHAnsi"/>
          <w:lang w:eastAsia="en-US"/>
        </w:rPr>
        <w:t>associated with</w:t>
      </w:r>
      <w:r w:rsidR="00AC5FD3" w:rsidRPr="00AC5FD3">
        <w:rPr>
          <w:rFonts w:eastAsiaTheme="minorHAnsi"/>
          <w:lang w:eastAsia="en-US"/>
        </w:rPr>
        <w:t xml:space="preserve"> the vast majority of investigator-led research grants</w:t>
      </w:r>
      <w:r>
        <w:rPr>
          <w:rStyle w:val="FootnoteReference"/>
          <w:rFonts w:eastAsiaTheme="minorHAnsi"/>
          <w:lang w:eastAsia="en-US"/>
        </w:rPr>
        <w:footnoteReference w:id="2"/>
      </w:r>
      <w:r>
        <w:rPr>
          <w:rFonts w:eastAsiaTheme="minorHAnsi"/>
          <w:lang w:eastAsia="en-US"/>
        </w:rPr>
        <w:t xml:space="preserve">, where the management of the research activity is conducted within the processes of the grantee’s institution. </w:t>
      </w:r>
      <w:r w:rsidR="00AC5FD3" w:rsidRPr="00AC5FD3">
        <w:rPr>
          <w:rFonts w:eastAsiaTheme="minorHAnsi"/>
          <w:lang w:eastAsia="en-US"/>
        </w:rPr>
        <w:t xml:space="preserve"> Where research is funded </w:t>
      </w:r>
      <w:r>
        <w:rPr>
          <w:rFonts w:eastAsiaTheme="minorHAnsi"/>
          <w:lang w:eastAsia="en-US"/>
        </w:rPr>
        <w:t xml:space="preserve">and conducted </w:t>
      </w:r>
      <w:r w:rsidR="00AC5FD3" w:rsidRPr="00AC5FD3">
        <w:rPr>
          <w:rFonts w:eastAsiaTheme="minorHAnsi"/>
          <w:lang w:eastAsia="en-US"/>
        </w:rPr>
        <w:t xml:space="preserve">without </w:t>
      </w:r>
      <w:r>
        <w:rPr>
          <w:rFonts w:eastAsiaTheme="minorHAnsi"/>
          <w:lang w:eastAsia="en-US"/>
        </w:rPr>
        <w:t>active</w:t>
      </w:r>
      <w:r w:rsidRPr="00AC5FD3">
        <w:rPr>
          <w:rFonts w:eastAsiaTheme="minorHAnsi"/>
          <w:lang w:eastAsia="en-US"/>
        </w:rPr>
        <w:t xml:space="preserve"> </w:t>
      </w:r>
      <w:r w:rsidR="00AC5FD3" w:rsidRPr="00AC5FD3">
        <w:rPr>
          <w:rFonts w:eastAsiaTheme="minorHAnsi"/>
          <w:lang w:eastAsia="en-US"/>
        </w:rPr>
        <w:t>provisions to monitor progress or evaluate the outcomes and impacts</w:t>
      </w:r>
      <w:r>
        <w:rPr>
          <w:rFonts w:eastAsiaTheme="minorHAnsi"/>
          <w:lang w:eastAsia="en-US"/>
        </w:rPr>
        <w:t>, t</w:t>
      </w:r>
      <w:r w:rsidR="00AC5FD3" w:rsidRPr="00AC5FD3">
        <w:rPr>
          <w:rFonts w:eastAsiaTheme="minorHAnsi"/>
          <w:lang w:eastAsia="en-US"/>
        </w:rPr>
        <w:t xml:space="preserve">his lack of </w:t>
      </w:r>
      <w:r>
        <w:rPr>
          <w:rFonts w:eastAsiaTheme="minorHAnsi"/>
          <w:lang w:eastAsia="en-US"/>
        </w:rPr>
        <w:t xml:space="preserve">process and </w:t>
      </w:r>
      <w:r w:rsidR="00AC5FD3" w:rsidRPr="00AC5FD3">
        <w:rPr>
          <w:rFonts w:eastAsiaTheme="minorHAnsi"/>
          <w:lang w:eastAsia="en-US"/>
        </w:rPr>
        <w:t>evidence makes it difficult to understand the effectiveness of individual grants and the programs as a whole</w:t>
      </w:r>
      <w:r>
        <w:rPr>
          <w:rFonts w:eastAsiaTheme="minorHAnsi"/>
          <w:lang w:eastAsia="en-US"/>
        </w:rPr>
        <w:t xml:space="preserve">.  It also </w:t>
      </w:r>
      <w:r w:rsidR="00AC5FD3" w:rsidRPr="00AC5FD3">
        <w:rPr>
          <w:rFonts w:eastAsiaTheme="minorHAnsi"/>
          <w:lang w:eastAsia="en-US"/>
        </w:rPr>
        <w:t>makes it difficult to inform future research investment decision making a</w:t>
      </w:r>
      <w:r>
        <w:rPr>
          <w:rFonts w:eastAsiaTheme="minorHAnsi"/>
          <w:lang w:eastAsia="en-US"/>
        </w:rPr>
        <w:t>s well as</w:t>
      </w:r>
      <w:r w:rsidR="00AC5FD3" w:rsidRPr="00AC5FD3">
        <w:rPr>
          <w:rFonts w:eastAsiaTheme="minorHAnsi"/>
          <w:lang w:eastAsia="en-US"/>
        </w:rPr>
        <w:t xml:space="preserve"> communication with policy makers and industry funders on the benefits of research. </w:t>
      </w:r>
    </w:p>
    <w:p w14:paraId="40C98244" w14:textId="77777777" w:rsidR="00AC5FD3" w:rsidRPr="00AC5FD3" w:rsidRDefault="00AC5FD3" w:rsidP="00AC5FD3">
      <w:pPr>
        <w:pBdr>
          <w:top w:val="single" w:sz="4" w:space="1" w:color="auto"/>
          <w:left w:val="single" w:sz="4" w:space="4" w:color="auto"/>
          <w:bottom w:val="single" w:sz="4" w:space="1" w:color="auto"/>
          <w:right w:val="single" w:sz="4" w:space="4" w:color="auto"/>
        </w:pBdr>
        <w:rPr>
          <w:rFonts w:eastAsiaTheme="minorHAnsi"/>
          <w:bCs/>
          <w:lang w:eastAsia="en-US"/>
        </w:rPr>
      </w:pPr>
      <w:r w:rsidRPr="00AC5FD3">
        <w:rPr>
          <w:rFonts w:eastAsiaTheme="minorHAnsi"/>
          <w:b/>
          <w:lang w:eastAsia="en-US"/>
        </w:rPr>
        <w:t>Case Study: Performance Management in the Light Metals Flagship</w:t>
      </w:r>
      <w:r w:rsidRPr="00AC5FD3">
        <w:rPr>
          <w:rFonts w:eastAsiaTheme="minorHAnsi"/>
          <w:bCs/>
          <w:lang w:eastAsia="en-US"/>
        </w:rPr>
        <w:br/>
        <w:t xml:space="preserve">An example of active portfolio management is that of CSIRO’s </w:t>
      </w:r>
      <w:r w:rsidR="009D5C20">
        <w:rPr>
          <w:rFonts w:eastAsiaTheme="minorHAnsi"/>
          <w:bCs/>
          <w:lang w:eastAsia="en-US"/>
        </w:rPr>
        <w:t xml:space="preserve">former </w:t>
      </w:r>
      <w:r w:rsidRPr="00AC5FD3">
        <w:rPr>
          <w:rFonts w:eastAsiaTheme="minorHAnsi"/>
          <w:bCs/>
          <w:lang w:eastAsia="en-US"/>
        </w:rPr>
        <w:t>Light Metals Flagship. A</w:t>
      </w:r>
      <w:r w:rsidRPr="00AC5FD3">
        <w:rPr>
          <w:rFonts w:eastAsiaTheme="minorHAnsi"/>
          <w:lang w:eastAsia="en-US"/>
        </w:rPr>
        <w:t xml:space="preserve">t the time of starting the Flagship, there was a national dialogue that suggested that an important national challenge was extracting more value from our resources industry through moving up the value-adding chain by local processing. </w:t>
      </w:r>
      <w:r w:rsidRPr="00AC5FD3">
        <w:rPr>
          <w:rFonts w:eastAsiaTheme="minorHAnsi"/>
          <w:bCs/>
          <w:lang w:eastAsia="en-US"/>
        </w:rPr>
        <w:t xml:space="preserve">Following evidence and external validation that there was mixed and low levels of interest from industrial partners in magnesium and aluminium research, despite the substantial technical and scientific progress that was being achieved by CSIRO researchers, the decision was taken by CSIRO to </w:t>
      </w:r>
      <w:r w:rsidR="009D5C20">
        <w:rPr>
          <w:rFonts w:eastAsiaTheme="minorHAnsi"/>
          <w:bCs/>
          <w:lang w:eastAsia="en-US"/>
        </w:rPr>
        <w:t>discontinue</w:t>
      </w:r>
      <w:r w:rsidRPr="00AC5FD3">
        <w:rPr>
          <w:rFonts w:eastAsiaTheme="minorHAnsi"/>
          <w:bCs/>
          <w:lang w:eastAsia="en-US"/>
        </w:rPr>
        <w:t xml:space="preserve"> Flagship funding for magnesium and </w:t>
      </w:r>
      <w:r w:rsidRPr="00AC5FD3">
        <w:rPr>
          <w:rFonts w:eastAsiaTheme="minorHAnsi"/>
          <w:bCs/>
          <w:lang w:eastAsia="en-US"/>
        </w:rPr>
        <w:lastRenderedPageBreak/>
        <w:t>aluminium research. This funding was used to boost research in titanium</w:t>
      </w:r>
      <w:r w:rsidR="00953291">
        <w:rPr>
          <w:rFonts w:eastAsiaTheme="minorHAnsi"/>
          <w:bCs/>
          <w:lang w:eastAsia="en-US"/>
        </w:rPr>
        <w:t>,</w:t>
      </w:r>
      <w:r w:rsidRPr="00AC5FD3">
        <w:rPr>
          <w:rFonts w:eastAsiaTheme="minorHAnsi"/>
          <w:bCs/>
          <w:lang w:eastAsia="en-US"/>
        </w:rPr>
        <w:t xml:space="preserve"> as there was strong interest from large multi-national corporations and local small and medium enterprises for CSIRO innovations in titanium processing to be brought to market faster. This has subsequently seen licensing of CSIRO research breakthroughs in titanium to Australian and global industrial partners who are now making substantial investments in establishing a domestic titanium production industry with links to global supply chains.  Eventually th</w:t>
      </w:r>
      <w:r w:rsidR="00953291">
        <w:rPr>
          <w:rFonts w:eastAsiaTheme="minorHAnsi"/>
          <w:bCs/>
          <w:lang w:eastAsia="en-US"/>
        </w:rPr>
        <w:t>e</w:t>
      </w:r>
      <w:r w:rsidRPr="00AC5FD3">
        <w:rPr>
          <w:rFonts w:eastAsiaTheme="minorHAnsi"/>
          <w:bCs/>
          <w:lang w:eastAsia="en-US"/>
        </w:rPr>
        <w:t xml:space="preserve"> decision led to the Light Metals Flagship being closed with the remaining investment in titanium continuing through the Manufacturing Flagship.</w:t>
      </w:r>
      <w:r w:rsidRPr="00AC5FD3">
        <w:rPr>
          <w:rFonts w:eastAsiaTheme="minorHAnsi"/>
          <w:bCs/>
          <w:vertAlign w:val="superscript"/>
          <w:lang w:eastAsia="en-US"/>
        </w:rPr>
        <w:endnoteReference w:id="9"/>
      </w:r>
    </w:p>
    <w:p w14:paraId="40C98246" w14:textId="77777777" w:rsidR="00BD1C69" w:rsidRDefault="00BD1C69" w:rsidP="009B2E56">
      <w:pPr>
        <w:pStyle w:val="Heading3"/>
        <w:rPr>
          <w:lang w:eastAsia="en-US"/>
        </w:rPr>
      </w:pPr>
      <w:r>
        <w:rPr>
          <w:lang w:eastAsia="en-US"/>
        </w:rPr>
        <w:t>Research Specialisation</w:t>
      </w:r>
    </w:p>
    <w:p w14:paraId="40C98247" w14:textId="77777777" w:rsidR="00AA0340" w:rsidRDefault="000E5652" w:rsidP="00D466B4">
      <w:pPr>
        <w:rPr>
          <w:rFonts w:eastAsiaTheme="minorHAnsi"/>
          <w:lang w:eastAsia="en-US"/>
        </w:rPr>
      </w:pPr>
      <w:r>
        <w:rPr>
          <w:rFonts w:eastAsiaTheme="minorHAnsi"/>
          <w:lang w:eastAsia="en-US"/>
        </w:rPr>
        <w:t>A longer term issue</w:t>
      </w:r>
      <w:r w:rsidR="00AA0340">
        <w:rPr>
          <w:rFonts w:eastAsiaTheme="minorHAnsi"/>
          <w:lang w:eastAsia="en-US"/>
        </w:rPr>
        <w:t xml:space="preserve"> applicable to ensuring </w:t>
      </w:r>
      <w:r w:rsidR="00A05FD6">
        <w:rPr>
          <w:rFonts w:eastAsiaTheme="minorHAnsi"/>
          <w:lang w:eastAsia="en-US"/>
        </w:rPr>
        <w:t>commercial</w:t>
      </w:r>
      <w:r w:rsidR="00AA0340">
        <w:rPr>
          <w:rFonts w:eastAsiaTheme="minorHAnsi"/>
          <w:lang w:eastAsia="en-US"/>
        </w:rPr>
        <w:t xml:space="preserve"> outcome</w:t>
      </w:r>
      <w:r w:rsidR="00A05FD6">
        <w:rPr>
          <w:rFonts w:eastAsiaTheme="minorHAnsi"/>
          <w:lang w:eastAsia="en-US"/>
        </w:rPr>
        <w:t>s</w:t>
      </w:r>
      <w:r w:rsidR="00AA0340">
        <w:rPr>
          <w:rFonts w:eastAsiaTheme="minorHAnsi"/>
          <w:lang w:eastAsia="en-US"/>
        </w:rPr>
        <w:t xml:space="preserve"> from Australia’s research </w:t>
      </w:r>
      <w:proofErr w:type="gramStart"/>
      <w:r w:rsidR="00A05FD6">
        <w:rPr>
          <w:rFonts w:eastAsiaTheme="minorHAnsi"/>
          <w:lang w:eastAsia="en-US"/>
        </w:rPr>
        <w:t>capability,</w:t>
      </w:r>
      <w:proofErr w:type="gramEnd"/>
      <w:r w:rsidR="00AA0340">
        <w:rPr>
          <w:rFonts w:eastAsiaTheme="minorHAnsi"/>
          <w:lang w:eastAsia="en-US"/>
        </w:rPr>
        <w:t xml:space="preserve"> is in relation to the scientific discipline distribution of national research </w:t>
      </w:r>
      <w:r w:rsidR="00A05FD6">
        <w:rPr>
          <w:rFonts w:eastAsiaTheme="minorHAnsi"/>
          <w:lang w:eastAsia="en-US"/>
        </w:rPr>
        <w:t>capability</w:t>
      </w:r>
      <w:r w:rsidR="00AA0340">
        <w:rPr>
          <w:rFonts w:eastAsiaTheme="minorHAnsi"/>
          <w:lang w:eastAsia="en-US"/>
        </w:rPr>
        <w:t xml:space="preserve">.  Whereas the commentary made </w:t>
      </w:r>
      <w:r w:rsidR="00A05FD6">
        <w:rPr>
          <w:rFonts w:eastAsiaTheme="minorHAnsi"/>
          <w:lang w:eastAsia="en-US"/>
        </w:rPr>
        <w:t xml:space="preserve">in the sections </w:t>
      </w:r>
      <w:r w:rsidR="00AA0340">
        <w:rPr>
          <w:rFonts w:eastAsiaTheme="minorHAnsi"/>
          <w:lang w:eastAsia="en-US"/>
        </w:rPr>
        <w:t xml:space="preserve">above </w:t>
      </w:r>
      <w:r w:rsidR="00483B4E">
        <w:rPr>
          <w:rFonts w:eastAsiaTheme="minorHAnsi"/>
          <w:lang w:eastAsia="en-US"/>
        </w:rPr>
        <w:t>applies to the</w:t>
      </w:r>
      <w:r w:rsidR="00AA0340">
        <w:rPr>
          <w:rFonts w:eastAsiaTheme="minorHAnsi"/>
          <w:lang w:eastAsia="en-US"/>
        </w:rPr>
        <w:t xml:space="preserve"> commercial outcomes in both immediate and medium term future (e.g. a one – two decade perspective), </w:t>
      </w:r>
      <w:r w:rsidR="00A84892">
        <w:rPr>
          <w:rFonts w:eastAsiaTheme="minorHAnsi"/>
          <w:lang w:eastAsia="en-US"/>
        </w:rPr>
        <w:t xml:space="preserve">the discipline specialisation issue </w:t>
      </w:r>
      <w:r w:rsidR="00A05FD6">
        <w:rPr>
          <w:rFonts w:eastAsiaTheme="minorHAnsi"/>
          <w:lang w:eastAsia="en-US"/>
        </w:rPr>
        <w:t xml:space="preserve">is in relation to capability </w:t>
      </w:r>
      <w:r w:rsidR="008E6341" w:rsidRPr="008E6341">
        <w:rPr>
          <w:rFonts w:eastAsiaTheme="minorHAnsi"/>
          <w:i/>
          <w:lang w:eastAsia="en-US"/>
        </w:rPr>
        <w:t>per se</w:t>
      </w:r>
      <w:r w:rsidR="00A05FD6">
        <w:rPr>
          <w:rFonts w:eastAsiaTheme="minorHAnsi"/>
          <w:lang w:eastAsia="en-US"/>
        </w:rPr>
        <w:t xml:space="preserve"> and whilst it </w:t>
      </w:r>
      <w:r w:rsidR="00A84892">
        <w:rPr>
          <w:rFonts w:eastAsiaTheme="minorHAnsi"/>
          <w:lang w:eastAsia="en-US"/>
        </w:rPr>
        <w:t>requires consideration now</w:t>
      </w:r>
      <w:r w:rsidR="008C1B3B">
        <w:rPr>
          <w:rFonts w:eastAsiaTheme="minorHAnsi"/>
          <w:lang w:eastAsia="en-US"/>
        </w:rPr>
        <w:t>,</w:t>
      </w:r>
      <w:r w:rsidR="00A84892">
        <w:rPr>
          <w:rFonts w:eastAsiaTheme="minorHAnsi"/>
          <w:lang w:eastAsia="en-US"/>
        </w:rPr>
        <w:t xml:space="preserve"> </w:t>
      </w:r>
      <w:r w:rsidR="00A05FD6">
        <w:rPr>
          <w:rFonts w:eastAsiaTheme="minorHAnsi"/>
          <w:lang w:eastAsia="en-US"/>
        </w:rPr>
        <w:t>it</w:t>
      </w:r>
      <w:r w:rsidR="00A84892">
        <w:rPr>
          <w:rFonts w:eastAsiaTheme="minorHAnsi"/>
          <w:lang w:eastAsia="en-US"/>
        </w:rPr>
        <w:t xml:space="preserve"> has impacts for the two – five decade time period given the </w:t>
      </w:r>
      <w:r w:rsidR="008C1B3B">
        <w:rPr>
          <w:rFonts w:eastAsiaTheme="minorHAnsi"/>
          <w:lang w:eastAsia="en-US"/>
        </w:rPr>
        <w:t>time required</w:t>
      </w:r>
      <w:r w:rsidR="00A84892">
        <w:rPr>
          <w:rFonts w:eastAsiaTheme="minorHAnsi"/>
          <w:lang w:eastAsia="en-US"/>
        </w:rPr>
        <w:t xml:space="preserve"> for capability development</w:t>
      </w:r>
      <w:r w:rsidR="008C1B3B">
        <w:rPr>
          <w:rFonts w:eastAsiaTheme="minorHAnsi"/>
          <w:lang w:eastAsia="en-US"/>
        </w:rPr>
        <w:t>,</w:t>
      </w:r>
      <w:r w:rsidR="00A84892">
        <w:rPr>
          <w:rFonts w:eastAsiaTheme="minorHAnsi"/>
          <w:lang w:eastAsia="en-US"/>
        </w:rPr>
        <w:t xml:space="preserve"> especially </w:t>
      </w:r>
      <w:r w:rsidR="008C1B3B">
        <w:rPr>
          <w:rFonts w:eastAsiaTheme="minorHAnsi"/>
          <w:lang w:eastAsia="en-US"/>
        </w:rPr>
        <w:t>the</w:t>
      </w:r>
      <w:r w:rsidR="00A84892">
        <w:rPr>
          <w:rFonts w:eastAsiaTheme="minorHAnsi"/>
          <w:lang w:eastAsia="en-US"/>
        </w:rPr>
        <w:t xml:space="preserve"> development of new capabilities.</w:t>
      </w:r>
    </w:p>
    <w:p w14:paraId="40C98248" w14:textId="77777777" w:rsidR="00FF3DAE" w:rsidRPr="00D466B4" w:rsidRDefault="00FF3DAE" w:rsidP="00D466B4">
      <w:pPr>
        <w:rPr>
          <w:rFonts w:eastAsiaTheme="minorHAnsi"/>
          <w:lang w:eastAsia="en-US"/>
        </w:rPr>
      </w:pPr>
      <w:r w:rsidRPr="00D466B4">
        <w:rPr>
          <w:rFonts w:eastAsiaTheme="minorHAnsi"/>
          <w:lang w:eastAsia="en-US"/>
        </w:rPr>
        <w:t xml:space="preserve">Each country shows </w:t>
      </w:r>
      <w:r w:rsidR="00BE7DF3">
        <w:rPr>
          <w:rFonts w:eastAsiaTheme="minorHAnsi"/>
          <w:lang w:eastAsia="en-US"/>
        </w:rPr>
        <w:t>a</w:t>
      </w:r>
      <w:r w:rsidRPr="00D466B4">
        <w:rPr>
          <w:rFonts w:eastAsiaTheme="minorHAnsi"/>
          <w:lang w:eastAsia="en-US"/>
        </w:rPr>
        <w:t xml:space="preserve"> level of specialisation as to the discipline profile of the science it conducts. </w:t>
      </w:r>
      <w:r w:rsidR="00BE7DF3">
        <w:rPr>
          <w:rFonts w:eastAsiaTheme="minorHAnsi"/>
          <w:lang w:eastAsia="en-US"/>
        </w:rPr>
        <w:t xml:space="preserve"> </w:t>
      </w:r>
      <w:r w:rsidRPr="00D466B4">
        <w:rPr>
          <w:rFonts w:eastAsiaTheme="minorHAnsi"/>
          <w:lang w:eastAsia="en-US"/>
        </w:rPr>
        <w:t>Australian science has a specialisation in the fields of geosciences and environment/ecology, plant and animal sciences – this may reflect the long standing importance of the mining and resources and agricultural sectors of the Australian economy.  Australian publications in these fields are more than 5% of global publications, whereas Australia produces 3.5% of global publications overall.   Interestingly, the scientific output from Canada shows a similar specialisation towards these fields of science. Australian research in these fields also performs well; each of the three fields is at least 30% more cited than the global average and at least 9% more cited than the EU-15 average.</w:t>
      </w:r>
    </w:p>
    <w:p w14:paraId="40C98249" w14:textId="77777777" w:rsidR="00BE7DF3" w:rsidRDefault="00FF3DAE" w:rsidP="00D466B4">
      <w:pPr>
        <w:rPr>
          <w:rFonts w:eastAsiaTheme="minorHAnsi"/>
          <w:lang w:eastAsia="en-US"/>
        </w:rPr>
      </w:pPr>
      <w:r w:rsidRPr="00D466B4">
        <w:rPr>
          <w:rFonts w:eastAsiaTheme="minorHAnsi"/>
          <w:lang w:eastAsia="en-US"/>
        </w:rPr>
        <w:t xml:space="preserve">Conversely – Australia is proportionally underweight in the fields of chemistry, physics, mathematics, engineering and materials science.  In these fields, Australian output is between 1.7 – 2.6% of global publications. </w:t>
      </w:r>
    </w:p>
    <w:p w14:paraId="40C9824A" w14:textId="77777777" w:rsidR="00BE7DF3" w:rsidRDefault="00FF3DAE" w:rsidP="00D466B4">
      <w:pPr>
        <w:rPr>
          <w:rFonts w:eastAsiaTheme="minorHAnsi"/>
          <w:lang w:eastAsia="en-US"/>
        </w:rPr>
      </w:pPr>
      <w:r w:rsidRPr="00D466B4">
        <w:rPr>
          <w:rFonts w:eastAsiaTheme="minorHAnsi"/>
          <w:lang w:eastAsia="en-US"/>
        </w:rPr>
        <w:t xml:space="preserve">This specialisation data profile raises a question concerning the research requirements of the future Australian economy.  Although it is not contemplated that the Australia will become a global </w:t>
      </w:r>
      <w:r w:rsidR="008E6341" w:rsidRPr="008E6341">
        <w:rPr>
          <w:rFonts w:eastAsiaTheme="minorHAnsi"/>
          <w:i/>
          <w:lang w:eastAsia="en-US"/>
        </w:rPr>
        <w:t xml:space="preserve">leader </w:t>
      </w:r>
      <w:r w:rsidRPr="00D466B4">
        <w:rPr>
          <w:rFonts w:eastAsiaTheme="minorHAnsi"/>
          <w:lang w:eastAsia="en-US"/>
        </w:rPr>
        <w:t xml:space="preserve">in sectors that require intensive physical sciences – as currently are some Asian countries – nevertheless, these fields of sciences are fundamental to many sectors of the economy including the manufacturing and service industries.  Development or expansion of capability in discipline fields requires multiple decades of investment.  For these reasons, </w:t>
      </w:r>
      <w:r w:rsidR="008E6341" w:rsidRPr="008E6341">
        <w:rPr>
          <w:rFonts w:eastAsiaTheme="minorHAnsi"/>
          <w:b/>
          <w:lang w:eastAsia="en-US"/>
        </w:rPr>
        <w:t>a question worth contemplating is whether an intervention is required in the specialisation of the Australian R&amp;D system, to address the current underweight of the physical sciences (chemistry, physics, mathematics, material sciences) in order to support delivery of commercial outcomes in the Australian economy of the 2020- 2050 period</w:t>
      </w:r>
      <w:r w:rsidRPr="00D466B4">
        <w:rPr>
          <w:rFonts w:eastAsiaTheme="minorHAnsi"/>
          <w:lang w:eastAsia="en-US"/>
        </w:rPr>
        <w:t xml:space="preserve">.  </w:t>
      </w:r>
    </w:p>
    <w:p w14:paraId="40C9824B" w14:textId="77777777" w:rsidR="00BD1C69" w:rsidRDefault="00FF3DAE" w:rsidP="00D466B4">
      <w:pPr>
        <w:rPr>
          <w:rFonts w:eastAsiaTheme="majorEastAsia"/>
          <w:lang w:eastAsia="en-US"/>
        </w:rPr>
      </w:pPr>
      <w:r w:rsidRPr="00D466B4">
        <w:rPr>
          <w:rFonts w:eastAsiaTheme="minorHAnsi"/>
          <w:lang w:eastAsia="en-US"/>
        </w:rPr>
        <w:t>For more detailed analysis of research specialisation</w:t>
      </w:r>
      <w:r w:rsidR="00BE7DF3">
        <w:rPr>
          <w:rFonts w:eastAsiaTheme="minorHAnsi"/>
          <w:lang w:eastAsia="en-US"/>
        </w:rPr>
        <w:t>,</w:t>
      </w:r>
      <w:r w:rsidRPr="00D466B4">
        <w:rPr>
          <w:rFonts w:eastAsiaTheme="minorHAnsi"/>
          <w:lang w:eastAsia="en-US"/>
        </w:rPr>
        <w:t xml:space="preserve"> refer to </w:t>
      </w:r>
      <w:r w:rsidR="000E7578">
        <w:fldChar w:fldCharType="begin"/>
      </w:r>
      <w:r w:rsidR="000E7578">
        <w:instrText xml:space="preserve"> REF _Ref405289701  \* MERGEFORMAT </w:instrText>
      </w:r>
      <w:r w:rsidR="000E7578">
        <w:fldChar w:fldCharType="separate"/>
      </w:r>
      <w:r w:rsidR="000E7578" w:rsidRPr="000E7578">
        <w:rPr>
          <w:rFonts w:eastAsiaTheme="minorHAnsi"/>
          <w:b/>
          <w:lang w:eastAsia="en-US"/>
        </w:rPr>
        <w:t>Attachment 3: National Discipline Specialisation – Design for Future State</w:t>
      </w:r>
      <w:r w:rsidR="000E7578">
        <w:rPr>
          <w:rFonts w:eastAsiaTheme="minorHAnsi"/>
          <w:b/>
          <w:lang w:eastAsia="en-US"/>
        </w:rPr>
        <w:fldChar w:fldCharType="end"/>
      </w:r>
      <w:r w:rsidR="00C73F8A">
        <w:rPr>
          <w:rFonts w:eastAsiaTheme="minorHAnsi"/>
          <w:lang w:eastAsia="en-US"/>
        </w:rPr>
        <w:t>.</w:t>
      </w:r>
    </w:p>
    <w:p w14:paraId="40C9824C" w14:textId="77777777" w:rsidR="00AC5FD3" w:rsidRPr="00AC5FD3" w:rsidRDefault="00AC5FD3" w:rsidP="009B2E56">
      <w:pPr>
        <w:pStyle w:val="Heading3"/>
        <w:rPr>
          <w:lang w:eastAsia="en-US"/>
        </w:rPr>
      </w:pPr>
      <w:r w:rsidRPr="00AC5FD3">
        <w:rPr>
          <w:lang w:eastAsia="en-US"/>
        </w:rPr>
        <w:lastRenderedPageBreak/>
        <w:t>Key points</w:t>
      </w:r>
    </w:p>
    <w:p w14:paraId="40C9824D" w14:textId="77777777" w:rsidR="00AC5FD3" w:rsidRPr="00AC5FD3" w:rsidRDefault="00AC5FD3" w:rsidP="00855D5A">
      <w:pPr>
        <w:numPr>
          <w:ilvl w:val="0"/>
          <w:numId w:val="2"/>
        </w:numPr>
        <w:rPr>
          <w:rFonts w:eastAsiaTheme="minorHAnsi"/>
          <w:i/>
        </w:rPr>
      </w:pPr>
      <w:r w:rsidRPr="00AC5FD3">
        <w:rPr>
          <w:rFonts w:eastAsiaTheme="minorHAnsi"/>
          <w:i/>
        </w:rPr>
        <w:t>The development of practical challenges associated with research priorities will help drive the direction of research in Australia</w:t>
      </w:r>
    </w:p>
    <w:p w14:paraId="40C9824E" w14:textId="77777777" w:rsidR="00AC5FD3" w:rsidRPr="00AC5FD3" w:rsidRDefault="00AC5FD3" w:rsidP="00855D5A">
      <w:pPr>
        <w:numPr>
          <w:ilvl w:val="0"/>
          <w:numId w:val="2"/>
        </w:numPr>
        <w:rPr>
          <w:rFonts w:eastAsiaTheme="minorHAnsi"/>
          <w:i/>
        </w:rPr>
      </w:pPr>
      <w:r w:rsidRPr="00AC5FD3">
        <w:rPr>
          <w:rFonts w:eastAsiaTheme="minorHAnsi"/>
          <w:i/>
        </w:rPr>
        <w:t>Commercially focussed research should be planned and monitored with the intended impacts in mind</w:t>
      </w:r>
    </w:p>
    <w:p w14:paraId="40C9824F" w14:textId="77777777" w:rsidR="00AC5FD3" w:rsidRPr="00AC5FD3" w:rsidRDefault="00AC5FD3" w:rsidP="00855D5A">
      <w:pPr>
        <w:numPr>
          <w:ilvl w:val="0"/>
          <w:numId w:val="2"/>
        </w:numPr>
        <w:rPr>
          <w:rFonts w:eastAsiaTheme="minorHAnsi"/>
          <w:i/>
        </w:rPr>
      </w:pPr>
      <w:r w:rsidRPr="00AC5FD3">
        <w:rPr>
          <w:rFonts w:eastAsiaTheme="minorHAnsi"/>
          <w:i/>
        </w:rPr>
        <w:t xml:space="preserve">Engaging the right </w:t>
      </w:r>
      <w:r w:rsidR="00A05FD6" w:rsidRPr="00AC5FD3">
        <w:rPr>
          <w:rFonts w:eastAsiaTheme="minorHAnsi"/>
          <w:i/>
        </w:rPr>
        <w:t>partners</w:t>
      </w:r>
      <w:r w:rsidR="00A05FD6">
        <w:rPr>
          <w:rFonts w:eastAsiaTheme="minorHAnsi"/>
          <w:i/>
        </w:rPr>
        <w:t xml:space="preserve">, early and during the conduct of the research, </w:t>
      </w:r>
      <w:r w:rsidRPr="00AC5FD3">
        <w:rPr>
          <w:rFonts w:eastAsiaTheme="minorHAnsi"/>
          <w:i/>
        </w:rPr>
        <w:t>is key to obtaining a commercial return on research</w:t>
      </w:r>
    </w:p>
    <w:p w14:paraId="40C98250" w14:textId="77777777" w:rsidR="00AC5FD3" w:rsidRDefault="00A05FD6" w:rsidP="00855D5A">
      <w:pPr>
        <w:numPr>
          <w:ilvl w:val="0"/>
          <w:numId w:val="2"/>
        </w:numPr>
        <w:rPr>
          <w:rFonts w:eastAsiaTheme="minorHAnsi"/>
          <w:i/>
        </w:rPr>
      </w:pPr>
      <w:r>
        <w:rPr>
          <w:rFonts w:eastAsiaTheme="minorHAnsi"/>
          <w:i/>
        </w:rPr>
        <w:t>A</w:t>
      </w:r>
      <w:r w:rsidR="00AC5FD3" w:rsidRPr="00AC5FD3">
        <w:rPr>
          <w:rFonts w:eastAsiaTheme="minorHAnsi"/>
          <w:i/>
        </w:rPr>
        <w:t xml:space="preserve"> portfolio management approach to </w:t>
      </w:r>
      <w:r>
        <w:rPr>
          <w:rFonts w:eastAsiaTheme="minorHAnsi"/>
          <w:i/>
        </w:rPr>
        <w:t xml:space="preserve">the conduct of </w:t>
      </w:r>
      <w:r w:rsidR="00AC5FD3" w:rsidRPr="00AC5FD3">
        <w:rPr>
          <w:rFonts w:eastAsiaTheme="minorHAnsi"/>
          <w:i/>
        </w:rPr>
        <w:t>research undertaken in support of practical challenges</w:t>
      </w:r>
      <w:r>
        <w:rPr>
          <w:rFonts w:eastAsiaTheme="minorHAnsi"/>
          <w:i/>
        </w:rPr>
        <w:t xml:space="preserve"> should be contemplated</w:t>
      </w:r>
    </w:p>
    <w:p w14:paraId="40C98251" w14:textId="77777777" w:rsidR="00C73F8A" w:rsidRDefault="00A05FD6" w:rsidP="00855D5A">
      <w:pPr>
        <w:numPr>
          <w:ilvl w:val="0"/>
          <w:numId w:val="2"/>
        </w:numPr>
        <w:rPr>
          <w:rFonts w:eastAsiaTheme="minorHAnsi"/>
          <w:i/>
        </w:rPr>
      </w:pPr>
      <w:r>
        <w:rPr>
          <w:rFonts w:eastAsiaTheme="minorHAnsi"/>
          <w:i/>
        </w:rPr>
        <w:t>The national</w:t>
      </w:r>
      <w:r w:rsidR="00C73F8A">
        <w:rPr>
          <w:rFonts w:eastAsiaTheme="minorHAnsi"/>
          <w:i/>
        </w:rPr>
        <w:t xml:space="preserve"> research disciplines required for the long-term future economy</w:t>
      </w:r>
      <w:r>
        <w:rPr>
          <w:rFonts w:eastAsiaTheme="minorHAnsi"/>
          <w:i/>
        </w:rPr>
        <w:t xml:space="preserve"> is an important issue to be considered in the context of achieving commercial outcomes from research </w:t>
      </w:r>
    </w:p>
    <w:p w14:paraId="40C98252" w14:textId="77777777" w:rsidR="00AC5FD3" w:rsidRPr="00AC5FD3" w:rsidRDefault="00AC5FD3" w:rsidP="00AC5FD3">
      <w:pPr>
        <w:pStyle w:val="Heading2"/>
        <w:rPr>
          <w:lang w:eastAsia="en-US"/>
        </w:rPr>
      </w:pPr>
      <w:r w:rsidRPr="00AC5FD3">
        <w:rPr>
          <w:lang w:eastAsia="en-US"/>
        </w:rPr>
        <w:t xml:space="preserve"> </w:t>
      </w:r>
      <w:bookmarkStart w:id="6" w:name="_Toc405494768"/>
      <w:r w:rsidRPr="00AC5FD3">
        <w:rPr>
          <w:lang w:eastAsia="en-US"/>
        </w:rPr>
        <w:t>‘Opportunities to support collaboration’</w:t>
      </w:r>
      <w:bookmarkEnd w:id="6"/>
    </w:p>
    <w:p w14:paraId="40C98253" w14:textId="77777777" w:rsidR="00AC5FD3" w:rsidRPr="00AC5FD3" w:rsidRDefault="00AC5FD3" w:rsidP="00AC5FD3">
      <w:pPr>
        <w:rPr>
          <w:rFonts w:eastAsiaTheme="minorHAnsi"/>
          <w:lang w:eastAsia="en-US"/>
        </w:rPr>
      </w:pPr>
      <w:r w:rsidRPr="00AC5FD3">
        <w:rPr>
          <w:rFonts w:eastAsiaTheme="minorHAnsi"/>
          <w:lang w:eastAsia="en-US"/>
        </w:rPr>
        <w:t>Many of the challenges and opportunities facing Australia require leveraging capability from across the innovation system to deliver innovative solutions for the economy, society and the environment. For this reason, CSIRO recognises the importance of encouraging collaboration between the most suitable partners in getting the best return</w:t>
      </w:r>
      <w:r w:rsidR="00C73F8A">
        <w:rPr>
          <w:rFonts w:eastAsiaTheme="minorHAnsi"/>
          <w:lang w:eastAsia="en-US"/>
        </w:rPr>
        <w:t xml:space="preserve"> - </w:t>
      </w:r>
      <w:r w:rsidRPr="00AC5FD3">
        <w:rPr>
          <w:rFonts w:eastAsiaTheme="minorHAnsi"/>
          <w:lang w:eastAsia="en-US"/>
        </w:rPr>
        <w:t xml:space="preserve">whether social, environmental or economic </w:t>
      </w:r>
      <w:r w:rsidR="00C73F8A">
        <w:rPr>
          <w:rFonts w:eastAsiaTheme="minorHAnsi"/>
          <w:lang w:eastAsia="en-US"/>
        </w:rPr>
        <w:t xml:space="preserve">- </w:t>
      </w:r>
      <w:r w:rsidRPr="00AC5FD3">
        <w:rPr>
          <w:rFonts w:eastAsiaTheme="minorHAnsi"/>
          <w:lang w:eastAsia="en-US"/>
        </w:rPr>
        <w:t>on research.</w:t>
      </w:r>
      <w:r w:rsidR="00483B4E">
        <w:rPr>
          <w:rFonts w:eastAsiaTheme="minorHAnsi"/>
          <w:lang w:eastAsia="en-US"/>
        </w:rPr>
        <w:t xml:space="preserve">  It is a fundamental </w:t>
      </w:r>
      <w:r w:rsidR="000D0B2F">
        <w:rPr>
          <w:rFonts w:eastAsiaTheme="minorHAnsi"/>
          <w:lang w:eastAsia="en-US"/>
        </w:rPr>
        <w:t>requirement</w:t>
      </w:r>
      <w:r w:rsidR="00483B4E">
        <w:rPr>
          <w:rFonts w:eastAsiaTheme="minorHAnsi"/>
          <w:lang w:eastAsia="en-US"/>
        </w:rPr>
        <w:t xml:space="preserve"> of a </w:t>
      </w:r>
      <w:r w:rsidR="00483B4E" w:rsidRPr="00D2725D">
        <w:rPr>
          <w:rFonts w:eastAsiaTheme="minorHAnsi"/>
          <w:lang w:eastAsia="en-US"/>
        </w:rPr>
        <w:t>high performing national innovation system</w:t>
      </w:r>
      <w:r w:rsidR="00483B4E">
        <w:rPr>
          <w:rFonts w:eastAsiaTheme="minorHAnsi"/>
          <w:lang w:eastAsia="en-US"/>
        </w:rPr>
        <w:t xml:space="preserve"> that there is collaboration between the players in the system – particularly between industry and public research sector.</w:t>
      </w:r>
    </w:p>
    <w:p w14:paraId="40C98254" w14:textId="77777777" w:rsidR="00AC5FD3" w:rsidRPr="00AC5FD3" w:rsidRDefault="00AC5FD3" w:rsidP="00553CD6">
      <w:pPr>
        <w:rPr>
          <w:rFonts w:eastAsiaTheme="minorHAnsi"/>
          <w:lang w:eastAsia="en-US"/>
        </w:rPr>
      </w:pPr>
      <w:r w:rsidRPr="00AC5FD3">
        <w:rPr>
          <w:rFonts w:eastAsiaTheme="minorHAnsi"/>
          <w:lang w:eastAsia="en-US"/>
        </w:rPr>
        <w:t xml:space="preserve">CSIRO is a strong supporter of the Research Connections programme and through our Small to Medium Enterprise Engagement Centre (See Case study below) helps researchers from both CSIRO and other research organisations engage with industry. </w:t>
      </w:r>
      <w:r w:rsidR="008E6341" w:rsidRPr="008E6341">
        <w:rPr>
          <w:rFonts w:eastAsiaTheme="minorHAnsi"/>
          <w:b/>
          <w:lang w:eastAsia="en-US"/>
        </w:rPr>
        <w:t>CSIRO believes that the Research Connections programme is an effective model for encouraging collaboration as it enables industry to increase their absorptive capacity, one of the fundamental weaknesses in the Australian innovation system</w:t>
      </w:r>
      <w:r w:rsidRPr="00AC5FD3">
        <w:rPr>
          <w:rFonts w:eastAsiaTheme="minorHAnsi"/>
          <w:lang w:eastAsia="en-US"/>
        </w:rPr>
        <w:t>.</w:t>
      </w:r>
      <w:r w:rsidR="00553CD6">
        <w:rPr>
          <w:rFonts w:eastAsiaTheme="minorHAnsi"/>
          <w:lang w:eastAsia="en-US"/>
        </w:rPr>
        <w:t xml:space="preserve"> CSIRO would like to highlight the effectiveness of the forerunner to the Research Connections programme, the Researchers in Business (RIB) program. Of the o</w:t>
      </w:r>
      <w:r w:rsidR="00553CD6" w:rsidRPr="00553CD6">
        <w:rPr>
          <w:rFonts w:eastAsiaTheme="minorHAnsi"/>
          <w:lang w:eastAsia="en-US"/>
        </w:rPr>
        <w:t>ver 300 RIB projects</w:t>
      </w:r>
      <w:r w:rsidR="00553CD6">
        <w:rPr>
          <w:rFonts w:eastAsiaTheme="minorHAnsi"/>
          <w:lang w:eastAsia="en-US"/>
        </w:rPr>
        <w:t xml:space="preserve">, </w:t>
      </w:r>
      <w:r w:rsidR="00553CD6" w:rsidRPr="00553CD6">
        <w:rPr>
          <w:rFonts w:eastAsiaTheme="minorHAnsi"/>
          <w:lang w:eastAsia="en-US"/>
        </w:rPr>
        <w:t xml:space="preserve">44% </w:t>
      </w:r>
      <w:r w:rsidR="00553CD6">
        <w:rPr>
          <w:rFonts w:eastAsiaTheme="minorHAnsi"/>
          <w:lang w:eastAsia="en-US"/>
        </w:rPr>
        <w:t>involved</w:t>
      </w:r>
      <w:r w:rsidR="00553CD6" w:rsidRPr="00553CD6">
        <w:rPr>
          <w:rFonts w:eastAsiaTheme="minorHAnsi"/>
          <w:lang w:eastAsia="en-US"/>
        </w:rPr>
        <w:t xml:space="preserve"> </w:t>
      </w:r>
      <w:proofErr w:type="spellStart"/>
      <w:r w:rsidR="00553CD6" w:rsidRPr="00553CD6">
        <w:rPr>
          <w:rFonts w:eastAsiaTheme="minorHAnsi"/>
          <w:lang w:eastAsia="en-US"/>
        </w:rPr>
        <w:t>SMEs</w:t>
      </w:r>
      <w:proofErr w:type="spellEnd"/>
      <w:r w:rsidR="00553CD6" w:rsidRPr="00553CD6">
        <w:rPr>
          <w:rFonts w:eastAsiaTheme="minorHAnsi"/>
          <w:lang w:eastAsia="en-US"/>
        </w:rPr>
        <w:t xml:space="preserve"> with no previous engagement with </w:t>
      </w:r>
      <w:r w:rsidR="001E0A40">
        <w:rPr>
          <w:rFonts w:eastAsiaTheme="minorHAnsi"/>
          <w:lang w:eastAsia="en-US"/>
        </w:rPr>
        <w:t>Publically Funded Research Organisations (</w:t>
      </w:r>
      <w:proofErr w:type="spellStart"/>
      <w:r w:rsidR="001E0A40">
        <w:rPr>
          <w:rFonts w:eastAsiaTheme="minorHAnsi"/>
          <w:lang w:eastAsia="en-US"/>
        </w:rPr>
        <w:t>PFRO</w:t>
      </w:r>
      <w:proofErr w:type="spellEnd"/>
      <w:r w:rsidR="001E0A40">
        <w:rPr>
          <w:rFonts w:eastAsiaTheme="minorHAnsi"/>
          <w:lang w:eastAsia="en-US"/>
        </w:rPr>
        <w:t>)</w:t>
      </w:r>
      <w:r w:rsidR="00553CD6" w:rsidRPr="00553CD6">
        <w:rPr>
          <w:rFonts w:eastAsiaTheme="minorHAnsi"/>
          <w:lang w:eastAsia="en-US"/>
        </w:rPr>
        <w:t xml:space="preserve"> prior to the RIB program</w:t>
      </w:r>
      <w:r w:rsidR="00553CD6">
        <w:rPr>
          <w:rFonts w:eastAsiaTheme="minorHAnsi"/>
          <w:lang w:eastAsia="en-US"/>
        </w:rPr>
        <w:t xml:space="preserve">, </w:t>
      </w:r>
      <w:r w:rsidR="00553CD6" w:rsidRPr="00553CD6">
        <w:rPr>
          <w:rFonts w:eastAsiaTheme="minorHAnsi"/>
          <w:lang w:eastAsia="en-US"/>
        </w:rPr>
        <w:t xml:space="preserve">78% of </w:t>
      </w:r>
      <w:proofErr w:type="spellStart"/>
      <w:r w:rsidR="00553CD6" w:rsidRPr="00553CD6">
        <w:rPr>
          <w:rFonts w:eastAsiaTheme="minorHAnsi"/>
          <w:lang w:eastAsia="en-US"/>
        </w:rPr>
        <w:t>SMEs</w:t>
      </w:r>
      <w:proofErr w:type="spellEnd"/>
      <w:r w:rsidR="00553CD6" w:rsidRPr="00553CD6">
        <w:rPr>
          <w:rFonts w:eastAsiaTheme="minorHAnsi"/>
          <w:lang w:eastAsia="en-US"/>
        </w:rPr>
        <w:t xml:space="preserve"> developed ongoing relationships with their </w:t>
      </w:r>
      <w:proofErr w:type="spellStart"/>
      <w:r w:rsidR="00553CD6" w:rsidRPr="00553CD6">
        <w:rPr>
          <w:rFonts w:eastAsiaTheme="minorHAnsi"/>
          <w:lang w:eastAsia="en-US"/>
        </w:rPr>
        <w:t>PFRO</w:t>
      </w:r>
      <w:proofErr w:type="spellEnd"/>
      <w:r w:rsidR="00553CD6" w:rsidRPr="00553CD6">
        <w:rPr>
          <w:rFonts w:eastAsiaTheme="minorHAnsi"/>
          <w:lang w:eastAsia="en-US"/>
        </w:rPr>
        <w:t xml:space="preserve"> following completion of a RIB</w:t>
      </w:r>
      <w:r w:rsidR="00553CD6">
        <w:rPr>
          <w:rFonts w:eastAsiaTheme="minorHAnsi"/>
          <w:lang w:eastAsia="en-US"/>
        </w:rPr>
        <w:t xml:space="preserve"> and 54</w:t>
      </w:r>
      <w:r w:rsidR="00553CD6" w:rsidRPr="00553CD6">
        <w:rPr>
          <w:rFonts w:eastAsiaTheme="minorHAnsi"/>
          <w:lang w:eastAsia="en-US"/>
        </w:rPr>
        <w:t xml:space="preserve">% developed relationships with other </w:t>
      </w:r>
      <w:proofErr w:type="spellStart"/>
      <w:r w:rsidR="00553CD6" w:rsidRPr="00553CD6">
        <w:rPr>
          <w:rFonts w:eastAsiaTheme="minorHAnsi"/>
          <w:lang w:eastAsia="en-US"/>
        </w:rPr>
        <w:t>PFROs</w:t>
      </w:r>
      <w:proofErr w:type="spellEnd"/>
      <w:r w:rsidR="00553CD6">
        <w:rPr>
          <w:rFonts w:eastAsiaTheme="minorHAnsi"/>
          <w:lang w:eastAsia="en-US"/>
        </w:rPr>
        <w:t xml:space="preserve">. CSIRO and the </w:t>
      </w:r>
      <w:proofErr w:type="spellStart"/>
      <w:r w:rsidR="00553CD6">
        <w:rPr>
          <w:rFonts w:eastAsiaTheme="minorHAnsi"/>
          <w:lang w:eastAsia="en-US"/>
        </w:rPr>
        <w:t>SME</w:t>
      </w:r>
      <w:proofErr w:type="spellEnd"/>
      <w:r w:rsidR="00553CD6">
        <w:rPr>
          <w:rFonts w:eastAsiaTheme="minorHAnsi"/>
          <w:lang w:eastAsia="en-US"/>
        </w:rPr>
        <w:t xml:space="preserve"> Engagement Centre </w:t>
      </w:r>
      <w:r w:rsidR="00553CD6" w:rsidRPr="00553CD6">
        <w:rPr>
          <w:rFonts w:eastAsiaTheme="minorHAnsi"/>
          <w:lang w:eastAsia="en-US"/>
        </w:rPr>
        <w:t>team has facilitate</w:t>
      </w:r>
      <w:r w:rsidR="00553CD6">
        <w:rPr>
          <w:rFonts w:eastAsiaTheme="minorHAnsi"/>
          <w:lang w:eastAsia="en-US"/>
        </w:rPr>
        <w:t>d 127 projects –through programs such as Researchers in Business</w:t>
      </w:r>
      <w:r w:rsidR="00553CD6" w:rsidRPr="00553CD6">
        <w:rPr>
          <w:rFonts w:eastAsiaTheme="minorHAnsi"/>
          <w:lang w:eastAsia="en-US"/>
        </w:rPr>
        <w:t xml:space="preserve"> where a researcher worked in a </w:t>
      </w:r>
      <w:proofErr w:type="spellStart"/>
      <w:r w:rsidR="00553CD6" w:rsidRPr="00553CD6">
        <w:rPr>
          <w:rFonts w:eastAsiaTheme="minorHAnsi"/>
          <w:lang w:eastAsia="en-US"/>
        </w:rPr>
        <w:t>SME</w:t>
      </w:r>
      <w:proofErr w:type="spellEnd"/>
      <w:r w:rsidR="00553CD6">
        <w:rPr>
          <w:rFonts w:eastAsiaTheme="minorHAnsi"/>
          <w:lang w:eastAsia="en-US"/>
        </w:rPr>
        <w:t xml:space="preserve"> - </w:t>
      </w:r>
      <w:r w:rsidR="00553CD6" w:rsidRPr="00553CD6">
        <w:rPr>
          <w:rFonts w:eastAsiaTheme="minorHAnsi"/>
          <w:lang w:eastAsia="en-US"/>
        </w:rPr>
        <w:t xml:space="preserve">that have a total value of $13.86 million. </w:t>
      </w:r>
      <w:r w:rsidR="00483B4E">
        <w:rPr>
          <w:rFonts w:eastAsiaTheme="minorHAnsi"/>
          <w:lang w:eastAsia="en-US"/>
        </w:rPr>
        <w:t xml:space="preserve"> </w:t>
      </w:r>
      <w:proofErr w:type="spellStart"/>
      <w:r w:rsidR="00553CD6" w:rsidRPr="00553CD6">
        <w:rPr>
          <w:rFonts w:eastAsiaTheme="minorHAnsi"/>
          <w:lang w:eastAsia="en-US"/>
        </w:rPr>
        <w:t>SMEs</w:t>
      </w:r>
      <w:proofErr w:type="spellEnd"/>
      <w:r w:rsidR="00553CD6" w:rsidRPr="00553CD6">
        <w:rPr>
          <w:rFonts w:eastAsiaTheme="minorHAnsi"/>
          <w:lang w:eastAsia="en-US"/>
        </w:rPr>
        <w:t xml:space="preserve"> contributed approximately 60% of the total project value with 33% being contributed by Government grants and 7% co-investment from CSIRO. Approximately 60% of the projects facilitated used a CSIRO researcher and of these, 70% were new clients. Collectively these clients continued to spend 400% more </w:t>
      </w:r>
      <w:r w:rsidR="00553CD6">
        <w:rPr>
          <w:rFonts w:eastAsiaTheme="minorHAnsi"/>
          <w:lang w:eastAsia="en-US"/>
        </w:rPr>
        <w:t xml:space="preserve">on research </w:t>
      </w:r>
      <w:r w:rsidR="00553CD6" w:rsidRPr="00553CD6">
        <w:rPr>
          <w:rFonts w:eastAsiaTheme="minorHAnsi"/>
          <w:lang w:eastAsia="en-US"/>
        </w:rPr>
        <w:t xml:space="preserve">than the initial project facilitated by the </w:t>
      </w:r>
      <w:proofErr w:type="spellStart"/>
      <w:r w:rsidR="00483B4E">
        <w:rPr>
          <w:rFonts w:eastAsiaTheme="minorHAnsi"/>
          <w:lang w:eastAsia="en-US"/>
        </w:rPr>
        <w:t>SME</w:t>
      </w:r>
      <w:proofErr w:type="spellEnd"/>
      <w:r w:rsidR="00483B4E">
        <w:rPr>
          <w:rFonts w:eastAsiaTheme="minorHAnsi"/>
          <w:lang w:eastAsia="en-US"/>
        </w:rPr>
        <w:t xml:space="preserve"> Engagement Centre</w:t>
      </w:r>
      <w:r w:rsidR="00553CD6" w:rsidRPr="00553CD6">
        <w:rPr>
          <w:rFonts w:eastAsiaTheme="minorHAnsi"/>
          <w:lang w:eastAsia="en-US"/>
        </w:rPr>
        <w:t>.</w:t>
      </w:r>
    </w:p>
    <w:p w14:paraId="40C98255"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AC5FD3">
        <w:rPr>
          <w:rFonts w:eastAsiaTheme="minorHAnsi"/>
          <w:b/>
          <w:lang w:eastAsia="en-US"/>
        </w:rPr>
        <w:t xml:space="preserve">Case Study: CSIRO’s </w:t>
      </w:r>
      <w:proofErr w:type="spellStart"/>
      <w:r w:rsidRPr="00AC5FD3">
        <w:rPr>
          <w:rFonts w:eastAsiaTheme="minorHAnsi"/>
          <w:b/>
          <w:lang w:eastAsia="en-US"/>
        </w:rPr>
        <w:t>SME</w:t>
      </w:r>
      <w:proofErr w:type="spellEnd"/>
      <w:r w:rsidRPr="00AC5FD3">
        <w:rPr>
          <w:rFonts w:eastAsiaTheme="minorHAnsi"/>
          <w:b/>
          <w:lang w:eastAsia="en-US"/>
        </w:rPr>
        <w:t xml:space="preserve"> Engagement Centre</w:t>
      </w:r>
      <w:r w:rsidRPr="00AC5FD3">
        <w:rPr>
          <w:rFonts w:eastAsiaTheme="minorHAnsi"/>
          <w:lang w:eastAsia="en-US"/>
        </w:rPr>
        <w:br/>
      </w:r>
      <w:r w:rsidRPr="00BF4742">
        <w:rPr>
          <w:rFonts w:eastAsiaTheme="minorHAnsi"/>
          <w:sz w:val="20"/>
          <w:szCs w:val="20"/>
          <w:lang w:eastAsia="en-US"/>
        </w:rPr>
        <w:t xml:space="preserve">Working with Australian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is a key element in delivering on CSIRO’s role. Each year CSIRO works with over 1000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developing and delivering innovation to existing industries and through testing and evaluation. </w:t>
      </w:r>
    </w:p>
    <w:p w14:paraId="40C98256"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BF4742">
        <w:rPr>
          <w:rFonts w:eastAsiaTheme="minorHAnsi"/>
          <w:sz w:val="20"/>
          <w:szCs w:val="20"/>
          <w:lang w:eastAsia="en-US"/>
        </w:rPr>
        <w:lastRenderedPageBreak/>
        <w:t xml:space="preserve">The CSIRO </w:t>
      </w:r>
      <w:proofErr w:type="spellStart"/>
      <w:r w:rsidRPr="00BF4742">
        <w:rPr>
          <w:rFonts w:eastAsiaTheme="minorHAnsi"/>
          <w:sz w:val="20"/>
          <w:szCs w:val="20"/>
          <w:lang w:eastAsia="en-US"/>
        </w:rPr>
        <w:t>SME</w:t>
      </w:r>
      <w:proofErr w:type="spellEnd"/>
      <w:r w:rsidRPr="00BF4742">
        <w:rPr>
          <w:rFonts w:eastAsiaTheme="minorHAnsi"/>
          <w:sz w:val="20"/>
          <w:szCs w:val="20"/>
          <w:lang w:eastAsia="en-US"/>
        </w:rPr>
        <w:t xml:space="preserve"> Engagement Centre has been operating for five years and was established to build long-term connections between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and research organisations across Australia’s Innovation system.  It is differentiated by (1) its market pull approach where it helps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understand what may be possible and providing tailored solutions to the needs of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rather than marketing research capabilities, and (2) its ability to connect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to the most appropriate research capability, regardless of which research organisation it resides in. These two differentiating factors allow the Centre to consider the company and its need first, before thinking about the possible solutions. The Centre facilitates industry access to established program such as the Researcher in Business program. Examples of projects developed with the support of the </w:t>
      </w:r>
      <w:proofErr w:type="spellStart"/>
      <w:r w:rsidRPr="00BF4742">
        <w:rPr>
          <w:rFonts w:eastAsiaTheme="minorHAnsi"/>
          <w:sz w:val="20"/>
          <w:szCs w:val="20"/>
          <w:lang w:eastAsia="en-US"/>
        </w:rPr>
        <w:t>SME</w:t>
      </w:r>
      <w:proofErr w:type="spellEnd"/>
      <w:r w:rsidRPr="00BF4742">
        <w:rPr>
          <w:rFonts w:eastAsiaTheme="minorHAnsi"/>
          <w:sz w:val="20"/>
          <w:szCs w:val="20"/>
          <w:lang w:eastAsia="en-US"/>
        </w:rPr>
        <w:t xml:space="preserve"> Engagement Centre can be found here: </w:t>
      </w:r>
      <w:hyperlink r:id="rId17" w:history="1">
        <w:r w:rsidRPr="00BF4742">
          <w:rPr>
            <w:rFonts w:eastAsiaTheme="minorHAnsi"/>
            <w:color w:val="0000FF" w:themeColor="hyperlink"/>
            <w:sz w:val="20"/>
            <w:szCs w:val="20"/>
            <w:u w:val="single"/>
            <w:lang w:eastAsia="en-US"/>
          </w:rPr>
          <w:t>http://www.csiro.au/Portals/Partner/SME-Engagement.aspx</w:t>
        </w:r>
      </w:hyperlink>
      <w:r w:rsidRPr="00BF4742">
        <w:rPr>
          <w:rFonts w:eastAsiaTheme="minorHAnsi"/>
          <w:sz w:val="20"/>
          <w:szCs w:val="20"/>
          <w:lang w:eastAsia="en-US"/>
        </w:rPr>
        <w:t xml:space="preserve"> </w:t>
      </w:r>
    </w:p>
    <w:p w14:paraId="40C98257" w14:textId="77777777" w:rsidR="00AC5FD3" w:rsidRPr="00AC5FD3" w:rsidRDefault="00AC5FD3" w:rsidP="00AC5FD3">
      <w:pPr>
        <w:pBdr>
          <w:top w:val="single" w:sz="4" w:space="1" w:color="auto"/>
          <w:left w:val="single" w:sz="4" w:space="4" w:color="auto"/>
          <w:bottom w:val="single" w:sz="4" w:space="1" w:color="auto"/>
          <w:right w:val="single" w:sz="4" w:space="4" w:color="auto"/>
        </w:pBdr>
        <w:rPr>
          <w:rFonts w:eastAsiaTheme="minorHAnsi"/>
          <w:lang w:eastAsia="en-US"/>
        </w:rPr>
      </w:pPr>
      <w:r w:rsidRPr="00BF4742">
        <w:rPr>
          <w:rFonts w:eastAsiaTheme="minorHAnsi"/>
          <w:sz w:val="20"/>
          <w:szCs w:val="20"/>
          <w:lang w:eastAsia="en-US"/>
        </w:rPr>
        <w:t xml:space="preserve">The team was awarded the Australian Business Award for Innovation 2013 for its innovative approach to bridging the gap between </w:t>
      </w:r>
      <w:proofErr w:type="spellStart"/>
      <w:r w:rsidRPr="00BF4742">
        <w:rPr>
          <w:rFonts w:eastAsiaTheme="minorHAnsi"/>
          <w:sz w:val="20"/>
          <w:szCs w:val="20"/>
          <w:lang w:eastAsia="en-US"/>
        </w:rPr>
        <w:t>SMEs</w:t>
      </w:r>
      <w:proofErr w:type="spellEnd"/>
      <w:r w:rsidRPr="00BF4742">
        <w:rPr>
          <w:rFonts w:eastAsiaTheme="minorHAnsi"/>
          <w:sz w:val="20"/>
          <w:szCs w:val="20"/>
          <w:lang w:eastAsia="en-US"/>
        </w:rPr>
        <w:t xml:space="preserve"> and research organisations.</w:t>
      </w:r>
    </w:p>
    <w:p w14:paraId="40C98258" w14:textId="77777777" w:rsidR="0082308B" w:rsidRDefault="00D65C31" w:rsidP="00D65C31">
      <w:pPr>
        <w:pStyle w:val="Heading3"/>
        <w:rPr>
          <w:lang w:eastAsia="en-US"/>
        </w:rPr>
      </w:pPr>
      <w:r>
        <w:rPr>
          <w:lang w:eastAsia="en-US"/>
        </w:rPr>
        <w:t>Research Infrastructure</w:t>
      </w:r>
    </w:p>
    <w:p w14:paraId="40C98259" w14:textId="77777777" w:rsidR="000375FA" w:rsidRPr="004F2C5A" w:rsidRDefault="00D65C31" w:rsidP="004F2C5A">
      <w:pPr>
        <w:rPr>
          <w:rFonts w:eastAsiaTheme="minorHAnsi"/>
          <w:lang w:eastAsia="en-US"/>
        </w:rPr>
      </w:pPr>
      <w:r w:rsidRPr="004F2C5A">
        <w:rPr>
          <w:rFonts w:eastAsiaTheme="minorHAnsi"/>
          <w:lang w:eastAsia="en-US"/>
        </w:rPr>
        <w:t>CSIRO acknowledges the important role that research infrastructure,</w:t>
      </w:r>
      <w:r w:rsidR="000375FA" w:rsidRPr="004F2C5A">
        <w:rPr>
          <w:rFonts w:eastAsiaTheme="minorHAnsi"/>
          <w:lang w:eastAsia="en-US"/>
        </w:rPr>
        <w:t xml:space="preserve"> particularly national-</w:t>
      </w:r>
      <w:r w:rsidRPr="004F2C5A">
        <w:rPr>
          <w:rFonts w:eastAsiaTheme="minorHAnsi"/>
          <w:lang w:eastAsia="en-US"/>
        </w:rPr>
        <w:t xml:space="preserve">scale research infrastructure plays in </w:t>
      </w:r>
      <w:r w:rsidR="00483B4E">
        <w:rPr>
          <w:rFonts w:eastAsiaTheme="minorHAnsi"/>
          <w:lang w:eastAsia="en-US"/>
        </w:rPr>
        <w:t>supporting</w:t>
      </w:r>
      <w:r w:rsidR="00483B4E" w:rsidRPr="004F2C5A">
        <w:rPr>
          <w:rFonts w:eastAsiaTheme="minorHAnsi"/>
          <w:lang w:eastAsia="en-US"/>
        </w:rPr>
        <w:t xml:space="preserve"> </w:t>
      </w:r>
      <w:r w:rsidRPr="004F2C5A">
        <w:rPr>
          <w:rFonts w:eastAsiaTheme="minorHAnsi"/>
          <w:lang w:eastAsia="en-US"/>
        </w:rPr>
        <w:t>collaboration</w:t>
      </w:r>
      <w:r w:rsidR="00483B4E">
        <w:rPr>
          <w:rFonts w:eastAsiaTheme="minorHAnsi"/>
          <w:lang w:eastAsia="en-US"/>
        </w:rPr>
        <w:t>, including with industry</w:t>
      </w:r>
      <w:r w:rsidRPr="004F2C5A">
        <w:rPr>
          <w:rFonts w:eastAsiaTheme="minorHAnsi"/>
          <w:lang w:eastAsia="en-US"/>
        </w:rPr>
        <w:t xml:space="preserve">. </w:t>
      </w:r>
      <w:r w:rsidR="000375FA" w:rsidRPr="004F2C5A">
        <w:rPr>
          <w:rFonts w:eastAsiaTheme="minorHAnsi"/>
          <w:lang w:eastAsia="en-US"/>
        </w:rPr>
        <w:t xml:space="preserve">CSIRO hosts National Research Infrastructure on behalf of the scientific community to assist with the delivery of research in the nation’s interest. These facilities and collections are not restricted to CSIRO personnel, they are world-class amenities, support significant global science programs that enable collaboration between researchers and industry and are of high relevance to industry and national economic prosperity. </w:t>
      </w:r>
      <w:r w:rsidR="00BD1C69" w:rsidRPr="004F2C5A">
        <w:rPr>
          <w:rFonts w:eastAsiaTheme="minorHAnsi"/>
          <w:lang w:eastAsia="en-US"/>
        </w:rPr>
        <w:t>Further information on the role of CSIRO in research infrastructure is outlined in</w:t>
      </w:r>
      <w:r w:rsidR="00483B4E">
        <w:rPr>
          <w:rFonts w:eastAsiaTheme="minorHAnsi"/>
          <w:lang w:eastAsia="en-US"/>
        </w:rPr>
        <w:t xml:space="preserve"> </w:t>
      </w:r>
      <w:r w:rsidR="009B2E56">
        <w:fldChar w:fldCharType="begin"/>
      </w:r>
      <w:r w:rsidR="009B2E56">
        <w:instrText xml:space="preserve"> REF _Ref405320628 \h  \* MERGEFORMAT </w:instrText>
      </w:r>
      <w:r w:rsidR="009B2E56">
        <w:fldChar w:fldCharType="separate"/>
      </w:r>
      <w:r w:rsidR="000E7578" w:rsidRPr="000E7578">
        <w:rPr>
          <w:b/>
        </w:rPr>
        <w:t>Attachment 4: CSIRO’s National Research Infrastructure role</w:t>
      </w:r>
      <w:r w:rsidR="009B2E56">
        <w:fldChar w:fldCharType="end"/>
      </w:r>
      <w:r w:rsidR="00C73F8A">
        <w:rPr>
          <w:rFonts w:eastAsiaTheme="minorHAnsi"/>
          <w:lang w:eastAsia="en-US"/>
        </w:rPr>
        <w:t>.</w:t>
      </w:r>
    </w:p>
    <w:p w14:paraId="40C9825A" w14:textId="77777777" w:rsidR="00D65C31" w:rsidRPr="004F2C5A" w:rsidRDefault="00D65C31" w:rsidP="004F2C5A">
      <w:pPr>
        <w:rPr>
          <w:rFonts w:eastAsiaTheme="minorHAnsi"/>
          <w:lang w:eastAsia="en-US"/>
        </w:rPr>
      </w:pPr>
      <w:r w:rsidRPr="004F2C5A">
        <w:rPr>
          <w:rFonts w:eastAsiaTheme="minorHAnsi"/>
          <w:lang w:eastAsia="en-US"/>
        </w:rPr>
        <w:t xml:space="preserve">CSIRO </w:t>
      </w:r>
      <w:r w:rsidR="000375FA" w:rsidRPr="004F2C5A">
        <w:rPr>
          <w:rFonts w:eastAsiaTheme="minorHAnsi"/>
          <w:lang w:eastAsia="en-US"/>
        </w:rPr>
        <w:t xml:space="preserve">notes the importance of industry leadership </w:t>
      </w:r>
      <w:r w:rsidR="00BD1C69" w:rsidRPr="004F2C5A">
        <w:rPr>
          <w:rFonts w:eastAsiaTheme="minorHAnsi"/>
          <w:lang w:eastAsia="en-US"/>
        </w:rPr>
        <w:t>in the use of National R</w:t>
      </w:r>
      <w:r w:rsidRPr="004F2C5A">
        <w:rPr>
          <w:rFonts w:eastAsiaTheme="minorHAnsi"/>
          <w:lang w:eastAsia="en-US"/>
        </w:rPr>
        <w:t xml:space="preserve">esearch </w:t>
      </w:r>
      <w:r w:rsidR="00BD1C69" w:rsidRPr="004F2C5A">
        <w:rPr>
          <w:rFonts w:eastAsiaTheme="minorHAnsi"/>
          <w:lang w:eastAsia="en-US"/>
        </w:rPr>
        <w:t>Facilities</w:t>
      </w:r>
      <w:r w:rsidRPr="004F2C5A">
        <w:rPr>
          <w:rFonts w:eastAsiaTheme="minorHAnsi"/>
          <w:lang w:eastAsia="en-US"/>
        </w:rPr>
        <w:t xml:space="preserve">. </w:t>
      </w:r>
      <w:r w:rsidR="00483B4E">
        <w:rPr>
          <w:rFonts w:eastAsiaTheme="minorHAnsi"/>
          <w:lang w:eastAsia="en-US"/>
        </w:rPr>
        <w:t>S</w:t>
      </w:r>
      <w:r w:rsidRPr="004F2C5A">
        <w:rPr>
          <w:rFonts w:eastAsiaTheme="minorHAnsi"/>
          <w:lang w:eastAsia="en-US"/>
        </w:rPr>
        <w:t xml:space="preserve">takeholders from industry are already members of the Steering Committees of the Marine National Facility, and the Australia Telescope National Facility and thus are part of the process to determine strategic directions and time allocation to use these Facilities. </w:t>
      </w:r>
      <w:r w:rsidR="000375FA" w:rsidRPr="004F2C5A">
        <w:rPr>
          <w:rFonts w:eastAsiaTheme="minorHAnsi"/>
          <w:lang w:eastAsia="en-US"/>
        </w:rPr>
        <w:t xml:space="preserve"> CSIRO believe</w:t>
      </w:r>
      <w:r w:rsidR="00483B4E">
        <w:rPr>
          <w:rFonts w:eastAsiaTheme="minorHAnsi"/>
          <w:lang w:eastAsia="en-US"/>
        </w:rPr>
        <w:t>s</w:t>
      </w:r>
      <w:r w:rsidR="000375FA" w:rsidRPr="004F2C5A">
        <w:rPr>
          <w:rFonts w:eastAsiaTheme="minorHAnsi"/>
          <w:lang w:eastAsia="en-US"/>
        </w:rPr>
        <w:t xml:space="preserve"> that i</w:t>
      </w:r>
      <w:r w:rsidRPr="004F2C5A">
        <w:rPr>
          <w:rFonts w:eastAsiaTheme="minorHAnsi"/>
          <w:lang w:eastAsia="en-US"/>
        </w:rPr>
        <w:t xml:space="preserve">ndustry led or co-led research using these Facilities could be </w:t>
      </w:r>
      <w:r w:rsidR="006950B0" w:rsidRPr="004F2C5A">
        <w:rPr>
          <w:rFonts w:eastAsiaTheme="minorHAnsi"/>
          <w:lang w:eastAsia="en-US"/>
        </w:rPr>
        <w:t xml:space="preserve">further </w:t>
      </w:r>
      <w:r w:rsidRPr="004F2C5A">
        <w:rPr>
          <w:rFonts w:eastAsiaTheme="minorHAnsi"/>
          <w:lang w:eastAsia="en-US"/>
        </w:rPr>
        <w:t xml:space="preserve">encouraged. This would require broadening the research user base and exploring investment pathways through a sound business model that leverages business investment while maintaining current access for </w:t>
      </w:r>
      <w:r w:rsidR="00C764E3" w:rsidRPr="004F2C5A">
        <w:rPr>
          <w:rFonts w:eastAsiaTheme="minorHAnsi"/>
          <w:lang w:eastAsia="en-US"/>
        </w:rPr>
        <w:t xml:space="preserve">Publically Funded Research Organisations to these facilities. A specific opportunity for greater research infrastructure collaboration is through </w:t>
      </w:r>
      <w:proofErr w:type="spellStart"/>
      <w:r w:rsidR="00C764E3" w:rsidRPr="004F2C5A">
        <w:rPr>
          <w:rFonts w:eastAsiaTheme="minorHAnsi"/>
          <w:lang w:eastAsia="en-US"/>
        </w:rPr>
        <w:t>NCRIS</w:t>
      </w:r>
      <w:proofErr w:type="spellEnd"/>
      <w:r w:rsidR="00C764E3" w:rsidRPr="004F2C5A">
        <w:rPr>
          <w:rFonts w:eastAsiaTheme="minorHAnsi"/>
          <w:lang w:eastAsia="en-US"/>
        </w:rPr>
        <w:t xml:space="preserve">. </w:t>
      </w:r>
      <w:r w:rsidRPr="004F2C5A">
        <w:rPr>
          <w:rFonts w:eastAsiaTheme="minorHAnsi"/>
          <w:lang w:eastAsia="en-US"/>
        </w:rPr>
        <w:t>Strengthening the focus o</w:t>
      </w:r>
      <w:r w:rsidR="00C764E3" w:rsidRPr="004F2C5A">
        <w:rPr>
          <w:rFonts w:eastAsiaTheme="minorHAnsi"/>
          <w:lang w:eastAsia="en-US"/>
        </w:rPr>
        <w:t>f</w:t>
      </w:r>
      <w:r w:rsidRPr="004F2C5A">
        <w:rPr>
          <w:rFonts w:eastAsiaTheme="minorHAnsi"/>
          <w:lang w:eastAsia="en-US"/>
        </w:rPr>
        <w:t xml:space="preserve"> </w:t>
      </w:r>
      <w:proofErr w:type="spellStart"/>
      <w:r w:rsidRPr="004F2C5A">
        <w:rPr>
          <w:rFonts w:eastAsiaTheme="minorHAnsi"/>
          <w:lang w:eastAsia="en-US"/>
        </w:rPr>
        <w:t>NCRIS</w:t>
      </w:r>
      <w:proofErr w:type="spellEnd"/>
      <w:r w:rsidRPr="004F2C5A">
        <w:rPr>
          <w:rFonts w:eastAsiaTheme="minorHAnsi"/>
          <w:lang w:eastAsia="en-US"/>
        </w:rPr>
        <w:t xml:space="preserve"> to invest in outreach to researchers, industry and the community </w:t>
      </w:r>
      <w:r w:rsidR="00C764E3" w:rsidRPr="004F2C5A">
        <w:rPr>
          <w:rFonts w:eastAsiaTheme="minorHAnsi"/>
          <w:lang w:eastAsia="en-US"/>
        </w:rPr>
        <w:t>would enable greater use of research infrastructure</w:t>
      </w:r>
      <w:r w:rsidRPr="004F2C5A">
        <w:rPr>
          <w:rFonts w:eastAsiaTheme="minorHAnsi"/>
          <w:lang w:eastAsia="en-US"/>
        </w:rPr>
        <w:t xml:space="preserve">. The Integrated Marine Observing System and Atlas of Living Australia </w:t>
      </w:r>
      <w:r w:rsidR="00C764E3" w:rsidRPr="004F2C5A">
        <w:rPr>
          <w:rFonts w:eastAsiaTheme="minorHAnsi"/>
          <w:lang w:eastAsia="en-US"/>
        </w:rPr>
        <w:t>are</w:t>
      </w:r>
      <w:r w:rsidRPr="004F2C5A">
        <w:rPr>
          <w:rFonts w:eastAsiaTheme="minorHAnsi"/>
          <w:lang w:eastAsia="en-US"/>
        </w:rPr>
        <w:t xml:space="preserve"> good models </w:t>
      </w:r>
      <w:r w:rsidR="00C764E3" w:rsidRPr="004F2C5A">
        <w:rPr>
          <w:rFonts w:eastAsiaTheme="minorHAnsi"/>
          <w:lang w:eastAsia="en-US"/>
        </w:rPr>
        <w:t>for the provision of</w:t>
      </w:r>
      <w:r w:rsidRPr="004F2C5A">
        <w:rPr>
          <w:rFonts w:eastAsiaTheme="minorHAnsi"/>
          <w:lang w:eastAsia="en-US"/>
        </w:rPr>
        <w:t xml:space="preserve"> outreach services.</w:t>
      </w:r>
    </w:p>
    <w:p w14:paraId="40C9825B" w14:textId="77777777" w:rsidR="00D65C31" w:rsidRPr="004F2C5A" w:rsidRDefault="00781618" w:rsidP="004F2C5A">
      <w:pPr>
        <w:rPr>
          <w:rFonts w:eastAsiaTheme="minorHAnsi"/>
          <w:lang w:eastAsia="en-US"/>
        </w:rPr>
      </w:pPr>
      <w:r w:rsidRPr="004F2C5A">
        <w:rPr>
          <w:rFonts w:eastAsiaTheme="minorHAnsi"/>
          <w:lang w:eastAsia="en-US"/>
        </w:rPr>
        <w:t xml:space="preserve">Given the life span and required investment in research infrastructure, CSIRO recommends a long-term strategic approach. </w:t>
      </w:r>
      <w:r w:rsidR="008E6341" w:rsidRPr="008E6341">
        <w:rPr>
          <w:rFonts w:eastAsiaTheme="minorHAnsi"/>
          <w:b/>
          <w:lang w:eastAsia="en-US"/>
        </w:rPr>
        <w:t>CSIRO believes that the development of a roadmap for long-term research infrastructure investment would ensure a greater return on the investment in research</w:t>
      </w:r>
      <w:r w:rsidR="00483B4E">
        <w:rPr>
          <w:rFonts w:eastAsiaTheme="minorHAnsi"/>
          <w:b/>
          <w:lang w:eastAsia="en-US"/>
        </w:rPr>
        <w:t xml:space="preserve"> including in relation to alignment with industry requirements</w:t>
      </w:r>
      <w:r w:rsidR="00D65C31" w:rsidRPr="004F2C5A">
        <w:rPr>
          <w:rFonts w:eastAsiaTheme="minorHAnsi"/>
          <w:lang w:eastAsia="en-US"/>
        </w:rPr>
        <w:t xml:space="preserve">, and </w:t>
      </w:r>
      <w:r w:rsidR="00C73F8A">
        <w:rPr>
          <w:rFonts w:eastAsiaTheme="minorHAnsi"/>
          <w:lang w:eastAsia="en-US"/>
        </w:rPr>
        <w:t>would welcome the opportunity</w:t>
      </w:r>
      <w:r w:rsidR="00D65C31" w:rsidRPr="004F2C5A">
        <w:rPr>
          <w:rFonts w:eastAsiaTheme="minorHAnsi"/>
          <w:lang w:eastAsia="en-US"/>
        </w:rPr>
        <w:t xml:space="preserve"> to play an active role in providing advice. </w:t>
      </w:r>
    </w:p>
    <w:p w14:paraId="40C9825C" w14:textId="77777777" w:rsidR="00D65C31" w:rsidRPr="004F2C5A" w:rsidRDefault="008564CA" w:rsidP="004F2C5A">
      <w:pPr>
        <w:rPr>
          <w:rFonts w:eastAsiaTheme="minorHAnsi"/>
          <w:lang w:eastAsia="en-US"/>
        </w:rPr>
      </w:pPr>
      <w:r w:rsidRPr="004F2C5A">
        <w:rPr>
          <w:rFonts w:eastAsiaTheme="minorHAnsi"/>
          <w:lang w:eastAsia="en-US"/>
        </w:rPr>
        <w:t>Research infrastructure, as per other parts of the innovation system should utilise</w:t>
      </w:r>
      <w:r w:rsidR="00D65C31" w:rsidRPr="004F2C5A">
        <w:rPr>
          <w:rFonts w:eastAsiaTheme="minorHAnsi"/>
          <w:lang w:eastAsia="en-US"/>
        </w:rPr>
        <w:t xml:space="preserve"> metrics </w:t>
      </w:r>
      <w:r w:rsidRPr="004F2C5A">
        <w:rPr>
          <w:rFonts w:eastAsiaTheme="minorHAnsi"/>
          <w:lang w:eastAsia="en-US"/>
        </w:rPr>
        <w:t xml:space="preserve">for engagement, </w:t>
      </w:r>
      <w:r w:rsidR="00D65C31" w:rsidRPr="004F2C5A">
        <w:rPr>
          <w:rFonts w:eastAsiaTheme="minorHAnsi"/>
          <w:lang w:eastAsia="en-US"/>
        </w:rPr>
        <w:t>knowledge transfer, outcomes and impacts. The key performance indicators for National Research Infrastructure should include:</w:t>
      </w:r>
    </w:p>
    <w:p w14:paraId="40C9825D" w14:textId="77777777" w:rsidR="00D65C31" w:rsidRPr="00145927" w:rsidRDefault="00D65C31" w:rsidP="00D65C31">
      <w:pPr>
        <w:pStyle w:val="ListParagraph"/>
        <w:numPr>
          <w:ilvl w:val="0"/>
          <w:numId w:val="18"/>
        </w:numPr>
        <w:spacing w:after="240"/>
      </w:pPr>
      <w:r w:rsidRPr="00145927">
        <w:lastRenderedPageBreak/>
        <w:t xml:space="preserve">Utilisation of the National Research Infrastructure and Collections by </w:t>
      </w:r>
      <w:r w:rsidR="00483B4E">
        <w:t xml:space="preserve">users, </w:t>
      </w:r>
      <w:r w:rsidRPr="00145927">
        <w:t>research days, observation time or operation time, access to and downloads of digital information, visitor days, the number of loans and/or online resources accessed</w:t>
      </w:r>
    </w:p>
    <w:p w14:paraId="40C9825E" w14:textId="77777777" w:rsidR="00D65C31" w:rsidRPr="00145927" w:rsidRDefault="00D65C31" w:rsidP="00D65C31">
      <w:pPr>
        <w:pStyle w:val="ListParagraph"/>
        <w:numPr>
          <w:ilvl w:val="0"/>
          <w:numId w:val="18"/>
        </w:numPr>
        <w:spacing w:after="240"/>
      </w:pPr>
      <w:r w:rsidRPr="00145927">
        <w:t>National Research Infrastructure maintained and operated to appropriate s</w:t>
      </w:r>
      <w:r w:rsidR="00C73F8A">
        <w:t>tandards</w:t>
      </w:r>
    </w:p>
    <w:p w14:paraId="40C9825F" w14:textId="77777777" w:rsidR="00D65C31" w:rsidRPr="00145927" w:rsidRDefault="00D65C31" w:rsidP="00D65C31">
      <w:pPr>
        <w:pStyle w:val="ListParagraph"/>
        <w:numPr>
          <w:ilvl w:val="0"/>
          <w:numId w:val="18"/>
        </w:numPr>
        <w:spacing w:after="240"/>
      </w:pPr>
      <w:r w:rsidRPr="00145927">
        <w:t>Maintain or increase the proportion of collections available to researchers, and the public, including digitised and non-digitised collections</w:t>
      </w:r>
    </w:p>
    <w:p w14:paraId="40C98260" w14:textId="77777777" w:rsidR="00D65C31" w:rsidRPr="00145927" w:rsidRDefault="00D65C31" w:rsidP="00D65C31">
      <w:pPr>
        <w:pStyle w:val="ListParagraph"/>
        <w:numPr>
          <w:ilvl w:val="0"/>
          <w:numId w:val="18"/>
        </w:numPr>
        <w:spacing w:after="240"/>
      </w:pPr>
      <w:r w:rsidRPr="00145927">
        <w:t xml:space="preserve">Demonstrated response to national events by providing science-ready facilities in support of </w:t>
      </w:r>
      <w:r w:rsidR="00C73F8A">
        <w:t>host and external party research</w:t>
      </w:r>
    </w:p>
    <w:p w14:paraId="40C98261" w14:textId="77777777" w:rsidR="00AC5FD3" w:rsidRPr="00AC5FD3" w:rsidRDefault="00AC5FD3" w:rsidP="009B2E56">
      <w:pPr>
        <w:pStyle w:val="Heading3"/>
        <w:rPr>
          <w:lang w:eastAsia="en-US"/>
        </w:rPr>
      </w:pPr>
      <w:r w:rsidRPr="00AC5FD3">
        <w:rPr>
          <w:lang w:eastAsia="en-US"/>
        </w:rPr>
        <w:t>Key points</w:t>
      </w:r>
    </w:p>
    <w:p w14:paraId="40C98262" w14:textId="77777777" w:rsidR="00AC5FD3" w:rsidRPr="00AC5FD3" w:rsidRDefault="00AC5FD3" w:rsidP="00855D5A">
      <w:pPr>
        <w:numPr>
          <w:ilvl w:val="0"/>
          <w:numId w:val="5"/>
        </w:numPr>
        <w:rPr>
          <w:rFonts w:eastAsiaTheme="minorHAnsi"/>
          <w:i/>
        </w:rPr>
      </w:pPr>
      <w:r w:rsidRPr="00AC5FD3">
        <w:rPr>
          <w:rFonts w:eastAsiaTheme="minorHAnsi"/>
          <w:i/>
        </w:rPr>
        <w:t>The Government has an important role to play in connecting the innovation system to ensure capability from across the innovation system is effectively utilised</w:t>
      </w:r>
    </w:p>
    <w:p w14:paraId="40C98263" w14:textId="77777777" w:rsidR="00AC5FD3" w:rsidRDefault="00AC5FD3" w:rsidP="00855D5A">
      <w:pPr>
        <w:numPr>
          <w:ilvl w:val="0"/>
          <w:numId w:val="5"/>
        </w:numPr>
        <w:rPr>
          <w:rFonts w:eastAsiaTheme="minorHAnsi"/>
          <w:i/>
        </w:rPr>
      </w:pPr>
      <w:r w:rsidRPr="00AC5FD3">
        <w:rPr>
          <w:rFonts w:eastAsiaTheme="minorHAnsi"/>
          <w:i/>
        </w:rPr>
        <w:t xml:space="preserve">The Research Connections programme has an important role to play in increasing the ability of Australian industry to </w:t>
      </w:r>
      <w:r w:rsidR="006A67FD">
        <w:rPr>
          <w:rFonts w:eastAsiaTheme="minorHAnsi"/>
          <w:i/>
        </w:rPr>
        <w:t xml:space="preserve">develop research capability by </w:t>
      </w:r>
      <w:r w:rsidRPr="00AC5FD3">
        <w:rPr>
          <w:rFonts w:eastAsiaTheme="minorHAnsi"/>
          <w:i/>
        </w:rPr>
        <w:t>developing long term commercially focussed relationships</w:t>
      </w:r>
    </w:p>
    <w:p w14:paraId="40C98264" w14:textId="77777777" w:rsidR="008564CA" w:rsidRPr="00BD1C69" w:rsidRDefault="008564CA" w:rsidP="008564CA">
      <w:pPr>
        <w:numPr>
          <w:ilvl w:val="0"/>
          <w:numId w:val="5"/>
        </w:numPr>
        <w:rPr>
          <w:rFonts w:eastAsiaTheme="minorHAnsi"/>
          <w:i/>
        </w:rPr>
      </w:pPr>
      <w:r w:rsidRPr="00BD1C69">
        <w:rPr>
          <w:rFonts w:eastAsiaTheme="minorHAnsi"/>
          <w:i/>
        </w:rPr>
        <w:t>CSIRO believe</w:t>
      </w:r>
      <w:r w:rsidR="00483B4E">
        <w:rPr>
          <w:rFonts w:eastAsiaTheme="minorHAnsi"/>
          <w:i/>
        </w:rPr>
        <w:t>s</w:t>
      </w:r>
      <w:r w:rsidRPr="00BD1C69">
        <w:rPr>
          <w:rFonts w:eastAsiaTheme="minorHAnsi"/>
          <w:i/>
        </w:rPr>
        <w:t xml:space="preserve"> that industry led or co-led research using research infrastructure could be further encouraged</w:t>
      </w:r>
      <w:r w:rsidR="00BD1C69" w:rsidRPr="00BD1C69">
        <w:rPr>
          <w:rFonts w:eastAsiaTheme="minorHAnsi"/>
          <w:i/>
        </w:rPr>
        <w:t xml:space="preserve"> and that there could be a greater role for </w:t>
      </w:r>
      <w:r w:rsidR="00BD1C69" w:rsidRPr="00BD1C69">
        <w:rPr>
          <w:i/>
        </w:rPr>
        <w:t>industry leadership in the use of research facilities</w:t>
      </w:r>
    </w:p>
    <w:p w14:paraId="40C98266" w14:textId="77777777" w:rsidR="00AC5FD3" w:rsidRPr="00AC5FD3" w:rsidRDefault="00AC5FD3" w:rsidP="00AC5FD3">
      <w:pPr>
        <w:pStyle w:val="Heading2"/>
        <w:rPr>
          <w:lang w:eastAsia="en-US"/>
        </w:rPr>
      </w:pPr>
      <w:r w:rsidRPr="00AC5FD3">
        <w:rPr>
          <w:lang w:eastAsia="en-US"/>
        </w:rPr>
        <w:t xml:space="preserve"> </w:t>
      </w:r>
      <w:bookmarkStart w:id="7" w:name="_Toc405494769"/>
      <w:r w:rsidRPr="00AC5FD3">
        <w:rPr>
          <w:lang w:eastAsia="en-US"/>
        </w:rPr>
        <w:t>‘Opportunities to reshape research grant incentives’</w:t>
      </w:r>
      <w:bookmarkEnd w:id="7"/>
    </w:p>
    <w:p w14:paraId="40C98267" w14:textId="77777777" w:rsidR="00483B4E" w:rsidRDefault="00AC5FD3" w:rsidP="00AC5FD3">
      <w:pPr>
        <w:rPr>
          <w:rFonts w:eastAsiaTheme="minorHAnsi"/>
          <w:lang w:eastAsia="en-US"/>
        </w:rPr>
      </w:pPr>
      <w:r w:rsidRPr="00AC5FD3">
        <w:rPr>
          <w:rFonts w:eastAsiaTheme="minorHAnsi"/>
          <w:lang w:eastAsia="en-US"/>
        </w:rPr>
        <w:t>Grants have an important role to play in driving behaviours in the innovation system. However it is important that these incentives do not undermine strengths in the national innovation system such as scientific excellence</w:t>
      </w:r>
      <w:r w:rsidR="00483B4E">
        <w:rPr>
          <w:rFonts w:eastAsiaTheme="minorHAnsi"/>
          <w:lang w:eastAsia="en-US"/>
        </w:rPr>
        <w:t>:</w:t>
      </w:r>
    </w:p>
    <w:p w14:paraId="40C98268" w14:textId="77777777" w:rsidR="00BF4742" w:rsidRDefault="008E6341">
      <w:pPr>
        <w:pStyle w:val="ListParagraph"/>
        <w:numPr>
          <w:ilvl w:val="0"/>
          <w:numId w:val="25"/>
        </w:numPr>
        <w:rPr>
          <w:rFonts w:eastAsiaTheme="minorHAnsi"/>
          <w:lang w:eastAsia="en-US"/>
        </w:rPr>
      </w:pPr>
      <w:r w:rsidRPr="008E6341">
        <w:rPr>
          <w:rFonts w:eastAsiaTheme="minorHAnsi"/>
          <w:lang w:eastAsia="en-US"/>
        </w:rPr>
        <w:t xml:space="preserve"> Mechanisms that focus on scientific excellence – such as investigator-led Discovery grants administered by the Australian Research Council – should focus on excellence through supporting the best research</w:t>
      </w:r>
      <w:r w:rsidR="00483B4E">
        <w:rPr>
          <w:rFonts w:eastAsiaTheme="minorHAnsi"/>
          <w:lang w:eastAsia="en-US"/>
        </w:rPr>
        <w:t>;</w:t>
      </w:r>
    </w:p>
    <w:p w14:paraId="40C98269" w14:textId="77777777" w:rsidR="00BF4742" w:rsidRDefault="008E6341">
      <w:pPr>
        <w:pStyle w:val="ListParagraph"/>
        <w:numPr>
          <w:ilvl w:val="0"/>
          <w:numId w:val="25"/>
        </w:numPr>
        <w:rPr>
          <w:rFonts w:eastAsiaTheme="minorHAnsi"/>
          <w:lang w:eastAsia="en-US"/>
        </w:rPr>
      </w:pPr>
      <w:r w:rsidRPr="008E6341">
        <w:rPr>
          <w:rFonts w:eastAsiaTheme="minorHAnsi"/>
          <w:lang w:eastAsia="en-US"/>
        </w:rPr>
        <w:t xml:space="preserve">Grants that are designed for delivering commercial returns or delivering impact should place </w:t>
      </w:r>
      <w:r w:rsidR="004D13C6">
        <w:rPr>
          <w:rFonts w:eastAsiaTheme="minorHAnsi"/>
          <w:lang w:eastAsia="en-US"/>
        </w:rPr>
        <w:t>high</w:t>
      </w:r>
      <w:r w:rsidRPr="008E6341">
        <w:rPr>
          <w:rFonts w:eastAsiaTheme="minorHAnsi"/>
          <w:lang w:eastAsia="en-US"/>
        </w:rPr>
        <w:t xml:space="preserve"> emphasis on bringing together the right partners to deliver on a commercial opportunity</w:t>
      </w:r>
      <w:r w:rsidR="004D13C6">
        <w:rPr>
          <w:rFonts w:eastAsiaTheme="minorHAnsi"/>
          <w:lang w:eastAsia="en-US"/>
        </w:rPr>
        <w:t xml:space="preserve"> (whereas, solely adding commercial metrics to grant schemes that are fundamentally for investigator-led discovery activities, is unlikely in itself to result in the necessary industry involvement required to deliver strong commercial outcomes).</w:t>
      </w:r>
    </w:p>
    <w:p w14:paraId="40C9826A" w14:textId="77777777" w:rsidR="00AC5FD3" w:rsidRPr="00AC5FD3" w:rsidRDefault="00AC5FD3" w:rsidP="00AC5FD3">
      <w:pPr>
        <w:rPr>
          <w:rFonts w:eastAsiaTheme="minorHAnsi"/>
          <w:lang w:eastAsia="en-US"/>
        </w:rPr>
      </w:pPr>
      <w:r w:rsidRPr="00AC5FD3">
        <w:rPr>
          <w:rFonts w:eastAsiaTheme="minorHAnsi"/>
          <w:lang w:eastAsia="en-US"/>
        </w:rPr>
        <w:t>Funding mechanisms are often a major constraint for involving the right partners</w:t>
      </w:r>
      <w:r w:rsidR="002F6381">
        <w:rPr>
          <w:rFonts w:eastAsiaTheme="minorHAnsi"/>
          <w:lang w:eastAsia="en-US"/>
        </w:rPr>
        <w:t>,</w:t>
      </w:r>
      <w:r w:rsidRPr="00AC5FD3">
        <w:rPr>
          <w:rFonts w:eastAsiaTheme="minorHAnsi"/>
          <w:lang w:eastAsia="en-US"/>
        </w:rPr>
        <w:t xml:space="preserve"> as either through restricted eligibility requirements or excessive constraints on membership they limit the ability of organisations whether research or industry to be involved</w:t>
      </w:r>
      <w:r w:rsidR="004D13C6">
        <w:rPr>
          <w:rFonts w:eastAsiaTheme="minorHAnsi"/>
          <w:lang w:eastAsia="en-US"/>
        </w:rPr>
        <w:t xml:space="preserve"> - </w:t>
      </w:r>
      <w:r w:rsidRPr="00AC5FD3">
        <w:rPr>
          <w:rFonts w:eastAsiaTheme="minorHAnsi"/>
          <w:lang w:eastAsia="en-US"/>
        </w:rPr>
        <w:t>For example</w:t>
      </w:r>
      <w:r w:rsidR="004D13C6">
        <w:rPr>
          <w:rFonts w:eastAsiaTheme="minorHAnsi"/>
          <w:lang w:eastAsia="en-US"/>
        </w:rPr>
        <w:t>,</w:t>
      </w:r>
      <w:r w:rsidRPr="00AC5FD3">
        <w:rPr>
          <w:rFonts w:eastAsiaTheme="minorHAnsi"/>
          <w:lang w:eastAsia="en-US"/>
        </w:rPr>
        <w:t xml:space="preserve"> the length of CRC programs makes it difficult for Small to Medium Enterprises </w:t>
      </w:r>
      <w:r w:rsidR="002F6381">
        <w:rPr>
          <w:rFonts w:eastAsiaTheme="minorHAnsi"/>
          <w:lang w:eastAsia="en-US"/>
        </w:rPr>
        <w:t xml:space="preserve">or new businesses </w:t>
      </w:r>
      <w:r w:rsidRPr="00AC5FD3">
        <w:rPr>
          <w:rFonts w:eastAsiaTheme="minorHAnsi"/>
          <w:lang w:eastAsia="en-US"/>
        </w:rPr>
        <w:t>to be involved. A number of countries are moving to more flexible mechanisms for funding research aimed at generating commercial outcomes as shown in the case study below.</w:t>
      </w:r>
    </w:p>
    <w:p w14:paraId="40C9826B"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BF4742">
        <w:rPr>
          <w:rFonts w:eastAsiaTheme="minorHAnsi"/>
          <w:b/>
          <w:sz w:val="20"/>
          <w:szCs w:val="20"/>
          <w:lang w:eastAsia="en-US"/>
        </w:rPr>
        <w:t>Case Study: Danish National Advanced Technology Foundation</w:t>
      </w:r>
      <w:r w:rsidRPr="00BF4742">
        <w:rPr>
          <w:rFonts w:eastAsiaTheme="minorHAnsi"/>
          <w:sz w:val="20"/>
          <w:szCs w:val="20"/>
          <w:lang w:eastAsia="en-US"/>
        </w:rPr>
        <w:t xml:space="preserve"> </w:t>
      </w:r>
      <w:r w:rsidRPr="00BF4742">
        <w:rPr>
          <w:rFonts w:eastAsiaTheme="minorHAnsi"/>
          <w:sz w:val="20"/>
          <w:szCs w:val="20"/>
          <w:lang w:eastAsia="en-US"/>
        </w:rPr>
        <w:br/>
        <w:t>The Danish National Advanced Technology Foundation (</w:t>
      </w:r>
      <w:proofErr w:type="spellStart"/>
      <w:r w:rsidRPr="00BF4742">
        <w:rPr>
          <w:rFonts w:eastAsiaTheme="minorHAnsi"/>
          <w:sz w:val="20"/>
          <w:szCs w:val="20"/>
          <w:lang w:eastAsia="en-US"/>
        </w:rPr>
        <w:t>DNATF</w:t>
      </w:r>
      <w:proofErr w:type="spellEnd"/>
      <w:r w:rsidRPr="00BF4742">
        <w:rPr>
          <w:rFonts w:eastAsiaTheme="minorHAnsi"/>
          <w:sz w:val="20"/>
          <w:szCs w:val="20"/>
          <w:lang w:eastAsia="en-US"/>
        </w:rPr>
        <w:t xml:space="preserve">) helps bring innovative products to market through a ‘mediated funding’ scheme which combines project grants with active facilitation and conflict </w:t>
      </w:r>
      <w:r w:rsidRPr="00BF4742">
        <w:rPr>
          <w:rFonts w:eastAsiaTheme="minorHAnsi"/>
          <w:sz w:val="20"/>
          <w:szCs w:val="20"/>
          <w:lang w:eastAsia="en-US"/>
        </w:rPr>
        <w:lastRenderedPageBreak/>
        <w:t xml:space="preserve">management. At any given time, the organisation is supporting more than 300 different projects in key sectors of the Danish economy: construction, energy/environmental, biomedical, manufacturing, IT and communications, and agriculture. Each year, </w:t>
      </w:r>
      <w:proofErr w:type="spellStart"/>
      <w:r w:rsidRPr="00BF4742">
        <w:rPr>
          <w:rFonts w:eastAsiaTheme="minorHAnsi"/>
          <w:sz w:val="20"/>
          <w:szCs w:val="20"/>
          <w:lang w:eastAsia="en-US"/>
        </w:rPr>
        <w:t>DNATF</w:t>
      </w:r>
      <w:proofErr w:type="spellEnd"/>
      <w:r w:rsidRPr="00BF4742">
        <w:rPr>
          <w:rFonts w:eastAsiaTheme="minorHAnsi"/>
          <w:sz w:val="20"/>
          <w:szCs w:val="20"/>
          <w:lang w:eastAsia="en-US"/>
        </w:rPr>
        <w:t xml:space="preserve"> provides over $</w:t>
      </w:r>
      <w:proofErr w:type="spellStart"/>
      <w:r w:rsidRPr="00BF4742">
        <w:rPr>
          <w:rFonts w:eastAsiaTheme="minorHAnsi"/>
          <w:sz w:val="20"/>
          <w:szCs w:val="20"/>
          <w:lang w:eastAsia="en-US"/>
        </w:rPr>
        <w:t>US100</w:t>
      </w:r>
      <w:proofErr w:type="spellEnd"/>
      <w:r w:rsidRPr="00BF4742">
        <w:rPr>
          <w:rFonts w:eastAsiaTheme="minorHAnsi"/>
          <w:sz w:val="20"/>
          <w:szCs w:val="20"/>
          <w:lang w:eastAsia="en-US"/>
        </w:rPr>
        <w:t xml:space="preserve"> million in funding for these private-public partnerships. </w:t>
      </w:r>
      <w:r w:rsidRPr="00BF4742">
        <w:rPr>
          <w:rFonts w:eastAsiaTheme="minorHAnsi"/>
          <w:sz w:val="20"/>
          <w:szCs w:val="20"/>
          <w:vertAlign w:val="superscript"/>
          <w:lang w:eastAsia="en-US"/>
        </w:rPr>
        <w:endnoteReference w:id="10"/>
      </w:r>
      <w:r w:rsidRPr="00BF4742">
        <w:rPr>
          <w:rFonts w:eastAsiaTheme="minorHAnsi"/>
          <w:sz w:val="20"/>
          <w:szCs w:val="20"/>
          <w:lang w:eastAsia="en-US"/>
        </w:rPr>
        <w:t xml:space="preserve"> </w:t>
      </w:r>
    </w:p>
    <w:p w14:paraId="40C9826C"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BF4742">
        <w:rPr>
          <w:rFonts w:eastAsiaTheme="minorHAnsi"/>
          <w:sz w:val="20"/>
          <w:szCs w:val="20"/>
          <w:lang w:eastAsia="en-US"/>
        </w:rPr>
        <w:t xml:space="preserve">A principal goal of </w:t>
      </w:r>
      <w:proofErr w:type="spellStart"/>
      <w:r w:rsidRPr="00BF4742">
        <w:rPr>
          <w:rFonts w:eastAsiaTheme="minorHAnsi"/>
          <w:sz w:val="20"/>
          <w:szCs w:val="20"/>
          <w:lang w:eastAsia="en-US"/>
        </w:rPr>
        <w:t>DNATF</w:t>
      </w:r>
      <w:proofErr w:type="spellEnd"/>
      <w:r w:rsidRPr="00BF4742">
        <w:rPr>
          <w:rFonts w:eastAsiaTheme="minorHAnsi"/>
          <w:sz w:val="20"/>
          <w:szCs w:val="20"/>
          <w:lang w:eastAsia="en-US"/>
        </w:rPr>
        <w:t xml:space="preserve"> is moving technical breakthroughs out of the laboratory and into the market. As universities and businesses collaborate, they must work through a range of cultural differences. The experience, expertise, and approaches found in a research university are far different from those found in a commercial enterprise. </w:t>
      </w:r>
    </w:p>
    <w:p w14:paraId="40C9826D"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BF4742">
        <w:rPr>
          <w:rFonts w:eastAsiaTheme="minorHAnsi"/>
          <w:sz w:val="20"/>
          <w:szCs w:val="20"/>
          <w:lang w:eastAsia="en-US"/>
        </w:rPr>
        <w:t xml:space="preserve">This process also delivers another enduring outcome, the development of human resources able to conduct mediation between research and industry. The success of </w:t>
      </w:r>
      <w:proofErr w:type="spellStart"/>
      <w:r w:rsidRPr="00BF4742">
        <w:rPr>
          <w:rFonts w:eastAsiaTheme="minorHAnsi"/>
          <w:sz w:val="20"/>
          <w:szCs w:val="20"/>
          <w:lang w:eastAsia="en-US"/>
        </w:rPr>
        <w:t>DNATF’s</w:t>
      </w:r>
      <w:proofErr w:type="spellEnd"/>
      <w:r w:rsidRPr="00BF4742">
        <w:rPr>
          <w:rFonts w:eastAsiaTheme="minorHAnsi"/>
          <w:sz w:val="20"/>
          <w:szCs w:val="20"/>
          <w:lang w:eastAsia="en-US"/>
        </w:rPr>
        <w:t xml:space="preserve"> projects depends on effectively bridging this gap through a cadre of project mediation officers, who receive significant training through a joint </w:t>
      </w:r>
      <w:proofErr w:type="spellStart"/>
      <w:r w:rsidRPr="00BF4742">
        <w:rPr>
          <w:rFonts w:eastAsiaTheme="minorHAnsi"/>
          <w:sz w:val="20"/>
          <w:szCs w:val="20"/>
          <w:lang w:eastAsia="en-US"/>
        </w:rPr>
        <w:t>DNATF</w:t>
      </w:r>
      <w:proofErr w:type="spellEnd"/>
      <w:r w:rsidRPr="00BF4742">
        <w:rPr>
          <w:rFonts w:eastAsiaTheme="minorHAnsi"/>
          <w:sz w:val="20"/>
          <w:szCs w:val="20"/>
          <w:lang w:eastAsia="en-US"/>
        </w:rPr>
        <w:t xml:space="preserve">/ Harvard Business School Executive training program and form a peer group of STEM experts who have sought a career in supporting knowledge transfer into industry. </w:t>
      </w:r>
    </w:p>
    <w:p w14:paraId="40C9826E" w14:textId="77777777" w:rsidR="00AC5FD3" w:rsidRPr="00BF4742" w:rsidRDefault="00AC5FD3" w:rsidP="00AC5FD3">
      <w:pPr>
        <w:pBdr>
          <w:top w:val="single" w:sz="4" w:space="1" w:color="auto"/>
          <w:left w:val="single" w:sz="4" w:space="4" w:color="auto"/>
          <w:bottom w:val="single" w:sz="4" w:space="1" w:color="auto"/>
          <w:right w:val="single" w:sz="4" w:space="4" w:color="auto"/>
        </w:pBdr>
        <w:rPr>
          <w:rFonts w:eastAsiaTheme="minorHAnsi"/>
          <w:sz w:val="20"/>
          <w:szCs w:val="20"/>
          <w:lang w:eastAsia="en-US"/>
        </w:rPr>
      </w:pPr>
      <w:r w:rsidRPr="00BF4742">
        <w:rPr>
          <w:rFonts w:eastAsiaTheme="minorHAnsi"/>
          <w:sz w:val="20"/>
          <w:szCs w:val="20"/>
          <w:lang w:eastAsia="en-US"/>
        </w:rPr>
        <w:t>The selection of a firm to participate in the program ‘helps it to stay financially viable and significantly decreases the likelihood of bankruptcy by up to 2.7 times (270%) four years after funding application. Selection also increases the average level of employment by 9.8 to 14.2 more employees for chosen firms, respectively two and three years after application. For innovative performance, selection of a firm for participation meant an increase in filed patents by up to 520%, granted patents by up to 430% and peer-reviewed publications 370%, but the effect of selection was mainly felt in quality of the innovations.’</w:t>
      </w:r>
      <w:r w:rsidRPr="00BF4742">
        <w:rPr>
          <w:rFonts w:eastAsiaTheme="minorHAnsi"/>
          <w:sz w:val="20"/>
          <w:szCs w:val="20"/>
          <w:vertAlign w:val="superscript"/>
          <w:lang w:eastAsia="en-US"/>
        </w:rPr>
        <w:endnoteReference w:id="11"/>
      </w:r>
    </w:p>
    <w:p w14:paraId="40C9826F" w14:textId="77777777" w:rsidR="00876282" w:rsidRPr="00876282" w:rsidRDefault="00876282" w:rsidP="00876282">
      <w:pPr>
        <w:rPr>
          <w:rFonts w:eastAsiaTheme="minorHAnsi"/>
          <w:lang w:eastAsia="en-US"/>
        </w:rPr>
      </w:pPr>
      <w:r w:rsidRPr="00876282">
        <w:rPr>
          <w:rFonts w:eastAsiaTheme="minorHAnsi"/>
          <w:lang w:eastAsia="en-US"/>
        </w:rPr>
        <w:t>It is also important when considering changes to grant incentives</w:t>
      </w:r>
      <w:r w:rsidR="004D13C6">
        <w:rPr>
          <w:rFonts w:eastAsiaTheme="minorHAnsi"/>
          <w:lang w:eastAsia="en-US"/>
        </w:rPr>
        <w:t xml:space="preserve"> and metrics,</w:t>
      </w:r>
      <w:r w:rsidRPr="00876282">
        <w:rPr>
          <w:rFonts w:eastAsiaTheme="minorHAnsi"/>
          <w:lang w:eastAsia="en-US"/>
        </w:rPr>
        <w:t xml:space="preserve"> that they adequately represent and measure the </w:t>
      </w:r>
      <w:r>
        <w:rPr>
          <w:rFonts w:eastAsiaTheme="minorHAnsi"/>
          <w:lang w:eastAsia="en-US"/>
        </w:rPr>
        <w:t xml:space="preserve">desired </w:t>
      </w:r>
      <w:r w:rsidRPr="00876282">
        <w:rPr>
          <w:rFonts w:eastAsiaTheme="minorHAnsi"/>
          <w:lang w:eastAsia="en-US"/>
        </w:rPr>
        <w:t>behaviour. For example research commercialisation income has been suggested as a possible measure to drive grants</w:t>
      </w:r>
      <w:r w:rsidR="006607E0">
        <w:rPr>
          <w:rFonts w:eastAsiaTheme="minorHAnsi"/>
          <w:lang w:eastAsia="en-US"/>
        </w:rPr>
        <w:t>.  H</w:t>
      </w:r>
      <w:r>
        <w:rPr>
          <w:rFonts w:eastAsiaTheme="minorHAnsi"/>
          <w:lang w:eastAsia="en-US"/>
        </w:rPr>
        <w:t>owever</w:t>
      </w:r>
      <w:r w:rsidR="004D13C6">
        <w:rPr>
          <w:rFonts w:eastAsiaTheme="minorHAnsi"/>
          <w:lang w:eastAsia="en-US"/>
        </w:rPr>
        <w:t>,</w:t>
      </w:r>
      <w:r w:rsidRPr="00876282">
        <w:rPr>
          <w:rFonts w:eastAsiaTheme="minorHAnsi"/>
          <w:lang w:eastAsia="en-US"/>
        </w:rPr>
        <w:t xml:space="preserve"> th</w:t>
      </w:r>
      <w:r w:rsidR="006607E0">
        <w:rPr>
          <w:rFonts w:eastAsiaTheme="minorHAnsi"/>
          <w:lang w:eastAsia="en-US"/>
        </w:rPr>
        <w:t>ese</w:t>
      </w:r>
      <w:r w:rsidRPr="00876282">
        <w:rPr>
          <w:rFonts w:eastAsiaTheme="minorHAnsi"/>
          <w:lang w:eastAsia="en-US"/>
        </w:rPr>
        <w:t xml:space="preserve"> income</w:t>
      </w:r>
      <w:r w:rsidR="006607E0">
        <w:rPr>
          <w:rFonts w:eastAsiaTheme="minorHAnsi"/>
          <w:lang w:eastAsia="en-US"/>
        </w:rPr>
        <w:t xml:space="preserve"> streams</w:t>
      </w:r>
      <w:r w:rsidRPr="00876282">
        <w:rPr>
          <w:rFonts w:eastAsiaTheme="minorHAnsi"/>
          <w:lang w:eastAsia="en-US"/>
        </w:rPr>
        <w:t xml:space="preserve"> </w:t>
      </w:r>
      <w:r w:rsidR="006607E0">
        <w:rPr>
          <w:rFonts w:eastAsiaTheme="minorHAnsi"/>
          <w:lang w:eastAsia="en-US"/>
        </w:rPr>
        <w:t>are</w:t>
      </w:r>
      <w:r w:rsidRPr="00876282">
        <w:rPr>
          <w:rFonts w:eastAsiaTheme="minorHAnsi"/>
          <w:lang w:eastAsia="en-US"/>
        </w:rPr>
        <w:t xml:space="preserve"> highly volatile </w:t>
      </w:r>
      <w:r w:rsidR="004D13C6">
        <w:rPr>
          <w:rFonts w:eastAsiaTheme="minorHAnsi"/>
          <w:lang w:eastAsia="en-US"/>
        </w:rPr>
        <w:t>(</w:t>
      </w:r>
      <w:r w:rsidRPr="00876282">
        <w:rPr>
          <w:rFonts w:eastAsiaTheme="minorHAnsi"/>
          <w:lang w:eastAsia="en-US"/>
        </w:rPr>
        <w:t xml:space="preserve">as illustrated by </w:t>
      </w:r>
      <w:r w:rsidR="00241CC3">
        <w:rPr>
          <w:rFonts w:eastAsiaTheme="minorHAnsi"/>
          <w:lang w:eastAsia="en-US"/>
        </w:rPr>
        <w:t>Australian</w:t>
      </w:r>
      <w:r w:rsidRPr="00876282">
        <w:rPr>
          <w:rFonts w:eastAsiaTheme="minorHAnsi"/>
          <w:lang w:eastAsia="en-US"/>
        </w:rPr>
        <w:t xml:space="preserve"> commercialisation success stories such as Gardasil</w:t>
      </w:r>
      <w:r w:rsidR="004D13C6">
        <w:rPr>
          <w:rFonts w:eastAsiaTheme="minorHAnsi"/>
          <w:lang w:eastAsia="en-US"/>
        </w:rPr>
        <w:t xml:space="preserve"> or Extended Wear Contact Lens</w:t>
      </w:r>
      <w:r w:rsidR="00652387">
        <w:rPr>
          <w:rFonts w:eastAsiaTheme="minorHAnsi"/>
          <w:lang w:eastAsia="en-US"/>
        </w:rPr>
        <w:t xml:space="preserve">es </w:t>
      </w:r>
      <w:r w:rsidR="004D13C6">
        <w:rPr>
          <w:rFonts w:eastAsiaTheme="minorHAnsi"/>
          <w:lang w:eastAsia="en-US"/>
        </w:rPr>
        <w:t>, as well as the experience of US universities)</w:t>
      </w:r>
      <w:r w:rsidR="006607E0">
        <w:rPr>
          <w:rFonts w:eastAsiaTheme="minorHAnsi"/>
          <w:lang w:eastAsia="en-US"/>
        </w:rPr>
        <w:t xml:space="preserve"> and in any case are quite delayed</w:t>
      </w:r>
      <w:r w:rsidR="004D13C6">
        <w:rPr>
          <w:rFonts w:eastAsiaTheme="minorHAnsi"/>
          <w:lang w:eastAsia="en-US"/>
        </w:rPr>
        <w:t xml:space="preserve">. </w:t>
      </w:r>
      <w:r w:rsidRPr="00876282">
        <w:rPr>
          <w:rFonts w:eastAsiaTheme="minorHAnsi"/>
          <w:lang w:eastAsia="en-US"/>
        </w:rPr>
        <w:t xml:space="preserve"> In addition</w:t>
      </w:r>
      <w:r w:rsidR="004D13C6">
        <w:rPr>
          <w:rFonts w:eastAsiaTheme="minorHAnsi"/>
          <w:lang w:eastAsia="en-US"/>
        </w:rPr>
        <w:t>,</w:t>
      </w:r>
      <w:r w:rsidRPr="00876282">
        <w:rPr>
          <w:rFonts w:eastAsiaTheme="minorHAnsi"/>
          <w:lang w:eastAsia="en-US"/>
        </w:rPr>
        <w:t xml:space="preserve"> as the majority of licensing occurs in the early stages</w:t>
      </w:r>
      <w:r w:rsidR="004D13C6">
        <w:rPr>
          <w:rFonts w:eastAsiaTheme="minorHAnsi"/>
          <w:lang w:eastAsia="en-US"/>
        </w:rPr>
        <w:t xml:space="preserve"> </w:t>
      </w:r>
      <w:r w:rsidR="00652387">
        <w:rPr>
          <w:rFonts w:eastAsiaTheme="minorHAnsi"/>
          <w:lang w:eastAsia="en-US"/>
        </w:rPr>
        <w:t>when</w:t>
      </w:r>
      <w:r w:rsidR="004D13C6">
        <w:rPr>
          <w:rFonts w:eastAsiaTheme="minorHAnsi"/>
          <w:lang w:eastAsia="en-US"/>
        </w:rPr>
        <w:t xml:space="preserve"> commercial</w:t>
      </w:r>
      <w:r w:rsidRPr="00876282">
        <w:rPr>
          <w:rFonts w:eastAsiaTheme="minorHAnsi"/>
          <w:lang w:eastAsia="en-US"/>
        </w:rPr>
        <w:t xml:space="preserve"> value is difficult to determine</w:t>
      </w:r>
      <w:r w:rsidR="00652387">
        <w:rPr>
          <w:rFonts w:eastAsiaTheme="minorHAnsi"/>
          <w:lang w:eastAsia="en-US"/>
        </w:rPr>
        <w:t xml:space="preserve">, this generally leads to commercialisation </w:t>
      </w:r>
      <w:r w:rsidR="00241CC3">
        <w:rPr>
          <w:rFonts w:eastAsiaTheme="minorHAnsi"/>
          <w:lang w:eastAsia="en-US"/>
        </w:rPr>
        <w:t>revenue</w:t>
      </w:r>
      <w:r w:rsidR="00652387">
        <w:rPr>
          <w:rFonts w:eastAsiaTheme="minorHAnsi"/>
          <w:lang w:eastAsia="en-US"/>
        </w:rPr>
        <w:t xml:space="preserve"> being subject to an uncertainty discount.</w:t>
      </w:r>
      <w:r w:rsidRPr="00876282">
        <w:rPr>
          <w:rFonts w:eastAsiaTheme="minorHAnsi"/>
          <w:lang w:eastAsia="en-US"/>
        </w:rPr>
        <w:t xml:space="preserve"> </w:t>
      </w:r>
      <w:r w:rsidR="00652387">
        <w:rPr>
          <w:rFonts w:eastAsiaTheme="minorHAnsi"/>
          <w:lang w:eastAsia="en-US"/>
        </w:rPr>
        <w:t>T</w:t>
      </w:r>
      <w:r w:rsidRPr="00876282">
        <w:rPr>
          <w:rFonts w:eastAsiaTheme="minorHAnsi"/>
          <w:lang w:eastAsia="en-US"/>
        </w:rPr>
        <w:t xml:space="preserve">he impact of </w:t>
      </w:r>
      <w:r w:rsidR="004D13C6">
        <w:rPr>
          <w:rFonts w:eastAsiaTheme="minorHAnsi"/>
          <w:lang w:eastAsia="en-US"/>
        </w:rPr>
        <w:t xml:space="preserve">a policy that </w:t>
      </w:r>
      <w:r w:rsidRPr="00876282">
        <w:rPr>
          <w:rFonts w:eastAsiaTheme="minorHAnsi"/>
          <w:lang w:eastAsia="en-US"/>
        </w:rPr>
        <w:t>encoura</w:t>
      </w:r>
      <w:r w:rsidR="004D13C6">
        <w:rPr>
          <w:rFonts w:eastAsiaTheme="minorHAnsi"/>
          <w:lang w:eastAsia="en-US"/>
        </w:rPr>
        <w:t>ges</w:t>
      </w:r>
      <w:r w:rsidRPr="00876282">
        <w:rPr>
          <w:rFonts w:eastAsiaTheme="minorHAnsi"/>
          <w:lang w:eastAsia="en-US"/>
        </w:rPr>
        <w:t xml:space="preserve"> higher commercialisation revenues may </w:t>
      </w:r>
      <w:r w:rsidR="004D13C6">
        <w:rPr>
          <w:rFonts w:eastAsiaTheme="minorHAnsi"/>
          <w:lang w:eastAsia="en-US"/>
        </w:rPr>
        <w:t xml:space="preserve">confound negotiations between the parties, </w:t>
      </w:r>
      <w:r w:rsidRPr="00876282">
        <w:rPr>
          <w:rFonts w:eastAsiaTheme="minorHAnsi"/>
          <w:lang w:eastAsia="en-US"/>
        </w:rPr>
        <w:t>delay collaboration by researchers with industry</w:t>
      </w:r>
      <w:r>
        <w:rPr>
          <w:rFonts w:eastAsiaTheme="minorHAnsi"/>
          <w:lang w:eastAsia="en-US"/>
        </w:rPr>
        <w:t>, make it more expensive for industry to work with research organisations</w:t>
      </w:r>
      <w:r w:rsidRPr="00876282">
        <w:rPr>
          <w:rFonts w:eastAsiaTheme="minorHAnsi"/>
          <w:lang w:eastAsia="en-US"/>
        </w:rPr>
        <w:t xml:space="preserve"> and result in less research innovation being commercialised.</w:t>
      </w:r>
    </w:p>
    <w:p w14:paraId="40C98270" w14:textId="77777777" w:rsidR="00AC5FD3" w:rsidRPr="00AC5FD3" w:rsidRDefault="00AC5FD3" w:rsidP="009B2E56">
      <w:pPr>
        <w:pStyle w:val="Heading3"/>
        <w:rPr>
          <w:lang w:eastAsia="en-US"/>
        </w:rPr>
      </w:pPr>
      <w:r w:rsidRPr="00AC5FD3">
        <w:rPr>
          <w:lang w:eastAsia="en-US"/>
        </w:rPr>
        <w:t>Key points</w:t>
      </w:r>
    </w:p>
    <w:p w14:paraId="40C98271" w14:textId="77777777" w:rsidR="00AC5FD3" w:rsidRPr="00AC5FD3" w:rsidRDefault="00AC5FD3" w:rsidP="00855D5A">
      <w:pPr>
        <w:numPr>
          <w:ilvl w:val="0"/>
          <w:numId w:val="3"/>
        </w:numPr>
        <w:rPr>
          <w:rFonts w:eastAsiaTheme="minorHAnsi"/>
          <w:i/>
        </w:rPr>
      </w:pPr>
      <w:r w:rsidRPr="00AC5FD3">
        <w:rPr>
          <w:rFonts w:eastAsiaTheme="minorHAnsi"/>
          <w:i/>
        </w:rPr>
        <w:t>Funding for research aimed at delivering commercial research should be flexible as a wide number and range of organisations are often required to deliver commercial returns</w:t>
      </w:r>
    </w:p>
    <w:p w14:paraId="40C98272" w14:textId="77777777" w:rsidR="00AC5FD3" w:rsidRDefault="00AC5FD3" w:rsidP="00855D5A">
      <w:pPr>
        <w:numPr>
          <w:ilvl w:val="0"/>
          <w:numId w:val="3"/>
        </w:numPr>
        <w:rPr>
          <w:rFonts w:eastAsiaTheme="minorHAnsi"/>
          <w:i/>
        </w:rPr>
      </w:pPr>
      <w:r w:rsidRPr="00AC5FD3">
        <w:rPr>
          <w:rFonts w:eastAsiaTheme="minorHAnsi"/>
          <w:i/>
        </w:rPr>
        <w:t>It is important that any changes to research grant incentives</w:t>
      </w:r>
      <w:r w:rsidR="004D13C6">
        <w:rPr>
          <w:rFonts w:eastAsiaTheme="minorHAnsi"/>
          <w:i/>
        </w:rPr>
        <w:t xml:space="preserve"> and metrics</w:t>
      </w:r>
      <w:r w:rsidRPr="00AC5FD3">
        <w:rPr>
          <w:rFonts w:eastAsiaTheme="minorHAnsi"/>
          <w:i/>
        </w:rPr>
        <w:t xml:space="preserve"> do not unduly impact the ability of researchers (notably in universities) to conduct investigator-led research</w:t>
      </w:r>
    </w:p>
    <w:p w14:paraId="40C98273" w14:textId="77777777" w:rsidR="00F26DDA" w:rsidRPr="00AC5FD3" w:rsidRDefault="00F26DDA" w:rsidP="00855D5A">
      <w:pPr>
        <w:numPr>
          <w:ilvl w:val="0"/>
          <w:numId w:val="3"/>
        </w:numPr>
        <w:rPr>
          <w:rFonts w:eastAsiaTheme="minorHAnsi"/>
          <w:i/>
        </w:rPr>
      </w:pPr>
      <w:r>
        <w:rPr>
          <w:rFonts w:eastAsiaTheme="minorHAnsi"/>
          <w:i/>
        </w:rPr>
        <w:t xml:space="preserve">It is important that incentives for grants </w:t>
      </w:r>
      <w:r w:rsidR="004D13C6">
        <w:rPr>
          <w:rFonts w:eastAsiaTheme="minorHAnsi"/>
          <w:i/>
        </w:rPr>
        <w:t xml:space="preserve">and metrics for public research agencies </w:t>
      </w:r>
      <w:r>
        <w:rPr>
          <w:rFonts w:eastAsiaTheme="minorHAnsi"/>
          <w:i/>
        </w:rPr>
        <w:t>encourage the desired behaviour. This is particularly challenging for grants focused on driving research-industry collaboration</w:t>
      </w:r>
    </w:p>
    <w:p w14:paraId="40C98274" w14:textId="77777777" w:rsidR="00BF4742" w:rsidRDefault="00BF4742">
      <w:pPr>
        <w:rPr>
          <w:rFonts w:eastAsiaTheme="majorEastAsia"/>
          <w:lang w:eastAsia="en-US"/>
        </w:rPr>
      </w:pPr>
    </w:p>
    <w:p w14:paraId="40C98275" w14:textId="77777777" w:rsidR="00AC5FD3" w:rsidRPr="00AC5FD3" w:rsidRDefault="00AC5FD3" w:rsidP="009B2E56">
      <w:pPr>
        <w:pStyle w:val="Heading2"/>
        <w:rPr>
          <w:lang w:eastAsia="en-US"/>
        </w:rPr>
      </w:pPr>
      <w:bookmarkStart w:id="8" w:name="_Toc405494770"/>
      <w:r w:rsidRPr="00AC5FD3">
        <w:rPr>
          <w:lang w:eastAsia="en-US"/>
        </w:rPr>
        <w:lastRenderedPageBreak/>
        <w:t>‘</w:t>
      </w:r>
      <w:r w:rsidRPr="009B2E56">
        <w:t>Opportunity</w:t>
      </w:r>
      <w:r w:rsidRPr="00AC5FD3">
        <w:rPr>
          <w:lang w:eastAsia="en-US"/>
        </w:rPr>
        <w:t xml:space="preserve"> to ensure graduate industry skills’</w:t>
      </w:r>
      <w:bookmarkEnd w:id="8"/>
    </w:p>
    <w:p w14:paraId="40C98276" w14:textId="77777777" w:rsidR="00AC5FD3" w:rsidRPr="00AC5FD3" w:rsidRDefault="00AC5FD3" w:rsidP="00AC5FD3">
      <w:pPr>
        <w:rPr>
          <w:rFonts w:eastAsiaTheme="minorHAnsi"/>
          <w:lang w:eastAsia="en-US"/>
        </w:rPr>
      </w:pPr>
      <w:r w:rsidRPr="00AC5FD3">
        <w:rPr>
          <w:rFonts w:eastAsiaTheme="minorHAnsi"/>
          <w:lang w:eastAsia="en-US"/>
        </w:rPr>
        <w:t>Research training provides a significant opportunity to provide graduates with business, management and entrepreneurial skills. CSIRO acknowledges the work that the Office of the Chief Scientist is undertaking in supporting a more strategic approach to Science, Technology, Engineering and Mathematics through the ‘Science, Technology, Engineering and Mathematics: Australia’s Future’ paper.</w:t>
      </w:r>
      <w:r w:rsidRPr="00AC5FD3">
        <w:rPr>
          <w:rFonts w:eastAsiaTheme="minorHAnsi"/>
          <w:vertAlign w:val="superscript"/>
          <w:lang w:eastAsia="en-US"/>
        </w:rPr>
        <w:endnoteReference w:id="12"/>
      </w:r>
      <w:r w:rsidRPr="00AC5FD3">
        <w:rPr>
          <w:rFonts w:eastAsiaTheme="minorHAnsi"/>
          <w:lang w:eastAsia="en-US"/>
        </w:rPr>
        <w:t xml:space="preserve"> </w:t>
      </w:r>
    </w:p>
    <w:p w14:paraId="40C98277" w14:textId="77777777" w:rsidR="00AC5FD3" w:rsidRDefault="00AC5FD3" w:rsidP="00AC5FD3">
      <w:pPr>
        <w:rPr>
          <w:rFonts w:eastAsiaTheme="minorHAnsi"/>
          <w:lang w:eastAsia="en-US"/>
        </w:rPr>
      </w:pPr>
      <w:r w:rsidRPr="00AC5FD3">
        <w:rPr>
          <w:rFonts w:eastAsiaTheme="minorHAnsi"/>
          <w:lang w:eastAsia="en-US"/>
        </w:rPr>
        <w:t xml:space="preserve">Higher degree research training has a particularly important role to play in generating commercial returns from research. </w:t>
      </w:r>
      <w:r w:rsidR="00D466B4">
        <w:t>Hermann Hauser – a key driver behind the UK Catapult Program – argues that that the return a government gets from the grad</w:t>
      </w:r>
      <w:r w:rsidR="002F6381">
        <w:t>uating students is at least 100 times</w:t>
      </w:r>
      <w:r w:rsidR="00D466B4">
        <w:t xml:space="preserve"> what it gets from other commercial outputs of research.</w:t>
      </w:r>
      <w:r w:rsidR="00D466B4">
        <w:rPr>
          <w:rStyle w:val="EndnoteReference"/>
        </w:rPr>
        <w:endnoteReference w:id="13"/>
      </w:r>
      <w:r w:rsidR="00D466B4">
        <w:t xml:space="preserve"> </w:t>
      </w:r>
      <w:r w:rsidRPr="00AC5FD3">
        <w:rPr>
          <w:rFonts w:eastAsiaTheme="minorHAnsi"/>
          <w:lang w:eastAsia="en-US"/>
        </w:rPr>
        <w:t xml:space="preserve">CSIRO supports this </w:t>
      </w:r>
      <w:r w:rsidR="00D466B4">
        <w:rPr>
          <w:rFonts w:eastAsiaTheme="minorHAnsi"/>
          <w:lang w:eastAsia="en-US"/>
        </w:rPr>
        <w:t xml:space="preserve">important role </w:t>
      </w:r>
      <w:r w:rsidRPr="00AC5FD3">
        <w:rPr>
          <w:rFonts w:eastAsiaTheme="minorHAnsi"/>
          <w:lang w:eastAsia="en-US"/>
        </w:rPr>
        <w:t>through supervising and or sponsoring over 750 research students each year to undertake research that is focussed on delivering economic, social and/ or environmental benefits. In addition CSIRO is involved in programs run by universities that aim to improve the commercial skills of graduates such as the Australian Technology Network Industry Doctoral Training Centre.</w:t>
      </w:r>
    </w:p>
    <w:p w14:paraId="40C98278" w14:textId="77777777" w:rsidR="00D466B4" w:rsidRDefault="00D466B4" w:rsidP="00D466B4">
      <w:pPr>
        <w:pStyle w:val="Heading3"/>
      </w:pPr>
      <w:r>
        <w:t>Key point</w:t>
      </w:r>
    </w:p>
    <w:p w14:paraId="40C98279" w14:textId="77777777" w:rsidR="00D466B4" w:rsidRPr="00A11829" w:rsidRDefault="00D466B4" w:rsidP="00A11829">
      <w:pPr>
        <w:pStyle w:val="ListParagraph"/>
        <w:numPr>
          <w:ilvl w:val="0"/>
          <w:numId w:val="23"/>
        </w:numPr>
        <w:rPr>
          <w:rFonts w:eastAsiaTheme="minorHAnsi"/>
          <w:i/>
          <w:lang w:eastAsia="en-US"/>
        </w:rPr>
      </w:pPr>
      <w:r w:rsidRPr="00A11829">
        <w:rPr>
          <w:i/>
        </w:rPr>
        <w:t xml:space="preserve">There is considerable </w:t>
      </w:r>
      <w:r w:rsidR="002F6381" w:rsidRPr="00A11829">
        <w:rPr>
          <w:i/>
        </w:rPr>
        <w:t>benefit</w:t>
      </w:r>
      <w:r w:rsidRPr="00A11829">
        <w:rPr>
          <w:i/>
        </w:rPr>
        <w:t xml:space="preserve"> for the </w:t>
      </w:r>
      <w:r w:rsidR="002F6381" w:rsidRPr="00A11829">
        <w:rPr>
          <w:i/>
        </w:rPr>
        <w:t>nation</w:t>
      </w:r>
      <w:r w:rsidRPr="00A11829">
        <w:rPr>
          <w:i/>
        </w:rPr>
        <w:t xml:space="preserve"> in supporting researcher training, however opportunities exist to </w:t>
      </w:r>
      <w:r w:rsidRPr="00A11829">
        <w:rPr>
          <w:rFonts w:eastAsiaTheme="minorHAnsi"/>
          <w:i/>
          <w:lang w:eastAsia="en-US"/>
        </w:rPr>
        <w:t>provide graduates with better business, management and entrepreneurial skills</w:t>
      </w:r>
    </w:p>
    <w:p w14:paraId="40C9827A" w14:textId="77777777" w:rsidR="00BF4742" w:rsidRDefault="00BF4742">
      <w:pPr>
        <w:rPr>
          <w:rFonts w:eastAsiaTheme="majorEastAsia"/>
          <w:lang w:eastAsia="en-US"/>
        </w:rPr>
      </w:pPr>
    </w:p>
    <w:p w14:paraId="40C9827B" w14:textId="77777777" w:rsidR="00AC5FD3" w:rsidRPr="00AC5FD3" w:rsidRDefault="00AC5FD3" w:rsidP="00AC5FD3">
      <w:pPr>
        <w:pStyle w:val="Heading2"/>
        <w:rPr>
          <w:lang w:eastAsia="en-US"/>
        </w:rPr>
      </w:pPr>
      <w:r w:rsidRPr="00AC5FD3">
        <w:rPr>
          <w:lang w:eastAsia="en-US"/>
        </w:rPr>
        <w:t xml:space="preserve"> </w:t>
      </w:r>
      <w:bookmarkStart w:id="9" w:name="_Toc405494771"/>
      <w:r w:rsidRPr="00AC5FD3">
        <w:rPr>
          <w:lang w:eastAsia="en-US"/>
        </w:rPr>
        <w:t>‘Opportunities to encourage innovation by Australian businesses’</w:t>
      </w:r>
      <w:bookmarkEnd w:id="9"/>
    </w:p>
    <w:p w14:paraId="40C9827C" w14:textId="77777777" w:rsidR="00A11829" w:rsidRDefault="00A11829" w:rsidP="00AC5FD3">
      <w:pPr>
        <w:rPr>
          <w:rFonts w:eastAsiaTheme="minorHAnsi"/>
          <w:lang w:eastAsia="en-US"/>
        </w:rPr>
      </w:pPr>
      <w:r>
        <w:rPr>
          <w:rFonts w:eastAsiaTheme="minorHAnsi"/>
          <w:lang w:eastAsia="en-US"/>
        </w:rPr>
        <w:t xml:space="preserve">A key driver of innovation is the flow of knowledge across the innovation system. For this reasons CSIRO supports programmes that focus collaboration and build scale in areas of key national interest. Industry Growth Centres and CSIRO’s Global </w:t>
      </w:r>
      <w:r w:rsidR="006607E0">
        <w:rPr>
          <w:rFonts w:eastAsiaTheme="minorHAnsi"/>
          <w:lang w:eastAsia="en-US"/>
        </w:rPr>
        <w:t xml:space="preserve">Research </w:t>
      </w:r>
      <w:r>
        <w:rPr>
          <w:rFonts w:eastAsiaTheme="minorHAnsi"/>
          <w:lang w:eastAsia="en-US"/>
        </w:rPr>
        <w:t>Precincts are two examples of such programmes.</w:t>
      </w:r>
    </w:p>
    <w:p w14:paraId="40C9827D" w14:textId="77777777" w:rsidR="00AC5FD3" w:rsidRPr="00AC5FD3" w:rsidRDefault="00AC5FD3" w:rsidP="00AC5FD3">
      <w:pPr>
        <w:rPr>
          <w:rFonts w:eastAsiaTheme="minorHAnsi"/>
          <w:lang w:eastAsia="en-US"/>
        </w:rPr>
      </w:pPr>
      <w:r w:rsidRPr="00AC5FD3">
        <w:rPr>
          <w:rFonts w:eastAsiaTheme="minorHAnsi"/>
          <w:lang w:eastAsia="en-US"/>
        </w:rPr>
        <w:t xml:space="preserve">The recently announced Industry Growth Centres </w:t>
      </w:r>
      <w:r w:rsidR="006607E0">
        <w:rPr>
          <w:rFonts w:eastAsiaTheme="minorHAnsi"/>
          <w:lang w:eastAsia="en-US"/>
        </w:rPr>
        <w:t xml:space="preserve">should take </w:t>
      </w:r>
      <w:r w:rsidRPr="00AC5FD3">
        <w:rPr>
          <w:rFonts w:eastAsiaTheme="minorHAnsi"/>
          <w:lang w:eastAsia="en-US"/>
        </w:rPr>
        <w:t>a critical role to play in focussing collaboration in the national innovation system. By providing information that enables the right collaborations to occur and funding selected projects with high returns</w:t>
      </w:r>
      <w:r w:rsidR="006607E0">
        <w:rPr>
          <w:rFonts w:eastAsiaTheme="minorHAnsi"/>
          <w:lang w:eastAsia="en-US"/>
        </w:rPr>
        <w:t>,</w:t>
      </w:r>
      <w:r w:rsidRPr="00AC5FD3">
        <w:rPr>
          <w:rFonts w:eastAsiaTheme="minorHAnsi"/>
          <w:lang w:eastAsia="en-US"/>
        </w:rPr>
        <w:t xml:space="preserve"> the Centres have the potential to support industry grow the commercial returns from research.</w:t>
      </w:r>
    </w:p>
    <w:p w14:paraId="40C9827E" w14:textId="77777777" w:rsidR="00AC5FD3" w:rsidRDefault="00AC5FD3" w:rsidP="00D466B4">
      <w:pPr>
        <w:rPr>
          <w:rFonts w:eastAsiaTheme="minorHAnsi"/>
          <w:lang w:eastAsia="en-US"/>
        </w:rPr>
      </w:pPr>
      <w:r w:rsidRPr="00D466B4">
        <w:rPr>
          <w:rFonts w:eastAsiaTheme="minorHAnsi"/>
          <w:lang w:eastAsia="en-US"/>
        </w:rPr>
        <w:t xml:space="preserve">CSIRO’s Global </w:t>
      </w:r>
      <w:r w:rsidR="006607E0">
        <w:rPr>
          <w:rFonts w:eastAsiaTheme="minorHAnsi"/>
          <w:lang w:eastAsia="en-US"/>
        </w:rPr>
        <w:t xml:space="preserve">Research </w:t>
      </w:r>
      <w:r w:rsidRPr="00D466B4">
        <w:rPr>
          <w:rFonts w:eastAsiaTheme="minorHAnsi"/>
          <w:lang w:eastAsia="en-US"/>
        </w:rPr>
        <w:t xml:space="preserve">Precinct strategy has the aim of bringing the very best of Australia together to increase Australia’s global competitiveness.  Global Precincts will provide opportunities for promoting excellence to the world, fostering new inbound investments and attracting the world’s best and brightest science capabilities.  These are the: Natural and Environmental Sciences Precinct in Canberra; </w:t>
      </w:r>
      <w:proofErr w:type="spellStart"/>
      <w:r w:rsidRPr="00D466B4">
        <w:rPr>
          <w:rFonts w:eastAsiaTheme="minorHAnsi"/>
          <w:lang w:eastAsia="en-US"/>
        </w:rPr>
        <w:t>Ecosciences</w:t>
      </w:r>
      <w:proofErr w:type="spellEnd"/>
      <w:r w:rsidRPr="00D466B4">
        <w:rPr>
          <w:rFonts w:eastAsiaTheme="minorHAnsi"/>
          <w:lang w:eastAsia="en-US"/>
        </w:rPr>
        <w:t xml:space="preserve"> Precinct in Brisbane; National Resource Sciences Precinct in Perth; Australian Manufacturing and Materials Precinct in Clayton, Melbourne; and the Human Life Sciences Precinct in Parkville, Melbourne.    Through these precincts</w:t>
      </w:r>
      <w:r w:rsidR="00F741CE">
        <w:rPr>
          <w:rFonts w:eastAsiaTheme="minorHAnsi"/>
          <w:lang w:eastAsia="en-US"/>
        </w:rPr>
        <w:t xml:space="preserve"> </w:t>
      </w:r>
      <w:r w:rsidRPr="00D466B4">
        <w:rPr>
          <w:rFonts w:eastAsiaTheme="minorHAnsi"/>
          <w:lang w:eastAsia="en-US"/>
        </w:rPr>
        <w:t xml:space="preserve">CSIRO is connecting organisations (universities, industry, governments, and the community), catalysing collaborations and encouraging a more coordinated approach to addressing research challenges and assisting the shared design, use and management of research infrastructure.  </w:t>
      </w:r>
    </w:p>
    <w:p w14:paraId="40C9827F" w14:textId="77777777" w:rsidR="00A11829" w:rsidRDefault="00A11829" w:rsidP="00A11829">
      <w:pPr>
        <w:pStyle w:val="Heading3"/>
        <w:rPr>
          <w:rFonts w:eastAsiaTheme="minorHAnsi"/>
          <w:lang w:eastAsia="en-US"/>
        </w:rPr>
      </w:pPr>
      <w:r>
        <w:rPr>
          <w:rFonts w:eastAsiaTheme="minorHAnsi"/>
          <w:lang w:eastAsia="en-US"/>
        </w:rPr>
        <w:lastRenderedPageBreak/>
        <w:t>Key Point</w:t>
      </w:r>
    </w:p>
    <w:p w14:paraId="40C98280" w14:textId="77777777" w:rsidR="00BF4742" w:rsidRDefault="008E6341">
      <w:pPr>
        <w:pStyle w:val="ListParagraph"/>
        <w:numPr>
          <w:ilvl w:val="0"/>
          <w:numId w:val="23"/>
        </w:numPr>
        <w:rPr>
          <w:rFonts w:eastAsiaTheme="minorHAnsi"/>
          <w:i/>
          <w:lang w:eastAsia="en-US"/>
        </w:rPr>
      </w:pPr>
      <w:r w:rsidRPr="008E6341">
        <w:rPr>
          <w:rFonts w:eastAsiaTheme="minorHAnsi"/>
          <w:i/>
          <w:lang w:eastAsia="en-US"/>
        </w:rPr>
        <w:t>Through facilitating the flow of knowledge, programmes such as Industry Growth Centres are important in driving innovation.</w:t>
      </w:r>
    </w:p>
    <w:p w14:paraId="40C98282" w14:textId="77777777" w:rsidR="00AC5FD3" w:rsidRPr="00AC5FD3" w:rsidRDefault="00AC5FD3" w:rsidP="00AC5FD3">
      <w:pPr>
        <w:pStyle w:val="Heading2"/>
        <w:rPr>
          <w:lang w:eastAsia="en-US"/>
        </w:rPr>
      </w:pPr>
      <w:r w:rsidRPr="00AC5FD3">
        <w:rPr>
          <w:lang w:eastAsia="en-US"/>
        </w:rPr>
        <w:t xml:space="preserve"> </w:t>
      </w:r>
      <w:bookmarkStart w:id="10" w:name="_Toc405494772"/>
      <w:r w:rsidRPr="00AC5FD3">
        <w:rPr>
          <w:lang w:eastAsia="en-US"/>
        </w:rPr>
        <w:t>‘Opportunity to encourage entrepreneurial culture’</w:t>
      </w:r>
      <w:bookmarkEnd w:id="10"/>
    </w:p>
    <w:p w14:paraId="40C98283" w14:textId="77777777" w:rsidR="00AC5FD3" w:rsidRDefault="00AC5FD3" w:rsidP="00AC5FD3">
      <w:pPr>
        <w:rPr>
          <w:rFonts w:eastAsiaTheme="minorHAnsi"/>
          <w:lang w:eastAsia="en-US"/>
        </w:rPr>
      </w:pPr>
      <w:r w:rsidRPr="00AC5FD3">
        <w:rPr>
          <w:rFonts w:eastAsiaTheme="minorHAnsi"/>
          <w:lang w:eastAsia="en-US"/>
        </w:rPr>
        <w:t xml:space="preserve">CSIRO applauds the initiatives that some universities have introduced into their curriculum to cover entrepreneurial thinking e.g. at </w:t>
      </w:r>
      <w:proofErr w:type="spellStart"/>
      <w:r w:rsidRPr="00AC5FD3">
        <w:rPr>
          <w:rFonts w:eastAsiaTheme="minorHAnsi"/>
          <w:lang w:eastAsia="en-US"/>
        </w:rPr>
        <w:t>UNSW</w:t>
      </w:r>
      <w:proofErr w:type="spellEnd"/>
      <w:r w:rsidRPr="00AC5FD3">
        <w:rPr>
          <w:rFonts w:eastAsiaTheme="minorHAnsi"/>
          <w:lang w:eastAsia="en-US"/>
        </w:rPr>
        <w:t xml:space="preserve"> and UTS.  The increase in establishing Student-led incubation and shared workspace facilities on campus is also a good catalyst to encourage entrepreneurs e.g. the Incubate centre at Sydney University.  </w:t>
      </w:r>
      <w:r w:rsidR="00A11829">
        <w:rPr>
          <w:rFonts w:eastAsiaTheme="minorHAnsi"/>
          <w:lang w:eastAsia="en-US"/>
        </w:rPr>
        <w:t>In combination</w:t>
      </w:r>
      <w:r w:rsidRPr="00AC5FD3">
        <w:rPr>
          <w:rFonts w:eastAsiaTheme="minorHAnsi"/>
          <w:lang w:eastAsia="en-US"/>
        </w:rPr>
        <w:t xml:space="preserve"> with the larger more professional incubation facilities provided by the likes of ATP Innovation and the associated training and networking </w:t>
      </w:r>
      <w:r w:rsidR="00A11829">
        <w:rPr>
          <w:rFonts w:eastAsiaTheme="minorHAnsi"/>
          <w:lang w:eastAsia="en-US"/>
        </w:rPr>
        <w:t>opportunities</w:t>
      </w:r>
      <w:r w:rsidR="00F741CE">
        <w:rPr>
          <w:rFonts w:eastAsiaTheme="minorHAnsi"/>
          <w:lang w:eastAsia="en-US"/>
        </w:rPr>
        <w:t>,</w:t>
      </w:r>
      <w:r w:rsidRPr="00AC5FD3">
        <w:rPr>
          <w:rFonts w:eastAsiaTheme="minorHAnsi"/>
          <w:lang w:eastAsia="en-US"/>
        </w:rPr>
        <w:t xml:space="preserve"> provides a good platform for entrepreneurs to thrive.  CSIRO has recently taken some of its teams through the “Lean Launch Pad” program hosted by </w:t>
      </w:r>
      <w:proofErr w:type="spellStart"/>
      <w:r w:rsidRPr="00AC5FD3">
        <w:rPr>
          <w:rFonts w:eastAsiaTheme="minorHAnsi"/>
          <w:lang w:eastAsia="en-US"/>
        </w:rPr>
        <w:t>UQ</w:t>
      </w:r>
      <w:proofErr w:type="spellEnd"/>
      <w:r w:rsidRPr="00AC5FD3">
        <w:rPr>
          <w:rFonts w:eastAsiaTheme="minorHAnsi"/>
          <w:lang w:eastAsia="en-US"/>
        </w:rPr>
        <w:t xml:space="preserve"> and see this as a platform to help bring entrepreneurial thinking into CSIRO.    </w:t>
      </w:r>
    </w:p>
    <w:p w14:paraId="40C98284" w14:textId="77777777" w:rsidR="006A67FD" w:rsidRDefault="006A67FD" w:rsidP="006A67FD">
      <w:pPr>
        <w:rPr>
          <w:rFonts w:eastAsiaTheme="minorHAnsi"/>
          <w:lang w:eastAsia="en-US"/>
        </w:rPr>
      </w:pPr>
      <w:r>
        <w:rPr>
          <w:rFonts w:eastAsiaTheme="minorHAnsi"/>
          <w:lang w:eastAsia="en-US"/>
        </w:rPr>
        <w:t xml:space="preserve">An approach that CSIRO utilises to encourage entrepreneurial ideas with its partners and amongst its staff is running </w:t>
      </w:r>
      <w:r w:rsidR="006607E0">
        <w:rPr>
          <w:rFonts w:eastAsiaTheme="minorHAnsi"/>
          <w:lang w:eastAsia="en-US"/>
        </w:rPr>
        <w:t>“C</w:t>
      </w:r>
      <w:r>
        <w:rPr>
          <w:rFonts w:eastAsiaTheme="minorHAnsi"/>
          <w:lang w:eastAsia="en-US"/>
        </w:rPr>
        <w:t>hallenge workshops</w:t>
      </w:r>
      <w:r w:rsidR="006607E0">
        <w:rPr>
          <w:rFonts w:eastAsiaTheme="minorHAnsi"/>
          <w:lang w:eastAsia="en-US"/>
        </w:rPr>
        <w:t>”</w:t>
      </w:r>
      <w:r>
        <w:rPr>
          <w:rFonts w:eastAsiaTheme="minorHAnsi"/>
          <w:lang w:eastAsia="en-US"/>
        </w:rPr>
        <w:t xml:space="preserve">. A challenge workshop is a </w:t>
      </w:r>
      <w:r w:rsidR="00A11829">
        <w:rPr>
          <w:rFonts w:eastAsiaTheme="minorHAnsi"/>
          <w:lang w:eastAsia="en-US"/>
        </w:rPr>
        <w:t>useful</w:t>
      </w:r>
      <w:r>
        <w:rPr>
          <w:rFonts w:eastAsiaTheme="minorHAnsi"/>
          <w:lang w:eastAsia="en-US"/>
        </w:rPr>
        <w:t xml:space="preserve"> method </w:t>
      </w:r>
      <w:r w:rsidRPr="006A67FD">
        <w:rPr>
          <w:rFonts w:eastAsiaTheme="minorHAnsi"/>
          <w:lang w:eastAsia="en-US"/>
        </w:rPr>
        <w:t>for engaging with a potential partner or client in a workshop setting to develop a shared understanding of needs and capabilities across potential areas of collaboration. The format is best used following initial meetings or engagements which have established high level interest and capacity of the prospective client to</w:t>
      </w:r>
      <w:r>
        <w:rPr>
          <w:rFonts w:eastAsiaTheme="minorHAnsi"/>
          <w:lang w:eastAsia="en-US"/>
        </w:rPr>
        <w:t xml:space="preserve"> </w:t>
      </w:r>
      <w:r w:rsidRPr="006A67FD">
        <w:rPr>
          <w:rFonts w:eastAsiaTheme="minorHAnsi"/>
          <w:lang w:eastAsia="en-US"/>
        </w:rPr>
        <w:t xml:space="preserve">work with CSIRO, </w:t>
      </w:r>
      <w:r>
        <w:rPr>
          <w:rFonts w:eastAsiaTheme="minorHAnsi"/>
          <w:lang w:eastAsia="en-US"/>
        </w:rPr>
        <w:t xml:space="preserve">and </w:t>
      </w:r>
      <w:r w:rsidRPr="006A67FD">
        <w:rPr>
          <w:rFonts w:eastAsiaTheme="minorHAnsi"/>
          <w:lang w:eastAsia="en-US"/>
        </w:rPr>
        <w:t>the potential for the partner to b</w:t>
      </w:r>
      <w:r>
        <w:rPr>
          <w:rFonts w:eastAsiaTheme="minorHAnsi"/>
          <w:lang w:eastAsia="en-US"/>
        </w:rPr>
        <w:t xml:space="preserve">enefit from CSIRO capabilities. </w:t>
      </w:r>
      <w:r w:rsidR="00374727">
        <w:rPr>
          <w:rFonts w:eastAsiaTheme="minorHAnsi"/>
          <w:lang w:eastAsia="en-US"/>
        </w:rPr>
        <w:t>There are significant o</w:t>
      </w:r>
      <w:r>
        <w:rPr>
          <w:rFonts w:eastAsiaTheme="minorHAnsi"/>
          <w:lang w:eastAsia="en-US"/>
        </w:rPr>
        <w:t>pportunities in the Australian Innovation System for bringing together teams from across Industry and the Research sectors</w:t>
      </w:r>
      <w:r w:rsidR="00374727">
        <w:rPr>
          <w:rFonts w:eastAsiaTheme="minorHAnsi"/>
          <w:lang w:eastAsia="en-US"/>
        </w:rPr>
        <w:t xml:space="preserve"> to focus on areas of shared interest with the aim of harnessing the strengths and knowledge from both sectors.</w:t>
      </w:r>
    </w:p>
    <w:p w14:paraId="40C98286" w14:textId="227A9ECA" w:rsidR="00AC5FD3" w:rsidRPr="00AC5FD3" w:rsidRDefault="00AC5FD3" w:rsidP="00AC5FD3">
      <w:pPr>
        <w:pStyle w:val="Heading2"/>
        <w:rPr>
          <w:lang w:eastAsia="en-US"/>
        </w:rPr>
      </w:pPr>
      <w:bookmarkStart w:id="11" w:name="_Toc405494773"/>
      <w:r w:rsidRPr="00AC5FD3">
        <w:rPr>
          <w:lang w:eastAsia="en-US"/>
        </w:rPr>
        <w:t>‘Opportunity to reform IP arrangements to assist collaboration’</w:t>
      </w:r>
      <w:bookmarkEnd w:id="11"/>
    </w:p>
    <w:p w14:paraId="40C98287" w14:textId="77777777" w:rsidR="00AC5FD3" w:rsidRPr="00AC5FD3" w:rsidRDefault="00AC5FD3" w:rsidP="00AC5FD3">
      <w:pPr>
        <w:rPr>
          <w:rFonts w:eastAsiaTheme="minorHAnsi"/>
          <w:lang w:eastAsia="en-US"/>
        </w:rPr>
      </w:pPr>
      <w:r w:rsidRPr="00AC5FD3">
        <w:rPr>
          <w:rFonts w:eastAsiaTheme="minorHAnsi"/>
          <w:lang w:eastAsia="en-US"/>
        </w:rPr>
        <w:t>CSIRO believes that significant gains can be made in reforming IP arrangements in the innovation system, notably through the development of standard IP principles</w:t>
      </w:r>
      <w:r w:rsidR="00D02A56">
        <w:rPr>
          <w:rFonts w:eastAsiaTheme="minorHAnsi"/>
          <w:lang w:eastAsia="en-US"/>
        </w:rPr>
        <w:t xml:space="preserve"> as has been an initiative in the UK where the “Lambert toolkit” has been developed</w:t>
      </w:r>
      <w:r w:rsidR="0063644A">
        <w:rPr>
          <w:rStyle w:val="FootnoteReference"/>
          <w:rFonts w:eastAsiaTheme="minorHAnsi"/>
          <w:lang w:eastAsia="en-US"/>
        </w:rPr>
        <w:footnoteReference w:id="3"/>
      </w:r>
      <w:r w:rsidRPr="00AC5FD3">
        <w:rPr>
          <w:rFonts w:eastAsiaTheme="minorHAnsi"/>
          <w:lang w:eastAsia="en-US"/>
        </w:rPr>
        <w:t xml:space="preserve">. In addition </w:t>
      </w:r>
      <w:r w:rsidR="006607E0">
        <w:rPr>
          <w:rFonts w:eastAsiaTheme="minorHAnsi"/>
          <w:lang w:eastAsia="en-US"/>
        </w:rPr>
        <w:t xml:space="preserve">– and to facilitate the </w:t>
      </w:r>
      <w:r w:rsidR="00F741CE">
        <w:rPr>
          <w:rFonts w:eastAsiaTheme="minorHAnsi"/>
          <w:lang w:eastAsia="en-US"/>
        </w:rPr>
        <w:t>“</w:t>
      </w:r>
      <w:r w:rsidR="006607E0">
        <w:rPr>
          <w:rFonts w:eastAsiaTheme="minorHAnsi"/>
          <w:lang w:eastAsia="en-US"/>
        </w:rPr>
        <w:t xml:space="preserve">knock-on” relationships between the research and industry collaborators - </w:t>
      </w:r>
      <w:r w:rsidRPr="00AC5FD3">
        <w:rPr>
          <w:rFonts w:eastAsiaTheme="minorHAnsi"/>
          <w:lang w:eastAsia="en-US"/>
        </w:rPr>
        <w:t>CSIRO argue</w:t>
      </w:r>
      <w:r w:rsidR="006607E0">
        <w:rPr>
          <w:rFonts w:eastAsiaTheme="minorHAnsi"/>
          <w:lang w:eastAsia="en-US"/>
        </w:rPr>
        <w:t>s</w:t>
      </w:r>
      <w:r w:rsidRPr="00AC5FD3">
        <w:rPr>
          <w:rFonts w:eastAsiaTheme="minorHAnsi"/>
          <w:lang w:eastAsia="en-US"/>
        </w:rPr>
        <w:t xml:space="preserve"> that more flexible contracting arrangements should be considered for government research grants</w:t>
      </w:r>
      <w:r w:rsidR="006607E0">
        <w:rPr>
          <w:rFonts w:eastAsiaTheme="minorHAnsi"/>
          <w:lang w:eastAsia="en-US"/>
        </w:rPr>
        <w:t xml:space="preserve"> with the grantee organisation</w:t>
      </w:r>
      <w:r w:rsidRPr="00AC5FD3">
        <w:rPr>
          <w:rFonts w:eastAsiaTheme="minorHAnsi"/>
          <w:lang w:eastAsia="en-US"/>
        </w:rPr>
        <w:t>.</w:t>
      </w:r>
    </w:p>
    <w:p w14:paraId="40C98288" w14:textId="77777777" w:rsidR="00AC5FD3" w:rsidRPr="00D466B4" w:rsidRDefault="00AC5FD3" w:rsidP="00D466B4">
      <w:pPr>
        <w:rPr>
          <w:rFonts w:eastAsiaTheme="minorHAnsi"/>
          <w:lang w:eastAsia="en-US"/>
        </w:rPr>
      </w:pPr>
      <w:r w:rsidRPr="00D466B4">
        <w:rPr>
          <w:rFonts w:eastAsiaTheme="minorHAnsi"/>
          <w:lang w:eastAsia="en-US"/>
        </w:rPr>
        <w:t>To ensure a reasonable and standard approach for engaging on intellectual property, CSIRO has developed a list of principles when enabling the use of its intellectual property. For further information on how CSIRO enables industry to utilise the intellectual property that it develops refer to</w:t>
      </w:r>
      <w:r w:rsidR="004C1BB5">
        <w:rPr>
          <w:rFonts w:eastAsiaTheme="minorHAnsi"/>
          <w:lang w:eastAsia="en-US"/>
        </w:rPr>
        <w:t xml:space="preserve"> </w:t>
      </w:r>
      <w:r w:rsidR="000E7578">
        <w:fldChar w:fldCharType="begin"/>
      </w:r>
      <w:r w:rsidR="000E7578">
        <w:instrText xml:space="preserve"> REF _Ref405296221  \* MERGEFORMAT </w:instrText>
      </w:r>
      <w:r w:rsidR="000E7578">
        <w:fldChar w:fldCharType="separate"/>
      </w:r>
      <w:r w:rsidR="000E7578" w:rsidRPr="000E7578">
        <w:rPr>
          <w:b/>
        </w:rPr>
        <w:t>Attachment 5: CSIRO’s Policies and Posture of transfer of Intellectual Property to Industry</w:t>
      </w:r>
      <w:r w:rsidR="000E7578">
        <w:rPr>
          <w:b/>
        </w:rPr>
        <w:fldChar w:fldCharType="end"/>
      </w:r>
      <w:r w:rsidR="004C1BB5">
        <w:rPr>
          <w:rFonts w:eastAsiaTheme="minorHAnsi"/>
          <w:lang w:eastAsia="en-US"/>
        </w:rPr>
        <w:t>.</w:t>
      </w:r>
    </w:p>
    <w:p w14:paraId="40C98289" w14:textId="77777777" w:rsidR="00AC5FD3" w:rsidRPr="00AC5FD3" w:rsidRDefault="00AC5FD3" w:rsidP="00AC5FD3">
      <w:pPr>
        <w:rPr>
          <w:rFonts w:eastAsiaTheme="minorHAnsi"/>
          <w:lang w:eastAsia="en-US"/>
        </w:rPr>
      </w:pPr>
      <w:r w:rsidRPr="00AC5FD3">
        <w:rPr>
          <w:rFonts w:eastAsiaTheme="minorHAnsi"/>
          <w:lang w:eastAsia="en-US"/>
        </w:rPr>
        <w:t>CSIRO contracts with a vast array of different Commonwealth departments, agencies and companies.  Each of these Commonwealth entities administers different programs of funding ranging from the low-value, low-risk procurement of research services to large-scal</w:t>
      </w:r>
      <w:r w:rsidR="00E016EB">
        <w:rPr>
          <w:rFonts w:eastAsiaTheme="minorHAnsi"/>
          <w:lang w:eastAsia="en-US"/>
        </w:rPr>
        <w:t xml:space="preserve">e infrastructure </w:t>
      </w:r>
      <w:r w:rsidR="00E016EB">
        <w:rPr>
          <w:rFonts w:eastAsiaTheme="minorHAnsi"/>
          <w:lang w:eastAsia="en-US"/>
        </w:rPr>
        <w:lastRenderedPageBreak/>
        <w:t xml:space="preserve">investments. </w:t>
      </w:r>
      <w:r w:rsidRPr="00AC5FD3">
        <w:rPr>
          <w:rFonts w:eastAsiaTheme="minorHAnsi"/>
          <w:lang w:eastAsia="en-US"/>
        </w:rPr>
        <w:t>Most of these Commonwealth entities have their own set of preferred contracting terms.</w:t>
      </w:r>
    </w:p>
    <w:p w14:paraId="40C9828A" w14:textId="77777777" w:rsidR="00AC5FD3" w:rsidRPr="00AC5FD3" w:rsidRDefault="00AC5FD3" w:rsidP="00AC5FD3">
      <w:pPr>
        <w:rPr>
          <w:rFonts w:eastAsiaTheme="minorHAnsi"/>
          <w:lang w:eastAsia="en-US"/>
        </w:rPr>
      </w:pPr>
      <w:r w:rsidRPr="00AC5FD3">
        <w:rPr>
          <w:rFonts w:eastAsiaTheme="minorHAnsi"/>
          <w:lang w:eastAsia="en-US"/>
        </w:rPr>
        <w:t xml:space="preserve">A recent analysis of negotiations with some of these Commonwealth entities revealed that the imposition </w:t>
      </w:r>
      <w:r w:rsidR="006607E0">
        <w:rPr>
          <w:rFonts w:eastAsiaTheme="minorHAnsi"/>
          <w:lang w:eastAsia="en-US"/>
        </w:rPr>
        <w:t>up</w:t>
      </w:r>
      <w:r w:rsidRPr="00AC5FD3">
        <w:rPr>
          <w:rFonts w:eastAsiaTheme="minorHAnsi"/>
          <w:lang w:eastAsia="en-US"/>
        </w:rPr>
        <w:t>on CSIRO of different Commonwealth contractual terms places a significant administrative burden on CSIRO, which CSIRO is often obliged to pass onto its collaborators. Further</w:t>
      </w:r>
      <w:r w:rsidR="006607E0">
        <w:rPr>
          <w:rFonts w:eastAsiaTheme="minorHAnsi"/>
          <w:lang w:eastAsia="en-US"/>
        </w:rPr>
        <w:t xml:space="preserve">more, </w:t>
      </w:r>
      <w:r w:rsidRPr="00AC5FD3">
        <w:rPr>
          <w:rFonts w:eastAsiaTheme="minorHAnsi"/>
          <w:lang w:eastAsia="en-US"/>
        </w:rPr>
        <w:t>there are many terms in these contracts which are not risk-adjusted to reflect the fact of one Commonwealth entity contracting with another.</w:t>
      </w:r>
    </w:p>
    <w:p w14:paraId="40C9828B" w14:textId="77777777" w:rsidR="00AC5FD3" w:rsidRPr="00AC5FD3" w:rsidRDefault="00AC5FD3" w:rsidP="00AC5FD3">
      <w:pPr>
        <w:contextualSpacing/>
        <w:rPr>
          <w:rFonts w:eastAsiaTheme="minorHAnsi"/>
          <w:lang w:eastAsia="en-US"/>
        </w:rPr>
      </w:pPr>
      <w:r w:rsidRPr="00AC5FD3">
        <w:rPr>
          <w:rFonts w:eastAsiaTheme="minorHAnsi"/>
          <w:lang w:eastAsia="en-US"/>
        </w:rPr>
        <w:t>CSIRO acknowledge</w:t>
      </w:r>
      <w:r w:rsidR="006607E0">
        <w:rPr>
          <w:rFonts w:eastAsiaTheme="minorHAnsi"/>
          <w:lang w:eastAsia="en-US"/>
        </w:rPr>
        <w:t>s</w:t>
      </w:r>
      <w:r w:rsidRPr="00AC5FD3">
        <w:rPr>
          <w:rFonts w:eastAsiaTheme="minorHAnsi"/>
          <w:lang w:eastAsia="en-US"/>
        </w:rPr>
        <w:t xml:space="preserve"> that efforts have been made to overcome this difficulty, for example the development of the Commonwealth Low-Risk Grant Agreement Template issued by the Commonwealth Department of Finance (see </w:t>
      </w:r>
      <w:hyperlink r:id="rId18" w:history="1">
        <w:r w:rsidRPr="00AC5FD3">
          <w:rPr>
            <w:rFonts w:eastAsiaTheme="minorHAnsi"/>
            <w:u w:val="single"/>
            <w:lang w:eastAsia="en-US"/>
          </w:rPr>
          <w:t>http://www.finance.gov.au/financial-framework/financial-management-policy-guidance/grants/grant-agreement-template-project.html</w:t>
        </w:r>
      </w:hyperlink>
      <w:r w:rsidRPr="00AC5FD3">
        <w:rPr>
          <w:rFonts w:eastAsiaTheme="minorHAnsi"/>
          <w:lang w:eastAsia="en-US"/>
        </w:rPr>
        <w:t xml:space="preserve">). </w:t>
      </w:r>
    </w:p>
    <w:p w14:paraId="40C9828C" w14:textId="77777777" w:rsidR="00AC5FD3" w:rsidRPr="00AC5FD3" w:rsidRDefault="00AC5FD3" w:rsidP="00AC5FD3">
      <w:pPr>
        <w:rPr>
          <w:rFonts w:eastAsiaTheme="minorHAnsi"/>
          <w:lang w:eastAsia="en-US"/>
        </w:rPr>
      </w:pPr>
      <w:r w:rsidRPr="00AC5FD3">
        <w:rPr>
          <w:rFonts w:eastAsiaTheme="minorHAnsi"/>
          <w:lang w:eastAsia="en-US"/>
        </w:rPr>
        <w:t>However the benefits the Low-risk Grant Application Templates could provide are not being realised because many Commonwealth funding bodies seem reluctant to use the templates.</w:t>
      </w:r>
    </w:p>
    <w:p w14:paraId="40C9828D" w14:textId="77777777" w:rsidR="00AC5FD3" w:rsidRPr="00AC5FD3" w:rsidRDefault="00AC5FD3" w:rsidP="00AC5FD3">
      <w:pPr>
        <w:rPr>
          <w:rFonts w:eastAsiaTheme="minorHAnsi"/>
          <w:lang w:eastAsia="en-US"/>
        </w:rPr>
      </w:pPr>
      <w:r w:rsidRPr="00AC5FD3">
        <w:rPr>
          <w:rFonts w:eastAsiaTheme="minorHAnsi"/>
          <w:lang w:eastAsia="en-US"/>
        </w:rPr>
        <w:t>CSIRO supports the Recommendation on contracting developed in the 2012 Advisory Council on Intellectual Property (</w:t>
      </w:r>
      <w:proofErr w:type="spellStart"/>
      <w:r w:rsidRPr="00AC5FD3">
        <w:rPr>
          <w:rFonts w:eastAsiaTheme="minorHAnsi"/>
          <w:lang w:eastAsia="en-US"/>
        </w:rPr>
        <w:t>ACIP</w:t>
      </w:r>
      <w:proofErr w:type="spellEnd"/>
      <w:r w:rsidRPr="00AC5FD3">
        <w:rPr>
          <w:rFonts w:eastAsiaTheme="minorHAnsi"/>
          <w:lang w:eastAsia="en-US"/>
        </w:rPr>
        <w:t>) review of ‘</w:t>
      </w:r>
      <w:r w:rsidR="008E6341" w:rsidRPr="008E6341">
        <w:rPr>
          <w:rFonts w:eastAsiaTheme="minorHAnsi"/>
          <w:i/>
          <w:lang w:eastAsia="en-US"/>
        </w:rPr>
        <w:t>Collaborations Between the Public and Private Sectors: The Role of Intellectual Property</w:t>
      </w:r>
      <w:r w:rsidRPr="00AC5FD3">
        <w:rPr>
          <w:rFonts w:eastAsiaTheme="minorHAnsi"/>
          <w:lang w:eastAsia="en-US"/>
        </w:rPr>
        <w:t>’</w:t>
      </w:r>
      <w:r w:rsidR="00F741CE">
        <w:rPr>
          <w:rFonts w:eastAsiaTheme="minorHAnsi"/>
          <w:lang w:eastAsia="en-US"/>
        </w:rPr>
        <w:t>.</w:t>
      </w:r>
      <w:r w:rsidRPr="00AC5FD3">
        <w:rPr>
          <w:rFonts w:eastAsiaTheme="minorHAnsi"/>
          <w:lang w:eastAsia="en-US"/>
        </w:rPr>
        <w:t xml:space="preserve"> </w:t>
      </w:r>
      <w:r w:rsidR="00EC6A4E">
        <w:rPr>
          <w:rFonts w:eastAsiaTheme="minorHAnsi"/>
          <w:lang w:eastAsia="en-US"/>
        </w:rPr>
        <w:t>W</w:t>
      </w:r>
      <w:r w:rsidRPr="00AC5FD3">
        <w:rPr>
          <w:rFonts w:eastAsiaTheme="minorHAnsi"/>
          <w:lang w:eastAsia="en-US"/>
        </w:rPr>
        <w:t>ith regard to contracting the Council recommended the following:</w:t>
      </w:r>
    </w:p>
    <w:p w14:paraId="40C9828E" w14:textId="77777777" w:rsidR="00AC5FD3" w:rsidRPr="006607E0" w:rsidRDefault="00AC5FD3" w:rsidP="00AC5FD3">
      <w:pPr>
        <w:rPr>
          <w:rFonts w:eastAsiaTheme="minorHAnsi"/>
          <w:i/>
          <w:lang w:eastAsia="en-US"/>
        </w:rPr>
      </w:pPr>
      <w:r w:rsidRPr="00AC5FD3">
        <w:rPr>
          <w:rFonts w:eastAsiaTheme="minorHAnsi"/>
          <w:lang w:eastAsia="en-US"/>
        </w:rPr>
        <w:t>‘</w:t>
      </w:r>
      <w:r w:rsidR="008E6341" w:rsidRPr="008E6341">
        <w:rPr>
          <w:rFonts w:eastAsiaTheme="minorHAnsi"/>
          <w:i/>
          <w:lang w:eastAsia="en-US"/>
        </w:rPr>
        <w:t xml:space="preserve">Recommendation 5: Request that the Coordination Committee on Innovation (CCI) promote and encourage the use of flexible terms and conditions in Australian Government grants and research contracts, including those specifically related to background and project IP licences, warranties, indemnities and moral rights. </w:t>
      </w:r>
    </w:p>
    <w:p w14:paraId="40C9828F" w14:textId="77777777" w:rsidR="00AC5FD3" w:rsidRPr="006607E0" w:rsidRDefault="008E6341" w:rsidP="00AC5FD3">
      <w:pPr>
        <w:rPr>
          <w:rFonts w:eastAsiaTheme="minorHAnsi"/>
          <w:i/>
          <w:lang w:eastAsia="en-US"/>
        </w:rPr>
      </w:pPr>
      <w:r w:rsidRPr="008E6341">
        <w:rPr>
          <w:rFonts w:eastAsiaTheme="minorHAnsi"/>
          <w:i/>
          <w:lang w:eastAsia="en-US"/>
        </w:rPr>
        <w:t>Considerations should include:</w:t>
      </w:r>
    </w:p>
    <w:p w14:paraId="40C98290" w14:textId="77777777" w:rsidR="00AC5FD3" w:rsidRPr="006607E0" w:rsidRDefault="008E6341" w:rsidP="00855D5A">
      <w:pPr>
        <w:numPr>
          <w:ilvl w:val="0"/>
          <w:numId w:val="6"/>
        </w:numPr>
        <w:rPr>
          <w:rFonts w:eastAsiaTheme="minorHAnsi"/>
          <w:i/>
        </w:rPr>
      </w:pPr>
      <w:r w:rsidRPr="008E6341">
        <w:rPr>
          <w:rFonts w:eastAsiaTheme="minorHAnsi"/>
          <w:i/>
        </w:rPr>
        <w:t>collating and communicating information about existing initiatives and previous work undertaken in relation to such terms and conditions and the circumstances in which their flexible application is appropriate</w:t>
      </w:r>
    </w:p>
    <w:p w14:paraId="40C98291" w14:textId="77777777" w:rsidR="00AC5FD3" w:rsidRPr="006607E0" w:rsidRDefault="008E6341" w:rsidP="00855D5A">
      <w:pPr>
        <w:numPr>
          <w:ilvl w:val="0"/>
          <w:numId w:val="6"/>
        </w:numPr>
        <w:rPr>
          <w:rFonts w:eastAsiaTheme="minorHAnsi"/>
          <w:i/>
        </w:rPr>
      </w:pPr>
      <w:r w:rsidRPr="008E6341">
        <w:rPr>
          <w:rFonts w:eastAsiaTheme="minorHAnsi"/>
          <w:i/>
        </w:rPr>
        <w:t xml:space="preserve">increasing awareness among Commonwealth and </w:t>
      </w:r>
      <w:proofErr w:type="spellStart"/>
      <w:r w:rsidRPr="008E6341">
        <w:rPr>
          <w:rFonts w:eastAsiaTheme="minorHAnsi"/>
          <w:i/>
        </w:rPr>
        <w:t>PFRO</w:t>
      </w:r>
      <w:proofErr w:type="spellEnd"/>
      <w:r w:rsidRPr="008E6341">
        <w:rPr>
          <w:rFonts w:eastAsiaTheme="minorHAnsi"/>
          <w:i/>
        </w:rPr>
        <w:t xml:space="preserve"> legal and procurement practitioners of the flexibility available in the terms and conditions of Australian Government grants and research contracts (including those specifically related to background and project IP licences, warranties, indemnities and moral rights)</w:t>
      </w:r>
    </w:p>
    <w:p w14:paraId="40C98292" w14:textId="77777777" w:rsidR="00AC5FD3" w:rsidRPr="00AC5FD3" w:rsidRDefault="008E6341" w:rsidP="00855D5A">
      <w:pPr>
        <w:numPr>
          <w:ilvl w:val="0"/>
          <w:numId w:val="6"/>
        </w:numPr>
        <w:rPr>
          <w:rFonts w:eastAsiaTheme="minorHAnsi"/>
        </w:rPr>
      </w:pPr>
      <w:r w:rsidRPr="008E6341">
        <w:rPr>
          <w:rFonts w:eastAsiaTheme="minorHAnsi"/>
          <w:i/>
        </w:rPr>
        <w:t>establishing a process for government agencies to report on the extent that such flexibility is being applied</w:t>
      </w:r>
      <w:r w:rsidR="00AC5FD3" w:rsidRPr="00AC5FD3">
        <w:rPr>
          <w:rFonts w:eastAsiaTheme="minorHAnsi"/>
        </w:rPr>
        <w:t>.’</w:t>
      </w:r>
    </w:p>
    <w:p w14:paraId="40C98294" w14:textId="77777777" w:rsidR="00AC5FD3" w:rsidRPr="00AC5FD3" w:rsidRDefault="00AC5FD3" w:rsidP="009B2E56">
      <w:pPr>
        <w:pStyle w:val="Heading3"/>
        <w:rPr>
          <w:lang w:eastAsia="en-US"/>
        </w:rPr>
      </w:pPr>
      <w:r w:rsidRPr="00AC5FD3">
        <w:rPr>
          <w:lang w:eastAsia="en-US"/>
        </w:rPr>
        <w:t>Key points</w:t>
      </w:r>
    </w:p>
    <w:p w14:paraId="40C98295" w14:textId="77777777" w:rsidR="00AC5FD3" w:rsidRPr="00AC5FD3" w:rsidRDefault="00AC5FD3" w:rsidP="00855D5A">
      <w:pPr>
        <w:numPr>
          <w:ilvl w:val="0"/>
          <w:numId w:val="7"/>
        </w:numPr>
        <w:rPr>
          <w:rFonts w:eastAsiaTheme="minorHAnsi"/>
          <w:i/>
        </w:rPr>
      </w:pPr>
      <w:r w:rsidRPr="00AC5FD3">
        <w:rPr>
          <w:rFonts w:eastAsiaTheme="minorHAnsi"/>
          <w:i/>
        </w:rPr>
        <w:t>Standard IP principles across publically funded research organisations would make it easier for industry to engage with researchers.</w:t>
      </w:r>
    </w:p>
    <w:p w14:paraId="40C98296" w14:textId="77777777" w:rsidR="00AC5FD3" w:rsidRPr="00AC5FD3" w:rsidRDefault="00AC5FD3" w:rsidP="00855D5A">
      <w:pPr>
        <w:numPr>
          <w:ilvl w:val="0"/>
          <w:numId w:val="7"/>
        </w:numPr>
        <w:rPr>
          <w:rFonts w:eastAsiaTheme="minorHAnsi"/>
          <w:i/>
        </w:rPr>
      </w:pPr>
      <w:r w:rsidRPr="00AC5FD3">
        <w:rPr>
          <w:rFonts w:eastAsiaTheme="minorHAnsi"/>
          <w:i/>
        </w:rPr>
        <w:t>Government should encourage the use of flexible terms and conditions in Australian Government grants and research contracts.</w:t>
      </w:r>
    </w:p>
    <w:p w14:paraId="40C98297" w14:textId="77777777" w:rsidR="00BF4742" w:rsidRDefault="00BF4742">
      <w:pPr>
        <w:rPr>
          <w:rFonts w:eastAsiaTheme="majorEastAsia"/>
        </w:rPr>
      </w:pPr>
      <w:bookmarkStart w:id="12" w:name="_Toc403475323"/>
    </w:p>
    <w:p w14:paraId="40C98298" w14:textId="77777777" w:rsidR="00AC5FD3" w:rsidRPr="00566AA1" w:rsidRDefault="008E6341" w:rsidP="00AC5FD3">
      <w:pPr>
        <w:pStyle w:val="Heading1"/>
      </w:pPr>
      <w:bookmarkStart w:id="13" w:name="_Toc405494774"/>
      <w:r w:rsidRPr="008E6341">
        <w:lastRenderedPageBreak/>
        <w:t>Principles to achieve strong industry/research linkages</w:t>
      </w:r>
      <w:bookmarkEnd w:id="12"/>
      <w:bookmarkEnd w:id="13"/>
    </w:p>
    <w:p w14:paraId="40C98299" w14:textId="77777777" w:rsidR="00AC5FD3" w:rsidRPr="00AC5FD3" w:rsidRDefault="00AC5FD3" w:rsidP="00AC5FD3">
      <w:pPr>
        <w:spacing w:after="120"/>
        <w:rPr>
          <w:rFonts w:eastAsiaTheme="minorHAnsi"/>
          <w:lang w:eastAsia="en-US"/>
        </w:rPr>
      </w:pPr>
      <w:r w:rsidRPr="00AC5FD3">
        <w:rPr>
          <w:rFonts w:eastAsiaTheme="minorHAnsi"/>
          <w:lang w:eastAsia="en-US"/>
        </w:rPr>
        <w:t>Based on CSIRO’s experience as the single largest participant in programmes aimed at fostering industry relevant R&amp;D (such as the CRC and Rural R&amp;D programmes) and through an analysis of domestic, international and our own programmes that are aimed at supporting industry led innovation, CSIRO believes that the following seven principles should be applied to industry focussed research:</w:t>
      </w:r>
    </w:p>
    <w:tbl>
      <w:tblPr>
        <w:tblStyle w:val="TableGrid"/>
        <w:tblW w:w="0" w:type="auto"/>
        <w:tblInd w:w="-34" w:type="dxa"/>
        <w:tblLook w:val="04A0" w:firstRow="1" w:lastRow="0" w:firstColumn="1" w:lastColumn="0" w:noHBand="0" w:noVBand="1"/>
      </w:tblPr>
      <w:tblGrid>
        <w:gridCol w:w="1978"/>
        <w:gridCol w:w="7072"/>
      </w:tblGrid>
      <w:tr w:rsidR="00AC5FD3" w:rsidRPr="00AC5FD3" w14:paraId="40C9829C" w14:textId="77777777" w:rsidTr="0082308B">
        <w:tc>
          <w:tcPr>
            <w:tcW w:w="1978" w:type="dxa"/>
            <w:tcBorders>
              <w:bottom w:val="single" w:sz="4" w:space="0" w:color="auto"/>
            </w:tcBorders>
            <w:shd w:val="clear" w:color="auto" w:fill="548DD4" w:themeFill="text2" w:themeFillTint="99"/>
          </w:tcPr>
          <w:p w14:paraId="40C9829A" w14:textId="77777777" w:rsidR="00AC5FD3" w:rsidRPr="00AC5FD3" w:rsidRDefault="00AC5FD3" w:rsidP="00AC5FD3">
            <w:pPr>
              <w:spacing w:before="120" w:after="120"/>
              <w:rPr>
                <w:b/>
              </w:rPr>
            </w:pPr>
            <w:r w:rsidRPr="00AC5FD3">
              <w:rPr>
                <w:b/>
              </w:rPr>
              <w:t>Principle</w:t>
            </w:r>
          </w:p>
        </w:tc>
        <w:tc>
          <w:tcPr>
            <w:tcW w:w="7072" w:type="dxa"/>
            <w:tcBorders>
              <w:bottom w:val="single" w:sz="4" w:space="0" w:color="auto"/>
            </w:tcBorders>
            <w:shd w:val="clear" w:color="auto" w:fill="548DD4" w:themeFill="text2" w:themeFillTint="99"/>
          </w:tcPr>
          <w:p w14:paraId="40C9829B" w14:textId="77777777" w:rsidR="00AC5FD3" w:rsidRPr="00AC5FD3" w:rsidRDefault="00AC5FD3" w:rsidP="00AC5FD3">
            <w:pPr>
              <w:spacing w:before="120" w:after="120"/>
              <w:rPr>
                <w:b/>
              </w:rPr>
            </w:pPr>
            <w:r w:rsidRPr="00AC5FD3">
              <w:rPr>
                <w:b/>
              </w:rPr>
              <w:t>Explanation</w:t>
            </w:r>
          </w:p>
        </w:tc>
      </w:tr>
      <w:tr w:rsidR="00AC5FD3" w:rsidRPr="00AC5FD3" w14:paraId="40C982A0" w14:textId="77777777" w:rsidTr="0082308B">
        <w:tc>
          <w:tcPr>
            <w:tcW w:w="1978" w:type="dxa"/>
            <w:tcBorders>
              <w:bottom w:val="single" w:sz="4" w:space="0" w:color="auto"/>
            </w:tcBorders>
            <w:shd w:val="clear" w:color="auto" w:fill="DBE5F1" w:themeFill="accent1" w:themeFillTint="33"/>
          </w:tcPr>
          <w:p w14:paraId="40C9829D"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Strategic prioritisation by User Stakeholders</w:t>
            </w:r>
          </w:p>
        </w:tc>
        <w:tc>
          <w:tcPr>
            <w:tcW w:w="7072" w:type="dxa"/>
            <w:tcBorders>
              <w:bottom w:val="single" w:sz="4" w:space="0" w:color="auto"/>
            </w:tcBorders>
            <w:shd w:val="clear" w:color="auto" w:fill="DBE5F1" w:themeFill="accent1" w:themeFillTint="33"/>
          </w:tcPr>
          <w:p w14:paraId="40C9829E" w14:textId="77777777" w:rsidR="00AC5FD3" w:rsidRPr="00AC5FD3" w:rsidRDefault="00AC5FD3" w:rsidP="00AC5FD3">
            <w:pPr>
              <w:spacing w:before="120" w:after="120"/>
            </w:pPr>
            <w:r w:rsidRPr="00AC5FD3">
              <w:t xml:space="preserve">Let industry and other user stakeholders lead the selection of the highest potential opportunities to grow productivity and competitiveness. </w:t>
            </w:r>
          </w:p>
          <w:p w14:paraId="40C9829F" w14:textId="77777777" w:rsidR="00AC5FD3" w:rsidRPr="00AC5FD3" w:rsidRDefault="00AC5FD3" w:rsidP="00AC5FD3">
            <w:pPr>
              <w:spacing w:before="120" w:after="120"/>
            </w:pPr>
            <w:r w:rsidRPr="00AC5FD3">
              <w:t xml:space="preserve">Prioritise only those opportunities where sufficient scale can be achieved to address the opportunity. </w:t>
            </w:r>
          </w:p>
        </w:tc>
      </w:tr>
      <w:tr w:rsidR="00AC5FD3" w:rsidRPr="00AC5FD3" w14:paraId="40C982A4" w14:textId="77777777" w:rsidTr="0082308B">
        <w:tc>
          <w:tcPr>
            <w:tcW w:w="1978" w:type="dxa"/>
            <w:tcBorders>
              <w:bottom w:val="single" w:sz="4" w:space="0" w:color="auto"/>
            </w:tcBorders>
            <w:shd w:val="clear" w:color="auto" w:fill="C6D9F1" w:themeFill="text2" w:themeFillTint="33"/>
          </w:tcPr>
          <w:p w14:paraId="40C982A1"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Merit based selection of research providers</w:t>
            </w:r>
          </w:p>
        </w:tc>
        <w:tc>
          <w:tcPr>
            <w:tcW w:w="7072" w:type="dxa"/>
            <w:tcBorders>
              <w:bottom w:val="single" w:sz="4" w:space="0" w:color="auto"/>
            </w:tcBorders>
            <w:shd w:val="clear" w:color="auto" w:fill="C6D9F1" w:themeFill="text2" w:themeFillTint="33"/>
          </w:tcPr>
          <w:p w14:paraId="40C982A2" w14:textId="77777777" w:rsidR="00AC5FD3" w:rsidRPr="00AC5FD3" w:rsidRDefault="00AC5FD3" w:rsidP="00AC5FD3">
            <w:pPr>
              <w:spacing w:before="120" w:after="120"/>
            </w:pPr>
            <w:r w:rsidRPr="00AC5FD3">
              <w:t xml:space="preserve">Select based on merit those few collaborators who have the right world-class skills to deliver a specific opportunity. </w:t>
            </w:r>
          </w:p>
          <w:p w14:paraId="40C982A3" w14:textId="77777777" w:rsidR="00AC5FD3" w:rsidRPr="00AC5FD3" w:rsidRDefault="00AC5FD3" w:rsidP="00AC5FD3">
            <w:pPr>
              <w:spacing w:before="120" w:after="120"/>
            </w:pPr>
            <w:r w:rsidRPr="00AC5FD3">
              <w:t>Prioritise collaborators with past success and experience.</w:t>
            </w:r>
          </w:p>
        </w:tc>
      </w:tr>
      <w:tr w:rsidR="00AC5FD3" w:rsidRPr="00AC5FD3" w14:paraId="40C982A8" w14:textId="77777777" w:rsidTr="0082308B">
        <w:tc>
          <w:tcPr>
            <w:tcW w:w="1978" w:type="dxa"/>
            <w:tcBorders>
              <w:bottom w:val="single" w:sz="4" w:space="0" w:color="auto"/>
            </w:tcBorders>
            <w:shd w:val="clear" w:color="auto" w:fill="DBE5F1" w:themeFill="accent1" w:themeFillTint="33"/>
          </w:tcPr>
          <w:p w14:paraId="40C982A5"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Operational efficiency</w:t>
            </w:r>
          </w:p>
        </w:tc>
        <w:tc>
          <w:tcPr>
            <w:tcW w:w="7072" w:type="dxa"/>
            <w:tcBorders>
              <w:bottom w:val="single" w:sz="4" w:space="0" w:color="auto"/>
            </w:tcBorders>
            <w:shd w:val="clear" w:color="auto" w:fill="DBE5F1" w:themeFill="accent1" w:themeFillTint="33"/>
          </w:tcPr>
          <w:p w14:paraId="40C982A6" w14:textId="77777777" w:rsidR="00AC5FD3" w:rsidRPr="00AC5FD3" w:rsidRDefault="00AC5FD3" w:rsidP="00AC5FD3">
            <w:pPr>
              <w:spacing w:before="120" w:after="120"/>
            </w:pPr>
            <w:r w:rsidRPr="00AC5FD3">
              <w:t xml:space="preserve">Design a management structure of program that is efficient, manages the collaboration with an output focus and is time-limited, and supports the alignment </w:t>
            </w:r>
            <w:r w:rsidR="00E016EB">
              <w:t>of the activity to the partners.</w:t>
            </w:r>
          </w:p>
          <w:p w14:paraId="40C982A7" w14:textId="77777777" w:rsidR="00AC5FD3" w:rsidRPr="00AC5FD3" w:rsidRDefault="00AC5FD3" w:rsidP="00AC5FD3">
            <w:pPr>
              <w:spacing w:before="120" w:after="120"/>
            </w:pPr>
            <w:r w:rsidRPr="00AC5FD3">
              <w:t>Develop a “collaboration in a box” toolkit that enables the streamlined and efficient operation of each new collaboration</w:t>
            </w:r>
            <w:r w:rsidR="00E016EB">
              <w:t>.</w:t>
            </w:r>
          </w:p>
        </w:tc>
      </w:tr>
      <w:tr w:rsidR="00AC5FD3" w:rsidRPr="00AC5FD3" w14:paraId="40C982AC" w14:textId="77777777" w:rsidTr="0082308B">
        <w:tc>
          <w:tcPr>
            <w:tcW w:w="1978" w:type="dxa"/>
            <w:tcBorders>
              <w:bottom w:val="single" w:sz="4" w:space="0" w:color="auto"/>
            </w:tcBorders>
            <w:shd w:val="clear" w:color="auto" w:fill="C6D9F1" w:themeFill="text2" w:themeFillTint="33"/>
          </w:tcPr>
          <w:p w14:paraId="40C982A9"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Time bound</w:t>
            </w:r>
          </w:p>
        </w:tc>
        <w:tc>
          <w:tcPr>
            <w:tcW w:w="7072" w:type="dxa"/>
            <w:tcBorders>
              <w:bottom w:val="single" w:sz="4" w:space="0" w:color="auto"/>
            </w:tcBorders>
            <w:shd w:val="clear" w:color="auto" w:fill="C6D9F1" w:themeFill="text2" w:themeFillTint="33"/>
          </w:tcPr>
          <w:p w14:paraId="40C982AA" w14:textId="77777777" w:rsidR="00AC5FD3" w:rsidRPr="00AC5FD3" w:rsidRDefault="00AC5FD3" w:rsidP="00AC5FD3">
            <w:pPr>
              <w:spacing w:before="120" w:after="120"/>
            </w:pPr>
            <w:r w:rsidRPr="00AC5FD3">
              <w:t xml:space="preserve">Encourage the “creative destruction” of initiatives and collaborations when the job is done.  </w:t>
            </w:r>
          </w:p>
          <w:p w14:paraId="40C982AB" w14:textId="77777777" w:rsidR="00AC5FD3" w:rsidRPr="00AC5FD3" w:rsidRDefault="00AC5FD3" w:rsidP="00AC5FD3">
            <w:pPr>
              <w:spacing w:before="120" w:after="120"/>
            </w:pPr>
            <w:r w:rsidRPr="00AC5FD3">
              <w:t xml:space="preserve">Build in flexible and fast approaches that can be tailored for a specific opportunity so that projects can draw on capabilities from across the innovation system with appropriate partners being brought into and leaving the collaboration as required. </w:t>
            </w:r>
          </w:p>
        </w:tc>
      </w:tr>
      <w:tr w:rsidR="00AC5FD3" w:rsidRPr="00AC5FD3" w14:paraId="40C982B0" w14:textId="77777777" w:rsidTr="0082308B">
        <w:tc>
          <w:tcPr>
            <w:tcW w:w="1978" w:type="dxa"/>
            <w:tcBorders>
              <w:bottom w:val="single" w:sz="4" w:space="0" w:color="auto"/>
            </w:tcBorders>
            <w:shd w:val="clear" w:color="auto" w:fill="DBE5F1" w:themeFill="accent1" w:themeFillTint="33"/>
          </w:tcPr>
          <w:p w14:paraId="40C982AD"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Monitor Impact to remain impact focussed</w:t>
            </w:r>
          </w:p>
        </w:tc>
        <w:tc>
          <w:tcPr>
            <w:tcW w:w="7072" w:type="dxa"/>
            <w:tcBorders>
              <w:bottom w:val="single" w:sz="4" w:space="0" w:color="auto"/>
            </w:tcBorders>
            <w:shd w:val="clear" w:color="auto" w:fill="DBE5F1" w:themeFill="accent1" w:themeFillTint="33"/>
          </w:tcPr>
          <w:p w14:paraId="40C982AE" w14:textId="77777777" w:rsidR="00AC5FD3" w:rsidRPr="00AC5FD3" w:rsidRDefault="00AC5FD3" w:rsidP="00AC5FD3">
            <w:pPr>
              <w:spacing w:before="120" w:after="120"/>
            </w:pPr>
            <w:r w:rsidRPr="00AC5FD3">
              <w:t xml:space="preserve">Consider the delivery of impact when designing </w:t>
            </w:r>
            <w:r w:rsidR="00E016EB">
              <w:t>research</w:t>
            </w:r>
            <w:r w:rsidRPr="00AC5FD3">
              <w:t xml:space="preserve"> projects, including issues such as the absorptive capacity and business skills of partners.</w:t>
            </w:r>
          </w:p>
          <w:p w14:paraId="40C982AF" w14:textId="77777777" w:rsidR="00AC5FD3" w:rsidRPr="00AC5FD3" w:rsidRDefault="00AC5FD3" w:rsidP="00AC5FD3">
            <w:pPr>
              <w:spacing w:before="120" w:after="120"/>
            </w:pPr>
            <w:r w:rsidRPr="00AC5FD3">
              <w:t xml:space="preserve">Conduct consistent and comparable pre- and </w:t>
            </w:r>
            <w:proofErr w:type="spellStart"/>
            <w:r w:rsidRPr="00AC5FD3">
              <w:t>post impact</w:t>
            </w:r>
            <w:proofErr w:type="spellEnd"/>
            <w:r w:rsidRPr="00AC5FD3">
              <w:t xml:space="preserve"> evaluations that will inform future investments. </w:t>
            </w:r>
          </w:p>
        </w:tc>
      </w:tr>
      <w:tr w:rsidR="00AC5FD3" w:rsidRPr="00AC5FD3" w14:paraId="40C982B4" w14:textId="77777777" w:rsidTr="0082308B">
        <w:tc>
          <w:tcPr>
            <w:tcW w:w="1978" w:type="dxa"/>
            <w:tcBorders>
              <w:bottom w:val="single" w:sz="4" w:space="0" w:color="auto"/>
            </w:tcBorders>
            <w:shd w:val="clear" w:color="auto" w:fill="C6D9F1" w:themeFill="text2" w:themeFillTint="33"/>
          </w:tcPr>
          <w:p w14:paraId="40C982B1"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t>Skills focused</w:t>
            </w:r>
          </w:p>
        </w:tc>
        <w:tc>
          <w:tcPr>
            <w:tcW w:w="7072" w:type="dxa"/>
            <w:tcBorders>
              <w:bottom w:val="single" w:sz="4" w:space="0" w:color="auto"/>
            </w:tcBorders>
            <w:shd w:val="clear" w:color="auto" w:fill="C6D9F1" w:themeFill="text2" w:themeFillTint="33"/>
          </w:tcPr>
          <w:p w14:paraId="40C982B2" w14:textId="77777777" w:rsidR="00AC5FD3" w:rsidRPr="00AC5FD3" w:rsidRDefault="00AC5FD3" w:rsidP="00AC5FD3">
            <w:pPr>
              <w:spacing w:before="120" w:after="120"/>
            </w:pPr>
            <w:r w:rsidRPr="00AC5FD3">
              <w:t xml:space="preserve">Broaden skill development to develop “innovation entrepreneurs” who can turn inventions into opportunities.  </w:t>
            </w:r>
          </w:p>
          <w:p w14:paraId="40C982B3" w14:textId="77777777" w:rsidR="00AC5FD3" w:rsidRPr="00AC5FD3" w:rsidRDefault="00AC5FD3" w:rsidP="00AC5FD3">
            <w:pPr>
              <w:spacing w:before="120" w:after="120"/>
            </w:pPr>
            <w:r w:rsidRPr="00AC5FD3">
              <w:t xml:space="preserve">(Models that can be used are ones such as the existing “Researcher in Business” model and the recently announced </w:t>
            </w:r>
            <w:proofErr w:type="spellStart"/>
            <w:r w:rsidRPr="00AC5FD3">
              <w:t>SIEF</w:t>
            </w:r>
            <w:proofErr w:type="spellEnd"/>
            <w:r w:rsidRPr="00AC5FD3">
              <w:t xml:space="preserve"> “</w:t>
            </w:r>
            <w:proofErr w:type="spellStart"/>
            <w:r w:rsidRPr="00AC5FD3">
              <w:t>STEM+B</w:t>
            </w:r>
            <w:r w:rsidR="00E016EB">
              <w:t>usiness</w:t>
            </w:r>
            <w:proofErr w:type="spellEnd"/>
            <w:r w:rsidR="00E016EB">
              <w:t xml:space="preserve">” investment to put post-doctoral </w:t>
            </w:r>
            <w:r w:rsidRPr="00AC5FD3">
              <w:t>level researchers into business)</w:t>
            </w:r>
          </w:p>
        </w:tc>
      </w:tr>
      <w:tr w:rsidR="00AC5FD3" w:rsidRPr="00AC5FD3" w14:paraId="40C982B9" w14:textId="77777777" w:rsidTr="0082308B">
        <w:tc>
          <w:tcPr>
            <w:tcW w:w="1978" w:type="dxa"/>
            <w:shd w:val="clear" w:color="auto" w:fill="DBE5F1" w:themeFill="accent1" w:themeFillTint="33"/>
          </w:tcPr>
          <w:p w14:paraId="40C982B5" w14:textId="77777777" w:rsidR="00AC5FD3" w:rsidRPr="00AC5FD3" w:rsidRDefault="00AC5FD3" w:rsidP="00855D5A">
            <w:pPr>
              <w:numPr>
                <w:ilvl w:val="0"/>
                <w:numId w:val="4"/>
              </w:numPr>
              <w:spacing w:before="120" w:after="120"/>
              <w:ind w:left="284" w:hanging="284"/>
              <w:contextualSpacing/>
              <w:rPr>
                <w:b/>
                <w:szCs w:val="20"/>
              </w:rPr>
            </w:pPr>
            <w:r w:rsidRPr="00AC5FD3">
              <w:rPr>
                <w:b/>
                <w:szCs w:val="20"/>
              </w:rPr>
              <w:lastRenderedPageBreak/>
              <w:t>Active Portfolio Management through direct project funding</w:t>
            </w:r>
          </w:p>
        </w:tc>
        <w:tc>
          <w:tcPr>
            <w:tcW w:w="7072" w:type="dxa"/>
            <w:shd w:val="clear" w:color="auto" w:fill="DBE5F1" w:themeFill="accent1" w:themeFillTint="33"/>
          </w:tcPr>
          <w:p w14:paraId="40C982B6" w14:textId="77777777" w:rsidR="00AC5FD3" w:rsidRPr="00AC5FD3" w:rsidRDefault="00E016EB" w:rsidP="00AC5FD3">
            <w:pPr>
              <w:spacing w:before="120" w:after="120"/>
              <w:rPr>
                <w:szCs w:val="20"/>
              </w:rPr>
            </w:pPr>
            <w:r>
              <w:rPr>
                <w:szCs w:val="20"/>
              </w:rPr>
              <w:t>P</w:t>
            </w:r>
            <w:r w:rsidR="00AC5FD3" w:rsidRPr="00AC5FD3">
              <w:rPr>
                <w:szCs w:val="20"/>
              </w:rPr>
              <w:t>rogramme</w:t>
            </w:r>
            <w:r>
              <w:rPr>
                <w:szCs w:val="20"/>
              </w:rPr>
              <w:t xml:space="preserve"> such as the Cooperative Research Centres</w:t>
            </w:r>
            <w:r w:rsidR="00AC5FD3" w:rsidRPr="00AC5FD3">
              <w:rPr>
                <w:szCs w:val="20"/>
              </w:rPr>
              <w:t xml:space="preserve"> should fund projects, not funding entities per se.  (This moves closer to a “venture-type” approach to project selection and management of the programme’s investment portfolio).</w:t>
            </w:r>
          </w:p>
          <w:p w14:paraId="40C982B7" w14:textId="77777777" w:rsidR="00AC5FD3" w:rsidRPr="00AC5FD3" w:rsidRDefault="00AC5FD3" w:rsidP="00AC5FD3">
            <w:pPr>
              <w:spacing w:before="120" w:after="120"/>
              <w:rPr>
                <w:szCs w:val="20"/>
              </w:rPr>
            </w:pPr>
            <w:r w:rsidRPr="00AC5FD3">
              <w:rPr>
                <w:szCs w:val="20"/>
              </w:rPr>
              <w:t xml:space="preserve">By funding projects directly, the programme can better manage the funding risk profile, ensure that funded projects can adapt to market, regulatory and other changes by modifying or cancelling projects unlikely to deliver their intended impacts, and ensure that there is appropriate funding coverage across the innovation value chain.  </w:t>
            </w:r>
          </w:p>
          <w:p w14:paraId="40C982B8" w14:textId="77777777" w:rsidR="00AC5FD3" w:rsidRPr="00AC5FD3" w:rsidRDefault="00AC5FD3" w:rsidP="00AC5FD3">
            <w:pPr>
              <w:spacing w:before="120" w:after="120"/>
            </w:pPr>
            <w:r w:rsidRPr="00AC5FD3">
              <w:rPr>
                <w:szCs w:val="20"/>
              </w:rPr>
              <w:t xml:space="preserve">It can also ensure that funded projects are clearly suited to the programme. </w:t>
            </w:r>
          </w:p>
        </w:tc>
      </w:tr>
    </w:tbl>
    <w:p w14:paraId="40C982BA" w14:textId="77777777" w:rsidR="00AC5FD3" w:rsidRPr="00AC5FD3" w:rsidRDefault="00AC5FD3" w:rsidP="00AC5FD3">
      <w:pPr>
        <w:rPr>
          <w:rFonts w:eastAsiaTheme="minorHAnsi"/>
          <w:lang w:eastAsia="en-US"/>
        </w:rPr>
      </w:pPr>
    </w:p>
    <w:p w14:paraId="40C982BB" w14:textId="77777777" w:rsidR="00AC5FD3" w:rsidRPr="00AC5FD3" w:rsidRDefault="00AC5FD3" w:rsidP="00AC5FD3">
      <w:pPr>
        <w:rPr>
          <w:rFonts w:eastAsiaTheme="minorHAnsi"/>
          <w:lang w:eastAsia="en-US"/>
        </w:rPr>
      </w:pPr>
    </w:p>
    <w:p w14:paraId="40C982BC" w14:textId="77777777" w:rsidR="00AC5FD3" w:rsidRPr="00AC5FD3" w:rsidRDefault="00AC5FD3" w:rsidP="00AC5FD3">
      <w:pPr>
        <w:rPr>
          <w:rFonts w:eastAsiaTheme="minorHAnsi"/>
          <w:lang w:eastAsia="en-US"/>
        </w:rPr>
        <w:sectPr w:rsidR="00AC5FD3" w:rsidRPr="00AC5FD3" w:rsidSect="0087286A">
          <w:headerReference w:type="first" r:id="rId19"/>
          <w:footerReference w:type="first" r:id="rId20"/>
          <w:pgSz w:w="11906" w:h="16838"/>
          <w:pgMar w:top="1440" w:right="1440" w:bottom="1440" w:left="1440" w:header="708" w:footer="708" w:gutter="0"/>
          <w:cols w:space="708"/>
          <w:docGrid w:linePitch="360"/>
        </w:sectPr>
      </w:pPr>
    </w:p>
    <w:p w14:paraId="40C982BD" w14:textId="77777777" w:rsidR="0087286A" w:rsidRPr="0087286A" w:rsidRDefault="00AC5FD3" w:rsidP="00D45A33">
      <w:pPr>
        <w:pStyle w:val="Heading1"/>
      </w:pPr>
      <w:bookmarkStart w:id="14" w:name="_Ref405280401"/>
      <w:bookmarkStart w:id="15" w:name="_Toc405494775"/>
      <w:bookmarkStart w:id="16" w:name="_Ref404697322"/>
      <w:r w:rsidRPr="0087286A">
        <w:lastRenderedPageBreak/>
        <w:t>Attachment 1:</w:t>
      </w:r>
      <w:bookmarkStart w:id="17" w:name="_Ref393444634"/>
      <w:r w:rsidR="0087286A" w:rsidRPr="0087286A">
        <w:t xml:space="preserve"> CSIRO - Delivering Impact with Industry</w:t>
      </w:r>
      <w:bookmarkEnd w:id="14"/>
      <w:bookmarkEnd w:id="15"/>
      <w:bookmarkEnd w:id="17"/>
    </w:p>
    <w:p w14:paraId="40C982BE" w14:textId="77777777" w:rsidR="0087286A" w:rsidRDefault="0087286A" w:rsidP="0087286A">
      <w:pPr>
        <w:rPr>
          <w:rFonts w:eastAsiaTheme="majorEastAsia"/>
          <w:lang w:eastAsia="en-US"/>
        </w:rPr>
      </w:pPr>
    </w:p>
    <w:p w14:paraId="40C982BF" w14:textId="77777777" w:rsidR="00062317" w:rsidRDefault="00062317" w:rsidP="0087286A">
      <w:pPr>
        <w:rPr>
          <w:rFonts w:eastAsiaTheme="majorEastAsia"/>
          <w:lang w:eastAsia="en-US"/>
        </w:rPr>
      </w:pPr>
    </w:p>
    <w:p w14:paraId="40C982C0" w14:textId="77777777" w:rsidR="00BB45CD" w:rsidRDefault="00BF4742">
      <w:pPr>
        <w:rPr>
          <w:rFonts w:eastAsiaTheme="majorEastAsia"/>
          <w:lang w:eastAsia="en-US"/>
        </w:rPr>
      </w:pPr>
      <w:r>
        <w:rPr>
          <w:rFonts w:eastAsiaTheme="majorEastAsia"/>
          <w:lang w:eastAsia="en-US"/>
        </w:rPr>
        <w:t xml:space="preserve">See Attachment 4 of CSIRO’s submission to the Senate Economics reference Committee, at: </w:t>
      </w:r>
    </w:p>
    <w:p w14:paraId="40C982C1" w14:textId="77777777" w:rsidR="00BB45CD" w:rsidRDefault="00BB45CD">
      <w:pPr>
        <w:rPr>
          <w:rFonts w:eastAsiaTheme="majorEastAsia"/>
          <w:lang w:eastAsia="en-US"/>
        </w:rPr>
      </w:pPr>
    </w:p>
    <w:p w14:paraId="40C982C2" w14:textId="77777777" w:rsidR="0068589E" w:rsidRDefault="00BF4742" w:rsidP="0087286A">
      <w:pPr>
        <w:rPr>
          <w:rFonts w:eastAsiaTheme="majorEastAsia"/>
          <w:lang w:eastAsia="en-US"/>
        </w:rPr>
        <w:sectPr w:rsidR="0068589E" w:rsidSect="0087286A">
          <w:pgSz w:w="11906" w:h="16838"/>
          <w:pgMar w:top="1440" w:right="1440" w:bottom="1440" w:left="1440" w:header="708" w:footer="708" w:gutter="0"/>
          <w:cols w:space="708"/>
          <w:docGrid w:linePitch="360"/>
        </w:sectPr>
      </w:pPr>
      <w:r w:rsidRPr="00BB45CD">
        <w:rPr>
          <w:rFonts w:eastAsiaTheme="majorEastAsia"/>
          <w:sz w:val="20"/>
          <w:szCs w:val="20"/>
          <w:lang w:eastAsia="en-US"/>
        </w:rPr>
        <w:t>http://www.aph.gov.au/Parliamentary_Business/Committees/Senate/Economics/Innovation_System</w:t>
      </w:r>
      <w:r w:rsidR="0068589E">
        <w:rPr>
          <w:rFonts w:eastAsiaTheme="majorEastAsia"/>
          <w:lang w:eastAsia="en-US"/>
        </w:rPr>
        <w:br w:type="page"/>
      </w:r>
    </w:p>
    <w:p w14:paraId="40C982C3" w14:textId="77777777" w:rsidR="00062317" w:rsidRPr="006A67FD" w:rsidRDefault="002522E4" w:rsidP="006A67FD">
      <w:pPr>
        <w:pStyle w:val="Heading1"/>
      </w:pPr>
      <w:bookmarkStart w:id="18" w:name="_Ref405280291"/>
      <w:bookmarkStart w:id="19" w:name="_Toc405494776"/>
      <w:r w:rsidRPr="006A67FD">
        <w:rPr>
          <w:rFonts w:eastAsiaTheme="minorEastAsia"/>
        </w:rPr>
        <w:lastRenderedPageBreak/>
        <w:t xml:space="preserve">Attachment 2: </w:t>
      </w:r>
      <w:r w:rsidR="00062317" w:rsidRPr="006A67FD">
        <w:rPr>
          <w:rFonts w:eastAsiaTheme="minorEastAsia"/>
        </w:rPr>
        <w:t>CSIRO investment criteria</w:t>
      </w:r>
      <w:bookmarkEnd w:id="18"/>
      <w:bookmarkEnd w:id="19"/>
    </w:p>
    <w:p w14:paraId="40C982C4" w14:textId="77777777" w:rsidR="00062317" w:rsidRDefault="00062317" w:rsidP="0087286A">
      <w:pPr>
        <w:rPr>
          <w:rFonts w:eastAsiaTheme="majorEastAsia"/>
          <w:lang w:eastAsia="en-US"/>
        </w:rPr>
      </w:pPr>
    </w:p>
    <w:tbl>
      <w:tblPr>
        <w:tblW w:w="13260" w:type="dxa"/>
        <w:tblCellMar>
          <w:left w:w="0" w:type="dxa"/>
          <w:right w:w="0" w:type="dxa"/>
        </w:tblCellMar>
        <w:tblLook w:val="0600" w:firstRow="0" w:lastRow="0" w:firstColumn="0" w:lastColumn="0" w:noHBand="1" w:noVBand="1"/>
      </w:tblPr>
      <w:tblGrid>
        <w:gridCol w:w="1833"/>
        <w:gridCol w:w="1127"/>
        <w:gridCol w:w="10300"/>
      </w:tblGrid>
      <w:tr w:rsidR="00062317" w:rsidRPr="00062317" w14:paraId="40C982C7" w14:textId="77777777" w:rsidTr="002522E4">
        <w:trPr>
          <w:trHeight w:val="350"/>
        </w:trPr>
        <w:tc>
          <w:tcPr>
            <w:tcW w:w="2960" w:type="dxa"/>
            <w:gridSpan w:val="2"/>
            <w:tcBorders>
              <w:top w:val="single" w:sz="8" w:space="0" w:color="00A9CE"/>
              <w:left w:val="single" w:sz="8" w:space="0" w:color="00A9CE"/>
              <w:bottom w:val="single" w:sz="8" w:space="0" w:color="00A9CE"/>
              <w:right w:val="single" w:sz="8" w:space="0" w:color="00A9CE"/>
            </w:tcBorders>
            <w:shd w:val="clear" w:color="auto" w:fill="00A9CE"/>
            <w:tcMar>
              <w:top w:w="0" w:type="dxa"/>
              <w:left w:w="28" w:type="dxa"/>
              <w:bottom w:w="0" w:type="dxa"/>
              <w:right w:w="28" w:type="dxa"/>
            </w:tcMar>
            <w:hideMark/>
          </w:tcPr>
          <w:p w14:paraId="40C982C5" w14:textId="77777777" w:rsidR="00062317" w:rsidRPr="00062317" w:rsidRDefault="00062317" w:rsidP="00062317">
            <w:pPr>
              <w:tabs>
                <w:tab w:val="left" w:pos="2245"/>
              </w:tabs>
              <w:rPr>
                <w:rFonts w:ascii="Arial" w:hAnsi="Arial" w:cs="Arial"/>
                <w:sz w:val="28"/>
                <w:szCs w:val="36"/>
              </w:rPr>
            </w:pPr>
            <w:r w:rsidRPr="00062317">
              <w:rPr>
                <w:rFonts w:cs="Calibri"/>
                <w:b/>
                <w:bCs/>
                <w:color w:val="FFFFFF"/>
                <w:kern w:val="24"/>
                <w:sz w:val="28"/>
              </w:rPr>
              <w:t>Criteria</w:t>
            </w:r>
            <w:r w:rsidRPr="00062317">
              <w:rPr>
                <w:color w:val="FFFFFF"/>
                <w:kern w:val="24"/>
                <w:sz w:val="28"/>
              </w:rPr>
              <w:t xml:space="preserve"> </w:t>
            </w:r>
          </w:p>
        </w:tc>
        <w:tc>
          <w:tcPr>
            <w:tcW w:w="10300" w:type="dxa"/>
            <w:tcBorders>
              <w:top w:val="single" w:sz="8" w:space="0" w:color="00A9CE"/>
              <w:left w:val="single" w:sz="8" w:space="0" w:color="00A9CE"/>
              <w:bottom w:val="single" w:sz="8" w:space="0" w:color="00A9CE"/>
              <w:right w:val="single" w:sz="8" w:space="0" w:color="00A9CE"/>
            </w:tcBorders>
            <w:shd w:val="clear" w:color="auto" w:fill="00A9CE"/>
            <w:tcMar>
              <w:top w:w="0" w:type="dxa"/>
              <w:left w:w="28" w:type="dxa"/>
              <w:bottom w:w="0" w:type="dxa"/>
              <w:right w:w="28" w:type="dxa"/>
            </w:tcMar>
            <w:hideMark/>
          </w:tcPr>
          <w:p w14:paraId="40C982C6" w14:textId="77777777" w:rsidR="00062317" w:rsidRPr="00062317" w:rsidRDefault="00062317" w:rsidP="00062317">
            <w:pPr>
              <w:tabs>
                <w:tab w:val="left" w:pos="2245"/>
              </w:tabs>
              <w:rPr>
                <w:rFonts w:ascii="Arial" w:hAnsi="Arial" w:cs="Arial"/>
                <w:szCs w:val="36"/>
              </w:rPr>
            </w:pPr>
            <w:r w:rsidRPr="00062317">
              <w:rPr>
                <w:rFonts w:cs="Calibri"/>
                <w:b/>
                <w:bCs/>
                <w:color w:val="FFFFFF"/>
                <w:kern w:val="24"/>
                <w:sz w:val="28"/>
              </w:rPr>
              <w:t>Considerations</w:t>
            </w:r>
            <w:r w:rsidRPr="00062317">
              <w:rPr>
                <w:color w:val="FFFFFF"/>
                <w:kern w:val="24"/>
                <w:sz w:val="28"/>
              </w:rPr>
              <w:t xml:space="preserve"> </w:t>
            </w:r>
          </w:p>
        </w:tc>
      </w:tr>
      <w:tr w:rsidR="00062317" w:rsidRPr="00062317" w14:paraId="40C982C9" w14:textId="77777777" w:rsidTr="002522E4">
        <w:trPr>
          <w:trHeight w:val="319"/>
        </w:trPr>
        <w:tc>
          <w:tcPr>
            <w:tcW w:w="13260" w:type="dxa"/>
            <w:gridSpan w:val="3"/>
            <w:tcBorders>
              <w:top w:val="single" w:sz="8" w:space="0" w:color="00A9CE"/>
              <w:left w:val="single" w:sz="8" w:space="0" w:color="00A9CE"/>
              <w:bottom w:val="single" w:sz="8" w:space="0" w:color="00A9CE"/>
              <w:right w:val="single" w:sz="8" w:space="0" w:color="00A9CE"/>
            </w:tcBorders>
            <w:shd w:val="clear" w:color="auto" w:fill="D9D9D9"/>
            <w:tcMar>
              <w:top w:w="0" w:type="dxa"/>
              <w:left w:w="28" w:type="dxa"/>
              <w:bottom w:w="0" w:type="dxa"/>
              <w:right w:w="28" w:type="dxa"/>
            </w:tcMar>
            <w:hideMark/>
          </w:tcPr>
          <w:p w14:paraId="40C982C8" w14:textId="77777777" w:rsidR="00062317" w:rsidRPr="00062317" w:rsidRDefault="00062317" w:rsidP="00062317">
            <w:pPr>
              <w:rPr>
                <w:rFonts w:ascii="Arial" w:hAnsi="Arial" w:cs="Arial"/>
                <w:szCs w:val="36"/>
              </w:rPr>
            </w:pPr>
            <w:r w:rsidRPr="00062317">
              <w:rPr>
                <w:rFonts w:cs="Calibri"/>
                <w:b/>
                <w:bCs/>
                <w:color w:val="000000"/>
                <w:kern w:val="24"/>
              </w:rPr>
              <w:t>1. Investment Potential</w:t>
            </w:r>
            <w:r w:rsidRPr="00062317">
              <w:rPr>
                <w:color w:val="000000"/>
                <w:kern w:val="24"/>
              </w:rPr>
              <w:t xml:space="preserve"> </w:t>
            </w:r>
          </w:p>
        </w:tc>
      </w:tr>
      <w:tr w:rsidR="00062317" w:rsidRPr="00062317" w14:paraId="40C982CD" w14:textId="77777777" w:rsidTr="0063644A">
        <w:trPr>
          <w:trHeight w:val="60"/>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CA" w14:textId="77777777" w:rsidR="00BF4742" w:rsidRDefault="008E6341">
            <w:pPr>
              <w:tabs>
                <w:tab w:val="left" w:pos="2245"/>
              </w:tabs>
              <w:jc w:val="right"/>
              <w:rPr>
                <w:rFonts w:ascii="Arial" w:hAnsi="Arial" w:cs="Arial"/>
                <w:b/>
                <w:szCs w:val="36"/>
              </w:rPr>
            </w:pPr>
            <w:r w:rsidRPr="008E6341">
              <w:rPr>
                <w:rFonts w:eastAsia="Calibri" w:cs="Calibri"/>
                <w:b/>
                <w:color w:val="000000" w:themeColor="text1"/>
                <w:kern w:val="24"/>
              </w:rPr>
              <w:t>Appropriateness</w:t>
            </w:r>
            <w:r w:rsidRPr="008E6341">
              <w:rPr>
                <w:rFonts w:eastAsia="Calibri" w:cs="Arial"/>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CB" w14:textId="77777777" w:rsidR="00062317" w:rsidRPr="00062317" w:rsidRDefault="00062317" w:rsidP="00855D5A">
            <w:pPr>
              <w:numPr>
                <w:ilvl w:val="0"/>
                <w:numId w:val="10"/>
              </w:numPr>
              <w:tabs>
                <w:tab w:val="left" w:pos="81"/>
                <w:tab w:val="left" w:pos="1440"/>
              </w:tabs>
              <w:contextualSpacing/>
              <w:rPr>
                <w:rFonts w:ascii="Arial" w:hAnsi="Arial" w:cs="Arial"/>
                <w:szCs w:val="36"/>
              </w:rPr>
            </w:pPr>
            <w:r w:rsidRPr="00062317">
              <w:rPr>
                <w:rFonts w:cs="Calibri"/>
                <w:color w:val="000000" w:themeColor="text1"/>
                <w:kern w:val="24"/>
              </w:rPr>
              <w:t xml:space="preserve">The research is consistent with CSIRO’s </w:t>
            </w:r>
            <w:r w:rsidRPr="00062317">
              <w:rPr>
                <w:rFonts w:cs="Calibri"/>
                <w:b/>
                <w:bCs/>
                <w:color w:val="000000" w:themeColor="text1"/>
                <w:kern w:val="24"/>
              </w:rPr>
              <w:t xml:space="preserve">mandate, role, strategy </w:t>
            </w:r>
            <w:r w:rsidRPr="00062317">
              <w:rPr>
                <w:rFonts w:cs="Calibri"/>
                <w:color w:val="000000" w:themeColor="text1"/>
                <w:kern w:val="24"/>
              </w:rPr>
              <w:t xml:space="preserve">and prevailing Government </w:t>
            </w:r>
            <w:r w:rsidRPr="00062317">
              <w:rPr>
                <w:rFonts w:cs="Calibri"/>
                <w:b/>
                <w:bCs/>
                <w:color w:val="000000" w:themeColor="text1"/>
                <w:kern w:val="24"/>
              </w:rPr>
              <w:t xml:space="preserve">policy </w:t>
            </w:r>
          </w:p>
          <w:p w14:paraId="40C982CC" w14:textId="77777777" w:rsidR="00062317" w:rsidRPr="00062317" w:rsidRDefault="00062317" w:rsidP="00855D5A">
            <w:pPr>
              <w:numPr>
                <w:ilvl w:val="0"/>
                <w:numId w:val="10"/>
              </w:numPr>
              <w:tabs>
                <w:tab w:val="left" w:pos="81"/>
                <w:tab w:val="left" w:pos="1440"/>
              </w:tabs>
              <w:contextualSpacing/>
              <w:rPr>
                <w:rFonts w:ascii="Arial" w:hAnsi="Arial" w:cs="Arial"/>
                <w:szCs w:val="36"/>
              </w:rPr>
            </w:pPr>
            <w:r w:rsidRPr="00062317">
              <w:rPr>
                <w:rFonts w:cs="Calibri"/>
                <w:b/>
                <w:bCs/>
                <w:color w:val="000000" w:themeColor="text1"/>
                <w:kern w:val="24"/>
              </w:rPr>
              <w:t xml:space="preserve">CSIRO is the most appropriate organisation </w:t>
            </w:r>
            <w:r w:rsidRPr="00062317">
              <w:rPr>
                <w:rFonts w:cs="Calibri"/>
                <w:color w:val="000000" w:themeColor="text1"/>
                <w:kern w:val="24"/>
              </w:rPr>
              <w:t xml:space="preserve">to undertake the research, and no other organisations are better placed </w:t>
            </w:r>
          </w:p>
        </w:tc>
      </w:tr>
      <w:tr w:rsidR="00062317" w:rsidRPr="00062317" w14:paraId="40C982D1" w14:textId="77777777" w:rsidTr="0063644A">
        <w:trPr>
          <w:trHeight w:val="493"/>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CE" w14:textId="77777777" w:rsidR="00BF4742" w:rsidRDefault="008E6341">
            <w:pPr>
              <w:tabs>
                <w:tab w:val="left" w:pos="2245"/>
              </w:tabs>
              <w:jc w:val="right"/>
              <w:rPr>
                <w:rFonts w:ascii="Arial" w:hAnsi="Arial" w:cs="Arial"/>
                <w:b/>
                <w:szCs w:val="36"/>
              </w:rPr>
            </w:pPr>
            <w:r w:rsidRPr="008E6341">
              <w:rPr>
                <w:rFonts w:eastAsia="Calibri" w:cs="Calibri"/>
                <w:b/>
                <w:color w:val="000000" w:themeColor="text1"/>
                <w:kern w:val="24"/>
              </w:rPr>
              <w:t>Benefits to Australia</w:t>
            </w:r>
            <w:r w:rsidRPr="008E6341">
              <w:rPr>
                <w:rFonts w:eastAsia="Calibri" w:cs="Arial"/>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CF" w14:textId="77777777" w:rsidR="00062317" w:rsidRPr="00E016EB" w:rsidRDefault="00062317" w:rsidP="00E016EB">
            <w:pPr>
              <w:numPr>
                <w:ilvl w:val="0"/>
                <w:numId w:val="10"/>
              </w:numPr>
              <w:tabs>
                <w:tab w:val="left" w:pos="81"/>
                <w:tab w:val="left" w:pos="1440"/>
              </w:tabs>
              <w:contextualSpacing/>
              <w:rPr>
                <w:rFonts w:cs="Calibri"/>
                <w:color w:val="000000" w:themeColor="text1"/>
                <w:kern w:val="24"/>
              </w:rPr>
            </w:pPr>
            <w:r w:rsidRPr="00E016EB">
              <w:rPr>
                <w:rFonts w:cs="Calibri"/>
                <w:color w:val="000000" w:themeColor="text1"/>
                <w:kern w:val="24"/>
              </w:rPr>
              <w:t xml:space="preserve">The </w:t>
            </w:r>
            <w:r w:rsidR="008E6341" w:rsidRPr="008E6341">
              <w:rPr>
                <w:rFonts w:cs="Calibri"/>
                <w:b/>
                <w:color w:val="000000" w:themeColor="text1"/>
                <w:kern w:val="24"/>
              </w:rPr>
              <w:t>research outcomes sought will deliver a clearly articulated and compelling benefit</w:t>
            </w:r>
            <w:r w:rsidRPr="00E016EB">
              <w:rPr>
                <w:rFonts w:cs="Calibri"/>
                <w:color w:val="000000" w:themeColor="text1"/>
                <w:kern w:val="24"/>
              </w:rPr>
              <w:t xml:space="preserve"> (impact) for Australia relevant to the economy, society and/or environment</w:t>
            </w:r>
          </w:p>
          <w:p w14:paraId="40C982D0" w14:textId="77777777" w:rsidR="00062317" w:rsidRPr="00062317" w:rsidRDefault="00062317" w:rsidP="00E016EB">
            <w:pPr>
              <w:numPr>
                <w:ilvl w:val="0"/>
                <w:numId w:val="10"/>
              </w:numPr>
              <w:tabs>
                <w:tab w:val="left" w:pos="81"/>
                <w:tab w:val="left" w:pos="1440"/>
              </w:tabs>
              <w:contextualSpacing/>
              <w:rPr>
                <w:rFonts w:ascii="Arial" w:hAnsi="Arial" w:cs="Arial"/>
                <w:szCs w:val="36"/>
              </w:rPr>
            </w:pPr>
            <w:r w:rsidRPr="00E016EB">
              <w:rPr>
                <w:rFonts w:cs="Calibri"/>
                <w:color w:val="000000" w:themeColor="text1"/>
                <w:kern w:val="24"/>
              </w:rPr>
              <w:t>The measurable outcomes sought represents a strong return on investment relative to the likely whole of life costs of the research</w:t>
            </w:r>
          </w:p>
        </w:tc>
      </w:tr>
      <w:tr w:rsidR="00062317" w:rsidRPr="00062317" w14:paraId="40C982D5" w14:textId="77777777" w:rsidTr="0063644A">
        <w:trPr>
          <w:trHeight w:val="60"/>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D2" w14:textId="77777777" w:rsidR="00BF4742" w:rsidRDefault="008E6341">
            <w:pPr>
              <w:tabs>
                <w:tab w:val="left" w:pos="2245"/>
              </w:tabs>
              <w:jc w:val="right"/>
              <w:rPr>
                <w:rFonts w:ascii="Arial" w:hAnsi="Arial" w:cs="Arial"/>
                <w:b/>
                <w:szCs w:val="36"/>
              </w:rPr>
            </w:pPr>
            <w:r w:rsidRPr="008E6341">
              <w:rPr>
                <w:rFonts w:eastAsia="Calibri" w:cs="Calibri"/>
                <w:b/>
                <w:color w:val="000000" w:themeColor="text1"/>
                <w:kern w:val="24"/>
              </w:rPr>
              <w:t>Path to Impact</w:t>
            </w:r>
            <w:r w:rsidRPr="008E6341">
              <w:rPr>
                <w:rFonts w:eastAsia="Calibri" w:cs="Arial"/>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D3" w14:textId="77777777" w:rsidR="00062317" w:rsidRPr="00062317" w:rsidRDefault="00062317" w:rsidP="00855D5A">
            <w:pPr>
              <w:numPr>
                <w:ilvl w:val="0"/>
                <w:numId w:val="12"/>
              </w:numPr>
              <w:tabs>
                <w:tab w:val="left" w:pos="80"/>
                <w:tab w:val="left" w:pos="1440"/>
              </w:tabs>
              <w:contextualSpacing/>
              <w:rPr>
                <w:rFonts w:ascii="Arial" w:hAnsi="Arial" w:cs="Arial"/>
                <w:szCs w:val="36"/>
              </w:rPr>
            </w:pPr>
            <w:r w:rsidRPr="00062317">
              <w:rPr>
                <w:rFonts w:cs="Calibri"/>
                <w:color w:val="000000" w:themeColor="text1"/>
                <w:kern w:val="24"/>
              </w:rPr>
              <w:t xml:space="preserve">There is a clear and feasible path to impact for the research including </w:t>
            </w:r>
            <w:r w:rsidRPr="00062317">
              <w:rPr>
                <w:rFonts w:cs="Calibri"/>
                <w:b/>
                <w:bCs/>
                <w:color w:val="000000" w:themeColor="text1"/>
                <w:kern w:val="24"/>
              </w:rPr>
              <w:t xml:space="preserve">demonstrated client and end user interest </w:t>
            </w:r>
          </w:p>
          <w:p w14:paraId="40C982D4" w14:textId="77777777" w:rsidR="00062317" w:rsidRPr="00062317" w:rsidRDefault="00062317" w:rsidP="00855D5A">
            <w:pPr>
              <w:numPr>
                <w:ilvl w:val="0"/>
                <w:numId w:val="12"/>
              </w:numPr>
              <w:tabs>
                <w:tab w:val="left" w:pos="80"/>
                <w:tab w:val="left" w:pos="1440"/>
              </w:tabs>
              <w:contextualSpacing/>
              <w:rPr>
                <w:rFonts w:ascii="Arial" w:hAnsi="Arial" w:cs="Arial"/>
                <w:szCs w:val="36"/>
              </w:rPr>
            </w:pPr>
            <w:r w:rsidRPr="00062317">
              <w:rPr>
                <w:rFonts w:cs="Calibri"/>
                <w:color w:val="000000" w:themeColor="text1"/>
                <w:kern w:val="24"/>
              </w:rPr>
              <w:t xml:space="preserve">We can demonstrate the ability to form </w:t>
            </w:r>
            <w:r w:rsidRPr="00062317">
              <w:rPr>
                <w:rFonts w:cs="Calibri"/>
                <w:b/>
                <w:bCs/>
                <w:color w:val="000000" w:themeColor="text1"/>
                <w:kern w:val="24"/>
              </w:rPr>
              <w:t xml:space="preserve">commercial relationships </w:t>
            </w:r>
            <w:r w:rsidRPr="00062317">
              <w:rPr>
                <w:rFonts w:cs="Calibri"/>
                <w:color w:val="000000" w:themeColor="text1"/>
                <w:kern w:val="24"/>
              </w:rPr>
              <w:t>with appropriate collaborators, stakeholders and clients to support the resourcing, development and adoption of the research</w:t>
            </w:r>
          </w:p>
        </w:tc>
      </w:tr>
      <w:tr w:rsidR="00062317" w:rsidRPr="00062317" w14:paraId="40C982DA" w14:textId="77777777" w:rsidTr="0063644A">
        <w:trPr>
          <w:trHeight w:val="403"/>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D6" w14:textId="77777777" w:rsidR="00BF4742" w:rsidRDefault="008E6341">
            <w:pPr>
              <w:tabs>
                <w:tab w:val="left" w:pos="2245"/>
              </w:tabs>
              <w:jc w:val="right"/>
              <w:rPr>
                <w:rFonts w:ascii="Arial" w:hAnsi="Arial" w:cs="Arial"/>
                <w:b/>
                <w:szCs w:val="36"/>
              </w:rPr>
            </w:pPr>
            <w:r w:rsidRPr="008E6341">
              <w:rPr>
                <w:rFonts w:eastAsia="Calibri" w:cs="Calibri"/>
                <w:b/>
                <w:color w:val="000000" w:themeColor="text1"/>
                <w:kern w:val="24"/>
              </w:rPr>
              <w:t xml:space="preserve">Research </w:t>
            </w:r>
            <w:proofErr w:type="spellStart"/>
            <w:r w:rsidRPr="008E6341">
              <w:rPr>
                <w:rFonts w:eastAsia="Calibri" w:cs="Calibri"/>
                <w:b/>
                <w:color w:val="000000" w:themeColor="text1"/>
                <w:kern w:val="24"/>
              </w:rPr>
              <w:t>Prospectivity</w:t>
            </w:r>
            <w:proofErr w:type="spellEnd"/>
            <w:r w:rsidRPr="008E6341">
              <w:rPr>
                <w:rFonts w:eastAsia="Calibri" w:cs="Arial"/>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D7" w14:textId="77777777" w:rsidR="00062317" w:rsidRPr="00062317" w:rsidRDefault="00062317" w:rsidP="00855D5A">
            <w:pPr>
              <w:numPr>
                <w:ilvl w:val="0"/>
                <w:numId w:val="13"/>
              </w:numPr>
              <w:tabs>
                <w:tab w:val="left" w:pos="81"/>
                <w:tab w:val="left" w:pos="1440"/>
              </w:tabs>
              <w:contextualSpacing/>
              <w:rPr>
                <w:rFonts w:ascii="Arial" w:hAnsi="Arial" w:cs="Arial"/>
                <w:szCs w:val="36"/>
              </w:rPr>
            </w:pPr>
            <w:r w:rsidRPr="00062317">
              <w:rPr>
                <w:rFonts w:cs="Calibri"/>
                <w:color w:val="000000" w:themeColor="text1"/>
                <w:kern w:val="24"/>
              </w:rPr>
              <w:t xml:space="preserve">Do we have good evidence that we have identified </w:t>
            </w:r>
            <w:r w:rsidRPr="00062317">
              <w:rPr>
                <w:rFonts w:cs="Calibri"/>
                <w:b/>
                <w:bCs/>
                <w:color w:val="000000" w:themeColor="text1"/>
                <w:kern w:val="24"/>
              </w:rPr>
              <w:t xml:space="preserve">the right science challenges </w:t>
            </w:r>
            <w:r w:rsidRPr="00062317">
              <w:rPr>
                <w:rFonts w:cs="Calibri"/>
                <w:color w:val="000000" w:themeColor="text1"/>
                <w:kern w:val="24"/>
              </w:rPr>
              <w:t>to deliver the impact sought?</w:t>
            </w:r>
          </w:p>
          <w:p w14:paraId="40C982D8" w14:textId="77777777" w:rsidR="00062317" w:rsidRPr="00062317" w:rsidRDefault="00062317" w:rsidP="00855D5A">
            <w:pPr>
              <w:numPr>
                <w:ilvl w:val="0"/>
                <w:numId w:val="13"/>
              </w:numPr>
              <w:tabs>
                <w:tab w:val="left" w:pos="360"/>
                <w:tab w:val="left" w:pos="1440"/>
              </w:tabs>
              <w:contextualSpacing/>
              <w:rPr>
                <w:rFonts w:ascii="Arial" w:hAnsi="Arial" w:cs="Arial"/>
                <w:szCs w:val="36"/>
              </w:rPr>
            </w:pPr>
            <w:r w:rsidRPr="00062317">
              <w:rPr>
                <w:rFonts w:cs="Calibri"/>
                <w:color w:val="000000" w:themeColor="text1"/>
                <w:kern w:val="24"/>
              </w:rPr>
              <w:t xml:space="preserve">Are the science challenges </w:t>
            </w:r>
            <w:r w:rsidRPr="00062317">
              <w:rPr>
                <w:rFonts w:cs="Calibri"/>
                <w:b/>
                <w:bCs/>
                <w:color w:val="000000" w:themeColor="text1"/>
                <w:kern w:val="24"/>
              </w:rPr>
              <w:t>both ambitious and future oriented</w:t>
            </w:r>
            <w:r w:rsidRPr="00062317">
              <w:rPr>
                <w:rFonts w:cs="Calibri"/>
                <w:color w:val="000000" w:themeColor="text1"/>
                <w:kern w:val="24"/>
              </w:rPr>
              <w:t xml:space="preserve">?  </w:t>
            </w:r>
          </w:p>
          <w:p w14:paraId="40C982D9" w14:textId="77777777" w:rsidR="00062317" w:rsidRPr="00062317" w:rsidRDefault="00062317" w:rsidP="00855D5A">
            <w:pPr>
              <w:numPr>
                <w:ilvl w:val="0"/>
                <w:numId w:val="13"/>
              </w:numPr>
              <w:tabs>
                <w:tab w:val="left" w:pos="360"/>
                <w:tab w:val="left" w:pos="1440"/>
              </w:tabs>
              <w:contextualSpacing/>
              <w:rPr>
                <w:rFonts w:ascii="Arial" w:hAnsi="Arial" w:cs="Arial"/>
                <w:szCs w:val="36"/>
              </w:rPr>
            </w:pPr>
            <w:r w:rsidRPr="00062317">
              <w:rPr>
                <w:rFonts w:cs="Calibri"/>
                <w:color w:val="000000" w:themeColor="text1"/>
                <w:kern w:val="24"/>
              </w:rPr>
              <w:t xml:space="preserve">Given our resources, is the necessary technical progress likely to be </w:t>
            </w:r>
            <w:r w:rsidRPr="00062317">
              <w:rPr>
                <w:rFonts w:cs="Calibri"/>
                <w:b/>
                <w:bCs/>
                <w:color w:val="000000" w:themeColor="text1"/>
                <w:kern w:val="24"/>
              </w:rPr>
              <w:t xml:space="preserve">realistically achievable </w:t>
            </w:r>
            <w:r w:rsidRPr="00062317">
              <w:rPr>
                <w:rFonts w:cs="Calibri"/>
                <w:color w:val="000000" w:themeColor="text1"/>
                <w:kern w:val="24"/>
              </w:rPr>
              <w:t xml:space="preserve">within the timeframe? </w:t>
            </w:r>
          </w:p>
        </w:tc>
      </w:tr>
      <w:tr w:rsidR="00062317" w:rsidRPr="00062317" w14:paraId="40C982DD" w14:textId="77777777" w:rsidTr="0063644A">
        <w:trPr>
          <w:trHeight w:val="650"/>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DB" w14:textId="77777777" w:rsidR="00BF4742" w:rsidRDefault="008E6341">
            <w:pPr>
              <w:tabs>
                <w:tab w:val="left" w:pos="2245"/>
              </w:tabs>
              <w:jc w:val="right"/>
              <w:rPr>
                <w:rFonts w:ascii="Arial" w:hAnsi="Arial" w:cs="Arial"/>
                <w:b/>
                <w:szCs w:val="36"/>
              </w:rPr>
            </w:pPr>
            <w:r w:rsidRPr="008E6341">
              <w:rPr>
                <w:rFonts w:eastAsia="Calibri" w:cs="Calibri"/>
                <w:b/>
                <w:color w:val="000000" w:themeColor="text1"/>
                <w:kern w:val="24"/>
              </w:rPr>
              <w:t xml:space="preserve"> Research competitiveness</w:t>
            </w:r>
            <w:r w:rsidRPr="008E6341">
              <w:rPr>
                <w:rFonts w:eastAsia="Calibri" w:cs="Arial"/>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DC" w14:textId="77777777" w:rsidR="00062317" w:rsidRPr="00062317" w:rsidRDefault="00062317" w:rsidP="00E016EB">
            <w:pPr>
              <w:numPr>
                <w:ilvl w:val="0"/>
                <w:numId w:val="10"/>
              </w:numPr>
              <w:tabs>
                <w:tab w:val="left" w:pos="81"/>
                <w:tab w:val="left" w:pos="1440"/>
              </w:tabs>
              <w:contextualSpacing/>
              <w:rPr>
                <w:rFonts w:ascii="Arial" w:hAnsi="Arial" w:cs="Arial"/>
                <w:szCs w:val="36"/>
              </w:rPr>
            </w:pPr>
            <w:r w:rsidRPr="00062317">
              <w:rPr>
                <w:rFonts w:cs="Calibri"/>
                <w:color w:val="000000" w:themeColor="text1"/>
                <w:kern w:val="24"/>
              </w:rPr>
              <w:t xml:space="preserve">Does the research area have, or is it likely to be able to develop, </w:t>
            </w:r>
            <w:r w:rsidR="008E6341" w:rsidRPr="008E6341">
              <w:rPr>
                <w:rFonts w:cs="Calibri"/>
                <w:b/>
                <w:color w:val="000000" w:themeColor="text1"/>
                <w:kern w:val="24"/>
              </w:rPr>
              <w:t>science output performance that is world class</w:t>
            </w:r>
            <w:r w:rsidRPr="00E016EB">
              <w:rPr>
                <w:rFonts w:cs="Calibri"/>
                <w:color w:val="000000" w:themeColor="text1"/>
                <w:kern w:val="24"/>
              </w:rPr>
              <w:t xml:space="preserve"> </w:t>
            </w:r>
            <w:r w:rsidRPr="00062317">
              <w:rPr>
                <w:rFonts w:cs="Calibri"/>
                <w:color w:val="000000" w:themeColor="text1"/>
                <w:kern w:val="24"/>
              </w:rPr>
              <w:t xml:space="preserve">or has the realistic potential to become world class (at least top 1% in world) </w:t>
            </w:r>
          </w:p>
        </w:tc>
      </w:tr>
      <w:tr w:rsidR="00062317" w:rsidRPr="00062317" w14:paraId="40C982DF" w14:textId="77777777" w:rsidTr="002522E4">
        <w:trPr>
          <w:trHeight w:val="309"/>
        </w:trPr>
        <w:tc>
          <w:tcPr>
            <w:tcW w:w="13260" w:type="dxa"/>
            <w:gridSpan w:val="3"/>
            <w:tcBorders>
              <w:top w:val="single" w:sz="8" w:space="0" w:color="00A9CE"/>
              <w:left w:val="single" w:sz="8" w:space="0" w:color="00A9CE"/>
              <w:bottom w:val="single" w:sz="8" w:space="0" w:color="00A9CE"/>
              <w:right w:val="single" w:sz="8" w:space="0" w:color="00A9CE"/>
            </w:tcBorders>
            <w:shd w:val="clear" w:color="auto" w:fill="D9D9D9"/>
            <w:tcMar>
              <w:top w:w="0" w:type="dxa"/>
              <w:left w:w="28" w:type="dxa"/>
              <w:bottom w:w="0" w:type="dxa"/>
              <w:right w:w="28" w:type="dxa"/>
            </w:tcMar>
            <w:hideMark/>
          </w:tcPr>
          <w:p w14:paraId="40C982DE" w14:textId="77777777" w:rsidR="00062317" w:rsidRPr="00062317" w:rsidRDefault="00062317" w:rsidP="00062317">
            <w:pPr>
              <w:spacing w:line="205" w:lineRule="exact"/>
              <w:rPr>
                <w:rFonts w:ascii="Arial" w:hAnsi="Arial" w:cs="Arial"/>
                <w:szCs w:val="36"/>
              </w:rPr>
            </w:pPr>
            <w:r w:rsidRPr="00062317">
              <w:rPr>
                <w:rFonts w:cs="Calibri"/>
                <w:b/>
                <w:bCs/>
                <w:color w:val="000000" w:themeColor="text1"/>
                <w:kern w:val="24"/>
              </w:rPr>
              <w:t>2. Performance</w:t>
            </w:r>
            <w:r w:rsidRPr="00062317">
              <w:rPr>
                <w:color w:val="000000" w:themeColor="text1"/>
                <w:kern w:val="24"/>
              </w:rPr>
              <w:t xml:space="preserve"> </w:t>
            </w:r>
          </w:p>
        </w:tc>
      </w:tr>
      <w:tr w:rsidR="00062317" w:rsidRPr="00062317" w14:paraId="40C982E2" w14:textId="77777777" w:rsidTr="0063644A">
        <w:trPr>
          <w:trHeight w:val="329"/>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E0" w14:textId="77777777" w:rsidR="00BF4742" w:rsidRDefault="008E6341">
            <w:pPr>
              <w:tabs>
                <w:tab w:val="left" w:pos="2245"/>
              </w:tabs>
              <w:jc w:val="right"/>
              <w:rPr>
                <w:rFonts w:ascii="Arial" w:hAnsi="Arial" w:cs="Arial"/>
                <w:b/>
                <w:szCs w:val="36"/>
              </w:rPr>
            </w:pPr>
            <w:r w:rsidRPr="008E6341">
              <w:rPr>
                <w:rFonts w:cs="Calibri"/>
                <w:b/>
                <w:color w:val="000000" w:themeColor="text1"/>
                <w:kern w:val="24"/>
              </w:rPr>
              <w:t>Performance</w:t>
            </w:r>
            <w:r w:rsidRPr="008E6341">
              <w:rPr>
                <w:b/>
                <w:color w:val="000000" w:themeColor="text1"/>
                <w:kern w:val="24"/>
              </w:rPr>
              <w:t xml:space="preserve"> </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E1" w14:textId="77777777" w:rsidR="00062317" w:rsidRPr="00062317" w:rsidRDefault="00062317" w:rsidP="00E016EB">
            <w:pPr>
              <w:numPr>
                <w:ilvl w:val="0"/>
                <w:numId w:val="10"/>
              </w:numPr>
              <w:tabs>
                <w:tab w:val="left" w:pos="80"/>
                <w:tab w:val="left" w:pos="1440"/>
              </w:tabs>
              <w:contextualSpacing/>
              <w:rPr>
                <w:rFonts w:ascii="Arial" w:hAnsi="Arial" w:cs="Arial"/>
                <w:szCs w:val="36"/>
              </w:rPr>
            </w:pPr>
            <w:r w:rsidRPr="00062317">
              <w:rPr>
                <w:rFonts w:cs="Calibri"/>
                <w:color w:val="000000" w:themeColor="text1"/>
                <w:kern w:val="24"/>
              </w:rPr>
              <w:t xml:space="preserve">Considering all relevant factors given the nature of the impact and science challenge, has the research area demonstrated sufficient overall </w:t>
            </w:r>
            <w:r w:rsidRPr="00E016EB">
              <w:rPr>
                <w:rFonts w:cs="Calibri"/>
                <w:color w:val="000000" w:themeColor="text1"/>
                <w:kern w:val="24"/>
              </w:rPr>
              <w:t xml:space="preserve">Impact, Science and Innovation capacity </w:t>
            </w:r>
            <w:r w:rsidRPr="00062317">
              <w:rPr>
                <w:rFonts w:cs="Calibri"/>
                <w:color w:val="000000" w:themeColor="text1"/>
                <w:kern w:val="24"/>
              </w:rPr>
              <w:t xml:space="preserve">performance to warrant support for the </w:t>
            </w:r>
            <w:r w:rsidRPr="00062317">
              <w:rPr>
                <w:rFonts w:cs="Calibri"/>
                <w:color w:val="000000" w:themeColor="text1"/>
                <w:kern w:val="24"/>
              </w:rPr>
              <w:lastRenderedPageBreak/>
              <w:t xml:space="preserve">investment case? </w:t>
            </w:r>
          </w:p>
        </w:tc>
      </w:tr>
      <w:tr w:rsidR="00062317" w:rsidRPr="00062317" w14:paraId="40C982E4" w14:textId="77777777" w:rsidTr="002522E4">
        <w:trPr>
          <w:trHeight w:val="337"/>
        </w:trPr>
        <w:tc>
          <w:tcPr>
            <w:tcW w:w="13260" w:type="dxa"/>
            <w:gridSpan w:val="3"/>
            <w:tcBorders>
              <w:top w:val="single" w:sz="8" w:space="0" w:color="00A9CE"/>
              <w:left w:val="single" w:sz="8" w:space="0" w:color="00A9CE"/>
              <w:bottom w:val="single" w:sz="8" w:space="0" w:color="00A9CE"/>
              <w:right w:val="single" w:sz="8" w:space="0" w:color="00A9CE"/>
            </w:tcBorders>
            <w:shd w:val="clear" w:color="auto" w:fill="D9D9D9"/>
            <w:tcMar>
              <w:top w:w="0" w:type="dxa"/>
              <w:left w:w="28" w:type="dxa"/>
              <w:bottom w:w="0" w:type="dxa"/>
              <w:right w:w="28" w:type="dxa"/>
            </w:tcMar>
            <w:hideMark/>
          </w:tcPr>
          <w:p w14:paraId="40C982E3" w14:textId="77777777" w:rsidR="00062317" w:rsidRPr="00062317" w:rsidRDefault="00062317" w:rsidP="00062317">
            <w:pPr>
              <w:tabs>
                <w:tab w:val="left" w:pos="2245"/>
              </w:tabs>
              <w:rPr>
                <w:rFonts w:ascii="Arial" w:hAnsi="Arial" w:cs="Arial"/>
                <w:szCs w:val="36"/>
              </w:rPr>
            </w:pPr>
            <w:r w:rsidRPr="00062317">
              <w:rPr>
                <w:rFonts w:eastAsia="Calibri"/>
                <w:b/>
                <w:bCs/>
                <w:color w:val="000000" w:themeColor="text1"/>
                <w:kern w:val="24"/>
              </w:rPr>
              <w:lastRenderedPageBreak/>
              <w:t xml:space="preserve">3. </w:t>
            </w:r>
            <w:r w:rsidR="0063644A">
              <w:rPr>
                <w:rFonts w:eastAsia="Calibri"/>
                <w:b/>
                <w:bCs/>
                <w:color w:val="000000" w:themeColor="text1"/>
                <w:kern w:val="24"/>
              </w:rPr>
              <w:t xml:space="preserve">Management of </w:t>
            </w:r>
            <w:r w:rsidRPr="00062317">
              <w:rPr>
                <w:rFonts w:eastAsia="Calibri"/>
                <w:b/>
                <w:bCs/>
                <w:color w:val="000000" w:themeColor="text1"/>
                <w:kern w:val="24"/>
              </w:rPr>
              <w:t>Portfolio considerations</w:t>
            </w:r>
          </w:p>
        </w:tc>
      </w:tr>
      <w:tr w:rsidR="00062317" w:rsidRPr="00062317" w14:paraId="40C982E7" w14:textId="77777777" w:rsidTr="0063644A">
        <w:trPr>
          <w:trHeight w:val="1193"/>
        </w:trPr>
        <w:tc>
          <w:tcPr>
            <w:tcW w:w="1833" w:type="dxa"/>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vAlign w:val="center"/>
            <w:hideMark/>
          </w:tcPr>
          <w:p w14:paraId="40C982E5" w14:textId="77777777" w:rsidR="00BF4742" w:rsidRDefault="008E6341">
            <w:pPr>
              <w:tabs>
                <w:tab w:val="left" w:pos="2245"/>
              </w:tabs>
              <w:jc w:val="right"/>
              <w:rPr>
                <w:rFonts w:ascii="Arial" w:hAnsi="Arial" w:cs="Arial"/>
                <w:b/>
                <w:szCs w:val="36"/>
              </w:rPr>
            </w:pPr>
            <w:r w:rsidRPr="008E6341">
              <w:rPr>
                <w:rFonts w:eastAsia="Calibri"/>
                <w:b/>
                <w:color w:val="000000" w:themeColor="text1"/>
                <w:kern w:val="24"/>
              </w:rPr>
              <w:t>Portfolio</w:t>
            </w:r>
          </w:p>
        </w:tc>
        <w:tc>
          <w:tcPr>
            <w:tcW w:w="11427" w:type="dxa"/>
            <w:gridSpan w:val="2"/>
            <w:tcBorders>
              <w:top w:val="single" w:sz="8" w:space="0" w:color="00A9CE"/>
              <w:left w:val="single" w:sz="8" w:space="0" w:color="00A9CE"/>
              <w:bottom w:val="single" w:sz="8" w:space="0" w:color="00A9CE"/>
              <w:right w:val="single" w:sz="8" w:space="0" w:color="00A9CE"/>
            </w:tcBorders>
            <w:shd w:val="clear" w:color="auto" w:fill="auto"/>
            <w:tcMar>
              <w:top w:w="0" w:type="dxa"/>
              <w:left w:w="28" w:type="dxa"/>
              <w:bottom w:w="0" w:type="dxa"/>
              <w:right w:w="28" w:type="dxa"/>
            </w:tcMar>
            <w:hideMark/>
          </w:tcPr>
          <w:p w14:paraId="40C982E6" w14:textId="77777777" w:rsidR="00BF4742" w:rsidRDefault="00062317">
            <w:pPr>
              <w:ind w:left="152"/>
              <w:rPr>
                <w:rFonts w:ascii="Arial" w:hAnsi="Arial" w:cs="Arial"/>
                <w:szCs w:val="36"/>
              </w:rPr>
            </w:pPr>
            <w:r w:rsidRPr="00062317">
              <w:rPr>
                <w:color w:val="000000"/>
                <w:kern w:val="24"/>
              </w:rPr>
              <w:t xml:space="preserve">Pragmatic considerations must always be applied to criteria based evaluation. These include strategic considerations </w:t>
            </w:r>
            <w:r w:rsidR="00394849">
              <w:rPr>
                <w:color w:val="000000"/>
                <w:kern w:val="24"/>
              </w:rPr>
              <w:t>such as for a</w:t>
            </w:r>
            <w:r w:rsidRPr="00062317">
              <w:rPr>
                <w:color w:val="000000"/>
                <w:kern w:val="24"/>
              </w:rPr>
              <w:t xml:space="preserve"> desirable shift in </w:t>
            </w:r>
            <w:r w:rsidRPr="00062317">
              <w:rPr>
                <w:b/>
                <w:bCs/>
                <w:color w:val="000000"/>
                <w:kern w:val="24"/>
              </w:rPr>
              <w:t>portfolio balance</w:t>
            </w:r>
            <w:r w:rsidRPr="00062317">
              <w:rPr>
                <w:color w:val="000000"/>
                <w:kern w:val="24"/>
              </w:rPr>
              <w:t xml:space="preserve">, </w:t>
            </w:r>
            <w:r w:rsidRPr="00062317">
              <w:rPr>
                <w:b/>
                <w:bCs/>
                <w:color w:val="000000"/>
                <w:kern w:val="24"/>
              </w:rPr>
              <w:t xml:space="preserve">management response </w:t>
            </w:r>
            <w:r w:rsidRPr="00062317">
              <w:rPr>
                <w:color w:val="000000"/>
                <w:kern w:val="24"/>
              </w:rPr>
              <w:t xml:space="preserve"> i</w:t>
            </w:r>
            <w:r w:rsidR="00394849">
              <w:rPr>
                <w:color w:val="000000"/>
                <w:kern w:val="24"/>
              </w:rPr>
              <w:t>.</w:t>
            </w:r>
            <w:r w:rsidRPr="00062317">
              <w:rPr>
                <w:color w:val="000000"/>
                <w:kern w:val="24"/>
              </w:rPr>
              <w:t>e</w:t>
            </w:r>
            <w:r w:rsidR="00394849">
              <w:rPr>
                <w:color w:val="000000"/>
                <w:kern w:val="24"/>
              </w:rPr>
              <w:t>.</w:t>
            </w:r>
            <w:r w:rsidRPr="00062317">
              <w:rPr>
                <w:color w:val="000000"/>
                <w:kern w:val="24"/>
              </w:rPr>
              <w:t xml:space="preserve"> </w:t>
            </w:r>
            <w:r w:rsidR="00394849">
              <w:rPr>
                <w:color w:val="000000"/>
                <w:kern w:val="24"/>
              </w:rPr>
              <w:t xml:space="preserve">the </w:t>
            </w:r>
            <w:r w:rsidRPr="00062317">
              <w:rPr>
                <w:color w:val="000000"/>
                <w:kern w:val="24"/>
              </w:rPr>
              <w:t xml:space="preserve">ability of management to undertake a </w:t>
            </w:r>
            <w:r w:rsidR="00394849">
              <w:rPr>
                <w:color w:val="000000"/>
                <w:kern w:val="24"/>
              </w:rPr>
              <w:t>‘</w:t>
            </w:r>
            <w:r w:rsidRPr="00062317">
              <w:rPr>
                <w:color w:val="000000"/>
                <w:kern w:val="24"/>
              </w:rPr>
              <w:t>turnaround</w:t>
            </w:r>
            <w:r w:rsidR="00394849">
              <w:rPr>
                <w:color w:val="000000"/>
                <w:kern w:val="24"/>
              </w:rPr>
              <w:t>’; for</w:t>
            </w:r>
            <w:r w:rsidRPr="00062317">
              <w:rPr>
                <w:color w:val="000000"/>
                <w:kern w:val="24"/>
              </w:rPr>
              <w:t xml:space="preserve"> </w:t>
            </w:r>
            <w:r w:rsidRPr="00062317">
              <w:rPr>
                <w:b/>
                <w:bCs/>
                <w:color w:val="000000"/>
                <w:kern w:val="24"/>
              </w:rPr>
              <w:t xml:space="preserve">capability retention / option value </w:t>
            </w:r>
            <w:r w:rsidRPr="00062317">
              <w:rPr>
                <w:color w:val="000000"/>
                <w:kern w:val="24"/>
              </w:rPr>
              <w:t xml:space="preserve">– understanding that capability is difficult to restart once exited, adverse impact on </w:t>
            </w:r>
            <w:r w:rsidRPr="00062317">
              <w:rPr>
                <w:b/>
                <w:bCs/>
                <w:color w:val="000000"/>
                <w:kern w:val="24"/>
              </w:rPr>
              <w:t xml:space="preserve">external revenue </w:t>
            </w:r>
            <w:r w:rsidRPr="00062317">
              <w:rPr>
                <w:color w:val="000000"/>
                <w:kern w:val="24"/>
              </w:rPr>
              <w:t>with spill</w:t>
            </w:r>
            <w:r w:rsidR="00394849">
              <w:rPr>
                <w:color w:val="000000"/>
                <w:kern w:val="24"/>
              </w:rPr>
              <w:t>-</w:t>
            </w:r>
            <w:r w:rsidRPr="00062317">
              <w:rPr>
                <w:color w:val="000000"/>
                <w:kern w:val="24"/>
              </w:rPr>
              <w:t>over effects</w:t>
            </w:r>
            <w:r w:rsidR="00394849">
              <w:rPr>
                <w:color w:val="000000"/>
                <w:kern w:val="24"/>
              </w:rPr>
              <w:t>; and/or</w:t>
            </w:r>
            <w:r w:rsidRPr="00062317">
              <w:rPr>
                <w:color w:val="000000"/>
                <w:kern w:val="24"/>
              </w:rPr>
              <w:t xml:space="preserve"> </w:t>
            </w:r>
            <w:r w:rsidRPr="00062317">
              <w:rPr>
                <w:b/>
                <w:bCs/>
                <w:color w:val="000000"/>
                <w:kern w:val="24"/>
              </w:rPr>
              <w:t>other constraints</w:t>
            </w:r>
            <w:r w:rsidRPr="00062317">
              <w:rPr>
                <w:color w:val="000000"/>
                <w:kern w:val="24"/>
              </w:rPr>
              <w:t xml:space="preserve"> – e</w:t>
            </w:r>
            <w:r w:rsidR="00394849">
              <w:rPr>
                <w:color w:val="000000"/>
                <w:kern w:val="24"/>
              </w:rPr>
              <w:t>.</w:t>
            </w:r>
            <w:r w:rsidRPr="00062317">
              <w:rPr>
                <w:color w:val="000000"/>
                <w:kern w:val="24"/>
              </w:rPr>
              <w:t>g</w:t>
            </w:r>
            <w:r w:rsidR="00394849">
              <w:rPr>
                <w:color w:val="000000"/>
                <w:kern w:val="24"/>
              </w:rPr>
              <w:t xml:space="preserve">. </w:t>
            </w:r>
            <w:r w:rsidRPr="00062317">
              <w:rPr>
                <w:color w:val="000000"/>
                <w:kern w:val="24"/>
              </w:rPr>
              <w:t>political, cultural, reputational, contractual, financial</w:t>
            </w:r>
            <w:r w:rsidR="00394849">
              <w:rPr>
                <w:color w:val="000000"/>
                <w:kern w:val="24"/>
              </w:rPr>
              <w:t>.</w:t>
            </w:r>
          </w:p>
        </w:tc>
      </w:tr>
    </w:tbl>
    <w:p w14:paraId="40C982E8" w14:textId="77777777" w:rsidR="00AC5FD3" w:rsidRPr="00AC5FD3" w:rsidRDefault="00AC5FD3" w:rsidP="00AC5FD3">
      <w:pPr>
        <w:rPr>
          <w:rFonts w:eastAsiaTheme="minorHAnsi"/>
          <w:lang w:eastAsia="en-US"/>
        </w:rPr>
      </w:pPr>
    </w:p>
    <w:p w14:paraId="40C982E9" w14:textId="77777777" w:rsidR="00AC5FD3" w:rsidRPr="00AC5FD3" w:rsidRDefault="00AC5FD3" w:rsidP="00AC5FD3">
      <w:pPr>
        <w:rPr>
          <w:rFonts w:eastAsiaTheme="minorHAnsi"/>
          <w:lang w:eastAsia="en-US"/>
        </w:rPr>
        <w:sectPr w:rsidR="00AC5FD3" w:rsidRPr="00AC5FD3" w:rsidSect="00062317">
          <w:pgSz w:w="16838" w:h="11906" w:orient="landscape"/>
          <w:pgMar w:top="1440" w:right="1440" w:bottom="1440" w:left="1440" w:header="708" w:footer="708" w:gutter="0"/>
          <w:cols w:space="708"/>
          <w:docGrid w:linePitch="360"/>
        </w:sectPr>
      </w:pPr>
    </w:p>
    <w:p w14:paraId="40C982EA" w14:textId="77777777" w:rsidR="00FF3DAE" w:rsidRPr="00FF3DAE" w:rsidRDefault="009D237B" w:rsidP="004C1BB5">
      <w:pPr>
        <w:pStyle w:val="Heading1"/>
        <w:rPr>
          <w:rFonts w:eastAsiaTheme="minorHAnsi"/>
        </w:rPr>
      </w:pPr>
      <w:bookmarkStart w:id="20" w:name="_Ref405289701"/>
      <w:bookmarkStart w:id="21" w:name="_Toc405494777"/>
      <w:bookmarkStart w:id="22" w:name="_Ref405288702"/>
      <w:bookmarkStart w:id="23" w:name="_Ref405282944"/>
      <w:r>
        <w:rPr>
          <w:rFonts w:eastAsiaTheme="minorHAnsi"/>
        </w:rPr>
        <w:lastRenderedPageBreak/>
        <w:t xml:space="preserve">Attachment 3: </w:t>
      </w:r>
      <w:r w:rsidR="00FF3DAE" w:rsidRPr="00FF3DAE">
        <w:rPr>
          <w:rFonts w:eastAsiaTheme="minorHAnsi"/>
        </w:rPr>
        <w:t>National Discipline Specialisation – Design for Future State</w:t>
      </w:r>
      <w:bookmarkEnd w:id="20"/>
      <w:bookmarkEnd w:id="21"/>
    </w:p>
    <w:p w14:paraId="40C982EB" w14:textId="77777777" w:rsidR="008E448E" w:rsidRDefault="00FF3DAE" w:rsidP="00FF3DAE">
      <w:pPr>
        <w:rPr>
          <w:rFonts w:eastAsiaTheme="minorHAnsi"/>
          <w:lang w:eastAsia="en-US"/>
        </w:rPr>
      </w:pPr>
      <w:r w:rsidRPr="00FF3DAE">
        <w:rPr>
          <w:rFonts w:eastAsiaTheme="minorHAnsi"/>
          <w:lang w:eastAsia="en-US"/>
        </w:rPr>
        <w:t>Each country shows a level of specialisation as to the discipline profile of the science it conducts.  Analysis of the scientific publication output from Australia can also be used to provide a perspective on the scientific specialisation of Australia</w:t>
      </w:r>
      <w:r w:rsidR="00E016EB">
        <w:rPr>
          <w:rStyle w:val="EndnoteReference"/>
          <w:rFonts w:eastAsiaTheme="minorHAnsi"/>
          <w:lang w:eastAsia="en-US"/>
        </w:rPr>
        <w:endnoteReference w:id="14"/>
      </w:r>
      <w:r w:rsidR="00E016EB">
        <w:rPr>
          <w:rFonts w:eastAsiaTheme="minorHAnsi"/>
          <w:lang w:eastAsia="en-US"/>
        </w:rPr>
        <w:t xml:space="preserve">. </w:t>
      </w:r>
      <w:r w:rsidRPr="00FF3DAE">
        <w:rPr>
          <w:rFonts w:eastAsiaTheme="minorHAnsi"/>
          <w:lang w:eastAsia="en-US"/>
        </w:rPr>
        <w:t>This analysis is conducted by comparing the proportion of Australia’s overall publications in each science field, relative to the proportion of publications in that field within total global publications.  This can be supplemented by the average citation rate of the</w:t>
      </w:r>
      <w:r w:rsidR="008E448E">
        <w:rPr>
          <w:rFonts w:eastAsiaTheme="minorHAnsi"/>
          <w:lang w:eastAsia="en-US"/>
        </w:rPr>
        <w:t xml:space="preserve"> </w:t>
      </w:r>
      <w:r w:rsidR="008E448E" w:rsidRPr="00FF3DAE">
        <w:rPr>
          <w:rFonts w:eastAsiaTheme="minorHAnsi"/>
          <w:lang w:eastAsia="en-US"/>
        </w:rPr>
        <w:t xml:space="preserve">papers in the science field. </w:t>
      </w:r>
    </w:p>
    <w:p w14:paraId="40C982EC" w14:textId="77777777" w:rsidR="00FF3DAE" w:rsidRDefault="00BF4742" w:rsidP="008E448E">
      <w:pPr>
        <w:ind w:left="-284"/>
        <w:rPr>
          <w:rFonts w:eastAsiaTheme="minorHAnsi"/>
          <w:lang w:eastAsia="en-US"/>
        </w:rPr>
      </w:pPr>
      <w:r>
        <w:rPr>
          <w:rFonts w:eastAsiaTheme="minorHAnsi"/>
          <w:noProof/>
        </w:rPr>
        <w:drawing>
          <wp:inline distT="0" distB="0" distL="0" distR="0" wp14:anchorId="40C983B9" wp14:editId="2EC77CAF">
            <wp:extent cx="5731510" cy="3638977"/>
            <wp:effectExtent l="0" t="0" r="0" b="0"/>
            <wp:docPr id="6" name="Picture 3" descr="The diagram shows percentages with the discipline name the proportion that those scientific publications are of total Australian publications.  A red bar indicates that the output in that discipline is below global average of total publications; conversely a green bar indicates that Australia specialises in that disciple as compared to global average for that discipline.  No bar indicates that for that discipline, Australian output is at the same proportion of national output as is that discipline in World average publication output." title="Diagram of Australian discipline speci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5731510" cy="3638977"/>
                    </a:xfrm>
                    <a:prstGeom prst="rect">
                      <a:avLst/>
                    </a:prstGeom>
                    <a:noFill/>
                    <a:ln w="9525">
                      <a:noFill/>
                      <a:miter lim="800000"/>
                      <a:headEnd/>
                      <a:tailEnd/>
                    </a:ln>
                  </pic:spPr>
                </pic:pic>
              </a:graphicData>
            </a:graphic>
          </wp:inline>
        </w:drawing>
      </w:r>
      <w:r w:rsidR="00FF3DAE" w:rsidRPr="00FF3DAE">
        <w:rPr>
          <w:rFonts w:eastAsiaTheme="minorHAnsi"/>
          <w:lang w:eastAsia="en-US"/>
        </w:rPr>
        <w:t xml:space="preserve"> </w:t>
      </w:r>
    </w:p>
    <w:p w14:paraId="40C982ED" w14:textId="77777777" w:rsidR="00483EDF" w:rsidRDefault="008E448E" w:rsidP="008E448E">
      <w:pPr>
        <w:pStyle w:val="Caption"/>
      </w:pPr>
      <w:r>
        <w:t xml:space="preserve">Figure </w:t>
      </w:r>
      <w:r w:rsidR="00342311">
        <w:fldChar w:fldCharType="begin"/>
      </w:r>
      <w:r>
        <w:instrText xml:space="preserve"> SEQ Figure \* ARABIC </w:instrText>
      </w:r>
      <w:r w:rsidR="00342311">
        <w:fldChar w:fldCharType="separate"/>
      </w:r>
      <w:r w:rsidR="000E7578">
        <w:rPr>
          <w:noProof/>
        </w:rPr>
        <w:t>2</w:t>
      </w:r>
      <w:r w:rsidR="00342311">
        <w:fldChar w:fldCharType="end"/>
      </w:r>
      <w:r>
        <w:t>: Australian Discipline specialisation relative to world</w:t>
      </w:r>
      <w:r w:rsidR="00BE7DF3">
        <w:t xml:space="preserve"> average output</w:t>
      </w:r>
      <w:r>
        <w:t xml:space="preserve">.  </w:t>
      </w:r>
    </w:p>
    <w:p w14:paraId="40C982EE" w14:textId="77777777" w:rsidR="008E448E" w:rsidRDefault="008E448E" w:rsidP="008E448E">
      <w:pPr>
        <w:pStyle w:val="Caption"/>
        <w:rPr>
          <w:rFonts w:eastAsiaTheme="minorHAnsi"/>
          <w:szCs w:val="22"/>
          <w:lang w:eastAsia="en-US"/>
        </w:rPr>
      </w:pPr>
      <w:r>
        <w:t xml:space="preserve">The %s alongside the discipline name shows the proportion that </w:t>
      </w:r>
      <w:r w:rsidR="00483EDF">
        <w:t xml:space="preserve">those </w:t>
      </w:r>
      <w:r>
        <w:t>scientific publications are of total Australian publications.  A red bar indicates that the output in th</w:t>
      </w:r>
      <w:r w:rsidR="00483EDF">
        <w:t xml:space="preserve">at discipline is below global average of total publications; conversely a green bar indicates that Australia specialises in that disciple as compared to global average for that discipline.  No bar indicates that for that discipline, Australian output is at the same proportion of national output as is that discipline in </w:t>
      </w:r>
      <w:r w:rsidR="00BE7DF3">
        <w:t xml:space="preserve">World average </w:t>
      </w:r>
      <w:r w:rsidR="00483EDF">
        <w:t>publication output.</w:t>
      </w:r>
    </w:p>
    <w:p w14:paraId="40C982EF" w14:textId="77777777" w:rsidR="00FF3DAE" w:rsidRPr="00FF3DAE" w:rsidRDefault="00342311" w:rsidP="00FF3DAE">
      <w:pPr>
        <w:rPr>
          <w:rFonts w:eastAsiaTheme="minorHAnsi"/>
          <w:lang w:eastAsia="en-US"/>
        </w:rPr>
      </w:pPr>
      <w:r>
        <w:rPr>
          <w:rFonts w:eastAsiaTheme="minorHAnsi"/>
          <w:highlight w:val="yellow"/>
          <w:lang w:eastAsia="en-US"/>
        </w:rPr>
        <w:fldChar w:fldCharType="begin"/>
      </w:r>
      <w:r w:rsidR="009D237B">
        <w:rPr>
          <w:rFonts w:eastAsiaTheme="minorHAnsi"/>
          <w:lang w:eastAsia="en-US"/>
        </w:rPr>
        <w:instrText xml:space="preserve"> REF _Ref405289626 \h </w:instrText>
      </w:r>
      <w:r w:rsidR="000E7578">
        <w:rPr>
          <w:rFonts w:eastAsiaTheme="minorHAnsi"/>
          <w:highlight w:val="yellow"/>
          <w:lang w:eastAsia="en-US"/>
        </w:rPr>
        <w:fldChar w:fldCharType="separate"/>
      </w:r>
      <w:r w:rsidR="000E7578">
        <w:rPr>
          <w:rFonts w:eastAsiaTheme="minorHAnsi"/>
          <w:b/>
          <w:bCs/>
          <w:highlight w:val="yellow"/>
          <w:lang w:val="en-US" w:eastAsia="en-US"/>
        </w:rPr>
        <w:t>Error! Reference source not found.</w:t>
      </w:r>
      <w:r>
        <w:rPr>
          <w:rFonts w:eastAsiaTheme="minorHAnsi"/>
          <w:highlight w:val="yellow"/>
          <w:lang w:eastAsia="en-US"/>
        </w:rPr>
        <w:fldChar w:fldCharType="end"/>
      </w:r>
      <w:r w:rsidR="009D237B">
        <w:rPr>
          <w:rFonts w:eastAsiaTheme="minorHAnsi"/>
          <w:lang w:eastAsia="en-US"/>
        </w:rPr>
        <w:t xml:space="preserve"> </w:t>
      </w:r>
      <w:proofErr w:type="gramStart"/>
      <w:r w:rsidR="00FF3DAE" w:rsidRPr="00FF3DAE">
        <w:rPr>
          <w:rFonts w:eastAsiaTheme="minorHAnsi"/>
          <w:lang w:eastAsia="en-US"/>
        </w:rPr>
        <w:t>shows</w:t>
      </w:r>
      <w:proofErr w:type="gramEnd"/>
      <w:r w:rsidR="00FF3DAE" w:rsidRPr="00FF3DAE">
        <w:rPr>
          <w:rFonts w:eastAsiaTheme="minorHAnsi"/>
          <w:lang w:eastAsia="en-US"/>
        </w:rPr>
        <w:t xml:space="preserve"> that Australian science has a specialisation in the fields of geosciences and environment/ecology, plant and animal sciences – which may reflect the long standing importance of the mining and resources and agricultural sectors of the Australian economy.   Australian publications in these fields are more than 5% of global publications - </w:t>
      </w:r>
      <w:r w:rsidR="008E448E">
        <w:rPr>
          <w:rFonts w:eastAsiaTheme="minorHAnsi"/>
          <w:lang w:eastAsia="en-US"/>
        </w:rPr>
        <w:t xml:space="preserve">see </w:t>
      </w:r>
      <w:r>
        <w:rPr>
          <w:rFonts w:eastAsiaTheme="minorHAnsi"/>
          <w:highlight w:val="yellow"/>
          <w:lang w:eastAsia="en-US"/>
        </w:rPr>
        <w:fldChar w:fldCharType="begin"/>
      </w:r>
      <w:r w:rsidR="009D237B">
        <w:rPr>
          <w:rFonts w:eastAsiaTheme="minorHAnsi"/>
          <w:lang w:eastAsia="en-US"/>
        </w:rPr>
        <w:instrText xml:space="preserve"> REF _Ref405289638 \h </w:instrText>
      </w:r>
      <w:r>
        <w:rPr>
          <w:rFonts w:eastAsiaTheme="minorHAnsi"/>
          <w:highlight w:val="yellow"/>
          <w:lang w:eastAsia="en-US"/>
        </w:rPr>
      </w:r>
      <w:r>
        <w:rPr>
          <w:rFonts w:eastAsiaTheme="minorHAnsi"/>
          <w:highlight w:val="yellow"/>
          <w:lang w:eastAsia="en-US"/>
        </w:rPr>
        <w:fldChar w:fldCharType="separate"/>
      </w:r>
      <w:r w:rsidR="000E7578">
        <w:t xml:space="preserve">Table </w:t>
      </w:r>
      <w:r w:rsidR="000E7578">
        <w:rPr>
          <w:noProof/>
        </w:rPr>
        <w:t>1</w:t>
      </w:r>
      <w:r>
        <w:rPr>
          <w:rFonts w:eastAsiaTheme="minorHAnsi"/>
          <w:highlight w:val="yellow"/>
          <w:lang w:eastAsia="en-US"/>
        </w:rPr>
        <w:fldChar w:fldCharType="end"/>
      </w:r>
      <w:r w:rsidR="008E448E">
        <w:rPr>
          <w:rFonts w:eastAsiaTheme="minorHAnsi"/>
          <w:lang w:eastAsia="en-US"/>
        </w:rPr>
        <w:t xml:space="preserve"> overleaf</w:t>
      </w:r>
      <w:r w:rsidR="00FF3DAE" w:rsidRPr="00FF3DAE">
        <w:rPr>
          <w:rFonts w:eastAsiaTheme="minorHAnsi"/>
          <w:lang w:eastAsia="en-US"/>
        </w:rPr>
        <w:t xml:space="preserve"> - whereas, Australia produces 3.5% of global publications overall.   The scientific output from Canada shows a similar specialisation towards these fields of science. </w:t>
      </w:r>
      <w:r w:rsidR="008E448E">
        <w:rPr>
          <w:rFonts w:eastAsiaTheme="minorHAnsi"/>
          <w:lang w:eastAsia="en-US"/>
        </w:rPr>
        <w:t xml:space="preserve"> </w:t>
      </w:r>
      <w:r w:rsidR="00FF3DAE" w:rsidRPr="00FF3DAE">
        <w:rPr>
          <w:rFonts w:eastAsiaTheme="minorHAnsi"/>
          <w:lang w:eastAsia="en-US"/>
        </w:rPr>
        <w:t>Australian research in these fields also performs well; each of the three fields is at least 30% more cited than the global average and at least 9% more cited than the EU-15 average.</w:t>
      </w:r>
    </w:p>
    <w:p w14:paraId="40C982F0" w14:textId="77777777" w:rsidR="00FF3DAE" w:rsidRPr="00FF3DAE" w:rsidRDefault="00FF3DAE" w:rsidP="00FF3DAE">
      <w:pPr>
        <w:rPr>
          <w:rFonts w:eastAsiaTheme="minorHAnsi"/>
          <w:lang w:eastAsia="en-US"/>
        </w:rPr>
      </w:pPr>
      <w:r w:rsidRPr="00FF3DAE">
        <w:rPr>
          <w:rFonts w:eastAsiaTheme="minorHAnsi"/>
          <w:lang w:eastAsia="en-US"/>
        </w:rPr>
        <w:lastRenderedPageBreak/>
        <w:t xml:space="preserve">Conversely – and this is potentially the more important issue – the Australian specialisation reflects a proportional underweight in the fields of chemistry, physics, mathematics, engineering and materials science.  In these fields, Australian output is between 1.7 – 2.6% of global publications.   </w:t>
      </w:r>
      <w:r w:rsidR="008E448E">
        <w:rPr>
          <w:rFonts w:eastAsiaTheme="minorHAnsi"/>
          <w:lang w:eastAsia="en-US"/>
        </w:rPr>
        <w:t>Fortunately, a</w:t>
      </w:r>
      <w:r w:rsidRPr="00FF3DAE">
        <w:rPr>
          <w:rFonts w:eastAsiaTheme="minorHAnsi"/>
          <w:lang w:eastAsia="en-US"/>
        </w:rPr>
        <w:t>lthough Australia does not specialise in these fields, the citation rates for Australian publications in these fields are between 20 – 35% above global averages and between 6 – 23% above the EU-15 averages.</w:t>
      </w:r>
    </w:p>
    <w:p w14:paraId="40C982F1" w14:textId="77777777" w:rsidR="00FF3DAE" w:rsidRPr="00FF3DAE" w:rsidRDefault="00FF3DAE" w:rsidP="00FF3DAE">
      <w:pPr>
        <w:rPr>
          <w:rFonts w:eastAsiaTheme="minorHAnsi"/>
          <w:lang w:eastAsia="en-US"/>
        </w:rPr>
      </w:pPr>
      <w:r w:rsidRPr="00FF3DAE">
        <w:rPr>
          <w:rFonts w:eastAsiaTheme="minorHAnsi"/>
          <w:lang w:eastAsia="en-US"/>
        </w:rPr>
        <w:t xml:space="preserve">This specialisation data profile raises a question concerning the scientific field requirements of the future Australian economy.  Although it </w:t>
      </w:r>
      <w:r w:rsidR="00BE7DF3">
        <w:rPr>
          <w:rFonts w:eastAsiaTheme="minorHAnsi"/>
          <w:lang w:eastAsia="en-US"/>
        </w:rPr>
        <w:t>may</w:t>
      </w:r>
      <w:r w:rsidRPr="00FF3DAE">
        <w:rPr>
          <w:rFonts w:eastAsiaTheme="minorHAnsi"/>
          <w:lang w:eastAsia="en-US"/>
        </w:rPr>
        <w:t xml:space="preserve"> not </w:t>
      </w:r>
      <w:r w:rsidR="00BE7DF3">
        <w:rPr>
          <w:rFonts w:eastAsiaTheme="minorHAnsi"/>
          <w:lang w:eastAsia="en-US"/>
        </w:rPr>
        <w:t xml:space="preserve">be </w:t>
      </w:r>
      <w:r w:rsidRPr="00FF3DAE">
        <w:rPr>
          <w:rFonts w:eastAsiaTheme="minorHAnsi"/>
          <w:lang w:eastAsia="en-US"/>
        </w:rPr>
        <w:t xml:space="preserve">contemplated that the Australia will become a global </w:t>
      </w:r>
      <w:r w:rsidR="008E6341" w:rsidRPr="008E6341">
        <w:rPr>
          <w:rFonts w:eastAsiaTheme="minorHAnsi"/>
          <w:i/>
          <w:lang w:eastAsia="en-US"/>
        </w:rPr>
        <w:t>leader</w:t>
      </w:r>
      <w:r w:rsidRPr="00FF3DAE">
        <w:rPr>
          <w:rFonts w:eastAsiaTheme="minorHAnsi"/>
          <w:lang w:eastAsia="en-US"/>
        </w:rPr>
        <w:t xml:space="preserve"> in sectors that require intensive physical sciences – as currently are some Asian countries</w:t>
      </w:r>
      <w:r w:rsidR="00BE7DF3">
        <w:rPr>
          <w:rFonts w:eastAsiaTheme="minorHAnsi"/>
          <w:lang w:eastAsia="en-US"/>
        </w:rPr>
        <w:t xml:space="preserve"> </w:t>
      </w:r>
      <w:r w:rsidRPr="00FF3DAE">
        <w:rPr>
          <w:rFonts w:eastAsiaTheme="minorHAnsi"/>
          <w:lang w:eastAsia="en-US"/>
        </w:rPr>
        <w:t>which</w:t>
      </w:r>
      <w:r w:rsidR="00BE7DF3">
        <w:rPr>
          <w:rFonts w:eastAsiaTheme="minorHAnsi"/>
          <w:lang w:eastAsia="en-US"/>
        </w:rPr>
        <w:t>,</w:t>
      </w:r>
      <w:r w:rsidRPr="00FF3DAE">
        <w:rPr>
          <w:rFonts w:eastAsiaTheme="minorHAnsi"/>
          <w:lang w:eastAsia="en-US"/>
        </w:rPr>
        <w:t xml:space="preserve"> accordingly</w:t>
      </w:r>
      <w:r w:rsidR="00BE7DF3">
        <w:rPr>
          <w:rFonts w:eastAsiaTheme="minorHAnsi"/>
          <w:lang w:eastAsia="en-US"/>
        </w:rPr>
        <w:t>,</w:t>
      </w:r>
      <w:r w:rsidRPr="00FF3DAE">
        <w:rPr>
          <w:rFonts w:eastAsiaTheme="minorHAnsi"/>
          <w:lang w:eastAsia="en-US"/>
        </w:rPr>
        <w:t xml:space="preserve"> have scientific specialisation in these fields – nevertheless, these fields of sciences are fundamental to many sectors of the economy including the manufacturing and service industries.  Development or expansion of capability in discipline fields requires multiple decades of investment.  For these reasons, a question worth contemplating is whether  an intervention is required in the specialisation of the Australian R&amp;D system, to address the current underweight of the physical sciences (chemistry, physics, mathematics, material sciences) in order to support delivery of commercial outcomes in the Australian economy of the 2020- 2050 period.  </w:t>
      </w:r>
    </w:p>
    <w:p w14:paraId="40C982F2" w14:textId="77777777" w:rsidR="00FF3DAE" w:rsidRPr="00FF3DAE" w:rsidRDefault="00FF3DAE" w:rsidP="00FF3DAE">
      <w:pPr>
        <w:pStyle w:val="Caption"/>
        <w:rPr>
          <w:rFonts w:eastAsiaTheme="minorHAnsi"/>
          <w:szCs w:val="22"/>
          <w:lang w:eastAsia="en-US"/>
        </w:rPr>
      </w:pPr>
      <w:bookmarkStart w:id="24" w:name="_Ref405289638"/>
      <w:r>
        <w:t xml:space="preserve">Table </w:t>
      </w:r>
      <w:fldSimple w:instr=" SEQ Table \* ARABIC ">
        <w:r w:rsidR="000E7578">
          <w:rPr>
            <w:noProof/>
          </w:rPr>
          <w:t>1</w:t>
        </w:r>
      </w:fldSimple>
      <w:bookmarkEnd w:id="24"/>
      <w:r>
        <w:t>: World, Australian and CSIRO Discipline specialisation</w:t>
      </w:r>
    </w:p>
    <w:tbl>
      <w:tblPr>
        <w:tblStyle w:val="TableGrid2"/>
        <w:tblW w:w="0" w:type="auto"/>
        <w:tblLook w:val="04A0" w:firstRow="1" w:lastRow="0" w:firstColumn="1" w:lastColumn="0" w:noHBand="0" w:noVBand="1"/>
      </w:tblPr>
      <w:tblGrid>
        <w:gridCol w:w="3539"/>
        <w:gridCol w:w="1843"/>
        <w:gridCol w:w="1843"/>
        <w:gridCol w:w="1791"/>
      </w:tblGrid>
      <w:tr w:rsidR="00FF3DAE" w:rsidRPr="00FF3DAE" w14:paraId="40C982F7" w14:textId="77777777" w:rsidTr="0063644A">
        <w:tc>
          <w:tcPr>
            <w:tcW w:w="3539" w:type="dxa"/>
            <w:tcBorders>
              <w:bottom w:val="single" w:sz="4" w:space="0" w:color="auto"/>
            </w:tcBorders>
            <w:shd w:val="clear" w:color="auto" w:fill="B8CCE4" w:themeFill="accent1" w:themeFillTint="66"/>
          </w:tcPr>
          <w:p w14:paraId="40C982F3" w14:textId="77777777" w:rsidR="00FF3DAE" w:rsidRPr="00FF3DAE" w:rsidRDefault="00FF3DAE" w:rsidP="00FF3DAE">
            <w:pPr>
              <w:rPr>
                <w:sz w:val="20"/>
                <w:szCs w:val="20"/>
              </w:rPr>
            </w:pPr>
          </w:p>
        </w:tc>
        <w:tc>
          <w:tcPr>
            <w:tcW w:w="1843" w:type="dxa"/>
            <w:tcBorders>
              <w:bottom w:val="single" w:sz="4" w:space="0" w:color="auto"/>
            </w:tcBorders>
            <w:shd w:val="clear" w:color="auto" w:fill="B8CCE4" w:themeFill="accent1" w:themeFillTint="66"/>
          </w:tcPr>
          <w:p w14:paraId="40C982F4" w14:textId="77777777" w:rsidR="00FF3DAE" w:rsidRPr="0063644A" w:rsidRDefault="008E6341" w:rsidP="00FF3DAE">
            <w:pPr>
              <w:rPr>
                <w:b/>
                <w:sz w:val="20"/>
                <w:szCs w:val="20"/>
              </w:rPr>
            </w:pPr>
            <w:r w:rsidRPr="008E6341">
              <w:rPr>
                <w:b/>
                <w:sz w:val="20"/>
                <w:szCs w:val="20"/>
              </w:rPr>
              <w:t>Research Field as % of  WO Publications</w:t>
            </w:r>
          </w:p>
        </w:tc>
        <w:tc>
          <w:tcPr>
            <w:tcW w:w="1843" w:type="dxa"/>
            <w:tcBorders>
              <w:bottom w:val="single" w:sz="4" w:space="0" w:color="auto"/>
            </w:tcBorders>
            <w:shd w:val="clear" w:color="auto" w:fill="B8CCE4" w:themeFill="accent1" w:themeFillTint="66"/>
          </w:tcPr>
          <w:p w14:paraId="40C982F5" w14:textId="77777777" w:rsidR="00FF3DAE" w:rsidRPr="0063644A" w:rsidRDefault="008E6341" w:rsidP="00FF3DAE">
            <w:pPr>
              <w:rPr>
                <w:b/>
                <w:sz w:val="20"/>
                <w:szCs w:val="20"/>
              </w:rPr>
            </w:pPr>
            <w:r w:rsidRPr="008E6341">
              <w:rPr>
                <w:b/>
                <w:sz w:val="20"/>
                <w:szCs w:val="20"/>
              </w:rPr>
              <w:t>Australian output as % of WO Publications in Field</w:t>
            </w:r>
          </w:p>
        </w:tc>
        <w:tc>
          <w:tcPr>
            <w:tcW w:w="1791" w:type="dxa"/>
            <w:tcBorders>
              <w:bottom w:val="single" w:sz="4" w:space="0" w:color="auto"/>
            </w:tcBorders>
            <w:shd w:val="clear" w:color="auto" w:fill="B8CCE4" w:themeFill="accent1" w:themeFillTint="66"/>
          </w:tcPr>
          <w:p w14:paraId="40C982F6" w14:textId="77777777" w:rsidR="00BF4742" w:rsidRDefault="008E6341">
            <w:pPr>
              <w:jc w:val="center"/>
              <w:rPr>
                <w:b/>
                <w:sz w:val="20"/>
                <w:szCs w:val="20"/>
              </w:rPr>
            </w:pPr>
            <w:r w:rsidRPr="008E6341">
              <w:rPr>
                <w:b/>
                <w:sz w:val="20"/>
                <w:szCs w:val="20"/>
              </w:rPr>
              <w:t>CSIRO output as % of AU Publications in Field</w:t>
            </w:r>
          </w:p>
        </w:tc>
      </w:tr>
      <w:tr w:rsidR="00FF3DAE" w:rsidRPr="00FF3DAE" w14:paraId="40C982FC" w14:textId="77777777" w:rsidTr="00EC6A4E">
        <w:tc>
          <w:tcPr>
            <w:tcW w:w="3539" w:type="dxa"/>
            <w:tcBorders>
              <w:bottom w:val="nil"/>
            </w:tcBorders>
          </w:tcPr>
          <w:p w14:paraId="40C982F8" w14:textId="77777777" w:rsidR="00FF3DAE" w:rsidRPr="00FF3DAE" w:rsidRDefault="00FF3DAE" w:rsidP="00FF3DAE">
            <w:pPr>
              <w:rPr>
                <w:rFonts w:cs="Arial"/>
                <w:sz w:val="20"/>
                <w:szCs w:val="20"/>
              </w:rPr>
            </w:pPr>
            <w:r w:rsidRPr="00FF3DAE">
              <w:rPr>
                <w:rFonts w:cs="Arial"/>
                <w:sz w:val="20"/>
                <w:szCs w:val="20"/>
              </w:rPr>
              <w:t>ENVIRONMENT/ECOLOGY</w:t>
            </w:r>
          </w:p>
        </w:tc>
        <w:tc>
          <w:tcPr>
            <w:tcW w:w="1843" w:type="dxa"/>
            <w:tcBorders>
              <w:bottom w:val="nil"/>
            </w:tcBorders>
          </w:tcPr>
          <w:p w14:paraId="40C982F9" w14:textId="77777777" w:rsidR="00FF3DAE" w:rsidRPr="00FF3DAE" w:rsidRDefault="00FF3DAE" w:rsidP="00FF3DAE">
            <w:pPr>
              <w:jc w:val="center"/>
              <w:rPr>
                <w:rFonts w:cs="Arial"/>
                <w:sz w:val="20"/>
                <w:szCs w:val="20"/>
              </w:rPr>
            </w:pPr>
            <w:r w:rsidRPr="00FF3DAE">
              <w:rPr>
                <w:rFonts w:cs="Arial"/>
                <w:sz w:val="20"/>
                <w:szCs w:val="20"/>
              </w:rPr>
              <w:t>2.8%</w:t>
            </w:r>
          </w:p>
        </w:tc>
        <w:tc>
          <w:tcPr>
            <w:tcW w:w="1843" w:type="dxa"/>
            <w:tcBorders>
              <w:bottom w:val="nil"/>
            </w:tcBorders>
          </w:tcPr>
          <w:p w14:paraId="40C982FA" w14:textId="77777777" w:rsidR="00FF3DAE" w:rsidRPr="00FF3DAE" w:rsidRDefault="00FF3DAE" w:rsidP="00FF3DAE">
            <w:pPr>
              <w:jc w:val="center"/>
              <w:rPr>
                <w:rFonts w:cs="Arial"/>
                <w:sz w:val="20"/>
                <w:szCs w:val="20"/>
              </w:rPr>
            </w:pPr>
            <w:r w:rsidRPr="00FF3DAE">
              <w:rPr>
                <w:rFonts w:cs="Arial"/>
                <w:sz w:val="20"/>
                <w:szCs w:val="20"/>
              </w:rPr>
              <w:t>3.5%</w:t>
            </w:r>
          </w:p>
        </w:tc>
        <w:tc>
          <w:tcPr>
            <w:tcW w:w="1791" w:type="dxa"/>
            <w:tcBorders>
              <w:bottom w:val="nil"/>
            </w:tcBorders>
          </w:tcPr>
          <w:p w14:paraId="40C982FB" w14:textId="77777777" w:rsidR="00FF3DAE" w:rsidRPr="00FF3DAE" w:rsidRDefault="00FF3DAE" w:rsidP="00FF3DAE">
            <w:pPr>
              <w:jc w:val="center"/>
              <w:rPr>
                <w:rFonts w:cs="Arial"/>
                <w:sz w:val="20"/>
                <w:szCs w:val="20"/>
              </w:rPr>
            </w:pPr>
            <w:r w:rsidRPr="00FF3DAE">
              <w:rPr>
                <w:rFonts w:cs="Arial"/>
                <w:sz w:val="20"/>
                <w:szCs w:val="20"/>
              </w:rPr>
              <w:t>17.5%</w:t>
            </w:r>
          </w:p>
        </w:tc>
      </w:tr>
      <w:tr w:rsidR="00FF3DAE" w:rsidRPr="00FF3DAE" w14:paraId="40C98301" w14:textId="77777777" w:rsidTr="00EC6A4E">
        <w:tc>
          <w:tcPr>
            <w:tcW w:w="3539" w:type="dxa"/>
            <w:tcBorders>
              <w:top w:val="nil"/>
              <w:bottom w:val="nil"/>
            </w:tcBorders>
          </w:tcPr>
          <w:p w14:paraId="40C982FD" w14:textId="77777777" w:rsidR="00FF3DAE" w:rsidRPr="00FF3DAE" w:rsidRDefault="00FF3DAE" w:rsidP="00FF3DAE">
            <w:pPr>
              <w:rPr>
                <w:rFonts w:cs="Arial"/>
                <w:sz w:val="20"/>
                <w:szCs w:val="20"/>
              </w:rPr>
            </w:pPr>
            <w:r w:rsidRPr="00FF3DAE">
              <w:rPr>
                <w:rFonts w:cs="Arial"/>
                <w:sz w:val="20"/>
                <w:szCs w:val="20"/>
              </w:rPr>
              <w:t>GEOSCIENCES</w:t>
            </w:r>
          </w:p>
        </w:tc>
        <w:tc>
          <w:tcPr>
            <w:tcW w:w="1843" w:type="dxa"/>
            <w:tcBorders>
              <w:top w:val="nil"/>
              <w:bottom w:val="nil"/>
            </w:tcBorders>
          </w:tcPr>
          <w:p w14:paraId="40C982FE" w14:textId="77777777" w:rsidR="00FF3DAE" w:rsidRPr="00FF3DAE" w:rsidRDefault="00FF3DAE" w:rsidP="00FF3DAE">
            <w:pPr>
              <w:jc w:val="center"/>
              <w:rPr>
                <w:rFonts w:cs="Arial"/>
                <w:sz w:val="20"/>
                <w:szCs w:val="20"/>
              </w:rPr>
            </w:pPr>
            <w:r w:rsidRPr="00FF3DAE">
              <w:rPr>
                <w:rFonts w:cs="Arial"/>
                <w:sz w:val="20"/>
                <w:szCs w:val="20"/>
              </w:rPr>
              <w:t>5.0%</w:t>
            </w:r>
          </w:p>
        </w:tc>
        <w:tc>
          <w:tcPr>
            <w:tcW w:w="1843" w:type="dxa"/>
            <w:tcBorders>
              <w:top w:val="nil"/>
              <w:bottom w:val="nil"/>
            </w:tcBorders>
          </w:tcPr>
          <w:p w14:paraId="40C982FF" w14:textId="77777777" w:rsidR="00FF3DAE" w:rsidRPr="00FF3DAE" w:rsidRDefault="00FF3DAE" w:rsidP="00FF3DAE">
            <w:pPr>
              <w:jc w:val="center"/>
              <w:rPr>
                <w:rFonts w:cs="Arial"/>
                <w:sz w:val="20"/>
                <w:szCs w:val="20"/>
              </w:rPr>
            </w:pPr>
            <w:r w:rsidRPr="00FF3DAE">
              <w:rPr>
                <w:rFonts w:cs="Arial"/>
                <w:sz w:val="20"/>
                <w:szCs w:val="20"/>
              </w:rPr>
              <w:t>2.8%</w:t>
            </w:r>
          </w:p>
        </w:tc>
        <w:tc>
          <w:tcPr>
            <w:tcW w:w="1791" w:type="dxa"/>
            <w:tcBorders>
              <w:top w:val="nil"/>
              <w:bottom w:val="nil"/>
            </w:tcBorders>
          </w:tcPr>
          <w:p w14:paraId="40C98300" w14:textId="77777777" w:rsidR="00FF3DAE" w:rsidRPr="00FF3DAE" w:rsidRDefault="00FF3DAE" w:rsidP="00FF3DAE">
            <w:pPr>
              <w:jc w:val="center"/>
              <w:rPr>
                <w:rFonts w:cs="Arial"/>
                <w:sz w:val="20"/>
                <w:szCs w:val="20"/>
              </w:rPr>
            </w:pPr>
            <w:r w:rsidRPr="00FF3DAE">
              <w:rPr>
                <w:rFonts w:cs="Arial"/>
                <w:sz w:val="20"/>
                <w:szCs w:val="20"/>
              </w:rPr>
              <w:t>18.5%</w:t>
            </w:r>
          </w:p>
        </w:tc>
      </w:tr>
      <w:tr w:rsidR="00FF3DAE" w:rsidRPr="00FF3DAE" w14:paraId="40C98306" w14:textId="77777777" w:rsidTr="00EC6A4E">
        <w:tc>
          <w:tcPr>
            <w:tcW w:w="3539" w:type="dxa"/>
            <w:tcBorders>
              <w:top w:val="nil"/>
              <w:bottom w:val="nil"/>
            </w:tcBorders>
          </w:tcPr>
          <w:p w14:paraId="40C98302" w14:textId="77777777" w:rsidR="00FF3DAE" w:rsidRPr="00FF3DAE" w:rsidRDefault="00FF3DAE" w:rsidP="00FF3DAE">
            <w:pPr>
              <w:rPr>
                <w:rFonts w:cs="Arial"/>
                <w:sz w:val="20"/>
                <w:szCs w:val="20"/>
              </w:rPr>
            </w:pPr>
            <w:r w:rsidRPr="00FF3DAE">
              <w:rPr>
                <w:rFonts w:cs="Arial"/>
                <w:sz w:val="20"/>
                <w:szCs w:val="20"/>
              </w:rPr>
              <w:t>AGRICULTURAL SCIENCES</w:t>
            </w:r>
          </w:p>
        </w:tc>
        <w:tc>
          <w:tcPr>
            <w:tcW w:w="1843" w:type="dxa"/>
            <w:tcBorders>
              <w:top w:val="nil"/>
              <w:bottom w:val="nil"/>
            </w:tcBorders>
          </w:tcPr>
          <w:p w14:paraId="40C98303" w14:textId="77777777" w:rsidR="00FF3DAE" w:rsidRPr="00FF3DAE" w:rsidRDefault="00FF3DAE" w:rsidP="00FF3DAE">
            <w:pPr>
              <w:jc w:val="center"/>
              <w:rPr>
                <w:rFonts w:cs="Arial"/>
                <w:sz w:val="20"/>
                <w:szCs w:val="20"/>
              </w:rPr>
            </w:pPr>
            <w:r w:rsidRPr="00FF3DAE">
              <w:rPr>
                <w:rFonts w:cs="Arial"/>
                <w:sz w:val="20"/>
                <w:szCs w:val="20"/>
              </w:rPr>
              <w:t>11.1%</w:t>
            </w:r>
          </w:p>
        </w:tc>
        <w:tc>
          <w:tcPr>
            <w:tcW w:w="1843" w:type="dxa"/>
            <w:tcBorders>
              <w:top w:val="nil"/>
              <w:bottom w:val="nil"/>
            </w:tcBorders>
          </w:tcPr>
          <w:p w14:paraId="40C98304" w14:textId="77777777" w:rsidR="00FF3DAE" w:rsidRPr="00FF3DAE" w:rsidRDefault="00FF3DAE" w:rsidP="00FF3DAE">
            <w:pPr>
              <w:jc w:val="center"/>
              <w:rPr>
                <w:rFonts w:cs="Arial"/>
                <w:sz w:val="20"/>
                <w:szCs w:val="20"/>
              </w:rPr>
            </w:pPr>
            <w:r w:rsidRPr="00FF3DAE">
              <w:rPr>
                <w:rFonts w:cs="Arial"/>
                <w:sz w:val="20"/>
                <w:szCs w:val="20"/>
              </w:rPr>
              <w:t>1.8%</w:t>
            </w:r>
          </w:p>
        </w:tc>
        <w:tc>
          <w:tcPr>
            <w:tcW w:w="1791" w:type="dxa"/>
            <w:tcBorders>
              <w:top w:val="nil"/>
              <w:bottom w:val="nil"/>
            </w:tcBorders>
          </w:tcPr>
          <w:p w14:paraId="40C98305" w14:textId="77777777" w:rsidR="00FF3DAE" w:rsidRPr="00FF3DAE" w:rsidRDefault="00FF3DAE" w:rsidP="00FF3DAE">
            <w:pPr>
              <w:jc w:val="center"/>
              <w:rPr>
                <w:rFonts w:cs="Arial"/>
                <w:sz w:val="20"/>
                <w:szCs w:val="20"/>
              </w:rPr>
            </w:pPr>
            <w:r w:rsidRPr="00FF3DAE">
              <w:rPr>
                <w:rFonts w:cs="Arial"/>
                <w:sz w:val="20"/>
                <w:szCs w:val="20"/>
              </w:rPr>
              <w:t>19.9%</w:t>
            </w:r>
          </w:p>
        </w:tc>
      </w:tr>
      <w:tr w:rsidR="00FF3DAE" w:rsidRPr="00FF3DAE" w14:paraId="40C9830B" w14:textId="77777777" w:rsidTr="00EC6A4E">
        <w:tc>
          <w:tcPr>
            <w:tcW w:w="3539" w:type="dxa"/>
            <w:tcBorders>
              <w:top w:val="nil"/>
              <w:bottom w:val="single" w:sz="4" w:space="0" w:color="auto"/>
            </w:tcBorders>
          </w:tcPr>
          <w:p w14:paraId="40C98307" w14:textId="77777777" w:rsidR="00FF3DAE" w:rsidRPr="00FF3DAE" w:rsidRDefault="00FF3DAE" w:rsidP="00FF3DAE">
            <w:pPr>
              <w:rPr>
                <w:rFonts w:cs="Arial"/>
                <w:sz w:val="20"/>
                <w:szCs w:val="20"/>
              </w:rPr>
            </w:pPr>
            <w:r w:rsidRPr="00FF3DAE">
              <w:rPr>
                <w:rFonts w:cs="Arial"/>
                <w:sz w:val="20"/>
                <w:szCs w:val="20"/>
              </w:rPr>
              <w:t>PLANT &amp; ANIMAL SCIENCE</w:t>
            </w:r>
          </w:p>
        </w:tc>
        <w:tc>
          <w:tcPr>
            <w:tcW w:w="1843" w:type="dxa"/>
            <w:tcBorders>
              <w:top w:val="nil"/>
              <w:bottom w:val="single" w:sz="4" w:space="0" w:color="auto"/>
            </w:tcBorders>
          </w:tcPr>
          <w:p w14:paraId="40C98308" w14:textId="77777777" w:rsidR="00FF3DAE" w:rsidRPr="00FF3DAE" w:rsidRDefault="00FF3DAE" w:rsidP="00FF3DAE">
            <w:pPr>
              <w:jc w:val="center"/>
              <w:rPr>
                <w:rFonts w:cs="Arial"/>
                <w:sz w:val="20"/>
                <w:szCs w:val="20"/>
              </w:rPr>
            </w:pPr>
            <w:r w:rsidRPr="00FF3DAE">
              <w:rPr>
                <w:rFonts w:cs="Arial"/>
                <w:sz w:val="20"/>
                <w:szCs w:val="20"/>
              </w:rPr>
              <w:t>18.3%</w:t>
            </w:r>
          </w:p>
        </w:tc>
        <w:tc>
          <w:tcPr>
            <w:tcW w:w="1843" w:type="dxa"/>
            <w:tcBorders>
              <w:top w:val="nil"/>
              <w:bottom w:val="single" w:sz="4" w:space="0" w:color="auto"/>
            </w:tcBorders>
          </w:tcPr>
          <w:p w14:paraId="40C98309" w14:textId="77777777" w:rsidR="00FF3DAE" w:rsidRPr="00FF3DAE" w:rsidRDefault="00FF3DAE" w:rsidP="00FF3DAE">
            <w:pPr>
              <w:jc w:val="center"/>
              <w:rPr>
                <w:rFonts w:cs="Arial"/>
                <w:sz w:val="20"/>
                <w:szCs w:val="20"/>
              </w:rPr>
            </w:pPr>
            <w:r w:rsidRPr="00FF3DAE">
              <w:rPr>
                <w:rFonts w:cs="Arial"/>
                <w:sz w:val="20"/>
                <w:szCs w:val="20"/>
              </w:rPr>
              <w:t>3.9%</w:t>
            </w:r>
          </w:p>
        </w:tc>
        <w:tc>
          <w:tcPr>
            <w:tcW w:w="1791" w:type="dxa"/>
            <w:tcBorders>
              <w:top w:val="nil"/>
              <w:bottom w:val="single" w:sz="4" w:space="0" w:color="auto"/>
            </w:tcBorders>
          </w:tcPr>
          <w:p w14:paraId="40C9830A" w14:textId="77777777" w:rsidR="00FF3DAE" w:rsidRPr="00FF3DAE" w:rsidRDefault="00FF3DAE" w:rsidP="00FF3DAE">
            <w:pPr>
              <w:jc w:val="center"/>
              <w:rPr>
                <w:rFonts w:cs="Arial"/>
                <w:sz w:val="20"/>
                <w:szCs w:val="20"/>
              </w:rPr>
            </w:pPr>
            <w:r w:rsidRPr="00FF3DAE">
              <w:rPr>
                <w:rFonts w:cs="Arial"/>
                <w:sz w:val="20"/>
                <w:szCs w:val="20"/>
              </w:rPr>
              <w:t>13.6%</w:t>
            </w:r>
          </w:p>
        </w:tc>
      </w:tr>
      <w:tr w:rsidR="00FF3DAE" w:rsidRPr="00FF3DAE" w14:paraId="40C98310" w14:textId="77777777" w:rsidTr="00EC6A4E">
        <w:tc>
          <w:tcPr>
            <w:tcW w:w="3539" w:type="dxa"/>
            <w:tcBorders>
              <w:top w:val="single" w:sz="4" w:space="0" w:color="auto"/>
              <w:bottom w:val="nil"/>
            </w:tcBorders>
          </w:tcPr>
          <w:p w14:paraId="40C9830C" w14:textId="77777777" w:rsidR="00FF3DAE" w:rsidRPr="00FF3DAE" w:rsidRDefault="00FF3DAE" w:rsidP="00FF3DAE">
            <w:pPr>
              <w:rPr>
                <w:rFonts w:cs="Arial"/>
                <w:sz w:val="20"/>
                <w:szCs w:val="20"/>
              </w:rPr>
            </w:pPr>
            <w:r w:rsidRPr="00FF3DAE">
              <w:rPr>
                <w:rFonts w:cs="Arial"/>
                <w:sz w:val="20"/>
                <w:szCs w:val="20"/>
              </w:rPr>
              <w:t>CLINICAL MEDICINE</w:t>
            </w:r>
          </w:p>
        </w:tc>
        <w:tc>
          <w:tcPr>
            <w:tcW w:w="1843" w:type="dxa"/>
            <w:tcBorders>
              <w:top w:val="single" w:sz="4" w:space="0" w:color="auto"/>
              <w:bottom w:val="nil"/>
            </w:tcBorders>
          </w:tcPr>
          <w:p w14:paraId="40C9830D" w14:textId="77777777" w:rsidR="00FF3DAE" w:rsidRPr="00FF3DAE" w:rsidRDefault="00FF3DAE" w:rsidP="00FF3DAE">
            <w:pPr>
              <w:jc w:val="center"/>
              <w:rPr>
                <w:rFonts w:cs="Arial"/>
                <w:sz w:val="20"/>
                <w:szCs w:val="20"/>
              </w:rPr>
            </w:pPr>
            <w:r w:rsidRPr="00FF3DAE">
              <w:rPr>
                <w:rFonts w:cs="Arial"/>
                <w:sz w:val="20"/>
                <w:szCs w:val="20"/>
              </w:rPr>
              <w:t>2.3%</w:t>
            </w:r>
          </w:p>
        </w:tc>
        <w:tc>
          <w:tcPr>
            <w:tcW w:w="1843" w:type="dxa"/>
            <w:tcBorders>
              <w:top w:val="single" w:sz="4" w:space="0" w:color="auto"/>
              <w:bottom w:val="nil"/>
            </w:tcBorders>
          </w:tcPr>
          <w:p w14:paraId="40C9830E" w14:textId="77777777" w:rsidR="00FF3DAE" w:rsidRPr="00FF3DAE" w:rsidRDefault="00FF3DAE" w:rsidP="00FF3DAE">
            <w:pPr>
              <w:jc w:val="center"/>
              <w:rPr>
                <w:rFonts w:cs="Arial"/>
                <w:sz w:val="20"/>
                <w:szCs w:val="20"/>
              </w:rPr>
            </w:pPr>
            <w:r w:rsidRPr="00FF3DAE">
              <w:rPr>
                <w:rFonts w:cs="Arial"/>
                <w:sz w:val="20"/>
                <w:szCs w:val="20"/>
              </w:rPr>
              <w:t>3.2%</w:t>
            </w:r>
          </w:p>
        </w:tc>
        <w:tc>
          <w:tcPr>
            <w:tcW w:w="1791" w:type="dxa"/>
            <w:tcBorders>
              <w:top w:val="single" w:sz="4" w:space="0" w:color="auto"/>
              <w:bottom w:val="nil"/>
            </w:tcBorders>
          </w:tcPr>
          <w:p w14:paraId="40C9830F" w14:textId="77777777" w:rsidR="00FF3DAE" w:rsidRPr="00FF3DAE" w:rsidRDefault="00FF3DAE" w:rsidP="00FF3DAE">
            <w:pPr>
              <w:jc w:val="center"/>
              <w:rPr>
                <w:rFonts w:cs="Arial"/>
                <w:sz w:val="20"/>
                <w:szCs w:val="20"/>
              </w:rPr>
            </w:pPr>
            <w:r w:rsidRPr="00FF3DAE">
              <w:rPr>
                <w:rFonts w:cs="Arial"/>
                <w:sz w:val="20"/>
                <w:szCs w:val="20"/>
              </w:rPr>
              <w:t>0.6%</w:t>
            </w:r>
          </w:p>
        </w:tc>
      </w:tr>
      <w:tr w:rsidR="00FF3DAE" w:rsidRPr="00FF3DAE" w14:paraId="40C98315" w14:textId="77777777" w:rsidTr="00EC6A4E">
        <w:tc>
          <w:tcPr>
            <w:tcW w:w="3539" w:type="dxa"/>
            <w:tcBorders>
              <w:top w:val="nil"/>
              <w:bottom w:val="nil"/>
            </w:tcBorders>
          </w:tcPr>
          <w:p w14:paraId="40C98311" w14:textId="77777777" w:rsidR="00FF3DAE" w:rsidRPr="00FF3DAE" w:rsidRDefault="00FF3DAE" w:rsidP="00FF3DAE">
            <w:pPr>
              <w:rPr>
                <w:rFonts w:cs="Arial"/>
                <w:sz w:val="20"/>
                <w:szCs w:val="20"/>
              </w:rPr>
            </w:pPr>
            <w:r w:rsidRPr="00FF3DAE">
              <w:rPr>
                <w:rFonts w:cs="Arial"/>
                <w:sz w:val="20"/>
                <w:szCs w:val="20"/>
              </w:rPr>
              <w:t xml:space="preserve">NEUROSCIENCE &amp; </w:t>
            </w:r>
            <w:proofErr w:type="spellStart"/>
            <w:r w:rsidRPr="00FF3DAE">
              <w:rPr>
                <w:rFonts w:cs="Arial"/>
                <w:sz w:val="20"/>
                <w:szCs w:val="20"/>
              </w:rPr>
              <w:t>BEHAVIOR</w:t>
            </w:r>
            <w:proofErr w:type="spellEnd"/>
          </w:p>
        </w:tc>
        <w:tc>
          <w:tcPr>
            <w:tcW w:w="1843" w:type="dxa"/>
            <w:tcBorders>
              <w:top w:val="nil"/>
              <w:bottom w:val="nil"/>
            </w:tcBorders>
          </w:tcPr>
          <w:p w14:paraId="40C98312" w14:textId="77777777" w:rsidR="00FF3DAE" w:rsidRPr="00FF3DAE" w:rsidRDefault="00FF3DAE" w:rsidP="00FF3DAE">
            <w:pPr>
              <w:jc w:val="center"/>
              <w:rPr>
                <w:rFonts w:cs="Arial"/>
                <w:sz w:val="20"/>
                <w:szCs w:val="20"/>
              </w:rPr>
            </w:pPr>
            <w:r w:rsidRPr="00FF3DAE">
              <w:rPr>
                <w:rFonts w:cs="Arial"/>
                <w:sz w:val="20"/>
                <w:szCs w:val="20"/>
              </w:rPr>
              <w:t>7.8%</w:t>
            </w:r>
          </w:p>
        </w:tc>
        <w:tc>
          <w:tcPr>
            <w:tcW w:w="1843" w:type="dxa"/>
            <w:tcBorders>
              <w:top w:val="nil"/>
              <w:bottom w:val="nil"/>
            </w:tcBorders>
          </w:tcPr>
          <w:p w14:paraId="40C98313" w14:textId="77777777" w:rsidR="00FF3DAE" w:rsidRPr="00FF3DAE" w:rsidRDefault="00FF3DAE" w:rsidP="00FF3DAE">
            <w:pPr>
              <w:jc w:val="center"/>
              <w:rPr>
                <w:rFonts w:cs="Arial"/>
                <w:sz w:val="20"/>
                <w:szCs w:val="20"/>
              </w:rPr>
            </w:pPr>
            <w:r w:rsidRPr="00FF3DAE">
              <w:rPr>
                <w:rFonts w:cs="Arial"/>
                <w:sz w:val="20"/>
                <w:szCs w:val="20"/>
              </w:rPr>
              <w:t>2.6%</w:t>
            </w:r>
          </w:p>
        </w:tc>
        <w:tc>
          <w:tcPr>
            <w:tcW w:w="1791" w:type="dxa"/>
            <w:tcBorders>
              <w:top w:val="nil"/>
              <w:bottom w:val="nil"/>
            </w:tcBorders>
          </w:tcPr>
          <w:p w14:paraId="40C98314" w14:textId="77777777" w:rsidR="00FF3DAE" w:rsidRPr="00FF3DAE" w:rsidRDefault="00FF3DAE" w:rsidP="00FF3DAE">
            <w:pPr>
              <w:jc w:val="center"/>
              <w:rPr>
                <w:rFonts w:cs="Arial"/>
                <w:sz w:val="20"/>
                <w:szCs w:val="20"/>
              </w:rPr>
            </w:pPr>
            <w:r w:rsidRPr="00FF3DAE">
              <w:rPr>
                <w:rFonts w:cs="Arial"/>
                <w:sz w:val="20"/>
                <w:szCs w:val="20"/>
              </w:rPr>
              <w:t>0.8%</w:t>
            </w:r>
          </w:p>
        </w:tc>
      </w:tr>
      <w:tr w:rsidR="00FF3DAE" w:rsidRPr="00FF3DAE" w14:paraId="40C9831A" w14:textId="77777777" w:rsidTr="00EC6A4E">
        <w:tc>
          <w:tcPr>
            <w:tcW w:w="3539" w:type="dxa"/>
            <w:tcBorders>
              <w:top w:val="nil"/>
              <w:bottom w:val="nil"/>
            </w:tcBorders>
          </w:tcPr>
          <w:p w14:paraId="40C98316" w14:textId="77777777" w:rsidR="00FF3DAE" w:rsidRPr="00FF3DAE" w:rsidRDefault="00FF3DAE" w:rsidP="00FF3DAE">
            <w:pPr>
              <w:rPr>
                <w:rFonts w:cs="Arial"/>
                <w:sz w:val="20"/>
                <w:szCs w:val="20"/>
              </w:rPr>
            </w:pPr>
            <w:r w:rsidRPr="00FF3DAE">
              <w:rPr>
                <w:rFonts w:cs="Arial"/>
                <w:sz w:val="20"/>
                <w:szCs w:val="20"/>
              </w:rPr>
              <w:t>PHARMACOLOGY &amp; TOXICOLOGY</w:t>
            </w:r>
          </w:p>
        </w:tc>
        <w:tc>
          <w:tcPr>
            <w:tcW w:w="1843" w:type="dxa"/>
            <w:tcBorders>
              <w:top w:val="nil"/>
              <w:bottom w:val="nil"/>
            </w:tcBorders>
          </w:tcPr>
          <w:p w14:paraId="40C98317" w14:textId="77777777" w:rsidR="00FF3DAE" w:rsidRPr="00FF3DAE" w:rsidRDefault="00FF3DAE" w:rsidP="00FF3DAE">
            <w:pPr>
              <w:jc w:val="center"/>
              <w:rPr>
                <w:rFonts w:cs="Arial"/>
                <w:sz w:val="20"/>
                <w:szCs w:val="20"/>
              </w:rPr>
            </w:pPr>
            <w:r w:rsidRPr="00FF3DAE">
              <w:rPr>
                <w:rFonts w:cs="Arial"/>
                <w:sz w:val="20"/>
                <w:szCs w:val="20"/>
              </w:rPr>
              <w:t>2.9%</w:t>
            </w:r>
          </w:p>
        </w:tc>
        <w:tc>
          <w:tcPr>
            <w:tcW w:w="1843" w:type="dxa"/>
            <w:tcBorders>
              <w:top w:val="nil"/>
              <w:bottom w:val="nil"/>
            </w:tcBorders>
          </w:tcPr>
          <w:p w14:paraId="40C98318" w14:textId="77777777" w:rsidR="00FF3DAE" w:rsidRPr="00FF3DAE" w:rsidRDefault="00FF3DAE" w:rsidP="00FF3DAE">
            <w:pPr>
              <w:jc w:val="center"/>
              <w:rPr>
                <w:rFonts w:cs="Arial"/>
                <w:sz w:val="20"/>
                <w:szCs w:val="20"/>
              </w:rPr>
            </w:pPr>
            <w:r w:rsidRPr="00FF3DAE">
              <w:rPr>
                <w:rFonts w:cs="Arial"/>
                <w:sz w:val="20"/>
                <w:szCs w:val="20"/>
              </w:rPr>
              <w:t>5.7%</w:t>
            </w:r>
          </w:p>
        </w:tc>
        <w:tc>
          <w:tcPr>
            <w:tcW w:w="1791" w:type="dxa"/>
            <w:tcBorders>
              <w:top w:val="nil"/>
              <w:bottom w:val="nil"/>
            </w:tcBorders>
          </w:tcPr>
          <w:p w14:paraId="40C98319" w14:textId="77777777" w:rsidR="00FF3DAE" w:rsidRPr="00FF3DAE" w:rsidRDefault="00FF3DAE" w:rsidP="00FF3DAE">
            <w:pPr>
              <w:jc w:val="center"/>
              <w:rPr>
                <w:rFonts w:cs="Arial"/>
                <w:sz w:val="20"/>
                <w:szCs w:val="20"/>
              </w:rPr>
            </w:pPr>
            <w:r w:rsidRPr="00FF3DAE">
              <w:rPr>
                <w:rFonts w:cs="Arial"/>
                <w:sz w:val="20"/>
                <w:szCs w:val="20"/>
              </w:rPr>
              <w:t>1.5%</w:t>
            </w:r>
          </w:p>
        </w:tc>
      </w:tr>
      <w:tr w:rsidR="00FF3DAE" w:rsidRPr="00FF3DAE" w14:paraId="40C9831F" w14:textId="77777777" w:rsidTr="00EC6A4E">
        <w:tc>
          <w:tcPr>
            <w:tcW w:w="3539" w:type="dxa"/>
            <w:tcBorders>
              <w:top w:val="nil"/>
              <w:bottom w:val="single" w:sz="4" w:space="0" w:color="auto"/>
            </w:tcBorders>
          </w:tcPr>
          <w:p w14:paraId="40C9831B" w14:textId="77777777" w:rsidR="00FF3DAE" w:rsidRPr="00FF3DAE" w:rsidRDefault="00FF3DAE" w:rsidP="00FF3DAE">
            <w:pPr>
              <w:rPr>
                <w:rFonts w:cs="Arial"/>
                <w:sz w:val="20"/>
                <w:szCs w:val="20"/>
              </w:rPr>
            </w:pPr>
            <w:r w:rsidRPr="00FF3DAE">
              <w:rPr>
                <w:rFonts w:cs="Arial"/>
                <w:sz w:val="20"/>
                <w:szCs w:val="20"/>
              </w:rPr>
              <w:t>PSYCHIATRY/PSYCHOLOGY</w:t>
            </w:r>
          </w:p>
        </w:tc>
        <w:tc>
          <w:tcPr>
            <w:tcW w:w="1843" w:type="dxa"/>
            <w:tcBorders>
              <w:top w:val="nil"/>
              <w:bottom w:val="single" w:sz="4" w:space="0" w:color="auto"/>
            </w:tcBorders>
          </w:tcPr>
          <w:p w14:paraId="40C9831C" w14:textId="77777777" w:rsidR="00FF3DAE" w:rsidRPr="00FF3DAE" w:rsidRDefault="00FF3DAE" w:rsidP="00FF3DAE">
            <w:pPr>
              <w:jc w:val="center"/>
              <w:rPr>
                <w:rFonts w:cs="Arial"/>
                <w:sz w:val="20"/>
                <w:szCs w:val="20"/>
              </w:rPr>
            </w:pPr>
            <w:r w:rsidRPr="00FF3DAE">
              <w:rPr>
                <w:rFonts w:cs="Arial"/>
                <w:sz w:val="20"/>
                <w:szCs w:val="20"/>
              </w:rPr>
              <w:t>2.9%</w:t>
            </w:r>
          </w:p>
        </w:tc>
        <w:tc>
          <w:tcPr>
            <w:tcW w:w="1843" w:type="dxa"/>
            <w:tcBorders>
              <w:top w:val="nil"/>
              <w:bottom w:val="single" w:sz="4" w:space="0" w:color="auto"/>
            </w:tcBorders>
          </w:tcPr>
          <w:p w14:paraId="40C9831D" w14:textId="77777777" w:rsidR="00FF3DAE" w:rsidRPr="00FF3DAE" w:rsidRDefault="00FF3DAE" w:rsidP="00FF3DAE">
            <w:pPr>
              <w:jc w:val="center"/>
              <w:rPr>
                <w:rFonts w:cs="Arial"/>
                <w:sz w:val="20"/>
                <w:szCs w:val="20"/>
              </w:rPr>
            </w:pPr>
            <w:r w:rsidRPr="00FF3DAE">
              <w:rPr>
                <w:rFonts w:cs="Arial"/>
                <w:sz w:val="20"/>
                <w:szCs w:val="20"/>
              </w:rPr>
              <w:t>5.2%</w:t>
            </w:r>
          </w:p>
        </w:tc>
        <w:tc>
          <w:tcPr>
            <w:tcW w:w="1791" w:type="dxa"/>
            <w:tcBorders>
              <w:top w:val="nil"/>
              <w:bottom w:val="single" w:sz="4" w:space="0" w:color="auto"/>
            </w:tcBorders>
          </w:tcPr>
          <w:p w14:paraId="40C9831E" w14:textId="77777777" w:rsidR="00FF3DAE" w:rsidRPr="00FF3DAE" w:rsidRDefault="00FF3DAE" w:rsidP="00FF3DAE">
            <w:pPr>
              <w:jc w:val="center"/>
              <w:rPr>
                <w:rFonts w:cs="Arial"/>
                <w:sz w:val="20"/>
                <w:szCs w:val="20"/>
              </w:rPr>
            </w:pPr>
            <w:r w:rsidRPr="00FF3DAE">
              <w:rPr>
                <w:rFonts w:cs="Arial"/>
                <w:sz w:val="20"/>
                <w:szCs w:val="20"/>
              </w:rPr>
              <w:t>0.4%</w:t>
            </w:r>
          </w:p>
        </w:tc>
      </w:tr>
      <w:tr w:rsidR="00FF3DAE" w:rsidRPr="00FF3DAE" w14:paraId="40C98324" w14:textId="77777777" w:rsidTr="00EC6A4E">
        <w:tc>
          <w:tcPr>
            <w:tcW w:w="3539" w:type="dxa"/>
            <w:tcBorders>
              <w:top w:val="single" w:sz="4" w:space="0" w:color="auto"/>
              <w:bottom w:val="nil"/>
            </w:tcBorders>
          </w:tcPr>
          <w:p w14:paraId="40C98320" w14:textId="77777777" w:rsidR="00FF3DAE" w:rsidRPr="00FF3DAE" w:rsidRDefault="00FF3DAE" w:rsidP="00FF3DAE">
            <w:pPr>
              <w:rPr>
                <w:rFonts w:cs="Arial"/>
                <w:sz w:val="20"/>
                <w:szCs w:val="20"/>
              </w:rPr>
            </w:pPr>
            <w:r w:rsidRPr="00FF3DAE">
              <w:rPr>
                <w:rFonts w:cs="Arial"/>
                <w:sz w:val="20"/>
                <w:szCs w:val="20"/>
              </w:rPr>
              <w:t>BIOLOGY &amp; BIOCHEMISTRY</w:t>
            </w:r>
          </w:p>
        </w:tc>
        <w:tc>
          <w:tcPr>
            <w:tcW w:w="1843" w:type="dxa"/>
            <w:tcBorders>
              <w:top w:val="single" w:sz="4" w:space="0" w:color="auto"/>
              <w:bottom w:val="nil"/>
            </w:tcBorders>
          </w:tcPr>
          <w:p w14:paraId="40C98321" w14:textId="77777777" w:rsidR="00FF3DAE" w:rsidRPr="00FF3DAE" w:rsidRDefault="00FF3DAE" w:rsidP="00FF3DAE">
            <w:pPr>
              <w:jc w:val="center"/>
              <w:rPr>
                <w:rFonts w:cs="Arial"/>
                <w:sz w:val="20"/>
                <w:szCs w:val="20"/>
              </w:rPr>
            </w:pPr>
            <w:r w:rsidRPr="00FF3DAE">
              <w:rPr>
                <w:rFonts w:cs="Arial"/>
                <w:sz w:val="20"/>
                <w:szCs w:val="20"/>
              </w:rPr>
              <w:t>1.7%</w:t>
            </w:r>
          </w:p>
        </w:tc>
        <w:tc>
          <w:tcPr>
            <w:tcW w:w="1843" w:type="dxa"/>
            <w:tcBorders>
              <w:top w:val="single" w:sz="4" w:space="0" w:color="auto"/>
              <w:bottom w:val="nil"/>
            </w:tcBorders>
          </w:tcPr>
          <w:p w14:paraId="40C98322" w14:textId="77777777" w:rsidR="00FF3DAE" w:rsidRPr="00FF3DAE" w:rsidRDefault="00FF3DAE" w:rsidP="00FF3DAE">
            <w:pPr>
              <w:jc w:val="center"/>
              <w:rPr>
                <w:rFonts w:cs="Arial"/>
                <w:sz w:val="20"/>
                <w:szCs w:val="20"/>
              </w:rPr>
            </w:pPr>
            <w:r w:rsidRPr="00FF3DAE">
              <w:rPr>
                <w:rFonts w:cs="Arial"/>
                <w:sz w:val="20"/>
                <w:szCs w:val="20"/>
              </w:rPr>
              <w:t>4.1%</w:t>
            </w:r>
          </w:p>
        </w:tc>
        <w:tc>
          <w:tcPr>
            <w:tcW w:w="1791" w:type="dxa"/>
            <w:tcBorders>
              <w:top w:val="single" w:sz="4" w:space="0" w:color="auto"/>
              <w:bottom w:val="nil"/>
            </w:tcBorders>
          </w:tcPr>
          <w:p w14:paraId="40C98323" w14:textId="77777777" w:rsidR="00FF3DAE" w:rsidRPr="00FF3DAE" w:rsidRDefault="00FF3DAE" w:rsidP="00FF3DAE">
            <w:pPr>
              <w:jc w:val="center"/>
              <w:rPr>
                <w:rFonts w:cs="Arial"/>
                <w:sz w:val="20"/>
                <w:szCs w:val="20"/>
              </w:rPr>
            </w:pPr>
            <w:r w:rsidRPr="00FF3DAE">
              <w:rPr>
                <w:rFonts w:cs="Arial"/>
                <w:sz w:val="20"/>
                <w:szCs w:val="20"/>
              </w:rPr>
              <w:t>4.7%</w:t>
            </w:r>
          </w:p>
        </w:tc>
      </w:tr>
      <w:tr w:rsidR="00FF3DAE" w:rsidRPr="00FF3DAE" w14:paraId="40C98329" w14:textId="77777777" w:rsidTr="00EC6A4E">
        <w:tc>
          <w:tcPr>
            <w:tcW w:w="3539" w:type="dxa"/>
            <w:tcBorders>
              <w:top w:val="nil"/>
              <w:bottom w:val="nil"/>
            </w:tcBorders>
          </w:tcPr>
          <w:p w14:paraId="40C98325" w14:textId="77777777" w:rsidR="00FF3DAE" w:rsidRPr="00FF3DAE" w:rsidRDefault="00FF3DAE" w:rsidP="00FF3DAE">
            <w:pPr>
              <w:rPr>
                <w:rFonts w:cs="Arial"/>
                <w:sz w:val="20"/>
                <w:szCs w:val="20"/>
              </w:rPr>
            </w:pPr>
            <w:r w:rsidRPr="00FF3DAE">
              <w:rPr>
                <w:rFonts w:cs="Arial"/>
                <w:sz w:val="20"/>
                <w:szCs w:val="20"/>
              </w:rPr>
              <w:t>IMMUNOLOGY</w:t>
            </w:r>
          </w:p>
        </w:tc>
        <w:tc>
          <w:tcPr>
            <w:tcW w:w="1843" w:type="dxa"/>
            <w:tcBorders>
              <w:top w:val="nil"/>
              <w:bottom w:val="nil"/>
            </w:tcBorders>
          </w:tcPr>
          <w:p w14:paraId="40C98326" w14:textId="77777777" w:rsidR="00FF3DAE" w:rsidRPr="00FF3DAE" w:rsidRDefault="00FF3DAE" w:rsidP="00FF3DAE">
            <w:pPr>
              <w:jc w:val="center"/>
              <w:rPr>
                <w:rFonts w:cs="Arial"/>
                <w:sz w:val="20"/>
                <w:szCs w:val="20"/>
              </w:rPr>
            </w:pPr>
            <w:r w:rsidRPr="00FF3DAE">
              <w:rPr>
                <w:rFonts w:cs="Arial"/>
                <w:sz w:val="20"/>
                <w:szCs w:val="20"/>
              </w:rPr>
              <w:t>4.9%</w:t>
            </w:r>
          </w:p>
        </w:tc>
        <w:tc>
          <w:tcPr>
            <w:tcW w:w="1843" w:type="dxa"/>
            <w:tcBorders>
              <w:top w:val="nil"/>
              <w:bottom w:val="nil"/>
            </w:tcBorders>
          </w:tcPr>
          <w:p w14:paraId="40C98327" w14:textId="77777777" w:rsidR="00FF3DAE" w:rsidRPr="00FF3DAE" w:rsidRDefault="00FF3DAE" w:rsidP="00FF3DAE">
            <w:pPr>
              <w:jc w:val="center"/>
              <w:rPr>
                <w:rFonts w:cs="Arial"/>
                <w:sz w:val="20"/>
                <w:szCs w:val="20"/>
              </w:rPr>
            </w:pPr>
            <w:r w:rsidRPr="00FF3DAE">
              <w:rPr>
                <w:rFonts w:cs="Arial"/>
                <w:sz w:val="20"/>
                <w:szCs w:val="20"/>
              </w:rPr>
              <w:t>2.3%</w:t>
            </w:r>
          </w:p>
        </w:tc>
        <w:tc>
          <w:tcPr>
            <w:tcW w:w="1791" w:type="dxa"/>
            <w:tcBorders>
              <w:top w:val="nil"/>
              <w:bottom w:val="nil"/>
            </w:tcBorders>
          </w:tcPr>
          <w:p w14:paraId="40C98328" w14:textId="77777777" w:rsidR="00FF3DAE" w:rsidRPr="00FF3DAE" w:rsidRDefault="00FF3DAE" w:rsidP="00FF3DAE">
            <w:pPr>
              <w:jc w:val="center"/>
              <w:rPr>
                <w:rFonts w:cs="Arial"/>
                <w:sz w:val="20"/>
                <w:szCs w:val="20"/>
              </w:rPr>
            </w:pPr>
            <w:r w:rsidRPr="00FF3DAE">
              <w:rPr>
                <w:rFonts w:cs="Arial"/>
                <w:sz w:val="20"/>
                <w:szCs w:val="20"/>
              </w:rPr>
              <w:t>2.1%</w:t>
            </w:r>
          </w:p>
        </w:tc>
      </w:tr>
      <w:tr w:rsidR="00FF3DAE" w:rsidRPr="00FF3DAE" w14:paraId="40C9832E" w14:textId="77777777" w:rsidTr="00EC6A4E">
        <w:tc>
          <w:tcPr>
            <w:tcW w:w="3539" w:type="dxa"/>
            <w:tcBorders>
              <w:top w:val="nil"/>
              <w:bottom w:val="nil"/>
            </w:tcBorders>
          </w:tcPr>
          <w:p w14:paraId="40C9832A" w14:textId="77777777" w:rsidR="00FF3DAE" w:rsidRPr="00FF3DAE" w:rsidRDefault="00FF3DAE" w:rsidP="00FF3DAE">
            <w:pPr>
              <w:rPr>
                <w:rFonts w:cs="Arial"/>
                <w:sz w:val="20"/>
                <w:szCs w:val="20"/>
              </w:rPr>
            </w:pPr>
            <w:r w:rsidRPr="00FF3DAE">
              <w:rPr>
                <w:rFonts w:cs="Arial"/>
                <w:sz w:val="20"/>
                <w:szCs w:val="20"/>
              </w:rPr>
              <w:t>MOLECULAR BIOLOGY &amp; GENETICS</w:t>
            </w:r>
          </w:p>
        </w:tc>
        <w:tc>
          <w:tcPr>
            <w:tcW w:w="1843" w:type="dxa"/>
            <w:tcBorders>
              <w:top w:val="nil"/>
              <w:bottom w:val="nil"/>
            </w:tcBorders>
          </w:tcPr>
          <w:p w14:paraId="40C9832B" w14:textId="77777777" w:rsidR="00FF3DAE" w:rsidRPr="00FF3DAE" w:rsidRDefault="00FF3DAE" w:rsidP="00FF3DAE">
            <w:pPr>
              <w:jc w:val="center"/>
              <w:rPr>
                <w:rFonts w:cs="Arial"/>
                <w:sz w:val="20"/>
                <w:szCs w:val="20"/>
              </w:rPr>
            </w:pPr>
            <w:r w:rsidRPr="00FF3DAE">
              <w:rPr>
                <w:rFonts w:cs="Arial"/>
                <w:sz w:val="20"/>
                <w:szCs w:val="20"/>
              </w:rPr>
              <w:t>2.9%</w:t>
            </w:r>
          </w:p>
        </w:tc>
        <w:tc>
          <w:tcPr>
            <w:tcW w:w="1843" w:type="dxa"/>
            <w:tcBorders>
              <w:top w:val="nil"/>
              <w:bottom w:val="nil"/>
            </w:tcBorders>
          </w:tcPr>
          <w:p w14:paraId="40C9832C" w14:textId="77777777" w:rsidR="00FF3DAE" w:rsidRPr="00FF3DAE" w:rsidRDefault="00FF3DAE" w:rsidP="00FF3DAE">
            <w:pPr>
              <w:jc w:val="center"/>
              <w:rPr>
                <w:rFonts w:cs="Arial"/>
                <w:sz w:val="20"/>
                <w:szCs w:val="20"/>
              </w:rPr>
            </w:pPr>
            <w:r w:rsidRPr="00FF3DAE">
              <w:rPr>
                <w:rFonts w:cs="Arial"/>
                <w:sz w:val="20"/>
                <w:szCs w:val="20"/>
              </w:rPr>
              <w:t>1.9%</w:t>
            </w:r>
          </w:p>
        </w:tc>
        <w:tc>
          <w:tcPr>
            <w:tcW w:w="1791" w:type="dxa"/>
            <w:tcBorders>
              <w:top w:val="nil"/>
              <w:bottom w:val="nil"/>
            </w:tcBorders>
          </w:tcPr>
          <w:p w14:paraId="40C9832D" w14:textId="77777777" w:rsidR="00FF3DAE" w:rsidRPr="00FF3DAE" w:rsidRDefault="00FF3DAE" w:rsidP="00FF3DAE">
            <w:pPr>
              <w:jc w:val="center"/>
              <w:rPr>
                <w:rFonts w:cs="Arial"/>
                <w:sz w:val="20"/>
                <w:szCs w:val="20"/>
              </w:rPr>
            </w:pPr>
            <w:r w:rsidRPr="00FF3DAE">
              <w:rPr>
                <w:rFonts w:cs="Arial"/>
                <w:sz w:val="20"/>
                <w:szCs w:val="20"/>
              </w:rPr>
              <w:t>5.1%</w:t>
            </w:r>
          </w:p>
        </w:tc>
      </w:tr>
      <w:tr w:rsidR="00FF3DAE" w:rsidRPr="00FF3DAE" w14:paraId="40C98333" w14:textId="77777777" w:rsidTr="00EC6A4E">
        <w:tc>
          <w:tcPr>
            <w:tcW w:w="3539" w:type="dxa"/>
            <w:tcBorders>
              <w:top w:val="nil"/>
              <w:bottom w:val="single" w:sz="4" w:space="0" w:color="auto"/>
            </w:tcBorders>
          </w:tcPr>
          <w:p w14:paraId="40C9832F" w14:textId="77777777" w:rsidR="00FF3DAE" w:rsidRPr="00FF3DAE" w:rsidRDefault="00FF3DAE" w:rsidP="00FF3DAE">
            <w:pPr>
              <w:rPr>
                <w:rFonts w:cs="Arial"/>
                <w:sz w:val="20"/>
                <w:szCs w:val="20"/>
              </w:rPr>
            </w:pPr>
            <w:r w:rsidRPr="00FF3DAE">
              <w:rPr>
                <w:rFonts w:cs="Arial"/>
                <w:sz w:val="20"/>
                <w:szCs w:val="20"/>
              </w:rPr>
              <w:t>MICROBIOLOGY</w:t>
            </w:r>
          </w:p>
        </w:tc>
        <w:tc>
          <w:tcPr>
            <w:tcW w:w="1843" w:type="dxa"/>
            <w:tcBorders>
              <w:top w:val="nil"/>
              <w:bottom w:val="single" w:sz="4" w:space="0" w:color="auto"/>
            </w:tcBorders>
          </w:tcPr>
          <w:p w14:paraId="40C98330" w14:textId="77777777" w:rsidR="00FF3DAE" w:rsidRPr="00FF3DAE" w:rsidRDefault="00FF3DAE" w:rsidP="00FF3DAE">
            <w:pPr>
              <w:jc w:val="center"/>
              <w:rPr>
                <w:rFonts w:cs="Arial"/>
                <w:sz w:val="20"/>
                <w:szCs w:val="20"/>
              </w:rPr>
            </w:pPr>
            <w:r w:rsidRPr="00FF3DAE">
              <w:rPr>
                <w:rFonts w:cs="Arial"/>
                <w:sz w:val="20"/>
                <w:szCs w:val="20"/>
              </w:rPr>
              <w:t>1.4%</w:t>
            </w:r>
          </w:p>
        </w:tc>
        <w:tc>
          <w:tcPr>
            <w:tcW w:w="1843" w:type="dxa"/>
            <w:tcBorders>
              <w:top w:val="nil"/>
              <w:bottom w:val="single" w:sz="4" w:space="0" w:color="auto"/>
            </w:tcBorders>
          </w:tcPr>
          <w:p w14:paraId="40C98331" w14:textId="77777777" w:rsidR="00FF3DAE" w:rsidRPr="00FF3DAE" w:rsidRDefault="00FF3DAE" w:rsidP="00FF3DAE">
            <w:pPr>
              <w:jc w:val="center"/>
              <w:rPr>
                <w:rFonts w:cs="Arial"/>
                <w:sz w:val="20"/>
                <w:szCs w:val="20"/>
              </w:rPr>
            </w:pPr>
            <w:r w:rsidRPr="00FF3DAE">
              <w:rPr>
                <w:rFonts w:cs="Arial"/>
                <w:sz w:val="20"/>
                <w:szCs w:val="20"/>
              </w:rPr>
              <w:t>3.2%</w:t>
            </w:r>
          </w:p>
        </w:tc>
        <w:tc>
          <w:tcPr>
            <w:tcW w:w="1791" w:type="dxa"/>
            <w:tcBorders>
              <w:top w:val="nil"/>
              <w:bottom w:val="single" w:sz="4" w:space="0" w:color="auto"/>
            </w:tcBorders>
          </w:tcPr>
          <w:p w14:paraId="40C98332" w14:textId="77777777" w:rsidR="00FF3DAE" w:rsidRPr="00FF3DAE" w:rsidRDefault="00FF3DAE" w:rsidP="00FF3DAE">
            <w:pPr>
              <w:jc w:val="center"/>
              <w:rPr>
                <w:rFonts w:cs="Arial"/>
                <w:sz w:val="20"/>
                <w:szCs w:val="20"/>
              </w:rPr>
            </w:pPr>
            <w:r w:rsidRPr="00FF3DAE">
              <w:rPr>
                <w:rFonts w:cs="Arial"/>
                <w:sz w:val="20"/>
                <w:szCs w:val="20"/>
              </w:rPr>
              <w:t>9.0%</w:t>
            </w:r>
          </w:p>
        </w:tc>
      </w:tr>
      <w:tr w:rsidR="00FF3DAE" w:rsidRPr="00FF3DAE" w14:paraId="40C98338" w14:textId="77777777" w:rsidTr="00EC6A4E">
        <w:tc>
          <w:tcPr>
            <w:tcW w:w="3539" w:type="dxa"/>
            <w:tcBorders>
              <w:top w:val="single" w:sz="4" w:space="0" w:color="auto"/>
              <w:bottom w:val="nil"/>
            </w:tcBorders>
          </w:tcPr>
          <w:p w14:paraId="40C98334" w14:textId="77777777" w:rsidR="00FF3DAE" w:rsidRPr="00FF3DAE" w:rsidRDefault="00FF3DAE" w:rsidP="00FF3DAE">
            <w:pPr>
              <w:rPr>
                <w:rFonts w:cs="Arial"/>
                <w:sz w:val="20"/>
                <w:szCs w:val="20"/>
              </w:rPr>
            </w:pPr>
            <w:r w:rsidRPr="00FF3DAE">
              <w:rPr>
                <w:rFonts w:cs="Arial"/>
                <w:sz w:val="20"/>
                <w:szCs w:val="20"/>
              </w:rPr>
              <w:lastRenderedPageBreak/>
              <w:t>CHEMISTRY</w:t>
            </w:r>
          </w:p>
        </w:tc>
        <w:tc>
          <w:tcPr>
            <w:tcW w:w="1843" w:type="dxa"/>
            <w:tcBorders>
              <w:top w:val="single" w:sz="4" w:space="0" w:color="auto"/>
              <w:bottom w:val="nil"/>
            </w:tcBorders>
          </w:tcPr>
          <w:p w14:paraId="40C98335" w14:textId="77777777" w:rsidR="00FF3DAE" w:rsidRPr="00FF3DAE" w:rsidRDefault="00FF3DAE" w:rsidP="00FF3DAE">
            <w:pPr>
              <w:jc w:val="center"/>
              <w:rPr>
                <w:rFonts w:cs="Arial"/>
                <w:sz w:val="20"/>
                <w:szCs w:val="20"/>
              </w:rPr>
            </w:pPr>
            <w:r w:rsidRPr="00FF3DAE">
              <w:rPr>
                <w:rFonts w:cs="Arial"/>
                <w:sz w:val="20"/>
                <w:szCs w:val="20"/>
              </w:rPr>
              <w:t>3.0%</w:t>
            </w:r>
          </w:p>
        </w:tc>
        <w:tc>
          <w:tcPr>
            <w:tcW w:w="1843" w:type="dxa"/>
            <w:tcBorders>
              <w:top w:val="single" w:sz="4" w:space="0" w:color="auto"/>
              <w:bottom w:val="nil"/>
            </w:tcBorders>
          </w:tcPr>
          <w:p w14:paraId="40C98336" w14:textId="77777777" w:rsidR="00FF3DAE" w:rsidRPr="00FF3DAE" w:rsidRDefault="00FF3DAE" w:rsidP="00FF3DAE">
            <w:pPr>
              <w:jc w:val="center"/>
              <w:rPr>
                <w:rFonts w:cs="Arial"/>
                <w:sz w:val="20"/>
                <w:szCs w:val="20"/>
              </w:rPr>
            </w:pPr>
            <w:r w:rsidRPr="00FF3DAE">
              <w:rPr>
                <w:rFonts w:cs="Arial"/>
                <w:sz w:val="20"/>
                <w:szCs w:val="20"/>
              </w:rPr>
              <w:t>3.4%</w:t>
            </w:r>
          </w:p>
        </w:tc>
        <w:tc>
          <w:tcPr>
            <w:tcW w:w="1791" w:type="dxa"/>
            <w:tcBorders>
              <w:top w:val="single" w:sz="4" w:space="0" w:color="auto"/>
              <w:bottom w:val="nil"/>
            </w:tcBorders>
          </w:tcPr>
          <w:p w14:paraId="40C98337" w14:textId="77777777" w:rsidR="00FF3DAE" w:rsidRPr="00FF3DAE" w:rsidRDefault="00FF3DAE" w:rsidP="00FF3DAE">
            <w:pPr>
              <w:jc w:val="center"/>
              <w:rPr>
                <w:rFonts w:cs="Arial"/>
                <w:sz w:val="20"/>
                <w:szCs w:val="20"/>
              </w:rPr>
            </w:pPr>
            <w:r w:rsidRPr="00FF3DAE">
              <w:rPr>
                <w:rFonts w:cs="Arial"/>
                <w:sz w:val="20"/>
                <w:szCs w:val="20"/>
              </w:rPr>
              <w:t>8.9%</w:t>
            </w:r>
          </w:p>
        </w:tc>
      </w:tr>
      <w:tr w:rsidR="00FF3DAE" w:rsidRPr="00FF3DAE" w14:paraId="40C9833D" w14:textId="77777777" w:rsidTr="00EC6A4E">
        <w:tc>
          <w:tcPr>
            <w:tcW w:w="3539" w:type="dxa"/>
            <w:tcBorders>
              <w:top w:val="nil"/>
              <w:bottom w:val="nil"/>
            </w:tcBorders>
          </w:tcPr>
          <w:p w14:paraId="40C98339" w14:textId="77777777" w:rsidR="00FF3DAE" w:rsidRPr="00FF3DAE" w:rsidRDefault="00FF3DAE" w:rsidP="00FF3DAE">
            <w:pPr>
              <w:rPr>
                <w:rFonts w:cs="Arial"/>
                <w:sz w:val="20"/>
                <w:szCs w:val="20"/>
              </w:rPr>
            </w:pPr>
            <w:r w:rsidRPr="00FF3DAE">
              <w:rPr>
                <w:rFonts w:cs="Arial"/>
                <w:sz w:val="20"/>
                <w:szCs w:val="20"/>
              </w:rPr>
              <w:t>PHYSICS</w:t>
            </w:r>
          </w:p>
        </w:tc>
        <w:tc>
          <w:tcPr>
            <w:tcW w:w="1843" w:type="dxa"/>
            <w:tcBorders>
              <w:top w:val="nil"/>
              <w:bottom w:val="nil"/>
            </w:tcBorders>
          </w:tcPr>
          <w:p w14:paraId="40C9833A" w14:textId="77777777" w:rsidR="00FF3DAE" w:rsidRPr="00FF3DAE" w:rsidRDefault="00FF3DAE" w:rsidP="00FF3DAE">
            <w:pPr>
              <w:jc w:val="center"/>
              <w:rPr>
                <w:rFonts w:cs="Arial"/>
                <w:sz w:val="20"/>
                <w:szCs w:val="20"/>
              </w:rPr>
            </w:pPr>
            <w:r w:rsidRPr="00FF3DAE">
              <w:rPr>
                <w:rFonts w:cs="Arial"/>
                <w:sz w:val="20"/>
                <w:szCs w:val="20"/>
              </w:rPr>
              <w:t>0.2%</w:t>
            </w:r>
          </w:p>
        </w:tc>
        <w:tc>
          <w:tcPr>
            <w:tcW w:w="1843" w:type="dxa"/>
            <w:tcBorders>
              <w:top w:val="nil"/>
              <w:bottom w:val="nil"/>
            </w:tcBorders>
          </w:tcPr>
          <w:p w14:paraId="40C9833B" w14:textId="77777777" w:rsidR="00FF3DAE" w:rsidRPr="00FF3DAE" w:rsidRDefault="00FF3DAE" w:rsidP="00FF3DAE">
            <w:pPr>
              <w:jc w:val="center"/>
              <w:rPr>
                <w:rFonts w:cs="Arial"/>
                <w:sz w:val="20"/>
                <w:szCs w:val="20"/>
              </w:rPr>
            </w:pPr>
            <w:r w:rsidRPr="00FF3DAE">
              <w:rPr>
                <w:rFonts w:cs="Arial"/>
                <w:sz w:val="20"/>
                <w:szCs w:val="20"/>
              </w:rPr>
              <w:t>4.0%</w:t>
            </w:r>
          </w:p>
        </w:tc>
        <w:tc>
          <w:tcPr>
            <w:tcW w:w="1791" w:type="dxa"/>
            <w:tcBorders>
              <w:top w:val="nil"/>
              <w:bottom w:val="nil"/>
            </w:tcBorders>
          </w:tcPr>
          <w:p w14:paraId="40C9833C" w14:textId="77777777" w:rsidR="00FF3DAE" w:rsidRPr="00FF3DAE" w:rsidRDefault="00FF3DAE" w:rsidP="00FF3DAE">
            <w:pPr>
              <w:jc w:val="center"/>
              <w:rPr>
                <w:rFonts w:cs="Arial"/>
                <w:sz w:val="20"/>
                <w:szCs w:val="20"/>
              </w:rPr>
            </w:pPr>
            <w:r w:rsidRPr="00FF3DAE">
              <w:rPr>
                <w:rFonts w:cs="Arial"/>
                <w:sz w:val="20"/>
                <w:szCs w:val="20"/>
              </w:rPr>
              <w:t>5.4%</w:t>
            </w:r>
          </w:p>
        </w:tc>
      </w:tr>
      <w:tr w:rsidR="00FF3DAE" w:rsidRPr="00FF3DAE" w14:paraId="40C98342" w14:textId="77777777" w:rsidTr="00EC6A4E">
        <w:tc>
          <w:tcPr>
            <w:tcW w:w="3539" w:type="dxa"/>
            <w:tcBorders>
              <w:top w:val="nil"/>
              <w:bottom w:val="nil"/>
            </w:tcBorders>
          </w:tcPr>
          <w:p w14:paraId="40C9833E" w14:textId="77777777" w:rsidR="00FF3DAE" w:rsidRPr="00FF3DAE" w:rsidRDefault="00FF3DAE" w:rsidP="00FF3DAE">
            <w:pPr>
              <w:rPr>
                <w:rFonts w:cs="Arial"/>
                <w:sz w:val="20"/>
                <w:szCs w:val="20"/>
              </w:rPr>
            </w:pPr>
            <w:r w:rsidRPr="00FF3DAE">
              <w:rPr>
                <w:rFonts w:cs="Arial"/>
                <w:sz w:val="20"/>
                <w:szCs w:val="20"/>
              </w:rPr>
              <w:t>MATHEMATICS</w:t>
            </w:r>
          </w:p>
        </w:tc>
        <w:tc>
          <w:tcPr>
            <w:tcW w:w="1843" w:type="dxa"/>
            <w:tcBorders>
              <w:top w:val="nil"/>
              <w:bottom w:val="nil"/>
            </w:tcBorders>
          </w:tcPr>
          <w:p w14:paraId="40C9833F" w14:textId="77777777" w:rsidR="00FF3DAE" w:rsidRPr="00FF3DAE" w:rsidRDefault="00FF3DAE" w:rsidP="00FF3DAE">
            <w:pPr>
              <w:jc w:val="center"/>
              <w:rPr>
                <w:rFonts w:cs="Arial"/>
                <w:sz w:val="20"/>
                <w:szCs w:val="20"/>
              </w:rPr>
            </w:pPr>
            <w:r w:rsidRPr="00FF3DAE">
              <w:rPr>
                <w:rFonts w:cs="Arial"/>
                <w:sz w:val="20"/>
                <w:szCs w:val="20"/>
              </w:rPr>
              <w:t>3.5%</w:t>
            </w:r>
          </w:p>
        </w:tc>
        <w:tc>
          <w:tcPr>
            <w:tcW w:w="1843" w:type="dxa"/>
            <w:tcBorders>
              <w:top w:val="nil"/>
              <w:bottom w:val="nil"/>
            </w:tcBorders>
          </w:tcPr>
          <w:p w14:paraId="40C98340" w14:textId="77777777" w:rsidR="00FF3DAE" w:rsidRPr="00FF3DAE" w:rsidRDefault="00FF3DAE" w:rsidP="00FF3DAE">
            <w:pPr>
              <w:jc w:val="center"/>
              <w:rPr>
                <w:rFonts w:cs="Arial"/>
                <w:sz w:val="20"/>
                <w:szCs w:val="20"/>
              </w:rPr>
            </w:pPr>
            <w:r w:rsidRPr="00FF3DAE">
              <w:rPr>
                <w:rFonts w:cs="Arial"/>
                <w:sz w:val="20"/>
                <w:szCs w:val="20"/>
              </w:rPr>
              <w:t>3.8%</w:t>
            </w:r>
          </w:p>
        </w:tc>
        <w:tc>
          <w:tcPr>
            <w:tcW w:w="1791" w:type="dxa"/>
            <w:tcBorders>
              <w:top w:val="nil"/>
              <w:bottom w:val="nil"/>
            </w:tcBorders>
          </w:tcPr>
          <w:p w14:paraId="40C98341" w14:textId="77777777" w:rsidR="00FF3DAE" w:rsidRPr="00FF3DAE" w:rsidRDefault="00FF3DAE" w:rsidP="00FF3DAE">
            <w:pPr>
              <w:jc w:val="center"/>
              <w:rPr>
                <w:rFonts w:cs="Arial"/>
                <w:sz w:val="20"/>
                <w:szCs w:val="20"/>
              </w:rPr>
            </w:pPr>
            <w:r w:rsidRPr="00FF3DAE">
              <w:rPr>
                <w:rFonts w:cs="Arial"/>
                <w:sz w:val="20"/>
                <w:szCs w:val="20"/>
              </w:rPr>
              <w:t>2.0%</w:t>
            </w:r>
          </w:p>
        </w:tc>
      </w:tr>
      <w:tr w:rsidR="00FF3DAE" w:rsidRPr="00FF3DAE" w14:paraId="40C98347" w14:textId="77777777" w:rsidTr="00EC6A4E">
        <w:tc>
          <w:tcPr>
            <w:tcW w:w="3539" w:type="dxa"/>
            <w:tcBorders>
              <w:top w:val="nil"/>
              <w:bottom w:val="nil"/>
            </w:tcBorders>
          </w:tcPr>
          <w:p w14:paraId="40C98343" w14:textId="77777777" w:rsidR="00FF3DAE" w:rsidRPr="00FF3DAE" w:rsidRDefault="00FF3DAE" w:rsidP="00FF3DAE">
            <w:pPr>
              <w:rPr>
                <w:rFonts w:cs="Arial"/>
                <w:sz w:val="20"/>
                <w:szCs w:val="20"/>
              </w:rPr>
            </w:pPr>
            <w:r w:rsidRPr="00FF3DAE">
              <w:rPr>
                <w:rFonts w:cs="Arial"/>
                <w:sz w:val="20"/>
                <w:szCs w:val="20"/>
              </w:rPr>
              <w:t>ENGINEERING</w:t>
            </w:r>
          </w:p>
        </w:tc>
        <w:tc>
          <w:tcPr>
            <w:tcW w:w="1843" w:type="dxa"/>
            <w:tcBorders>
              <w:top w:val="nil"/>
              <w:bottom w:val="nil"/>
            </w:tcBorders>
          </w:tcPr>
          <w:p w14:paraId="40C98344" w14:textId="77777777" w:rsidR="00FF3DAE" w:rsidRPr="00FF3DAE" w:rsidRDefault="00FF3DAE" w:rsidP="00FF3DAE">
            <w:pPr>
              <w:jc w:val="center"/>
              <w:rPr>
                <w:rFonts w:cs="Arial"/>
                <w:sz w:val="20"/>
                <w:szCs w:val="20"/>
              </w:rPr>
            </w:pPr>
            <w:r w:rsidRPr="00FF3DAE">
              <w:rPr>
                <w:rFonts w:cs="Arial"/>
                <w:sz w:val="20"/>
                <w:szCs w:val="20"/>
              </w:rPr>
              <w:t>2.6%</w:t>
            </w:r>
          </w:p>
        </w:tc>
        <w:tc>
          <w:tcPr>
            <w:tcW w:w="1843" w:type="dxa"/>
            <w:tcBorders>
              <w:top w:val="nil"/>
              <w:bottom w:val="nil"/>
            </w:tcBorders>
          </w:tcPr>
          <w:p w14:paraId="40C98345" w14:textId="77777777" w:rsidR="00FF3DAE" w:rsidRPr="00FF3DAE" w:rsidRDefault="00FF3DAE" w:rsidP="00FF3DAE">
            <w:pPr>
              <w:jc w:val="center"/>
              <w:rPr>
                <w:rFonts w:cs="Arial"/>
                <w:sz w:val="20"/>
                <w:szCs w:val="20"/>
              </w:rPr>
            </w:pPr>
            <w:r w:rsidRPr="00FF3DAE">
              <w:rPr>
                <w:rFonts w:cs="Arial"/>
                <w:sz w:val="20"/>
                <w:szCs w:val="20"/>
              </w:rPr>
              <w:t>2.4%</w:t>
            </w:r>
          </w:p>
        </w:tc>
        <w:tc>
          <w:tcPr>
            <w:tcW w:w="1791" w:type="dxa"/>
            <w:tcBorders>
              <w:top w:val="nil"/>
              <w:bottom w:val="nil"/>
            </w:tcBorders>
          </w:tcPr>
          <w:p w14:paraId="40C98346" w14:textId="77777777" w:rsidR="00FF3DAE" w:rsidRPr="00FF3DAE" w:rsidRDefault="00FF3DAE" w:rsidP="00FF3DAE">
            <w:pPr>
              <w:jc w:val="center"/>
              <w:rPr>
                <w:rFonts w:cs="Arial"/>
                <w:sz w:val="20"/>
                <w:szCs w:val="20"/>
              </w:rPr>
            </w:pPr>
            <w:r w:rsidRPr="00FF3DAE">
              <w:rPr>
                <w:rFonts w:cs="Arial"/>
                <w:sz w:val="20"/>
                <w:szCs w:val="20"/>
              </w:rPr>
              <w:t>6.2%</w:t>
            </w:r>
          </w:p>
        </w:tc>
      </w:tr>
      <w:tr w:rsidR="00FF3DAE" w:rsidRPr="00FF3DAE" w14:paraId="40C9834C" w14:textId="77777777" w:rsidTr="00EC6A4E">
        <w:tc>
          <w:tcPr>
            <w:tcW w:w="3539" w:type="dxa"/>
            <w:tcBorders>
              <w:top w:val="nil"/>
              <w:bottom w:val="nil"/>
            </w:tcBorders>
          </w:tcPr>
          <w:p w14:paraId="40C98348" w14:textId="77777777" w:rsidR="00FF3DAE" w:rsidRPr="00FF3DAE" w:rsidRDefault="00FF3DAE" w:rsidP="00FF3DAE">
            <w:pPr>
              <w:rPr>
                <w:rFonts w:cs="Arial"/>
                <w:sz w:val="20"/>
                <w:szCs w:val="20"/>
              </w:rPr>
            </w:pPr>
            <w:r w:rsidRPr="00FF3DAE">
              <w:rPr>
                <w:rFonts w:cs="Arial"/>
                <w:sz w:val="20"/>
                <w:szCs w:val="20"/>
              </w:rPr>
              <w:t>SPACE SCIENCE</w:t>
            </w:r>
          </w:p>
        </w:tc>
        <w:tc>
          <w:tcPr>
            <w:tcW w:w="1843" w:type="dxa"/>
            <w:tcBorders>
              <w:top w:val="nil"/>
              <w:bottom w:val="nil"/>
            </w:tcBorders>
          </w:tcPr>
          <w:p w14:paraId="40C98349" w14:textId="77777777" w:rsidR="00FF3DAE" w:rsidRPr="00FF3DAE" w:rsidRDefault="00FF3DAE" w:rsidP="00FF3DAE">
            <w:pPr>
              <w:jc w:val="center"/>
              <w:rPr>
                <w:rFonts w:cs="Arial"/>
                <w:sz w:val="20"/>
                <w:szCs w:val="20"/>
              </w:rPr>
            </w:pPr>
            <w:r w:rsidRPr="00FF3DAE">
              <w:rPr>
                <w:rFonts w:cs="Arial"/>
                <w:sz w:val="20"/>
                <w:szCs w:val="20"/>
              </w:rPr>
              <w:t>8.4%</w:t>
            </w:r>
          </w:p>
        </w:tc>
        <w:tc>
          <w:tcPr>
            <w:tcW w:w="1843" w:type="dxa"/>
            <w:tcBorders>
              <w:top w:val="nil"/>
              <w:bottom w:val="nil"/>
            </w:tcBorders>
          </w:tcPr>
          <w:p w14:paraId="40C9834A" w14:textId="77777777" w:rsidR="00FF3DAE" w:rsidRPr="00FF3DAE" w:rsidRDefault="00FF3DAE" w:rsidP="00FF3DAE">
            <w:pPr>
              <w:jc w:val="center"/>
              <w:rPr>
                <w:rFonts w:cs="Arial"/>
                <w:sz w:val="20"/>
                <w:szCs w:val="20"/>
              </w:rPr>
            </w:pPr>
            <w:r w:rsidRPr="00FF3DAE">
              <w:rPr>
                <w:rFonts w:cs="Arial"/>
                <w:sz w:val="20"/>
                <w:szCs w:val="20"/>
              </w:rPr>
              <w:t>2.0%</w:t>
            </w:r>
          </w:p>
        </w:tc>
        <w:tc>
          <w:tcPr>
            <w:tcW w:w="1791" w:type="dxa"/>
            <w:tcBorders>
              <w:top w:val="nil"/>
              <w:bottom w:val="nil"/>
            </w:tcBorders>
          </w:tcPr>
          <w:p w14:paraId="40C9834B" w14:textId="77777777" w:rsidR="00FF3DAE" w:rsidRPr="00FF3DAE" w:rsidRDefault="00FF3DAE" w:rsidP="00FF3DAE">
            <w:pPr>
              <w:jc w:val="center"/>
              <w:rPr>
                <w:rFonts w:cs="Arial"/>
                <w:sz w:val="20"/>
                <w:szCs w:val="20"/>
              </w:rPr>
            </w:pPr>
            <w:r w:rsidRPr="00FF3DAE">
              <w:rPr>
                <w:rFonts w:cs="Arial"/>
                <w:sz w:val="20"/>
                <w:szCs w:val="20"/>
              </w:rPr>
              <w:t>19.8%</w:t>
            </w:r>
          </w:p>
        </w:tc>
      </w:tr>
      <w:tr w:rsidR="00FF3DAE" w:rsidRPr="00FF3DAE" w14:paraId="40C98351" w14:textId="77777777" w:rsidTr="00EC6A4E">
        <w:tc>
          <w:tcPr>
            <w:tcW w:w="3539" w:type="dxa"/>
            <w:tcBorders>
              <w:top w:val="nil"/>
              <w:bottom w:val="single" w:sz="4" w:space="0" w:color="auto"/>
            </w:tcBorders>
          </w:tcPr>
          <w:p w14:paraId="40C9834D" w14:textId="77777777" w:rsidR="00FF3DAE" w:rsidRPr="00FF3DAE" w:rsidRDefault="00FF3DAE" w:rsidP="00FF3DAE">
            <w:pPr>
              <w:rPr>
                <w:rFonts w:cs="Arial"/>
                <w:sz w:val="20"/>
                <w:szCs w:val="20"/>
              </w:rPr>
            </w:pPr>
            <w:r w:rsidRPr="00FF3DAE">
              <w:rPr>
                <w:rFonts w:cs="Arial"/>
                <w:sz w:val="20"/>
                <w:szCs w:val="20"/>
              </w:rPr>
              <w:t>COMPUTER SCIENCE</w:t>
            </w:r>
          </w:p>
        </w:tc>
        <w:tc>
          <w:tcPr>
            <w:tcW w:w="1843" w:type="dxa"/>
            <w:tcBorders>
              <w:top w:val="nil"/>
              <w:bottom w:val="single" w:sz="4" w:space="0" w:color="auto"/>
            </w:tcBorders>
          </w:tcPr>
          <w:p w14:paraId="40C9834E" w14:textId="77777777" w:rsidR="00FF3DAE" w:rsidRPr="00FF3DAE" w:rsidRDefault="00FF3DAE" w:rsidP="00FF3DAE">
            <w:pPr>
              <w:jc w:val="center"/>
              <w:rPr>
                <w:rFonts w:cs="Arial"/>
                <w:sz w:val="20"/>
                <w:szCs w:val="20"/>
              </w:rPr>
            </w:pPr>
            <w:r w:rsidRPr="00FF3DAE">
              <w:rPr>
                <w:rFonts w:cs="Arial"/>
                <w:sz w:val="20"/>
                <w:szCs w:val="20"/>
              </w:rPr>
              <w:t>5.0%</w:t>
            </w:r>
          </w:p>
        </w:tc>
        <w:tc>
          <w:tcPr>
            <w:tcW w:w="1843" w:type="dxa"/>
            <w:tcBorders>
              <w:top w:val="nil"/>
              <w:bottom w:val="single" w:sz="4" w:space="0" w:color="auto"/>
            </w:tcBorders>
          </w:tcPr>
          <w:p w14:paraId="40C9834F" w14:textId="77777777" w:rsidR="00FF3DAE" w:rsidRPr="00FF3DAE" w:rsidRDefault="00FF3DAE" w:rsidP="00FF3DAE">
            <w:pPr>
              <w:jc w:val="center"/>
              <w:rPr>
                <w:rFonts w:cs="Arial"/>
                <w:sz w:val="20"/>
                <w:szCs w:val="20"/>
              </w:rPr>
            </w:pPr>
            <w:r w:rsidRPr="00FF3DAE">
              <w:rPr>
                <w:rFonts w:cs="Arial"/>
                <w:sz w:val="20"/>
                <w:szCs w:val="20"/>
              </w:rPr>
              <w:t>5.1%</w:t>
            </w:r>
          </w:p>
        </w:tc>
        <w:tc>
          <w:tcPr>
            <w:tcW w:w="1791" w:type="dxa"/>
            <w:tcBorders>
              <w:top w:val="nil"/>
              <w:bottom w:val="single" w:sz="4" w:space="0" w:color="auto"/>
            </w:tcBorders>
          </w:tcPr>
          <w:p w14:paraId="40C98350" w14:textId="77777777" w:rsidR="00FF3DAE" w:rsidRPr="00FF3DAE" w:rsidRDefault="00FF3DAE" w:rsidP="00FF3DAE">
            <w:pPr>
              <w:jc w:val="center"/>
              <w:rPr>
                <w:rFonts w:cs="Arial"/>
                <w:sz w:val="20"/>
                <w:szCs w:val="20"/>
              </w:rPr>
            </w:pPr>
            <w:r w:rsidRPr="00FF3DAE">
              <w:rPr>
                <w:rFonts w:cs="Arial"/>
                <w:sz w:val="20"/>
                <w:szCs w:val="20"/>
              </w:rPr>
              <w:t>7.7%</w:t>
            </w:r>
          </w:p>
        </w:tc>
      </w:tr>
      <w:tr w:rsidR="00FF3DAE" w:rsidRPr="00FF3DAE" w14:paraId="40C98356" w14:textId="77777777" w:rsidTr="00EC6A4E">
        <w:tc>
          <w:tcPr>
            <w:tcW w:w="3539" w:type="dxa"/>
            <w:tcBorders>
              <w:top w:val="single" w:sz="4" w:space="0" w:color="auto"/>
              <w:bottom w:val="single" w:sz="4" w:space="0" w:color="auto"/>
            </w:tcBorders>
          </w:tcPr>
          <w:p w14:paraId="40C98352" w14:textId="77777777" w:rsidR="00FF3DAE" w:rsidRPr="00FF3DAE" w:rsidRDefault="00FF3DAE" w:rsidP="00FF3DAE">
            <w:pPr>
              <w:rPr>
                <w:rFonts w:cs="Arial"/>
                <w:sz w:val="20"/>
                <w:szCs w:val="20"/>
              </w:rPr>
            </w:pPr>
            <w:r w:rsidRPr="00FF3DAE">
              <w:rPr>
                <w:rFonts w:cs="Arial"/>
                <w:sz w:val="20"/>
                <w:szCs w:val="20"/>
              </w:rPr>
              <w:t>MATERIALS SCIENCE</w:t>
            </w:r>
          </w:p>
        </w:tc>
        <w:tc>
          <w:tcPr>
            <w:tcW w:w="1843" w:type="dxa"/>
            <w:tcBorders>
              <w:top w:val="single" w:sz="4" w:space="0" w:color="auto"/>
              <w:bottom w:val="single" w:sz="4" w:space="0" w:color="auto"/>
            </w:tcBorders>
          </w:tcPr>
          <w:p w14:paraId="40C98353" w14:textId="77777777" w:rsidR="00FF3DAE" w:rsidRPr="00FF3DAE" w:rsidRDefault="00FF3DAE" w:rsidP="00FF3DAE">
            <w:pPr>
              <w:jc w:val="center"/>
              <w:rPr>
                <w:rFonts w:cs="Arial"/>
                <w:sz w:val="20"/>
                <w:szCs w:val="20"/>
              </w:rPr>
            </w:pPr>
            <w:r w:rsidRPr="00FF3DAE">
              <w:rPr>
                <w:rFonts w:cs="Arial"/>
                <w:sz w:val="20"/>
                <w:szCs w:val="20"/>
              </w:rPr>
              <w:t>2.7%</w:t>
            </w:r>
          </w:p>
        </w:tc>
        <w:tc>
          <w:tcPr>
            <w:tcW w:w="1843" w:type="dxa"/>
            <w:tcBorders>
              <w:top w:val="single" w:sz="4" w:space="0" w:color="auto"/>
              <w:bottom w:val="single" w:sz="4" w:space="0" w:color="auto"/>
            </w:tcBorders>
          </w:tcPr>
          <w:p w14:paraId="40C98354" w14:textId="77777777" w:rsidR="00FF3DAE" w:rsidRPr="00FF3DAE" w:rsidRDefault="00FF3DAE" w:rsidP="00FF3DAE">
            <w:pPr>
              <w:jc w:val="center"/>
              <w:rPr>
                <w:rFonts w:cs="Arial"/>
                <w:sz w:val="20"/>
                <w:szCs w:val="20"/>
              </w:rPr>
            </w:pPr>
            <w:r w:rsidRPr="00FF3DAE">
              <w:rPr>
                <w:rFonts w:cs="Arial"/>
                <w:sz w:val="20"/>
                <w:szCs w:val="20"/>
              </w:rPr>
              <w:t>6.0%</w:t>
            </w:r>
          </w:p>
        </w:tc>
        <w:tc>
          <w:tcPr>
            <w:tcW w:w="1791" w:type="dxa"/>
            <w:tcBorders>
              <w:top w:val="single" w:sz="4" w:space="0" w:color="auto"/>
              <w:bottom w:val="single" w:sz="4" w:space="0" w:color="auto"/>
            </w:tcBorders>
          </w:tcPr>
          <w:p w14:paraId="40C98355" w14:textId="77777777" w:rsidR="00FF3DAE" w:rsidRPr="00FF3DAE" w:rsidRDefault="00FF3DAE" w:rsidP="00FF3DAE">
            <w:pPr>
              <w:jc w:val="center"/>
              <w:rPr>
                <w:rFonts w:cs="Arial"/>
                <w:sz w:val="20"/>
                <w:szCs w:val="20"/>
              </w:rPr>
            </w:pPr>
            <w:r w:rsidRPr="00FF3DAE">
              <w:rPr>
                <w:rFonts w:cs="Arial"/>
                <w:sz w:val="20"/>
                <w:szCs w:val="20"/>
              </w:rPr>
              <w:t>11.9%</w:t>
            </w:r>
          </w:p>
        </w:tc>
      </w:tr>
      <w:tr w:rsidR="00FF3DAE" w:rsidRPr="00FF3DAE" w14:paraId="40C9835B" w14:textId="77777777" w:rsidTr="00EC6A4E">
        <w:tc>
          <w:tcPr>
            <w:tcW w:w="3539" w:type="dxa"/>
            <w:tcBorders>
              <w:top w:val="single" w:sz="4" w:space="0" w:color="auto"/>
            </w:tcBorders>
          </w:tcPr>
          <w:p w14:paraId="40C98357" w14:textId="77777777" w:rsidR="00FF3DAE" w:rsidRPr="00FF3DAE" w:rsidRDefault="00FF3DAE" w:rsidP="00FF3DAE">
            <w:pPr>
              <w:rPr>
                <w:rFonts w:cs="Arial"/>
                <w:sz w:val="20"/>
                <w:szCs w:val="20"/>
              </w:rPr>
            </w:pPr>
            <w:r w:rsidRPr="00FF3DAE">
              <w:rPr>
                <w:rFonts w:cs="Arial"/>
                <w:sz w:val="20"/>
                <w:szCs w:val="20"/>
              </w:rPr>
              <w:t>MULTIDISCIPLINARY</w:t>
            </w:r>
          </w:p>
        </w:tc>
        <w:tc>
          <w:tcPr>
            <w:tcW w:w="1843" w:type="dxa"/>
            <w:tcBorders>
              <w:top w:val="single" w:sz="4" w:space="0" w:color="auto"/>
            </w:tcBorders>
          </w:tcPr>
          <w:p w14:paraId="40C98358" w14:textId="77777777" w:rsidR="00FF3DAE" w:rsidRPr="00FF3DAE" w:rsidRDefault="00FF3DAE" w:rsidP="00FF3DAE">
            <w:pPr>
              <w:jc w:val="center"/>
              <w:rPr>
                <w:rFonts w:cs="Arial"/>
                <w:sz w:val="20"/>
                <w:szCs w:val="20"/>
              </w:rPr>
            </w:pPr>
            <w:r w:rsidRPr="00FF3DAE">
              <w:rPr>
                <w:rFonts w:cs="Arial"/>
                <w:sz w:val="20"/>
                <w:szCs w:val="20"/>
              </w:rPr>
              <w:t>1.0%</w:t>
            </w:r>
          </w:p>
        </w:tc>
        <w:tc>
          <w:tcPr>
            <w:tcW w:w="1843" w:type="dxa"/>
            <w:tcBorders>
              <w:top w:val="single" w:sz="4" w:space="0" w:color="auto"/>
            </w:tcBorders>
          </w:tcPr>
          <w:p w14:paraId="40C98359" w14:textId="77777777" w:rsidR="00FF3DAE" w:rsidRPr="00FF3DAE" w:rsidRDefault="00FF3DAE" w:rsidP="00FF3DAE">
            <w:pPr>
              <w:jc w:val="center"/>
              <w:rPr>
                <w:rFonts w:cs="Arial"/>
                <w:sz w:val="20"/>
                <w:szCs w:val="20"/>
              </w:rPr>
            </w:pPr>
            <w:r w:rsidRPr="00FF3DAE">
              <w:rPr>
                <w:rFonts w:cs="Arial"/>
                <w:sz w:val="20"/>
                <w:szCs w:val="20"/>
              </w:rPr>
              <w:t>5.9%</w:t>
            </w:r>
          </w:p>
        </w:tc>
        <w:tc>
          <w:tcPr>
            <w:tcW w:w="1791" w:type="dxa"/>
            <w:tcBorders>
              <w:top w:val="single" w:sz="4" w:space="0" w:color="auto"/>
            </w:tcBorders>
          </w:tcPr>
          <w:p w14:paraId="40C9835A" w14:textId="77777777" w:rsidR="00FF3DAE" w:rsidRPr="00FF3DAE" w:rsidRDefault="00FF3DAE" w:rsidP="00FF3DAE">
            <w:pPr>
              <w:jc w:val="center"/>
              <w:rPr>
                <w:rFonts w:cs="Arial"/>
                <w:sz w:val="20"/>
                <w:szCs w:val="20"/>
              </w:rPr>
            </w:pPr>
            <w:r w:rsidRPr="00FF3DAE">
              <w:rPr>
                <w:rFonts w:cs="Arial"/>
                <w:sz w:val="20"/>
                <w:szCs w:val="20"/>
              </w:rPr>
              <w:t>8.3%</w:t>
            </w:r>
          </w:p>
        </w:tc>
      </w:tr>
      <w:tr w:rsidR="00FF3DAE" w:rsidRPr="00FF3DAE" w14:paraId="40C98360" w14:textId="77777777" w:rsidTr="00EC6A4E">
        <w:tc>
          <w:tcPr>
            <w:tcW w:w="3539" w:type="dxa"/>
          </w:tcPr>
          <w:p w14:paraId="40C9835C" w14:textId="77777777" w:rsidR="00FF3DAE" w:rsidRPr="00FF3DAE" w:rsidRDefault="00FF3DAE" w:rsidP="00FF3DAE">
            <w:pPr>
              <w:rPr>
                <w:sz w:val="20"/>
                <w:szCs w:val="20"/>
              </w:rPr>
            </w:pPr>
            <w:r w:rsidRPr="00FF3DAE">
              <w:rPr>
                <w:sz w:val="20"/>
                <w:szCs w:val="20"/>
              </w:rPr>
              <w:t xml:space="preserve">All Fields </w:t>
            </w:r>
          </w:p>
        </w:tc>
        <w:tc>
          <w:tcPr>
            <w:tcW w:w="1843" w:type="dxa"/>
          </w:tcPr>
          <w:p w14:paraId="40C9835D" w14:textId="77777777" w:rsidR="00FF3DAE" w:rsidRPr="00FF3DAE" w:rsidRDefault="00FF3DAE" w:rsidP="00FF3DAE">
            <w:pPr>
              <w:jc w:val="center"/>
              <w:rPr>
                <w:sz w:val="20"/>
                <w:szCs w:val="20"/>
              </w:rPr>
            </w:pPr>
            <w:r w:rsidRPr="00FF3DAE">
              <w:rPr>
                <w:sz w:val="20"/>
                <w:szCs w:val="20"/>
              </w:rPr>
              <w:t>100.0%</w:t>
            </w:r>
          </w:p>
        </w:tc>
        <w:tc>
          <w:tcPr>
            <w:tcW w:w="1843" w:type="dxa"/>
          </w:tcPr>
          <w:p w14:paraId="40C9835E" w14:textId="77777777" w:rsidR="00FF3DAE" w:rsidRPr="00FF3DAE" w:rsidRDefault="00FF3DAE" w:rsidP="00FF3DAE">
            <w:pPr>
              <w:jc w:val="center"/>
              <w:rPr>
                <w:sz w:val="20"/>
                <w:szCs w:val="20"/>
              </w:rPr>
            </w:pPr>
            <w:r w:rsidRPr="00FF3DAE">
              <w:rPr>
                <w:sz w:val="20"/>
                <w:szCs w:val="20"/>
              </w:rPr>
              <w:t>3.5%</w:t>
            </w:r>
          </w:p>
        </w:tc>
        <w:tc>
          <w:tcPr>
            <w:tcW w:w="1791" w:type="dxa"/>
          </w:tcPr>
          <w:p w14:paraId="40C9835F" w14:textId="77777777" w:rsidR="00FF3DAE" w:rsidRPr="00FF3DAE" w:rsidRDefault="00FF3DAE" w:rsidP="00FF3DAE">
            <w:pPr>
              <w:jc w:val="center"/>
              <w:rPr>
                <w:sz w:val="20"/>
                <w:szCs w:val="20"/>
              </w:rPr>
            </w:pPr>
            <w:r w:rsidRPr="00FF3DAE">
              <w:rPr>
                <w:sz w:val="20"/>
                <w:szCs w:val="20"/>
              </w:rPr>
              <w:t>6.1%</w:t>
            </w:r>
          </w:p>
        </w:tc>
      </w:tr>
    </w:tbl>
    <w:p w14:paraId="40C98361" w14:textId="77777777" w:rsidR="00FF3DAE" w:rsidRDefault="00FF3DAE" w:rsidP="009D237B"/>
    <w:p w14:paraId="40C98362" w14:textId="77777777" w:rsidR="00FF3DAE" w:rsidRPr="00FF3DAE" w:rsidRDefault="00FF3DAE" w:rsidP="00FF3DAE">
      <w:pPr>
        <w:rPr>
          <w:lang w:eastAsia="en-US"/>
        </w:rPr>
        <w:sectPr w:rsidR="00FF3DAE" w:rsidRPr="00FF3DAE" w:rsidSect="0087286A">
          <w:pgSz w:w="11906" w:h="16838"/>
          <w:pgMar w:top="1440" w:right="1440" w:bottom="1440" w:left="1440" w:header="708" w:footer="708" w:gutter="0"/>
          <w:cols w:space="708"/>
          <w:docGrid w:linePitch="360"/>
        </w:sectPr>
      </w:pPr>
    </w:p>
    <w:p w14:paraId="40C98363" w14:textId="77777777" w:rsidR="00E9595D" w:rsidRDefault="009D237B" w:rsidP="0087286A">
      <w:pPr>
        <w:pStyle w:val="Heading1"/>
      </w:pPr>
      <w:bookmarkStart w:id="25" w:name="_Ref405320628"/>
      <w:bookmarkStart w:id="26" w:name="_Toc405494778"/>
      <w:r>
        <w:lastRenderedPageBreak/>
        <w:t>Attachment 4</w:t>
      </w:r>
      <w:r w:rsidR="00E9595D">
        <w:t xml:space="preserve">: CSIRO’s National </w:t>
      </w:r>
      <w:r w:rsidR="00BD1C69">
        <w:t>Research Infrastructure</w:t>
      </w:r>
      <w:r w:rsidR="00E9595D">
        <w:t xml:space="preserve"> role</w:t>
      </w:r>
      <w:bookmarkEnd w:id="22"/>
      <w:bookmarkEnd w:id="25"/>
      <w:bookmarkEnd w:id="26"/>
    </w:p>
    <w:p w14:paraId="40C98364" w14:textId="77777777" w:rsidR="00D65C31" w:rsidRPr="00145927" w:rsidRDefault="00D65C31" w:rsidP="00D65C31">
      <w:pPr>
        <w:autoSpaceDE w:val="0"/>
        <w:autoSpaceDN w:val="0"/>
        <w:spacing w:after="240"/>
      </w:pPr>
      <w:r w:rsidRPr="00145927">
        <w:t xml:space="preserve">CSIRO hosts National Research Infrastructure on behalf of the scientific community to assist with the delivery of research </w:t>
      </w:r>
      <w:r w:rsidRPr="00145927">
        <w:rPr>
          <w:i/>
          <w:iCs/>
        </w:rPr>
        <w:t>in the nation’s interest</w:t>
      </w:r>
      <w:r w:rsidRPr="00145927">
        <w:t xml:space="preserve">. These facilities and collections are not restricted to CSIRO personnel, they are world-class amenities, support significant global science programs and are of high relevance to industry and national economic prosperity. </w:t>
      </w:r>
    </w:p>
    <w:p w14:paraId="40C98365" w14:textId="77777777" w:rsidR="00D65C31" w:rsidRPr="00145927" w:rsidRDefault="00D65C31" w:rsidP="00D65C31">
      <w:pPr>
        <w:autoSpaceDE w:val="0"/>
        <w:autoSpaceDN w:val="0"/>
        <w:spacing w:after="240"/>
      </w:pPr>
      <w:r w:rsidRPr="00145927">
        <w:t>There are two types of National Research Infrastructure:</w:t>
      </w:r>
    </w:p>
    <w:p w14:paraId="40C98366" w14:textId="77777777" w:rsidR="00D65C31" w:rsidRPr="00145927" w:rsidRDefault="00D65C31" w:rsidP="00D65C31">
      <w:pPr>
        <w:pStyle w:val="ListParagraph"/>
        <w:numPr>
          <w:ilvl w:val="0"/>
          <w:numId w:val="19"/>
        </w:numPr>
        <w:spacing w:after="240"/>
        <w:jc w:val="both"/>
      </w:pPr>
      <w:r w:rsidRPr="00145927">
        <w:t>National Facilities</w:t>
      </w:r>
      <w:r>
        <w:t>:</w:t>
      </w:r>
      <w:r w:rsidRPr="00145927">
        <w:t xml:space="preserve"> </w:t>
      </w:r>
      <w:r w:rsidRPr="00823A7E">
        <w:t>CSIRO hosts National Facilities that provide world class research infrastructure relevant to all sectors of economic activity, and are used by the Australian research community and their research partners to investigate is</w:t>
      </w:r>
      <w:r>
        <w:t>sues of national significance.</w:t>
      </w:r>
    </w:p>
    <w:p w14:paraId="40C98367" w14:textId="77777777" w:rsidR="00D65C31" w:rsidRPr="00D65C31" w:rsidRDefault="00D65C31" w:rsidP="00FF3DAE">
      <w:pPr>
        <w:pStyle w:val="ListParagraph"/>
        <w:numPr>
          <w:ilvl w:val="0"/>
          <w:numId w:val="19"/>
        </w:numPr>
        <w:autoSpaceDE w:val="0"/>
        <w:autoSpaceDN w:val="0"/>
        <w:spacing w:after="240"/>
        <w:jc w:val="both"/>
      </w:pPr>
      <w:r w:rsidRPr="00D65C31">
        <w:t>National Collections: CSIRO hosts National Collections that are a knowledge powerhouse for research and development, providing resource and biological information potentially useful to aid research and development in many industries (e.g. agriculture, fisheries, aquaculture, pharmaceutical, food). The National Collections are used by the Australian research community and their research partners and are increasingly accessed by the public. The National Collections are storehouses of information on Australia’s biodiversity and other aspects of the environment. They support a significant part of the country’s taxonomic, genetic, bio-geographical and ecological research and are a vital resource for research and development of Australia’s resources. The Collections cover the curation of each collection and the essential core research to make it “science usable”. The Atlas of Living Australia is the mechanism to make the data available in electronic format to</w:t>
      </w:r>
      <w:r w:rsidR="00E11975">
        <w:t xml:space="preserve"> the wider community.</w:t>
      </w:r>
    </w:p>
    <w:p w14:paraId="40C98368" w14:textId="77777777" w:rsidR="00D65C31" w:rsidRPr="00145927" w:rsidRDefault="00D65C31" w:rsidP="00D65C31">
      <w:pPr>
        <w:autoSpaceDE w:val="0"/>
        <w:autoSpaceDN w:val="0"/>
        <w:spacing w:after="240"/>
      </w:pPr>
      <w:r w:rsidRPr="00145927">
        <w:t>National Facilities are owned and/or operated by CSIRO. These facilities can be accessed by the Australian research community and international users for the purposes of science. Facilities are resourced with CSIRO staff to run and be “science ready” to support the facility’s operations. These facilities include:</w:t>
      </w:r>
    </w:p>
    <w:p w14:paraId="40C98369" w14:textId="77777777" w:rsidR="00D65C31" w:rsidRPr="00145927" w:rsidRDefault="00D65C31" w:rsidP="00D65C31">
      <w:pPr>
        <w:pStyle w:val="ListParagraph"/>
        <w:numPr>
          <w:ilvl w:val="0"/>
          <w:numId w:val="20"/>
        </w:numPr>
        <w:autoSpaceDE w:val="0"/>
        <w:autoSpaceDN w:val="0"/>
        <w:spacing w:after="240"/>
      </w:pPr>
      <w:r w:rsidRPr="00145927">
        <w:t>Australian Animal Health Laboratory (</w:t>
      </w:r>
      <w:proofErr w:type="spellStart"/>
      <w:r w:rsidRPr="00145927">
        <w:t>AAHL</w:t>
      </w:r>
      <w:proofErr w:type="spellEnd"/>
      <w:r w:rsidRPr="00145927">
        <w:t>)</w:t>
      </w:r>
    </w:p>
    <w:p w14:paraId="40C9836A" w14:textId="77777777" w:rsidR="00D65C31" w:rsidRPr="00145927" w:rsidRDefault="00D65C31" w:rsidP="00D65C31">
      <w:pPr>
        <w:pStyle w:val="ListParagraph"/>
        <w:numPr>
          <w:ilvl w:val="0"/>
          <w:numId w:val="20"/>
        </w:numPr>
        <w:autoSpaceDE w:val="0"/>
        <w:autoSpaceDN w:val="0"/>
        <w:spacing w:after="240"/>
      </w:pPr>
      <w:r w:rsidRPr="00145927">
        <w:t>Australia Telescope National Facility (</w:t>
      </w:r>
      <w:proofErr w:type="spellStart"/>
      <w:r w:rsidRPr="00145927">
        <w:t>ATNF</w:t>
      </w:r>
      <w:proofErr w:type="spellEnd"/>
      <w:r w:rsidRPr="00145927">
        <w:t>)</w:t>
      </w:r>
    </w:p>
    <w:p w14:paraId="40C9836B" w14:textId="77777777" w:rsidR="00D65C31" w:rsidRPr="00145927" w:rsidRDefault="00D65C31" w:rsidP="00D65C31">
      <w:pPr>
        <w:pStyle w:val="ListParagraph"/>
        <w:numPr>
          <w:ilvl w:val="0"/>
          <w:numId w:val="20"/>
        </w:numPr>
        <w:autoSpaceDE w:val="0"/>
        <w:autoSpaceDN w:val="0"/>
        <w:spacing w:after="240"/>
      </w:pPr>
      <w:r w:rsidRPr="00145927">
        <w:t>Marine National Facility</w:t>
      </w:r>
    </w:p>
    <w:p w14:paraId="40C9836C" w14:textId="77777777" w:rsidR="00D65C31" w:rsidRPr="00145927" w:rsidRDefault="00D65C31" w:rsidP="00D65C31">
      <w:pPr>
        <w:pStyle w:val="ListParagraph"/>
        <w:numPr>
          <w:ilvl w:val="0"/>
          <w:numId w:val="20"/>
        </w:numPr>
        <w:autoSpaceDE w:val="0"/>
        <w:autoSpaceDN w:val="0"/>
        <w:spacing w:after="240"/>
      </w:pPr>
      <w:proofErr w:type="spellStart"/>
      <w:r w:rsidRPr="00145927">
        <w:t>Pawsey</w:t>
      </w:r>
      <w:proofErr w:type="spellEnd"/>
      <w:r w:rsidRPr="00145927">
        <w:t xml:space="preserve"> Supercomputer Centre.</w:t>
      </w:r>
    </w:p>
    <w:p w14:paraId="40C9836D" w14:textId="77777777" w:rsidR="00D65C31" w:rsidRPr="00145927" w:rsidRDefault="00D65C31" w:rsidP="00D65C31">
      <w:pPr>
        <w:autoSpaceDE w:val="0"/>
        <w:autoSpaceDN w:val="0"/>
        <w:spacing w:after="240"/>
      </w:pPr>
      <w:r w:rsidRPr="00145927">
        <w:t>National collections are those amenities where CSIRO is the custodian of the national collections that are of Australian and international significance. These collections are available for use by the Australian research community and international community and increasingly are also publicly accessible. Each collection is supported with CSIRO staff to curate and maintain the collection. CSIRO will continue to steward collections in a manner which utilises the power of digital and genomics technologies to provide rapid access to comprehensive, reliable and validated data coupled with expert knowledge. These collections include:</w:t>
      </w:r>
    </w:p>
    <w:p w14:paraId="40C9836E" w14:textId="77777777" w:rsidR="00D65C31" w:rsidRPr="00145927" w:rsidRDefault="00D65C31" w:rsidP="00D65C31">
      <w:pPr>
        <w:pStyle w:val="ListParagraph"/>
        <w:numPr>
          <w:ilvl w:val="0"/>
          <w:numId w:val="21"/>
        </w:numPr>
        <w:autoSpaceDE w:val="0"/>
        <w:autoSpaceDN w:val="0"/>
        <w:spacing w:after="240"/>
      </w:pPr>
      <w:r w:rsidRPr="00145927">
        <w:t>Australian National Fish Collection</w:t>
      </w:r>
    </w:p>
    <w:p w14:paraId="40C9836F" w14:textId="77777777" w:rsidR="00D65C31" w:rsidRPr="00145927" w:rsidRDefault="00D65C31" w:rsidP="00D65C31">
      <w:pPr>
        <w:pStyle w:val="ListParagraph"/>
        <w:numPr>
          <w:ilvl w:val="0"/>
          <w:numId w:val="21"/>
        </w:numPr>
        <w:autoSpaceDE w:val="0"/>
        <w:autoSpaceDN w:val="0"/>
        <w:spacing w:after="240"/>
      </w:pPr>
      <w:r w:rsidRPr="00145927">
        <w:lastRenderedPageBreak/>
        <w:t>Australian National Insect Collection</w:t>
      </w:r>
    </w:p>
    <w:p w14:paraId="40C98370" w14:textId="77777777" w:rsidR="00D65C31" w:rsidRPr="00145927" w:rsidRDefault="00D65C31" w:rsidP="00D65C31">
      <w:pPr>
        <w:pStyle w:val="ListParagraph"/>
        <w:numPr>
          <w:ilvl w:val="0"/>
          <w:numId w:val="21"/>
        </w:numPr>
        <w:autoSpaceDE w:val="0"/>
        <w:autoSpaceDN w:val="0"/>
        <w:spacing w:after="240"/>
      </w:pPr>
      <w:r w:rsidRPr="00145927">
        <w:t>Australian National Herbarium</w:t>
      </w:r>
    </w:p>
    <w:p w14:paraId="40C98371" w14:textId="77777777" w:rsidR="00D65C31" w:rsidRPr="00145927" w:rsidRDefault="00D65C31" w:rsidP="00D65C31">
      <w:pPr>
        <w:pStyle w:val="ListParagraph"/>
        <w:numPr>
          <w:ilvl w:val="0"/>
          <w:numId w:val="21"/>
        </w:numPr>
        <w:autoSpaceDE w:val="0"/>
        <w:autoSpaceDN w:val="0"/>
        <w:spacing w:after="240"/>
      </w:pPr>
      <w:r w:rsidRPr="00145927">
        <w:t>Australian National Wildlife Collection</w:t>
      </w:r>
    </w:p>
    <w:p w14:paraId="40C98372" w14:textId="77777777" w:rsidR="00D65C31" w:rsidRPr="00145927" w:rsidRDefault="00D65C31" w:rsidP="00D65C31">
      <w:pPr>
        <w:pStyle w:val="ListParagraph"/>
        <w:numPr>
          <w:ilvl w:val="0"/>
          <w:numId w:val="21"/>
        </w:numPr>
        <w:autoSpaceDE w:val="0"/>
        <w:autoSpaceDN w:val="0"/>
        <w:spacing w:after="240"/>
      </w:pPr>
      <w:r w:rsidRPr="00145927">
        <w:t>National Tree Seed Collection</w:t>
      </w:r>
    </w:p>
    <w:p w14:paraId="40C98373" w14:textId="77777777" w:rsidR="00D65C31" w:rsidRPr="00145927" w:rsidRDefault="00D65C31" w:rsidP="00D65C31">
      <w:pPr>
        <w:pStyle w:val="ListParagraph"/>
        <w:numPr>
          <w:ilvl w:val="0"/>
          <w:numId w:val="21"/>
        </w:numPr>
        <w:autoSpaceDE w:val="0"/>
        <w:autoSpaceDN w:val="0"/>
        <w:spacing w:after="240"/>
      </w:pPr>
      <w:r w:rsidRPr="00145927">
        <w:t>National Algae Culture Collection</w:t>
      </w:r>
    </w:p>
    <w:p w14:paraId="40C98374" w14:textId="77777777" w:rsidR="00D65C31" w:rsidRPr="00145927" w:rsidRDefault="00D65C31" w:rsidP="00D65C31">
      <w:pPr>
        <w:pStyle w:val="ListParagraph"/>
        <w:numPr>
          <w:ilvl w:val="0"/>
          <w:numId w:val="21"/>
        </w:numPr>
        <w:spacing w:after="240"/>
      </w:pPr>
      <w:r w:rsidRPr="00145927">
        <w:t>Atlas of Living Australia.</w:t>
      </w:r>
    </w:p>
    <w:p w14:paraId="40C98375" w14:textId="77777777" w:rsidR="00D65C31" w:rsidRPr="00145927" w:rsidRDefault="00D65C31" w:rsidP="00D65C31">
      <w:pPr>
        <w:autoSpaceDE w:val="0"/>
        <w:autoSpaceDN w:val="0"/>
        <w:spacing w:after="240"/>
      </w:pPr>
      <w:r w:rsidRPr="00145927">
        <w:t>CSIRO also plays a key role in developing global level infrastructure and is leading the building of the Square Kilometre Array in WA.</w:t>
      </w:r>
    </w:p>
    <w:p w14:paraId="40C98376" w14:textId="77777777" w:rsidR="00823A7E" w:rsidRPr="00D65C31" w:rsidRDefault="00D65C31" w:rsidP="00677BC2">
      <w:pPr>
        <w:pStyle w:val="Heading2"/>
      </w:pPr>
      <w:proofErr w:type="spellStart"/>
      <w:proofErr w:type="gramStart"/>
      <w:r w:rsidRPr="00D65C31">
        <w:t>eResearch</w:t>
      </w:r>
      <w:proofErr w:type="spellEnd"/>
      <w:proofErr w:type="gramEnd"/>
      <w:r w:rsidRPr="00D65C31">
        <w:t xml:space="preserve"> Services</w:t>
      </w:r>
    </w:p>
    <w:p w14:paraId="40C98377" w14:textId="77777777" w:rsidR="00E9595D" w:rsidRPr="00145927" w:rsidRDefault="00E9595D" w:rsidP="00D65C31">
      <w:pPr>
        <w:pStyle w:val="ListParagraph"/>
        <w:numPr>
          <w:ilvl w:val="0"/>
          <w:numId w:val="17"/>
        </w:numPr>
        <w:spacing w:after="240"/>
      </w:pPr>
      <w:r w:rsidRPr="00145927">
        <w:t xml:space="preserve">CSIRO’s </w:t>
      </w:r>
      <w:proofErr w:type="spellStart"/>
      <w:r w:rsidRPr="00145927">
        <w:t>eResearch</w:t>
      </w:r>
      <w:proofErr w:type="spellEnd"/>
      <w:r w:rsidRPr="00145927">
        <w:t xml:space="preserve"> services can lift productivity and competitiveness of industry through </w:t>
      </w:r>
      <w:r w:rsidRPr="00145927">
        <w:rPr>
          <w:u w:val="single"/>
        </w:rPr>
        <w:t>secure</w:t>
      </w:r>
      <w:r w:rsidRPr="00145927">
        <w:t xml:space="preserve"> shared national computation and data infrastructure are able to </w:t>
      </w:r>
    </w:p>
    <w:p w14:paraId="40C98378" w14:textId="77777777" w:rsidR="00E9595D" w:rsidRPr="00145927" w:rsidRDefault="00E9595D" w:rsidP="00D65C31">
      <w:pPr>
        <w:pStyle w:val="ListParagraph"/>
        <w:numPr>
          <w:ilvl w:val="1"/>
          <w:numId w:val="17"/>
        </w:numPr>
        <w:spacing w:after="240"/>
      </w:pPr>
      <w:r w:rsidRPr="00145927">
        <w:t xml:space="preserve">Facilitate access to world class </w:t>
      </w:r>
      <w:proofErr w:type="spellStart"/>
      <w:r w:rsidRPr="00145927">
        <w:t>eResearch</w:t>
      </w:r>
      <w:proofErr w:type="spellEnd"/>
      <w:r w:rsidRPr="00145927">
        <w:t xml:space="preserve"> capability including High Performance Computing, Cloud and Big Data Analytics</w:t>
      </w:r>
    </w:p>
    <w:p w14:paraId="40C98379" w14:textId="77777777" w:rsidR="00E9595D" w:rsidRPr="00145927" w:rsidRDefault="00E9595D" w:rsidP="00D65C31">
      <w:pPr>
        <w:pStyle w:val="ListParagraph"/>
        <w:numPr>
          <w:ilvl w:val="1"/>
          <w:numId w:val="17"/>
        </w:numPr>
        <w:spacing w:after="240"/>
      </w:pPr>
      <w:r w:rsidRPr="00145927">
        <w:t>Provide access to leading expert advice, services and tools surrounding computation and data</w:t>
      </w:r>
    </w:p>
    <w:p w14:paraId="40C9837A" w14:textId="77777777" w:rsidR="00E9595D" w:rsidRPr="00145927" w:rsidRDefault="00E9595D" w:rsidP="00D65C31">
      <w:pPr>
        <w:pStyle w:val="ListParagraph"/>
        <w:numPr>
          <w:ilvl w:val="1"/>
          <w:numId w:val="17"/>
        </w:numPr>
        <w:spacing w:after="240"/>
      </w:pPr>
      <w:r w:rsidRPr="00145927">
        <w:t>Accelerate the development of collaboration and communities of practice through extensive partner networks</w:t>
      </w:r>
    </w:p>
    <w:p w14:paraId="40C9837B" w14:textId="77777777" w:rsidR="00E9595D" w:rsidRPr="00145927" w:rsidRDefault="00E9595D" w:rsidP="00D65C31">
      <w:pPr>
        <w:pStyle w:val="ListParagraph"/>
        <w:numPr>
          <w:ilvl w:val="1"/>
          <w:numId w:val="17"/>
        </w:numPr>
        <w:spacing w:after="240"/>
      </w:pPr>
      <w:r w:rsidRPr="00145927">
        <w:t>Accelerate multidisciplinary skills, training and career development for convergent research and ICT skills.</w:t>
      </w:r>
    </w:p>
    <w:p w14:paraId="40C9837C" w14:textId="77777777" w:rsidR="00E9595D" w:rsidRPr="00145927" w:rsidRDefault="00E9595D" w:rsidP="00E9595D"/>
    <w:p w14:paraId="40C9837D" w14:textId="77777777" w:rsidR="00E9595D" w:rsidRDefault="00E9595D" w:rsidP="00E9595D">
      <w:pPr>
        <w:spacing w:after="240"/>
        <w:rPr>
          <w:lang w:eastAsia="en-US"/>
        </w:rPr>
      </w:pPr>
    </w:p>
    <w:p w14:paraId="40C9837E" w14:textId="77777777" w:rsidR="00E9595D" w:rsidRPr="00E9595D" w:rsidRDefault="00E9595D" w:rsidP="00E9595D">
      <w:pPr>
        <w:rPr>
          <w:lang w:eastAsia="en-US"/>
        </w:rPr>
        <w:sectPr w:rsidR="00E9595D" w:rsidRPr="00E9595D" w:rsidSect="0087286A">
          <w:pgSz w:w="11906" w:h="16838"/>
          <w:pgMar w:top="1440" w:right="1440" w:bottom="1440" w:left="1440" w:header="708" w:footer="708" w:gutter="0"/>
          <w:cols w:space="708"/>
          <w:docGrid w:linePitch="360"/>
        </w:sectPr>
      </w:pPr>
    </w:p>
    <w:p w14:paraId="40C9837F" w14:textId="77777777" w:rsidR="0087286A" w:rsidRPr="0087286A" w:rsidRDefault="00AC5FD3" w:rsidP="0087286A">
      <w:pPr>
        <w:pStyle w:val="Heading1"/>
      </w:pPr>
      <w:bookmarkStart w:id="27" w:name="_Ref405296221"/>
      <w:bookmarkStart w:id="28" w:name="_Toc405494779"/>
      <w:r w:rsidRPr="0087286A">
        <w:lastRenderedPageBreak/>
        <w:t xml:space="preserve">Attachment </w:t>
      </w:r>
      <w:r w:rsidR="009D237B">
        <w:t>5</w:t>
      </w:r>
      <w:r w:rsidRPr="0087286A">
        <w:t xml:space="preserve">: </w:t>
      </w:r>
      <w:bookmarkEnd w:id="16"/>
      <w:r w:rsidR="0087286A" w:rsidRPr="0087286A">
        <w:t>CSIRO’s Policies and Posture of transfer of Intellectual Property to Industry</w:t>
      </w:r>
      <w:bookmarkEnd w:id="23"/>
      <w:bookmarkEnd w:id="27"/>
      <w:bookmarkEnd w:id="28"/>
    </w:p>
    <w:p w14:paraId="40C98380" w14:textId="77777777" w:rsidR="0087286A" w:rsidRPr="0087286A" w:rsidRDefault="0087286A" w:rsidP="00677BC2">
      <w:pPr>
        <w:pStyle w:val="Heading2"/>
        <w:rPr>
          <w:rFonts w:eastAsiaTheme="minorHAnsi"/>
          <w:lang w:eastAsia="en-US"/>
        </w:rPr>
      </w:pPr>
      <w:r w:rsidRPr="0087286A">
        <w:rPr>
          <w:rFonts w:eastAsiaTheme="minorHAnsi"/>
          <w:lang w:eastAsia="en-US"/>
        </w:rPr>
        <w:t>Context</w:t>
      </w:r>
    </w:p>
    <w:p w14:paraId="40C98381" w14:textId="77777777" w:rsidR="0087286A" w:rsidRPr="0087286A" w:rsidRDefault="0087286A" w:rsidP="0087286A">
      <w:pPr>
        <w:rPr>
          <w:rFonts w:eastAsiaTheme="minorHAnsi"/>
          <w:lang w:eastAsia="en-US"/>
        </w:rPr>
      </w:pPr>
      <w:r w:rsidRPr="0087286A">
        <w:rPr>
          <w:rFonts w:eastAsiaTheme="minorHAnsi"/>
          <w:lang w:eastAsia="en-US"/>
        </w:rPr>
        <w:t>CSIRO’s function is:</w:t>
      </w:r>
    </w:p>
    <w:p w14:paraId="40C98382" w14:textId="77777777" w:rsidR="0087286A" w:rsidRPr="0087286A" w:rsidRDefault="0087286A" w:rsidP="0087286A">
      <w:pPr>
        <w:ind w:left="720"/>
        <w:rPr>
          <w:rFonts w:eastAsiaTheme="minorHAnsi"/>
          <w:i/>
          <w:lang w:eastAsia="en-US"/>
        </w:rPr>
      </w:pPr>
      <w:r w:rsidRPr="0087286A">
        <w:rPr>
          <w:rFonts w:eastAsiaTheme="minorHAnsi"/>
          <w:i/>
          <w:lang w:eastAsia="en-US"/>
        </w:rPr>
        <w:t>‘to carry out scientific research for ... assisting Australian industry; furthering the interests of the Australian community; contributing to the achievement of Australian national objectives ... to encourage or facilitate the application or utilization of ... research ... or any other scientific research ...’.</w:t>
      </w:r>
    </w:p>
    <w:p w14:paraId="40C98383" w14:textId="77777777" w:rsidR="0087286A" w:rsidRPr="0087286A" w:rsidRDefault="0087286A" w:rsidP="0087286A">
      <w:pPr>
        <w:rPr>
          <w:rFonts w:eastAsiaTheme="minorHAnsi"/>
          <w:lang w:eastAsia="en-US"/>
        </w:rPr>
      </w:pPr>
      <w:r w:rsidRPr="0087286A">
        <w:rPr>
          <w:rFonts w:eastAsiaTheme="minorHAnsi"/>
          <w:lang w:eastAsia="en-US"/>
        </w:rPr>
        <w:t>In order to achieve these objectives, CSIRO manages its intellectual property in a strategic manner and makes accessible research results in an appropriate manner for the intended use. CSIRO has a bias towards public disclosure of new knowledge, for much of its research portfolio and publishes approximately 2700 scientific articles each year.</w:t>
      </w:r>
    </w:p>
    <w:p w14:paraId="40C98384" w14:textId="77777777" w:rsidR="0087286A" w:rsidRPr="0087286A" w:rsidRDefault="0087286A" w:rsidP="0087286A">
      <w:pPr>
        <w:rPr>
          <w:rFonts w:eastAsiaTheme="minorHAnsi"/>
          <w:lang w:eastAsia="en-US"/>
        </w:rPr>
      </w:pPr>
      <w:r w:rsidRPr="0087286A">
        <w:rPr>
          <w:rFonts w:eastAsiaTheme="minorHAnsi"/>
          <w:lang w:eastAsia="en-US"/>
        </w:rPr>
        <w:t>The pathways to distribution and transfer of knowledge and technology are various – conference papers and articles in the scientific literature; reports to government, in parliamentary forums and to industry; forums; people exchanges and collaborations; media communications; as well as through contractual means such as licensing, formation of spin</w:t>
      </w:r>
      <w:r w:rsidRPr="0087286A">
        <w:rPr>
          <w:rFonts w:ascii="MS Gothic" w:eastAsia="MS Gothic" w:hAnsi="MS Gothic" w:cs="MS Gothic" w:hint="eastAsia"/>
          <w:lang w:eastAsia="en-US"/>
        </w:rPr>
        <w:t>‑</w:t>
      </w:r>
      <w:r w:rsidRPr="0087286A">
        <w:rPr>
          <w:rFonts w:eastAsiaTheme="minorHAnsi"/>
          <w:lang w:eastAsia="en-US"/>
        </w:rPr>
        <w:t>out companies, and the sale or exchange of rights. All of these paths can be valid mechanisms for generating impact, although on a case-by-case basis one or more of these will be more appropriate transfer mechanisms than others.</w:t>
      </w:r>
    </w:p>
    <w:p w14:paraId="40C98385" w14:textId="77777777" w:rsidR="0087286A" w:rsidRPr="0087286A" w:rsidRDefault="0087286A" w:rsidP="0087286A">
      <w:pPr>
        <w:rPr>
          <w:rFonts w:eastAsiaTheme="minorHAnsi"/>
          <w:lang w:eastAsia="en-US"/>
        </w:rPr>
      </w:pPr>
      <w:r w:rsidRPr="0087286A">
        <w:rPr>
          <w:rFonts w:eastAsiaTheme="minorHAnsi"/>
          <w:lang w:eastAsia="en-US"/>
        </w:rPr>
        <w:t>Intellectual property management – and where appropriate, registration of the intellectual property rights – are tools to achieve these desired outcomes. CSIRO protects its intellectual property where it considers that is appropriate to support subsequent commercial development of the rights by commercial collaborators or to facilitate follow-on capital investment by the market in technology development and its adoption. CSIRO also seeks protection for intellectual property that may be used as a platform to encourage collaboration or to obtain access to other people’s important intellectual property. Such protection (which mechanisms are also a form of public disclosure, albeit delayed) preserves greater choice later on as the research knowledge is further developed, including the options for making that intellectual property available, freely or widely.</w:t>
      </w:r>
    </w:p>
    <w:p w14:paraId="40C98386" w14:textId="77777777" w:rsidR="0087286A" w:rsidRPr="0087286A" w:rsidRDefault="0087286A" w:rsidP="0087286A">
      <w:pPr>
        <w:rPr>
          <w:rFonts w:eastAsiaTheme="minorHAnsi"/>
          <w:lang w:eastAsia="en-US"/>
        </w:rPr>
      </w:pPr>
      <w:r w:rsidRPr="0087286A">
        <w:rPr>
          <w:rFonts w:eastAsiaTheme="minorHAnsi"/>
          <w:lang w:eastAsia="en-US"/>
        </w:rPr>
        <w:t>When developing intellectual property in collaboration with other parties (and much of CSIRO’s research is collaborative with other parties), CSIRO works with those partners to identify the party that is best placed to manage intellectual property in the national interest.</w:t>
      </w:r>
    </w:p>
    <w:p w14:paraId="40C98387" w14:textId="77777777" w:rsidR="0087286A" w:rsidRPr="0087286A" w:rsidRDefault="0087286A" w:rsidP="00677BC2">
      <w:pPr>
        <w:pStyle w:val="Heading3"/>
        <w:rPr>
          <w:rFonts w:eastAsiaTheme="minorHAnsi"/>
          <w:lang w:eastAsia="en-US"/>
        </w:rPr>
      </w:pPr>
      <w:r w:rsidRPr="0087286A">
        <w:rPr>
          <w:rFonts w:eastAsiaTheme="minorHAnsi"/>
          <w:lang w:eastAsia="en-US"/>
        </w:rPr>
        <w:t>CSIRO’s Policy</w:t>
      </w:r>
    </w:p>
    <w:p w14:paraId="40C98388" w14:textId="77777777" w:rsidR="00AC5FD3" w:rsidRDefault="0087286A" w:rsidP="0087286A">
      <w:pPr>
        <w:rPr>
          <w:rFonts w:eastAsiaTheme="minorHAnsi"/>
          <w:lang w:eastAsia="en-US"/>
        </w:rPr>
      </w:pPr>
      <w:r w:rsidRPr="0087286A">
        <w:rPr>
          <w:rFonts w:eastAsiaTheme="minorHAnsi"/>
          <w:lang w:eastAsia="en-US"/>
        </w:rPr>
        <w:t>CSIRO has obligations to comply with government policies and international protocols, including respecting the intellectual property (IP) rights of others. The CSIRO Board has approved a set of IP Principles, aimed at being transparent with collaborators and clients and to facilitate early clarity of IP access rights. These Principles (see below) have been published on the csiro.au website.</w:t>
      </w:r>
    </w:p>
    <w:p w14:paraId="40C98389" w14:textId="77777777" w:rsidR="00F169A6" w:rsidRPr="00AC5FD3" w:rsidRDefault="00F169A6" w:rsidP="0087286A">
      <w:pPr>
        <w:rPr>
          <w:rFonts w:eastAsiaTheme="minorHAnsi"/>
          <w:lang w:eastAsia="en-US"/>
        </w:rPr>
      </w:pPr>
    </w:p>
    <w:tbl>
      <w:tblPr>
        <w:tblStyle w:val="ListTable1Light-Accent51"/>
        <w:tblW w:w="0" w:type="auto"/>
        <w:tblLook w:val="04A0" w:firstRow="1" w:lastRow="0" w:firstColumn="1" w:lastColumn="0" w:noHBand="0" w:noVBand="1"/>
      </w:tblPr>
      <w:tblGrid>
        <w:gridCol w:w="9016"/>
      </w:tblGrid>
      <w:tr w:rsidR="0087286A" w:rsidRPr="0087286A" w14:paraId="40C9838B" w14:textId="77777777" w:rsidTr="00D45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548DD4" w:themeFill="text2" w:themeFillTint="99"/>
          </w:tcPr>
          <w:p w14:paraId="40C9838A" w14:textId="77777777" w:rsidR="0087286A" w:rsidRPr="0087286A" w:rsidRDefault="0087286A" w:rsidP="0087286A">
            <w:pPr>
              <w:rPr>
                <w:rFonts w:eastAsiaTheme="minorHAnsi"/>
                <w:lang w:eastAsia="en-US"/>
              </w:rPr>
            </w:pPr>
            <w:r w:rsidRPr="0087286A">
              <w:rPr>
                <w:rFonts w:eastAsiaTheme="minorHAnsi"/>
                <w:lang w:eastAsia="en-US"/>
              </w:rPr>
              <w:lastRenderedPageBreak/>
              <w:t>TEN PRINCIPLES FOR GENERATING IMPACT FROM INTELLECTUAL CAPITAL</w:t>
            </w:r>
          </w:p>
        </w:tc>
      </w:tr>
      <w:tr w:rsidR="0087286A" w:rsidRPr="0087286A" w14:paraId="40C9838D" w14:textId="77777777" w:rsidTr="00D4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C9838C" w14:textId="77777777" w:rsidR="0087286A" w:rsidRPr="00D45A33" w:rsidRDefault="0087286A" w:rsidP="0087286A">
            <w:pPr>
              <w:rPr>
                <w:rFonts w:eastAsiaTheme="minorHAnsi"/>
                <w:b w:val="0"/>
                <w:lang w:eastAsia="en-US"/>
              </w:rPr>
            </w:pPr>
            <w:r w:rsidRPr="00D45A33">
              <w:rPr>
                <w:rFonts w:eastAsiaTheme="minorHAnsi"/>
                <w:b w:val="0"/>
                <w:lang w:eastAsia="en-US"/>
              </w:rPr>
              <w:t>1. Our primary purpose in generating and transferring knowledge is to achieve impact.</w:t>
            </w:r>
          </w:p>
        </w:tc>
      </w:tr>
      <w:tr w:rsidR="0087286A" w:rsidRPr="0087286A" w14:paraId="40C9838F" w14:textId="77777777" w:rsidTr="00D45A33">
        <w:tc>
          <w:tcPr>
            <w:cnfStyle w:val="001000000000" w:firstRow="0" w:lastRow="0" w:firstColumn="1" w:lastColumn="0" w:oddVBand="0" w:evenVBand="0" w:oddHBand="0" w:evenHBand="0" w:firstRowFirstColumn="0" w:firstRowLastColumn="0" w:lastRowFirstColumn="0" w:lastRowLastColumn="0"/>
            <w:tcW w:w="9016" w:type="dxa"/>
          </w:tcPr>
          <w:p w14:paraId="40C9838E" w14:textId="77777777" w:rsidR="0087286A" w:rsidRPr="00D45A33" w:rsidRDefault="0087286A" w:rsidP="0087286A">
            <w:pPr>
              <w:rPr>
                <w:rFonts w:eastAsiaTheme="minorHAnsi"/>
                <w:b w:val="0"/>
                <w:lang w:eastAsia="en-US"/>
              </w:rPr>
            </w:pPr>
            <w:r w:rsidRPr="00D45A33">
              <w:rPr>
                <w:rFonts w:eastAsiaTheme="minorHAnsi"/>
                <w:b w:val="0"/>
                <w:lang w:eastAsia="en-US"/>
              </w:rPr>
              <w:t>2. We will strive to choose the best transfer path to maximise impact. These pathways include public dissemination, exclusive or non-exclusive licensing, assignment or reciprocal agreements to increase collaboration and access to third party Intellectual Property Rights.</w:t>
            </w:r>
          </w:p>
        </w:tc>
      </w:tr>
      <w:tr w:rsidR="0087286A" w:rsidRPr="0087286A" w14:paraId="40C98391" w14:textId="77777777" w:rsidTr="00D4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C98390" w14:textId="77777777" w:rsidR="0087286A" w:rsidRPr="00D45A33" w:rsidRDefault="0087286A" w:rsidP="0087286A">
            <w:pPr>
              <w:rPr>
                <w:rFonts w:eastAsiaTheme="minorHAnsi"/>
                <w:b w:val="0"/>
                <w:lang w:eastAsia="en-US"/>
              </w:rPr>
            </w:pPr>
            <w:r w:rsidRPr="00D45A33">
              <w:rPr>
                <w:rFonts w:eastAsiaTheme="minorHAnsi"/>
                <w:b w:val="0"/>
                <w:lang w:eastAsia="en-US"/>
              </w:rPr>
              <w:t>3. We seek to ensure that dealings and agreements with third parties appropriately preserve and protect IP, and provide a sound governance framework for IP decision making.</w:t>
            </w:r>
          </w:p>
        </w:tc>
      </w:tr>
      <w:tr w:rsidR="0087286A" w:rsidRPr="0087286A" w14:paraId="40C98393" w14:textId="77777777" w:rsidTr="00D45A33">
        <w:tc>
          <w:tcPr>
            <w:cnfStyle w:val="001000000000" w:firstRow="0" w:lastRow="0" w:firstColumn="1" w:lastColumn="0" w:oddVBand="0" w:evenVBand="0" w:oddHBand="0" w:evenHBand="0" w:firstRowFirstColumn="0" w:firstRowLastColumn="0" w:lastRowFirstColumn="0" w:lastRowLastColumn="0"/>
            <w:tcW w:w="9016" w:type="dxa"/>
          </w:tcPr>
          <w:p w14:paraId="40C98392" w14:textId="77777777" w:rsidR="0087286A" w:rsidRPr="00D45A33" w:rsidRDefault="0087286A" w:rsidP="0087286A">
            <w:pPr>
              <w:rPr>
                <w:rFonts w:eastAsiaTheme="minorHAnsi"/>
                <w:b w:val="0"/>
                <w:lang w:eastAsia="en-US"/>
              </w:rPr>
            </w:pPr>
            <w:r w:rsidRPr="00D45A33">
              <w:rPr>
                <w:rFonts w:eastAsiaTheme="minorHAnsi"/>
                <w:b w:val="0"/>
                <w:lang w:eastAsia="en-US"/>
              </w:rPr>
              <w:t>4. Ownership and control of IP should generally vest with the party best placed to manage the intellectual property across the full scope of the technology and its potential utilisation.</w:t>
            </w:r>
          </w:p>
        </w:tc>
      </w:tr>
      <w:tr w:rsidR="0087286A" w:rsidRPr="0087286A" w14:paraId="40C98395" w14:textId="77777777" w:rsidTr="00D4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C98394" w14:textId="77777777" w:rsidR="0087286A" w:rsidRPr="00D45A33" w:rsidRDefault="0087286A" w:rsidP="0087286A">
            <w:pPr>
              <w:rPr>
                <w:rFonts w:eastAsiaTheme="minorHAnsi"/>
                <w:b w:val="0"/>
                <w:lang w:eastAsia="en-US"/>
              </w:rPr>
            </w:pPr>
            <w:r w:rsidRPr="00D45A33">
              <w:rPr>
                <w:rFonts w:eastAsiaTheme="minorHAnsi"/>
                <w:b w:val="0"/>
                <w:lang w:eastAsia="en-US"/>
              </w:rPr>
              <w:t>5. If we agree to enter into IP co-ownership arrangements, the contract will include a governance framework regulating the exercise of all relevant components of the IP and addressing the allocation of IP costs.</w:t>
            </w:r>
          </w:p>
        </w:tc>
      </w:tr>
      <w:tr w:rsidR="0087286A" w:rsidRPr="0087286A" w14:paraId="40C98397" w14:textId="77777777" w:rsidTr="00D45A33">
        <w:tc>
          <w:tcPr>
            <w:cnfStyle w:val="001000000000" w:firstRow="0" w:lastRow="0" w:firstColumn="1" w:lastColumn="0" w:oddVBand="0" w:evenVBand="0" w:oddHBand="0" w:evenHBand="0" w:firstRowFirstColumn="0" w:firstRowLastColumn="0" w:lastRowFirstColumn="0" w:lastRowLastColumn="0"/>
            <w:tcW w:w="9016" w:type="dxa"/>
          </w:tcPr>
          <w:p w14:paraId="40C98396" w14:textId="77777777" w:rsidR="0087286A" w:rsidRPr="00D45A33" w:rsidRDefault="0087286A" w:rsidP="0087286A">
            <w:pPr>
              <w:rPr>
                <w:rFonts w:eastAsiaTheme="minorHAnsi"/>
                <w:b w:val="0"/>
                <w:lang w:eastAsia="en-US"/>
              </w:rPr>
            </w:pPr>
            <w:r w:rsidRPr="00D45A33">
              <w:rPr>
                <w:rFonts w:eastAsiaTheme="minorHAnsi"/>
                <w:b w:val="0"/>
                <w:lang w:eastAsia="en-US"/>
              </w:rPr>
              <w:t>6. Where the IP is expected to generate commercial returns, we generally expect a reasonable and proportionate return in exchange for access rights.</w:t>
            </w:r>
          </w:p>
        </w:tc>
      </w:tr>
      <w:tr w:rsidR="0087286A" w:rsidRPr="0087286A" w14:paraId="40C98399" w14:textId="77777777" w:rsidTr="00D4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C98398" w14:textId="77777777" w:rsidR="0087286A" w:rsidRPr="00D45A33" w:rsidRDefault="0087286A" w:rsidP="0087286A">
            <w:pPr>
              <w:rPr>
                <w:rFonts w:eastAsiaTheme="minorHAnsi"/>
                <w:b w:val="0"/>
                <w:lang w:eastAsia="en-US"/>
              </w:rPr>
            </w:pPr>
            <w:r w:rsidRPr="00D45A33">
              <w:rPr>
                <w:rFonts w:eastAsiaTheme="minorHAnsi"/>
                <w:b w:val="0"/>
                <w:lang w:eastAsia="en-US"/>
              </w:rPr>
              <w:t>7. We will retain sufficient intellectual property access rights to enable the conduct of further research in accordance with our charter.</w:t>
            </w:r>
          </w:p>
        </w:tc>
      </w:tr>
      <w:tr w:rsidR="0087286A" w:rsidRPr="0087286A" w14:paraId="40C9839B" w14:textId="77777777" w:rsidTr="00D45A33">
        <w:tc>
          <w:tcPr>
            <w:cnfStyle w:val="001000000000" w:firstRow="0" w:lastRow="0" w:firstColumn="1" w:lastColumn="0" w:oddVBand="0" w:evenVBand="0" w:oddHBand="0" w:evenHBand="0" w:firstRowFirstColumn="0" w:firstRowLastColumn="0" w:lastRowFirstColumn="0" w:lastRowLastColumn="0"/>
            <w:tcW w:w="9016" w:type="dxa"/>
          </w:tcPr>
          <w:p w14:paraId="40C9839A" w14:textId="77777777" w:rsidR="0087286A" w:rsidRPr="00D45A33" w:rsidRDefault="0087286A" w:rsidP="0087286A">
            <w:pPr>
              <w:rPr>
                <w:rFonts w:eastAsiaTheme="minorHAnsi"/>
                <w:b w:val="0"/>
                <w:lang w:eastAsia="en-US"/>
              </w:rPr>
            </w:pPr>
            <w:r w:rsidRPr="00D45A33">
              <w:rPr>
                <w:rFonts w:eastAsiaTheme="minorHAnsi"/>
                <w:b w:val="0"/>
                <w:lang w:eastAsia="en-US"/>
              </w:rPr>
              <w:t>8. We respect the IP of others but support the principle of exemptions for research use.</w:t>
            </w:r>
          </w:p>
        </w:tc>
      </w:tr>
      <w:tr w:rsidR="0087286A" w:rsidRPr="0087286A" w14:paraId="40C9839D" w14:textId="77777777" w:rsidTr="00D45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0C9839C" w14:textId="77777777" w:rsidR="0087286A" w:rsidRPr="00D45A33" w:rsidRDefault="0087286A" w:rsidP="0087286A">
            <w:pPr>
              <w:rPr>
                <w:rFonts w:eastAsiaTheme="minorHAnsi"/>
                <w:b w:val="0"/>
                <w:lang w:eastAsia="en-US"/>
              </w:rPr>
            </w:pPr>
            <w:r w:rsidRPr="00D45A33">
              <w:rPr>
                <w:rFonts w:eastAsiaTheme="minorHAnsi"/>
                <w:b w:val="0"/>
                <w:lang w:eastAsia="en-US"/>
              </w:rPr>
              <w:t xml:space="preserve">9. We will enforce our </w:t>
            </w:r>
            <w:proofErr w:type="spellStart"/>
            <w:r w:rsidRPr="00D45A33">
              <w:rPr>
                <w:rFonts w:eastAsiaTheme="minorHAnsi"/>
                <w:b w:val="0"/>
                <w:lang w:eastAsia="en-US"/>
              </w:rPr>
              <w:t>IPR</w:t>
            </w:r>
            <w:proofErr w:type="spellEnd"/>
            <w:r w:rsidRPr="00D45A33">
              <w:rPr>
                <w:rFonts w:eastAsiaTheme="minorHAnsi"/>
                <w:b w:val="0"/>
                <w:lang w:eastAsia="en-US"/>
              </w:rPr>
              <w:t xml:space="preserve"> and contractual rights in a manner consistent with our statutory charter and roles within the innovation system.</w:t>
            </w:r>
          </w:p>
        </w:tc>
      </w:tr>
      <w:tr w:rsidR="0087286A" w:rsidRPr="0087286A" w14:paraId="40C9839F" w14:textId="77777777" w:rsidTr="00D45A33">
        <w:tc>
          <w:tcPr>
            <w:cnfStyle w:val="001000000000" w:firstRow="0" w:lastRow="0" w:firstColumn="1" w:lastColumn="0" w:oddVBand="0" w:evenVBand="0" w:oddHBand="0" w:evenHBand="0" w:firstRowFirstColumn="0" w:firstRowLastColumn="0" w:lastRowFirstColumn="0" w:lastRowLastColumn="0"/>
            <w:tcW w:w="9016" w:type="dxa"/>
          </w:tcPr>
          <w:p w14:paraId="40C9839E" w14:textId="77777777" w:rsidR="0087286A" w:rsidRPr="00D45A33" w:rsidRDefault="0087286A" w:rsidP="0087286A">
            <w:pPr>
              <w:rPr>
                <w:rFonts w:eastAsiaTheme="minorHAnsi"/>
                <w:b w:val="0"/>
                <w:lang w:eastAsia="en-US"/>
              </w:rPr>
            </w:pPr>
            <w:r w:rsidRPr="00D45A33">
              <w:rPr>
                <w:rFonts w:eastAsiaTheme="minorHAnsi"/>
                <w:b w:val="0"/>
                <w:lang w:eastAsia="en-US"/>
              </w:rPr>
              <w:t>10. In the context of maximising the impact of our research efforts we will endeavour to ensure that intellectual property and knowledge is made available for humanitarian uses and the public good. In further developing these principles and related protocols we will seek to work with our national and global peers within the research community to promote a common approach to the management of intellectual capital.</w:t>
            </w:r>
          </w:p>
        </w:tc>
      </w:tr>
    </w:tbl>
    <w:p w14:paraId="40C983A0" w14:textId="77777777" w:rsidR="0087286A" w:rsidRPr="0087286A" w:rsidRDefault="0087286A" w:rsidP="00677BC2">
      <w:pPr>
        <w:pStyle w:val="Heading3"/>
        <w:rPr>
          <w:lang w:eastAsia="en-US"/>
        </w:rPr>
      </w:pPr>
      <w:r w:rsidRPr="0087286A">
        <w:rPr>
          <w:lang w:eastAsia="en-US"/>
        </w:rPr>
        <w:t>CSIRO Patent Portfolio and Licensing</w:t>
      </w:r>
    </w:p>
    <w:p w14:paraId="40C983A1" w14:textId="77777777" w:rsidR="0087286A" w:rsidRPr="0087286A" w:rsidRDefault="0087286A" w:rsidP="0087286A">
      <w:pPr>
        <w:autoSpaceDE w:val="0"/>
        <w:autoSpaceDN w:val="0"/>
        <w:adjustRightInd w:val="0"/>
        <w:spacing w:before="60" w:after="60"/>
        <w:ind w:right="-20"/>
        <w:rPr>
          <w:rFonts w:eastAsiaTheme="minorHAnsi" w:cs="Calibri"/>
          <w:position w:val="1"/>
          <w:lang w:eastAsia="en-US"/>
        </w:rPr>
      </w:pPr>
      <w:r w:rsidRPr="0087286A">
        <w:rPr>
          <w:rFonts w:eastAsiaTheme="minorHAnsi"/>
          <w:lang w:eastAsia="en-US"/>
        </w:rPr>
        <w:t xml:space="preserve">CSIRO currently maintains 756 items of registered intellectual property, including 660 families of patents or patent applications, 90 Plant breeders Rights and 6 designs.  </w:t>
      </w:r>
      <w:r w:rsidRPr="0087286A">
        <w:rPr>
          <w:rFonts w:eastAsiaTheme="minorHAnsi" w:cs="Calibri"/>
          <w:position w:val="1"/>
          <w:lang w:eastAsia="en-US"/>
        </w:rPr>
        <w:t>CSIRO</w:t>
      </w:r>
      <w:r w:rsidRPr="0087286A">
        <w:rPr>
          <w:rFonts w:eastAsiaTheme="minorHAnsi" w:cs="Calibri"/>
          <w:spacing w:val="-2"/>
          <w:position w:val="1"/>
          <w:lang w:eastAsia="en-US"/>
        </w:rPr>
        <w:t xml:space="preserve"> </w:t>
      </w:r>
      <w:r w:rsidRPr="0087286A">
        <w:rPr>
          <w:rFonts w:eastAsiaTheme="minorHAnsi" w:cs="Calibri"/>
          <w:position w:val="1"/>
          <w:lang w:eastAsia="en-US"/>
        </w:rPr>
        <w:t>is</w:t>
      </w:r>
      <w:r w:rsidRPr="0087286A">
        <w:rPr>
          <w:rFonts w:eastAsiaTheme="minorHAnsi" w:cs="Calibri"/>
          <w:spacing w:val="-2"/>
          <w:position w:val="1"/>
          <w:lang w:eastAsia="en-US"/>
        </w:rPr>
        <w:t xml:space="preserve"> </w:t>
      </w:r>
      <w:r w:rsidRPr="0087286A">
        <w:rPr>
          <w:rFonts w:eastAsiaTheme="minorHAnsi" w:cs="Calibri"/>
          <w:spacing w:val="1"/>
          <w:position w:val="1"/>
          <w:lang w:eastAsia="en-US"/>
        </w:rPr>
        <w:t>o</w:t>
      </w:r>
      <w:r w:rsidRPr="0087286A">
        <w:rPr>
          <w:rFonts w:eastAsiaTheme="minorHAnsi" w:cs="Calibri"/>
          <w:spacing w:val="-1"/>
          <w:position w:val="1"/>
          <w:lang w:eastAsia="en-US"/>
        </w:rPr>
        <w:t>n</w:t>
      </w:r>
      <w:r w:rsidRPr="0087286A">
        <w:rPr>
          <w:rFonts w:eastAsiaTheme="minorHAnsi" w:cs="Calibri"/>
          <w:position w:val="1"/>
          <w:lang w:eastAsia="en-US"/>
        </w:rPr>
        <w:t>e</w:t>
      </w:r>
      <w:r w:rsidRPr="0087286A">
        <w:rPr>
          <w:rFonts w:eastAsiaTheme="minorHAnsi" w:cs="Calibri"/>
          <w:spacing w:val="-1"/>
          <w:position w:val="1"/>
          <w:lang w:eastAsia="en-US"/>
        </w:rPr>
        <w:t xml:space="preserve"> </w:t>
      </w:r>
      <w:r w:rsidRPr="0087286A">
        <w:rPr>
          <w:rFonts w:eastAsiaTheme="minorHAnsi" w:cs="Calibri"/>
          <w:spacing w:val="1"/>
          <w:position w:val="1"/>
          <w:lang w:eastAsia="en-US"/>
        </w:rPr>
        <w:t>o</w:t>
      </w:r>
      <w:r w:rsidRPr="0087286A">
        <w:rPr>
          <w:rFonts w:eastAsiaTheme="minorHAnsi" w:cs="Calibri"/>
          <w:position w:val="1"/>
          <w:lang w:eastAsia="en-US"/>
        </w:rPr>
        <w:t>f A</w:t>
      </w:r>
      <w:r w:rsidRPr="0087286A">
        <w:rPr>
          <w:rFonts w:eastAsiaTheme="minorHAnsi" w:cs="Calibri"/>
          <w:spacing w:val="-1"/>
          <w:position w:val="1"/>
          <w:lang w:eastAsia="en-US"/>
        </w:rPr>
        <w:t>u</w:t>
      </w:r>
      <w:r w:rsidRPr="0087286A">
        <w:rPr>
          <w:rFonts w:eastAsiaTheme="minorHAnsi" w:cs="Calibri"/>
          <w:position w:val="1"/>
          <w:lang w:eastAsia="en-US"/>
        </w:rPr>
        <w:t>stral</w:t>
      </w:r>
      <w:r w:rsidRPr="0087286A">
        <w:rPr>
          <w:rFonts w:eastAsiaTheme="minorHAnsi" w:cs="Calibri"/>
          <w:spacing w:val="-1"/>
          <w:position w:val="1"/>
          <w:lang w:eastAsia="en-US"/>
        </w:rPr>
        <w:t>i</w:t>
      </w:r>
      <w:r w:rsidRPr="0087286A">
        <w:rPr>
          <w:rFonts w:eastAsiaTheme="minorHAnsi" w:cs="Calibri"/>
          <w:position w:val="1"/>
          <w:lang w:eastAsia="en-US"/>
        </w:rPr>
        <w:t>a</w:t>
      </w:r>
      <w:r w:rsidRPr="0087286A">
        <w:rPr>
          <w:rFonts w:eastAsiaTheme="minorHAnsi" w:cs="Calibri"/>
          <w:spacing w:val="-3"/>
          <w:position w:val="1"/>
          <w:lang w:eastAsia="en-US"/>
        </w:rPr>
        <w:t>’</w:t>
      </w:r>
      <w:r w:rsidRPr="0087286A">
        <w:rPr>
          <w:rFonts w:eastAsiaTheme="minorHAnsi" w:cs="Calibri"/>
          <w:position w:val="1"/>
          <w:lang w:eastAsia="en-US"/>
        </w:rPr>
        <w:t>s lar</w:t>
      </w:r>
      <w:r w:rsidRPr="0087286A">
        <w:rPr>
          <w:rFonts w:eastAsiaTheme="minorHAnsi" w:cs="Calibri"/>
          <w:spacing w:val="-1"/>
          <w:position w:val="1"/>
          <w:lang w:eastAsia="en-US"/>
        </w:rPr>
        <w:t>g</w:t>
      </w:r>
      <w:r w:rsidRPr="0087286A">
        <w:rPr>
          <w:rFonts w:eastAsiaTheme="minorHAnsi" w:cs="Calibri"/>
          <w:position w:val="1"/>
          <w:lang w:eastAsia="en-US"/>
        </w:rPr>
        <w:t>e</w:t>
      </w:r>
      <w:r w:rsidRPr="0087286A">
        <w:rPr>
          <w:rFonts w:eastAsiaTheme="minorHAnsi" w:cs="Calibri"/>
          <w:spacing w:val="-2"/>
          <w:position w:val="1"/>
          <w:lang w:eastAsia="en-US"/>
        </w:rPr>
        <w:t>s</w:t>
      </w:r>
      <w:r w:rsidRPr="0087286A">
        <w:rPr>
          <w:rFonts w:eastAsiaTheme="minorHAnsi" w:cs="Calibri"/>
          <w:position w:val="1"/>
          <w:lang w:eastAsia="en-US"/>
        </w:rPr>
        <w:t>t</w:t>
      </w:r>
      <w:r w:rsidRPr="0087286A">
        <w:rPr>
          <w:rFonts w:eastAsiaTheme="minorHAnsi" w:cs="Calibri"/>
          <w:spacing w:val="1"/>
          <w:position w:val="1"/>
          <w:lang w:eastAsia="en-US"/>
        </w:rPr>
        <w:t xml:space="preserve"> </w:t>
      </w:r>
      <w:r w:rsidRPr="0087286A">
        <w:rPr>
          <w:rFonts w:eastAsiaTheme="minorHAnsi" w:cs="Calibri"/>
          <w:position w:val="1"/>
          <w:lang w:eastAsia="en-US"/>
        </w:rPr>
        <w:t>fi</w:t>
      </w:r>
      <w:r w:rsidRPr="0087286A">
        <w:rPr>
          <w:rFonts w:eastAsiaTheme="minorHAnsi" w:cs="Calibri"/>
          <w:spacing w:val="-1"/>
          <w:position w:val="1"/>
          <w:lang w:eastAsia="en-US"/>
        </w:rPr>
        <w:t>l</w:t>
      </w:r>
      <w:r w:rsidRPr="0087286A">
        <w:rPr>
          <w:rFonts w:eastAsiaTheme="minorHAnsi" w:cs="Calibri"/>
          <w:position w:val="1"/>
          <w:lang w:eastAsia="en-US"/>
        </w:rPr>
        <w:t>ers</w:t>
      </w:r>
      <w:r w:rsidRPr="0087286A">
        <w:rPr>
          <w:rFonts w:eastAsiaTheme="minorHAnsi" w:cs="Calibri"/>
          <w:spacing w:val="-4"/>
          <w:position w:val="1"/>
          <w:lang w:eastAsia="en-US"/>
        </w:rPr>
        <w:t xml:space="preserve"> </w:t>
      </w:r>
      <w:r w:rsidRPr="0087286A">
        <w:rPr>
          <w:rFonts w:eastAsiaTheme="minorHAnsi" w:cs="Calibri"/>
          <w:spacing w:val="1"/>
          <w:position w:val="1"/>
          <w:lang w:eastAsia="en-US"/>
        </w:rPr>
        <w:t>o</w:t>
      </w:r>
      <w:r w:rsidRPr="0087286A">
        <w:rPr>
          <w:rFonts w:eastAsiaTheme="minorHAnsi" w:cs="Calibri"/>
          <w:position w:val="1"/>
          <w:lang w:eastAsia="en-US"/>
        </w:rPr>
        <w:t>f</w:t>
      </w:r>
      <w:r w:rsidRPr="0087286A">
        <w:rPr>
          <w:rFonts w:eastAsiaTheme="minorHAnsi" w:cs="Calibri"/>
          <w:spacing w:val="3"/>
          <w:position w:val="1"/>
          <w:lang w:eastAsia="en-US"/>
        </w:rPr>
        <w:t xml:space="preserve"> </w:t>
      </w:r>
      <w:r w:rsidRPr="0087286A">
        <w:rPr>
          <w:rFonts w:eastAsiaTheme="minorHAnsi" w:cs="Calibri"/>
          <w:position w:val="1"/>
          <w:lang w:eastAsia="en-US"/>
        </w:rPr>
        <w:t>A</w:t>
      </w:r>
      <w:r w:rsidRPr="0087286A">
        <w:rPr>
          <w:rFonts w:eastAsiaTheme="minorHAnsi" w:cs="Calibri"/>
          <w:spacing w:val="-1"/>
          <w:position w:val="1"/>
          <w:lang w:eastAsia="en-US"/>
        </w:rPr>
        <w:t>u</w:t>
      </w:r>
      <w:r w:rsidRPr="0087286A">
        <w:rPr>
          <w:rFonts w:eastAsiaTheme="minorHAnsi" w:cs="Calibri"/>
          <w:position w:val="1"/>
          <w:lang w:eastAsia="en-US"/>
        </w:rPr>
        <w:t>stralian</w:t>
      </w:r>
      <w:r w:rsidRPr="0087286A">
        <w:rPr>
          <w:rFonts w:eastAsiaTheme="minorHAnsi" w:cs="Calibri"/>
          <w:spacing w:val="-1"/>
          <w:position w:val="1"/>
          <w:lang w:eastAsia="en-US"/>
        </w:rPr>
        <w:t xml:space="preserve"> </w:t>
      </w:r>
      <w:r w:rsidRPr="0087286A">
        <w:rPr>
          <w:rFonts w:eastAsiaTheme="minorHAnsi" w:cs="Calibri"/>
          <w:position w:val="1"/>
          <w:lang w:eastAsia="en-US"/>
        </w:rPr>
        <w:t>p</w:t>
      </w:r>
      <w:r w:rsidRPr="0087286A">
        <w:rPr>
          <w:rFonts w:eastAsiaTheme="minorHAnsi" w:cs="Calibri"/>
          <w:spacing w:val="-3"/>
          <w:position w:val="1"/>
          <w:lang w:eastAsia="en-US"/>
        </w:rPr>
        <w:t>r</w:t>
      </w:r>
      <w:r w:rsidRPr="0087286A">
        <w:rPr>
          <w:rFonts w:eastAsiaTheme="minorHAnsi" w:cs="Calibri"/>
          <w:spacing w:val="-1"/>
          <w:position w:val="1"/>
          <w:lang w:eastAsia="en-US"/>
        </w:rPr>
        <w:t>o</w:t>
      </w:r>
      <w:r w:rsidRPr="0087286A">
        <w:rPr>
          <w:rFonts w:eastAsiaTheme="minorHAnsi" w:cs="Calibri"/>
          <w:spacing w:val="1"/>
          <w:position w:val="1"/>
          <w:lang w:eastAsia="en-US"/>
        </w:rPr>
        <w:t>v</w:t>
      </w:r>
      <w:r w:rsidRPr="0087286A">
        <w:rPr>
          <w:rFonts w:eastAsiaTheme="minorHAnsi" w:cs="Calibri"/>
          <w:position w:val="1"/>
          <w:lang w:eastAsia="en-US"/>
        </w:rPr>
        <w:t>isi</w:t>
      </w:r>
      <w:r w:rsidRPr="0087286A">
        <w:rPr>
          <w:rFonts w:eastAsiaTheme="minorHAnsi" w:cs="Calibri"/>
          <w:spacing w:val="1"/>
          <w:position w:val="1"/>
          <w:lang w:eastAsia="en-US"/>
        </w:rPr>
        <w:t>o</w:t>
      </w:r>
      <w:r w:rsidRPr="0087286A">
        <w:rPr>
          <w:rFonts w:eastAsiaTheme="minorHAnsi" w:cs="Calibri"/>
          <w:spacing w:val="-1"/>
          <w:position w:val="1"/>
          <w:lang w:eastAsia="en-US"/>
        </w:rPr>
        <w:t>n</w:t>
      </w:r>
      <w:r w:rsidRPr="0087286A">
        <w:rPr>
          <w:rFonts w:eastAsiaTheme="minorHAnsi" w:cs="Calibri"/>
          <w:position w:val="1"/>
          <w:lang w:eastAsia="en-US"/>
        </w:rPr>
        <w:t xml:space="preserve">al </w:t>
      </w:r>
      <w:r w:rsidRPr="0087286A">
        <w:rPr>
          <w:rFonts w:eastAsiaTheme="minorHAnsi" w:cs="Calibri"/>
          <w:spacing w:val="-1"/>
          <w:position w:val="1"/>
          <w:lang w:eastAsia="en-US"/>
        </w:rPr>
        <w:t>p</w:t>
      </w:r>
      <w:r w:rsidRPr="0087286A">
        <w:rPr>
          <w:rFonts w:eastAsiaTheme="minorHAnsi" w:cs="Calibri"/>
          <w:spacing w:val="-3"/>
          <w:position w:val="1"/>
          <w:lang w:eastAsia="en-US"/>
        </w:rPr>
        <w:t>a</w:t>
      </w:r>
      <w:r w:rsidRPr="0087286A">
        <w:rPr>
          <w:rFonts w:eastAsiaTheme="minorHAnsi" w:cs="Calibri"/>
          <w:position w:val="1"/>
          <w:lang w:eastAsia="en-US"/>
        </w:rPr>
        <w:t>t</w:t>
      </w:r>
      <w:r w:rsidRPr="0087286A">
        <w:rPr>
          <w:rFonts w:eastAsiaTheme="minorHAnsi" w:cs="Calibri"/>
          <w:spacing w:val="1"/>
          <w:position w:val="1"/>
          <w:lang w:eastAsia="en-US"/>
        </w:rPr>
        <w:t>e</w:t>
      </w:r>
      <w:r w:rsidRPr="0087286A">
        <w:rPr>
          <w:rFonts w:eastAsiaTheme="minorHAnsi" w:cs="Calibri"/>
          <w:spacing w:val="-1"/>
          <w:position w:val="1"/>
          <w:lang w:eastAsia="en-US"/>
        </w:rPr>
        <w:t>n</w:t>
      </w:r>
      <w:r w:rsidRPr="0087286A">
        <w:rPr>
          <w:rFonts w:eastAsiaTheme="minorHAnsi" w:cs="Calibri"/>
          <w:position w:val="1"/>
          <w:lang w:eastAsia="en-US"/>
        </w:rPr>
        <w:t>t</w:t>
      </w:r>
      <w:r w:rsidRPr="0087286A">
        <w:rPr>
          <w:rFonts w:eastAsiaTheme="minorHAnsi" w:cs="Calibri"/>
          <w:spacing w:val="1"/>
          <w:position w:val="1"/>
          <w:lang w:eastAsia="en-US"/>
        </w:rPr>
        <w:t xml:space="preserve"> </w:t>
      </w:r>
      <w:r w:rsidRPr="0087286A">
        <w:rPr>
          <w:rFonts w:eastAsiaTheme="minorHAnsi" w:cs="Calibri"/>
          <w:position w:val="1"/>
          <w:lang w:eastAsia="en-US"/>
        </w:rPr>
        <w:t>a</w:t>
      </w:r>
      <w:r w:rsidRPr="0087286A">
        <w:rPr>
          <w:rFonts w:eastAsiaTheme="minorHAnsi" w:cs="Calibri"/>
          <w:spacing w:val="-1"/>
          <w:position w:val="1"/>
          <w:lang w:eastAsia="en-US"/>
        </w:rPr>
        <w:t>pp</w:t>
      </w:r>
      <w:r w:rsidRPr="0087286A">
        <w:rPr>
          <w:rFonts w:eastAsiaTheme="minorHAnsi" w:cs="Calibri"/>
          <w:position w:val="1"/>
          <w:lang w:eastAsia="en-US"/>
        </w:rPr>
        <w:t>licat</w:t>
      </w:r>
      <w:r w:rsidRPr="0087286A">
        <w:rPr>
          <w:rFonts w:eastAsiaTheme="minorHAnsi" w:cs="Calibri"/>
          <w:spacing w:val="-2"/>
          <w:position w:val="1"/>
          <w:lang w:eastAsia="en-US"/>
        </w:rPr>
        <w:t>i</w:t>
      </w:r>
      <w:r w:rsidRPr="0087286A">
        <w:rPr>
          <w:rFonts w:eastAsiaTheme="minorHAnsi" w:cs="Calibri"/>
          <w:spacing w:val="1"/>
          <w:position w:val="1"/>
          <w:lang w:eastAsia="en-US"/>
        </w:rPr>
        <w:t>o</w:t>
      </w:r>
      <w:r w:rsidRPr="0087286A">
        <w:rPr>
          <w:rFonts w:eastAsiaTheme="minorHAnsi" w:cs="Calibri"/>
          <w:spacing w:val="-1"/>
          <w:position w:val="1"/>
          <w:lang w:eastAsia="en-US"/>
        </w:rPr>
        <w:t>n</w:t>
      </w:r>
      <w:r w:rsidRPr="0087286A">
        <w:rPr>
          <w:rFonts w:eastAsiaTheme="minorHAnsi" w:cs="Calibri"/>
          <w:position w:val="1"/>
          <w:lang w:eastAsia="en-US"/>
        </w:rPr>
        <w:t>s - CS</w:t>
      </w:r>
      <w:r w:rsidRPr="0087286A">
        <w:rPr>
          <w:rFonts w:eastAsiaTheme="minorHAnsi" w:cs="Calibri"/>
          <w:spacing w:val="-1"/>
          <w:position w:val="1"/>
          <w:lang w:eastAsia="en-US"/>
        </w:rPr>
        <w:t>I</w:t>
      </w:r>
      <w:r w:rsidRPr="0087286A">
        <w:rPr>
          <w:rFonts w:eastAsiaTheme="minorHAnsi" w:cs="Calibri"/>
          <w:position w:val="1"/>
          <w:lang w:eastAsia="en-US"/>
        </w:rPr>
        <w:t>RO</w:t>
      </w:r>
      <w:r w:rsidRPr="0087286A">
        <w:rPr>
          <w:rFonts w:eastAsiaTheme="minorHAnsi" w:cs="Calibri"/>
          <w:spacing w:val="1"/>
          <w:position w:val="1"/>
          <w:lang w:eastAsia="en-US"/>
        </w:rPr>
        <w:t xml:space="preserve"> </w:t>
      </w:r>
      <w:r w:rsidRPr="0087286A">
        <w:rPr>
          <w:rFonts w:eastAsiaTheme="minorHAnsi" w:cs="Calibri"/>
          <w:position w:val="1"/>
          <w:lang w:eastAsia="en-US"/>
        </w:rPr>
        <w:t>is res</w:t>
      </w:r>
      <w:r w:rsidRPr="0087286A">
        <w:rPr>
          <w:rFonts w:eastAsiaTheme="minorHAnsi" w:cs="Calibri"/>
          <w:spacing w:val="-3"/>
          <w:position w:val="1"/>
          <w:lang w:eastAsia="en-US"/>
        </w:rPr>
        <w:t>p</w:t>
      </w:r>
      <w:r w:rsidRPr="0087286A">
        <w:rPr>
          <w:rFonts w:eastAsiaTheme="minorHAnsi" w:cs="Calibri"/>
          <w:spacing w:val="1"/>
          <w:position w:val="1"/>
          <w:lang w:eastAsia="en-US"/>
        </w:rPr>
        <w:t>o</w:t>
      </w:r>
      <w:r w:rsidRPr="0087286A">
        <w:rPr>
          <w:rFonts w:eastAsiaTheme="minorHAnsi" w:cs="Calibri"/>
          <w:spacing w:val="-1"/>
          <w:position w:val="1"/>
          <w:lang w:eastAsia="en-US"/>
        </w:rPr>
        <w:t>n</w:t>
      </w:r>
      <w:r w:rsidRPr="0087286A">
        <w:rPr>
          <w:rFonts w:eastAsiaTheme="minorHAnsi" w:cs="Calibri"/>
          <w:position w:val="1"/>
          <w:lang w:eastAsia="en-US"/>
        </w:rPr>
        <w:t>si</w:t>
      </w:r>
      <w:r w:rsidRPr="0087286A">
        <w:rPr>
          <w:rFonts w:eastAsiaTheme="minorHAnsi" w:cs="Calibri"/>
          <w:spacing w:val="-1"/>
          <w:position w:val="1"/>
          <w:lang w:eastAsia="en-US"/>
        </w:rPr>
        <w:t>b</w:t>
      </w:r>
      <w:r w:rsidRPr="0087286A">
        <w:rPr>
          <w:rFonts w:eastAsiaTheme="minorHAnsi" w:cs="Calibri"/>
          <w:position w:val="1"/>
          <w:lang w:eastAsia="en-US"/>
        </w:rPr>
        <w:t xml:space="preserve">le </w:t>
      </w:r>
      <w:r w:rsidRPr="0087286A">
        <w:rPr>
          <w:rFonts w:eastAsiaTheme="minorHAnsi" w:cs="Calibri"/>
          <w:spacing w:val="-2"/>
          <w:position w:val="1"/>
          <w:lang w:eastAsia="en-US"/>
        </w:rPr>
        <w:t>f</w:t>
      </w:r>
      <w:r w:rsidRPr="0087286A">
        <w:rPr>
          <w:rFonts w:eastAsiaTheme="minorHAnsi" w:cs="Calibri"/>
          <w:spacing w:val="1"/>
          <w:position w:val="1"/>
          <w:lang w:eastAsia="en-US"/>
        </w:rPr>
        <w:t>o</w:t>
      </w:r>
      <w:r w:rsidRPr="0087286A">
        <w:rPr>
          <w:rFonts w:eastAsiaTheme="minorHAnsi" w:cs="Calibri"/>
          <w:position w:val="1"/>
          <w:lang w:eastAsia="en-US"/>
        </w:rPr>
        <w:t>r over</w:t>
      </w:r>
      <w:r w:rsidRPr="0087286A">
        <w:rPr>
          <w:rFonts w:eastAsiaTheme="minorHAnsi" w:cs="Calibri"/>
          <w:spacing w:val="1"/>
          <w:position w:val="1"/>
          <w:lang w:eastAsia="en-US"/>
        </w:rPr>
        <w:t xml:space="preserve"> </w:t>
      </w:r>
      <w:r w:rsidRPr="0087286A">
        <w:rPr>
          <w:rFonts w:eastAsiaTheme="minorHAnsi" w:cs="Calibri"/>
          <w:spacing w:val="-1"/>
          <w:position w:val="1"/>
          <w:lang w:eastAsia="en-US"/>
        </w:rPr>
        <w:t>3</w:t>
      </w:r>
      <w:r w:rsidRPr="0087286A">
        <w:rPr>
          <w:rFonts w:eastAsiaTheme="minorHAnsi" w:cs="Calibri"/>
          <w:position w:val="1"/>
          <w:lang w:eastAsia="en-US"/>
        </w:rPr>
        <w:t>%</w:t>
      </w:r>
      <w:r w:rsidRPr="0087286A">
        <w:rPr>
          <w:rFonts w:eastAsiaTheme="minorHAnsi" w:cs="Calibri"/>
          <w:spacing w:val="-1"/>
          <w:position w:val="1"/>
          <w:lang w:eastAsia="en-US"/>
        </w:rPr>
        <w:t xml:space="preserve"> </w:t>
      </w:r>
      <w:r w:rsidRPr="0087286A">
        <w:rPr>
          <w:rFonts w:eastAsiaTheme="minorHAnsi" w:cs="Calibri"/>
          <w:spacing w:val="1"/>
          <w:position w:val="1"/>
          <w:lang w:eastAsia="en-US"/>
        </w:rPr>
        <w:t>o</w:t>
      </w:r>
      <w:r w:rsidRPr="0087286A">
        <w:rPr>
          <w:rFonts w:eastAsiaTheme="minorHAnsi" w:cs="Calibri"/>
          <w:position w:val="1"/>
          <w:lang w:eastAsia="en-US"/>
        </w:rPr>
        <w:t xml:space="preserve">f </w:t>
      </w:r>
      <w:r w:rsidRPr="0087286A">
        <w:rPr>
          <w:rFonts w:eastAsiaTheme="minorHAnsi" w:cs="Calibri"/>
          <w:spacing w:val="1"/>
          <w:position w:val="1"/>
          <w:lang w:eastAsia="en-US"/>
        </w:rPr>
        <w:t>t</w:t>
      </w:r>
      <w:r w:rsidRPr="0087286A">
        <w:rPr>
          <w:rFonts w:eastAsiaTheme="minorHAnsi" w:cs="Calibri"/>
          <w:spacing w:val="-1"/>
          <w:position w:val="1"/>
          <w:lang w:eastAsia="en-US"/>
        </w:rPr>
        <w:t>h</w:t>
      </w:r>
      <w:r w:rsidRPr="0087286A">
        <w:rPr>
          <w:rFonts w:eastAsiaTheme="minorHAnsi" w:cs="Calibri"/>
          <w:position w:val="1"/>
          <w:lang w:eastAsia="en-US"/>
        </w:rPr>
        <w:t>e</w:t>
      </w:r>
      <w:r w:rsidRPr="0087286A">
        <w:rPr>
          <w:rFonts w:eastAsiaTheme="minorHAnsi" w:cs="Calibri"/>
          <w:spacing w:val="1"/>
          <w:position w:val="1"/>
          <w:lang w:eastAsia="en-US"/>
        </w:rPr>
        <w:t xml:space="preserve"> patent applications under the </w:t>
      </w:r>
      <w:proofErr w:type="spellStart"/>
      <w:r w:rsidRPr="0087286A">
        <w:rPr>
          <w:rFonts w:eastAsiaTheme="minorHAnsi" w:cs="Calibri"/>
          <w:spacing w:val="1"/>
          <w:position w:val="1"/>
          <w:lang w:eastAsia="en-US"/>
        </w:rPr>
        <w:t>P</w:t>
      </w:r>
      <w:r w:rsidRPr="0087286A">
        <w:rPr>
          <w:rFonts w:eastAsiaTheme="minorHAnsi" w:cs="Calibri"/>
          <w:position w:val="1"/>
          <w:lang w:eastAsia="en-US"/>
        </w:rPr>
        <w:t>CT</w:t>
      </w:r>
      <w:proofErr w:type="spellEnd"/>
      <w:r w:rsidRPr="0087286A">
        <w:rPr>
          <w:rFonts w:eastAsiaTheme="minorHAnsi" w:cs="Calibri"/>
          <w:position w:val="1"/>
          <w:lang w:eastAsia="en-US"/>
        </w:rPr>
        <w:t xml:space="preserve"> patent system, fi</w:t>
      </w:r>
      <w:r w:rsidRPr="0087286A">
        <w:rPr>
          <w:rFonts w:eastAsiaTheme="minorHAnsi" w:cs="Calibri"/>
          <w:spacing w:val="-1"/>
          <w:position w:val="1"/>
          <w:lang w:eastAsia="en-US"/>
        </w:rPr>
        <w:t>l</w:t>
      </w:r>
      <w:r w:rsidRPr="0087286A">
        <w:rPr>
          <w:rFonts w:eastAsiaTheme="minorHAnsi" w:cs="Calibri"/>
          <w:position w:val="1"/>
          <w:lang w:eastAsia="en-US"/>
        </w:rPr>
        <w:t>ed</w:t>
      </w:r>
      <w:r w:rsidRPr="0087286A">
        <w:rPr>
          <w:rFonts w:eastAsiaTheme="minorHAnsi" w:cs="Calibri"/>
          <w:spacing w:val="7"/>
          <w:position w:val="1"/>
          <w:lang w:eastAsia="en-US"/>
        </w:rPr>
        <w:t xml:space="preserve"> </w:t>
      </w:r>
      <w:r w:rsidRPr="0087286A">
        <w:rPr>
          <w:rFonts w:eastAsiaTheme="minorHAnsi" w:cs="Calibri"/>
          <w:spacing w:val="-1"/>
          <w:position w:val="1"/>
          <w:lang w:eastAsia="en-US"/>
        </w:rPr>
        <w:t>b</w:t>
      </w:r>
      <w:r w:rsidRPr="0087286A">
        <w:rPr>
          <w:rFonts w:eastAsiaTheme="minorHAnsi" w:cs="Calibri"/>
          <w:position w:val="1"/>
          <w:lang w:eastAsia="en-US"/>
        </w:rPr>
        <w:t>e</w:t>
      </w:r>
      <w:r w:rsidRPr="0087286A">
        <w:rPr>
          <w:rFonts w:eastAsiaTheme="minorHAnsi" w:cs="Calibri"/>
          <w:spacing w:val="-1"/>
          <w:position w:val="1"/>
          <w:lang w:eastAsia="en-US"/>
        </w:rPr>
        <w:t>t</w:t>
      </w:r>
      <w:r w:rsidRPr="0087286A">
        <w:rPr>
          <w:rFonts w:eastAsiaTheme="minorHAnsi" w:cs="Calibri"/>
          <w:position w:val="1"/>
          <w:lang w:eastAsia="en-US"/>
        </w:rPr>
        <w:t>w</w:t>
      </w:r>
      <w:r w:rsidRPr="0087286A">
        <w:rPr>
          <w:rFonts w:eastAsiaTheme="minorHAnsi" w:cs="Calibri"/>
          <w:spacing w:val="1"/>
          <w:position w:val="1"/>
          <w:lang w:eastAsia="en-US"/>
        </w:rPr>
        <w:t>e</w:t>
      </w:r>
      <w:r w:rsidRPr="0087286A">
        <w:rPr>
          <w:rFonts w:eastAsiaTheme="minorHAnsi" w:cs="Calibri"/>
          <w:position w:val="1"/>
          <w:lang w:eastAsia="en-US"/>
        </w:rPr>
        <w:t>en</w:t>
      </w:r>
      <w:r w:rsidRPr="0087286A">
        <w:rPr>
          <w:rFonts w:eastAsiaTheme="minorHAnsi" w:cs="Calibri"/>
          <w:spacing w:val="5"/>
          <w:position w:val="1"/>
          <w:lang w:eastAsia="en-US"/>
        </w:rPr>
        <w:t xml:space="preserve"> </w:t>
      </w:r>
      <w:r w:rsidRPr="0087286A">
        <w:rPr>
          <w:rFonts w:eastAsiaTheme="minorHAnsi" w:cs="Calibri"/>
          <w:spacing w:val="1"/>
          <w:position w:val="1"/>
          <w:lang w:eastAsia="en-US"/>
        </w:rPr>
        <w:t>2</w:t>
      </w:r>
      <w:r w:rsidRPr="0087286A">
        <w:rPr>
          <w:rFonts w:eastAsiaTheme="minorHAnsi" w:cs="Calibri"/>
          <w:spacing w:val="-2"/>
          <w:position w:val="1"/>
          <w:lang w:eastAsia="en-US"/>
        </w:rPr>
        <w:t>0</w:t>
      </w:r>
      <w:r w:rsidRPr="0087286A">
        <w:rPr>
          <w:rFonts w:eastAsiaTheme="minorHAnsi" w:cs="Calibri"/>
          <w:spacing w:val="1"/>
          <w:position w:val="1"/>
          <w:lang w:eastAsia="en-US"/>
        </w:rPr>
        <w:t>0</w:t>
      </w:r>
      <w:r w:rsidRPr="0087286A">
        <w:rPr>
          <w:rFonts w:eastAsiaTheme="minorHAnsi" w:cs="Calibri"/>
          <w:position w:val="1"/>
          <w:lang w:eastAsia="en-US"/>
        </w:rPr>
        <w:t>6</w:t>
      </w:r>
      <w:r w:rsidRPr="0087286A">
        <w:rPr>
          <w:rFonts w:eastAsiaTheme="minorHAnsi" w:cs="Calibri"/>
          <w:spacing w:val="8"/>
          <w:position w:val="1"/>
          <w:lang w:eastAsia="en-US"/>
        </w:rPr>
        <w:t xml:space="preserve"> </w:t>
      </w:r>
      <w:r w:rsidRPr="0087286A">
        <w:rPr>
          <w:rFonts w:eastAsiaTheme="minorHAnsi" w:cs="Calibri"/>
          <w:position w:val="1"/>
          <w:lang w:eastAsia="en-US"/>
        </w:rPr>
        <w:t>a</w:t>
      </w:r>
      <w:r w:rsidRPr="0087286A">
        <w:rPr>
          <w:rFonts w:eastAsiaTheme="minorHAnsi" w:cs="Calibri"/>
          <w:spacing w:val="-1"/>
          <w:position w:val="1"/>
          <w:lang w:eastAsia="en-US"/>
        </w:rPr>
        <w:t>n</w:t>
      </w:r>
      <w:r w:rsidRPr="0087286A">
        <w:rPr>
          <w:rFonts w:eastAsiaTheme="minorHAnsi" w:cs="Calibri"/>
          <w:position w:val="1"/>
          <w:lang w:eastAsia="en-US"/>
        </w:rPr>
        <w:t>d</w:t>
      </w:r>
      <w:r w:rsidRPr="0087286A">
        <w:rPr>
          <w:rFonts w:eastAsiaTheme="minorHAnsi" w:cs="Calibri"/>
          <w:spacing w:val="7"/>
          <w:position w:val="1"/>
          <w:lang w:eastAsia="en-US"/>
        </w:rPr>
        <w:t xml:space="preserve"> </w:t>
      </w:r>
      <w:r w:rsidRPr="0087286A">
        <w:rPr>
          <w:rFonts w:eastAsiaTheme="minorHAnsi" w:cs="Calibri"/>
          <w:spacing w:val="-2"/>
          <w:position w:val="1"/>
          <w:lang w:eastAsia="en-US"/>
        </w:rPr>
        <w:t>2</w:t>
      </w:r>
      <w:r w:rsidRPr="0087286A">
        <w:rPr>
          <w:rFonts w:eastAsiaTheme="minorHAnsi" w:cs="Calibri"/>
          <w:spacing w:val="1"/>
          <w:position w:val="1"/>
          <w:lang w:eastAsia="en-US"/>
        </w:rPr>
        <w:t>0</w:t>
      </w:r>
      <w:r w:rsidRPr="0087286A">
        <w:rPr>
          <w:rFonts w:eastAsiaTheme="minorHAnsi" w:cs="Calibri"/>
          <w:spacing w:val="-2"/>
          <w:position w:val="1"/>
          <w:lang w:eastAsia="en-US"/>
        </w:rPr>
        <w:t>1</w:t>
      </w:r>
      <w:r w:rsidRPr="0087286A">
        <w:rPr>
          <w:rFonts w:eastAsiaTheme="minorHAnsi" w:cs="Calibri"/>
          <w:position w:val="1"/>
          <w:lang w:eastAsia="en-US"/>
        </w:rPr>
        <w:t>2</w:t>
      </w:r>
      <w:r w:rsidRPr="0087286A">
        <w:rPr>
          <w:rFonts w:eastAsiaTheme="minorHAnsi" w:cs="Calibri"/>
          <w:spacing w:val="8"/>
          <w:position w:val="1"/>
          <w:lang w:eastAsia="en-US"/>
        </w:rPr>
        <w:t xml:space="preserve"> </w:t>
      </w:r>
      <w:r w:rsidRPr="0087286A">
        <w:rPr>
          <w:rFonts w:eastAsiaTheme="minorHAnsi" w:cs="Calibri"/>
          <w:spacing w:val="-1"/>
          <w:position w:val="1"/>
          <w:lang w:eastAsia="en-US"/>
        </w:rPr>
        <w:t>b</w:t>
      </w:r>
      <w:r w:rsidRPr="0087286A">
        <w:rPr>
          <w:rFonts w:eastAsiaTheme="minorHAnsi" w:cs="Calibri"/>
          <w:position w:val="1"/>
          <w:lang w:eastAsia="en-US"/>
        </w:rPr>
        <w:t>y</w:t>
      </w:r>
      <w:r w:rsidRPr="0087286A">
        <w:rPr>
          <w:rFonts w:eastAsiaTheme="minorHAnsi" w:cs="Calibri"/>
          <w:spacing w:val="8"/>
          <w:position w:val="1"/>
          <w:lang w:eastAsia="en-US"/>
        </w:rPr>
        <w:t xml:space="preserve"> </w:t>
      </w:r>
      <w:r w:rsidRPr="0087286A">
        <w:rPr>
          <w:rFonts w:eastAsiaTheme="minorHAnsi" w:cs="Calibri"/>
          <w:position w:val="1"/>
          <w:lang w:eastAsia="en-US"/>
        </w:rPr>
        <w:t>fi</w:t>
      </w:r>
      <w:r w:rsidRPr="0087286A">
        <w:rPr>
          <w:rFonts w:eastAsiaTheme="minorHAnsi" w:cs="Calibri"/>
          <w:spacing w:val="-1"/>
          <w:position w:val="1"/>
          <w:lang w:eastAsia="en-US"/>
        </w:rPr>
        <w:t>r</w:t>
      </w:r>
      <w:r w:rsidRPr="0087286A">
        <w:rPr>
          <w:rFonts w:eastAsiaTheme="minorHAnsi" w:cs="Calibri"/>
          <w:position w:val="1"/>
          <w:lang w:eastAsia="en-US"/>
        </w:rPr>
        <w:t>s</w:t>
      </w:r>
      <w:r w:rsidRPr="0087286A">
        <w:rPr>
          <w:rFonts w:eastAsiaTheme="minorHAnsi" w:cs="Calibri"/>
          <w:spacing w:val="3"/>
          <w:position w:val="1"/>
          <w:lang w:eastAsia="en-US"/>
        </w:rPr>
        <w:t>t</w:t>
      </w:r>
      <w:r w:rsidRPr="0087286A">
        <w:rPr>
          <w:rFonts w:eastAsiaTheme="minorHAnsi" w:cs="Calibri"/>
          <w:position w:val="1"/>
          <w:lang w:eastAsia="en-US"/>
        </w:rPr>
        <w:t>-</w:t>
      </w:r>
      <w:r w:rsidRPr="0087286A">
        <w:rPr>
          <w:rFonts w:eastAsiaTheme="minorHAnsi" w:cs="Calibri"/>
          <w:spacing w:val="-1"/>
          <w:position w:val="1"/>
          <w:lang w:eastAsia="en-US"/>
        </w:rPr>
        <w:t>n</w:t>
      </w:r>
      <w:r w:rsidRPr="0087286A">
        <w:rPr>
          <w:rFonts w:eastAsiaTheme="minorHAnsi" w:cs="Calibri"/>
          <w:spacing w:val="-3"/>
          <w:position w:val="1"/>
          <w:lang w:eastAsia="en-US"/>
        </w:rPr>
        <w:t>a</w:t>
      </w:r>
      <w:r w:rsidRPr="0087286A">
        <w:rPr>
          <w:rFonts w:eastAsiaTheme="minorHAnsi" w:cs="Calibri"/>
          <w:spacing w:val="1"/>
          <w:position w:val="1"/>
          <w:lang w:eastAsia="en-US"/>
        </w:rPr>
        <w:t>m</w:t>
      </w:r>
      <w:r w:rsidRPr="0087286A">
        <w:rPr>
          <w:rFonts w:eastAsiaTheme="minorHAnsi" w:cs="Calibri"/>
          <w:position w:val="1"/>
          <w:lang w:eastAsia="en-US"/>
        </w:rPr>
        <w:t>ed</w:t>
      </w:r>
      <w:r w:rsidRPr="0087286A">
        <w:rPr>
          <w:rFonts w:eastAsiaTheme="minorHAnsi" w:cs="Calibri"/>
          <w:spacing w:val="7"/>
          <w:position w:val="1"/>
          <w:lang w:eastAsia="en-US"/>
        </w:rPr>
        <w:t xml:space="preserve"> </w:t>
      </w:r>
      <w:r w:rsidRPr="0087286A">
        <w:rPr>
          <w:rFonts w:eastAsiaTheme="minorHAnsi" w:cs="Calibri"/>
          <w:position w:val="1"/>
          <w:lang w:eastAsia="en-US"/>
        </w:rPr>
        <w:t>A</w:t>
      </w:r>
      <w:r w:rsidRPr="0087286A">
        <w:rPr>
          <w:rFonts w:eastAsiaTheme="minorHAnsi" w:cs="Calibri"/>
          <w:spacing w:val="-1"/>
          <w:position w:val="1"/>
          <w:lang w:eastAsia="en-US"/>
        </w:rPr>
        <w:t>u</w:t>
      </w:r>
      <w:r w:rsidRPr="0087286A">
        <w:rPr>
          <w:rFonts w:eastAsiaTheme="minorHAnsi" w:cs="Calibri"/>
          <w:position w:val="1"/>
          <w:lang w:eastAsia="en-US"/>
        </w:rPr>
        <w:t>stralian</w:t>
      </w:r>
      <w:r w:rsidRPr="0087286A">
        <w:rPr>
          <w:rFonts w:eastAsiaTheme="minorHAnsi" w:cs="Calibri"/>
          <w:spacing w:val="7"/>
          <w:position w:val="1"/>
          <w:lang w:eastAsia="en-US"/>
        </w:rPr>
        <w:t xml:space="preserve"> </w:t>
      </w:r>
      <w:r w:rsidRPr="0087286A">
        <w:rPr>
          <w:rFonts w:eastAsiaTheme="minorHAnsi" w:cs="Calibri"/>
          <w:position w:val="1"/>
          <w:lang w:eastAsia="en-US"/>
        </w:rPr>
        <w:t>a</w:t>
      </w:r>
      <w:r w:rsidRPr="0087286A">
        <w:rPr>
          <w:rFonts w:eastAsiaTheme="minorHAnsi" w:cs="Calibri"/>
          <w:spacing w:val="-1"/>
          <w:position w:val="1"/>
          <w:lang w:eastAsia="en-US"/>
        </w:rPr>
        <w:t>pp</w:t>
      </w:r>
      <w:r w:rsidRPr="0087286A">
        <w:rPr>
          <w:rFonts w:eastAsiaTheme="minorHAnsi" w:cs="Calibri"/>
          <w:position w:val="1"/>
          <w:lang w:eastAsia="en-US"/>
        </w:rPr>
        <w:t>lica</w:t>
      </w:r>
      <w:r w:rsidRPr="0087286A">
        <w:rPr>
          <w:rFonts w:eastAsiaTheme="minorHAnsi" w:cs="Calibri"/>
          <w:spacing w:val="-1"/>
          <w:position w:val="1"/>
          <w:lang w:eastAsia="en-US"/>
        </w:rPr>
        <w:t>n</w:t>
      </w:r>
      <w:r w:rsidRPr="0087286A">
        <w:rPr>
          <w:rFonts w:eastAsiaTheme="minorHAnsi" w:cs="Calibri"/>
          <w:position w:val="1"/>
          <w:lang w:eastAsia="en-US"/>
        </w:rPr>
        <w:t>ts.</w:t>
      </w:r>
    </w:p>
    <w:p w14:paraId="40C983A2" w14:textId="77777777" w:rsidR="0087286A" w:rsidRPr="0087286A" w:rsidRDefault="0087286A" w:rsidP="0087286A">
      <w:pPr>
        <w:rPr>
          <w:rFonts w:eastAsiaTheme="minorHAnsi"/>
          <w:lang w:eastAsia="en-US"/>
        </w:rPr>
      </w:pPr>
      <w:r w:rsidRPr="0087286A">
        <w:rPr>
          <w:rFonts w:eastAsiaTheme="minorHAnsi"/>
          <w:lang w:eastAsia="en-US"/>
        </w:rPr>
        <w:t>To put these figures into a context:</w:t>
      </w:r>
    </w:p>
    <w:p w14:paraId="40C983A3"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 xml:space="preserve">The origin of the inventions is a key factor in the subsequent management of the intellectual property.   Approximately 30% of these assets have arisen during research collaborations with other parties, be they industrial partners, government research institutes or university </w:t>
      </w:r>
      <w:r w:rsidRPr="0087286A">
        <w:rPr>
          <w:lang w:eastAsia="zh-CN"/>
        </w:rPr>
        <w:lastRenderedPageBreak/>
        <w:t xml:space="preserve">collaborators.  Where a commercial collaborator is involved during the conduct of the research, that collaborator will generally have either a licence, or first rights to take a licence, to use the intellectual property for commercial purposes;  </w:t>
      </w:r>
    </w:p>
    <w:p w14:paraId="40C983A4"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Considering the 660  families of patents or patent applications, 380 of these (58%) have arisen from science conducted by CSIRO where that science has not been funded by third party funds;</w:t>
      </w:r>
    </w:p>
    <w:p w14:paraId="40C983A5"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In a competitive global field, it is often appropriate to make an application for patent coverage early after the initial discovery and demonstration of the invention.  However it commonly takes many years to take an invention from its proof of concept stage to a commercially attractive technology.   For these reasons, a patent portfolio is expected to include intellectual property for which licenses have not been entered;</w:t>
      </w:r>
    </w:p>
    <w:p w14:paraId="40C983A6"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280 patents (42% of all CSIRO’s patents or patent applications) are the subject of a research use licence and 172 (or 26%) are the subject of commercial license rights.  {There is some overlap in these license numbers  because some of patents are licensed  (non-exclusively)  to a commercial partner, but are also subject to separate research license rights to develop up other applications, for example.  This overlap is often the case where the patent covers “platform” intellectual property  and so is non-exclusively licensed – for example, for different gene silencing applications};</w:t>
      </w:r>
    </w:p>
    <w:p w14:paraId="40C983A7"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 xml:space="preserve">The CSIRO patent portfolio includes 380 patent/ patent application families which are not as yet licensed, 70% of this 380 being not as yet published through the patent system due to being inventions made in recent time periods (i.e. not available to the public as yet, but will be disclosed by the Patent Office as the patent application progress);  </w:t>
      </w:r>
    </w:p>
    <w:p w14:paraId="40C983A8"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Most of CSIRO’s plant varieties are licensed (76 are licensed);</w:t>
      </w:r>
    </w:p>
    <w:p w14:paraId="40C983A9" w14:textId="77777777" w:rsidR="0087286A" w:rsidRPr="0087286A" w:rsidRDefault="0087286A" w:rsidP="00855D5A">
      <w:pPr>
        <w:numPr>
          <w:ilvl w:val="0"/>
          <w:numId w:val="9"/>
        </w:numPr>
        <w:spacing w:before="120"/>
        <w:ind w:left="714" w:hanging="357"/>
        <w:contextualSpacing/>
        <w:rPr>
          <w:lang w:eastAsia="zh-CN"/>
        </w:rPr>
      </w:pPr>
      <w:r w:rsidRPr="0087286A">
        <w:rPr>
          <w:lang w:eastAsia="zh-CN"/>
        </w:rPr>
        <w:t>CSIRO also maintains 230 trademarks, 20 of which are licensed;</w:t>
      </w:r>
    </w:p>
    <w:p w14:paraId="40C983AA" w14:textId="77777777" w:rsidR="0087286A" w:rsidRPr="0087286A" w:rsidRDefault="0087286A" w:rsidP="00855D5A">
      <w:pPr>
        <w:numPr>
          <w:ilvl w:val="0"/>
          <w:numId w:val="9"/>
        </w:numPr>
        <w:spacing w:before="120"/>
        <w:contextualSpacing/>
        <w:rPr>
          <w:lang w:eastAsia="zh-CN"/>
        </w:rPr>
      </w:pPr>
      <w:r w:rsidRPr="0087286A">
        <w:rPr>
          <w:lang w:eastAsia="zh-CN"/>
        </w:rPr>
        <w:t xml:space="preserve">58% of CSIRO’s licensees (both from our registered IP assets and </w:t>
      </w:r>
      <w:proofErr w:type="spellStart"/>
      <w:r w:rsidRPr="0087286A">
        <w:rPr>
          <w:lang w:eastAsia="zh-CN"/>
        </w:rPr>
        <w:t>non registered</w:t>
      </w:r>
      <w:proofErr w:type="spellEnd"/>
      <w:r w:rsidRPr="0087286A">
        <w:rPr>
          <w:lang w:eastAsia="zh-CN"/>
        </w:rPr>
        <w:t xml:space="preserve"> rights) are Australian.</w:t>
      </w:r>
    </w:p>
    <w:p w14:paraId="40C983AB" w14:textId="77777777" w:rsidR="0087286A" w:rsidRPr="0087286A" w:rsidRDefault="0087286A" w:rsidP="00E11975">
      <w:pPr>
        <w:rPr>
          <w:rFonts w:eastAsiaTheme="minorHAnsi" w:cs="Arial"/>
          <w:lang w:eastAsia="en-US"/>
        </w:rPr>
      </w:pPr>
      <w:r w:rsidRPr="0087286A">
        <w:rPr>
          <w:rFonts w:eastAsiaTheme="minorHAnsi"/>
          <w:noProof/>
          <w:lang w:eastAsia="en-US"/>
        </w:rPr>
        <w:t xml:space="preserve">Recently, CSIRO has reviewed and streamlined its patent portfolio to include only significant or platform technologies. Following this, CSIRO still holds more than twice as many patent families in its </w:t>
      </w:r>
      <w:r w:rsidRPr="0087286A">
        <w:rPr>
          <w:rFonts w:eastAsiaTheme="minorHAnsi"/>
          <w:noProof/>
          <w:lang w:eastAsia="en-US"/>
        </w:rPr>
        <w:lastRenderedPageBreak/>
        <w:t>portfolio as the most patent-intensive Australian university.</w:t>
      </w:r>
      <w:r w:rsidRPr="0087286A">
        <w:rPr>
          <w:rFonts w:eastAsiaTheme="minorHAnsi" w:cs="Arial"/>
          <w:lang w:eastAsia="en-US"/>
        </w:rPr>
        <w:t xml:space="preserve"> </w:t>
      </w:r>
      <w:r w:rsidRPr="0087286A">
        <w:rPr>
          <w:rFonts w:eastAsiaTheme="minorHAnsi" w:cs="Arial"/>
          <w:noProof/>
        </w:rPr>
        <w:drawing>
          <wp:inline distT="0" distB="0" distL="0" distR="0" wp14:anchorId="40C983BB" wp14:editId="23BD7D01">
            <wp:extent cx="6178299" cy="3216585"/>
            <wp:effectExtent l="0" t="0" r="0" b="3175"/>
            <wp:docPr id="3" name="Chart 1" descr="chart shows that CSIRO holds 1330 families (37.9%) of the total, ahead of University of Queensland with 534 families (15.2%), and the University of Sydney with 437 families (12.5%)" title="Pie chart of Australian generated patent families by univers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C983AC" w14:textId="77777777" w:rsidR="00E11975" w:rsidRDefault="00E11975" w:rsidP="00E11975">
      <w:pPr>
        <w:pStyle w:val="Caption"/>
        <w:rPr>
          <w:rFonts w:cstheme="minorHAnsi"/>
          <w:noProof/>
          <w:color w:val="000000"/>
        </w:rPr>
      </w:pPr>
      <w:r>
        <w:t xml:space="preserve">Figure </w:t>
      </w:r>
      <w:fldSimple w:instr=" SEQ Figure \* ARABIC ">
        <w:r w:rsidR="000E7578">
          <w:rPr>
            <w:noProof/>
          </w:rPr>
          <w:t>3</w:t>
        </w:r>
      </w:fldSimple>
      <w:r>
        <w:t>: Australian generated p</w:t>
      </w:r>
      <w:r w:rsidRPr="00E11975">
        <w:t>atent families which have an EP, US or WO publication between 2000-01-01 and 2011-12-31</w:t>
      </w:r>
      <w:r>
        <w:rPr>
          <w:rStyle w:val="EndnoteReference"/>
        </w:rPr>
        <w:endnoteReference w:id="15"/>
      </w:r>
    </w:p>
    <w:p w14:paraId="40C983AD" w14:textId="77777777" w:rsidR="0087286A" w:rsidRPr="0087286A" w:rsidRDefault="0087286A" w:rsidP="0087286A">
      <w:pPr>
        <w:rPr>
          <w:rFonts w:eastAsiaTheme="minorHAnsi"/>
          <w:noProof/>
          <w:lang w:eastAsia="en-US"/>
        </w:rPr>
      </w:pPr>
      <w:r w:rsidRPr="0087286A">
        <w:rPr>
          <w:rFonts w:eastAsiaTheme="minorHAnsi"/>
          <w:noProof/>
          <w:lang w:eastAsia="en-US"/>
        </w:rPr>
        <w:t xml:space="preserve">CSIRO maintains patent portfolio numbers that are comparable with the </w:t>
      </w:r>
      <w:r w:rsidRPr="0087286A">
        <w:rPr>
          <w:rFonts w:eastAsiaTheme="minorHAnsi"/>
          <w:i/>
          <w:noProof/>
          <w:lang w:eastAsia="en-US"/>
        </w:rPr>
        <w:t>aggregated</w:t>
      </w:r>
      <w:r w:rsidRPr="0087286A">
        <w:rPr>
          <w:rFonts w:eastAsiaTheme="minorHAnsi"/>
          <w:noProof/>
          <w:lang w:eastAsia="en-US"/>
        </w:rPr>
        <w:t xml:space="preserve"> university patent portfolio (as reflected in the 2010 KCA Commercialisation Metrics Report).  As described above, the recent decline in patent numbers held by CSIRO reflects a recent streamlining of CSIRO’s patent portfolio:</w:t>
      </w:r>
    </w:p>
    <w:p w14:paraId="40C983AE" w14:textId="77777777" w:rsidR="0087286A" w:rsidRPr="0087286A" w:rsidRDefault="0087286A" w:rsidP="0087286A">
      <w:pPr>
        <w:autoSpaceDE w:val="0"/>
        <w:autoSpaceDN w:val="0"/>
        <w:adjustRightInd w:val="0"/>
        <w:spacing w:before="40" w:after="160" w:line="250" w:lineRule="atLeast"/>
        <w:textAlignment w:val="baseline"/>
        <w:rPr>
          <w:rFonts w:cstheme="minorHAnsi"/>
          <w:noProof/>
          <w:color w:val="000000"/>
        </w:rPr>
      </w:pPr>
      <w:r w:rsidRPr="0087286A">
        <w:rPr>
          <w:rFonts w:cstheme="minorHAnsi"/>
          <w:noProof/>
          <w:color w:val="000000"/>
        </w:rPr>
        <w:t xml:space="preserve"> </w:t>
      </w:r>
      <w:r w:rsidRPr="0087286A">
        <w:rPr>
          <w:rFonts w:cstheme="minorHAnsi"/>
          <w:noProof/>
          <w:color w:val="000000"/>
        </w:rPr>
        <w:drawing>
          <wp:inline distT="0" distB="0" distL="0" distR="0" wp14:anchorId="40C983BD" wp14:editId="2F5DFF08">
            <wp:extent cx="6178934" cy="2690037"/>
            <wp:effectExtent l="0" t="0" r="0" b="0"/>
            <wp:docPr id="4" name="Chart 1" descr="Shows a recent decline in patent numbers held by CSIRO due to a streamlining of CSIRO's patent portfolio" title="Bar chart of Australian patents held by CSIRO and universities 2003-2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0C983AF" w14:textId="77777777" w:rsidR="00F169A6" w:rsidRDefault="00F169A6" w:rsidP="00F169A6">
      <w:pPr>
        <w:pStyle w:val="Caption"/>
        <w:rPr>
          <w:rFonts w:cstheme="minorHAnsi"/>
          <w:noProof/>
          <w:color w:val="000000"/>
          <w:szCs w:val="22"/>
        </w:rPr>
      </w:pPr>
      <w:r>
        <w:t xml:space="preserve">Figure </w:t>
      </w:r>
      <w:fldSimple w:instr=" SEQ Figure \* ARABIC ">
        <w:r w:rsidR="000E7578">
          <w:rPr>
            <w:noProof/>
          </w:rPr>
          <w:t>4</w:t>
        </w:r>
      </w:fldSimple>
      <w:r>
        <w:t>: Australian patents held 2003-2010</w:t>
      </w:r>
      <w:r>
        <w:rPr>
          <w:rStyle w:val="EndnoteReference"/>
        </w:rPr>
        <w:endnoteReference w:id="16"/>
      </w:r>
    </w:p>
    <w:p w14:paraId="40C983B0" w14:textId="77777777" w:rsidR="0087286A" w:rsidRPr="0087286A" w:rsidRDefault="0087286A" w:rsidP="0087286A">
      <w:pPr>
        <w:keepNext/>
        <w:keepLines/>
        <w:spacing w:before="200"/>
        <w:outlineLvl w:val="1"/>
        <w:rPr>
          <w:rFonts w:asciiTheme="majorHAnsi" w:eastAsiaTheme="majorEastAsia" w:hAnsiTheme="majorHAnsi" w:cstheme="majorBidi"/>
          <w:b/>
          <w:bCs/>
          <w:color w:val="4F81BD" w:themeColor="accent1"/>
          <w:sz w:val="26"/>
          <w:szCs w:val="26"/>
          <w:lang w:eastAsia="en-US"/>
        </w:rPr>
      </w:pPr>
      <w:r w:rsidRPr="0087286A">
        <w:rPr>
          <w:rFonts w:asciiTheme="majorHAnsi" w:eastAsiaTheme="majorEastAsia" w:hAnsiTheme="majorHAnsi" w:cstheme="majorBidi"/>
          <w:b/>
          <w:bCs/>
          <w:color w:val="4F81BD" w:themeColor="accent1"/>
          <w:sz w:val="26"/>
          <w:szCs w:val="26"/>
          <w:lang w:eastAsia="en-US"/>
        </w:rPr>
        <w:lastRenderedPageBreak/>
        <w:t xml:space="preserve">Issues that arise:  </w:t>
      </w:r>
    </w:p>
    <w:p w14:paraId="40C983B1" w14:textId="77777777" w:rsidR="0087286A" w:rsidRPr="0087286A" w:rsidRDefault="0087286A" w:rsidP="0087286A">
      <w:pPr>
        <w:rPr>
          <w:rFonts w:eastAsiaTheme="minorHAnsi"/>
          <w:lang w:eastAsia="en-US"/>
        </w:rPr>
      </w:pPr>
      <w:r w:rsidRPr="0087286A">
        <w:rPr>
          <w:rFonts w:eastAsiaTheme="minorHAnsi"/>
          <w:lang w:eastAsia="en-US"/>
        </w:rPr>
        <w:t>Anecd</w:t>
      </w:r>
      <w:r w:rsidRPr="0087286A">
        <w:rPr>
          <w:rFonts w:eastAsiaTheme="minorHAnsi"/>
          <w:spacing w:val="1"/>
          <w:lang w:eastAsia="en-US"/>
        </w:rPr>
        <w:t>o</w:t>
      </w:r>
      <w:r w:rsidRPr="0087286A">
        <w:rPr>
          <w:rFonts w:eastAsiaTheme="minorHAnsi"/>
          <w:lang w:eastAsia="en-US"/>
        </w:rPr>
        <w:t>tal</w:t>
      </w:r>
      <w:r w:rsidRPr="0087286A">
        <w:rPr>
          <w:rFonts w:eastAsiaTheme="minorHAnsi"/>
          <w:spacing w:val="-8"/>
          <w:lang w:eastAsia="en-US"/>
        </w:rPr>
        <w:t xml:space="preserve"> </w:t>
      </w:r>
      <w:r w:rsidRPr="0087286A">
        <w:rPr>
          <w:rFonts w:eastAsiaTheme="minorHAnsi"/>
          <w:lang w:eastAsia="en-US"/>
        </w:rPr>
        <w:t>ev</w:t>
      </w:r>
      <w:r w:rsidRPr="0087286A">
        <w:rPr>
          <w:rFonts w:eastAsiaTheme="minorHAnsi"/>
          <w:spacing w:val="1"/>
          <w:lang w:eastAsia="en-US"/>
        </w:rPr>
        <w:t>i</w:t>
      </w:r>
      <w:r w:rsidRPr="0087286A">
        <w:rPr>
          <w:rFonts w:eastAsiaTheme="minorHAnsi"/>
          <w:lang w:eastAsia="en-US"/>
        </w:rPr>
        <w:t>den</w:t>
      </w:r>
      <w:r w:rsidRPr="0087286A">
        <w:rPr>
          <w:rFonts w:eastAsiaTheme="minorHAnsi"/>
          <w:spacing w:val="1"/>
          <w:lang w:eastAsia="en-US"/>
        </w:rPr>
        <w:t>c</w:t>
      </w:r>
      <w:r w:rsidRPr="0087286A">
        <w:rPr>
          <w:rFonts w:eastAsiaTheme="minorHAnsi"/>
          <w:lang w:eastAsia="en-US"/>
        </w:rPr>
        <w:t>e</w:t>
      </w:r>
      <w:r w:rsidRPr="0087286A">
        <w:rPr>
          <w:rFonts w:eastAsiaTheme="minorHAnsi"/>
          <w:spacing w:val="-9"/>
          <w:lang w:eastAsia="en-US"/>
        </w:rPr>
        <w:t xml:space="preserve"> </w:t>
      </w:r>
      <w:r w:rsidRPr="0087286A">
        <w:rPr>
          <w:rFonts w:eastAsiaTheme="minorHAnsi"/>
          <w:spacing w:val="1"/>
          <w:lang w:eastAsia="en-US"/>
        </w:rPr>
        <w:t>i</w:t>
      </w:r>
      <w:r w:rsidRPr="0087286A">
        <w:rPr>
          <w:rFonts w:eastAsiaTheme="minorHAnsi"/>
          <w:lang w:eastAsia="en-US"/>
        </w:rPr>
        <w:t>ndi</w:t>
      </w:r>
      <w:r w:rsidRPr="0087286A">
        <w:rPr>
          <w:rFonts w:eastAsiaTheme="minorHAnsi"/>
          <w:spacing w:val="1"/>
          <w:lang w:eastAsia="en-US"/>
        </w:rPr>
        <w:t>c</w:t>
      </w:r>
      <w:r w:rsidRPr="0087286A">
        <w:rPr>
          <w:rFonts w:eastAsiaTheme="minorHAnsi"/>
          <w:lang w:eastAsia="en-US"/>
        </w:rPr>
        <w:t>ates</w:t>
      </w:r>
      <w:r w:rsidRPr="0087286A">
        <w:rPr>
          <w:rFonts w:eastAsiaTheme="minorHAnsi"/>
          <w:spacing w:val="-6"/>
          <w:lang w:eastAsia="en-US"/>
        </w:rPr>
        <w:t xml:space="preserve"> </w:t>
      </w:r>
      <w:r w:rsidRPr="0087286A">
        <w:rPr>
          <w:rFonts w:eastAsiaTheme="minorHAnsi"/>
          <w:lang w:eastAsia="en-US"/>
        </w:rPr>
        <w:t>th</w:t>
      </w:r>
      <w:r w:rsidRPr="0087286A">
        <w:rPr>
          <w:rFonts w:eastAsiaTheme="minorHAnsi"/>
          <w:spacing w:val="1"/>
          <w:lang w:eastAsia="en-US"/>
        </w:rPr>
        <w:t>a</w:t>
      </w:r>
      <w:r w:rsidRPr="0087286A">
        <w:rPr>
          <w:rFonts w:eastAsiaTheme="minorHAnsi"/>
          <w:lang w:eastAsia="en-US"/>
        </w:rPr>
        <w:t>t</w:t>
      </w:r>
      <w:r w:rsidRPr="0087286A">
        <w:rPr>
          <w:rFonts w:eastAsiaTheme="minorHAnsi"/>
          <w:spacing w:val="-5"/>
          <w:lang w:eastAsia="en-US"/>
        </w:rPr>
        <w:t xml:space="preserve"> </w:t>
      </w:r>
      <w:r w:rsidRPr="0087286A">
        <w:rPr>
          <w:rFonts w:eastAsiaTheme="minorHAnsi"/>
          <w:spacing w:val="1"/>
          <w:lang w:eastAsia="en-US"/>
        </w:rPr>
        <w:t>b</w:t>
      </w:r>
      <w:r w:rsidRPr="0087286A">
        <w:rPr>
          <w:rFonts w:eastAsiaTheme="minorHAnsi"/>
          <w:lang w:eastAsia="en-US"/>
        </w:rPr>
        <w:t>usi</w:t>
      </w:r>
      <w:r w:rsidRPr="0087286A">
        <w:rPr>
          <w:rFonts w:eastAsiaTheme="minorHAnsi"/>
          <w:spacing w:val="1"/>
          <w:lang w:eastAsia="en-US"/>
        </w:rPr>
        <w:t>n</w:t>
      </w:r>
      <w:r w:rsidRPr="0087286A">
        <w:rPr>
          <w:rFonts w:eastAsiaTheme="minorHAnsi"/>
          <w:lang w:eastAsia="en-US"/>
        </w:rPr>
        <w:t>es</w:t>
      </w:r>
      <w:r w:rsidRPr="0087286A">
        <w:rPr>
          <w:rFonts w:eastAsiaTheme="minorHAnsi"/>
          <w:spacing w:val="1"/>
          <w:lang w:eastAsia="en-US"/>
        </w:rPr>
        <w:t>s</w:t>
      </w:r>
      <w:r w:rsidRPr="0087286A">
        <w:rPr>
          <w:rFonts w:eastAsiaTheme="minorHAnsi"/>
          <w:lang w:eastAsia="en-US"/>
        </w:rPr>
        <w:t>es,</w:t>
      </w:r>
      <w:r w:rsidRPr="0087286A">
        <w:rPr>
          <w:rFonts w:eastAsiaTheme="minorHAnsi"/>
          <w:spacing w:val="-8"/>
          <w:lang w:eastAsia="en-US"/>
        </w:rPr>
        <w:t xml:space="preserve"> </w:t>
      </w:r>
      <w:r w:rsidRPr="0087286A">
        <w:rPr>
          <w:rFonts w:eastAsiaTheme="minorHAnsi"/>
          <w:lang w:eastAsia="en-US"/>
        </w:rPr>
        <w:t>parti</w:t>
      </w:r>
      <w:r w:rsidRPr="0087286A">
        <w:rPr>
          <w:rFonts w:eastAsiaTheme="minorHAnsi"/>
          <w:spacing w:val="1"/>
          <w:lang w:eastAsia="en-US"/>
        </w:rPr>
        <w:t>cu</w:t>
      </w:r>
      <w:r w:rsidRPr="0087286A">
        <w:rPr>
          <w:rFonts w:eastAsiaTheme="minorHAnsi"/>
          <w:lang w:eastAsia="en-US"/>
        </w:rPr>
        <w:t>larly</w:t>
      </w:r>
      <w:r w:rsidRPr="0087286A">
        <w:rPr>
          <w:rFonts w:eastAsiaTheme="minorHAnsi"/>
          <w:spacing w:val="-10"/>
          <w:lang w:eastAsia="en-US"/>
        </w:rPr>
        <w:t xml:space="preserve"> </w:t>
      </w:r>
      <w:r w:rsidRPr="0087286A">
        <w:rPr>
          <w:rFonts w:eastAsiaTheme="minorHAnsi"/>
          <w:lang w:eastAsia="en-US"/>
        </w:rPr>
        <w:t>small and medium sized firms,</w:t>
      </w:r>
      <w:r w:rsidRPr="0087286A">
        <w:rPr>
          <w:rFonts w:eastAsiaTheme="minorHAnsi"/>
          <w:spacing w:val="-6"/>
          <w:lang w:eastAsia="en-US"/>
        </w:rPr>
        <w:t xml:space="preserve"> </w:t>
      </w:r>
      <w:r w:rsidRPr="0087286A">
        <w:rPr>
          <w:rFonts w:eastAsiaTheme="minorHAnsi"/>
          <w:lang w:eastAsia="en-US"/>
        </w:rPr>
        <w:t>find</w:t>
      </w:r>
      <w:r w:rsidRPr="0087286A">
        <w:rPr>
          <w:rFonts w:eastAsiaTheme="minorHAnsi"/>
          <w:spacing w:val="-3"/>
          <w:lang w:eastAsia="en-US"/>
        </w:rPr>
        <w:t xml:space="preserve"> </w:t>
      </w:r>
      <w:r w:rsidRPr="0087286A">
        <w:rPr>
          <w:rFonts w:eastAsiaTheme="minorHAnsi"/>
          <w:lang w:eastAsia="en-US"/>
        </w:rPr>
        <w:t>the</w:t>
      </w:r>
      <w:r w:rsidRPr="0087286A">
        <w:rPr>
          <w:rFonts w:eastAsiaTheme="minorHAnsi"/>
          <w:spacing w:val="-3"/>
          <w:lang w:eastAsia="en-US"/>
        </w:rPr>
        <w:t xml:space="preserve"> </w:t>
      </w:r>
      <w:r w:rsidRPr="0087286A">
        <w:rPr>
          <w:rFonts w:eastAsiaTheme="minorHAnsi"/>
          <w:lang w:eastAsia="en-US"/>
        </w:rPr>
        <w:t>“nati</w:t>
      </w:r>
      <w:r w:rsidRPr="0087286A">
        <w:rPr>
          <w:rFonts w:eastAsiaTheme="minorHAnsi"/>
          <w:spacing w:val="1"/>
          <w:lang w:eastAsia="en-US"/>
        </w:rPr>
        <w:t>o</w:t>
      </w:r>
      <w:r w:rsidRPr="0087286A">
        <w:rPr>
          <w:rFonts w:eastAsiaTheme="minorHAnsi"/>
          <w:lang w:eastAsia="en-US"/>
        </w:rPr>
        <w:t>nal</w:t>
      </w:r>
      <w:r w:rsidRPr="0087286A">
        <w:rPr>
          <w:rFonts w:eastAsiaTheme="minorHAnsi"/>
          <w:spacing w:val="-8"/>
          <w:lang w:eastAsia="en-US"/>
        </w:rPr>
        <w:t xml:space="preserve"> </w:t>
      </w:r>
      <w:r w:rsidRPr="0087286A">
        <w:rPr>
          <w:rFonts w:eastAsiaTheme="minorHAnsi"/>
          <w:lang w:eastAsia="en-US"/>
        </w:rPr>
        <w:t>innovati</w:t>
      </w:r>
      <w:r w:rsidRPr="0087286A">
        <w:rPr>
          <w:rFonts w:eastAsiaTheme="minorHAnsi"/>
          <w:spacing w:val="1"/>
          <w:lang w:eastAsia="en-US"/>
        </w:rPr>
        <w:t>o</w:t>
      </w:r>
      <w:r w:rsidRPr="0087286A">
        <w:rPr>
          <w:rFonts w:eastAsiaTheme="minorHAnsi"/>
          <w:lang w:eastAsia="en-US"/>
        </w:rPr>
        <w:t>n system”</w:t>
      </w:r>
      <w:r w:rsidRPr="0087286A">
        <w:rPr>
          <w:rFonts w:eastAsiaTheme="minorHAnsi"/>
          <w:spacing w:val="-7"/>
          <w:lang w:eastAsia="en-US"/>
        </w:rPr>
        <w:t xml:space="preserve"> </w:t>
      </w:r>
      <w:r w:rsidRPr="0087286A">
        <w:rPr>
          <w:rFonts w:eastAsiaTheme="minorHAnsi"/>
          <w:lang w:eastAsia="en-US"/>
        </w:rPr>
        <w:t>co</w:t>
      </w:r>
      <w:r w:rsidRPr="0087286A">
        <w:rPr>
          <w:rFonts w:eastAsiaTheme="minorHAnsi"/>
          <w:spacing w:val="1"/>
          <w:lang w:eastAsia="en-US"/>
        </w:rPr>
        <w:t>m</w:t>
      </w:r>
      <w:r w:rsidRPr="0087286A">
        <w:rPr>
          <w:rFonts w:eastAsiaTheme="minorHAnsi"/>
          <w:lang w:eastAsia="en-US"/>
        </w:rPr>
        <w:t>plex</w:t>
      </w:r>
      <w:r w:rsidRPr="0087286A">
        <w:rPr>
          <w:rFonts w:eastAsiaTheme="minorHAnsi"/>
          <w:spacing w:val="-7"/>
          <w:lang w:eastAsia="en-US"/>
        </w:rPr>
        <w:t xml:space="preserve"> </w:t>
      </w:r>
      <w:r w:rsidRPr="0087286A">
        <w:rPr>
          <w:rFonts w:eastAsiaTheme="minorHAnsi"/>
          <w:lang w:eastAsia="en-US"/>
        </w:rPr>
        <w:t>to</w:t>
      </w:r>
      <w:r w:rsidRPr="0087286A">
        <w:rPr>
          <w:rFonts w:eastAsiaTheme="minorHAnsi"/>
          <w:spacing w:val="-1"/>
          <w:lang w:eastAsia="en-US"/>
        </w:rPr>
        <w:t xml:space="preserve"> </w:t>
      </w:r>
      <w:r w:rsidRPr="0087286A">
        <w:rPr>
          <w:rFonts w:eastAsiaTheme="minorHAnsi"/>
          <w:lang w:eastAsia="en-US"/>
        </w:rPr>
        <w:t>deal</w:t>
      </w:r>
      <w:r w:rsidRPr="0087286A">
        <w:rPr>
          <w:rFonts w:eastAsiaTheme="minorHAnsi"/>
          <w:spacing w:val="-3"/>
          <w:lang w:eastAsia="en-US"/>
        </w:rPr>
        <w:t xml:space="preserve"> </w:t>
      </w:r>
      <w:r w:rsidRPr="0087286A">
        <w:rPr>
          <w:rFonts w:eastAsiaTheme="minorHAnsi"/>
          <w:lang w:eastAsia="en-US"/>
        </w:rPr>
        <w:t>with for commercial arrangements.  The reasons for this</w:t>
      </w:r>
      <w:r w:rsidRPr="0087286A">
        <w:rPr>
          <w:rFonts w:eastAsiaTheme="minorHAnsi"/>
          <w:spacing w:val="-4"/>
          <w:lang w:eastAsia="en-US"/>
        </w:rPr>
        <w:t xml:space="preserve"> </w:t>
      </w:r>
      <w:r w:rsidRPr="0087286A">
        <w:rPr>
          <w:rFonts w:eastAsiaTheme="minorHAnsi"/>
          <w:lang w:eastAsia="en-US"/>
        </w:rPr>
        <w:t>includ</w:t>
      </w:r>
      <w:r w:rsidRPr="0087286A">
        <w:rPr>
          <w:rFonts w:eastAsiaTheme="minorHAnsi"/>
          <w:spacing w:val="1"/>
          <w:lang w:eastAsia="en-US"/>
        </w:rPr>
        <w:t>e</w:t>
      </w:r>
      <w:r w:rsidRPr="0087286A">
        <w:rPr>
          <w:rFonts w:eastAsiaTheme="minorHAnsi"/>
          <w:lang w:eastAsia="en-US"/>
        </w:rPr>
        <w:t xml:space="preserve"> that different organisations</w:t>
      </w:r>
      <w:r w:rsidRPr="0087286A">
        <w:rPr>
          <w:rFonts w:eastAsiaTheme="minorHAnsi"/>
          <w:spacing w:val="-12"/>
          <w:lang w:eastAsia="en-US"/>
        </w:rPr>
        <w:t xml:space="preserve"> </w:t>
      </w:r>
      <w:r w:rsidRPr="0087286A">
        <w:rPr>
          <w:rFonts w:eastAsiaTheme="minorHAnsi"/>
          <w:lang w:eastAsia="en-US"/>
        </w:rPr>
        <w:t>in the</w:t>
      </w:r>
      <w:r w:rsidRPr="0087286A">
        <w:rPr>
          <w:rFonts w:eastAsiaTheme="minorHAnsi"/>
          <w:spacing w:val="-8"/>
          <w:lang w:eastAsia="en-US"/>
        </w:rPr>
        <w:t xml:space="preserve"> </w:t>
      </w:r>
      <w:r w:rsidRPr="0087286A">
        <w:rPr>
          <w:rFonts w:eastAsiaTheme="minorHAnsi"/>
          <w:lang w:eastAsia="en-US"/>
        </w:rPr>
        <w:t>s</w:t>
      </w:r>
      <w:r w:rsidRPr="0087286A">
        <w:rPr>
          <w:rFonts w:eastAsiaTheme="minorHAnsi"/>
          <w:spacing w:val="1"/>
          <w:lang w:eastAsia="en-US"/>
        </w:rPr>
        <w:t>ys</w:t>
      </w:r>
      <w:r w:rsidRPr="0087286A">
        <w:rPr>
          <w:rFonts w:eastAsiaTheme="minorHAnsi"/>
          <w:lang w:eastAsia="en-US"/>
        </w:rPr>
        <w:t>tem cu</w:t>
      </w:r>
      <w:r w:rsidRPr="0087286A">
        <w:rPr>
          <w:rFonts w:eastAsiaTheme="minorHAnsi"/>
          <w:spacing w:val="2"/>
          <w:lang w:eastAsia="en-US"/>
        </w:rPr>
        <w:t>r</w:t>
      </w:r>
      <w:r w:rsidRPr="0087286A">
        <w:rPr>
          <w:rFonts w:eastAsiaTheme="minorHAnsi"/>
          <w:lang w:eastAsia="en-US"/>
        </w:rPr>
        <w:t>rently</w:t>
      </w:r>
      <w:r w:rsidRPr="0087286A">
        <w:rPr>
          <w:rFonts w:eastAsiaTheme="minorHAnsi"/>
          <w:spacing w:val="-7"/>
          <w:lang w:eastAsia="en-US"/>
        </w:rPr>
        <w:t xml:space="preserve"> </w:t>
      </w:r>
      <w:r w:rsidRPr="0087286A">
        <w:rPr>
          <w:rFonts w:eastAsiaTheme="minorHAnsi"/>
          <w:lang w:eastAsia="en-US"/>
        </w:rPr>
        <w:t>ado</w:t>
      </w:r>
      <w:r w:rsidRPr="0087286A">
        <w:rPr>
          <w:rFonts w:eastAsiaTheme="minorHAnsi"/>
          <w:spacing w:val="1"/>
          <w:lang w:eastAsia="en-US"/>
        </w:rPr>
        <w:t>p</w:t>
      </w:r>
      <w:r w:rsidRPr="0087286A">
        <w:rPr>
          <w:rFonts w:eastAsiaTheme="minorHAnsi"/>
          <w:lang w:eastAsia="en-US"/>
        </w:rPr>
        <w:t>t</w:t>
      </w:r>
      <w:r w:rsidRPr="0087286A">
        <w:rPr>
          <w:rFonts w:eastAsiaTheme="minorHAnsi"/>
          <w:spacing w:val="-5"/>
          <w:lang w:eastAsia="en-US"/>
        </w:rPr>
        <w:t xml:space="preserve"> </w:t>
      </w:r>
      <w:r w:rsidRPr="0087286A">
        <w:rPr>
          <w:rFonts w:eastAsiaTheme="minorHAnsi"/>
          <w:lang w:eastAsia="en-US"/>
        </w:rPr>
        <w:t>different</w:t>
      </w:r>
      <w:r w:rsidRPr="0087286A">
        <w:rPr>
          <w:rFonts w:eastAsiaTheme="minorHAnsi"/>
          <w:spacing w:val="-9"/>
          <w:lang w:eastAsia="en-US"/>
        </w:rPr>
        <w:t xml:space="preserve"> </w:t>
      </w:r>
      <w:r w:rsidRPr="0087286A">
        <w:rPr>
          <w:rFonts w:eastAsiaTheme="minorHAnsi"/>
          <w:lang w:eastAsia="en-US"/>
        </w:rPr>
        <w:t>pol</w:t>
      </w:r>
      <w:r w:rsidRPr="0087286A">
        <w:rPr>
          <w:rFonts w:eastAsiaTheme="minorHAnsi"/>
          <w:spacing w:val="1"/>
          <w:lang w:eastAsia="en-US"/>
        </w:rPr>
        <w:t>i</w:t>
      </w:r>
      <w:r w:rsidRPr="0087286A">
        <w:rPr>
          <w:rFonts w:eastAsiaTheme="minorHAnsi"/>
          <w:lang w:eastAsia="en-US"/>
        </w:rPr>
        <w:t>cies</w:t>
      </w:r>
      <w:r w:rsidRPr="0087286A">
        <w:rPr>
          <w:rFonts w:eastAsiaTheme="minorHAnsi"/>
          <w:spacing w:val="-6"/>
          <w:lang w:eastAsia="en-US"/>
        </w:rPr>
        <w:t xml:space="preserve"> </w:t>
      </w:r>
      <w:r w:rsidRPr="0087286A">
        <w:rPr>
          <w:rFonts w:eastAsiaTheme="minorHAnsi"/>
          <w:lang w:eastAsia="en-US"/>
        </w:rPr>
        <w:t>and</w:t>
      </w:r>
      <w:r w:rsidRPr="0087286A">
        <w:rPr>
          <w:rFonts w:eastAsiaTheme="minorHAnsi"/>
          <w:spacing w:val="-2"/>
          <w:lang w:eastAsia="en-US"/>
        </w:rPr>
        <w:t xml:space="preserve"> </w:t>
      </w:r>
      <w:r w:rsidRPr="0087286A">
        <w:rPr>
          <w:rFonts w:eastAsiaTheme="minorHAnsi"/>
          <w:lang w:eastAsia="en-US"/>
        </w:rPr>
        <w:t>sta</w:t>
      </w:r>
      <w:r w:rsidRPr="0087286A">
        <w:rPr>
          <w:rFonts w:eastAsiaTheme="minorHAnsi"/>
          <w:spacing w:val="1"/>
          <w:lang w:eastAsia="en-US"/>
        </w:rPr>
        <w:t>n</w:t>
      </w:r>
      <w:r w:rsidRPr="0087286A">
        <w:rPr>
          <w:rFonts w:eastAsiaTheme="minorHAnsi"/>
          <w:lang w:eastAsia="en-US"/>
        </w:rPr>
        <w:t>dards, ranging across commercial issues of the</w:t>
      </w:r>
      <w:r w:rsidRPr="0087286A">
        <w:rPr>
          <w:rFonts w:eastAsiaTheme="minorHAnsi"/>
          <w:spacing w:val="-2"/>
          <w:lang w:eastAsia="en-US"/>
        </w:rPr>
        <w:t xml:space="preserve"> financial aspects of transactions, the respective responsibilities of the partners in managing risks and their control aspects during the </w:t>
      </w:r>
      <w:r w:rsidRPr="0087286A">
        <w:rPr>
          <w:rFonts w:eastAsiaTheme="minorHAnsi"/>
          <w:lang w:eastAsia="en-US"/>
        </w:rPr>
        <w:t>commercial</w:t>
      </w:r>
      <w:r w:rsidRPr="0087286A">
        <w:rPr>
          <w:rFonts w:eastAsiaTheme="minorHAnsi"/>
          <w:spacing w:val="-9"/>
          <w:lang w:eastAsia="en-US"/>
        </w:rPr>
        <w:t xml:space="preserve"> </w:t>
      </w:r>
      <w:r w:rsidRPr="0087286A">
        <w:rPr>
          <w:rFonts w:eastAsiaTheme="minorHAnsi"/>
          <w:lang w:eastAsia="en-US"/>
        </w:rPr>
        <w:t>e</w:t>
      </w:r>
      <w:r w:rsidRPr="0087286A">
        <w:rPr>
          <w:rFonts w:eastAsiaTheme="minorHAnsi"/>
          <w:spacing w:val="1"/>
          <w:lang w:eastAsia="en-US"/>
        </w:rPr>
        <w:t>ng</w:t>
      </w:r>
      <w:r w:rsidRPr="0087286A">
        <w:rPr>
          <w:rFonts w:eastAsiaTheme="minorHAnsi"/>
          <w:lang w:eastAsia="en-US"/>
        </w:rPr>
        <w:t>age</w:t>
      </w:r>
      <w:r w:rsidRPr="0087286A">
        <w:rPr>
          <w:rFonts w:eastAsiaTheme="minorHAnsi"/>
          <w:spacing w:val="2"/>
          <w:lang w:eastAsia="en-US"/>
        </w:rPr>
        <w:t>m</w:t>
      </w:r>
      <w:r w:rsidRPr="0087286A">
        <w:rPr>
          <w:rFonts w:eastAsiaTheme="minorHAnsi"/>
          <w:lang w:eastAsia="en-US"/>
        </w:rPr>
        <w:t>ent, and the ownership of intellectual property, its management and use.  To further confound these issues, there are varying</w:t>
      </w:r>
      <w:r w:rsidRPr="0087286A">
        <w:rPr>
          <w:rFonts w:eastAsiaTheme="minorHAnsi"/>
          <w:spacing w:val="-8"/>
          <w:lang w:eastAsia="en-US"/>
        </w:rPr>
        <w:t xml:space="preserve"> </w:t>
      </w:r>
      <w:r w:rsidRPr="0087286A">
        <w:rPr>
          <w:rFonts w:eastAsiaTheme="minorHAnsi"/>
          <w:spacing w:val="1"/>
          <w:lang w:eastAsia="en-US"/>
        </w:rPr>
        <w:t>d</w:t>
      </w:r>
      <w:r w:rsidRPr="0087286A">
        <w:rPr>
          <w:rFonts w:eastAsiaTheme="minorHAnsi"/>
          <w:lang w:eastAsia="en-US"/>
        </w:rPr>
        <w:t>egr</w:t>
      </w:r>
      <w:r w:rsidRPr="0087286A">
        <w:rPr>
          <w:rFonts w:eastAsiaTheme="minorHAnsi"/>
          <w:spacing w:val="1"/>
          <w:lang w:eastAsia="en-US"/>
        </w:rPr>
        <w:t>e</w:t>
      </w:r>
      <w:r w:rsidRPr="0087286A">
        <w:rPr>
          <w:rFonts w:eastAsiaTheme="minorHAnsi"/>
          <w:lang w:eastAsia="en-US"/>
        </w:rPr>
        <w:t>es</w:t>
      </w:r>
      <w:r w:rsidRPr="0087286A">
        <w:rPr>
          <w:rFonts w:eastAsiaTheme="minorHAnsi"/>
          <w:spacing w:val="-7"/>
          <w:lang w:eastAsia="en-US"/>
        </w:rPr>
        <w:t xml:space="preserve"> </w:t>
      </w:r>
      <w:r w:rsidRPr="0087286A">
        <w:rPr>
          <w:rFonts w:eastAsiaTheme="minorHAnsi"/>
          <w:lang w:eastAsia="en-US"/>
        </w:rPr>
        <w:t xml:space="preserve">of capacity (time availability, specialist knowledge, and legal capability) in institutions and businesses to efficiently come to agreement on these issues.  </w:t>
      </w:r>
    </w:p>
    <w:p w14:paraId="40C983B2" w14:textId="77777777" w:rsidR="0087286A" w:rsidRPr="0087286A" w:rsidRDefault="0087286A" w:rsidP="0087286A">
      <w:pPr>
        <w:rPr>
          <w:rFonts w:eastAsiaTheme="minorHAnsi"/>
          <w:lang w:eastAsia="en-US"/>
        </w:rPr>
      </w:pPr>
      <w:r w:rsidRPr="0087286A">
        <w:rPr>
          <w:rFonts w:eastAsiaTheme="minorHAnsi"/>
          <w:lang w:eastAsia="en-US"/>
        </w:rPr>
        <w:t>On the issue of intellectual property, whilst it may be appropriate in some cases for approaches to the management of intellectual capital to vary from public sector research institution to institution, there are a number of common elements that are shared across the spectrum of institutions.  It is CSIRO’s proposal that the Ten Principles reflected in the box would be an appropriate input to the development of a set of national principles for intellectual property management by public sector research institutions (to be implemented in association with the Statement of IP Principles for Australian Government Agencies).</w:t>
      </w:r>
    </w:p>
    <w:p w14:paraId="40C983B3" w14:textId="77777777" w:rsidR="0087286A" w:rsidRDefault="0087286A" w:rsidP="00AC5FD3">
      <w:pPr>
        <w:rPr>
          <w:rFonts w:eastAsiaTheme="minorHAnsi"/>
          <w:lang w:eastAsia="en-US"/>
        </w:rPr>
      </w:pPr>
    </w:p>
    <w:p w14:paraId="40C983B4" w14:textId="77777777" w:rsidR="0087286A" w:rsidRPr="00AC5FD3" w:rsidRDefault="0087286A" w:rsidP="00AC5FD3">
      <w:pPr>
        <w:rPr>
          <w:rFonts w:eastAsiaTheme="minorHAnsi"/>
          <w:lang w:eastAsia="en-US"/>
        </w:rPr>
      </w:pPr>
    </w:p>
    <w:p w14:paraId="40C983B5" w14:textId="77777777" w:rsidR="00AC5FD3" w:rsidRPr="00AC5FD3" w:rsidRDefault="00AC5FD3" w:rsidP="00AC5FD3">
      <w:pPr>
        <w:rPr>
          <w:rFonts w:eastAsiaTheme="minorHAnsi"/>
          <w:lang w:eastAsia="en-US"/>
        </w:rPr>
        <w:sectPr w:rsidR="00AC5FD3" w:rsidRPr="00AC5FD3" w:rsidSect="0087286A">
          <w:pgSz w:w="11906" w:h="16838"/>
          <w:pgMar w:top="1440" w:right="1440" w:bottom="1440" w:left="1440" w:header="708" w:footer="708" w:gutter="0"/>
          <w:cols w:space="708"/>
          <w:docGrid w:linePitch="360"/>
        </w:sectPr>
      </w:pPr>
    </w:p>
    <w:p w14:paraId="40C983B6" w14:textId="77777777" w:rsidR="00AC5FD3" w:rsidRPr="00AC5FD3" w:rsidRDefault="00AC5FD3" w:rsidP="00AC5FD3">
      <w:pPr>
        <w:pStyle w:val="Heading1"/>
      </w:pPr>
      <w:bookmarkStart w:id="29" w:name="_Toc405494780"/>
      <w:r w:rsidRPr="00AC5FD3">
        <w:lastRenderedPageBreak/>
        <w:t>References</w:t>
      </w:r>
      <w:bookmarkEnd w:id="29"/>
    </w:p>
    <w:sectPr w:rsidR="00AC5FD3" w:rsidRPr="00AC5FD3" w:rsidSect="0087286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4BE5F" w15:done="0"/>
  <w15:commentEx w15:paraId="5D00E34D" w15:done="0"/>
  <w15:commentEx w15:paraId="061CF291" w15:done="0"/>
  <w15:commentEx w15:paraId="1F92663E" w15:done="0"/>
  <w15:commentEx w15:paraId="4E690987" w15:done="0"/>
  <w15:commentEx w15:paraId="2E9F51F1" w15:done="0"/>
  <w15:commentEx w15:paraId="3117527C" w15:done="0"/>
  <w15:commentEx w15:paraId="66C420E8" w15:done="0"/>
  <w15:commentEx w15:paraId="0D2F5786" w15:done="0"/>
  <w15:commentEx w15:paraId="6C3D7117" w15:done="0"/>
  <w15:commentEx w15:paraId="0C286F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983C1" w14:textId="77777777" w:rsidR="009B2E56" w:rsidRDefault="009B2E56">
      <w:pPr>
        <w:pStyle w:val="Header"/>
      </w:pPr>
      <w:r>
        <w:separator/>
      </w:r>
    </w:p>
  </w:endnote>
  <w:endnote w:type="continuationSeparator" w:id="0">
    <w:p w14:paraId="40C983C2" w14:textId="77777777" w:rsidR="009B2E56" w:rsidRDefault="009B2E56">
      <w:pPr>
        <w:pStyle w:val="Header"/>
      </w:pPr>
      <w:r>
        <w:continuationSeparator/>
      </w:r>
    </w:p>
  </w:endnote>
  <w:endnote w:id="1">
    <w:p w14:paraId="40C983D6" w14:textId="77777777" w:rsidR="009B2E56" w:rsidRDefault="009B2E56" w:rsidP="00AC5FD3">
      <w:pPr>
        <w:pStyle w:val="EndnoteText"/>
      </w:pPr>
      <w:r>
        <w:rPr>
          <w:rStyle w:val="EndnoteReference"/>
        </w:rPr>
        <w:endnoteRef/>
      </w:r>
      <w:r>
        <w:t xml:space="preserve"> CSIRO (2014) Australia’s Innovation System, CSIRO submission 14/498</w:t>
      </w:r>
    </w:p>
  </w:endnote>
  <w:endnote w:id="2">
    <w:p w14:paraId="40C983D7" w14:textId="77777777" w:rsidR="009B2E56" w:rsidRDefault="009B2E56" w:rsidP="00AC5FD3">
      <w:pPr>
        <w:pStyle w:val="EndnoteText"/>
      </w:pPr>
      <w:r>
        <w:rPr>
          <w:rStyle w:val="EndnoteReference"/>
        </w:rPr>
        <w:endnoteRef/>
      </w:r>
      <w:r>
        <w:t xml:space="preserve"> Pettigrew, A. G. (2012) Australia’s Position in the World of Science, Technology and Innovation, Occasional Paper Series, Issue 2. </w:t>
      </w:r>
      <w:proofErr w:type="gramStart"/>
      <w:r>
        <w:t>Office of the Chief Scientist, Canberra.</w:t>
      </w:r>
      <w:proofErr w:type="gramEnd"/>
    </w:p>
  </w:endnote>
  <w:endnote w:id="3">
    <w:p w14:paraId="40C983D8" w14:textId="77777777" w:rsidR="009B2E56" w:rsidRDefault="009B2E56" w:rsidP="00AC5FD3">
      <w:pPr>
        <w:pStyle w:val="EndnoteText"/>
      </w:pPr>
      <w:r>
        <w:rPr>
          <w:rStyle w:val="EndnoteReference"/>
        </w:rPr>
        <w:endnoteRef/>
      </w:r>
      <w:r>
        <w:t xml:space="preserve"> </w:t>
      </w:r>
      <w:r w:rsidRPr="003A6BF2">
        <w:t>OECD Structural Analysis Database (STAN)</w:t>
      </w:r>
    </w:p>
  </w:endnote>
  <w:endnote w:id="4">
    <w:p w14:paraId="40C983D9" w14:textId="77777777" w:rsidR="009B2E56" w:rsidRDefault="009B2E56" w:rsidP="00AC5FD3">
      <w:pPr>
        <w:pStyle w:val="EndnoteText"/>
      </w:pPr>
      <w:r>
        <w:rPr>
          <w:rStyle w:val="EndnoteReference"/>
        </w:rPr>
        <w:endnoteRef/>
      </w:r>
      <w:r>
        <w:t xml:space="preserve"> </w:t>
      </w:r>
      <w:r w:rsidRPr="003A6BF2">
        <w:t xml:space="preserve">ABS (2009) Experimental Estimates for the Manufacturing Industry, cat. </w:t>
      </w:r>
      <w:proofErr w:type="gramStart"/>
      <w:r w:rsidRPr="003A6BF2">
        <w:t>no</w:t>
      </w:r>
      <w:proofErr w:type="gramEnd"/>
      <w:r w:rsidRPr="003A6BF2">
        <w:t xml:space="preserve"> 8159.0.</w:t>
      </w:r>
    </w:p>
  </w:endnote>
  <w:endnote w:id="5">
    <w:p w14:paraId="40C983DA" w14:textId="77777777" w:rsidR="009B2E56" w:rsidRDefault="009B2E56" w:rsidP="00AC5FD3">
      <w:pPr>
        <w:pStyle w:val="EndnoteText"/>
      </w:pPr>
      <w:r>
        <w:rPr>
          <w:rStyle w:val="EndnoteReference"/>
        </w:rPr>
        <w:endnoteRef/>
      </w:r>
      <w:r>
        <w:t xml:space="preserve"> Australian Government (2014) </w:t>
      </w:r>
      <w:r w:rsidRPr="00B43DD1">
        <w:t>Boosting the commercial returns from research</w:t>
      </w:r>
    </w:p>
  </w:endnote>
  <w:endnote w:id="6">
    <w:p w14:paraId="40C983DB" w14:textId="77777777" w:rsidR="009B2E56" w:rsidRDefault="009B2E56" w:rsidP="00AC5FD3">
      <w:pPr>
        <w:pStyle w:val="EndnoteText"/>
      </w:pPr>
      <w:r>
        <w:rPr>
          <w:rStyle w:val="EndnoteReference"/>
        </w:rPr>
        <w:endnoteRef/>
      </w:r>
      <w:r>
        <w:t xml:space="preserve"> </w:t>
      </w:r>
      <w:r w:rsidRPr="00943602">
        <w:t xml:space="preserve">Productivity Commission </w:t>
      </w:r>
      <w:r>
        <w:t>(</w:t>
      </w:r>
      <w:r w:rsidRPr="00943602">
        <w:t>2007</w:t>
      </w:r>
      <w:r>
        <w:t>)</w:t>
      </w:r>
      <w:r w:rsidRPr="00943602">
        <w:t xml:space="preserve"> Public Support for Science and Innovation</w:t>
      </w:r>
      <w:r>
        <w:t xml:space="preserve">, </w:t>
      </w:r>
      <w:proofErr w:type="spellStart"/>
      <w:r>
        <w:t>pg</w:t>
      </w:r>
      <w:proofErr w:type="spellEnd"/>
      <w:r>
        <w:t xml:space="preserve"> 487</w:t>
      </w:r>
    </w:p>
  </w:endnote>
  <w:endnote w:id="7">
    <w:p w14:paraId="40C983DC" w14:textId="77777777" w:rsidR="009B2E56" w:rsidRDefault="009B2E56" w:rsidP="00AC5FD3">
      <w:pPr>
        <w:pStyle w:val="EndnoteText"/>
      </w:pPr>
      <w:r>
        <w:rPr>
          <w:rStyle w:val="EndnoteReference"/>
        </w:rPr>
        <w:endnoteRef/>
      </w:r>
      <w:r>
        <w:t xml:space="preserve"> Morgan (2014) </w:t>
      </w:r>
      <w:r w:rsidRPr="00224AC1">
        <w:t>Research impact: Income for outcome</w:t>
      </w:r>
      <w:r>
        <w:t xml:space="preserve">, </w:t>
      </w:r>
      <w:r w:rsidRPr="00224AC1">
        <w:t xml:space="preserve">Nature  511, </w:t>
      </w:r>
      <w:proofErr w:type="spellStart"/>
      <w:r w:rsidRPr="00224AC1">
        <w:t>S72</w:t>
      </w:r>
      <w:proofErr w:type="spellEnd"/>
      <w:r w:rsidRPr="00224AC1">
        <w:t>–</w:t>
      </w:r>
      <w:proofErr w:type="spellStart"/>
      <w:r w:rsidRPr="00224AC1">
        <w:t>S75</w:t>
      </w:r>
      <w:proofErr w:type="spellEnd"/>
      <w:r w:rsidRPr="00224AC1">
        <w:t xml:space="preserve"> (24 July 2014)</w:t>
      </w:r>
    </w:p>
  </w:endnote>
  <w:endnote w:id="8">
    <w:p w14:paraId="40C983DD" w14:textId="77777777" w:rsidR="009B2E56" w:rsidRDefault="009B2E56" w:rsidP="00AC5FD3">
      <w:pPr>
        <w:pStyle w:val="EndnoteText"/>
      </w:pPr>
      <w:r>
        <w:rPr>
          <w:rStyle w:val="EndnoteReference"/>
        </w:rPr>
        <w:endnoteRef/>
      </w:r>
      <w:r>
        <w:t xml:space="preserve"> CSIRO (2011) CSIRO Strategy 2011-2015</w:t>
      </w:r>
    </w:p>
  </w:endnote>
  <w:endnote w:id="9">
    <w:p w14:paraId="40C983DE" w14:textId="77777777" w:rsidR="009B2E56" w:rsidRDefault="009B2E56" w:rsidP="00AC5FD3">
      <w:pPr>
        <w:pStyle w:val="EndnoteText"/>
      </w:pPr>
      <w:r>
        <w:rPr>
          <w:rStyle w:val="EndnoteReference"/>
        </w:rPr>
        <w:endnoteRef/>
      </w:r>
      <w:r>
        <w:t xml:space="preserve"> Shih, Pierson and Lau (2012) </w:t>
      </w:r>
      <w:r w:rsidRPr="00EE5F46">
        <w:t>CSIRO: The Light Metals Flagship Decision</w:t>
      </w:r>
      <w:r>
        <w:t>, Harvard Business Review: Case Study</w:t>
      </w:r>
    </w:p>
  </w:endnote>
  <w:endnote w:id="10">
    <w:p w14:paraId="40C983DF" w14:textId="77777777" w:rsidR="009B2E56" w:rsidRDefault="009B2E56" w:rsidP="00AC5FD3">
      <w:pPr>
        <w:pStyle w:val="EndnoteText"/>
      </w:pPr>
      <w:r>
        <w:rPr>
          <w:rStyle w:val="EndnoteReference"/>
        </w:rPr>
        <w:endnoteRef/>
      </w:r>
      <w:r>
        <w:t xml:space="preserve"> Harvard Business School (2014) Client Success Story: </w:t>
      </w:r>
      <w:r w:rsidRPr="002F386F">
        <w:t>Danish National Advanced Technology Foundation</w:t>
      </w:r>
    </w:p>
  </w:endnote>
  <w:endnote w:id="11">
    <w:p w14:paraId="40C983E0" w14:textId="77777777" w:rsidR="009B2E56" w:rsidRDefault="009B2E56" w:rsidP="00AC5FD3">
      <w:pPr>
        <w:pStyle w:val="EndnoteText"/>
      </w:pPr>
      <w:r>
        <w:rPr>
          <w:rStyle w:val="EndnoteReference"/>
        </w:rPr>
        <w:endnoteRef/>
      </w:r>
      <w:r>
        <w:t xml:space="preserve"> Chai and Shih (2013) </w:t>
      </w:r>
      <w:r w:rsidRPr="00EC55E6">
        <w:t>Fostering Translational Research: Using Academic-Industry Partnerships to Improve Firm Survival, and Innovative Performance</w:t>
      </w:r>
      <w:r>
        <w:t>, Harvard Business School Working Paper 13-058</w:t>
      </w:r>
    </w:p>
  </w:endnote>
  <w:endnote w:id="12">
    <w:p w14:paraId="40C983E1" w14:textId="77777777" w:rsidR="009B2E56" w:rsidRDefault="009B2E56" w:rsidP="00AC5FD3">
      <w:pPr>
        <w:pStyle w:val="EndnoteText"/>
      </w:pPr>
      <w:r>
        <w:rPr>
          <w:rStyle w:val="EndnoteReference"/>
        </w:rPr>
        <w:endnoteRef/>
      </w:r>
      <w:r>
        <w:t xml:space="preserve"> Office of the Chief Scientist (2014) </w:t>
      </w:r>
      <w:r w:rsidRPr="00D9752A">
        <w:t>Science, Technology, Engineering and Mathematics: Australia’s Future</w:t>
      </w:r>
    </w:p>
  </w:endnote>
  <w:endnote w:id="13">
    <w:p w14:paraId="40C983E2" w14:textId="77777777" w:rsidR="009B2E56" w:rsidRDefault="009B2E56">
      <w:pPr>
        <w:pStyle w:val="EndnoteText"/>
      </w:pPr>
      <w:r>
        <w:rPr>
          <w:rStyle w:val="EndnoteReference"/>
        </w:rPr>
        <w:endnoteRef/>
      </w:r>
      <w:r>
        <w:t xml:space="preserve"> Hauser (2014) </w:t>
      </w:r>
      <w:r w:rsidRPr="00D466B4">
        <w:t>Translating Science into Innovation and Economic Growth</w:t>
      </w:r>
      <w:r>
        <w:t xml:space="preserve">, </w:t>
      </w:r>
      <w:r w:rsidRPr="00D466B4">
        <w:t>International Knowledge Transfer Conference</w:t>
      </w:r>
    </w:p>
  </w:endnote>
  <w:endnote w:id="14">
    <w:p w14:paraId="40C983E3" w14:textId="77777777" w:rsidR="009B2E56" w:rsidRDefault="009B2E56">
      <w:pPr>
        <w:pStyle w:val="EndnoteText"/>
      </w:pPr>
      <w:r>
        <w:rPr>
          <w:rStyle w:val="EndnoteReference"/>
        </w:rPr>
        <w:endnoteRef/>
      </w:r>
      <w:r>
        <w:t xml:space="preserve"> </w:t>
      </w:r>
      <w:r w:rsidRPr="00E016EB">
        <w:t>Government of Canada</w:t>
      </w:r>
      <w:r>
        <w:t>:</w:t>
      </w:r>
      <w:r w:rsidRPr="00E016EB">
        <w:t xml:space="preserve"> Science, Technol</w:t>
      </w:r>
      <w:r>
        <w:t>ogy and Innovation Council</w:t>
      </w:r>
      <w:r w:rsidRPr="00E016EB">
        <w:t xml:space="preserve"> (</w:t>
      </w:r>
      <w:r>
        <w:t>2009)</w:t>
      </w:r>
      <w:r w:rsidRPr="00E016EB">
        <w:t xml:space="preserve"> Canada’s Science Technology and Innovation System: State of the Nation 2008</w:t>
      </w:r>
    </w:p>
  </w:endnote>
  <w:endnote w:id="15">
    <w:p w14:paraId="40C983E4" w14:textId="77777777" w:rsidR="009B2E56" w:rsidRDefault="009B2E56">
      <w:pPr>
        <w:pStyle w:val="EndnoteText"/>
      </w:pPr>
      <w:r>
        <w:rPr>
          <w:rStyle w:val="EndnoteReference"/>
        </w:rPr>
        <w:endnoteRef/>
      </w:r>
      <w:r>
        <w:t xml:space="preserve"> </w:t>
      </w:r>
      <w:r w:rsidRPr="00E11975">
        <w:t xml:space="preserve">CSIRO IP &amp; Licensing </w:t>
      </w:r>
      <w:proofErr w:type="spellStart"/>
      <w:r w:rsidRPr="00E11975">
        <w:t>Inteum</w:t>
      </w:r>
      <w:proofErr w:type="spellEnd"/>
      <w:r w:rsidRPr="00E11975">
        <w:t xml:space="preserve"> database &amp; Thompson Reuters (includes variety of IP databases including Derwent)</w:t>
      </w:r>
    </w:p>
  </w:endnote>
  <w:endnote w:id="16">
    <w:p w14:paraId="40C983E5" w14:textId="77777777" w:rsidR="009B2E56" w:rsidRDefault="009B2E56">
      <w:pPr>
        <w:pStyle w:val="EndnoteText"/>
      </w:pPr>
      <w:r>
        <w:rPr>
          <w:rStyle w:val="EndnoteReference"/>
        </w:rPr>
        <w:endnoteRef/>
      </w:r>
      <w:r w:rsidRPr="00F169A6">
        <w:t xml:space="preserve"> </w:t>
      </w:r>
      <w:proofErr w:type="spellStart"/>
      <w:r w:rsidRPr="00F169A6">
        <w:t>KCA</w:t>
      </w:r>
      <w:proofErr w:type="spellEnd"/>
      <w:r w:rsidRPr="00F169A6">
        <w:t xml:space="preserve"> Commercialisation Metrics Report 2010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B2E56" w14:paraId="40C983C6" w14:textId="77777777" w:rsidTr="00BB45CD">
      <w:tc>
        <w:tcPr>
          <w:tcW w:w="4927" w:type="dxa"/>
        </w:tcPr>
        <w:p w14:paraId="40C983C4" w14:textId="77777777" w:rsidR="009B2E56" w:rsidRDefault="009B2E56" w:rsidP="004317E2">
          <w:pPr>
            <w:pStyle w:val="Footer"/>
            <w:tabs>
              <w:tab w:val="clear" w:pos="4153"/>
              <w:tab w:val="clear" w:pos="8306"/>
              <w:tab w:val="right" w:pos="9639"/>
            </w:tabs>
          </w:pPr>
          <w:r>
            <w:t>December</w:t>
          </w:r>
          <w:r w:rsidRPr="004317E2">
            <w:t xml:space="preserve"> 201</w:t>
          </w:r>
          <w:r>
            <w:t>4</w:t>
          </w:r>
        </w:p>
      </w:tc>
      <w:tc>
        <w:tcPr>
          <w:tcW w:w="4927" w:type="dxa"/>
        </w:tcPr>
        <w:p w14:paraId="40C983C5" w14:textId="77777777" w:rsidR="009B2E56" w:rsidRDefault="009B2E56" w:rsidP="00BB45CD">
          <w:pPr>
            <w:pStyle w:val="Footer"/>
            <w:tabs>
              <w:tab w:val="clear" w:pos="4153"/>
              <w:tab w:val="clear" w:pos="8306"/>
              <w:tab w:val="right" w:pos="9639"/>
            </w:tabs>
            <w:jc w:val="right"/>
          </w:pPr>
          <w:r>
            <w:fldChar w:fldCharType="begin"/>
          </w:r>
          <w:r>
            <w:instrText xml:space="preserve"> PAGE   \* MERGEFORMAT </w:instrText>
          </w:r>
          <w:r>
            <w:fldChar w:fldCharType="separate"/>
          </w:r>
          <w:r w:rsidR="000E7578">
            <w:rPr>
              <w:noProof/>
            </w:rPr>
            <w:t>22</w:t>
          </w:r>
          <w:r>
            <w:rPr>
              <w:noProof/>
            </w:rPr>
            <w:fldChar w:fldCharType="end"/>
          </w:r>
        </w:p>
      </w:tc>
    </w:tr>
  </w:tbl>
  <w:p w14:paraId="40C983C7" w14:textId="77777777" w:rsidR="009B2E56" w:rsidRDefault="009B2E56" w:rsidP="004317E2">
    <w:pPr>
      <w:pStyle w:val="Footer"/>
      <w:tabs>
        <w:tab w:val="clear" w:pos="4153"/>
        <w:tab w:val="clear" w:pos="8306"/>
        <w:tab w:val="right" w:pos="9639"/>
      </w:tabs>
    </w:pPr>
  </w:p>
  <w:p w14:paraId="40C983C8" w14:textId="77777777" w:rsidR="009B2E56" w:rsidRPr="001A0EC0" w:rsidRDefault="009B2E56" w:rsidP="004317E2">
    <w:pPr>
      <w:pStyle w:val="Footer"/>
      <w:tabs>
        <w:tab w:val="clear" w:pos="4153"/>
        <w:tab w:val="clear" w:pos="8306"/>
        <w:tab w:val="right" w:pos="963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83CA" w14:textId="77777777" w:rsidR="009B2E56" w:rsidRPr="00F47FE3" w:rsidRDefault="009B2E56">
    <w:pPr>
      <w:pStyle w:val="Footer"/>
    </w:pPr>
    <w:r>
      <w:rPr>
        <w:noProof/>
      </w:rPr>
      <w:drawing>
        <wp:anchor distT="0" distB="0" distL="114300" distR="114300" simplePos="0" relativeHeight="251659264" behindDoc="1" locked="1" layoutInCell="1" allowOverlap="1" wp14:anchorId="40C983D1" wp14:editId="40C983D2">
          <wp:simplePos x="0" y="0"/>
          <wp:positionH relativeFrom="column">
            <wp:posOffset>-2515870</wp:posOffset>
          </wp:positionH>
          <wp:positionV relativeFrom="page">
            <wp:posOffset>8802370</wp:posOffset>
          </wp:positionV>
          <wp:extent cx="9834245" cy="1705610"/>
          <wp:effectExtent l="1905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
                  <a:srcRect/>
                  <a:stretch>
                    <a:fillRect/>
                  </a:stretch>
                </pic:blipFill>
                <pic:spPr bwMode="auto">
                  <a:xfrm>
                    <a:off x="0" y="0"/>
                    <a:ext cx="9834245" cy="170561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83CC" w14:textId="77777777" w:rsidR="009B2E56" w:rsidRPr="001A0EC0" w:rsidRDefault="009B2E56" w:rsidP="008C202A">
    <w:pPr>
      <w:pStyle w:val="Footer"/>
      <w:tabs>
        <w:tab w:val="clear" w:pos="4153"/>
        <w:tab w:val="clear" w:pos="8306"/>
        <w:tab w:val="right" w:pos="9639"/>
      </w:tabs>
    </w:pPr>
    <w:r w:rsidRPr="004317E2">
      <w:t xml:space="preserve">CSIRO submission </w:t>
    </w:r>
    <w:r>
      <w:rPr>
        <w:highlight w:val="yellow"/>
      </w:rPr>
      <w:t>14</w:t>
    </w:r>
    <w:r w:rsidRPr="005916E9">
      <w:rPr>
        <w:highlight w:val="yellow"/>
      </w:rPr>
      <w:t>/xxx</w:t>
    </w:r>
    <w:r w:rsidRPr="004317E2">
      <w:tab/>
    </w:r>
    <w:r>
      <w:t>December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983BF" w14:textId="77777777" w:rsidR="009B2E56" w:rsidRDefault="009B2E56">
      <w:pPr>
        <w:pStyle w:val="Header"/>
      </w:pPr>
      <w:r>
        <w:separator/>
      </w:r>
    </w:p>
  </w:footnote>
  <w:footnote w:type="continuationSeparator" w:id="0">
    <w:p w14:paraId="40C983C0" w14:textId="77777777" w:rsidR="009B2E56" w:rsidRDefault="009B2E56">
      <w:pPr>
        <w:pStyle w:val="Header"/>
      </w:pPr>
      <w:r>
        <w:continuationSeparator/>
      </w:r>
    </w:p>
  </w:footnote>
  <w:footnote w:id="1">
    <w:p w14:paraId="40C983D3" w14:textId="77777777" w:rsidR="009B2E56" w:rsidRDefault="009B2E56" w:rsidP="00AC5FD3">
      <w:pPr>
        <w:pStyle w:val="FootnoteText"/>
      </w:pPr>
      <w:r>
        <w:rPr>
          <w:rStyle w:val="FootnoteReference"/>
        </w:rPr>
        <w:footnoteRef/>
      </w:r>
      <w:r>
        <w:t xml:space="preserve"> CSIRO manages its research through three lines of business; Flagships, Services, and National Facilities and Collections. These distinct lines of business enable CSIRO to use appropriate management structures to suit the needs of our clients and research partners.</w:t>
      </w:r>
    </w:p>
  </w:footnote>
  <w:footnote w:id="2">
    <w:p w14:paraId="40C983D4" w14:textId="77777777" w:rsidR="009B2E56" w:rsidRDefault="009B2E56">
      <w:pPr>
        <w:pStyle w:val="FootnoteText"/>
      </w:pPr>
      <w:r>
        <w:rPr>
          <w:rStyle w:val="FootnoteReference"/>
        </w:rPr>
        <w:footnoteRef/>
      </w:r>
      <w:r>
        <w:t xml:space="preserve"> </w:t>
      </w:r>
      <w:r>
        <w:rPr>
          <w:rFonts w:eastAsiaTheme="minorHAnsi"/>
          <w:szCs w:val="22"/>
        </w:rPr>
        <w:t>Including those funded through</w:t>
      </w:r>
      <w:r w:rsidRPr="00AC5FD3">
        <w:rPr>
          <w:rFonts w:eastAsiaTheme="minorHAnsi"/>
          <w:szCs w:val="22"/>
        </w:rPr>
        <w:t xml:space="preserve"> </w:t>
      </w:r>
      <w:r>
        <w:rPr>
          <w:rFonts w:eastAsiaTheme="minorHAnsi"/>
          <w:szCs w:val="22"/>
        </w:rPr>
        <w:t>grant schemes funded by government</w:t>
      </w:r>
    </w:p>
  </w:footnote>
  <w:footnote w:id="3">
    <w:p w14:paraId="40C983D5" w14:textId="77777777" w:rsidR="009B2E56" w:rsidRDefault="009B2E56">
      <w:pPr>
        <w:pStyle w:val="FootnoteText"/>
      </w:pPr>
      <w:r>
        <w:rPr>
          <w:rStyle w:val="FootnoteReference"/>
        </w:rPr>
        <w:footnoteRef/>
      </w:r>
      <w:r>
        <w:t xml:space="preserve"> See </w:t>
      </w:r>
      <w:r w:rsidRPr="0063644A">
        <w:t>https://www.gov.uk/model-agreements-for-collaborative-research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83C3" w14:textId="77777777" w:rsidR="009B2E56" w:rsidRDefault="009B2E56" w:rsidP="00E97626">
    <w:pPr>
      <w:pStyle w:val="Header"/>
      <w:tabs>
        <w:tab w:val="clear" w:pos="4153"/>
        <w:tab w:val="clear" w:pos="8306"/>
        <w:tab w:val="left" w:pos="235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83C9" w14:textId="77777777" w:rsidR="009B2E56" w:rsidRDefault="009B2E56">
    <w:pPr>
      <w:pStyle w:val="Header"/>
    </w:pPr>
    <w:r>
      <w:rPr>
        <w:noProof/>
      </w:rPr>
      <w:drawing>
        <wp:anchor distT="0" distB="0" distL="114300" distR="114300" simplePos="0" relativeHeight="251656192" behindDoc="1" locked="1" layoutInCell="1" allowOverlap="1" wp14:anchorId="40C983CD" wp14:editId="1DCCD1C8">
          <wp:simplePos x="0" y="0"/>
          <wp:positionH relativeFrom="column">
            <wp:posOffset>-840105</wp:posOffset>
          </wp:positionH>
          <wp:positionV relativeFrom="page">
            <wp:posOffset>-53340</wp:posOffset>
          </wp:positionV>
          <wp:extent cx="7766685" cy="1473835"/>
          <wp:effectExtent l="0" t="0" r="0" b="0"/>
          <wp:wrapNone/>
          <wp:docPr id="267" name="Picture 267" descr="Logo in blue and gray" title="CSI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srcRect/>
                  <a:stretch>
                    <a:fillRect/>
                  </a:stretch>
                </pic:blipFill>
                <pic:spPr bwMode="auto">
                  <a:xfrm>
                    <a:off x="0" y="0"/>
                    <a:ext cx="7766685" cy="1473835"/>
                  </a:xfrm>
                  <a:prstGeom prst="rect">
                    <a:avLst/>
                  </a:prstGeom>
                  <a:noFill/>
                  <a:ln w="9525">
                    <a:noFill/>
                    <a:miter lim="800000"/>
                    <a:headEnd/>
                    <a:tailEnd/>
                  </a:ln>
                </pic:spPr>
              </pic:pic>
            </a:graphicData>
          </a:graphic>
        </wp:anchor>
      </w:drawing>
    </w:r>
    <w:r w:rsidR="000E7578">
      <w:rPr>
        <w:noProof/>
      </w:rPr>
      <w:pict w14:anchorId="40C983CF">
        <v:shapetype id="_x0000_t202" coordsize="21600,21600" o:spt="202" path="m,l,21600r21600,l21600,xe">
          <v:stroke joinstyle="miter"/>
          <v:path gradientshapeok="t" o:connecttype="rect"/>
        </v:shapetype>
        <v:shape id="Text Box 20" o:spid="_x0000_s10242" type="#_x0000_t202" style="position:absolute;margin-left:.4pt;margin-top:44.45pt;width:278.6pt;height:14.15pt;z-index:-251658240;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NrgIAAKo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" filled="f" stroked="f">
          <v:textbox style="mso-next-textbox:#Text Box 20" inset="0,0,0,0">
            <w:txbxContent>
              <w:p w14:paraId="40C983E6" w14:textId="77777777" w:rsidR="009B2E56" w:rsidRDefault="009B2E56" w:rsidP="007B74CC">
                <w:pPr>
                  <w:pStyle w:val="Header"/>
                </w:pPr>
              </w:p>
              <w:p w14:paraId="40C983E7" w14:textId="77777777" w:rsidR="009B2E56" w:rsidRPr="001C3137" w:rsidRDefault="009B2E56" w:rsidP="007B74CC">
                <w:pPr>
                  <w:pStyle w:val="Headerurl"/>
                  <w:rPr>
                    <w:noProof/>
                  </w:rPr>
                </w:pPr>
              </w:p>
            </w:txbxContent>
          </v:textbox>
          <w10:wrap type="square" anchory="page"/>
        </v:shape>
      </w:pict>
    </w:r>
    <w:r w:rsidR="000E7578">
      <w:rPr>
        <w:noProof/>
      </w:rPr>
      <w:pict w14:anchorId="40C983D0">
        <v:rect id="Rectangle 14" o:spid="_x0000_s10241" style="position:absolute;margin-left:0;margin-top:0;width:486pt;height:12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" filled="f" stroked="f">
          <w10:wrap type="squar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983CB" w14:textId="77777777" w:rsidR="009B2E56" w:rsidRPr="008C202A" w:rsidRDefault="009B2E56" w:rsidP="008C20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AE3"/>
    <w:multiLevelType w:val="hybridMultilevel"/>
    <w:tmpl w:val="D4DC8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187BDF"/>
    <w:multiLevelType w:val="hybridMultilevel"/>
    <w:tmpl w:val="E74CF5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8B123C1"/>
    <w:multiLevelType w:val="hybridMultilevel"/>
    <w:tmpl w:val="B344E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DE652B"/>
    <w:multiLevelType w:val="hybridMultilevel"/>
    <w:tmpl w:val="05F62E4C"/>
    <w:lvl w:ilvl="0" w:tplc="0C090011">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nsid w:val="12F02347"/>
    <w:multiLevelType w:val="hybridMultilevel"/>
    <w:tmpl w:val="0D583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F20FD6"/>
    <w:multiLevelType w:val="hybridMultilevel"/>
    <w:tmpl w:val="A0D0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6C642D"/>
    <w:multiLevelType w:val="hybridMultilevel"/>
    <w:tmpl w:val="D9B219B4"/>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1CD96FB6"/>
    <w:multiLevelType w:val="hybridMultilevel"/>
    <w:tmpl w:val="F0661692"/>
    <w:lvl w:ilvl="0" w:tplc="0C090001">
      <w:start w:val="1"/>
      <w:numFmt w:val="bullet"/>
      <w:lvlText w:val=""/>
      <w:lvlJc w:val="left"/>
      <w:pPr>
        <w:ind w:left="75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1D0A2FC0"/>
    <w:multiLevelType w:val="hybridMultilevel"/>
    <w:tmpl w:val="1E3E7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131B18"/>
    <w:multiLevelType w:val="hybridMultilevel"/>
    <w:tmpl w:val="5274C06C"/>
    <w:lvl w:ilvl="0" w:tplc="8A9E6BFC">
      <w:start w:val="1"/>
      <w:numFmt w:val="bullet"/>
      <w:lvlText w:val=""/>
      <w:lvlJc w:val="left"/>
      <w:pPr>
        <w:tabs>
          <w:tab w:val="num" w:pos="720"/>
        </w:tabs>
        <w:ind w:left="720" w:hanging="360"/>
      </w:pPr>
      <w:rPr>
        <w:rFonts w:ascii="Symbol" w:hAnsi="Symbol" w:hint="default"/>
      </w:rPr>
    </w:lvl>
    <w:lvl w:ilvl="1" w:tplc="FF505D4C">
      <w:start w:val="1"/>
      <w:numFmt w:val="bullet"/>
      <w:lvlText w:val=""/>
      <w:lvlJc w:val="left"/>
      <w:pPr>
        <w:tabs>
          <w:tab w:val="num" w:pos="1440"/>
        </w:tabs>
        <w:ind w:left="1440" w:hanging="360"/>
      </w:pPr>
      <w:rPr>
        <w:rFonts w:ascii="Symbol" w:hAnsi="Symbol" w:hint="default"/>
      </w:rPr>
    </w:lvl>
    <w:lvl w:ilvl="2" w:tplc="7F427ACE" w:tentative="1">
      <w:start w:val="1"/>
      <w:numFmt w:val="bullet"/>
      <w:lvlText w:val=""/>
      <w:lvlJc w:val="left"/>
      <w:pPr>
        <w:tabs>
          <w:tab w:val="num" w:pos="2160"/>
        </w:tabs>
        <w:ind w:left="2160" w:hanging="360"/>
      </w:pPr>
      <w:rPr>
        <w:rFonts w:ascii="Symbol" w:hAnsi="Symbol" w:hint="default"/>
      </w:rPr>
    </w:lvl>
    <w:lvl w:ilvl="3" w:tplc="AED819AE" w:tentative="1">
      <w:start w:val="1"/>
      <w:numFmt w:val="bullet"/>
      <w:lvlText w:val=""/>
      <w:lvlJc w:val="left"/>
      <w:pPr>
        <w:tabs>
          <w:tab w:val="num" w:pos="2880"/>
        </w:tabs>
        <w:ind w:left="2880" w:hanging="360"/>
      </w:pPr>
      <w:rPr>
        <w:rFonts w:ascii="Symbol" w:hAnsi="Symbol" w:hint="default"/>
      </w:rPr>
    </w:lvl>
    <w:lvl w:ilvl="4" w:tplc="ACBC41C0" w:tentative="1">
      <w:start w:val="1"/>
      <w:numFmt w:val="bullet"/>
      <w:lvlText w:val=""/>
      <w:lvlJc w:val="left"/>
      <w:pPr>
        <w:tabs>
          <w:tab w:val="num" w:pos="3600"/>
        </w:tabs>
        <w:ind w:left="3600" w:hanging="360"/>
      </w:pPr>
      <w:rPr>
        <w:rFonts w:ascii="Symbol" w:hAnsi="Symbol" w:hint="default"/>
      </w:rPr>
    </w:lvl>
    <w:lvl w:ilvl="5" w:tplc="D90C3C0E" w:tentative="1">
      <w:start w:val="1"/>
      <w:numFmt w:val="bullet"/>
      <w:lvlText w:val=""/>
      <w:lvlJc w:val="left"/>
      <w:pPr>
        <w:tabs>
          <w:tab w:val="num" w:pos="4320"/>
        </w:tabs>
        <w:ind w:left="4320" w:hanging="360"/>
      </w:pPr>
      <w:rPr>
        <w:rFonts w:ascii="Symbol" w:hAnsi="Symbol" w:hint="default"/>
      </w:rPr>
    </w:lvl>
    <w:lvl w:ilvl="6" w:tplc="48F0A54C" w:tentative="1">
      <w:start w:val="1"/>
      <w:numFmt w:val="bullet"/>
      <w:lvlText w:val=""/>
      <w:lvlJc w:val="left"/>
      <w:pPr>
        <w:tabs>
          <w:tab w:val="num" w:pos="5040"/>
        </w:tabs>
        <w:ind w:left="5040" w:hanging="360"/>
      </w:pPr>
      <w:rPr>
        <w:rFonts w:ascii="Symbol" w:hAnsi="Symbol" w:hint="default"/>
      </w:rPr>
    </w:lvl>
    <w:lvl w:ilvl="7" w:tplc="CE8EB6EC" w:tentative="1">
      <w:start w:val="1"/>
      <w:numFmt w:val="bullet"/>
      <w:lvlText w:val=""/>
      <w:lvlJc w:val="left"/>
      <w:pPr>
        <w:tabs>
          <w:tab w:val="num" w:pos="5760"/>
        </w:tabs>
        <w:ind w:left="5760" w:hanging="360"/>
      </w:pPr>
      <w:rPr>
        <w:rFonts w:ascii="Symbol" w:hAnsi="Symbol" w:hint="default"/>
      </w:rPr>
    </w:lvl>
    <w:lvl w:ilvl="8" w:tplc="053C5316" w:tentative="1">
      <w:start w:val="1"/>
      <w:numFmt w:val="bullet"/>
      <w:lvlText w:val=""/>
      <w:lvlJc w:val="left"/>
      <w:pPr>
        <w:tabs>
          <w:tab w:val="num" w:pos="6480"/>
        </w:tabs>
        <w:ind w:left="6480" w:hanging="360"/>
      </w:pPr>
      <w:rPr>
        <w:rFonts w:ascii="Symbol" w:hAnsi="Symbol" w:hint="default"/>
      </w:rPr>
    </w:lvl>
  </w:abstractNum>
  <w:abstractNum w:abstractNumId="10">
    <w:nsid w:val="20AB6E5B"/>
    <w:multiLevelType w:val="hybridMultilevel"/>
    <w:tmpl w:val="B608D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0C862CF"/>
    <w:multiLevelType w:val="hybridMultilevel"/>
    <w:tmpl w:val="B9DA7FDE"/>
    <w:lvl w:ilvl="0" w:tplc="F0686F3C">
      <w:start w:val="1"/>
      <w:numFmt w:val="bullet"/>
      <w:lvlText w:val=""/>
      <w:lvlJc w:val="left"/>
      <w:pPr>
        <w:tabs>
          <w:tab w:val="num" w:pos="720"/>
        </w:tabs>
        <w:ind w:left="720" w:hanging="360"/>
      </w:pPr>
      <w:rPr>
        <w:rFonts w:ascii="Symbol" w:hAnsi="Symbol" w:hint="default"/>
      </w:rPr>
    </w:lvl>
    <w:lvl w:ilvl="1" w:tplc="E5D47B3E">
      <w:start w:val="1"/>
      <w:numFmt w:val="bullet"/>
      <w:lvlText w:val=""/>
      <w:lvlJc w:val="left"/>
      <w:pPr>
        <w:tabs>
          <w:tab w:val="num" w:pos="1440"/>
        </w:tabs>
        <w:ind w:left="1440" w:hanging="360"/>
      </w:pPr>
      <w:rPr>
        <w:rFonts w:ascii="Symbol" w:hAnsi="Symbol" w:hint="default"/>
      </w:rPr>
    </w:lvl>
    <w:lvl w:ilvl="2" w:tplc="9092C16E" w:tentative="1">
      <w:start w:val="1"/>
      <w:numFmt w:val="bullet"/>
      <w:lvlText w:val=""/>
      <w:lvlJc w:val="left"/>
      <w:pPr>
        <w:tabs>
          <w:tab w:val="num" w:pos="2160"/>
        </w:tabs>
        <w:ind w:left="2160" w:hanging="360"/>
      </w:pPr>
      <w:rPr>
        <w:rFonts w:ascii="Symbol" w:hAnsi="Symbol" w:hint="default"/>
      </w:rPr>
    </w:lvl>
    <w:lvl w:ilvl="3" w:tplc="2B92CF5E" w:tentative="1">
      <w:start w:val="1"/>
      <w:numFmt w:val="bullet"/>
      <w:lvlText w:val=""/>
      <w:lvlJc w:val="left"/>
      <w:pPr>
        <w:tabs>
          <w:tab w:val="num" w:pos="2880"/>
        </w:tabs>
        <w:ind w:left="2880" w:hanging="360"/>
      </w:pPr>
      <w:rPr>
        <w:rFonts w:ascii="Symbol" w:hAnsi="Symbol" w:hint="default"/>
      </w:rPr>
    </w:lvl>
    <w:lvl w:ilvl="4" w:tplc="082CC308" w:tentative="1">
      <w:start w:val="1"/>
      <w:numFmt w:val="bullet"/>
      <w:lvlText w:val=""/>
      <w:lvlJc w:val="left"/>
      <w:pPr>
        <w:tabs>
          <w:tab w:val="num" w:pos="3600"/>
        </w:tabs>
        <w:ind w:left="3600" w:hanging="360"/>
      </w:pPr>
      <w:rPr>
        <w:rFonts w:ascii="Symbol" w:hAnsi="Symbol" w:hint="default"/>
      </w:rPr>
    </w:lvl>
    <w:lvl w:ilvl="5" w:tplc="B532F21A" w:tentative="1">
      <w:start w:val="1"/>
      <w:numFmt w:val="bullet"/>
      <w:lvlText w:val=""/>
      <w:lvlJc w:val="left"/>
      <w:pPr>
        <w:tabs>
          <w:tab w:val="num" w:pos="4320"/>
        </w:tabs>
        <w:ind w:left="4320" w:hanging="360"/>
      </w:pPr>
      <w:rPr>
        <w:rFonts w:ascii="Symbol" w:hAnsi="Symbol" w:hint="default"/>
      </w:rPr>
    </w:lvl>
    <w:lvl w:ilvl="6" w:tplc="823014FA" w:tentative="1">
      <w:start w:val="1"/>
      <w:numFmt w:val="bullet"/>
      <w:lvlText w:val=""/>
      <w:lvlJc w:val="left"/>
      <w:pPr>
        <w:tabs>
          <w:tab w:val="num" w:pos="5040"/>
        </w:tabs>
        <w:ind w:left="5040" w:hanging="360"/>
      </w:pPr>
      <w:rPr>
        <w:rFonts w:ascii="Symbol" w:hAnsi="Symbol" w:hint="default"/>
      </w:rPr>
    </w:lvl>
    <w:lvl w:ilvl="7" w:tplc="3CA4C3EA" w:tentative="1">
      <w:start w:val="1"/>
      <w:numFmt w:val="bullet"/>
      <w:lvlText w:val=""/>
      <w:lvlJc w:val="left"/>
      <w:pPr>
        <w:tabs>
          <w:tab w:val="num" w:pos="5760"/>
        </w:tabs>
        <w:ind w:left="5760" w:hanging="360"/>
      </w:pPr>
      <w:rPr>
        <w:rFonts w:ascii="Symbol" w:hAnsi="Symbol" w:hint="default"/>
      </w:rPr>
    </w:lvl>
    <w:lvl w:ilvl="8" w:tplc="5F6871AE" w:tentative="1">
      <w:start w:val="1"/>
      <w:numFmt w:val="bullet"/>
      <w:lvlText w:val=""/>
      <w:lvlJc w:val="left"/>
      <w:pPr>
        <w:tabs>
          <w:tab w:val="num" w:pos="6480"/>
        </w:tabs>
        <w:ind w:left="6480" w:hanging="360"/>
      </w:pPr>
      <w:rPr>
        <w:rFonts w:ascii="Symbol" w:hAnsi="Symbol" w:hint="default"/>
      </w:rPr>
    </w:lvl>
  </w:abstractNum>
  <w:abstractNum w:abstractNumId="12">
    <w:nsid w:val="25EA3FAE"/>
    <w:multiLevelType w:val="hybridMultilevel"/>
    <w:tmpl w:val="4FE0BB62"/>
    <w:lvl w:ilvl="0" w:tplc="2B000352">
      <w:start w:val="1"/>
      <w:numFmt w:val="bullet"/>
      <w:lvlText w:val=""/>
      <w:lvlJc w:val="left"/>
      <w:pPr>
        <w:tabs>
          <w:tab w:val="num" w:pos="720"/>
        </w:tabs>
        <w:ind w:left="720" w:hanging="360"/>
      </w:pPr>
      <w:rPr>
        <w:rFonts w:ascii="Symbol" w:hAnsi="Symbol" w:hint="default"/>
      </w:rPr>
    </w:lvl>
    <w:lvl w:ilvl="1" w:tplc="B20873F8">
      <w:start w:val="1"/>
      <w:numFmt w:val="bullet"/>
      <w:lvlText w:val=""/>
      <w:lvlJc w:val="left"/>
      <w:pPr>
        <w:tabs>
          <w:tab w:val="num" w:pos="1440"/>
        </w:tabs>
        <w:ind w:left="1440" w:hanging="360"/>
      </w:pPr>
      <w:rPr>
        <w:rFonts w:ascii="Symbol" w:hAnsi="Symbol" w:hint="default"/>
      </w:rPr>
    </w:lvl>
    <w:lvl w:ilvl="2" w:tplc="832A7916" w:tentative="1">
      <w:start w:val="1"/>
      <w:numFmt w:val="bullet"/>
      <w:lvlText w:val=""/>
      <w:lvlJc w:val="left"/>
      <w:pPr>
        <w:tabs>
          <w:tab w:val="num" w:pos="2160"/>
        </w:tabs>
        <w:ind w:left="2160" w:hanging="360"/>
      </w:pPr>
      <w:rPr>
        <w:rFonts w:ascii="Symbol" w:hAnsi="Symbol" w:hint="default"/>
      </w:rPr>
    </w:lvl>
    <w:lvl w:ilvl="3" w:tplc="9EFCC2CA" w:tentative="1">
      <w:start w:val="1"/>
      <w:numFmt w:val="bullet"/>
      <w:lvlText w:val=""/>
      <w:lvlJc w:val="left"/>
      <w:pPr>
        <w:tabs>
          <w:tab w:val="num" w:pos="2880"/>
        </w:tabs>
        <w:ind w:left="2880" w:hanging="360"/>
      </w:pPr>
      <w:rPr>
        <w:rFonts w:ascii="Symbol" w:hAnsi="Symbol" w:hint="default"/>
      </w:rPr>
    </w:lvl>
    <w:lvl w:ilvl="4" w:tplc="77F09BE4" w:tentative="1">
      <w:start w:val="1"/>
      <w:numFmt w:val="bullet"/>
      <w:lvlText w:val=""/>
      <w:lvlJc w:val="left"/>
      <w:pPr>
        <w:tabs>
          <w:tab w:val="num" w:pos="3600"/>
        </w:tabs>
        <w:ind w:left="3600" w:hanging="360"/>
      </w:pPr>
      <w:rPr>
        <w:rFonts w:ascii="Symbol" w:hAnsi="Symbol" w:hint="default"/>
      </w:rPr>
    </w:lvl>
    <w:lvl w:ilvl="5" w:tplc="EBEEC122" w:tentative="1">
      <w:start w:val="1"/>
      <w:numFmt w:val="bullet"/>
      <w:lvlText w:val=""/>
      <w:lvlJc w:val="left"/>
      <w:pPr>
        <w:tabs>
          <w:tab w:val="num" w:pos="4320"/>
        </w:tabs>
        <w:ind w:left="4320" w:hanging="360"/>
      </w:pPr>
      <w:rPr>
        <w:rFonts w:ascii="Symbol" w:hAnsi="Symbol" w:hint="default"/>
      </w:rPr>
    </w:lvl>
    <w:lvl w:ilvl="6" w:tplc="A922FDB4" w:tentative="1">
      <w:start w:val="1"/>
      <w:numFmt w:val="bullet"/>
      <w:lvlText w:val=""/>
      <w:lvlJc w:val="left"/>
      <w:pPr>
        <w:tabs>
          <w:tab w:val="num" w:pos="5040"/>
        </w:tabs>
        <w:ind w:left="5040" w:hanging="360"/>
      </w:pPr>
      <w:rPr>
        <w:rFonts w:ascii="Symbol" w:hAnsi="Symbol" w:hint="default"/>
      </w:rPr>
    </w:lvl>
    <w:lvl w:ilvl="7" w:tplc="9BA2132A" w:tentative="1">
      <w:start w:val="1"/>
      <w:numFmt w:val="bullet"/>
      <w:lvlText w:val=""/>
      <w:lvlJc w:val="left"/>
      <w:pPr>
        <w:tabs>
          <w:tab w:val="num" w:pos="5760"/>
        </w:tabs>
        <w:ind w:left="5760" w:hanging="360"/>
      </w:pPr>
      <w:rPr>
        <w:rFonts w:ascii="Symbol" w:hAnsi="Symbol" w:hint="default"/>
      </w:rPr>
    </w:lvl>
    <w:lvl w:ilvl="8" w:tplc="9E5A4E92" w:tentative="1">
      <w:start w:val="1"/>
      <w:numFmt w:val="bullet"/>
      <w:lvlText w:val=""/>
      <w:lvlJc w:val="left"/>
      <w:pPr>
        <w:tabs>
          <w:tab w:val="num" w:pos="6480"/>
        </w:tabs>
        <w:ind w:left="6480" w:hanging="360"/>
      </w:pPr>
      <w:rPr>
        <w:rFonts w:ascii="Symbol" w:hAnsi="Symbol" w:hint="default"/>
      </w:rPr>
    </w:lvl>
  </w:abstractNum>
  <w:abstractNum w:abstractNumId="13">
    <w:nsid w:val="28DD6BFF"/>
    <w:multiLevelType w:val="hybridMultilevel"/>
    <w:tmpl w:val="D5ACE5E2"/>
    <w:lvl w:ilvl="0" w:tplc="D57A5E40">
      <w:start w:val="1"/>
      <w:numFmt w:val="bullet"/>
      <w:lvlText w:val=""/>
      <w:lvlJc w:val="left"/>
      <w:pPr>
        <w:tabs>
          <w:tab w:val="num" w:pos="801"/>
        </w:tabs>
        <w:ind w:left="801" w:hanging="360"/>
      </w:pPr>
      <w:rPr>
        <w:rFonts w:ascii="Symbol" w:hAnsi="Symbol" w:hint="default"/>
      </w:rPr>
    </w:lvl>
    <w:lvl w:ilvl="1" w:tplc="576E7786">
      <w:start w:val="1"/>
      <w:numFmt w:val="bullet"/>
      <w:lvlText w:val=""/>
      <w:lvlJc w:val="left"/>
      <w:pPr>
        <w:tabs>
          <w:tab w:val="num" w:pos="1521"/>
        </w:tabs>
        <w:ind w:left="1521" w:hanging="360"/>
      </w:pPr>
      <w:rPr>
        <w:rFonts w:ascii="Symbol" w:hAnsi="Symbol" w:hint="default"/>
      </w:rPr>
    </w:lvl>
    <w:lvl w:ilvl="2" w:tplc="E82C7ECA" w:tentative="1">
      <w:start w:val="1"/>
      <w:numFmt w:val="bullet"/>
      <w:lvlText w:val=""/>
      <w:lvlJc w:val="left"/>
      <w:pPr>
        <w:tabs>
          <w:tab w:val="num" w:pos="2241"/>
        </w:tabs>
        <w:ind w:left="2241" w:hanging="360"/>
      </w:pPr>
      <w:rPr>
        <w:rFonts w:ascii="Symbol" w:hAnsi="Symbol" w:hint="default"/>
      </w:rPr>
    </w:lvl>
    <w:lvl w:ilvl="3" w:tplc="B0867A26" w:tentative="1">
      <w:start w:val="1"/>
      <w:numFmt w:val="bullet"/>
      <w:lvlText w:val=""/>
      <w:lvlJc w:val="left"/>
      <w:pPr>
        <w:tabs>
          <w:tab w:val="num" w:pos="2961"/>
        </w:tabs>
        <w:ind w:left="2961" w:hanging="360"/>
      </w:pPr>
      <w:rPr>
        <w:rFonts w:ascii="Symbol" w:hAnsi="Symbol" w:hint="default"/>
      </w:rPr>
    </w:lvl>
    <w:lvl w:ilvl="4" w:tplc="692889B8" w:tentative="1">
      <w:start w:val="1"/>
      <w:numFmt w:val="bullet"/>
      <w:lvlText w:val=""/>
      <w:lvlJc w:val="left"/>
      <w:pPr>
        <w:tabs>
          <w:tab w:val="num" w:pos="3681"/>
        </w:tabs>
        <w:ind w:left="3681" w:hanging="360"/>
      </w:pPr>
      <w:rPr>
        <w:rFonts w:ascii="Symbol" w:hAnsi="Symbol" w:hint="default"/>
      </w:rPr>
    </w:lvl>
    <w:lvl w:ilvl="5" w:tplc="FE0CDF30" w:tentative="1">
      <w:start w:val="1"/>
      <w:numFmt w:val="bullet"/>
      <w:lvlText w:val=""/>
      <w:lvlJc w:val="left"/>
      <w:pPr>
        <w:tabs>
          <w:tab w:val="num" w:pos="4401"/>
        </w:tabs>
        <w:ind w:left="4401" w:hanging="360"/>
      </w:pPr>
      <w:rPr>
        <w:rFonts w:ascii="Symbol" w:hAnsi="Symbol" w:hint="default"/>
      </w:rPr>
    </w:lvl>
    <w:lvl w:ilvl="6" w:tplc="D71C0344" w:tentative="1">
      <w:start w:val="1"/>
      <w:numFmt w:val="bullet"/>
      <w:lvlText w:val=""/>
      <w:lvlJc w:val="left"/>
      <w:pPr>
        <w:tabs>
          <w:tab w:val="num" w:pos="5121"/>
        </w:tabs>
        <w:ind w:left="5121" w:hanging="360"/>
      </w:pPr>
      <w:rPr>
        <w:rFonts w:ascii="Symbol" w:hAnsi="Symbol" w:hint="default"/>
      </w:rPr>
    </w:lvl>
    <w:lvl w:ilvl="7" w:tplc="AA10B514" w:tentative="1">
      <w:start w:val="1"/>
      <w:numFmt w:val="bullet"/>
      <w:lvlText w:val=""/>
      <w:lvlJc w:val="left"/>
      <w:pPr>
        <w:tabs>
          <w:tab w:val="num" w:pos="5841"/>
        </w:tabs>
        <w:ind w:left="5841" w:hanging="360"/>
      </w:pPr>
      <w:rPr>
        <w:rFonts w:ascii="Symbol" w:hAnsi="Symbol" w:hint="default"/>
      </w:rPr>
    </w:lvl>
    <w:lvl w:ilvl="8" w:tplc="3A88E85E" w:tentative="1">
      <w:start w:val="1"/>
      <w:numFmt w:val="bullet"/>
      <w:lvlText w:val=""/>
      <w:lvlJc w:val="left"/>
      <w:pPr>
        <w:tabs>
          <w:tab w:val="num" w:pos="6561"/>
        </w:tabs>
        <w:ind w:left="6561" w:hanging="360"/>
      </w:pPr>
      <w:rPr>
        <w:rFonts w:ascii="Symbol" w:hAnsi="Symbol" w:hint="default"/>
      </w:rPr>
    </w:lvl>
  </w:abstractNum>
  <w:abstractNum w:abstractNumId="14">
    <w:nsid w:val="2908539B"/>
    <w:multiLevelType w:val="hybridMultilevel"/>
    <w:tmpl w:val="46C67F10"/>
    <w:lvl w:ilvl="0" w:tplc="02DAE588">
      <w:start w:val="1"/>
      <w:numFmt w:val="bullet"/>
      <w:lvlText w:val=""/>
      <w:lvlJc w:val="left"/>
      <w:pPr>
        <w:tabs>
          <w:tab w:val="num" w:pos="720"/>
        </w:tabs>
        <w:ind w:left="720" w:hanging="360"/>
      </w:pPr>
      <w:rPr>
        <w:rFonts w:ascii="Symbol" w:hAnsi="Symbol" w:hint="default"/>
      </w:rPr>
    </w:lvl>
    <w:lvl w:ilvl="1" w:tplc="239EB00A">
      <w:start w:val="1"/>
      <w:numFmt w:val="bullet"/>
      <w:lvlText w:val=""/>
      <w:lvlJc w:val="left"/>
      <w:pPr>
        <w:tabs>
          <w:tab w:val="num" w:pos="1440"/>
        </w:tabs>
        <w:ind w:left="1440" w:hanging="360"/>
      </w:pPr>
      <w:rPr>
        <w:rFonts w:ascii="Symbol" w:hAnsi="Symbol" w:hint="default"/>
      </w:rPr>
    </w:lvl>
    <w:lvl w:ilvl="2" w:tplc="E8300000" w:tentative="1">
      <w:start w:val="1"/>
      <w:numFmt w:val="bullet"/>
      <w:lvlText w:val=""/>
      <w:lvlJc w:val="left"/>
      <w:pPr>
        <w:tabs>
          <w:tab w:val="num" w:pos="2160"/>
        </w:tabs>
        <w:ind w:left="2160" w:hanging="360"/>
      </w:pPr>
      <w:rPr>
        <w:rFonts w:ascii="Symbol" w:hAnsi="Symbol" w:hint="default"/>
      </w:rPr>
    </w:lvl>
    <w:lvl w:ilvl="3" w:tplc="65060942" w:tentative="1">
      <w:start w:val="1"/>
      <w:numFmt w:val="bullet"/>
      <w:lvlText w:val=""/>
      <w:lvlJc w:val="left"/>
      <w:pPr>
        <w:tabs>
          <w:tab w:val="num" w:pos="2880"/>
        </w:tabs>
        <w:ind w:left="2880" w:hanging="360"/>
      </w:pPr>
      <w:rPr>
        <w:rFonts w:ascii="Symbol" w:hAnsi="Symbol" w:hint="default"/>
      </w:rPr>
    </w:lvl>
    <w:lvl w:ilvl="4" w:tplc="93AE1B20" w:tentative="1">
      <w:start w:val="1"/>
      <w:numFmt w:val="bullet"/>
      <w:lvlText w:val=""/>
      <w:lvlJc w:val="left"/>
      <w:pPr>
        <w:tabs>
          <w:tab w:val="num" w:pos="3600"/>
        </w:tabs>
        <w:ind w:left="3600" w:hanging="360"/>
      </w:pPr>
      <w:rPr>
        <w:rFonts w:ascii="Symbol" w:hAnsi="Symbol" w:hint="default"/>
      </w:rPr>
    </w:lvl>
    <w:lvl w:ilvl="5" w:tplc="FD7C47AC" w:tentative="1">
      <w:start w:val="1"/>
      <w:numFmt w:val="bullet"/>
      <w:lvlText w:val=""/>
      <w:lvlJc w:val="left"/>
      <w:pPr>
        <w:tabs>
          <w:tab w:val="num" w:pos="4320"/>
        </w:tabs>
        <w:ind w:left="4320" w:hanging="360"/>
      </w:pPr>
      <w:rPr>
        <w:rFonts w:ascii="Symbol" w:hAnsi="Symbol" w:hint="default"/>
      </w:rPr>
    </w:lvl>
    <w:lvl w:ilvl="6" w:tplc="DFE847E2" w:tentative="1">
      <w:start w:val="1"/>
      <w:numFmt w:val="bullet"/>
      <w:lvlText w:val=""/>
      <w:lvlJc w:val="left"/>
      <w:pPr>
        <w:tabs>
          <w:tab w:val="num" w:pos="5040"/>
        </w:tabs>
        <w:ind w:left="5040" w:hanging="360"/>
      </w:pPr>
      <w:rPr>
        <w:rFonts w:ascii="Symbol" w:hAnsi="Symbol" w:hint="default"/>
      </w:rPr>
    </w:lvl>
    <w:lvl w:ilvl="7" w:tplc="25489D08" w:tentative="1">
      <w:start w:val="1"/>
      <w:numFmt w:val="bullet"/>
      <w:lvlText w:val=""/>
      <w:lvlJc w:val="left"/>
      <w:pPr>
        <w:tabs>
          <w:tab w:val="num" w:pos="5760"/>
        </w:tabs>
        <w:ind w:left="5760" w:hanging="360"/>
      </w:pPr>
      <w:rPr>
        <w:rFonts w:ascii="Symbol" w:hAnsi="Symbol" w:hint="default"/>
      </w:rPr>
    </w:lvl>
    <w:lvl w:ilvl="8" w:tplc="BAE45A3A" w:tentative="1">
      <w:start w:val="1"/>
      <w:numFmt w:val="bullet"/>
      <w:lvlText w:val=""/>
      <w:lvlJc w:val="left"/>
      <w:pPr>
        <w:tabs>
          <w:tab w:val="num" w:pos="6480"/>
        </w:tabs>
        <w:ind w:left="6480" w:hanging="360"/>
      </w:pPr>
      <w:rPr>
        <w:rFonts w:ascii="Symbol" w:hAnsi="Symbol" w:hint="default"/>
      </w:rPr>
    </w:lvl>
  </w:abstractNum>
  <w:abstractNum w:abstractNumId="15">
    <w:nsid w:val="29A0274F"/>
    <w:multiLevelType w:val="hybridMultilevel"/>
    <w:tmpl w:val="53BA9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100B80"/>
    <w:multiLevelType w:val="hybridMultilevel"/>
    <w:tmpl w:val="DEBE9BD2"/>
    <w:lvl w:ilvl="0" w:tplc="0C090001">
      <w:start w:val="1"/>
      <w:numFmt w:val="bullet"/>
      <w:lvlText w:val=""/>
      <w:lvlJc w:val="left"/>
      <w:pPr>
        <w:ind w:left="108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38734C00"/>
    <w:multiLevelType w:val="hybridMultilevel"/>
    <w:tmpl w:val="161EB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14E5AC4">
      <w:numFmt w:val="bullet"/>
      <w:lvlText w:val="·"/>
      <w:lvlJc w:val="left"/>
      <w:pPr>
        <w:ind w:left="2292" w:hanging="492"/>
      </w:pPr>
      <w:rPr>
        <w:rFonts w:ascii="Calibri" w:eastAsia="Calibri" w:hAnsi="Calibri" w:cs="Times New Roman" w:hint="default"/>
        <w:i w:val="0"/>
      </w:r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nsid w:val="3D8F5644"/>
    <w:multiLevelType w:val="hybridMultilevel"/>
    <w:tmpl w:val="58B6D73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9">
    <w:nsid w:val="49DE0280"/>
    <w:multiLevelType w:val="hybridMultilevel"/>
    <w:tmpl w:val="E5FA5644"/>
    <w:lvl w:ilvl="0" w:tplc="2D52E864">
      <w:numFmt w:val="bullet"/>
      <w:lvlText w:val="•"/>
      <w:lvlJc w:val="left"/>
      <w:pPr>
        <w:ind w:left="900" w:hanging="54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9E23A5"/>
    <w:multiLevelType w:val="hybridMultilevel"/>
    <w:tmpl w:val="3E0A7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0D91FCE"/>
    <w:multiLevelType w:val="hybridMultilevel"/>
    <w:tmpl w:val="CB586D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A6140F"/>
    <w:multiLevelType w:val="hybridMultilevel"/>
    <w:tmpl w:val="555AC72E"/>
    <w:lvl w:ilvl="0" w:tplc="AB345434">
      <w:start w:val="1"/>
      <w:numFmt w:val="bullet"/>
      <w:lvlText w:val=""/>
      <w:lvlJc w:val="left"/>
      <w:pPr>
        <w:tabs>
          <w:tab w:val="num" w:pos="720"/>
        </w:tabs>
        <w:ind w:left="720" w:hanging="360"/>
      </w:pPr>
      <w:rPr>
        <w:rFonts w:ascii="Symbol" w:hAnsi="Symbol" w:hint="default"/>
      </w:rPr>
    </w:lvl>
    <w:lvl w:ilvl="1" w:tplc="E6A29814">
      <w:start w:val="1"/>
      <w:numFmt w:val="bullet"/>
      <w:lvlText w:val=""/>
      <w:lvlJc w:val="left"/>
      <w:pPr>
        <w:tabs>
          <w:tab w:val="num" w:pos="1440"/>
        </w:tabs>
        <w:ind w:left="1440" w:hanging="360"/>
      </w:pPr>
      <w:rPr>
        <w:rFonts w:ascii="Symbol" w:hAnsi="Symbol" w:hint="default"/>
      </w:rPr>
    </w:lvl>
    <w:lvl w:ilvl="2" w:tplc="AC8E3800" w:tentative="1">
      <w:start w:val="1"/>
      <w:numFmt w:val="bullet"/>
      <w:lvlText w:val=""/>
      <w:lvlJc w:val="left"/>
      <w:pPr>
        <w:tabs>
          <w:tab w:val="num" w:pos="2160"/>
        </w:tabs>
        <w:ind w:left="2160" w:hanging="360"/>
      </w:pPr>
      <w:rPr>
        <w:rFonts w:ascii="Symbol" w:hAnsi="Symbol" w:hint="default"/>
      </w:rPr>
    </w:lvl>
    <w:lvl w:ilvl="3" w:tplc="D024AEA2" w:tentative="1">
      <w:start w:val="1"/>
      <w:numFmt w:val="bullet"/>
      <w:lvlText w:val=""/>
      <w:lvlJc w:val="left"/>
      <w:pPr>
        <w:tabs>
          <w:tab w:val="num" w:pos="2880"/>
        </w:tabs>
        <w:ind w:left="2880" w:hanging="360"/>
      </w:pPr>
      <w:rPr>
        <w:rFonts w:ascii="Symbol" w:hAnsi="Symbol" w:hint="default"/>
      </w:rPr>
    </w:lvl>
    <w:lvl w:ilvl="4" w:tplc="04D6BF92" w:tentative="1">
      <w:start w:val="1"/>
      <w:numFmt w:val="bullet"/>
      <w:lvlText w:val=""/>
      <w:lvlJc w:val="left"/>
      <w:pPr>
        <w:tabs>
          <w:tab w:val="num" w:pos="3600"/>
        </w:tabs>
        <w:ind w:left="3600" w:hanging="360"/>
      </w:pPr>
      <w:rPr>
        <w:rFonts w:ascii="Symbol" w:hAnsi="Symbol" w:hint="default"/>
      </w:rPr>
    </w:lvl>
    <w:lvl w:ilvl="5" w:tplc="E36421E8" w:tentative="1">
      <w:start w:val="1"/>
      <w:numFmt w:val="bullet"/>
      <w:lvlText w:val=""/>
      <w:lvlJc w:val="left"/>
      <w:pPr>
        <w:tabs>
          <w:tab w:val="num" w:pos="4320"/>
        </w:tabs>
        <w:ind w:left="4320" w:hanging="360"/>
      </w:pPr>
      <w:rPr>
        <w:rFonts w:ascii="Symbol" w:hAnsi="Symbol" w:hint="default"/>
      </w:rPr>
    </w:lvl>
    <w:lvl w:ilvl="6" w:tplc="01A21800" w:tentative="1">
      <w:start w:val="1"/>
      <w:numFmt w:val="bullet"/>
      <w:lvlText w:val=""/>
      <w:lvlJc w:val="left"/>
      <w:pPr>
        <w:tabs>
          <w:tab w:val="num" w:pos="5040"/>
        </w:tabs>
        <w:ind w:left="5040" w:hanging="360"/>
      </w:pPr>
      <w:rPr>
        <w:rFonts w:ascii="Symbol" w:hAnsi="Symbol" w:hint="default"/>
      </w:rPr>
    </w:lvl>
    <w:lvl w:ilvl="7" w:tplc="FE4C5436" w:tentative="1">
      <w:start w:val="1"/>
      <w:numFmt w:val="bullet"/>
      <w:lvlText w:val=""/>
      <w:lvlJc w:val="left"/>
      <w:pPr>
        <w:tabs>
          <w:tab w:val="num" w:pos="5760"/>
        </w:tabs>
        <w:ind w:left="5760" w:hanging="360"/>
      </w:pPr>
      <w:rPr>
        <w:rFonts w:ascii="Symbol" w:hAnsi="Symbol" w:hint="default"/>
      </w:rPr>
    </w:lvl>
    <w:lvl w:ilvl="8" w:tplc="355A1B76" w:tentative="1">
      <w:start w:val="1"/>
      <w:numFmt w:val="bullet"/>
      <w:lvlText w:val=""/>
      <w:lvlJc w:val="left"/>
      <w:pPr>
        <w:tabs>
          <w:tab w:val="num" w:pos="6480"/>
        </w:tabs>
        <w:ind w:left="6480" w:hanging="360"/>
      </w:pPr>
      <w:rPr>
        <w:rFonts w:ascii="Symbol" w:hAnsi="Symbol" w:hint="default"/>
      </w:rPr>
    </w:lvl>
  </w:abstractNum>
  <w:abstractNum w:abstractNumId="23">
    <w:nsid w:val="6C763F3C"/>
    <w:multiLevelType w:val="hybridMultilevel"/>
    <w:tmpl w:val="519AF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5"/>
  </w:num>
  <w:num w:numId="4">
    <w:abstractNumId w:val="4"/>
  </w:num>
  <w:num w:numId="5">
    <w:abstractNumId w:val="15"/>
  </w:num>
  <w:num w:numId="6">
    <w:abstractNumId w:val="19"/>
  </w:num>
  <w:num w:numId="7">
    <w:abstractNumId w:val="2"/>
  </w:num>
  <w:num w:numId="8">
    <w:abstractNumId w:val="21"/>
  </w:num>
  <w:num w:numId="9">
    <w:abstractNumId w:val="10"/>
  </w:num>
  <w:num w:numId="10">
    <w:abstractNumId w:val="22"/>
  </w:num>
  <w:num w:numId="11">
    <w:abstractNumId w:val="13"/>
  </w:num>
  <w:num w:numId="12">
    <w:abstractNumId w:val="14"/>
  </w:num>
  <w:num w:numId="13">
    <w:abstractNumId w:val="11"/>
  </w:num>
  <w:num w:numId="14">
    <w:abstractNumId w:val="12"/>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23"/>
  </w:num>
  <w:num w:numId="25">
    <w:abstractNumId w:val="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yrne, Duncan (SP&amp;I, Campbell)">
    <w15:presenceInfo w15:providerId="AD" w15:userId="S-1-5-21-61289985-2027487937-1858953157-282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10244">
      <o:colormenu v:ext="edit" fillcolor="none" strokecolor="none"/>
    </o:shapedefaults>
    <o:shapelayout v:ext="edit">
      <o:idmap v:ext="edit" data="10"/>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2"/>
  </w:compat>
  <w:rsids>
    <w:rsidRoot w:val="00DF5940"/>
    <w:rsid w:val="00012C51"/>
    <w:rsid w:val="00026384"/>
    <w:rsid w:val="000375FA"/>
    <w:rsid w:val="00062317"/>
    <w:rsid w:val="00077271"/>
    <w:rsid w:val="00096683"/>
    <w:rsid w:val="000967A6"/>
    <w:rsid w:val="000C6747"/>
    <w:rsid w:val="000D0B2F"/>
    <w:rsid w:val="000E5652"/>
    <w:rsid w:val="000E63D5"/>
    <w:rsid w:val="000E63DF"/>
    <w:rsid w:val="000E7578"/>
    <w:rsid w:val="000F15E2"/>
    <w:rsid w:val="00111BB5"/>
    <w:rsid w:val="00145271"/>
    <w:rsid w:val="001A0EC0"/>
    <w:rsid w:val="001C2DC5"/>
    <w:rsid w:val="001E0A40"/>
    <w:rsid w:val="001F11F0"/>
    <w:rsid w:val="001F68E4"/>
    <w:rsid w:val="00236593"/>
    <w:rsid w:val="002376F2"/>
    <w:rsid w:val="00241CC3"/>
    <w:rsid w:val="002522E4"/>
    <w:rsid w:val="002576F0"/>
    <w:rsid w:val="002605E3"/>
    <w:rsid w:val="00263B5B"/>
    <w:rsid w:val="002938CE"/>
    <w:rsid w:val="002B1E2F"/>
    <w:rsid w:val="002B736A"/>
    <w:rsid w:val="002C7882"/>
    <w:rsid w:val="002E163A"/>
    <w:rsid w:val="002E540D"/>
    <w:rsid w:val="002F6381"/>
    <w:rsid w:val="00310ECD"/>
    <w:rsid w:val="003174CB"/>
    <w:rsid w:val="00341B77"/>
    <w:rsid w:val="00342311"/>
    <w:rsid w:val="00346146"/>
    <w:rsid w:val="00374727"/>
    <w:rsid w:val="0037602D"/>
    <w:rsid w:val="00394849"/>
    <w:rsid w:val="003977FE"/>
    <w:rsid w:val="003A1732"/>
    <w:rsid w:val="003A5DDE"/>
    <w:rsid w:val="003C50A5"/>
    <w:rsid w:val="003C7705"/>
    <w:rsid w:val="003D1C06"/>
    <w:rsid w:val="003D6ADE"/>
    <w:rsid w:val="003D7486"/>
    <w:rsid w:val="003F2563"/>
    <w:rsid w:val="003F3BA2"/>
    <w:rsid w:val="0040711B"/>
    <w:rsid w:val="004317E2"/>
    <w:rsid w:val="00431F2F"/>
    <w:rsid w:val="00435E69"/>
    <w:rsid w:val="00436AD7"/>
    <w:rsid w:val="00437810"/>
    <w:rsid w:val="0045441D"/>
    <w:rsid w:val="004738AD"/>
    <w:rsid w:val="00483B4E"/>
    <w:rsid w:val="00483EDF"/>
    <w:rsid w:val="00486D8C"/>
    <w:rsid w:val="004C1BB5"/>
    <w:rsid w:val="004C482C"/>
    <w:rsid w:val="004D13C6"/>
    <w:rsid w:val="004E55B4"/>
    <w:rsid w:val="004F2510"/>
    <w:rsid w:val="004F2C5A"/>
    <w:rsid w:val="004F7368"/>
    <w:rsid w:val="00540EA3"/>
    <w:rsid w:val="00551A04"/>
    <w:rsid w:val="005523C8"/>
    <w:rsid w:val="00553CD6"/>
    <w:rsid w:val="00564EEF"/>
    <w:rsid w:val="00566AA1"/>
    <w:rsid w:val="005916E9"/>
    <w:rsid w:val="00606AC2"/>
    <w:rsid w:val="0063644A"/>
    <w:rsid w:val="00652387"/>
    <w:rsid w:val="00660489"/>
    <w:rsid w:val="006607E0"/>
    <w:rsid w:val="00670923"/>
    <w:rsid w:val="0067645C"/>
    <w:rsid w:val="00677BC2"/>
    <w:rsid w:val="00684DB5"/>
    <w:rsid w:val="0068589E"/>
    <w:rsid w:val="00690A61"/>
    <w:rsid w:val="006950B0"/>
    <w:rsid w:val="006A67FD"/>
    <w:rsid w:val="006B3B0E"/>
    <w:rsid w:val="006D5E6A"/>
    <w:rsid w:val="006E2E3D"/>
    <w:rsid w:val="006E7ADE"/>
    <w:rsid w:val="006F1EA4"/>
    <w:rsid w:val="006F79AF"/>
    <w:rsid w:val="006F7F63"/>
    <w:rsid w:val="0070037E"/>
    <w:rsid w:val="00720CE0"/>
    <w:rsid w:val="00740AF2"/>
    <w:rsid w:val="00763270"/>
    <w:rsid w:val="00781618"/>
    <w:rsid w:val="00786780"/>
    <w:rsid w:val="00792F61"/>
    <w:rsid w:val="00796837"/>
    <w:rsid w:val="007A4924"/>
    <w:rsid w:val="007B337E"/>
    <w:rsid w:val="007B6ECB"/>
    <w:rsid w:val="007B74CC"/>
    <w:rsid w:val="007D2960"/>
    <w:rsid w:val="007D5922"/>
    <w:rsid w:val="007E7C25"/>
    <w:rsid w:val="00816D4E"/>
    <w:rsid w:val="0082308B"/>
    <w:rsid w:val="00823A7E"/>
    <w:rsid w:val="00824B04"/>
    <w:rsid w:val="0084498C"/>
    <w:rsid w:val="00855D5A"/>
    <w:rsid w:val="008564CA"/>
    <w:rsid w:val="00871F4F"/>
    <w:rsid w:val="0087286A"/>
    <w:rsid w:val="00873C46"/>
    <w:rsid w:val="00876282"/>
    <w:rsid w:val="00885CFD"/>
    <w:rsid w:val="00885D71"/>
    <w:rsid w:val="008876D5"/>
    <w:rsid w:val="00892467"/>
    <w:rsid w:val="0089281F"/>
    <w:rsid w:val="008C1B3B"/>
    <w:rsid w:val="008C202A"/>
    <w:rsid w:val="008C38F0"/>
    <w:rsid w:val="008C3E0F"/>
    <w:rsid w:val="008C7142"/>
    <w:rsid w:val="008D6AEB"/>
    <w:rsid w:val="008E448E"/>
    <w:rsid w:val="008E6341"/>
    <w:rsid w:val="008F3879"/>
    <w:rsid w:val="00904257"/>
    <w:rsid w:val="009115B2"/>
    <w:rsid w:val="009156E0"/>
    <w:rsid w:val="00944970"/>
    <w:rsid w:val="00953291"/>
    <w:rsid w:val="009723E7"/>
    <w:rsid w:val="00992EDB"/>
    <w:rsid w:val="009B2E56"/>
    <w:rsid w:val="009D237B"/>
    <w:rsid w:val="009D4D1E"/>
    <w:rsid w:val="009D5C20"/>
    <w:rsid w:val="009E3153"/>
    <w:rsid w:val="00A02A5B"/>
    <w:rsid w:val="00A05FD6"/>
    <w:rsid w:val="00A06564"/>
    <w:rsid w:val="00A07D7D"/>
    <w:rsid w:val="00A07F8A"/>
    <w:rsid w:val="00A11829"/>
    <w:rsid w:val="00A15344"/>
    <w:rsid w:val="00A4507A"/>
    <w:rsid w:val="00A577A1"/>
    <w:rsid w:val="00A57955"/>
    <w:rsid w:val="00A72D71"/>
    <w:rsid w:val="00A74464"/>
    <w:rsid w:val="00A800C3"/>
    <w:rsid w:val="00A84892"/>
    <w:rsid w:val="00AA0340"/>
    <w:rsid w:val="00AB4C63"/>
    <w:rsid w:val="00AC5FD3"/>
    <w:rsid w:val="00AD687C"/>
    <w:rsid w:val="00AE132A"/>
    <w:rsid w:val="00AF46F5"/>
    <w:rsid w:val="00B22169"/>
    <w:rsid w:val="00B2575F"/>
    <w:rsid w:val="00B52F75"/>
    <w:rsid w:val="00B64C0F"/>
    <w:rsid w:val="00B67312"/>
    <w:rsid w:val="00B83EBE"/>
    <w:rsid w:val="00BA6DBD"/>
    <w:rsid w:val="00BB0B72"/>
    <w:rsid w:val="00BB45CD"/>
    <w:rsid w:val="00BD1C69"/>
    <w:rsid w:val="00BD6311"/>
    <w:rsid w:val="00BE446D"/>
    <w:rsid w:val="00BE7DF3"/>
    <w:rsid w:val="00BF4742"/>
    <w:rsid w:val="00C10090"/>
    <w:rsid w:val="00C36700"/>
    <w:rsid w:val="00C478F9"/>
    <w:rsid w:val="00C73F8A"/>
    <w:rsid w:val="00C764E3"/>
    <w:rsid w:val="00C93B43"/>
    <w:rsid w:val="00CA1065"/>
    <w:rsid w:val="00CA2D61"/>
    <w:rsid w:val="00CA6782"/>
    <w:rsid w:val="00CC132A"/>
    <w:rsid w:val="00CC6610"/>
    <w:rsid w:val="00D02A56"/>
    <w:rsid w:val="00D20AD0"/>
    <w:rsid w:val="00D251BD"/>
    <w:rsid w:val="00D2725D"/>
    <w:rsid w:val="00D3541F"/>
    <w:rsid w:val="00D45A33"/>
    <w:rsid w:val="00D466B4"/>
    <w:rsid w:val="00D60DC4"/>
    <w:rsid w:val="00D65C31"/>
    <w:rsid w:val="00D748C5"/>
    <w:rsid w:val="00DA2ED4"/>
    <w:rsid w:val="00DA44DB"/>
    <w:rsid w:val="00DE3264"/>
    <w:rsid w:val="00DF2811"/>
    <w:rsid w:val="00DF5940"/>
    <w:rsid w:val="00E016EB"/>
    <w:rsid w:val="00E11975"/>
    <w:rsid w:val="00E317AE"/>
    <w:rsid w:val="00E3314A"/>
    <w:rsid w:val="00E35969"/>
    <w:rsid w:val="00E50B4B"/>
    <w:rsid w:val="00E92A2E"/>
    <w:rsid w:val="00E9595D"/>
    <w:rsid w:val="00E97626"/>
    <w:rsid w:val="00EC48C5"/>
    <w:rsid w:val="00EC6A4E"/>
    <w:rsid w:val="00ED212A"/>
    <w:rsid w:val="00EF184C"/>
    <w:rsid w:val="00EF5AB6"/>
    <w:rsid w:val="00EF6ADE"/>
    <w:rsid w:val="00F169A6"/>
    <w:rsid w:val="00F26DDA"/>
    <w:rsid w:val="00F4214B"/>
    <w:rsid w:val="00F47FE3"/>
    <w:rsid w:val="00F54412"/>
    <w:rsid w:val="00F55606"/>
    <w:rsid w:val="00F618CE"/>
    <w:rsid w:val="00F741CE"/>
    <w:rsid w:val="00FA031B"/>
    <w:rsid w:val="00FB2B65"/>
    <w:rsid w:val="00FB5F9E"/>
    <w:rsid w:val="00FC3319"/>
    <w:rsid w:val="00FC389B"/>
    <w:rsid w:val="00FE7A95"/>
    <w:rsid w:val="00FF3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colormenu v:ext="edit" fillcolor="none" strokecolor="none"/>
    </o:shapedefaults>
    <o:shapelayout v:ext="edit">
      <o:idmap v:ext="edit" data="1"/>
    </o:shapelayout>
  </w:shapeDefaults>
  <w:decimalSymbol w:val="."/>
  <w:listSeparator w:val=","/>
  <w14:docId w14:val="40C9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lsdException w:name="footer" w:uiPriority="99"/>
    <w:lsdException w:name="caption" w:locked="1" w:uiPriority="35" w:qFormat="1"/>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6"/>
  </w:style>
  <w:style w:type="paragraph" w:styleId="Heading1">
    <w:name w:val="heading 1"/>
    <w:basedOn w:val="Normal"/>
    <w:next w:val="Normal"/>
    <w:link w:val="Heading1Char"/>
    <w:uiPriority w:val="9"/>
    <w:qFormat/>
    <w:rsid w:val="009B2E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2E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9B2E5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9B2E5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9B2E5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9B2E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9B2E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9B2E5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9B2E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locked/>
    <w:rsid w:val="009B2E56"/>
    <w:pPr>
      <w:numPr>
        <w:ilvl w:val="1"/>
      </w:numPr>
    </w:pPr>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B2E56"/>
    <w:rPr>
      <w:b/>
      <w:bCs/>
    </w:rPr>
  </w:style>
  <w:style w:type="paragraph" w:customStyle="1" w:styleId="Default">
    <w:name w:val="Default"/>
    <w:rsid w:val="003C7705"/>
    <w:pPr>
      <w:autoSpaceDE w:val="0"/>
      <w:autoSpaceDN w:val="0"/>
      <w:adjustRightInd w:val="0"/>
    </w:pPr>
    <w:rPr>
      <w:color w:val="000000"/>
      <w:sz w:val="24"/>
      <w:szCs w:val="24"/>
    </w:rPr>
  </w:style>
  <w:style w:type="character" w:styleId="CommentReference">
    <w:name w:val="annotation reference"/>
    <w:basedOn w:val="DefaultParagraphFont"/>
    <w:semiHidden/>
    <w:rsid w:val="003C7705"/>
    <w:rPr>
      <w:rFonts w:cs="Times New Roman"/>
      <w:sz w:val="16"/>
      <w:szCs w:val="16"/>
    </w:rPr>
  </w:style>
  <w:style w:type="paragraph" w:styleId="CommentText">
    <w:name w:val="annotation text"/>
    <w:basedOn w:val="Normal"/>
    <w:semiHidden/>
    <w:rsid w:val="003C7705"/>
    <w:rPr>
      <w:sz w:val="20"/>
      <w:szCs w:val="20"/>
    </w:rPr>
  </w:style>
  <w:style w:type="paragraph" w:styleId="CommentSubject">
    <w:name w:val="annotation subject"/>
    <w:basedOn w:val="CommentText"/>
    <w:next w:val="CommentText"/>
    <w:semiHidden/>
    <w:rsid w:val="003C7705"/>
    <w:rPr>
      <w:b/>
      <w:bCs/>
    </w:rPr>
  </w:style>
  <w:style w:type="paragraph" w:styleId="BalloonText">
    <w:name w:val="Balloon Text"/>
    <w:basedOn w:val="Normal"/>
    <w:semiHidden/>
    <w:rsid w:val="003C7705"/>
    <w:rPr>
      <w:rFonts w:ascii="Tahoma" w:hAnsi="Tahoma" w:cs="Tahoma"/>
      <w:sz w:val="16"/>
      <w:szCs w:val="16"/>
    </w:rPr>
  </w:style>
  <w:style w:type="paragraph" w:styleId="Date">
    <w:name w:val="Date"/>
    <w:basedOn w:val="Normal"/>
    <w:next w:val="Normal"/>
    <w:rsid w:val="007B74CC"/>
    <w:rPr>
      <w:b/>
      <w:sz w:val="36"/>
    </w:rPr>
  </w:style>
  <w:style w:type="paragraph" w:customStyle="1" w:styleId="address">
    <w:name w:val="address"/>
    <w:aliases w:val="phone,ABN"/>
    <w:basedOn w:val="Normal"/>
    <w:rsid w:val="007B74CC"/>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uiPriority w:val="99"/>
    <w:rsid w:val="003C7705"/>
    <w:rPr>
      <w:rFonts w:cs="Times New Roman"/>
      <w:color w:val="0000FF"/>
      <w:u w:val="single"/>
    </w:rPr>
  </w:style>
  <w:style w:type="paragraph" w:styleId="Header">
    <w:name w:val="header"/>
    <w:basedOn w:val="Normal"/>
    <w:rsid w:val="00564EEF"/>
    <w:pPr>
      <w:tabs>
        <w:tab w:val="center" w:pos="4153"/>
        <w:tab w:val="right" w:pos="8306"/>
      </w:tabs>
    </w:pPr>
    <w:rPr>
      <w:b/>
      <w:caps/>
      <w:color w:val="FFFFFF"/>
      <w:spacing w:val="16"/>
    </w:rPr>
  </w:style>
  <w:style w:type="paragraph" w:styleId="Footer">
    <w:name w:val="footer"/>
    <w:basedOn w:val="Normal"/>
    <w:link w:val="FooterChar"/>
    <w:uiPriority w:val="99"/>
    <w:rsid w:val="004317E2"/>
    <w:pPr>
      <w:tabs>
        <w:tab w:val="center" w:pos="4153"/>
        <w:tab w:val="right" w:pos="8306"/>
      </w:tabs>
    </w:pPr>
    <w:rPr>
      <w:sz w:val="18"/>
    </w:rPr>
  </w:style>
  <w:style w:type="character" w:styleId="PageNumber">
    <w:name w:val="page number"/>
    <w:basedOn w:val="DefaultParagraphFont"/>
    <w:rsid w:val="004317E2"/>
    <w:rPr>
      <w:rFonts w:ascii="Calibri" w:hAnsi="Calibri" w:cs="Times New Roman"/>
      <w:sz w:val="18"/>
    </w:rPr>
  </w:style>
  <w:style w:type="character" w:styleId="FollowedHyperlink">
    <w:name w:val="FollowedHyperlink"/>
    <w:basedOn w:val="DefaultParagraphFont"/>
    <w:rsid w:val="003C7705"/>
    <w:rPr>
      <w:rFonts w:cs="Times New Roman"/>
      <w:color w:val="800080"/>
      <w:u w:val="single"/>
    </w:rPr>
  </w:style>
  <w:style w:type="paragraph" w:styleId="ListParagraph">
    <w:name w:val="List Paragraph"/>
    <w:basedOn w:val="Normal"/>
    <w:uiPriority w:val="34"/>
    <w:qFormat/>
    <w:rsid w:val="009B2E56"/>
    <w:pPr>
      <w:ind w:left="720"/>
      <w:contextualSpacing/>
    </w:pPr>
  </w:style>
  <w:style w:type="paragraph" w:styleId="BodyText">
    <w:name w:val="Body Text"/>
    <w:basedOn w:val="Normal"/>
    <w:link w:val="BodyTextChar"/>
    <w:rsid w:val="003C7705"/>
    <w:pPr>
      <w:spacing w:after="240"/>
      <w:jc w:val="both"/>
    </w:pPr>
    <w:rPr>
      <w:rFonts w:eastAsia="MS Mincho"/>
      <w:szCs w:val="20"/>
      <w:lang w:eastAsia="en-US"/>
    </w:rPr>
  </w:style>
  <w:style w:type="character" w:styleId="Emphasis">
    <w:name w:val="Emphasis"/>
    <w:basedOn w:val="DefaultParagraphFont"/>
    <w:uiPriority w:val="20"/>
    <w:qFormat/>
    <w:rsid w:val="009B2E56"/>
    <w:rPr>
      <w:i/>
      <w:iCs/>
    </w:rPr>
  </w:style>
  <w:style w:type="paragraph" w:styleId="TOC1">
    <w:name w:val="toc 1"/>
    <w:basedOn w:val="Normal"/>
    <w:next w:val="Normal"/>
    <w:autoRedefine/>
    <w:uiPriority w:val="39"/>
    <w:qFormat/>
    <w:rsid w:val="003C7705"/>
  </w:style>
  <w:style w:type="paragraph" w:styleId="TOC2">
    <w:name w:val="toc 2"/>
    <w:basedOn w:val="Normal"/>
    <w:next w:val="Normal"/>
    <w:autoRedefine/>
    <w:uiPriority w:val="39"/>
    <w:qFormat/>
    <w:rsid w:val="003C7705"/>
    <w:pPr>
      <w:ind w:left="240"/>
    </w:pPr>
  </w:style>
  <w:style w:type="paragraph" w:styleId="FootnoteText">
    <w:name w:val="footnote text"/>
    <w:basedOn w:val="Normal"/>
    <w:semiHidden/>
    <w:rsid w:val="003C7705"/>
    <w:rPr>
      <w:sz w:val="20"/>
      <w:szCs w:val="20"/>
      <w:lang w:eastAsia="en-US"/>
    </w:rPr>
  </w:style>
  <w:style w:type="character" w:styleId="FootnoteReference">
    <w:name w:val="footnote reference"/>
    <w:basedOn w:val="DefaultParagraphFont"/>
    <w:semiHidden/>
    <w:rsid w:val="003C7705"/>
    <w:rPr>
      <w:rFonts w:cs="Times New Roman"/>
      <w:vertAlign w:val="superscript"/>
    </w:rPr>
  </w:style>
  <w:style w:type="paragraph" w:styleId="NormalWeb">
    <w:name w:val="Normal (Web)"/>
    <w:basedOn w:val="Normal"/>
    <w:uiPriority w:val="99"/>
    <w:rsid w:val="004317E2"/>
    <w:pPr>
      <w:spacing w:before="100" w:beforeAutospacing="1" w:after="100" w:afterAutospacing="1"/>
    </w:pPr>
  </w:style>
  <w:style w:type="paragraph" w:customStyle="1" w:styleId="Headerurl">
    <w:name w:val="Header url"/>
    <w:basedOn w:val="Header"/>
    <w:rsid w:val="007B74CC"/>
    <w:rPr>
      <w:b w:val="0"/>
      <w:color w:val="00313C"/>
      <w:lang w:eastAsia="en-US"/>
    </w:rPr>
  </w:style>
  <w:style w:type="paragraph" w:customStyle="1" w:styleId="CoverSubtitle">
    <w:name w:val="Cover Subtitle"/>
    <w:basedOn w:val="Subtitle"/>
    <w:rsid w:val="0084498C"/>
    <w:pPr>
      <w:spacing w:after="360"/>
    </w:pPr>
  </w:style>
  <w:style w:type="paragraph" w:customStyle="1" w:styleId="CoverTitle">
    <w:name w:val="Cover Title"/>
    <w:basedOn w:val="Title"/>
    <w:rsid w:val="0084498C"/>
    <w:pPr>
      <w:contextualSpacing w:val="0"/>
    </w:pPr>
  </w:style>
  <w:style w:type="paragraph" w:customStyle="1" w:styleId="BodyCopy">
    <w:name w:val="Body Copy"/>
    <w:link w:val="BodyCopyCharChar"/>
    <w:rsid w:val="003D6ADE"/>
    <w:pPr>
      <w:autoSpaceDE w:val="0"/>
      <w:autoSpaceDN w:val="0"/>
      <w:adjustRightInd w:val="0"/>
      <w:spacing w:before="40" w:after="160" w:line="250" w:lineRule="atLeast"/>
      <w:textAlignment w:val="baseline"/>
    </w:pPr>
    <w:rPr>
      <w:rFonts w:ascii="Arial" w:hAnsi="Arial" w:cs="GillSans Light"/>
      <w:color w:val="000000"/>
      <w:sz w:val="18"/>
      <w:szCs w:val="19"/>
    </w:rPr>
  </w:style>
  <w:style w:type="character" w:customStyle="1" w:styleId="BodyCopyCharChar">
    <w:name w:val="Body Copy Char Char"/>
    <w:basedOn w:val="DefaultParagraphFont"/>
    <w:link w:val="BodyCopy"/>
    <w:locked/>
    <w:rsid w:val="003D6ADE"/>
    <w:rPr>
      <w:rFonts w:ascii="Arial" w:hAnsi="Arial" w:cs="GillSans Light"/>
      <w:color w:val="000000"/>
      <w:sz w:val="19"/>
      <w:szCs w:val="19"/>
      <w:lang w:val="en-AU" w:eastAsia="en-AU" w:bidi="ar-SA"/>
    </w:rPr>
  </w:style>
  <w:style w:type="character" w:customStyle="1" w:styleId="Heading2Char">
    <w:name w:val="Heading 2 Char"/>
    <w:basedOn w:val="DefaultParagraphFont"/>
    <w:link w:val="Heading2"/>
    <w:uiPriority w:val="9"/>
    <w:locked/>
    <w:rsid w:val="009B2E5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B2E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locked/>
    <w:rsid w:val="00236593"/>
    <w:rPr>
      <w:rFonts w:eastAsia="MS Mincho" w:cs="Times New Roman"/>
      <w:sz w:val="24"/>
      <w:lang w:eastAsia="en-US"/>
    </w:rPr>
  </w:style>
  <w:style w:type="character" w:customStyle="1" w:styleId="TitleChar">
    <w:name w:val="Title Char"/>
    <w:basedOn w:val="DefaultParagraphFont"/>
    <w:link w:val="Title"/>
    <w:uiPriority w:val="10"/>
    <w:locked/>
    <w:rsid w:val="009B2E56"/>
    <w:rPr>
      <w:rFonts w:asciiTheme="majorHAnsi" w:eastAsiaTheme="majorEastAsia" w:hAnsiTheme="majorHAnsi" w:cstheme="majorBidi"/>
      <w:color w:val="17365D" w:themeColor="text2" w:themeShade="BF"/>
      <w:spacing w:val="5"/>
      <w:kern w:val="28"/>
      <w:sz w:val="52"/>
      <w:szCs w:val="52"/>
    </w:rPr>
  </w:style>
  <w:style w:type="paragraph" w:customStyle="1" w:styleId="CoverDate">
    <w:name w:val="Cover Date"/>
    <w:basedOn w:val="Normal"/>
    <w:rsid w:val="0084498C"/>
    <w:pPr>
      <w:spacing w:before="360" w:after="600"/>
    </w:pPr>
    <w:rPr>
      <w:b/>
      <w:sz w:val="36"/>
    </w:rPr>
  </w:style>
  <w:style w:type="character" w:customStyle="1" w:styleId="Heading3Char">
    <w:name w:val="Heading 3 Char"/>
    <w:basedOn w:val="DefaultParagraphFont"/>
    <w:link w:val="Heading3"/>
    <w:uiPriority w:val="9"/>
    <w:rsid w:val="009B2E56"/>
    <w:rPr>
      <w:rFonts w:asciiTheme="majorHAnsi" w:eastAsiaTheme="majorEastAsia" w:hAnsiTheme="majorHAnsi" w:cstheme="majorBidi"/>
      <w:b/>
      <w:bCs/>
      <w:color w:val="4F81BD" w:themeColor="accent1"/>
    </w:rPr>
  </w:style>
  <w:style w:type="paragraph" w:customStyle="1" w:styleId="Pre-Heading1">
    <w:name w:val="Pre-Heading 1"/>
    <w:basedOn w:val="Heading1"/>
    <w:link w:val="Pre-Heading1Char"/>
    <w:qFormat/>
    <w:rsid w:val="00CC6610"/>
  </w:style>
  <w:style w:type="character" w:customStyle="1" w:styleId="Heading1Char">
    <w:name w:val="Heading 1 Char"/>
    <w:basedOn w:val="DefaultParagraphFont"/>
    <w:link w:val="Heading1"/>
    <w:uiPriority w:val="9"/>
    <w:rsid w:val="009B2E56"/>
    <w:rPr>
      <w:rFonts w:asciiTheme="majorHAnsi" w:eastAsiaTheme="majorEastAsia" w:hAnsiTheme="majorHAnsi" w:cstheme="majorBidi"/>
      <w:b/>
      <w:bCs/>
      <w:color w:val="365F91" w:themeColor="accent1" w:themeShade="BF"/>
      <w:sz w:val="28"/>
      <w:szCs w:val="28"/>
    </w:rPr>
  </w:style>
  <w:style w:type="character" w:customStyle="1" w:styleId="Pre-Heading1Char">
    <w:name w:val="Pre-Heading 1 Char"/>
    <w:basedOn w:val="Heading1Char"/>
    <w:link w:val="Pre-Heading1"/>
    <w:rsid w:val="00CC6610"/>
    <w:rPr>
      <w:rFonts w:ascii="Arial" w:eastAsiaTheme="majorEastAsia" w:hAnsi="Arial" w:cs="Arial"/>
      <w:b/>
      <w:bCs/>
      <w:color w:val="365F91" w:themeColor="accent1" w:themeShade="BF"/>
      <w:kern w:val="32"/>
      <w:sz w:val="32"/>
      <w:szCs w:val="32"/>
      <w:lang w:eastAsia="en-US"/>
    </w:rPr>
  </w:style>
  <w:style w:type="paragraph" w:styleId="TOCHeading">
    <w:name w:val="TOC Heading"/>
    <w:basedOn w:val="Heading1"/>
    <w:next w:val="Normal"/>
    <w:uiPriority w:val="39"/>
    <w:semiHidden/>
    <w:unhideWhenUsed/>
    <w:qFormat/>
    <w:rsid w:val="009B2E56"/>
    <w:pPr>
      <w:outlineLvl w:val="9"/>
    </w:pPr>
  </w:style>
  <w:style w:type="paragraph" w:styleId="TOC3">
    <w:name w:val="toc 3"/>
    <w:basedOn w:val="Normal"/>
    <w:next w:val="Normal"/>
    <w:autoRedefine/>
    <w:uiPriority w:val="39"/>
    <w:unhideWhenUsed/>
    <w:rsid w:val="00346146"/>
    <w:pPr>
      <w:spacing w:after="100"/>
      <w:ind w:left="440"/>
    </w:pPr>
    <w:rPr>
      <w:lang w:val="en-US" w:eastAsia="en-US"/>
    </w:rPr>
  </w:style>
  <w:style w:type="paragraph" w:styleId="EndnoteText">
    <w:name w:val="endnote text"/>
    <w:basedOn w:val="Normal"/>
    <w:link w:val="EndnoteTextChar"/>
    <w:unhideWhenUsed/>
    <w:rsid w:val="00AC5FD3"/>
    <w:rPr>
      <w:rFonts w:eastAsiaTheme="minorHAnsi"/>
      <w:sz w:val="20"/>
      <w:szCs w:val="20"/>
      <w:lang w:eastAsia="en-US"/>
    </w:rPr>
  </w:style>
  <w:style w:type="character" w:customStyle="1" w:styleId="EndnoteTextChar">
    <w:name w:val="Endnote Text Char"/>
    <w:basedOn w:val="DefaultParagraphFont"/>
    <w:link w:val="EndnoteText"/>
    <w:rsid w:val="00AC5FD3"/>
    <w:rPr>
      <w:rFonts w:asciiTheme="minorHAnsi" w:eastAsiaTheme="minorHAnsi" w:hAnsiTheme="minorHAnsi" w:cstheme="minorBidi"/>
      <w:lang w:eastAsia="en-US"/>
    </w:rPr>
  </w:style>
  <w:style w:type="character" w:styleId="EndnoteReference">
    <w:name w:val="endnote reference"/>
    <w:basedOn w:val="DefaultParagraphFont"/>
    <w:unhideWhenUsed/>
    <w:rsid w:val="00AC5FD3"/>
    <w:rPr>
      <w:vertAlign w:val="superscript"/>
    </w:rPr>
  </w:style>
  <w:style w:type="table" w:styleId="TableGrid">
    <w:name w:val="Table Grid"/>
    <w:basedOn w:val="TableNormal"/>
    <w:uiPriority w:val="59"/>
    <w:rsid w:val="00AC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2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87286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Table1Light-Accent51">
    <w:name w:val="List Table 1 Light - Accent 51"/>
    <w:basedOn w:val="TableNormal"/>
    <w:uiPriority w:val="46"/>
    <w:rsid w:val="00D45A3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2">
    <w:name w:val="Table Grid2"/>
    <w:basedOn w:val="TableNormal"/>
    <w:next w:val="TableGrid"/>
    <w:uiPriority w:val="59"/>
    <w:rsid w:val="00FF3DA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locked/>
    <w:rsid w:val="009B2E56"/>
    <w:pPr>
      <w:spacing w:line="240" w:lineRule="auto"/>
    </w:pPr>
    <w:rPr>
      <w:b/>
      <w:bCs/>
      <w:color w:val="4F81BD" w:themeColor="accent1"/>
      <w:sz w:val="18"/>
      <w:szCs w:val="18"/>
    </w:rPr>
  </w:style>
  <w:style w:type="character" w:customStyle="1" w:styleId="FooterChar">
    <w:name w:val="Footer Char"/>
    <w:basedOn w:val="DefaultParagraphFont"/>
    <w:link w:val="Footer"/>
    <w:uiPriority w:val="99"/>
    <w:rsid w:val="000C6747"/>
    <w:rPr>
      <w:rFonts w:ascii="Calibri" w:hAnsi="Calibri"/>
      <w:sz w:val="18"/>
      <w:szCs w:val="24"/>
    </w:rPr>
  </w:style>
  <w:style w:type="paragraph" w:styleId="Revision">
    <w:name w:val="Revision"/>
    <w:hidden/>
    <w:uiPriority w:val="99"/>
    <w:semiHidden/>
    <w:rsid w:val="00111BB5"/>
    <w:rPr>
      <w:rFonts w:ascii="Calibri" w:hAnsi="Calibri"/>
      <w:szCs w:val="24"/>
    </w:rPr>
  </w:style>
  <w:style w:type="character" w:customStyle="1" w:styleId="Heading4Char">
    <w:name w:val="Heading 4 Char"/>
    <w:basedOn w:val="DefaultParagraphFont"/>
    <w:link w:val="Heading4"/>
    <w:uiPriority w:val="9"/>
    <w:semiHidden/>
    <w:rsid w:val="009B2E5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2E5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2E5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2E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2E5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9B2E56"/>
    <w:rPr>
      <w:rFonts w:asciiTheme="majorHAnsi" w:eastAsiaTheme="majorEastAsia" w:hAnsiTheme="majorHAnsi" w:cstheme="majorBidi"/>
      <w:i/>
      <w:iCs/>
      <w:color w:val="404040" w:themeColor="text1" w:themeTint="BF"/>
      <w:sz w:val="20"/>
      <w:szCs w:val="20"/>
    </w:rPr>
  </w:style>
  <w:style w:type="character" w:customStyle="1" w:styleId="SubtitleChar">
    <w:name w:val="Subtitle Char"/>
    <w:basedOn w:val="DefaultParagraphFont"/>
    <w:link w:val="Subtitle"/>
    <w:uiPriority w:val="11"/>
    <w:rsid w:val="009B2E56"/>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9B2E56"/>
    <w:pPr>
      <w:spacing w:after="0" w:line="240" w:lineRule="auto"/>
    </w:pPr>
  </w:style>
  <w:style w:type="paragraph" w:styleId="Quote">
    <w:name w:val="Quote"/>
    <w:basedOn w:val="Normal"/>
    <w:next w:val="Normal"/>
    <w:link w:val="QuoteChar"/>
    <w:uiPriority w:val="29"/>
    <w:qFormat/>
    <w:rsid w:val="009B2E56"/>
    <w:rPr>
      <w:i/>
      <w:iCs/>
      <w:color w:val="000000" w:themeColor="text1"/>
    </w:rPr>
  </w:style>
  <w:style w:type="character" w:customStyle="1" w:styleId="QuoteChar">
    <w:name w:val="Quote Char"/>
    <w:basedOn w:val="DefaultParagraphFont"/>
    <w:link w:val="Quote"/>
    <w:uiPriority w:val="29"/>
    <w:rsid w:val="009B2E56"/>
    <w:rPr>
      <w:i/>
      <w:iCs/>
      <w:color w:val="000000" w:themeColor="text1"/>
    </w:rPr>
  </w:style>
  <w:style w:type="paragraph" w:styleId="IntenseQuote">
    <w:name w:val="Intense Quote"/>
    <w:basedOn w:val="Normal"/>
    <w:next w:val="Normal"/>
    <w:link w:val="IntenseQuoteChar"/>
    <w:uiPriority w:val="30"/>
    <w:qFormat/>
    <w:rsid w:val="009B2E5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2E56"/>
    <w:rPr>
      <w:b/>
      <w:bCs/>
      <w:i/>
      <w:iCs/>
      <w:color w:val="4F81BD" w:themeColor="accent1"/>
    </w:rPr>
  </w:style>
  <w:style w:type="character" w:styleId="SubtleEmphasis">
    <w:name w:val="Subtle Emphasis"/>
    <w:basedOn w:val="DefaultParagraphFont"/>
    <w:uiPriority w:val="19"/>
    <w:qFormat/>
    <w:rsid w:val="009B2E56"/>
    <w:rPr>
      <w:i/>
      <w:iCs/>
      <w:color w:val="808080" w:themeColor="text1" w:themeTint="7F"/>
    </w:rPr>
  </w:style>
  <w:style w:type="character" w:styleId="IntenseEmphasis">
    <w:name w:val="Intense Emphasis"/>
    <w:basedOn w:val="DefaultParagraphFont"/>
    <w:uiPriority w:val="21"/>
    <w:qFormat/>
    <w:rsid w:val="009B2E56"/>
    <w:rPr>
      <w:b/>
      <w:bCs/>
      <w:i/>
      <w:iCs/>
      <w:color w:val="4F81BD" w:themeColor="accent1"/>
    </w:rPr>
  </w:style>
  <w:style w:type="character" w:styleId="SubtleReference">
    <w:name w:val="Subtle Reference"/>
    <w:basedOn w:val="DefaultParagraphFont"/>
    <w:uiPriority w:val="31"/>
    <w:qFormat/>
    <w:rsid w:val="009B2E56"/>
    <w:rPr>
      <w:smallCaps/>
      <w:color w:val="C0504D" w:themeColor="accent2"/>
      <w:u w:val="single"/>
    </w:rPr>
  </w:style>
  <w:style w:type="character" w:styleId="IntenseReference">
    <w:name w:val="Intense Reference"/>
    <w:basedOn w:val="DefaultParagraphFont"/>
    <w:uiPriority w:val="32"/>
    <w:qFormat/>
    <w:rsid w:val="009B2E56"/>
    <w:rPr>
      <w:b/>
      <w:bCs/>
      <w:smallCaps/>
      <w:color w:val="C0504D" w:themeColor="accent2"/>
      <w:spacing w:val="5"/>
      <w:u w:val="single"/>
    </w:rPr>
  </w:style>
  <w:style w:type="character" w:styleId="BookTitle">
    <w:name w:val="Book Title"/>
    <w:basedOn w:val="DefaultParagraphFont"/>
    <w:uiPriority w:val="33"/>
    <w:qFormat/>
    <w:rsid w:val="009B2E5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66357221">
      <w:bodyDiv w:val="1"/>
      <w:marLeft w:val="0"/>
      <w:marRight w:val="0"/>
      <w:marTop w:val="0"/>
      <w:marBottom w:val="0"/>
      <w:divBdr>
        <w:top w:val="none" w:sz="0" w:space="0" w:color="auto"/>
        <w:left w:val="none" w:sz="0" w:space="0" w:color="auto"/>
        <w:bottom w:val="none" w:sz="0" w:space="0" w:color="auto"/>
        <w:right w:val="none" w:sz="0" w:space="0" w:color="auto"/>
      </w:divBdr>
      <w:divsChild>
        <w:div w:id="615985467">
          <w:marLeft w:val="288"/>
          <w:marRight w:val="0"/>
          <w:marTop w:val="0"/>
          <w:marBottom w:val="0"/>
          <w:divBdr>
            <w:top w:val="none" w:sz="0" w:space="0" w:color="auto"/>
            <w:left w:val="none" w:sz="0" w:space="0" w:color="auto"/>
            <w:bottom w:val="none" w:sz="0" w:space="0" w:color="auto"/>
            <w:right w:val="none" w:sz="0" w:space="0" w:color="auto"/>
          </w:divBdr>
        </w:div>
        <w:div w:id="627395984">
          <w:marLeft w:val="288"/>
          <w:marRight w:val="0"/>
          <w:marTop w:val="0"/>
          <w:marBottom w:val="0"/>
          <w:divBdr>
            <w:top w:val="none" w:sz="0" w:space="0" w:color="auto"/>
            <w:left w:val="none" w:sz="0" w:space="0" w:color="auto"/>
            <w:bottom w:val="none" w:sz="0" w:space="0" w:color="auto"/>
            <w:right w:val="none" w:sz="0" w:space="0" w:color="auto"/>
          </w:divBdr>
        </w:div>
        <w:div w:id="120419244">
          <w:marLeft w:val="288"/>
          <w:marRight w:val="0"/>
          <w:marTop w:val="0"/>
          <w:marBottom w:val="0"/>
          <w:divBdr>
            <w:top w:val="none" w:sz="0" w:space="0" w:color="auto"/>
            <w:left w:val="none" w:sz="0" w:space="0" w:color="auto"/>
            <w:bottom w:val="none" w:sz="0" w:space="0" w:color="auto"/>
            <w:right w:val="none" w:sz="0" w:space="0" w:color="auto"/>
          </w:divBdr>
        </w:div>
        <w:div w:id="594679821">
          <w:marLeft w:val="288"/>
          <w:marRight w:val="0"/>
          <w:marTop w:val="0"/>
          <w:marBottom w:val="0"/>
          <w:divBdr>
            <w:top w:val="none" w:sz="0" w:space="0" w:color="auto"/>
            <w:left w:val="none" w:sz="0" w:space="0" w:color="auto"/>
            <w:bottom w:val="none" w:sz="0" w:space="0" w:color="auto"/>
            <w:right w:val="none" w:sz="0" w:space="0" w:color="auto"/>
          </w:divBdr>
        </w:div>
        <w:div w:id="784807830">
          <w:marLeft w:val="288"/>
          <w:marRight w:val="0"/>
          <w:marTop w:val="0"/>
          <w:marBottom w:val="0"/>
          <w:divBdr>
            <w:top w:val="none" w:sz="0" w:space="0" w:color="auto"/>
            <w:left w:val="none" w:sz="0" w:space="0" w:color="auto"/>
            <w:bottom w:val="none" w:sz="0" w:space="0" w:color="auto"/>
            <w:right w:val="none" w:sz="0" w:space="0" w:color="auto"/>
          </w:divBdr>
        </w:div>
        <w:div w:id="271791696">
          <w:marLeft w:val="288"/>
          <w:marRight w:val="0"/>
          <w:marTop w:val="0"/>
          <w:marBottom w:val="0"/>
          <w:divBdr>
            <w:top w:val="none" w:sz="0" w:space="0" w:color="auto"/>
            <w:left w:val="none" w:sz="0" w:space="0" w:color="auto"/>
            <w:bottom w:val="none" w:sz="0" w:space="0" w:color="auto"/>
            <w:right w:val="none" w:sz="0" w:space="0" w:color="auto"/>
          </w:divBdr>
        </w:div>
        <w:div w:id="2140612697">
          <w:marLeft w:val="288"/>
          <w:marRight w:val="0"/>
          <w:marTop w:val="0"/>
          <w:marBottom w:val="0"/>
          <w:divBdr>
            <w:top w:val="none" w:sz="0" w:space="0" w:color="auto"/>
            <w:left w:val="none" w:sz="0" w:space="0" w:color="auto"/>
            <w:bottom w:val="none" w:sz="0" w:space="0" w:color="auto"/>
            <w:right w:val="none" w:sz="0" w:space="0" w:color="auto"/>
          </w:divBdr>
        </w:div>
        <w:div w:id="483090210">
          <w:marLeft w:val="288"/>
          <w:marRight w:val="0"/>
          <w:marTop w:val="0"/>
          <w:marBottom w:val="0"/>
          <w:divBdr>
            <w:top w:val="none" w:sz="0" w:space="0" w:color="auto"/>
            <w:left w:val="none" w:sz="0" w:space="0" w:color="auto"/>
            <w:bottom w:val="none" w:sz="0" w:space="0" w:color="auto"/>
            <w:right w:val="none" w:sz="0" w:space="0" w:color="auto"/>
          </w:divBdr>
        </w:div>
        <w:div w:id="1307474847">
          <w:marLeft w:val="288"/>
          <w:marRight w:val="0"/>
          <w:marTop w:val="0"/>
          <w:marBottom w:val="0"/>
          <w:divBdr>
            <w:top w:val="none" w:sz="0" w:space="0" w:color="auto"/>
            <w:left w:val="none" w:sz="0" w:space="0" w:color="auto"/>
            <w:bottom w:val="none" w:sz="0" w:space="0" w:color="auto"/>
            <w:right w:val="none" w:sz="0" w:space="0" w:color="auto"/>
          </w:divBdr>
        </w:div>
        <w:div w:id="1826697587">
          <w:marLeft w:val="288"/>
          <w:marRight w:val="0"/>
          <w:marTop w:val="0"/>
          <w:marBottom w:val="0"/>
          <w:divBdr>
            <w:top w:val="none" w:sz="0" w:space="0" w:color="auto"/>
            <w:left w:val="none" w:sz="0" w:space="0" w:color="auto"/>
            <w:bottom w:val="none" w:sz="0" w:space="0" w:color="auto"/>
            <w:right w:val="none" w:sz="0" w:space="0" w:color="auto"/>
          </w:divBdr>
        </w:div>
        <w:div w:id="826094645">
          <w:marLeft w:val="446"/>
          <w:marRight w:val="0"/>
          <w:marTop w:val="0"/>
          <w:marBottom w:val="0"/>
          <w:divBdr>
            <w:top w:val="none" w:sz="0" w:space="0" w:color="auto"/>
            <w:left w:val="none" w:sz="0" w:space="0" w:color="auto"/>
            <w:bottom w:val="none" w:sz="0" w:space="0" w:color="auto"/>
            <w:right w:val="none" w:sz="0" w:space="0" w:color="auto"/>
          </w:divBdr>
        </w:div>
      </w:divsChild>
    </w:div>
    <w:div w:id="718938957">
      <w:bodyDiv w:val="1"/>
      <w:marLeft w:val="0"/>
      <w:marRight w:val="0"/>
      <w:marTop w:val="0"/>
      <w:marBottom w:val="0"/>
      <w:divBdr>
        <w:top w:val="none" w:sz="0" w:space="0" w:color="auto"/>
        <w:left w:val="none" w:sz="0" w:space="0" w:color="auto"/>
        <w:bottom w:val="none" w:sz="0" w:space="0" w:color="auto"/>
        <w:right w:val="none" w:sz="0" w:space="0" w:color="auto"/>
      </w:divBdr>
    </w:div>
    <w:div w:id="777412658">
      <w:bodyDiv w:val="1"/>
      <w:marLeft w:val="0"/>
      <w:marRight w:val="0"/>
      <w:marTop w:val="0"/>
      <w:marBottom w:val="0"/>
      <w:divBdr>
        <w:top w:val="none" w:sz="0" w:space="0" w:color="auto"/>
        <w:left w:val="none" w:sz="0" w:space="0" w:color="auto"/>
        <w:bottom w:val="none" w:sz="0" w:space="0" w:color="auto"/>
        <w:right w:val="none" w:sz="0" w:space="0" w:color="auto"/>
      </w:divBdr>
    </w:div>
    <w:div w:id="929855476">
      <w:bodyDiv w:val="1"/>
      <w:marLeft w:val="0"/>
      <w:marRight w:val="0"/>
      <w:marTop w:val="0"/>
      <w:marBottom w:val="0"/>
      <w:divBdr>
        <w:top w:val="none" w:sz="0" w:space="0" w:color="auto"/>
        <w:left w:val="none" w:sz="0" w:space="0" w:color="auto"/>
        <w:bottom w:val="none" w:sz="0" w:space="0" w:color="auto"/>
        <w:right w:val="none" w:sz="0" w:space="0" w:color="auto"/>
      </w:divBdr>
    </w:div>
    <w:div w:id="1226330884">
      <w:bodyDiv w:val="1"/>
      <w:marLeft w:val="0"/>
      <w:marRight w:val="0"/>
      <w:marTop w:val="0"/>
      <w:marBottom w:val="0"/>
      <w:divBdr>
        <w:top w:val="none" w:sz="0" w:space="0" w:color="auto"/>
        <w:left w:val="none" w:sz="0" w:space="0" w:color="auto"/>
        <w:bottom w:val="none" w:sz="0" w:space="0" w:color="auto"/>
        <w:right w:val="none" w:sz="0" w:space="0" w:color="auto"/>
      </w:divBdr>
    </w:div>
    <w:div w:id="16538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finance.gov.au/financial-framework/financial-management-policy-guidance/grants/grant-agreement-template-project.html" TargetMode="External"/><Relationship Id="rId3" Type="http://schemas.openxmlformats.org/officeDocument/2006/relationships/customXml" Target="../customXml/item3.xml"/><Relationship Id="rId21" Type="http://schemas.openxmlformats.org/officeDocument/2006/relationships/image" Target="media/image4.wmf"/><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csiro.au/Portals/Partner/SME-Engagement.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hart" Target="charts/chart1.xml"/><Relationship Id="rId27"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071\AppData\Local\Microsoft\Windows\Temporary%20Internet%20Files\Content.Outlook\JPP3MWOJ\MPLO_EPBC_InquirySubmission_120124.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yea016\Documents\Dropbox\EMC%20slidepack\Portfolio%20Siz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147765957447179"/>
          <c:y val="0.15972222222222596"/>
          <c:w val="0.36778959810875295"/>
          <c:h val="0.68055555555555647"/>
        </c:manualLayout>
      </c:layout>
      <c:pieChart>
        <c:varyColors val="1"/>
        <c:ser>
          <c:idx val="0"/>
          <c:order val="0"/>
          <c:dPt>
            <c:idx val="0"/>
            <c:bubble3D val="0"/>
            <c:explosion val="18"/>
            <c:spPr>
              <a:solidFill>
                <a:schemeClr val="accent2"/>
              </a:solidFill>
            </c:spPr>
          </c:dPt>
          <c:dPt>
            <c:idx val="1"/>
            <c:bubble3D val="0"/>
            <c:spPr>
              <a:solidFill>
                <a:schemeClr val="tx2"/>
              </a:solidFill>
            </c:spPr>
          </c:dPt>
          <c:dPt>
            <c:idx val="5"/>
            <c:bubble3D val="0"/>
            <c:spPr>
              <a:solidFill>
                <a:schemeClr val="accent5"/>
              </a:solidFill>
            </c:spPr>
          </c:dPt>
          <c:dPt>
            <c:idx val="8"/>
            <c:bubble3D val="0"/>
            <c:spPr>
              <a:solidFill>
                <a:srgbClr val="FFC000"/>
              </a:solidFill>
            </c:spPr>
          </c:dPt>
          <c:dLbls>
            <c:dLbl>
              <c:idx val="0"/>
              <c:layout>
                <c:manualLayout>
                  <c:x val="-3.7000475373561749E-2"/>
                  <c:y val="-0.20368620757729547"/>
                </c:manualLayout>
              </c:layout>
              <c:tx>
                <c:strRef>
                  <c:f>Sheet1!$H$2</c:f>
                  <c:strCache>
                    <c:ptCount val="1"/>
                    <c:pt idx="0">
                      <c:v>CSIRO
1330 families
 (37.9%)</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{0E79C4CC-F353-4FD8-90B5-9FE0C25F7CF6}</c15:txfldGUID>
                      <c15:f>Sheet1!$H$2</c15:f>
                      <c15:dlblFieldTableCache>
                        <c:ptCount val="1"/>
                        <c:pt idx="0">
                          <c:v>CSIRO
1330 families
 (37.9%)</c:v>
                        </c:pt>
                      </c15:dlblFieldTableCache>
                    </c15:dlblFTEntry>
                  </c15:dlblFieldTable>
                  <c15:showDataLabelsRange val="0"/>
                </c:ext>
              </c:extLst>
            </c:dLbl>
            <c:dLbl>
              <c:idx val="1"/>
              <c:layout>
                <c:manualLayout>
                  <c:x val="4.6237969382834886E-2"/>
                  <c:y val="-3.2319991543826899E-2"/>
                </c:manualLayout>
              </c:layout>
              <c:tx>
                <c:strRef>
                  <c:f>Sheet1!$H$3</c:f>
                  <c:strCache>
                    <c:ptCount val="1"/>
                    <c:pt idx="0">
                      <c:v>ANU
212 families
 (6.0%)</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{6C87A080-D664-4ACD-83BC-2A13207DC5A6}</c15:txfldGUID>
                      <c15:f>Sheet1!$H$3</c15:f>
                      <c15:dlblFieldTableCache>
                        <c:ptCount val="1"/>
                        <c:pt idx="0">
                          <c:v>ANU
212 families
 (6.0%)</c:v>
                        </c:pt>
                      </c15:dlblFieldTableCache>
                    </c15:dlblFTEntry>
                  </c15:dlblFieldTable>
                  <c15:showDataLabelsRange val="0"/>
                </c:ext>
              </c:extLst>
            </c:dLbl>
            <c:dLbl>
              <c:idx val="2"/>
              <c:layout>
                <c:manualLayout>
                  <c:x val="1.5566258609368428E-2"/>
                  <c:y val="6.0284432091799334E-3"/>
                </c:manualLayout>
              </c:layout>
              <c:tx>
                <c:strRef>
                  <c:f>Sheet1!$H$4</c:f>
                  <c:strCache>
                    <c:ptCount val="1"/>
                    <c:pt idx="0">
                      <c:v>MU
307 families
 (8.8%)</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{570A368A-58ED-484A-8F5B-98C27FE16E6F}</c15:txfldGUID>
                      <c15:f>Sheet1!$H$4</c15:f>
                      <c15:dlblFieldTableCache>
                        <c:ptCount val="1"/>
                        <c:pt idx="0">
                          <c:v>MU
307 families
 (8.8%)</c:v>
                        </c:pt>
                      </c15:dlblFieldTableCache>
                    </c15:dlblFTEntry>
                  </c15:dlblFieldTable>
                  <c15:showDataLabelsRange val="0"/>
                </c:ext>
              </c:extLst>
            </c:dLbl>
            <c:dLbl>
              <c:idx val="3"/>
              <c:layout>
                <c:manualLayout>
                  <c:x val="-1.02096062362796E-2"/>
                  <c:y val="1.8599850462524707E-2"/>
                </c:manualLayout>
              </c:layout>
              <c:tx>
                <c:strRef>
                  <c:f>Sheet1!$H$5</c:f>
                  <c:strCache>
                    <c:ptCount val="1"/>
                    <c:pt idx="0">
                      <c:v>UoA
128 families
 (3.7%)</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{85002EE7-95E3-4C40-938D-7D7FFF96E05D}</c15:txfldGUID>
                      <c15:f>Sheet1!$H$5</c15:f>
                      <c15:dlblFieldTableCache>
                        <c:ptCount val="1"/>
                        <c:pt idx="0">
                          <c:v>UoA
128 families
 (3.7%)</c:v>
                        </c:pt>
                      </c15:dlblFieldTableCache>
                    </c15:dlblFTEntry>
                  </c15:dlblFieldTable>
                  <c15:showDataLabelsRange val="0"/>
                </c:ext>
              </c:extLst>
            </c:dLbl>
            <c:dLbl>
              <c:idx val="4"/>
              <c:layout>
                <c:manualLayout>
                  <c:x val="-8.5294026721595251E-2"/>
                  <c:y val="2.9176906563949633E-3"/>
                </c:manualLayout>
              </c:layout>
              <c:tx>
                <c:strRef>
                  <c:f>Sheet1!$H$6</c:f>
                  <c:strCache>
                    <c:ptCount val="1"/>
                    <c:pt idx="0">
                      <c:v>UoM
297 families
 (8.5%)</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{17E42FAD-05C1-487D-9E36-0761FBE8434A}</c15:txfldGUID>
                      <c15:f>Sheet1!$H$6</c15:f>
                      <c15:dlblFieldTableCache>
                        <c:ptCount val="1"/>
                        <c:pt idx="0">
                          <c:v>UoM
297 families
 (8.5%)</c:v>
                        </c:pt>
                      </c15:dlblFieldTableCache>
                    </c15:dlblFTEntry>
                  </c15:dlblFieldTable>
                  <c15:showDataLabelsRange val="0"/>
                </c:ext>
              </c:extLst>
            </c:dLbl>
            <c:dLbl>
              <c:idx val="5"/>
              <c:layout>
                <c:manualLayout>
                  <c:x val="-8.1344881495699767E-2"/>
                  <c:y val="-2.3689720619850061E-2"/>
                </c:manualLayout>
              </c:layout>
              <c:tx>
                <c:strRef>
                  <c:f>Sheet1!$H$7</c:f>
                  <c:strCache>
                    <c:ptCount val="1"/>
                    <c:pt idx="0">
                      <c:v>UNSW
188 families
 (5.4%)</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{6EEAA1D8-9E4A-4B2B-AC01-4B2679250DA9}</c15:txfldGUID>
                      <c15:f>Sheet1!$H$7</c15:f>
                      <c15:dlblFieldTableCache>
                        <c:ptCount val="1"/>
                        <c:pt idx="0">
                          <c:v>UNSW
188 families
 (5.4%)</c:v>
                        </c:pt>
                      </c15:dlblFieldTableCache>
                    </c15:dlblFTEntry>
                  </c15:dlblFieldTable>
                  <c15:showDataLabelsRange val="0"/>
                </c:ext>
              </c:extLst>
            </c:dLbl>
            <c:dLbl>
              <c:idx val="6"/>
              <c:layout>
                <c:manualLayout>
                  <c:x val="-7.9451318235002913E-2"/>
                  <c:y val="-5.5555814629490597E-3"/>
                </c:manualLayout>
              </c:layout>
              <c:tx>
                <c:strRef>
                  <c:f>Sheet1!$H$8</c:f>
                  <c:strCache>
                    <c:ptCount val="1"/>
                    <c:pt idx="0">
                      <c:v>UQ
534 families
 (15.2%)</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{BA1C3BC5-78B7-421C-BB53-F074AFF7A303}</c15:txfldGUID>
                      <c15:f>Sheet1!$H$8</c15:f>
                      <c15:dlblFieldTableCache>
                        <c:ptCount val="1"/>
                        <c:pt idx="0">
                          <c:v>UQ
534 families
 (15.2%)</c:v>
                        </c:pt>
                      </c15:dlblFieldTableCache>
                    </c15:dlblFTEntry>
                  </c15:dlblFieldTable>
                  <c15:showDataLabelsRange val="0"/>
                </c:ext>
              </c:extLst>
            </c:dLbl>
            <c:dLbl>
              <c:idx val="7"/>
              <c:layout>
                <c:manualLayout>
                  <c:x val="-0.13462799388634344"/>
                  <c:y val="4.4601650508225434E-2"/>
                </c:manualLayout>
              </c:layout>
              <c:tx>
                <c:strRef>
                  <c:f>Sheet1!$H$9</c:f>
                  <c:strCache>
                    <c:ptCount val="1"/>
                    <c:pt idx="0">
                      <c:v>UoS
437 families
 (12.5%)</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{E6F5DD62-E530-46E7-A194-97A2A3C521BA}</c15:txfldGUID>
                      <c15:f>Sheet1!$H$9</c15:f>
                      <c15:dlblFieldTableCache>
                        <c:ptCount val="1"/>
                        <c:pt idx="0">
                          <c:v>UoS
437 families
 (12.5%)</c:v>
                        </c:pt>
                      </c15:dlblFieldTableCache>
                    </c15:dlblFTEntry>
                  </c15:dlblFieldTable>
                  <c15:showDataLabelsRange val="0"/>
                </c:ext>
              </c:extLst>
            </c:dLbl>
            <c:dLbl>
              <c:idx val="8"/>
              <c:layout>
                <c:manualLayout>
                  <c:x val="-4.4855711903875529E-2"/>
                  <c:y val="-4.9067567000407276E-3"/>
                </c:manualLayout>
              </c:layout>
              <c:tx>
                <c:strRef>
                  <c:f>Sheet1!$H$10</c:f>
                  <c:strCache>
                    <c:ptCount val="1"/>
                    <c:pt idx="0">
                      <c:v>UWA
73 families
 (2.1%)</c:v>
                    </c:pt>
                  </c:strCache>
                </c:strRef>
              </c:tx>
              <c:spPr/>
              <c:txPr>
                <a:bodyPr/>
                <a:lstStyle/>
                <a:p>
                  <a:pPr>
                    <a:defRPr sz="900" b="1" i="0" strike="noStrike">
                      <a:latin typeface="Calibri"/>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15:dlblFieldTable>
                    <c15:dlblFTEntry>
                      <c15:txfldGUID>{03070F0F-E1A2-4EB7-AA3E-31CF56BBF7EA}</c15:txfldGUID>
                      <c15:f>Sheet1!$H$10</c15:f>
                      <c15:dlblFieldTableCache>
                        <c:ptCount val="1"/>
                        <c:pt idx="0">
                          <c:v>UWA
73 families
 (2.1%)</c:v>
                        </c:pt>
                      </c15:dlblFieldTableCache>
                    </c15:dlblFTEntry>
                  </c15:dlblFieldTable>
                  <c15:showDataLabelsRange val="0"/>
                </c:ext>
              </c:extLst>
            </c:dLbl>
            <c:spPr>
              <a:noFill/>
              <a:ln>
                <a:noFill/>
              </a:ln>
              <a:effectLst/>
            </c:spPr>
            <c:txPr>
              <a:bodyPr/>
              <a:lstStyle/>
              <a:p>
                <a:pPr>
                  <a:defRPr sz="900" b="1"/>
                </a:pPr>
                <a:endParaRPr lang="en-US"/>
              </a:p>
            </c:txPr>
            <c:dLblPos val="outEnd"/>
            <c:showLegendKey val="0"/>
            <c:showVal val="1"/>
            <c:showCatName val="0"/>
            <c:showSerName val="0"/>
            <c:showPercent val="0"/>
            <c:showBubbleSize val="0"/>
            <c:showLeaderLines val="1"/>
            <c:extLst>
              <c:ext xmlns:c15="http://schemas.microsoft.com/office/drawing/2012/chart" uri="{CE6537A1-D6FC-4f65-9D91-7224C49458BB}"/>
            </c:extLst>
          </c:dLbls>
          <c:cat>
            <c:strRef>
              <c:f>Sheet1!$B$2:$B$10</c:f>
              <c:strCache>
                <c:ptCount val="9"/>
                <c:pt idx="0">
                  <c:v>CSIRO</c:v>
                </c:pt>
                <c:pt idx="1">
                  <c:v>Australian National University (ANU)</c:v>
                </c:pt>
                <c:pt idx="2">
                  <c:v>Monash University (MU)</c:v>
                </c:pt>
                <c:pt idx="3">
                  <c:v>University of Adelaide (UoA)</c:v>
                </c:pt>
                <c:pt idx="4">
                  <c:v>University of Melbourne (UoM)</c:v>
                </c:pt>
                <c:pt idx="5">
                  <c:v>University of NSW (UNSW)</c:v>
                </c:pt>
                <c:pt idx="6">
                  <c:v>University of Queensland (UQ)</c:v>
                </c:pt>
                <c:pt idx="7">
                  <c:v>University of Sydney (UoS)</c:v>
                </c:pt>
                <c:pt idx="8">
                  <c:v>University of WA (UWA)</c:v>
                </c:pt>
              </c:strCache>
            </c:strRef>
          </c:cat>
          <c:val>
            <c:numRef>
              <c:f>Sheet1!$C$2:$C$10</c:f>
              <c:numCache>
                <c:formatCode>General</c:formatCode>
                <c:ptCount val="9"/>
                <c:pt idx="0">
                  <c:v>1330</c:v>
                </c:pt>
                <c:pt idx="1">
                  <c:v>212</c:v>
                </c:pt>
                <c:pt idx="2">
                  <c:v>307</c:v>
                </c:pt>
                <c:pt idx="3">
                  <c:v>128</c:v>
                </c:pt>
                <c:pt idx="4">
                  <c:v>297</c:v>
                </c:pt>
                <c:pt idx="5">
                  <c:v>188</c:v>
                </c:pt>
                <c:pt idx="6">
                  <c:v>534</c:v>
                </c:pt>
                <c:pt idx="7">
                  <c:v>437</c:v>
                </c:pt>
                <c:pt idx="8">
                  <c:v>73</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8733266521307712"/>
          <c:y val="0.19973099447978285"/>
          <c:w val="0.3126673347869236"/>
          <c:h val="0.60053801104043492"/>
        </c:manualLayout>
      </c:layout>
      <c:overlay val="0"/>
      <c:txPr>
        <a:bodyPr/>
        <a:lstStyle/>
        <a:p>
          <a:pPr>
            <a:defRPr sz="900"/>
          </a:pPr>
          <a:endParaRPr lang="en-US"/>
        </a:p>
      </c:txPr>
    </c:legend>
    <c:plotVisOnly val="1"/>
    <c:dispBlanksAs val="zero"/>
    <c:showDLblsOverMax val="0"/>
  </c:chart>
  <c:spPr>
    <a:solidFill>
      <a:schemeClr val="accent5">
        <a:lumMod val="20000"/>
        <a:lumOff val="80000"/>
      </a:schemeClr>
    </a:soli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16885389326336"/>
          <c:y val="6.4930768397763058E-2"/>
          <c:w val="0.84705029878037463"/>
          <c:h val="0.7223562886655297"/>
        </c:manualLayout>
      </c:layout>
      <c:barChart>
        <c:barDir val="col"/>
        <c:grouping val="clustered"/>
        <c:varyColors val="0"/>
        <c:ser>
          <c:idx val="0"/>
          <c:order val="0"/>
          <c:tx>
            <c:strRef>
              <c:f>Sheet1!$A$2</c:f>
              <c:strCache>
                <c:ptCount val="1"/>
                <c:pt idx="0">
                  <c:v>CSIRO</c:v>
                </c:pt>
              </c:strCache>
            </c:strRef>
          </c:tx>
          <c:spPr>
            <a:solidFill>
              <a:schemeClr val="accent2"/>
            </a:solidFill>
          </c:spPr>
          <c:invertIfNegative val="0"/>
          <c:cat>
            <c:numRef>
              <c:f>Sheet1!$B$1:$I$1</c:f>
              <c:numCache>
                <c:formatCode>General</c:formatCode>
                <c:ptCount val="8"/>
                <c:pt idx="0">
                  <c:v>2003</c:v>
                </c:pt>
                <c:pt idx="1">
                  <c:v>2004</c:v>
                </c:pt>
                <c:pt idx="2">
                  <c:v>2005</c:v>
                </c:pt>
                <c:pt idx="3">
                  <c:v>2006</c:v>
                </c:pt>
                <c:pt idx="4">
                  <c:v>2007</c:v>
                </c:pt>
                <c:pt idx="5">
                  <c:v>2008</c:v>
                </c:pt>
                <c:pt idx="6">
                  <c:v>2009</c:v>
                </c:pt>
                <c:pt idx="7">
                  <c:v>2010</c:v>
                </c:pt>
              </c:numCache>
            </c:numRef>
          </c:cat>
          <c:val>
            <c:numRef>
              <c:f>Sheet1!$B$2:$I$2</c:f>
              <c:numCache>
                <c:formatCode>#,##0</c:formatCode>
                <c:ptCount val="8"/>
                <c:pt idx="0">
                  <c:v>3971</c:v>
                </c:pt>
                <c:pt idx="1">
                  <c:v>4068</c:v>
                </c:pt>
                <c:pt idx="2">
                  <c:v>4030</c:v>
                </c:pt>
                <c:pt idx="3">
                  <c:v>4214</c:v>
                </c:pt>
                <c:pt idx="4">
                  <c:v>4166</c:v>
                </c:pt>
                <c:pt idx="5">
                  <c:v>3934</c:v>
                </c:pt>
                <c:pt idx="6">
                  <c:v>3719</c:v>
                </c:pt>
                <c:pt idx="7">
                  <c:v>3460</c:v>
                </c:pt>
              </c:numCache>
            </c:numRef>
          </c:val>
        </c:ser>
        <c:ser>
          <c:idx val="1"/>
          <c:order val="1"/>
          <c:tx>
            <c:strRef>
              <c:f>Sheet1!$A$3</c:f>
              <c:strCache>
                <c:ptCount val="1"/>
                <c:pt idx="0">
                  <c:v>Universities</c:v>
                </c:pt>
              </c:strCache>
            </c:strRef>
          </c:tx>
          <c:spPr>
            <a:solidFill>
              <a:schemeClr val="accent1"/>
            </a:solidFill>
          </c:spPr>
          <c:invertIfNegative val="0"/>
          <c:cat>
            <c:numRef>
              <c:f>Sheet1!$B$1:$I$1</c:f>
              <c:numCache>
                <c:formatCode>General</c:formatCode>
                <c:ptCount val="8"/>
                <c:pt idx="0">
                  <c:v>2003</c:v>
                </c:pt>
                <c:pt idx="1">
                  <c:v>2004</c:v>
                </c:pt>
                <c:pt idx="2">
                  <c:v>2005</c:v>
                </c:pt>
                <c:pt idx="3">
                  <c:v>2006</c:v>
                </c:pt>
                <c:pt idx="4">
                  <c:v>2007</c:v>
                </c:pt>
                <c:pt idx="5">
                  <c:v>2008</c:v>
                </c:pt>
                <c:pt idx="6">
                  <c:v>2009</c:v>
                </c:pt>
                <c:pt idx="7">
                  <c:v>2010</c:v>
                </c:pt>
              </c:numCache>
            </c:numRef>
          </c:cat>
          <c:val>
            <c:numRef>
              <c:f>Sheet1!$B$3:$I$3</c:f>
              <c:numCache>
                <c:formatCode>#,##0</c:formatCode>
                <c:ptCount val="8"/>
                <c:pt idx="0">
                  <c:v>4354</c:v>
                </c:pt>
                <c:pt idx="1">
                  <c:v>4633</c:v>
                </c:pt>
                <c:pt idx="2">
                  <c:v>2860</c:v>
                </c:pt>
                <c:pt idx="3">
                  <c:v>3038</c:v>
                </c:pt>
                <c:pt idx="4">
                  <c:v>4928</c:v>
                </c:pt>
                <c:pt idx="5">
                  <c:v>5254</c:v>
                </c:pt>
                <c:pt idx="6">
                  <c:v>4879</c:v>
                </c:pt>
                <c:pt idx="7">
                  <c:v>4625</c:v>
                </c:pt>
              </c:numCache>
            </c:numRef>
          </c:val>
        </c:ser>
        <c:dLbls>
          <c:showLegendKey val="0"/>
          <c:showVal val="0"/>
          <c:showCatName val="0"/>
          <c:showSerName val="0"/>
          <c:showPercent val="0"/>
          <c:showBubbleSize val="0"/>
        </c:dLbls>
        <c:gapWidth val="50"/>
        <c:axId val="36821632"/>
        <c:axId val="36827520"/>
      </c:barChart>
      <c:catAx>
        <c:axId val="36821632"/>
        <c:scaling>
          <c:orientation val="minMax"/>
        </c:scaling>
        <c:delete val="0"/>
        <c:axPos val="b"/>
        <c:numFmt formatCode="General" sourceLinked="1"/>
        <c:majorTickMark val="out"/>
        <c:minorTickMark val="none"/>
        <c:tickLblPos val="nextTo"/>
        <c:crossAx val="36827520"/>
        <c:crosses val="autoZero"/>
        <c:auto val="1"/>
        <c:lblAlgn val="ctr"/>
        <c:lblOffset val="100"/>
        <c:noMultiLvlLbl val="0"/>
      </c:catAx>
      <c:valAx>
        <c:axId val="36827520"/>
        <c:scaling>
          <c:orientation val="minMax"/>
        </c:scaling>
        <c:delete val="0"/>
        <c:axPos val="l"/>
        <c:numFmt formatCode="#,##0" sourceLinked="1"/>
        <c:majorTickMark val="out"/>
        <c:minorTickMark val="none"/>
        <c:tickLblPos val="nextTo"/>
        <c:crossAx val="36821632"/>
        <c:crosses val="autoZero"/>
        <c:crossBetween val="between"/>
      </c:valAx>
      <c:spPr>
        <a:solidFill>
          <a:schemeClr val="accent5">
            <a:lumMod val="20000"/>
            <a:lumOff val="80000"/>
          </a:schemeClr>
        </a:solidFill>
      </c:spPr>
    </c:plotArea>
    <c:legend>
      <c:legendPos val="r"/>
      <c:layout>
        <c:manualLayout>
          <c:xMode val="edge"/>
          <c:yMode val="edge"/>
          <c:x val="0.2840977881900128"/>
          <c:y val="0.89078955255366365"/>
          <c:w val="0.33675795856074631"/>
          <c:h val="0.10584217294273172"/>
        </c:manualLayout>
      </c:layout>
      <c:overlay val="0"/>
    </c:legend>
    <c:plotVisOnly val="1"/>
    <c:dispBlanksAs val="gap"/>
    <c:showDLblsOverMax val="0"/>
  </c:chart>
  <c:spPr>
    <a:solidFill>
      <a:schemeClr val="accent5">
        <a:lumMod val="20000"/>
        <a:lumOff val="8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BCR1400110</SubmissionID>
    <OriginalFileName xmlns="ed110c73-9675-4a40-bedd-85eaf2417466">Word version CSIRO submission to the BCR.docx</OriginalFileNam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9347-6A0C-4ECD-A8CA-C295B437D007}"/>
</file>

<file path=customXml/itemProps2.xml><?xml version="1.0" encoding="utf-8"?>
<ds:datastoreItem xmlns:ds="http://schemas.openxmlformats.org/officeDocument/2006/customXml" ds:itemID="{CC027FD6-9FBC-4A9C-BE9E-CC47EDB4D0A6}"/>
</file>

<file path=customXml/itemProps3.xml><?xml version="1.0" encoding="utf-8"?>
<ds:datastoreItem xmlns:ds="http://schemas.openxmlformats.org/officeDocument/2006/customXml" ds:itemID="{043ABF15-E10C-4986-8EB2-ADF9C0C1949B}"/>
</file>

<file path=customXml/itemProps4.xml><?xml version="1.0" encoding="utf-8"?>
<ds:datastoreItem xmlns:ds="http://schemas.openxmlformats.org/officeDocument/2006/customXml" ds:itemID="{6606C438-97AE-498B-BE15-68A3C20CAB77}"/>
</file>

<file path=docProps/app.xml><?xml version="1.0" encoding="utf-8"?>
<Properties xmlns="http://schemas.openxmlformats.org/officeDocument/2006/extended-properties" xmlns:vt="http://schemas.openxmlformats.org/officeDocument/2006/docPropsVTypes">
  <Template>MPLO_EPBC_InquirySubmission_120124.dot</Template>
  <TotalTime>28</TotalTime>
  <Pages>32</Pages>
  <Words>9495</Words>
  <Characters>58877</Characters>
  <Application>Microsoft Office Word</Application>
  <DocSecurity>0</DocSecurity>
  <Lines>490</Lines>
  <Paragraphs>136</Paragraphs>
  <ScaleCrop>false</ScaleCrop>
  <HeadingPairs>
    <vt:vector size="2" baseType="variant">
      <vt:variant>
        <vt:lpstr>Title</vt:lpstr>
      </vt:variant>
      <vt:variant>
        <vt:i4>1</vt:i4>
      </vt:variant>
    </vt:vector>
  </HeadingPairs>
  <TitlesOfParts>
    <vt:vector size="1" baseType="lpstr">
      <vt:lpstr>1_Boosting_the_commercial_return_CSIRO_12022015_BCR1400110.docx</vt:lpstr>
    </vt:vector>
  </TitlesOfParts>
  <Company>CSIRO</Company>
  <LinksUpToDate>false</LinksUpToDate>
  <CharactersWithSpaces>68236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1_Boosting_the_commercial_return_CSIRO_12022015_BCR1400110.docx</dc:title>
  <dc:creator>Oliver, Sandra (Comms, Campbell)</dc:creator>
  <cp:lastModifiedBy>Drew Menzies-McVey</cp:lastModifiedBy>
  <cp:revision>5</cp:revision>
  <cp:lastPrinted>2015-02-23T00:32:00Z</cp:lastPrinted>
  <dcterms:created xsi:type="dcterms:W3CDTF">2014-12-17T05:31:00Z</dcterms:created>
  <dcterms:modified xsi:type="dcterms:W3CDTF">2015-02-23T00:32:00Z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Month Year</vt:lpwstr>
  </property>
  <property fmtid="{D5CDD505-2E9C-101B-9397-08002B2CF9AE}" pid="3" name="Document number">
    <vt:lpwstr>xx/xxx</vt:lpwstr>
  </property>
  <property fmtid="{D5CDD505-2E9C-101B-9397-08002B2CF9AE}" pid="4" name="_NewReviewCycle">
    <vt:lpwstr/>
  </property>
  <property fmtid="{D5CDD505-2E9C-101B-9397-08002B2CF9AE}" pid="5" name="ContentTypeId">
    <vt:lpwstr>0x0101009532659050105A4BB64EC7FE4940F188</vt:lpwstr>
  </property>
</Properties>
</file>