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A4EF1" w14:textId="77777777" w:rsidR="00447119" w:rsidRDefault="00447119" w:rsidP="00F26231">
      <w:pPr>
        <w:pStyle w:val="Title"/>
      </w:pPr>
      <w:r w:rsidRPr="00447119">
        <w:t xml:space="preserve">Submission responding </w:t>
      </w:r>
      <w:r w:rsidR="00341C46" w:rsidRPr="00341C46">
        <w:t>Boosting the Commercial Returns from Research: Discussion Paper</w:t>
      </w:r>
    </w:p>
    <w:p w14:paraId="327A4EF3" w14:textId="77777777" w:rsidR="00AA27D9" w:rsidRDefault="00AA27D9" w:rsidP="00A16009">
      <w:pPr>
        <w:spacing w:after="0"/>
        <w:jc w:val="both"/>
      </w:pPr>
      <w:r w:rsidRPr="00AA27D9">
        <w:t>Tra</w:t>
      </w:r>
      <w:r>
        <w:t>nslation of research comes in m</w:t>
      </w:r>
      <w:r w:rsidRPr="00AA27D9">
        <w:t xml:space="preserve">any forms.  </w:t>
      </w:r>
      <w:r>
        <w:t xml:space="preserve">There is no one size fits all for all sectors and all research. </w:t>
      </w:r>
      <w:r w:rsidR="003900B8">
        <w:t xml:space="preserve"> </w:t>
      </w:r>
      <w:r>
        <w:t xml:space="preserve">The aim is to disseminate research in a way that </w:t>
      </w:r>
      <w:r w:rsidR="003900B8">
        <w:t xml:space="preserve">creates the greatest </w:t>
      </w:r>
      <w:r>
        <w:t xml:space="preserve">benefits </w:t>
      </w:r>
      <w:r w:rsidR="003900B8">
        <w:t xml:space="preserve">for </w:t>
      </w:r>
      <w:r>
        <w:t xml:space="preserve">the community. </w:t>
      </w:r>
      <w:r w:rsidR="003900B8">
        <w:t xml:space="preserve"> </w:t>
      </w:r>
      <w:r>
        <w:t>For the majority of academic research</w:t>
      </w:r>
      <w:r w:rsidR="003900B8">
        <w:t>,</w:t>
      </w:r>
      <w:r>
        <w:t xml:space="preserve"> commercialisation is not an appropriate pathway. Publications are often the best way t</w:t>
      </w:r>
      <w:r w:rsidR="00BB1E3B">
        <w:t>o disseminate information relat</w:t>
      </w:r>
      <w:r>
        <w:t>ing to</w:t>
      </w:r>
      <w:r w:rsidR="00BB1E3B">
        <w:t>:</w:t>
      </w:r>
      <w:r>
        <w:t xml:space="preserve"> </w:t>
      </w:r>
    </w:p>
    <w:p w14:paraId="327A4EF4" w14:textId="77777777" w:rsidR="00AA27D9" w:rsidRDefault="00AA27D9" w:rsidP="00A16009">
      <w:pPr>
        <w:pStyle w:val="ListParagraph"/>
        <w:numPr>
          <w:ilvl w:val="0"/>
          <w:numId w:val="2"/>
        </w:numPr>
        <w:spacing w:after="0"/>
        <w:jc w:val="both"/>
      </w:pPr>
      <w:r>
        <w:t>Basic research outcomes</w:t>
      </w:r>
      <w:r w:rsidR="00EA0753">
        <w:t>- stimulating innovation and creativity</w:t>
      </w:r>
    </w:p>
    <w:p w14:paraId="327A4EF5" w14:textId="77777777" w:rsidR="00AA27D9" w:rsidRDefault="00AA27D9" w:rsidP="00A16009">
      <w:pPr>
        <w:pStyle w:val="ListParagraph"/>
        <w:numPr>
          <w:ilvl w:val="0"/>
          <w:numId w:val="2"/>
        </w:numPr>
        <w:spacing w:after="0"/>
        <w:jc w:val="both"/>
      </w:pPr>
      <w:r>
        <w:t>Changing public policy</w:t>
      </w:r>
    </w:p>
    <w:p w14:paraId="327A4EF6" w14:textId="77777777" w:rsidR="00AA27D9" w:rsidRDefault="00AA27D9" w:rsidP="00EA0753">
      <w:pPr>
        <w:pStyle w:val="ListParagraph"/>
        <w:numPr>
          <w:ilvl w:val="0"/>
          <w:numId w:val="2"/>
        </w:numPr>
        <w:spacing w:after="0"/>
        <w:jc w:val="both"/>
      </w:pPr>
      <w:r>
        <w:t>Influencing best practice</w:t>
      </w:r>
      <w:r w:rsidR="00EA0753">
        <w:t xml:space="preserve"> guidelines</w:t>
      </w:r>
    </w:p>
    <w:p w14:paraId="327A4EF7" w14:textId="77777777" w:rsidR="00AA27D9" w:rsidRDefault="00AA27D9" w:rsidP="00A16009">
      <w:pPr>
        <w:pStyle w:val="ListParagraph"/>
        <w:spacing w:after="0"/>
        <w:jc w:val="both"/>
      </w:pPr>
    </w:p>
    <w:p w14:paraId="327A4EF8" w14:textId="77777777" w:rsidR="00AA27D9" w:rsidRPr="00AA27D9" w:rsidRDefault="00AA27D9" w:rsidP="00A16009">
      <w:pPr>
        <w:spacing w:after="0"/>
        <w:jc w:val="both"/>
      </w:pPr>
      <w:r>
        <w:t>Even in the medical/ health sector, only a small proportion of</w:t>
      </w:r>
      <w:r w:rsidR="005E7162">
        <w:t xml:space="preserve"> </w:t>
      </w:r>
      <w:r>
        <w:t xml:space="preserve">research </w:t>
      </w:r>
      <w:r w:rsidR="005E7162">
        <w:t>is appropriate for commercialisation</w:t>
      </w:r>
      <w:r>
        <w:t>.</w:t>
      </w:r>
      <w:r w:rsidR="005E7162">
        <w:t xml:space="preserve">  Contract research is another factor</w:t>
      </w:r>
      <w:r w:rsidR="003900B8">
        <w:t xml:space="preserve"> that, w</w:t>
      </w:r>
      <w:r w:rsidR="005E7162">
        <w:t xml:space="preserve">hilst still industry engagement, is usually about incremental improvements on another’s </w:t>
      </w:r>
      <w:r w:rsidR="003900B8">
        <w:t xml:space="preserve">intellectual property (IP) </w:t>
      </w:r>
      <w:r w:rsidR="005E7162">
        <w:t xml:space="preserve">using the researcher’s skills and capabilities rather than translating university research to the marketplace. </w:t>
      </w:r>
      <w:r w:rsidR="00BB1E3B">
        <w:t xml:space="preserve"> </w:t>
      </w:r>
      <w:r w:rsidR="005E7162">
        <w:t xml:space="preserve">The two areas require different focuses of industry engagement and should not be treated using the same policies. </w:t>
      </w:r>
    </w:p>
    <w:p w14:paraId="327A4EFA" w14:textId="1C1953AB" w:rsidR="00A87DF0" w:rsidRDefault="00A87DF0" w:rsidP="00F26231">
      <w:pPr>
        <w:pStyle w:val="Heading1"/>
      </w:pPr>
      <w:r>
        <w:t>Resear</w:t>
      </w:r>
      <w:bookmarkStart w:id="0" w:name="_GoBack"/>
      <w:bookmarkEnd w:id="0"/>
      <w:r>
        <w:t xml:space="preserve">ch </w:t>
      </w:r>
      <w:r w:rsidR="003900B8">
        <w:t>Excellence</w:t>
      </w:r>
    </w:p>
    <w:p w14:paraId="327A4EFB" w14:textId="77777777" w:rsidR="003900B8" w:rsidRDefault="003900B8" w:rsidP="003900B8">
      <w:pPr>
        <w:spacing w:after="0"/>
        <w:jc w:val="both"/>
      </w:pPr>
      <w:r>
        <w:t>There is a wealth of excellent research emerging from the Universities of Australia. Consistent ARC and NHMRC project based funding has been instrumental to this occurrence. However, focusing on National interests may not always lead to a commercial opportunity.</w:t>
      </w:r>
    </w:p>
    <w:p w14:paraId="327A4EFC" w14:textId="77777777" w:rsidR="003900B8" w:rsidRDefault="003900B8" w:rsidP="003900B8">
      <w:pPr>
        <w:spacing w:after="0"/>
        <w:jc w:val="both"/>
      </w:pPr>
    </w:p>
    <w:p w14:paraId="327A4EFD" w14:textId="77777777" w:rsidR="00A87DF0" w:rsidRDefault="00A87DF0" w:rsidP="00A16009">
      <w:pPr>
        <w:spacing w:after="0"/>
        <w:jc w:val="both"/>
      </w:pPr>
      <w:r w:rsidRPr="00A87DF0">
        <w:t>It is important to note that academic</w:t>
      </w:r>
      <w:r w:rsidR="005E7162">
        <w:t>s</w:t>
      </w:r>
      <w:r w:rsidRPr="00A87DF0">
        <w:t xml:space="preserve"> compete nationally for funding but internationally for commercial opportunities.</w:t>
      </w:r>
      <w:r w:rsidR="003900B8">
        <w:t xml:space="preserve"> </w:t>
      </w:r>
      <w:r w:rsidRPr="00A87DF0">
        <w:t xml:space="preserve"> This is </w:t>
      </w:r>
      <w:r>
        <w:t>especially true</w:t>
      </w:r>
      <w:r w:rsidRPr="00A87DF0">
        <w:t xml:space="preserve"> for </w:t>
      </w:r>
      <w:r>
        <w:t xml:space="preserve">the biotech and </w:t>
      </w:r>
      <w:proofErr w:type="spellStart"/>
      <w:r>
        <w:t>medtech</w:t>
      </w:r>
      <w:proofErr w:type="spellEnd"/>
      <w:r>
        <w:t xml:space="preserve"> industries. When trying to sell the research at </w:t>
      </w:r>
      <w:r w:rsidR="00FD6EE6">
        <w:t>my institution</w:t>
      </w:r>
      <w:r>
        <w:t xml:space="preserve"> I am competing with researcher</w:t>
      </w:r>
      <w:r w:rsidR="005E7162">
        <w:t>s</w:t>
      </w:r>
      <w:r>
        <w:t xml:space="preserve"> in Israel and </w:t>
      </w:r>
      <w:r w:rsidR="003900B8">
        <w:t xml:space="preserve">USA </w:t>
      </w:r>
      <w:r>
        <w:t>etc.</w:t>
      </w:r>
      <w:r w:rsidR="005E7162">
        <w:t xml:space="preserve">, not necessarily </w:t>
      </w:r>
      <w:r w:rsidR="003900B8">
        <w:t xml:space="preserve">those from </w:t>
      </w:r>
      <w:r w:rsidR="00FD6EE6">
        <w:t>other States in Australia</w:t>
      </w:r>
      <w:r w:rsidR="005E7162">
        <w:t xml:space="preserve">. </w:t>
      </w:r>
      <w:r>
        <w:t xml:space="preserve"> Both</w:t>
      </w:r>
      <w:r w:rsidRPr="00A87DF0">
        <w:t xml:space="preserve"> </w:t>
      </w:r>
      <w:r>
        <w:t xml:space="preserve">places have access to seed funding for academic projects; developing the research to a later stage before requiring investment opportunities. </w:t>
      </w:r>
      <w:r w:rsidR="005E7162">
        <w:t xml:space="preserve"> </w:t>
      </w:r>
    </w:p>
    <w:p w14:paraId="327A4EFE" w14:textId="77777777" w:rsidR="000C6B19" w:rsidRDefault="00455301" w:rsidP="00A16009">
      <w:pPr>
        <w:spacing w:after="0"/>
        <w:jc w:val="both"/>
      </w:pPr>
      <w:r>
        <w:t>In my opinion, w</w:t>
      </w:r>
      <w:r w:rsidR="00C01201">
        <w:t xml:space="preserve">e will always be limited in having researchers work in </w:t>
      </w:r>
      <w:r w:rsidR="00BB1E3B">
        <w:t xml:space="preserve">the </w:t>
      </w:r>
      <w:r w:rsidR="00C01201">
        <w:t xml:space="preserve">pharmaceutical industry by the lack of pharmaceutical industry R&amp;D in Australia due to our small market size. Even in the Australian University sector </w:t>
      </w:r>
      <w:r w:rsidR="005F4FEF">
        <w:t xml:space="preserve">there is a </w:t>
      </w:r>
      <w:r w:rsidR="00C01201">
        <w:t xml:space="preserve">focus is on how to get our research to </w:t>
      </w:r>
      <w:r w:rsidR="005F4FEF">
        <w:t>all markets</w:t>
      </w:r>
      <w:r w:rsidR="00C01201">
        <w:t xml:space="preserve">. </w:t>
      </w:r>
      <w:r w:rsidR="005F4FEF">
        <w:t>When the</w:t>
      </w:r>
      <w:r w:rsidR="00C01201">
        <w:t xml:space="preserve"> </w:t>
      </w:r>
      <w:r w:rsidR="005F4FEF" w:rsidRPr="005F4FEF">
        <w:t xml:space="preserve">focus is to </w:t>
      </w:r>
      <w:r w:rsidR="000C6B19">
        <w:t xml:space="preserve">the </w:t>
      </w:r>
      <w:r w:rsidR="005F4FEF" w:rsidRPr="005F4FEF">
        <w:t xml:space="preserve">benefit </w:t>
      </w:r>
      <w:r w:rsidR="000C6B19">
        <w:t xml:space="preserve">of </w:t>
      </w:r>
      <w:r w:rsidR="005F4FEF" w:rsidRPr="005F4FEF">
        <w:t xml:space="preserve">Australian </w:t>
      </w:r>
      <w:proofErr w:type="gramStart"/>
      <w:r w:rsidR="006B4F7D" w:rsidRPr="005F4FEF">
        <w:t>patients</w:t>
      </w:r>
      <w:r w:rsidR="000C6B19">
        <w:t>,</w:t>
      </w:r>
      <w:r w:rsidR="006B4F7D" w:rsidRPr="005F4FEF">
        <w:t xml:space="preserve"> that</w:t>
      </w:r>
      <w:proofErr w:type="gramEnd"/>
      <w:r w:rsidR="005F4FEF" w:rsidRPr="005F4FEF">
        <w:t xml:space="preserve"> can </w:t>
      </w:r>
      <w:r w:rsidR="005F4FEF">
        <w:t xml:space="preserve">still </w:t>
      </w:r>
      <w:r w:rsidR="005F4FEF" w:rsidRPr="005F4FEF">
        <w:t>only occur by engaging international commercialisation partners.</w:t>
      </w:r>
      <w:r w:rsidR="005F4FEF">
        <w:t xml:space="preserve"> </w:t>
      </w:r>
    </w:p>
    <w:p w14:paraId="327A4EFF" w14:textId="77777777" w:rsidR="00C01201" w:rsidRDefault="00C01201" w:rsidP="00A16009">
      <w:pPr>
        <w:spacing w:after="0"/>
        <w:jc w:val="both"/>
      </w:pPr>
      <w:r>
        <w:t>However, this does not preclude a strong biotechnology industry being built her</w:t>
      </w:r>
      <w:r w:rsidR="00455301">
        <w:t>e in Australia</w:t>
      </w:r>
      <w:r>
        <w:t>.</w:t>
      </w:r>
      <w:r w:rsidR="003900B8">
        <w:t xml:space="preserve"> </w:t>
      </w:r>
      <w:r>
        <w:t xml:space="preserve"> The Victorian State </w:t>
      </w:r>
      <w:r w:rsidR="00455301">
        <w:t>G</w:t>
      </w:r>
      <w:r>
        <w:t xml:space="preserve">overnment has shown how </w:t>
      </w:r>
      <w:r w:rsidR="00EA0753">
        <w:t xml:space="preserve">many years of </w:t>
      </w:r>
      <w:r>
        <w:t xml:space="preserve">consistent funding and support for the biotechnology sector can build up </w:t>
      </w:r>
      <w:r w:rsidR="00455301">
        <w:t xml:space="preserve">and maintain a strong </w:t>
      </w:r>
      <w:r>
        <w:t xml:space="preserve">industry. </w:t>
      </w:r>
      <w:r w:rsidR="003900B8">
        <w:t xml:space="preserve"> </w:t>
      </w:r>
      <w:r>
        <w:t xml:space="preserve">If only this Victorian model could be achieved Australia-wide. </w:t>
      </w:r>
      <w:r w:rsidR="003900B8">
        <w:t xml:space="preserve"> </w:t>
      </w:r>
      <w:r w:rsidR="00EA0753">
        <w:t>However, p</w:t>
      </w:r>
      <w:r w:rsidR="00EA0753" w:rsidRPr="00EA0753">
        <w:t xml:space="preserve">olicies/assistance </w:t>
      </w:r>
      <w:proofErr w:type="gramStart"/>
      <w:r w:rsidR="00EA0753" w:rsidRPr="00EA0753">
        <w:t>need</w:t>
      </w:r>
      <w:proofErr w:type="gramEnd"/>
      <w:r w:rsidR="00EA0753" w:rsidRPr="00EA0753">
        <w:t xml:space="preserve"> to be implemented and then sustained for longer than just one term of government.  If basic research is about 5 years from </w:t>
      </w:r>
      <w:r w:rsidR="003900B8">
        <w:lastRenderedPageBreak/>
        <w:t>reaching a point of proof of scientific concept,</w:t>
      </w:r>
      <w:r w:rsidR="00EA0753" w:rsidRPr="00EA0753">
        <w:t xml:space="preserve"> where it could even be considered for commercialisation</w:t>
      </w:r>
      <w:r w:rsidR="003900B8">
        <w:t>,</w:t>
      </w:r>
      <w:r w:rsidR="00EA0753" w:rsidRPr="00EA0753">
        <w:t xml:space="preserve"> we are not going to see results from government programs within one term.</w:t>
      </w:r>
    </w:p>
    <w:p w14:paraId="327A4F01" w14:textId="77777777" w:rsidR="00A72F4E" w:rsidRDefault="00341C46" w:rsidP="00F26231">
      <w:pPr>
        <w:pStyle w:val="Heading1"/>
      </w:pPr>
      <w:r w:rsidRPr="00341C46">
        <w:t>Creating stronger incentives for research-industry collaboration</w:t>
      </w:r>
    </w:p>
    <w:p w14:paraId="327A4F02" w14:textId="77777777" w:rsidR="006B4F7D" w:rsidRPr="00341C46" w:rsidRDefault="00FD6EE6" w:rsidP="00F26231">
      <w:pPr>
        <w:pStyle w:val="Heading2"/>
      </w:pPr>
      <w:r>
        <w:t>-</w:t>
      </w:r>
      <w:r w:rsidR="006B4F7D">
        <w:t xml:space="preserve"> Items to consider</w:t>
      </w:r>
    </w:p>
    <w:p w14:paraId="327A4F03" w14:textId="77777777" w:rsidR="001F47B1" w:rsidRDefault="00341C46" w:rsidP="00A16009">
      <w:pPr>
        <w:jc w:val="both"/>
      </w:pPr>
      <w:r>
        <w:t xml:space="preserve">In general the University system </w:t>
      </w:r>
      <w:r w:rsidR="00B43832">
        <w:t xml:space="preserve">is not </w:t>
      </w:r>
      <w:r w:rsidRPr="00341C46">
        <w:t>conducive to research-industry collaboration</w:t>
      </w:r>
      <w:r w:rsidR="00B43832">
        <w:t>. There ar</w:t>
      </w:r>
      <w:r w:rsidR="0022569C">
        <w:t xml:space="preserve">e a number of reasons for this that will need to be considered for creating </w:t>
      </w:r>
      <w:r w:rsidR="0022569C" w:rsidRPr="0022569C">
        <w:t>stronger incentives for research-industry collaboration</w:t>
      </w:r>
      <w:r w:rsidR="0022569C">
        <w:t>.</w:t>
      </w:r>
    </w:p>
    <w:p w14:paraId="327A4F04" w14:textId="77777777" w:rsidR="001F47B1" w:rsidRDefault="001F47B1" w:rsidP="001F47B1">
      <w:pPr>
        <w:pStyle w:val="ListParagraph"/>
        <w:numPr>
          <w:ilvl w:val="0"/>
          <w:numId w:val="1"/>
        </w:numPr>
      </w:pPr>
      <w:r>
        <w:t>Publishing is still</w:t>
      </w:r>
      <w:r w:rsidR="0022569C">
        <w:t>,</w:t>
      </w:r>
      <w:r>
        <w:t xml:space="preserve"> </w:t>
      </w:r>
      <w:r w:rsidR="0022569C">
        <w:t xml:space="preserve">and will always be, </w:t>
      </w:r>
      <w:r>
        <w:t>an imperative for researchers for internal funding reward structures, grant funding opportunities and translation of research to the wider community</w:t>
      </w:r>
      <w:r w:rsidR="00C01201">
        <w:t xml:space="preserve">. </w:t>
      </w:r>
    </w:p>
    <w:p w14:paraId="327A4F05" w14:textId="77777777" w:rsidR="00447119" w:rsidRDefault="00A87DF0" w:rsidP="001F47B1">
      <w:pPr>
        <w:pStyle w:val="ListParagraph"/>
        <w:numPr>
          <w:ilvl w:val="0"/>
          <w:numId w:val="1"/>
        </w:numPr>
      </w:pPr>
      <w:r>
        <w:t>Most</w:t>
      </w:r>
      <w:r w:rsidR="001F47B1">
        <w:t xml:space="preserve"> universities do not have </w:t>
      </w:r>
      <w:r w:rsidR="001F47B1" w:rsidRPr="001F47B1">
        <w:t xml:space="preserve">reward structures </w:t>
      </w:r>
      <w:r w:rsidR="001F47B1">
        <w:t xml:space="preserve">in place </w:t>
      </w:r>
      <w:r w:rsidR="001F47B1" w:rsidRPr="001F47B1">
        <w:t>for academic activity</w:t>
      </w:r>
      <w:r w:rsidR="001F47B1">
        <w:t xml:space="preserve"> that</w:t>
      </w:r>
      <w:r w:rsidR="001F47B1" w:rsidRPr="001F47B1">
        <w:t xml:space="preserve"> are conducive to research-industry collaboration.</w:t>
      </w:r>
    </w:p>
    <w:p w14:paraId="327A4F06" w14:textId="77777777" w:rsidR="0022569C" w:rsidRDefault="00A87DF0" w:rsidP="00A87DF0">
      <w:pPr>
        <w:pStyle w:val="ListParagraph"/>
        <w:numPr>
          <w:ilvl w:val="0"/>
          <w:numId w:val="1"/>
        </w:numPr>
      </w:pPr>
      <w:r>
        <w:t xml:space="preserve">Structural: </w:t>
      </w:r>
      <w:r w:rsidR="001F47B1">
        <w:t>Most universities do not have organisational structures in place that can facilitate short-term contracts with industry or tranche-driven research where further opportunities are not taken up by industry</w:t>
      </w:r>
      <w:r w:rsidR="0022569C">
        <w:t xml:space="preserve"> </w:t>
      </w:r>
    </w:p>
    <w:p w14:paraId="327A4F07" w14:textId="77777777" w:rsidR="001F47B1" w:rsidRDefault="00A87DF0" w:rsidP="0022569C">
      <w:pPr>
        <w:pStyle w:val="ListParagraph"/>
        <w:numPr>
          <w:ilvl w:val="1"/>
          <w:numId w:val="1"/>
        </w:numPr>
      </w:pPr>
      <w:proofErr w:type="gramStart"/>
      <w:r>
        <w:t>e.g</w:t>
      </w:r>
      <w:proofErr w:type="gramEnd"/>
      <w:r>
        <w:t xml:space="preserve">. </w:t>
      </w:r>
      <w:r w:rsidRPr="00A87DF0">
        <w:t xml:space="preserve">How do you hire </w:t>
      </w:r>
      <w:r>
        <w:t xml:space="preserve">specialist </w:t>
      </w:r>
      <w:r w:rsidRPr="00A87DF0">
        <w:t>staff for 3 months</w:t>
      </w:r>
      <w:r>
        <w:t>?</w:t>
      </w:r>
      <w:r w:rsidR="0022569C">
        <w:t>; what happens if the industry partner decides not to continue- milestones can provide funding uncertainty even if the research is going well.</w:t>
      </w:r>
    </w:p>
    <w:p w14:paraId="327A4F08" w14:textId="77777777" w:rsidR="00A87DF0" w:rsidRDefault="001F47B1" w:rsidP="00A87DF0">
      <w:pPr>
        <w:pStyle w:val="ListParagraph"/>
        <w:numPr>
          <w:ilvl w:val="0"/>
          <w:numId w:val="1"/>
        </w:numPr>
      </w:pPr>
      <w:r>
        <w:t>Cultural: Academic freedom does not fit with the milestone driven</w:t>
      </w:r>
      <w:r w:rsidR="00A87DF0">
        <w:t xml:space="preserve"> and highly </w:t>
      </w:r>
      <w:r w:rsidR="00716532">
        <w:t xml:space="preserve">controlled </w:t>
      </w:r>
      <w:r>
        <w:t>approach of industry</w:t>
      </w:r>
      <w:r w:rsidR="00716532">
        <w:t xml:space="preserve"> </w:t>
      </w:r>
    </w:p>
    <w:p w14:paraId="327A4F09" w14:textId="77777777" w:rsidR="00A87DF0" w:rsidRDefault="008D03B3" w:rsidP="00EA0753">
      <w:pPr>
        <w:pStyle w:val="ListParagraph"/>
        <w:numPr>
          <w:ilvl w:val="0"/>
          <w:numId w:val="1"/>
        </w:numPr>
      </w:pPr>
      <w:r>
        <w:t>Time poor-</w:t>
      </w:r>
      <w:r w:rsidR="00A87DF0">
        <w:t xml:space="preserve">Academics work in ~3 year cycles with no guarantee of further funding. </w:t>
      </w:r>
      <w:r w:rsidR="00716532">
        <w:t xml:space="preserve">There is an imperative to provide data for further funding opportunities. </w:t>
      </w:r>
      <w:r w:rsidR="0072079D" w:rsidRPr="0072079D">
        <w:rPr>
          <w:color w:val="000000" w:themeColor="text1"/>
        </w:rPr>
        <w:t>S</w:t>
      </w:r>
      <w:r w:rsidR="00EA0753" w:rsidRPr="0072079D">
        <w:rPr>
          <w:color w:val="000000" w:themeColor="text1"/>
        </w:rPr>
        <w:t>alary support depends on grant funding leading to perpetual cycle of publication to increase likelihood of grants as in the absence of grant funding they will have no job</w:t>
      </w:r>
      <w:r w:rsidR="0072079D" w:rsidRPr="0072079D">
        <w:rPr>
          <w:color w:val="000000" w:themeColor="text1"/>
        </w:rPr>
        <w:t xml:space="preserve">. </w:t>
      </w:r>
      <w:r w:rsidR="0072079D">
        <w:t>This is an opportunity cost argument.</w:t>
      </w:r>
    </w:p>
    <w:p w14:paraId="327A4F0A" w14:textId="77777777" w:rsidR="00A87DF0" w:rsidRDefault="00716532" w:rsidP="00A87DF0">
      <w:pPr>
        <w:pStyle w:val="ListParagraph"/>
        <w:numPr>
          <w:ilvl w:val="0"/>
          <w:numId w:val="1"/>
        </w:numPr>
      </w:pPr>
      <w:r>
        <w:t>Resources: Most universities</w:t>
      </w:r>
      <w:r w:rsidR="0072079D">
        <w:t>/MRIs</w:t>
      </w:r>
      <w:r>
        <w:t xml:space="preserve"> do not have enough resources to </w:t>
      </w:r>
      <w:r w:rsidR="008D03B3">
        <w:t xml:space="preserve">provide the proactive </w:t>
      </w:r>
      <w:r>
        <w:t xml:space="preserve">aid </w:t>
      </w:r>
      <w:r w:rsidR="008D03B3">
        <w:t>required for commercialisation of academic research</w:t>
      </w:r>
      <w:r w:rsidR="00EA0753">
        <w:t xml:space="preserve"> (including proper IP protection strategies)</w:t>
      </w:r>
      <w:r>
        <w:t>.</w:t>
      </w:r>
    </w:p>
    <w:p w14:paraId="327A4F0B" w14:textId="77777777" w:rsidR="00716532" w:rsidRPr="00716532" w:rsidRDefault="00716532" w:rsidP="00716532">
      <w:pPr>
        <w:pStyle w:val="ListParagraph"/>
        <w:numPr>
          <w:ilvl w:val="0"/>
          <w:numId w:val="1"/>
        </w:numPr>
      </w:pPr>
      <w:r>
        <w:t xml:space="preserve">Some areas of academic endeavour are just not appropriate for </w:t>
      </w:r>
      <w:r w:rsidRPr="00716532">
        <w:t>research-industry collaboration.</w:t>
      </w:r>
    </w:p>
    <w:p w14:paraId="327A4F0C" w14:textId="77777777" w:rsidR="00716532" w:rsidRDefault="00716532" w:rsidP="00EA0753">
      <w:pPr>
        <w:pStyle w:val="ListParagraph"/>
        <w:numPr>
          <w:ilvl w:val="0"/>
          <w:numId w:val="1"/>
        </w:numPr>
      </w:pPr>
      <w:r>
        <w:t xml:space="preserve">University infrastructure: Some universities are research-intensive and some universities are more applied in nature.  For research intensive universities there seems to be a </w:t>
      </w:r>
      <w:r w:rsidR="00C01201">
        <w:t>“</w:t>
      </w:r>
      <w:r>
        <w:t>push</w:t>
      </w:r>
      <w:r w:rsidR="00C01201">
        <w:t>”</w:t>
      </w:r>
      <w:r>
        <w:t xml:space="preserve"> of research to the industry partner</w:t>
      </w:r>
      <w:r w:rsidR="00C01201">
        <w:t xml:space="preserve"> rather than “pull”</w:t>
      </w:r>
      <w:r w:rsidR="008D03B3">
        <w:t xml:space="preserve"> that is seen more in applied universities</w:t>
      </w:r>
      <w:r>
        <w:t xml:space="preserve">. </w:t>
      </w:r>
      <w:r w:rsidR="00C01201">
        <w:t xml:space="preserve">Engagement with Industry is sometimes not available for academics to understand the problems of specific companies in that industry and rather they tend to work on the problems they think the industry has in general. </w:t>
      </w:r>
      <w:r w:rsidR="00EA0753" w:rsidRPr="00EA0753">
        <w:t>Therefore end up producing research outcomes that are not relevant to industry</w:t>
      </w:r>
      <w:r w:rsidR="00EA0753">
        <w:t>.</w:t>
      </w:r>
    </w:p>
    <w:p w14:paraId="327A4F0D" w14:textId="77777777" w:rsidR="00FD6EE6" w:rsidRDefault="0022569C" w:rsidP="00F26231">
      <w:pPr>
        <w:pStyle w:val="Heading1"/>
      </w:pPr>
      <w:r>
        <w:lastRenderedPageBreak/>
        <w:t xml:space="preserve">Specific </w:t>
      </w:r>
      <w:r w:rsidR="006B4F7D">
        <w:t>comments on the Proposals-</w:t>
      </w:r>
      <w:r>
        <w:t xml:space="preserve"> </w:t>
      </w:r>
      <w:r w:rsidR="006B4F7D" w:rsidRPr="00042540">
        <w:t>Opportunities to</w:t>
      </w:r>
      <w:r w:rsidR="00FD6EE6">
        <w:t>:</w:t>
      </w:r>
    </w:p>
    <w:p w14:paraId="327A4F0E" w14:textId="77777777" w:rsidR="00ED6DC4" w:rsidRDefault="00FD6EE6" w:rsidP="00F26231">
      <w:pPr>
        <w:pStyle w:val="Heading2"/>
      </w:pPr>
      <w:r>
        <w:t>1</w:t>
      </w:r>
      <w:r w:rsidR="00ED6DC4" w:rsidRPr="00042540">
        <w:t xml:space="preserve"> </w:t>
      </w:r>
      <w:r w:rsidR="006B4F7D">
        <w:t>M</w:t>
      </w:r>
      <w:r w:rsidR="00ED6DC4" w:rsidRPr="00042540">
        <w:t>odify rules for competitive research grants to appropriately recognise industry-relevant experience</w:t>
      </w:r>
    </w:p>
    <w:p w14:paraId="327A4F0F" w14:textId="77777777" w:rsidR="00042540" w:rsidRPr="00042540" w:rsidRDefault="00042540" w:rsidP="008D03B3">
      <w:pPr>
        <w:jc w:val="both"/>
      </w:pPr>
      <w:r>
        <w:t>This is to be encouraged.</w:t>
      </w:r>
      <w:r w:rsidR="00B6014A">
        <w:t xml:space="preserve"> </w:t>
      </w:r>
      <w:r>
        <w:t xml:space="preserve"> It may be beneficial to incorporate into this </w:t>
      </w:r>
      <w:r w:rsidR="005F4FEF">
        <w:t xml:space="preserve">rule </w:t>
      </w:r>
      <w:r>
        <w:t xml:space="preserve">change </w:t>
      </w:r>
      <w:r w:rsidR="005F4FEF">
        <w:t xml:space="preserve">when recognising industry experience </w:t>
      </w:r>
      <w:r>
        <w:t xml:space="preserve">that contract research may lead to a lack of journal articles whereas commercialisation of research should only lead to a slight delay in publications.  It is a mistake to think that industry does not want publications- they want the </w:t>
      </w:r>
      <w:r w:rsidR="00A91626">
        <w:t xml:space="preserve">technology to </w:t>
      </w:r>
      <w:r w:rsidR="00602214">
        <w:t xml:space="preserve">be peer-reviewed and </w:t>
      </w:r>
      <w:r w:rsidR="00A91626">
        <w:t>have uptake and publications are key to this.</w:t>
      </w:r>
      <w:r w:rsidR="008D03B3">
        <w:t xml:space="preserve">  Timing is very important to this aspect though. </w:t>
      </w:r>
      <w:r w:rsidR="00A91626">
        <w:t xml:space="preserve"> </w:t>
      </w:r>
    </w:p>
    <w:p w14:paraId="327A4F10" w14:textId="77777777" w:rsidR="00ED6DC4" w:rsidRDefault="00FD6EE6" w:rsidP="00F26231">
      <w:pPr>
        <w:pStyle w:val="Heading2"/>
      </w:pPr>
      <w:r>
        <w:t>2</w:t>
      </w:r>
      <w:r w:rsidR="0022569C">
        <w:t xml:space="preserve"> D</w:t>
      </w:r>
      <w:r w:rsidR="00ED6DC4" w:rsidRPr="00042540">
        <w:t>evelop research block grant arrangements that retain a focus on quality and excellence while supporting greater industry and end-user engagement</w:t>
      </w:r>
    </w:p>
    <w:p w14:paraId="327A4F11" w14:textId="77777777" w:rsidR="00A91626" w:rsidRDefault="008D03B3" w:rsidP="00A16009">
      <w:pPr>
        <w:jc w:val="both"/>
      </w:pPr>
      <w:r>
        <w:t>A</w:t>
      </w:r>
      <w:r w:rsidRPr="008D03B3">
        <w:t xml:space="preserve"> </w:t>
      </w:r>
      <w:r>
        <w:t>key concept to think about when</w:t>
      </w:r>
      <w:r w:rsidRPr="008D03B3">
        <w:t xml:space="preserve"> arriving </w:t>
      </w:r>
      <w:r w:rsidR="00BB1E3B">
        <w:t>at</w:t>
      </w:r>
      <w:r w:rsidRPr="008D03B3">
        <w:t xml:space="preserve"> the best incentives in this area is the </w:t>
      </w:r>
      <w:r>
        <w:t xml:space="preserve">great </w:t>
      </w:r>
      <w:r w:rsidRPr="008D03B3">
        <w:t>difference in time-frames between r</w:t>
      </w:r>
      <w:r>
        <w:t>esearch</w:t>
      </w:r>
      <w:r w:rsidRPr="008D03B3">
        <w:t xml:space="preserve"> </w:t>
      </w:r>
      <w:r>
        <w:t xml:space="preserve">and the impact of that research.   Often it takes many years to gain the wealth of data for industry to invest in </w:t>
      </w:r>
      <w:r w:rsidR="00BB1E3B">
        <w:t xml:space="preserve">research </w:t>
      </w:r>
      <w:r>
        <w:t xml:space="preserve">commercialisation and a decade to realise the impact of research.  This will be covered later in the metrics section. </w:t>
      </w:r>
    </w:p>
    <w:p w14:paraId="327A4F12" w14:textId="77777777" w:rsidR="00602214" w:rsidRDefault="005F4FEF" w:rsidP="00A16009">
      <w:pPr>
        <w:jc w:val="both"/>
      </w:pPr>
      <w:r>
        <w:t>Whilst I am supportive of developing block-grant arrangements to support greater industry engagement, i</w:t>
      </w:r>
      <w:r w:rsidR="008D03B3">
        <w:t xml:space="preserve">t is important to note that academics are trained to be innovative and cutting edge. Most </w:t>
      </w:r>
      <w:r w:rsidR="00602214">
        <w:t xml:space="preserve">commercial research is not innovative. </w:t>
      </w:r>
      <w:r w:rsidR="0022569C" w:rsidRPr="0022569C">
        <w:t xml:space="preserve">The best translational labs have </w:t>
      </w:r>
      <w:r w:rsidR="009A2A79">
        <w:t xml:space="preserve">both </w:t>
      </w:r>
      <w:r w:rsidR="0022569C" w:rsidRPr="0022569C">
        <w:t>basic research and translational research occurring</w:t>
      </w:r>
      <w:r w:rsidR="009A2A79">
        <w:t xml:space="preserve"> side-by-side</w:t>
      </w:r>
      <w:r w:rsidR="0022569C" w:rsidRPr="0022569C">
        <w:t>.</w:t>
      </w:r>
      <w:r w:rsidR="0022569C">
        <w:t xml:space="preserve"> </w:t>
      </w:r>
      <w:r w:rsidR="00602214">
        <w:t>The best situation is for an academic to have both basic research plus commercial research being undertaken within their lab but a l</w:t>
      </w:r>
      <w:r w:rsidR="0022569C">
        <w:t>arge lab is required for this to</w:t>
      </w:r>
      <w:r w:rsidR="00602214">
        <w:t xml:space="preserve"> work effectively without negatively impacting on either research</w:t>
      </w:r>
      <w:r w:rsidR="0022569C">
        <w:t xml:space="preserve"> program</w:t>
      </w:r>
      <w:r w:rsidR="00602214">
        <w:t xml:space="preserve">.  </w:t>
      </w:r>
    </w:p>
    <w:p w14:paraId="327A4F13" w14:textId="77777777" w:rsidR="00ED6DC4" w:rsidRPr="00042540" w:rsidRDefault="0022569C" w:rsidP="00F26231">
      <w:pPr>
        <w:pStyle w:val="Heading2"/>
      </w:pPr>
      <w:r>
        <w:t>3 L</w:t>
      </w:r>
      <w:r w:rsidR="00ED6DC4" w:rsidRPr="00042540">
        <w:t xml:space="preserve">everage greater collaboration between publicly funded research agencies and industry. </w:t>
      </w:r>
    </w:p>
    <w:p w14:paraId="327A4F14" w14:textId="77777777" w:rsidR="00A91626" w:rsidRDefault="00602214" w:rsidP="00A16009">
      <w:pPr>
        <w:jc w:val="both"/>
      </w:pPr>
      <w:r>
        <w:t xml:space="preserve">Greater collaboration opportunities would be different between the two sections: </w:t>
      </w:r>
      <w:r w:rsidR="00A91626">
        <w:t>co</w:t>
      </w:r>
      <w:r w:rsidR="00184EED">
        <w:t>nt</w:t>
      </w:r>
      <w:r w:rsidR="009A2A79">
        <w:t>r</w:t>
      </w:r>
      <w:r w:rsidR="00184EED">
        <w:t>act research versus research</w:t>
      </w:r>
      <w:r w:rsidR="00A91626">
        <w:t xml:space="preserve"> commercialisation</w:t>
      </w:r>
    </w:p>
    <w:p w14:paraId="327A4F15" w14:textId="77777777" w:rsidR="005F4FEF" w:rsidRDefault="00602214" w:rsidP="00F26231">
      <w:pPr>
        <w:pStyle w:val="Heading3"/>
      </w:pPr>
      <w:r w:rsidRPr="00602214">
        <w:t>Contract research:</w:t>
      </w:r>
      <w:r>
        <w:t xml:space="preserve"> </w:t>
      </w:r>
    </w:p>
    <w:p w14:paraId="327A4F16" w14:textId="77777777" w:rsidR="005F4FEF" w:rsidRDefault="00602214" w:rsidP="002E2F96">
      <w:pPr>
        <w:pStyle w:val="ListParagraph"/>
        <w:numPr>
          <w:ilvl w:val="0"/>
          <w:numId w:val="4"/>
        </w:numPr>
        <w:jc w:val="both"/>
      </w:pPr>
      <w:r>
        <w:t>Collaboration could be encouraged using greater R&amp;D tax incentives for using university research with slightly lesser R&amp;D tax break</w:t>
      </w:r>
      <w:r w:rsidR="009A2A79">
        <w:t>s</w:t>
      </w:r>
      <w:r>
        <w:t xml:space="preserve"> for </w:t>
      </w:r>
      <w:proofErr w:type="gramStart"/>
      <w:r>
        <w:t>companies</w:t>
      </w:r>
      <w:proofErr w:type="gramEnd"/>
      <w:r>
        <w:t xml:space="preserve"> spending money internally on R&amp;D. </w:t>
      </w:r>
    </w:p>
    <w:p w14:paraId="327A4F17" w14:textId="77777777" w:rsidR="00602214" w:rsidRDefault="00602214" w:rsidP="002E2F96">
      <w:pPr>
        <w:pStyle w:val="ListParagraph"/>
        <w:numPr>
          <w:ilvl w:val="0"/>
          <w:numId w:val="4"/>
        </w:numPr>
        <w:jc w:val="both"/>
      </w:pPr>
      <w:r>
        <w:t>Greater access to Linkage type grants</w:t>
      </w:r>
      <w:r w:rsidR="00184EED">
        <w:t>:</w:t>
      </w:r>
      <w:r>
        <w:t xml:space="preserve">  NHMRC could provide its own matched linkage grant system. This would be distinct from the Development grant system which should be for University</w:t>
      </w:r>
      <w:r w:rsidR="00184EED">
        <w:t>/MRI</w:t>
      </w:r>
      <w:r>
        <w:t xml:space="preserve"> commercialisation only. </w:t>
      </w:r>
      <w:r w:rsidR="009A2A79">
        <w:t xml:space="preserve"> </w:t>
      </w:r>
      <w:r>
        <w:t>That is, NHMRC linkage: facilitate University</w:t>
      </w:r>
      <w:r w:rsidR="00184EED">
        <w:t>/MRI</w:t>
      </w:r>
      <w:r>
        <w:t xml:space="preserve"> contract research with industry; NHMRC Development: facilitate university</w:t>
      </w:r>
      <w:r w:rsidR="00184EED">
        <w:t>/MRI</w:t>
      </w:r>
      <w:r>
        <w:t xml:space="preserve"> commercialisation to provide data to improve industry/investor interest.  </w:t>
      </w:r>
    </w:p>
    <w:p w14:paraId="327A4F18" w14:textId="77777777" w:rsidR="00CD7FEA" w:rsidRDefault="00CD7FEA" w:rsidP="002E2F96">
      <w:pPr>
        <w:pStyle w:val="ListParagraph"/>
        <w:numPr>
          <w:ilvl w:val="0"/>
          <w:numId w:val="4"/>
        </w:numPr>
        <w:jc w:val="both"/>
      </w:pPr>
      <w:r>
        <w:t xml:space="preserve">A </w:t>
      </w:r>
      <w:r w:rsidR="00602214">
        <w:t>National database for industry needs</w:t>
      </w:r>
      <w:r>
        <w:t xml:space="preserve"> may facilitate researchers to focus on actual market needs (market pull) rather than needs they believe the industry has (market push)</w:t>
      </w:r>
      <w:r w:rsidR="009A2A79">
        <w:t xml:space="preserve"> </w:t>
      </w:r>
      <w:r w:rsidR="00184EED">
        <w:t xml:space="preserve">- although IP protection needs </w:t>
      </w:r>
      <w:r w:rsidR="009A2A79">
        <w:t xml:space="preserve">must </w:t>
      </w:r>
      <w:r w:rsidR="00184EED">
        <w:t xml:space="preserve">still be considered. </w:t>
      </w:r>
    </w:p>
    <w:p w14:paraId="327A4F19" w14:textId="77777777" w:rsidR="00CD7FEA" w:rsidRDefault="00184EED" w:rsidP="00F26231">
      <w:pPr>
        <w:pStyle w:val="Heading3"/>
      </w:pPr>
      <w:r>
        <w:rPr>
          <w:i/>
        </w:rPr>
        <w:lastRenderedPageBreak/>
        <w:t>Research</w:t>
      </w:r>
      <w:r w:rsidR="00CD7FEA" w:rsidRPr="00CD7FEA">
        <w:rPr>
          <w:i/>
        </w:rPr>
        <w:t xml:space="preserve"> commercialisation</w:t>
      </w:r>
      <w:r w:rsidR="00CD7FEA">
        <w:t xml:space="preserve">: requires access to investors as well as industry. </w:t>
      </w:r>
    </w:p>
    <w:p w14:paraId="327A4F1A" w14:textId="77777777" w:rsidR="005F4FEF" w:rsidRDefault="00CD7FEA" w:rsidP="002E2F96">
      <w:pPr>
        <w:pStyle w:val="ListParagraph"/>
        <w:numPr>
          <w:ilvl w:val="0"/>
          <w:numId w:val="5"/>
        </w:numPr>
        <w:jc w:val="both"/>
      </w:pPr>
      <w:r>
        <w:t>Despite the existence of NHMRC development grants</w:t>
      </w:r>
      <w:r w:rsidR="00BB1E3B">
        <w:t>,</w:t>
      </w:r>
      <w:r>
        <w:t xml:space="preserve"> a gap still exists between what is available from the researcher</w:t>
      </w:r>
      <w:r w:rsidR="00BB1E3B">
        <w:t>’s bench to what</w:t>
      </w:r>
      <w:r>
        <w:t xml:space="preserve"> data/information is required to encourage investment from industry/investors.  </w:t>
      </w:r>
    </w:p>
    <w:p w14:paraId="327A4F1B" w14:textId="77777777" w:rsidR="00CD7FEA" w:rsidRDefault="00CD7FEA" w:rsidP="002E2F96">
      <w:pPr>
        <w:pStyle w:val="ListParagraph"/>
        <w:numPr>
          <w:ilvl w:val="0"/>
          <w:numId w:val="5"/>
        </w:numPr>
        <w:jc w:val="both"/>
      </w:pPr>
      <w:r>
        <w:t xml:space="preserve">Moreover, while Australian institutions have been able to access advice on commercialisation pathways there does not seem to be any funding opportunities to implement such advice. </w:t>
      </w:r>
      <w:r w:rsidR="009A2A79">
        <w:t xml:space="preserve"> </w:t>
      </w:r>
      <w:r>
        <w:t xml:space="preserve">All the advice in the world </w:t>
      </w:r>
      <w:r w:rsidR="00BB1E3B">
        <w:t>will not help if you canno</w:t>
      </w:r>
      <w:r>
        <w:t xml:space="preserve">t implement it. </w:t>
      </w:r>
      <w:r w:rsidR="009A2A79">
        <w:t xml:space="preserve"> </w:t>
      </w:r>
      <w:r>
        <w:t>Incentives and programmes that can facilitate gaining of the information/outcomes required (obtained from skilled advice) can lower risk for investors/industry and will help to translate research to the community</w:t>
      </w:r>
      <w:r w:rsidR="00184EED">
        <w:t xml:space="preserve"> and boosting commercial returns form research</w:t>
      </w:r>
      <w:r>
        <w:t xml:space="preserve">. </w:t>
      </w:r>
    </w:p>
    <w:p w14:paraId="327A4F1C" w14:textId="77777777" w:rsidR="00A91626" w:rsidRDefault="00CD7FEA" w:rsidP="00A16009">
      <w:pPr>
        <w:pStyle w:val="ListParagraph"/>
        <w:numPr>
          <w:ilvl w:val="0"/>
          <w:numId w:val="3"/>
        </w:numPr>
        <w:jc w:val="both"/>
      </w:pPr>
      <w:r>
        <w:t xml:space="preserve">A </w:t>
      </w:r>
      <w:r w:rsidR="00A91626">
        <w:t xml:space="preserve">National </w:t>
      </w:r>
      <w:r>
        <w:t>early stage innovation fund can provide s</w:t>
      </w:r>
      <w:r w:rsidR="00A91626">
        <w:t xml:space="preserve">eed </w:t>
      </w:r>
      <w:r>
        <w:t>funding for items such as prototype development and preclinical efficacy and toxicity assessment for university/MRI research</w:t>
      </w:r>
      <w:r w:rsidR="00184EED">
        <w:t xml:space="preserve"> (without matching funding required)</w:t>
      </w:r>
      <w:r>
        <w:t xml:space="preserve">. </w:t>
      </w:r>
      <w:r w:rsidR="00A91626">
        <w:t xml:space="preserve"> </w:t>
      </w:r>
    </w:p>
    <w:p w14:paraId="327A4F1D" w14:textId="77777777" w:rsidR="00CD7FEA" w:rsidRDefault="00CD7FEA" w:rsidP="00A16009">
      <w:pPr>
        <w:pStyle w:val="ListParagraph"/>
        <w:numPr>
          <w:ilvl w:val="0"/>
          <w:numId w:val="3"/>
        </w:numPr>
        <w:jc w:val="both"/>
      </w:pPr>
      <w:r>
        <w:t>Incentive programmes could e</w:t>
      </w:r>
      <w:r w:rsidRPr="00A91626">
        <w:t>ncourage blue-sky/ innovation investment into institutions</w:t>
      </w:r>
      <w:r>
        <w:t xml:space="preserve"> by industry</w:t>
      </w:r>
      <w:r w:rsidRPr="00A91626">
        <w:t>.</w:t>
      </w:r>
      <w:r>
        <w:t xml:space="preserve">  Industry must be encouraged to think in a portfolio approach to research that may or may not pan out. </w:t>
      </w:r>
      <w:r w:rsidRPr="00A91626">
        <w:t xml:space="preserve"> </w:t>
      </w:r>
    </w:p>
    <w:p w14:paraId="327A4F1E" w14:textId="77777777" w:rsidR="00802FF2" w:rsidRPr="00A91626" w:rsidRDefault="00802FF2" w:rsidP="00A16009">
      <w:pPr>
        <w:pStyle w:val="ListParagraph"/>
        <w:numPr>
          <w:ilvl w:val="0"/>
          <w:numId w:val="3"/>
        </w:numPr>
        <w:jc w:val="both"/>
      </w:pPr>
      <w:r>
        <w:t xml:space="preserve">A voucher system that is not only available from Australian but also from US/EU contract research organisations- if Australia does not have </w:t>
      </w:r>
      <w:r w:rsidR="00184EED">
        <w:t xml:space="preserve">a </w:t>
      </w:r>
      <w:r>
        <w:t>model for that particular research area.</w:t>
      </w:r>
    </w:p>
    <w:p w14:paraId="327A4F1F" w14:textId="77777777" w:rsidR="00ED6DC4" w:rsidRDefault="0022569C" w:rsidP="00F26231">
      <w:pPr>
        <w:pStyle w:val="Heading2"/>
      </w:pPr>
      <w:r>
        <w:t>4 C</w:t>
      </w:r>
      <w:r w:rsidR="00ED6DC4" w:rsidRPr="00042540">
        <w:t>onsolidate existing programmes that focus on collaboration with industry to increase their scale and effectiveness</w:t>
      </w:r>
    </w:p>
    <w:p w14:paraId="327A4F20" w14:textId="77777777" w:rsidR="00802FF2" w:rsidRDefault="00184EED" w:rsidP="00A16009">
      <w:pPr>
        <w:jc w:val="both"/>
      </w:pPr>
      <w:r>
        <w:t>The Development grant scheme is</w:t>
      </w:r>
      <w:r w:rsidR="00802FF2">
        <w:t xml:space="preserve"> a great programme and universities</w:t>
      </w:r>
      <w:r>
        <w:t>/MRIs</w:t>
      </w:r>
      <w:r w:rsidR="00802FF2">
        <w:t xml:space="preserve"> can only benefit from more funding to be provided for this scheme- to aid </w:t>
      </w:r>
      <w:r>
        <w:t>research</w:t>
      </w:r>
      <w:r w:rsidR="00802FF2">
        <w:t xml:space="preserve"> commercialisation.  However, the medical field does also need a version of the ARC Linkage grants for facilitating contract research between institutions</w:t>
      </w:r>
      <w:r>
        <w:t xml:space="preserve"> and industry</w:t>
      </w:r>
      <w:r w:rsidR="00802FF2">
        <w:t xml:space="preserve">. </w:t>
      </w:r>
      <w:r w:rsidR="009A2A79">
        <w:t xml:space="preserve"> </w:t>
      </w:r>
      <w:r w:rsidR="00802FF2">
        <w:t xml:space="preserve">In my experience when researchers can show to industry that they achieve milestones more industry engagement tends to follow (without government co-funding).  </w:t>
      </w:r>
    </w:p>
    <w:p w14:paraId="327A4F21" w14:textId="77777777" w:rsidR="00A91626" w:rsidRDefault="00184EED" w:rsidP="00A16009">
      <w:pPr>
        <w:jc w:val="both"/>
      </w:pPr>
      <w:r>
        <w:t>The IIF helped many Venture C</w:t>
      </w:r>
      <w:r w:rsidR="00802FF2">
        <w:t xml:space="preserve">apital funding opportunities in Australia.  However, </w:t>
      </w:r>
      <w:r w:rsidR="00802FF2" w:rsidRPr="00A91626">
        <w:t>VC’s</w:t>
      </w:r>
      <w:r w:rsidR="00A91626" w:rsidRPr="00A91626">
        <w:t xml:space="preserve"> tend to invest in their areas of skill. Therefore there are only a small number of funds in the biotech/</w:t>
      </w:r>
      <w:proofErr w:type="spellStart"/>
      <w:r w:rsidR="00A91626" w:rsidRPr="00A91626">
        <w:t>medtech</w:t>
      </w:r>
      <w:proofErr w:type="spellEnd"/>
      <w:r w:rsidR="00A91626" w:rsidRPr="00A91626">
        <w:t xml:space="preserve"> sector. Of those, on average </w:t>
      </w:r>
      <w:proofErr w:type="gramStart"/>
      <w:r w:rsidR="00A91626" w:rsidRPr="00A91626">
        <w:t>a portfolio of ~ 10 projects exist</w:t>
      </w:r>
      <w:proofErr w:type="gramEnd"/>
      <w:r w:rsidR="00A91626" w:rsidRPr="00A91626">
        <w:t xml:space="preserve">. Most funds are </w:t>
      </w:r>
      <w:r>
        <w:t xml:space="preserve">now </w:t>
      </w:r>
      <w:r w:rsidR="00A91626" w:rsidRPr="00A91626">
        <w:t>closed. At this tim</w:t>
      </w:r>
      <w:r w:rsidR="00EA0753">
        <w:t>e there is</w:t>
      </w:r>
      <w:r w:rsidR="00BB1E3B">
        <w:t xml:space="preserve"> only one</w:t>
      </w:r>
      <w:r>
        <w:t xml:space="preserve"> relatively-early stage fund</w:t>
      </w:r>
      <w:r w:rsidR="00A91626" w:rsidRPr="00A91626">
        <w:t xml:space="preserve"> open that I know of, </w:t>
      </w:r>
      <w:r w:rsidR="00EA0753">
        <w:t xml:space="preserve">the MRCF </w:t>
      </w:r>
      <w:r w:rsidR="00BB1E3B">
        <w:t>that</w:t>
      </w:r>
      <w:r w:rsidR="00EA0753">
        <w:t xml:space="preserve"> is </w:t>
      </w:r>
      <w:r w:rsidR="00A91626" w:rsidRPr="00A91626">
        <w:t xml:space="preserve">managed by Brandon Capital. And the MRCF cannot be accessed by all researchers </w:t>
      </w:r>
      <w:proofErr w:type="spellStart"/>
      <w:r w:rsidR="00A91626" w:rsidRPr="00A91626">
        <w:t>e.g</w:t>
      </w:r>
      <w:proofErr w:type="spellEnd"/>
      <w:r w:rsidR="00A91626" w:rsidRPr="00A91626">
        <w:t xml:space="preserve"> </w:t>
      </w:r>
      <w:proofErr w:type="spellStart"/>
      <w:r w:rsidR="00A91626" w:rsidRPr="00A91626">
        <w:t>UWA</w:t>
      </w:r>
      <w:proofErr w:type="spellEnd"/>
      <w:r w:rsidR="00A91626" w:rsidRPr="00A91626">
        <w:t xml:space="preserve"> and </w:t>
      </w:r>
      <w:proofErr w:type="spellStart"/>
      <w:r w:rsidR="00A91626" w:rsidRPr="00A91626">
        <w:t>UQ</w:t>
      </w:r>
      <w:proofErr w:type="spellEnd"/>
      <w:r w:rsidR="00A91626" w:rsidRPr="00A91626">
        <w:t xml:space="preserve"> are not eligible. “Early-stage” is also open to interpretation. More </w:t>
      </w:r>
      <w:r>
        <w:t xml:space="preserve">pre-seed type </w:t>
      </w:r>
      <w:r w:rsidR="00A91626" w:rsidRPr="00A91626">
        <w:t xml:space="preserve">funding is </w:t>
      </w:r>
      <w:r>
        <w:t xml:space="preserve">still </w:t>
      </w:r>
      <w:r w:rsidR="00A91626" w:rsidRPr="00A91626">
        <w:t xml:space="preserve">required to get to the stage </w:t>
      </w:r>
      <w:r w:rsidR="00EA0753">
        <w:t>where</w:t>
      </w:r>
      <w:r w:rsidR="00A91626" w:rsidRPr="00A91626">
        <w:t xml:space="preserve"> VC’s want to invest.</w:t>
      </w:r>
    </w:p>
    <w:p w14:paraId="327A4F22" w14:textId="77777777" w:rsidR="00A91626" w:rsidRDefault="00A91626" w:rsidP="00A16009">
      <w:pPr>
        <w:jc w:val="both"/>
      </w:pPr>
      <w:r>
        <w:t xml:space="preserve">All attempts I have </w:t>
      </w:r>
      <w:r w:rsidR="00C178DE">
        <w:t>made</w:t>
      </w:r>
      <w:r>
        <w:t xml:space="preserve"> of trying to get overseas VC</w:t>
      </w:r>
      <w:r w:rsidR="00C178DE">
        <w:t>’s to invest in Australian technologies were</w:t>
      </w:r>
      <w:r>
        <w:t xml:space="preserve"> balked by the distance.</w:t>
      </w:r>
      <w:r w:rsidR="00802FF2">
        <w:t xml:space="preserve"> Therefore m</w:t>
      </w:r>
      <w:r>
        <w:t xml:space="preserve">ore VC’s </w:t>
      </w:r>
      <w:r w:rsidR="00802FF2">
        <w:t xml:space="preserve">or greater funds under management by the current VC’s are </w:t>
      </w:r>
      <w:r>
        <w:t xml:space="preserve">needed in Australia. </w:t>
      </w:r>
      <w:r w:rsidR="00C178DE">
        <w:t xml:space="preserve">This could be accomplished using more IIF incentives. </w:t>
      </w:r>
      <w:r w:rsidR="00802FF2">
        <w:t>Perhaps the government can provide incentives for overseas high net worth individuals to invest</w:t>
      </w:r>
      <w:r>
        <w:t xml:space="preserve"> in Australian VC</w:t>
      </w:r>
      <w:r w:rsidR="00802FF2">
        <w:t>’s</w:t>
      </w:r>
      <w:r>
        <w:t xml:space="preserve">? </w:t>
      </w:r>
    </w:p>
    <w:p w14:paraId="327A4F23" w14:textId="77777777" w:rsidR="00ED6DC4" w:rsidRPr="00042540" w:rsidRDefault="0022569C" w:rsidP="00F26231">
      <w:pPr>
        <w:pStyle w:val="Heading2"/>
      </w:pPr>
      <w:r>
        <w:lastRenderedPageBreak/>
        <w:t>5 C</w:t>
      </w:r>
      <w:r w:rsidR="00ED6DC4" w:rsidRPr="00042540">
        <w:t xml:space="preserve">onsider whether the R&amp;D tax incentive sufficiently encourages collaboration between industry and </w:t>
      </w:r>
      <w:r w:rsidR="00A91626" w:rsidRPr="00042540">
        <w:t>researchers</w:t>
      </w:r>
    </w:p>
    <w:p w14:paraId="327A4F24" w14:textId="77777777" w:rsidR="00504BCA" w:rsidRDefault="00802FF2" w:rsidP="00A16009">
      <w:pPr>
        <w:jc w:val="both"/>
      </w:pPr>
      <w:r>
        <w:t xml:space="preserve">Whilst it is clear that this incentive works for </w:t>
      </w:r>
      <w:r w:rsidR="00BB1E3B">
        <w:t xml:space="preserve">the </w:t>
      </w:r>
      <w:r>
        <w:t xml:space="preserve">internal R&amp;D </w:t>
      </w:r>
      <w:r w:rsidR="00BB1E3B">
        <w:t xml:space="preserve">of companies, </w:t>
      </w:r>
      <w:r>
        <w:t xml:space="preserve">I do not believe that it encourages engagement with University/MRI research. </w:t>
      </w:r>
      <w:r w:rsidR="00504BCA">
        <w:t xml:space="preserve">Perhaps greater tax incentives can be for companies who engage </w:t>
      </w:r>
      <w:r w:rsidR="00184EED">
        <w:t>academics</w:t>
      </w:r>
      <w:r w:rsidR="00504BCA">
        <w:t xml:space="preserve"> for their R&amp;D?</w:t>
      </w:r>
    </w:p>
    <w:p w14:paraId="327A4F25" w14:textId="77777777" w:rsidR="00ED6DC4" w:rsidRDefault="00A91626" w:rsidP="00A16009">
      <w:pPr>
        <w:jc w:val="both"/>
      </w:pPr>
      <w:r w:rsidRPr="00A91626">
        <w:t>What opportunities does the federal government take to provide this information to overseas</w:t>
      </w:r>
      <w:r w:rsidR="00504BCA">
        <w:t xml:space="preserve"> companies? </w:t>
      </w:r>
    </w:p>
    <w:p w14:paraId="327A4F26" w14:textId="77777777" w:rsidR="00ED6DC4" w:rsidRDefault="00672575" w:rsidP="00F26231">
      <w:pPr>
        <w:pStyle w:val="Heading1"/>
      </w:pPr>
      <w:r w:rsidRPr="00672575">
        <w:t xml:space="preserve">Specific comments on </w:t>
      </w:r>
      <w:r>
        <w:t>s</w:t>
      </w:r>
      <w:r w:rsidR="00ED6DC4" w:rsidRPr="00042540">
        <w:t>upporting research infrastructure</w:t>
      </w:r>
      <w:r w:rsidR="00504BCA">
        <w:t xml:space="preserve">: </w:t>
      </w:r>
      <w:r w:rsidR="00ED6DC4" w:rsidRPr="00042540">
        <w:t xml:space="preserve">Develop a roadmap for long-term research infrastructure </w:t>
      </w:r>
      <w:r w:rsidR="00042540" w:rsidRPr="00042540">
        <w:t>investment</w:t>
      </w:r>
    </w:p>
    <w:p w14:paraId="327A4F27" w14:textId="77777777" w:rsidR="004D72A4" w:rsidRDefault="00504BCA" w:rsidP="00A16009">
      <w:pPr>
        <w:jc w:val="both"/>
      </w:pPr>
      <w:r w:rsidRPr="00504BCA">
        <w:t>Long-term research infrastructure investment</w:t>
      </w:r>
      <w:r>
        <w:t xml:space="preserve"> needs to include a form of seed funding to help lower the risk between research and investment/industry engagement. Due to the lower hurdles and shorter time frames to market </w:t>
      </w:r>
      <w:r w:rsidRPr="00504BCA">
        <w:t xml:space="preserve">most venture capital firms with an interest in the biomedical industry </w:t>
      </w:r>
      <w:r w:rsidR="00184EED">
        <w:t xml:space="preserve">have </w:t>
      </w:r>
      <w:r>
        <w:t xml:space="preserve">still </w:t>
      </w:r>
      <w:r w:rsidRPr="00504BCA">
        <w:t>continue</w:t>
      </w:r>
      <w:r w:rsidR="00184EED">
        <w:t>d</w:t>
      </w:r>
      <w:r w:rsidRPr="00504BCA">
        <w:t xml:space="preserve"> to focus on the medical device sector</w:t>
      </w:r>
      <w:r w:rsidR="00184EED">
        <w:t>;</w:t>
      </w:r>
      <w:r>
        <w:t xml:space="preserve"> </w:t>
      </w:r>
      <w:r w:rsidR="00184EED">
        <w:t xml:space="preserve">including Commercialisation Australia. </w:t>
      </w:r>
    </w:p>
    <w:p w14:paraId="327A4F28" w14:textId="77777777" w:rsidR="004D72A4" w:rsidRPr="00504BCA" w:rsidRDefault="00504BCA" w:rsidP="00A16009">
      <w:pPr>
        <w:jc w:val="both"/>
      </w:pPr>
      <w:r>
        <w:t>P</w:t>
      </w:r>
      <w:r w:rsidRPr="00504BCA">
        <w:t>re</w:t>
      </w:r>
      <w:r w:rsidR="00184EED">
        <w:t>-</w:t>
      </w:r>
      <w:r w:rsidRPr="00504BCA">
        <w:t>see</w:t>
      </w:r>
      <w:r>
        <w:t xml:space="preserve">d and seed-stage investment programmes </w:t>
      </w:r>
      <w:r w:rsidR="004D72A4">
        <w:t xml:space="preserve">(without the need for 1:1 funding from an industry partner) </w:t>
      </w:r>
      <w:r>
        <w:t xml:space="preserve">can facilitate risk mitigation and provide the advice and implementation financing to gain the data required to get investors/industry interested in the research. </w:t>
      </w:r>
      <w:r w:rsidR="004D72A4">
        <w:t xml:space="preserve"> Even Commercialisation Australia required information/technology at a later stage than the university</w:t>
      </w:r>
      <w:r w:rsidR="00184EED">
        <w:t>/MRIs</w:t>
      </w:r>
      <w:r w:rsidR="004D72A4">
        <w:t xml:space="preserve"> can </w:t>
      </w:r>
      <w:r w:rsidR="00184EED">
        <w:t xml:space="preserve">often </w:t>
      </w:r>
      <w:r w:rsidR="004D72A4">
        <w:t xml:space="preserve">afford to provide.  They also have invested in few pharmaceutical/biotech opportunities. </w:t>
      </w:r>
    </w:p>
    <w:p w14:paraId="327A4F29" w14:textId="77777777" w:rsidR="00504BCA" w:rsidRDefault="004D72A4" w:rsidP="00A16009">
      <w:pPr>
        <w:jc w:val="both"/>
      </w:pPr>
      <w:r>
        <w:t xml:space="preserve">These types of </w:t>
      </w:r>
      <w:r w:rsidR="00184EED">
        <w:t xml:space="preserve">pre-seed </w:t>
      </w:r>
      <w:r>
        <w:t>programmes have worked in Israel and Scotland</w:t>
      </w:r>
      <w:r w:rsidR="0022569C">
        <w:t xml:space="preserve"> for example</w:t>
      </w:r>
      <w:r>
        <w:t xml:space="preserve"> to facilitate commercial returns fr</w:t>
      </w:r>
      <w:r w:rsidR="0022569C">
        <w:t>o</w:t>
      </w:r>
      <w:r>
        <w:t xml:space="preserve">m academic research translation. </w:t>
      </w:r>
    </w:p>
    <w:p w14:paraId="327A4F2A" w14:textId="77777777" w:rsidR="00ED6DC4" w:rsidRPr="00042540" w:rsidRDefault="00672575" w:rsidP="00F26231">
      <w:pPr>
        <w:pStyle w:val="Heading1"/>
      </w:pPr>
      <w:r w:rsidRPr="00672575">
        <w:t>Specific comments on</w:t>
      </w:r>
      <w:r>
        <w:t>:</w:t>
      </w:r>
      <w:r w:rsidRPr="00672575">
        <w:t xml:space="preserve"> </w:t>
      </w:r>
      <w:r w:rsidR="00ED6DC4" w:rsidRPr="00042540">
        <w:t>Providing better access to research</w:t>
      </w:r>
    </w:p>
    <w:p w14:paraId="327A4F2B" w14:textId="77777777" w:rsidR="00ED6DC4" w:rsidRDefault="00ED6DC4" w:rsidP="00F26231">
      <w:pPr>
        <w:pStyle w:val="Heading2"/>
      </w:pPr>
      <w:r w:rsidRPr="00042540">
        <w:t>1 Strengthening IP guidelines for researchers</w:t>
      </w:r>
    </w:p>
    <w:p w14:paraId="327A4F2C" w14:textId="77777777" w:rsidR="004D72A4" w:rsidRPr="004D72A4" w:rsidRDefault="00BB1E3B" w:rsidP="00A16009">
      <w:pPr>
        <w:jc w:val="both"/>
      </w:pPr>
      <w:r>
        <w:t>I do not</w:t>
      </w:r>
      <w:r w:rsidR="004D72A4">
        <w:t xml:space="preserve"> believe that this is </w:t>
      </w:r>
      <w:r w:rsidR="0066645B">
        <w:t>required. The N</w:t>
      </w:r>
      <w:r w:rsidR="004D72A4">
        <w:t xml:space="preserve">ational </w:t>
      </w:r>
      <w:r w:rsidR="0066645B">
        <w:t>P</w:t>
      </w:r>
      <w:r w:rsidR="004D72A4">
        <w:t xml:space="preserve">rinciples clearly outline the policy that publicly funded research should reach the public in the most appropriate way possible. Every opportunity is bespoke. Better dissemination of these </w:t>
      </w:r>
      <w:r w:rsidR="0066645B">
        <w:t>P</w:t>
      </w:r>
      <w:r w:rsidR="004D72A4">
        <w:t>rinciples can only help but I do</w:t>
      </w:r>
      <w:r>
        <w:t xml:space="preserve"> </w:t>
      </w:r>
      <w:r w:rsidR="004D72A4">
        <w:t>n</w:t>
      </w:r>
      <w:r>
        <w:t>o</w:t>
      </w:r>
      <w:r w:rsidR="004D72A4">
        <w:t xml:space="preserve">t believe decreasing IP flexibility will encourage better access to research/industry engagement. </w:t>
      </w:r>
    </w:p>
    <w:p w14:paraId="327A4F2D" w14:textId="77777777" w:rsidR="00042540" w:rsidRDefault="00ED6DC4" w:rsidP="00F26231">
      <w:pPr>
        <w:pStyle w:val="Heading2"/>
      </w:pPr>
      <w:r w:rsidRPr="00042540">
        <w:t>2 Examine the</w:t>
      </w:r>
      <w:r w:rsidR="00042540" w:rsidRPr="00042540">
        <w:t xml:space="preserve"> potential to link research funding to the dissemination of IP</w:t>
      </w:r>
    </w:p>
    <w:p w14:paraId="327A4F2E" w14:textId="77777777" w:rsidR="004D72A4" w:rsidRPr="004D72A4" w:rsidRDefault="004D72A4" w:rsidP="00A16009">
      <w:pPr>
        <w:jc w:val="both"/>
      </w:pPr>
      <w:r w:rsidRPr="004D72A4">
        <w:t xml:space="preserve">In the case of medical research the cost of funding a product to market is exorbitant. Therefore the only way to translate </w:t>
      </w:r>
      <w:r>
        <w:t>academic</w:t>
      </w:r>
      <w:r w:rsidRPr="004D72A4">
        <w:t xml:space="preserve"> IP is via appropriate protection of IP (patenting) and </w:t>
      </w:r>
      <w:r>
        <w:t xml:space="preserve">following </w:t>
      </w:r>
      <w:r w:rsidRPr="004D72A4">
        <w:t>the commercialisation</w:t>
      </w:r>
      <w:r>
        <w:t xml:space="preserve"> pathway. </w:t>
      </w:r>
      <w:r w:rsidRPr="004D72A4">
        <w:t xml:space="preserve"> </w:t>
      </w:r>
      <w:r>
        <w:t xml:space="preserve">However, the time frames of impact </w:t>
      </w:r>
      <w:r w:rsidR="00BB1E3B">
        <w:t>and dissemination of</w:t>
      </w:r>
      <w:r>
        <w:t xml:space="preserve"> IP are inconsistent with </w:t>
      </w:r>
      <w:r w:rsidR="00BB1E3B">
        <w:t>the time frame of provision of research funding</w:t>
      </w:r>
      <w:r>
        <w:t>. This will once again benefit publication of IP</w:t>
      </w:r>
      <w:r w:rsidR="00BB1E3B">
        <w:t>,</w:t>
      </w:r>
      <w:r>
        <w:t xml:space="preserve"> </w:t>
      </w:r>
      <w:r w:rsidR="00BB1E3B">
        <w:t xml:space="preserve">as this happens much faster than publication via the patenting process or commercialisation, </w:t>
      </w:r>
      <w:r>
        <w:t xml:space="preserve">rather than commercialisation/industry contract research. </w:t>
      </w:r>
      <w:r w:rsidR="0066645B">
        <w:t xml:space="preserve">Thereby decreasing commercialisation returns form publicly funded research. </w:t>
      </w:r>
    </w:p>
    <w:p w14:paraId="327A4F2F" w14:textId="77777777" w:rsidR="00ED6DC4" w:rsidRDefault="00042540" w:rsidP="00F26231">
      <w:pPr>
        <w:pStyle w:val="Heading2"/>
      </w:pPr>
      <w:r w:rsidRPr="00042540">
        <w:lastRenderedPageBreak/>
        <w:t xml:space="preserve">3 </w:t>
      </w:r>
      <w:r w:rsidR="00F10EA9">
        <w:t>E</w:t>
      </w:r>
      <w:r w:rsidRPr="00042540">
        <w:t>stablish an online point of access to commercially-relevant research for business</w:t>
      </w:r>
    </w:p>
    <w:p w14:paraId="327A4F30" w14:textId="77777777" w:rsidR="004D72A4" w:rsidRPr="004D72A4" w:rsidRDefault="004D72A4" w:rsidP="00A16009">
      <w:pPr>
        <w:jc w:val="both"/>
      </w:pPr>
      <w:r w:rsidRPr="004D72A4">
        <w:t>This is a very difficult</w:t>
      </w:r>
      <w:r>
        <w:t xml:space="preserve"> system to set up and maintain. </w:t>
      </w:r>
      <w:r w:rsidRPr="004D72A4">
        <w:t xml:space="preserve"> </w:t>
      </w:r>
      <w:r>
        <w:t>Many IP repositories exist and the current consensus is that it has not aided industry engagement/ commercialisation.</w:t>
      </w:r>
      <w:r w:rsidR="00087E0D" w:rsidRPr="00087E0D">
        <w:t xml:space="preserve"> </w:t>
      </w:r>
      <w:r w:rsidR="00087E0D">
        <w:t xml:space="preserve">It is important to ensure that </w:t>
      </w:r>
      <w:r w:rsidR="00087E0D" w:rsidRPr="00087E0D">
        <w:t>a loss of confidentiality and ability to protect IP in an effort to increase dissemination of re</w:t>
      </w:r>
      <w:r w:rsidR="00087E0D">
        <w:t xml:space="preserve">search to business and industry does not occur. Otherwise commercialisation </w:t>
      </w:r>
      <w:r w:rsidR="0066645B">
        <w:t xml:space="preserve">and returns from publicly funded research </w:t>
      </w:r>
      <w:r w:rsidR="00087E0D">
        <w:t>will decrease not increase.</w:t>
      </w:r>
    </w:p>
    <w:p w14:paraId="327A4F31" w14:textId="77777777" w:rsidR="00042540" w:rsidRDefault="00F10EA9" w:rsidP="00F26231">
      <w:pPr>
        <w:pStyle w:val="Heading2"/>
      </w:pPr>
      <w:r>
        <w:t>4</w:t>
      </w:r>
      <w:r w:rsidR="00042540" w:rsidRPr="00042540">
        <w:t xml:space="preserve"> Release of an IP toolkit to provide guidance to simplify discussion relating to IP between researchers and industry</w:t>
      </w:r>
    </w:p>
    <w:p w14:paraId="327A4F32" w14:textId="77777777" w:rsidR="00F10EA9" w:rsidRPr="00F10EA9" w:rsidRDefault="00F10EA9" w:rsidP="00A16009">
      <w:pPr>
        <w:jc w:val="both"/>
      </w:pPr>
      <w:r>
        <w:t xml:space="preserve">I believe that flexibility is </w:t>
      </w:r>
      <w:proofErr w:type="gramStart"/>
      <w:r>
        <w:t>key</w:t>
      </w:r>
      <w:proofErr w:type="gramEnd"/>
      <w:r>
        <w:t xml:space="preserve"> when dealing with industry.  The more obligations</w:t>
      </w:r>
      <w:r w:rsidR="005F7490">
        <w:t>/restraints placed o</w:t>
      </w:r>
      <w:r>
        <w:t>n industry/</w:t>
      </w:r>
      <w:r w:rsidR="0066645B">
        <w:t>institution</w:t>
      </w:r>
      <w:r>
        <w:t xml:space="preserve"> interactions the harder it will get to engage with </w:t>
      </w:r>
      <w:r w:rsidR="0066645B">
        <w:t>industry</w:t>
      </w:r>
      <w:r>
        <w:t xml:space="preserve">. </w:t>
      </w:r>
    </w:p>
    <w:p w14:paraId="327A4F33" w14:textId="77777777" w:rsidR="00042540" w:rsidRDefault="00042540" w:rsidP="00F26231">
      <w:pPr>
        <w:pStyle w:val="Heading1"/>
      </w:pPr>
      <w:r w:rsidRPr="00042540">
        <w:t xml:space="preserve"> </w:t>
      </w:r>
      <w:r w:rsidR="00672575" w:rsidRPr="00672575">
        <w:t>Specific comments on</w:t>
      </w:r>
      <w:r w:rsidR="00672575">
        <w:t>:</w:t>
      </w:r>
      <w:r w:rsidR="00672575" w:rsidRPr="00672575">
        <w:t xml:space="preserve"> </w:t>
      </w:r>
      <w:r w:rsidRPr="00042540">
        <w:t>Increasing industry relevant research training</w:t>
      </w:r>
    </w:p>
    <w:p w14:paraId="327A4F34" w14:textId="77777777" w:rsidR="005F7490" w:rsidRDefault="005F7490" w:rsidP="00A16009">
      <w:pPr>
        <w:jc w:val="both"/>
      </w:pPr>
      <w:r w:rsidRPr="005F7490">
        <w:t xml:space="preserve">This will only work if incentives are in place for researchers to provide their time for this aspect rather than </w:t>
      </w:r>
      <w:r w:rsidR="007B34AE">
        <w:t xml:space="preserve">publicly funded </w:t>
      </w:r>
      <w:r w:rsidRPr="005F7490">
        <w:t>research</w:t>
      </w:r>
      <w:r w:rsidR="007B34AE">
        <w:t xml:space="preserve"> (grants)</w:t>
      </w:r>
      <w:r w:rsidRPr="005F7490">
        <w:t xml:space="preserve">. </w:t>
      </w:r>
      <w:r>
        <w:t xml:space="preserve"> In a resource poor community (time and funding) there must be benefit to researchers for this to occur. </w:t>
      </w:r>
    </w:p>
    <w:p w14:paraId="327A4F35" w14:textId="77777777" w:rsidR="00087E0D" w:rsidRDefault="0066645B" w:rsidP="00A16009">
      <w:pPr>
        <w:jc w:val="both"/>
      </w:pPr>
      <w:r>
        <w:t>That is, a</w:t>
      </w:r>
      <w:r w:rsidR="005F7490">
        <w:t>n entrepreneurial culture can only be encouraged if there is no opportunity cost to the researcher. All incentives must integrate together.  A lot of thought will need to go into ensuring unintended consequences do not occur – such as a loss of quality to increase quantity, or a loss of confidentiality and ability to protect IP in an effort to increase dissemination of research to business and industry.</w:t>
      </w:r>
    </w:p>
    <w:p w14:paraId="327A4F36" w14:textId="77777777" w:rsidR="0022569C" w:rsidRDefault="0022569C" w:rsidP="00A16009">
      <w:pPr>
        <w:jc w:val="both"/>
      </w:pPr>
      <w:r>
        <w:t xml:space="preserve">Researchers are innovative and cutting edge and commercialisation is boring </w:t>
      </w:r>
      <w:r w:rsidR="00012A5B">
        <w:t xml:space="preserve">and routine </w:t>
      </w:r>
      <w:r>
        <w:t xml:space="preserve">in comparison.  Researchers should be allowed to be researchers but this does not mean entrepreneurism stops because the researcher stays on the technical side of things. </w:t>
      </w:r>
      <w:r w:rsidRPr="0022569C">
        <w:t>More resources to T</w:t>
      </w:r>
      <w:r w:rsidR="001157AF">
        <w:t xml:space="preserve">ech </w:t>
      </w:r>
      <w:r w:rsidRPr="0022569C">
        <w:t>T</w:t>
      </w:r>
      <w:r w:rsidR="001157AF">
        <w:t xml:space="preserve">ransfer </w:t>
      </w:r>
      <w:r w:rsidRPr="0022569C">
        <w:t>O</w:t>
      </w:r>
      <w:r w:rsidR="001157AF">
        <w:t>ffice</w:t>
      </w:r>
      <w:r w:rsidRPr="0022569C">
        <w:t xml:space="preserve">s </w:t>
      </w:r>
      <w:r>
        <w:t xml:space="preserve">to provide the expertise to commercialise the academic research is required: </w:t>
      </w:r>
      <w:r w:rsidRPr="0022569C">
        <w:t>to help researchers focus on what they do best.</w:t>
      </w:r>
      <w:r w:rsidR="000934C0">
        <w:t xml:space="preserve"> Any business would hire the expert in that area so why not </w:t>
      </w:r>
      <w:r w:rsidR="0066645B">
        <w:t xml:space="preserve">in </w:t>
      </w:r>
      <w:r w:rsidR="000934C0">
        <w:t>university</w:t>
      </w:r>
      <w:r w:rsidR="0066645B">
        <w:t>/MRI</w:t>
      </w:r>
      <w:r w:rsidR="000934C0">
        <w:t xml:space="preserve"> commercialisation also. </w:t>
      </w:r>
    </w:p>
    <w:p w14:paraId="327A4F37" w14:textId="77777777" w:rsidR="005F7490" w:rsidRPr="005F7490" w:rsidRDefault="00087E0D" w:rsidP="00A16009">
      <w:pPr>
        <w:jc w:val="both"/>
      </w:pPr>
      <w:r>
        <w:t xml:space="preserve">Importantly the lack of University/MRI spin offs is not entirely due to a lack of entrepreneurial culture but a lack </w:t>
      </w:r>
      <w:r w:rsidR="00012A5B">
        <w:t xml:space="preserve">of </w:t>
      </w:r>
      <w:r>
        <w:t>pre</w:t>
      </w:r>
      <w:r w:rsidR="0066645B">
        <w:t>-</w:t>
      </w:r>
      <w:r>
        <w:t>seed/seed funding to lower technical risk to a stage where investors/industry  will invest</w:t>
      </w:r>
      <w:r w:rsidR="0066645B">
        <w:t>/take it on board</w:t>
      </w:r>
      <w:r>
        <w:t xml:space="preserve">.  </w:t>
      </w:r>
      <w:r w:rsidR="005F7490">
        <w:t xml:space="preserve"> </w:t>
      </w:r>
    </w:p>
    <w:p w14:paraId="327A4F38" w14:textId="77777777" w:rsidR="00042540" w:rsidRPr="00042540" w:rsidRDefault="00672575" w:rsidP="00F26231">
      <w:pPr>
        <w:pStyle w:val="Heading1"/>
      </w:pPr>
      <w:r w:rsidRPr="00672575">
        <w:t>Specific comments on</w:t>
      </w:r>
      <w:r>
        <w:t>:</w:t>
      </w:r>
      <w:r w:rsidRPr="00672575">
        <w:t xml:space="preserve"> </w:t>
      </w:r>
      <w:r w:rsidR="00087E0D">
        <w:t>M</w:t>
      </w:r>
      <w:r w:rsidR="00042540" w:rsidRPr="00042540">
        <w:t>easurement of outcomes</w:t>
      </w:r>
    </w:p>
    <w:p w14:paraId="327A4F39" w14:textId="77777777" w:rsidR="00042540" w:rsidRDefault="00087E0D" w:rsidP="00F26231">
      <w:pPr>
        <w:pStyle w:val="Heading2"/>
      </w:pPr>
      <w:proofErr w:type="gramStart"/>
      <w:r>
        <w:t>I</w:t>
      </w:r>
      <w:r w:rsidR="00042540" w:rsidRPr="00042540">
        <w:t>mprovement on metrics on engagement and knowledge transfer with industry, research outcomes and impact.</w:t>
      </w:r>
      <w:proofErr w:type="gramEnd"/>
      <w:r w:rsidR="00042540" w:rsidRPr="00042540">
        <w:t xml:space="preserve"> </w:t>
      </w:r>
    </w:p>
    <w:p w14:paraId="327A4F3A" w14:textId="77777777" w:rsidR="005F7490" w:rsidRPr="005F7490" w:rsidRDefault="005F7490" w:rsidP="00A16009">
      <w:pPr>
        <w:jc w:val="both"/>
      </w:pPr>
      <w:r w:rsidRPr="005F7490">
        <w:t xml:space="preserve">The problem with this is that metrics can </w:t>
      </w:r>
      <w:r>
        <w:t>often lead to</w:t>
      </w:r>
      <w:r w:rsidRPr="005F7490">
        <w:t xml:space="preserve"> unintended consequences.  </w:t>
      </w:r>
      <w:r w:rsidR="00087E0D">
        <w:t xml:space="preserve">Metrics need to measure quality interactions rather than quantity of interactions. </w:t>
      </w:r>
      <w:r w:rsidRPr="005F7490">
        <w:t xml:space="preserve">In an effort to </w:t>
      </w:r>
      <w:r>
        <w:t xml:space="preserve">measure industry engagement the number of confidentiality agreements </w:t>
      </w:r>
      <w:r w:rsidR="0066645B">
        <w:t>(institution</w:t>
      </w:r>
      <w:r w:rsidR="00087E0D">
        <w:t xml:space="preserve"> commercialisation) with industry/investors </w:t>
      </w:r>
      <w:r>
        <w:t xml:space="preserve">and contract research dollars </w:t>
      </w:r>
      <w:r w:rsidR="00087E0D">
        <w:t xml:space="preserve">(contract research) with industry </w:t>
      </w:r>
      <w:r>
        <w:t xml:space="preserve">will be </w:t>
      </w:r>
      <w:r w:rsidR="00087E0D">
        <w:t>a better measure</w:t>
      </w:r>
      <w:r>
        <w:t xml:space="preserve"> than patent </w:t>
      </w:r>
      <w:r w:rsidR="00087E0D">
        <w:t>applications</w:t>
      </w:r>
      <w:r>
        <w:t xml:space="preserve"> or number of invention disclosures</w:t>
      </w:r>
      <w:r w:rsidR="0066645B">
        <w:t xml:space="preserve"> (technologies).  </w:t>
      </w:r>
    </w:p>
    <w:p w14:paraId="327A4F3B" w14:textId="77777777" w:rsidR="00087E0D" w:rsidRDefault="00087E0D" w:rsidP="00A16009">
      <w:pPr>
        <w:jc w:val="both"/>
      </w:pPr>
      <w:r w:rsidRPr="00087E0D">
        <w:lastRenderedPageBreak/>
        <w:t xml:space="preserve">Impact can often take a decade to be realised and yet early prognosis of the likelihood of impact may help with </w:t>
      </w:r>
      <w:r>
        <w:t xml:space="preserve">determining knowledge transfer success. </w:t>
      </w:r>
    </w:p>
    <w:p w14:paraId="327A4F3C" w14:textId="77777777" w:rsidR="005F7490" w:rsidRPr="00087E0D" w:rsidRDefault="00087E0D" w:rsidP="00A16009">
      <w:pPr>
        <w:jc w:val="both"/>
      </w:pPr>
      <w:r>
        <w:t xml:space="preserve">It should not be forgotten that publications, public policy change and changes to clinical best practice are also worthwhile knowledge transfer/impact events </w:t>
      </w:r>
      <w:r w:rsidR="0066645B">
        <w:t xml:space="preserve">from publicly funded research </w:t>
      </w:r>
      <w:r>
        <w:t>that should be counted</w:t>
      </w:r>
      <w:r w:rsidR="0066645B">
        <w:t>/lauded</w:t>
      </w:r>
      <w:r>
        <w:t xml:space="preserve">. </w:t>
      </w:r>
    </w:p>
    <w:p w14:paraId="327A4F3D" w14:textId="77777777" w:rsidR="000934C0" w:rsidRPr="0066645B" w:rsidRDefault="000934C0" w:rsidP="00F26231">
      <w:pPr>
        <w:pStyle w:val="Heading1"/>
      </w:pPr>
      <w:r w:rsidRPr="0066645B">
        <w:t>It is important to discuss Patent</w:t>
      </w:r>
      <w:r w:rsidR="00A16009" w:rsidRPr="0066645B">
        <w:t>ing</w:t>
      </w:r>
      <w:r w:rsidRPr="0066645B">
        <w:t xml:space="preserve">. </w:t>
      </w:r>
    </w:p>
    <w:p w14:paraId="327A4F3E" w14:textId="77777777" w:rsidR="0022569C" w:rsidRDefault="000934C0" w:rsidP="00A16009">
      <w:pPr>
        <w:jc w:val="both"/>
      </w:pPr>
      <w:r>
        <w:t xml:space="preserve">While patents </w:t>
      </w:r>
      <w:r w:rsidR="0022569C">
        <w:t>are not to be considered the best indicator of industry engagement, in biotech,</w:t>
      </w:r>
      <w:r>
        <w:t xml:space="preserve"> </w:t>
      </w:r>
      <w:r w:rsidR="0022569C">
        <w:t xml:space="preserve">pharma and </w:t>
      </w:r>
      <w:proofErr w:type="spellStart"/>
      <w:r w:rsidR="0022569C">
        <w:t>medtech</w:t>
      </w:r>
      <w:proofErr w:type="spellEnd"/>
      <w:r w:rsidR="0022569C">
        <w:t xml:space="preserve"> they are </w:t>
      </w:r>
      <w:r w:rsidRPr="000C6B19">
        <w:rPr>
          <w:u w:val="single"/>
        </w:rPr>
        <w:t>vital</w:t>
      </w:r>
      <w:r w:rsidR="0022569C">
        <w:t xml:space="preserve"> for commercialisation</w:t>
      </w:r>
      <w:r w:rsidR="0066645B">
        <w:t xml:space="preserve"> and hence boosting returns from research</w:t>
      </w:r>
      <w:r w:rsidR="0022569C">
        <w:t xml:space="preserve">. </w:t>
      </w:r>
    </w:p>
    <w:p w14:paraId="327A4F3F" w14:textId="77777777" w:rsidR="00315B2F" w:rsidRDefault="000934C0" w:rsidP="00A16009">
      <w:pPr>
        <w:jc w:val="both"/>
      </w:pPr>
      <w:r>
        <w:t xml:space="preserve">If a patent is not in existence no commercialisation can occur. However, sometimes it takes years to get to the </w:t>
      </w:r>
      <w:r w:rsidR="004B4F05">
        <w:t>stage</w:t>
      </w:r>
      <w:r>
        <w:t xml:space="preserve"> of getting industry/investor interest and patent prosecution can be an expensive undertaking.  It is crucial that the technology be given the best chance for commercialisation. CSIRO made a lot of money because their patent that outlined the </w:t>
      </w:r>
      <w:proofErr w:type="spellStart"/>
      <w:r>
        <w:t>wifi</w:t>
      </w:r>
      <w:proofErr w:type="spellEnd"/>
      <w:r>
        <w:t xml:space="preserve"> technology was still being prosecuted.  If they had </w:t>
      </w:r>
      <w:r w:rsidR="001157AF">
        <w:t>let the patent prosecution lapse</w:t>
      </w:r>
      <w:r>
        <w:t xml:space="preserve"> due to lack of interest </w:t>
      </w:r>
      <w:r w:rsidR="001157AF">
        <w:t xml:space="preserve">at the time </w:t>
      </w:r>
      <w:r>
        <w:t>they would never have been able to</w:t>
      </w:r>
      <w:r w:rsidR="00C178DE">
        <w:t xml:space="preserve"> recoup that money through infringement proceedings</w:t>
      </w:r>
      <w:r w:rsidR="001157AF">
        <w:t xml:space="preserve"> at a later date</w:t>
      </w:r>
      <w:r w:rsidR="00C178DE">
        <w:t xml:space="preserve">. </w:t>
      </w:r>
      <w:r>
        <w:t xml:space="preserve"> </w:t>
      </w:r>
      <w:r w:rsidR="0066645B">
        <w:t xml:space="preserve">There are many examples of research not making </w:t>
      </w:r>
      <w:r w:rsidR="00315B2F">
        <w:t xml:space="preserve">any </w:t>
      </w:r>
      <w:r w:rsidR="0066645B">
        <w:t xml:space="preserve">commercial returns with industry interest coming just after the patent application </w:t>
      </w:r>
      <w:r w:rsidR="001157AF">
        <w:t xml:space="preserve">prosecution </w:t>
      </w:r>
      <w:r w:rsidR="0066645B">
        <w:t xml:space="preserve">had been lapsed. Having that IP available in the public domain will not make industry spend money on further developing it. They need the monopoly a patent provides in order to recoup their development losses.  In particular the pharmaceutical industry is not interested in ideas that are not protected. </w:t>
      </w:r>
      <w:r>
        <w:t>There are</w:t>
      </w:r>
      <w:r w:rsidR="00315B2F">
        <w:t xml:space="preserve"> also</w:t>
      </w:r>
      <w:r>
        <w:t xml:space="preserve"> many examples of technologies not taking off until the patent had been granted in at least one jurisdiction</w:t>
      </w:r>
      <w:r w:rsidR="00315B2F">
        <w:t xml:space="preserve"> (~8 years later)</w:t>
      </w:r>
      <w:r>
        <w:t xml:space="preserve">. </w:t>
      </w:r>
    </w:p>
    <w:p w14:paraId="327A4F40" w14:textId="77777777" w:rsidR="000934C0" w:rsidRDefault="000934C0" w:rsidP="00A16009">
      <w:pPr>
        <w:jc w:val="both"/>
      </w:pPr>
      <w:r>
        <w:t>Therefore</w:t>
      </w:r>
      <w:r w:rsidR="00315B2F">
        <w:t>,</w:t>
      </w:r>
      <w:r>
        <w:t xml:space="preserve"> </w:t>
      </w:r>
      <w:r w:rsidR="004B4F05">
        <w:t>there</w:t>
      </w:r>
      <w:r>
        <w:t xml:space="preserve"> must be a </w:t>
      </w:r>
      <w:r w:rsidR="004B4F05">
        <w:t>system</w:t>
      </w:r>
      <w:r>
        <w:t xml:space="preserve"> in place for institutions to keep the research alive</w:t>
      </w:r>
      <w:r w:rsidR="00315B2F">
        <w:t xml:space="preserve"> and available for industry interest</w:t>
      </w:r>
      <w:r>
        <w:t xml:space="preserve"> with </w:t>
      </w:r>
      <w:r w:rsidR="00315B2F">
        <w:t xml:space="preserve">ongoing </w:t>
      </w:r>
      <w:r>
        <w:t xml:space="preserve">patent prosecution.  As </w:t>
      </w:r>
      <w:r w:rsidR="004B4F05">
        <w:t>patent</w:t>
      </w:r>
      <w:r>
        <w:t xml:space="preserve"> </w:t>
      </w:r>
      <w:r w:rsidR="00315B2F">
        <w:t>attorneys are a service provider-</w:t>
      </w:r>
      <w:r>
        <w:t xml:space="preserve"> this could be one more voucher system that would be beneficial to boosting </w:t>
      </w:r>
      <w:r w:rsidR="004B4F05">
        <w:t xml:space="preserve">commercial </w:t>
      </w:r>
      <w:r>
        <w:t xml:space="preserve">returns from research. </w:t>
      </w:r>
      <w:r w:rsidR="00315B2F">
        <w:t xml:space="preserve">Or perhaps a national patent strategy fund </w:t>
      </w:r>
      <w:r w:rsidR="007B34AE">
        <w:t xml:space="preserve">–without requiring matching funding from industry- </w:t>
      </w:r>
      <w:r w:rsidR="00315B2F">
        <w:t>that assesses research protection (post PCT application), provides advice on jurisdiction strategy and</w:t>
      </w:r>
      <w:r w:rsidR="007B34AE">
        <w:t xml:space="preserve"> then</w:t>
      </w:r>
      <w:r w:rsidR="00315B2F">
        <w:t xml:space="preserve"> finances</w:t>
      </w:r>
      <w:r w:rsidR="007B34AE">
        <w:t xml:space="preserve"> the</w:t>
      </w:r>
      <w:r w:rsidR="00315B2F">
        <w:t xml:space="preserve"> later stage prosecution into the jurisdictions that have </w:t>
      </w:r>
      <w:r w:rsidR="007B34AE">
        <w:t>been determined to be necessary; thereby providing</w:t>
      </w:r>
      <w:r w:rsidR="00315B2F">
        <w:t xml:space="preserve"> the greatest commercial returns fr</w:t>
      </w:r>
      <w:r w:rsidR="007B34AE">
        <w:t>o</w:t>
      </w:r>
      <w:r w:rsidR="00315B2F">
        <w:t xml:space="preserve">m that research. </w:t>
      </w:r>
    </w:p>
    <w:sectPr w:rsidR="00093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F75"/>
    <w:multiLevelType w:val="hybridMultilevel"/>
    <w:tmpl w:val="8B245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94C14"/>
    <w:multiLevelType w:val="hybridMultilevel"/>
    <w:tmpl w:val="DF12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44509B"/>
    <w:multiLevelType w:val="hybridMultilevel"/>
    <w:tmpl w:val="0F80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E74DC4"/>
    <w:multiLevelType w:val="hybridMultilevel"/>
    <w:tmpl w:val="3F4CC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8BC404D"/>
    <w:multiLevelType w:val="hybridMultilevel"/>
    <w:tmpl w:val="FAD6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19"/>
    <w:rsid w:val="00012A5B"/>
    <w:rsid w:val="00042540"/>
    <w:rsid w:val="00087E0D"/>
    <w:rsid w:val="000934C0"/>
    <w:rsid w:val="000C6B19"/>
    <w:rsid w:val="00111385"/>
    <w:rsid w:val="001157AF"/>
    <w:rsid w:val="00184EED"/>
    <w:rsid w:val="001F47B1"/>
    <w:rsid w:val="00221EA3"/>
    <w:rsid w:val="0022569C"/>
    <w:rsid w:val="002E2F96"/>
    <w:rsid w:val="00311CAB"/>
    <w:rsid w:val="00315B2F"/>
    <w:rsid w:val="00341C46"/>
    <w:rsid w:val="003900B8"/>
    <w:rsid w:val="00447119"/>
    <w:rsid w:val="00455301"/>
    <w:rsid w:val="004B4F05"/>
    <w:rsid w:val="004D72A4"/>
    <w:rsid w:val="00504BCA"/>
    <w:rsid w:val="005E7162"/>
    <w:rsid w:val="005F4FEF"/>
    <w:rsid w:val="005F7490"/>
    <w:rsid w:val="00602214"/>
    <w:rsid w:val="0066645B"/>
    <w:rsid w:val="00672575"/>
    <w:rsid w:val="006B4F7D"/>
    <w:rsid w:val="00716532"/>
    <w:rsid w:val="0072079D"/>
    <w:rsid w:val="007536B8"/>
    <w:rsid w:val="007B34AE"/>
    <w:rsid w:val="00802FF2"/>
    <w:rsid w:val="00891E12"/>
    <w:rsid w:val="008D03B3"/>
    <w:rsid w:val="0098422D"/>
    <w:rsid w:val="009A2A79"/>
    <w:rsid w:val="00A16009"/>
    <w:rsid w:val="00A47AAC"/>
    <w:rsid w:val="00A72F4E"/>
    <w:rsid w:val="00A87DF0"/>
    <w:rsid w:val="00A91626"/>
    <w:rsid w:val="00AA27D9"/>
    <w:rsid w:val="00B03516"/>
    <w:rsid w:val="00B43832"/>
    <w:rsid w:val="00B6014A"/>
    <w:rsid w:val="00BB1E3B"/>
    <w:rsid w:val="00C01201"/>
    <w:rsid w:val="00C178DE"/>
    <w:rsid w:val="00CD7FEA"/>
    <w:rsid w:val="00D22334"/>
    <w:rsid w:val="00D27A2A"/>
    <w:rsid w:val="00EA0753"/>
    <w:rsid w:val="00ED6DC4"/>
    <w:rsid w:val="00F10EA9"/>
    <w:rsid w:val="00F26231"/>
    <w:rsid w:val="00F31A6B"/>
    <w:rsid w:val="00F64A72"/>
    <w:rsid w:val="00FD6E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31"/>
  </w:style>
  <w:style w:type="paragraph" w:styleId="Heading1">
    <w:name w:val="heading 1"/>
    <w:basedOn w:val="Normal"/>
    <w:next w:val="Normal"/>
    <w:link w:val="Heading1Char"/>
    <w:uiPriority w:val="9"/>
    <w:qFormat/>
    <w:rsid w:val="00F26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6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2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62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623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62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62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2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62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31"/>
    <w:pPr>
      <w:ind w:left="720"/>
      <w:contextualSpacing/>
    </w:pPr>
  </w:style>
  <w:style w:type="paragraph" w:styleId="BalloonText">
    <w:name w:val="Balloon Text"/>
    <w:basedOn w:val="Normal"/>
    <w:link w:val="BalloonTextChar"/>
    <w:uiPriority w:val="99"/>
    <w:semiHidden/>
    <w:unhideWhenUsed/>
    <w:rsid w:val="00A1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009"/>
    <w:rPr>
      <w:rFonts w:ascii="Tahoma" w:hAnsi="Tahoma" w:cs="Tahoma"/>
      <w:sz w:val="16"/>
      <w:szCs w:val="16"/>
    </w:rPr>
  </w:style>
  <w:style w:type="character" w:styleId="CommentReference">
    <w:name w:val="annotation reference"/>
    <w:basedOn w:val="DefaultParagraphFont"/>
    <w:uiPriority w:val="99"/>
    <w:semiHidden/>
    <w:unhideWhenUsed/>
    <w:rsid w:val="003900B8"/>
    <w:rPr>
      <w:sz w:val="16"/>
      <w:szCs w:val="16"/>
    </w:rPr>
  </w:style>
  <w:style w:type="paragraph" w:styleId="CommentText">
    <w:name w:val="annotation text"/>
    <w:basedOn w:val="Normal"/>
    <w:link w:val="CommentTextChar"/>
    <w:uiPriority w:val="99"/>
    <w:semiHidden/>
    <w:unhideWhenUsed/>
    <w:rsid w:val="003900B8"/>
    <w:pPr>
      <w:spacing w:line="240" w:lineRule="auto"/>
    </w:pPr>
    <w:rPr>
      <w:sz w:val="20"/>
      <w:szCs w:val="20"/>
    </w:rPr>
  </w:style>
  <w:style w:type="character" w:customStyle="1" w:styleId="CommentTextChar">
    <w:name w:val="Comment Text Char"/>
    <w:basedOn w:val="DefaultParagraphFont"/>
    <w:link w:val="CommentText"/>
    <w:uiPriority w:val="99"/>
    <w:semiHidden/>
    <w:rsid w:val="003900B8"/>
    <w:rPr>
      <w:sz w:val="20"/>
      <w:szCs w:val="20"/>
    </w:rPr>
  </w:style>
  <w:style w:type="paragraph" w:styleId="CommentSubject">
    <w:name w:val="annotation subject"/>
    <w:basedOn w:val="CommentText"/>
    <w:next w:val="CommentText"/>
    <w:link w:val="CommentSubjectChar"/>
    <w:uiPriority w:val="99"/>
    <w:semiHidden/>
    <w:unhideWhenUsed/>
    <w:rsid w:val="003900B8"/>
    <w:rPr>
      <w:b/>
      <w:bCs/>
    </w:rPr>
  </w:style>
  <w:style w:type="character" w:customStyle="1" w:styleId="CommentSubjectChar">
    <w:name w:val="Comment Subject Char"/>
    <w:basedOn w:val="CommentTextChar"/>
    <w:link w:val="CommentSubject"/>
    <w:uiPriority w:val="99"/>
    <w:semiHidden/>
    <w:rsid w:val="003900B8"/>
    <w:rPr>
      <w:b/>
      <w:bCs/>
      <w:sz w:val="20"/>
      <w:szCs w:val="20"/>
    </w:rPr>
  </w:style>
  <w:style w:type="character" w:customStyle="1" w:styleId="Heading1Char">
    <w:name w:val="Heading 1 Char"/>
    <w:basedOn w:val="DefaultParagraphFont"/>
    <w:link w:val="Heading1"/>
    <w:uiPriority w:val="9"/>
    <w:rsid w:val="00F262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62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62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62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262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262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262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623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2623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6231"/>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6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2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62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62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6231"/>
    <w:rPr>
      <w:b/>
      <w:bCs/>
    </w:rPr>
  </w:style>
  <w:style w:type="character" w:styleId="Emphasis">
    <w:name w:val="Emphasis"/>
    <w:basedOn w:val="DefaultParagraphFont"/>
    <w:uiPriority w:val="20"/>
    <w:qFormat/>
    <w:rsid w:val="00F26231"/>
    <w:rPr>
      <w:i/>
      <w:iCs/>
    </w:rPr>
  </w:style>
  <w:style w:type="paragraph" w:styleId="NoSpacing">
    <w:name w:val="No Spacing"/>
    <w:uiPriority w:val="1"/>
    <w:qFormat/>
    <w:rsid w:val="00F26231"/>
    <w:pPr>
      <w:spacing w:after="0" w:line="240" w:lineRule="auto"/>
    </w:pPr>
  </w:style>
  <w:style w:type="paragraph" w:styleId="Quote">
    <w:name w:val="Quote"/>
    <w:basedOn w:val="Normal"/>
    <w:next w:val="Normal"/>
    <w:link w:val="QuoteChar"/>
    <w:uiPriority w:val="29"/>
    <w:qFormat/>
    <w:rsid w:val="00F26231"/>
    <w:rPr>
      <w:i/>
      <w:iCs/>
      <w:color w:val="000000" w:themeColor="text1"/>
    </w:rPr>
  </w:style>
  <w:style w:type="character" w:customStyle="1" w:styleId="QuoteChar">
    <w:name w:val="Quote Char"/>
    <w:basedOn w:val="DefaultParagraphFont"/>
    <w:link w:val="Quote"/>
    <w:uiPriority w:val="29"/>
    <w:rsid w:val="00F26231"/>
    <w:rPr>
      <w:i/>
      <w:iCs/>
      <w:color w:val="000000" w:themeColor="text1"/>
    </w:rPr>
  </w:style>
  <w:style w:type="paragraph" w:styleId="IntenseQuote">
    <w:name w:val="Intense Quote"/>
    <w:basedOn w:val="Normal"/>
    <w:next w:val="Normal"/>
    <w:link w:val="IntenseQuoteChar"/>
    <w:uiPriority w:val="30"/>
    <w:qFormat/>
    <w:rsid w:val="00F2623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6231"/>
    <w:rPr>
      <w:b/>
      <w:bCs/>
      <w:i/>
      <w:iCs/>
      <w:color w:val="4F81BD" w:themeColor="accent1"/>
    </w:rPr>
  </w:style>
  <w:style w:type="character" w:styleId="SubtleEmphasis">
    <w:name w:val="Subtle Emphasis"/>
    <w:basedOn w:val="DefaultParagraphFont"/>
    <w:uiPriority w:val="19"/>
    <w:qFormat/>
    <w:rsid w:val="00F26231"/>
    <w:rPr>
      <w:i/>
      <w:iCs/>
      <w:color w:val="808080" w:themeColor="text1" w:themeTint="7F"/>
    </w:rPr>
  </w:style>
  <w:style w:type="character" w:styleId="IntenseEmphasis">
    <w:name w:val="Intense Emphasis"/>
    <w:basedOn w:val="DefaultParagraphFont"/>
    <w:uiPriority w:val="21"/>
    <w:qFormat/>
    <w:rsid w:val="00F26231"/>
    <w:rPr>
      <w:b/>
      <w:bCs/>
      <w:i/>
      <w:iCs/>
      <w:color w:val="4F81BD" w:themeColor="accent1"/>
    </w:rPr>
  </w:style>
  <w:style w:type="character" w:styleId="SubtleReference">
    <w:name w:val="Subtle Reference"/>
    <w:basedOn w:val="DefaultParagraphFont"/>
    <w:uiPriority w:val="31"/>
    <w:qFormat/>
    <w:rsid w:val="00F26231"/>
    <w:rPr>
      <w:smallCaps/>
      <w:color w:val="C0504D" w:themeColor="accent2"/>
      <w:u w:val="single"/>
    </w:rPr>
  </w:style>
  <w:style w:type="character" w:styleId="IntenseReference">
    <w:name w:val="Intense Reference"/>
    <w:basedOn w:val="DefaultParagraphFont"/>
    <w:uiPriority w:val="32"/>
    <w:qFormat/>
    <w:rsid w:val="00F26231"/>
    <w:rPr>
      <w:b/>
      <w:bCs/>
      <w:smallCaps/>
      <w:color w:val="C0504D" w:themeColor="accent2"/>
      <w:spacing w:val="5"/>
      <w:u w:val="single"/>
    </w:rPr>
  </w:style>
  <w:style w:type="character" w:styleId="BookTitle">
    <w:name w:val="Book Title"/>
    <w:basedOn w:val="DefaultParagraphFont"/>
    <w:uiPriority w:val="33"/>
    <w:qFormat/>
    <w:rsid w:val="00F26231"/>
    <w:rPr>
      <w:b/>
      <w:bCs/>
      <w:smallCaps/>
      <w:spacing w:val="5"/>
    </w:rPr>
  </w:style>
  <w:style w:type="paragraph" w:styleId="TOCHeading">
    <w:name w:val="TOC Heading"/>
    <w:basedOn w:val="Heading1"/>
    <w:next w:val="Normal"/>
    <w:uiPriority w:val="39"/>
    <w:semiHidden/>
    <w:unhideWhenUsed/>
    <w:qFormat/>
    <w:rsid w:val="00F2623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31"/>
  </w:style>
  <w:style w:type="paragraph" w:styleId="Heading1">
    <w:name w:val="heading 1"/>
    <w:basedOn w:val="Normal"/>
    <w:next w:val="Normal"/>
    <w:link w:val="Heading1Char"/>
    <w:uiPriority w:val="9"/>
    <w:qFormat/>
    <w:rsid w:val="00F26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6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2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62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623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62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62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2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62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31"/>
    <w:pPr>
      <w:ind w:left="720"/>
      <w:contextualSpacing/>
    </w:pPr>
  </w:style>
  <w:style w:type="paragraph" w:styleId="BalloonText">
    <w:name w:val="Balloon Text"/>
    <w:basedOn w:val="Normal"/>
    <w:link w:val="BalloonTextChar"/>
    <w:uiPriority w:val="99"/>
    <w:semiHidden/>
    <w:unhideWhenUsed/>
    <w:rsid w:val="00A1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009"/>
    <w:rPr>
      <w:rFonts w:ascii="Tahoma" w:hAnsi="Tahoma" w:cs="Tahoma"/>
      <w:sz w:val="16"/>
      <w:szCs w:val="16"/>
    </w:rPr>
  </w:style>
  <w:style w:type="character" w:styleId="CommentReference">
    <w:name w:val="annotation reference"/>
    <w:basedOn w:val="DefaultParagraphFont"/>
    <w:uiPriority w:val="99"/>
    <w:semiHidden/>
    <w:unhideWhenUsed/>
    <w:rsid w:val="003900B8"/>
    <w:rPr>
      <w:sz w:val="16"/>
      <w:szCs w:val="16"/>
    </w:rPr>
  </w:style>
  <w:style w:type="paragraph" w:styleId="CommentText">
    <w:name w:val="annotation text"/>
    <w:basedOn w:val="Normal"/>
    <w:link w:val="CommentTextChar"/>
    <w:uiPriority w:val="99"/>
    <w:semiHidden/>
    <w:unhideWhenUsed/>
    <w:rsid w:val="003900B8"/>
    <w:pPr>
      <w:spacing w:line="240" w:lineRule="auto"/>
    </w:pPr>
    <w:rPr>
      <w:sz w:val="20"/>
      <w:szCs w:val="20"/>
    </w:rPr>
  </w:style>
  <w:style w:type="character" w:customStyle="1" w:styleId="CommentTextChar">
    <w:name w:val="Comment Text Char"/>
    <w:basedOn w:val="DefaultParagraphFont"/>
    <w:link w:val="CommentText"/>
    <w:uiPriority w:val="99"/>
    <w:semiHidden/>
    <w:rsid w:val="003900B8"/>
    <w:rPr>
      <w:sz w:val="20"/>
      <w:szCs w:val="20"/>
    </w:rPr>
  </w:style>
  <w:style w:type="paragraph" w:styleId="CommentSubject">
    <w:name w:val="annotation subject"/>
    <w:basedOn w:val="CommentText"/>
    <w:next w:val="CommentText"/>
    <w:link w:val="CommentSubjectChar"/>
    <w:uiPriority w:val="99"/>
    <w:semiHidden/>
    <w:unhideWhenUsed/>
    <w:rsid w:val="003900B8"/>
    <w:rPr>
      <w:b/>
      <w:bCs/>
    </w:rPr>
  </w:style>
  <w:style w:type="character" w:customStyle="1" w:styleId="CommentSubjectChar">
    <w:name w:val="Comment Subject Char"/>
    <w:basedOn w:val="CommentTextChar"/>
    <w:link w:val="CommentSubject"/>
    <w:uiPriority w:val="99"/>
    <w:semiHidden/>
    <w:rsid w:val="003900B8"/>
    <w:rPr>
      <w:b/>
      <w:bCs/>
      <w:sz w:val="20"/>
      <w:szCs w:val="20"/>
    </w:rPr>
  </w:style>
  <w:style w:type="character" w:customStyle="1" w:styleId="Heading1Char">
    <w:name w:val="Heading 1 Char"/>
    <w:basedOn w:val="DefaultParagraphFont"/>
    <w:link w:val="Heading1"/>
    <w:uiPriority w:val="9"/>
    <w:rsid w:val="00F262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62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62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262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262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262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262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623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2623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6231"/>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6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2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62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62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6231"/>
    <w:rPr>
      <w:b/>
      <w:bCs/>
    </w:rPr>
  </w:style>
  <w:style w:type="character" w:styleId="Emphasis">
    <w:name w:val="Emphasis"/>
    <w:basedOn w:val="DefaultParagraphFont"/>
    <w:uiPriority w:val="20"/>
    <w:qFormat/>
    <w:rsid w:val="00F26231"/>
    <w:rPr>
      <w:i/>
      <w:iCs/>
    </w:rPr>
  </w:style>
  <w:style w:type="paragraph" w:styleId="NoSpacing">
    <w:name w:val="No Spacing"/>
    <w:uiPriority w:val="1"/>
    <w:qFormat/>
    <w:rsid w:val="00F26231"/>
    <w:pPr>
      <w:spacing w:after="0" w:line="240" w:lineRule="auto"/>
    </w:pPr>
  </w:style>
  <w:style w:type="paragraph" w:styleId="Quote">
    <w:name w:val="Quote"/>
    <w:basedOn w:val="Normal"/>
    <w:next w:val="Normal"/>
    <w:link w:val="QuoteChar"/>
    <w:uiPriority w:val="29"/>
    <w:qFormat/>
    <w:rsid w:val="00F26231"/>
    <w:rPr>
      <w:i/>
      <w:iCs/>
      <w:color w:val="000000" w:themeColor="text1"/>
    </w:rPr>
  </w:style>
  <w:style w:type="character" w:customStyle="1" w:styleId="QuoteChar">
    <w:name w:val="Quote Char"/>
    <w:basedOn w:val="DefaultParagraphFont"/>
    <w:link w:val="Quote"/>
    <w:uiPriority w:val="29"/>
    <w:rsid w:val="00F26231"/>
    <w:rPr>
      <w:i/>
      <w:iCs/>
      <w:color w:val="000000" w:themeColor="text1"/>
    </w:rPr>
  </w:style>
  <w:style w:type="paragraph" w:styleId="IntenseQuote">
    <w:name w:val="Intense Quote"/>
    <w:basedOn w:val="Normal"/>
    <w:next w:val="Normal"/>
    <w:link w:val="IntenseQuoteChar"/>
    <w:uiPriority w:val="30"/>
    <w:qFormat/>
    <w:rsid w:val="00F2623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6231"/>
    <w:rPr>
      <w:b/>
      <w:bCs/>
      <w:i/>
      <w:iCs/>
      <w:color w:val="4F81BD" w:themeColor="accent1"/>
    </w:rPr>
  </w:style>
  <w:style w:type="character" w:styleId="SubtleEmphasis">
    <w:name w:val="Subtle Emphasis"/>
    <w:basedOn w:val="DefaultParagraphFont"/>
    <w:uiPriority w:val="19"/>
    <w:qFormat/>
    <w:rsid w:val="00F26231"/>
    <w:rPr>
      <w:i/>
      <w:iCs/>
      <w:color w:val="808080" w:themeColor="text1" w:themeTint="7F"/>
    </w:rPr>
  </w:style>
  <w:style w:type="character" w:styleId="IntenseEmphasis">
    <w:name w:val="Intense Emphasis"/>
    <w:basedOn w:val="DefaultParagraphFont"/>
    <w:uiPriority w:val="21"/>
    <w:qFormat/>
    <w:rsid w:val="00F26231"/>
    <w:rPr>
      <w:b/>
      <w:bCs/>
      <w:i/>
      <w:iCs/>
      <w:color w:val="4F81BD" w:themeColor="accent1"/>
    </w:rPr>
  </w:style>
  <w:style w:type="character" w:styleId="SubtleReference">
    <w:name w:val="Subtle Reference"/>
    <w:basedOn w:val="DefaultParagraphFont"/>
    <w:uiPriority w:val="31"/>
    <w:qFormat/>
    <w:rsid w:val="00F26231"/>
    <w:rPr>
      <w:smallCaps/>
      <w:color w:val="C0504D" w:themeColor="accent2"/>
      <w:u w:val="single"/>
    </w:rPr>
  </w:style>
  <w:style w:type="character" w:styleId="IntenseReference">
    <w:name w:val="Intense Reference"/>
    <w:basedOn w:val="DefaultParagraphFont"/>
    <w:uiPriority w:val="32"/>
    <w:qFormat/>
    <w:rsid w:val="00F26231"/>
    <w:rPr>
      <w:b/>
      <w:bCs/>
      <w:smallCaps/>
      <w:color w:val="C0504D" w:themeColor="accent2"/>
      <w:spacing w:val="5"/>
      <w:u w:val="single"/>
    </w:rPr>
  </w:style>
  <w:style w:type="character" w:styleId="BookTitle">
    <w:name w:val="Book Title"/>
    <w:basedOn w:val="DefaultParagraphFont"/>
    <w:uiPriority w:val="33"/>
    <w:qFormat/>
    <w:rsid w:val="00F26231"/>
    <w:rPr>
      <w:b/>
      <w:bCs/>
      <w:smallCaps/>
      <w:spacing w:val="5"/>
    </w:rPr>
  </w:style>
  <w:style w:type="paragraph" w:styleId="TOCHeading">
    <w:name w:val="TOC Heading"/>
    <w:basedOn w:val="Heading1"/>
    <w:next w:val="Normal"/>
    <w:uiPriority w:val="39"/>
    <w:semiHidden/>
    <w:unhideWhenUsed/>
    <w:qFormat/>
    <w:rsid w:val="00F262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BCR1400089</SubmissionID>
    <OriginalFileName xmlns="ed110c73-9675-4a40-bedd-85eaf2417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F0B9-1851-48BE-A35B-56FC9D212249}"/>
</file>

<file path=customXml/itemProps2.xml><?xml version="1.0" encoding="utf-8"?>
<ds:datastoreItem xmlns:ds="http://schemas.openxmlformats.org/officeDocument/2006/customXml" ds:itemID="{1A9CEB16-7B00-49CB-B228-C179357CD513}"/>
</file>

<file path=customXml/itemProps3.xml><?xml version="1.0" encoding="utf-8"?>
<ds:datastoreItem xmlns:ds="http://schemas.openxmlformats.org/officeDocument/2006/customXml" ds:itemID="{1CF091E0-FCD2-40D2-96B6-C46FBFD0CB10}"/>
</file>

<file path=customXml/itemProps4.xml><?xml version="1.0" encoding="utf-8"?>
<ds:datastoreItem xmlns:ds="http://schemas.openxmlformats.org/officeDocument/2006/customXml" ds:itemID="{8F255060-C953-48CF-AC8D-1945EE34D110}"/>
</file>

<file path=docProps/app.xml><?xml version="1.0" encoding="utf-8"?>
<Properties xmlns="http://schemas.openxmlformats.org/officeDocument/2006/extended-properties" xmlns:vt="http://schemas.openxmlformats.org/officeDocument/2006/docPropsVTypes">
  <Template>876C5F.dotm</Template>
  <TotalTime>10</TotalTime>
  <Pages>7</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19402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South</dc:creator>
  <cp:lastModifiedBy>Drew Menzies-McVey</cp:lastModifiedBy>
  <cp:revision>6</cp:revision>
  <cp:lastPrinted>2015-03-10T02:02:00Z</cp:lastPrinted>
  <dcterms:created xsi:type="dcterms:W3CDTF">2014-12-12T06:50:00Z</dcterms:created>
  <dcterms:modified xsi:type="dcterms:W3CDTF">2015-03-10T02:03:00Z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