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6037F" w14:textId="3DC205DD" w:rsidR="005F4E48" w:rsidRPr="004814CF" w:rsidRDefault="00952A4A" w:rsidP="004814CF">
      <w:pPr>
        <w:pStyle w:val="Title"/>
        <w:rPr>
          <w:rStyle w:val="TitleChar"/>
        </w:rPr>
      </w:pPr>
      <w:r w:rsidRPr="00384054">
        <w:rPr>
          <w:noProof/>
          <w:lang w:eastAsia="en-AU"/>
        </w:rPr>
        <w:drawing>
          <wp:anchor distT="0" distB="0" distL="114300" distR="114300" simplePos="0" relativeHeight="251663360" behindDoc="1" locked="0" layoutInCell="1" allowOverlap="1" wp14:anchorId="13A6042B" wp14:editId="04E3C6EC">
            <wp:simplePos x="0" y="0"/>
            <wp:positionH relativeFrom="column">
              <wp:posOffset>-1141095</wp:posOffset>
            </wp:positionH>
            <wp:positionV relativeFrom="margin">
              <wp:posOffset>-1438275</wp:posOffset>
            </wp:positionV>
            <wp:extent cx="7574280" cy="1318858"/>
            <wp:effectExtent l="0" t="0" r="0" b="0"/>
            <wp:wrapNone/>
            <wp:docPr id="1" name="Picture 1" descr="University of Tasmania in red, division of research" title="University of Tasma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AS_LH_WORD_ARTS.jpg"/>
                    <pic:cNvPicPr/>
                  </pic:nvPicPr>
                  <pic:blipFill>
                    <a:blip r:embed="rId12">
                      <a:extLst>
                        <a:ext uri="{28A0092B-C50C-407E-A947-70E740481C1C}">
                          <a14:useLocalDpi xmlns:a14="http://schemas.microsoft.com/office/drawing/2010/main" val="0"/>
                        </a:ext>
                      </a:extLst>
                    </a:blip>
                    <a:stretch>
                      <a:fillRect/>
                    </a:stretch>
                  </pic:blipFill>
                  <pic:spPr>
                    <a:xfrm>
                      <a:off x="0" y="0"/>
                      <a:ext cx="7574280" cy="1318858"/>
                    </a:xfrm>
                    <a:prstGeom prst="rect">
                      <a:avLst/>
                    </a:prstGeom>
                  </pic:spPr>
                </pic:pic>
              </a:graphicData>
            </a:graphic>
            <wp14:sizeRelH relativeFrom="page">
              <wp14:pctWidth>0</wp14:pctWidth>
            </wp14:sizeRelH>
            <wp14:sizeRelV relativeFrom="page">
              <wp14:pctHeight>0</wp14:pctHeight>
            </wp14:sizeRelV>
          </wp:anchor>
        </w:drawing>
      </w:r>
      <w:r w:rsidR="00384054">
        <w:t xml:space="preserve">A </w:t>
      </w:r>
      <w:r w:rsidR="00384054" w:rsidRPr="004814CF">
        <w:rPr>
          <w:rStyle w:val="TitleChar"/>
        </w:rPr>
        <w:t>SUBMISSION TO THE FEDERAL GOVERNMENT’S PAPER:</w:t>
      </w:r>
      <w:r w:rsidR="004814CF" w:rsidRPr="004814CF">
        <w:rPr>
          <w:rStyle w:val="TitleChar"/>
        </w:rPr>
        <w:t xml:space="preserve"> “Boosting the Commercial Returns from Research”.</w:t>
      </w:r>
    </w:p>
    <w:sdt>
      <w:sdtPr>
        <w:rPr>
          <w:rFonts w:ascii="Myriad Pro Light" w:eastAsiaTheme="minorEastAsia" w:hAnsi="Myriad Pro Light" w:cs="Times New Roman"/>
          <w:b w:val="0"/>
          <w:bCs w:val="0"/>
          <w:color w:val="auto"/>
          <w:sz w:val="18"/>
          <w:szCs w:val="24"/>
          <w:lang w:eastAsia="en-US"/>
        </w:rPr>
        <w:id w:val="1285236401"/>
        <w:docPartObj>
          <w:docPartGallery w:val="Table of Contents"/>
          <w:docPartUnique/>
        </w:docPartObj>
      </w:sdtPr>
      <w:sdtEndPr>
        <w:rPr>
          <w:rFonts w:asciiTheme="minorHAnsi" w:hAnsiTheme="minorHAnsi" w:cstheme="minorBidi"/>
          <w:noProof/>
          <w:sz w:val="22"/>
          <w:szCs w:val="22"/>
          <w:lang w:eastAsia="ja-JP"/>
        </w:rPr>
      </w:sdtEndPr>
      <w:sdtContent>
        <w:p w14:paraId="13A60381" w14:textId="77777777" w:rsidR="00384054" w:rsidRDefault="00384054">
          <w:pPr>
            <w:pStyle w:val="TOCHeading"/>
          </w:pPr>
          <w:r>
            <w:t>Table of Contents</w:t>
          </w:r>
        </w:p>
        <w:p w14:paraId="13A60382" w14:textId="77777777" w:rsidR="00A91B5F" w:rsidRDefault="00384054">
          <w:pPr>
            <w:pStyle w:val="TOC1"/>
            <w:tabs>
              <w:tab w:val="right" w:leader="dot" w:pos="8602"/>
            </w:tabs>
            <w:rPr>
              <w:noProof/>
              <w:lang w:eastAsia="zh-CN"/>
            </w:rPr>
          </w:pPr>
          <w:r>
            <w:fldChar w:fldCharType="begin"/>
          </w:r>
          <w:r>
            <w:instrText xml:space="preserve"> TOC \o "1-3" \h \z \u </w:instrText>
          </w:r>
          <w:r>
            <w:fldChar w:fldCharType="separate"/>
          </w:r>
          <w:hyperlink w:anchor="_Toc404874470" w:history="1">
            <w:r w:rsidR="00A91B5F" w:rsidRPr="001C5739">
              <w:rPr>
                <w:rStyle w:val="Hyperlink"/>
                <w:noProof/>
              </w:rPr>
              <w:t>Introduction</w:t>
            </w:r>
            <w:r w:rsidR="00A91B5F">
              <w:rPr>
                <w:noProof/>
                <w:webHidden/>
              </w:rPr>
              <w:tab/>
            </w:r>
            <w:r w:rsidR="00A91B5F">
              <w:rPr>
                <w:noProof/>
                <w:webHidden/>
              </w:rPr>
              <w:fldChar w:fldCharType="begin"/>
            </w:r>
            <w:r w:rsidR="00A91B5F">
              <w:rPr>
                <w:noProof/>
                <w:webHidden/>
              </w:rPr>
              <w:instrText xml:space="preserve"> PAGEREF _Toc404874470 \h </w:instrText>
            </w:r>
            <w:r w:rsidR="00A91B5F">
              <w:rPr>
                <w:noProof/>
                <w:webHidden/>
              </w:rPr>
            </w:r>
            <w:r w:rsidR="00A91B5F">
              <w:rPr>
                <w:noProof/>
                <w:webHidden/>
              </w:rPr>
              <w:fldChar w:fldCharType="separate"/>
            </w:r>
            <w:r w:rsidR="00505195">
              <w:rPr>
                <w:noProof/>
                <w:webHidden/>
              </w:rPr>
              <w:t>1</w:t>
            </w:r>
            <w:r w:rsidR="00A91B5F">
              <w:rPr>
                <w:noProof/>
                <w:webHidden/>
              </w:rPr>
              <w:fldChar w:fldCharType="end"/>
            </w:r>
          </w:hyperlink>
        </w:p>
        <w:p w14:paraId="13A60383" w14:textId="77777777" w:rsidR="00A91B5F" w:rsidRDefault="00505195">
          <w:pPr>
            <w:pStyle w:val="TOC1"/>
            <w:tabs>
              <w:tab w:val="right" w:leader="dot" w:pos="8602"/>
            </w:tabs>
            <w:rPr>
              <w:noProof/>
              <w:lang w:eastAsia="zh-CN"/>
            </w:rPr>
          </w:pPr>
          <w:hyperlink w:anchor="_Toc404874471" w:history="1">
            <w:r w:rsidR="00A91B5F" w:rsidRPr="001C5739">
              <w:rPr>
                <w:rStyle w:val="Hyperlink"/>
                <w:noProof/>
              </w:rPr>
              <w:t>Executive Summary</w:t>
            </w:r>
            <w:r w:rsidR="00A91B5F">
              <w:rPr>
                <w:noProof/>
                <w:webHidden/>
              </w:rPr>
              <w:tab/>
            </w:r>
            <w:r w:rsidR="00A91B5F">
              <w:rPr>
                <w:noProof/>
                <w:webHidden/>
              </w:rPr>
              <w:fldChar w:fldCharType="begin"/>
            </w:r>
            <w:r w:rsidR="00A91B5F">
              <w:rPr>
                <w:noProof/>
                <w:webHidden/>
              </w:rPr>
              <w:instrText xml:space="preserve"> PAGEREF _Toc404874471 \h </w:instrText>
            </w:r>
            <w:r w:rsidR="00A91B5F">
              <w:rPr>
                <w:noProof/>
                <w:webHidden/>
              </w:rPr>
            </w:r>
            <w:r w:rsidR="00A91B5F">
              <w:rPr>
                <w:noProof/>
                <w:webHidden/>
              </w:rPr>
              <w:fldChar w:fldCharType="separate"/>
            </w:r>
            <w:r>
              <w:rPr>
                <w:noProof/>
                <w:webHidden/>
              </w:rPr>
              <w:t>2</w:t>
            </w:r>
            <w:r w:rsidR="00A91B5F">
              <w:rPr>
                <w:noProof/>
                <w:webHidden/>
              </w:rPr>
              <w:fldChar w:fldCharType="end"/>
            </w:r>
          </w:hyperlink>
        </w:p>
        <w:p w14:paraId="13A60384" w14:textId="77777777" w:rsidR="00A91B5F" w:rsidRDefault="00505195">
          <w:pPr>
            <w:pStyle w:val="TOC1"/>
            <w:tabs>
              <w:tab w:val="right" w:leader="dot" w:pos="8602"/>
            </w:tabs>
            <w:rPr>
              <w:noProof/>
              <w:lang w:eastAsia="zh-CN"/>
            </w:rPr>
          </w:pPr>
          <w:hyperlink w:anchor="_Toc404874472" w:history="1">
            <w:r w:rsidR="00A91B5F" w:rsidRPr="001C5739">
              <w:rPr>
                <w:rStyle w:val="Hyperlink"/>
                <w:noProof/>
              </w:rPr>
              <w:t>Response 1: Research Funding Allocations</w:t>
            </w:r>
            <w:r w:rsidR="00A91B5F">
              <w:rPr>
                <w:noProof/>
                <w:webHidden/>
              </w:rPr>
              <w:tab/>
            </w:r>
            <w:r w:rsidR="00A91B5F">
              <w:rPr>
                <w:noProof/>
                <w:webHidden/>
              </w:rPr>
              <w:fldChar w:fldCharType="begin"/>
            </w:r>
            <w:r w:rsidR="00A91B5F">
              <w:rPr>
                <w:noProof/>
                <w:webHidden/>
              </w:rPr>
              <w:instrText xml:space="preserve"> PAGEREF _Toc404874472 \h </w:instrText>
            </w:r>
            <w:r w:rsidR="00A91B5F">
              <w:rPr>
                <w:noProof/>
                <w:webHidden/>
              </w:rPr>
            </w:r>
            <w:r w:rsidR="00A91B5F">
              <w:rPr>
                <w:noProof/>
                <w:webHidden/>
              </w:rPr>
              <w:fldChar w:fldCharType="separate"/>
            </w:r>
            <w:r>
              <w:rPr>
                <w:noProof/>
                <w:webHidden/>
              </w:rPr>
              <w:t>3</w:t>
            </w:r>
            <w:r w:rsidR="00A91B5F">
              <w:rPr>
                <w:noProof/>
                <w:webHidden/>
              </w:rPr>
              <w:fldChar w:fldCharType="end"/>
            </w:r>
          </w:hyperlink>
        </w:p>
        <w:p w14:paraId="13A60385" w14:textId="77777777" w:rsidR="00A91B5F" w:rsidRDefault="00505195">
          <w:pPr>
            <w:pStyle w:val="TOC1"/>
            <w:tabs>
              <w:tab w:val="right" w:leader="dot" w:pos="8602"/>
            </w:tabs>
            <w:rPr>
              <w:noProof/>
              <w:lang w:eastAsia="zh-CN"/>
            </w:rPr>
          </w:pPr>
          <w:hyperlink w:anchor="_Toc404874473" w:history="1">
            <w:r w:rsidR="00A91B5F" w:rsidRPr="001C5739">
              <w:rPr>
                <w:rStyle w:val="Hyperlink"/>
                <w:noProof/>
              </w:rPr>
              <w:t>Response 2: Changes to IP Arrangements</w:t>
            </w:r>
            <w:r w:rsidR="00A91B5F">
              <w:rPr>
                <w:noProof/>
                <w:webHidden/>
              </w:rPr>
              <w:tab/>
            </w:r>
            <w:r w:rsidR="00A91B5F">
              <w:rPr>
                <w:noProof/>
                <w:webHidden/>
              </w:rPr>
              <w:fldChar w:fldCharType="begin"/>
            </w:r>
            <w:r w:rsidR="00A91B5F">
              <w:rPr>
                <w:noProof/>
                <w:webHidden/>
              </w:rPr>
              <w:instrText xml:space="preserve"> PAGEREF _Toc404874473 \h </w:instrText>
            </w:r>
            <w:r w:rsidR="00A91B5F">
              <w:rPr>
                <w:noProof/>
                <w:webHidden/>
              </w:rPr>
            </w:r>
            <w:r w:rsidR="00A91B5F">
              <w:rPr>
                <w:noProof/>
                <w:webHidden/>
              </w:rPr>
              <w:fldChar w:fldCharType="separate"/>
            </w:r>
            <w:r>
              <w:rPr>
                <w:noProof/>
                <w:webHidden/>
              </w:rPr>
              <w:t>3</w:t>
            </w:r>
            <w:r w:rsidR="00A91B5F">
              <w:rPr>
                <w:noProof/>
                <w:webHidden/>
              </w:rPr>
              <w:fldChar w:fldCharType="end"/>
            </w:r>
          </w:hyperlink>
        </w:p>
        <w:p w14:paraId="13A60386" w14:textId="77777777" w:rsidR="00A91B5F" w:rsidRDefault="00505195">
          <w:pPr>
            <w:pStyle w:val="TOC1"/>
            <w:tabs>
              <w:tab w:val="right" w:leader="dot" w:pos="8602"/>
            </w:tabs>
            <w:rPr>
              <w:noProof/>
              <w:lang w:eastAsia="zh-CN"/>
            </w:rPr>
          </w:pPr>
          <w:hyperlink w:anchor="_Toc404874474" w:history="1">
            <w:r w:rsidR="00A91B5F" w:rsidRPr="001C5739">
              <w:rPr>
                <w:rStyle w:val="Hyperlink"/>
                <w:noProof/>
              </w:rPr>
              <w:t>Response 3: Facilitating University-Industry Collaboration</w:t>
            </w:r>
            <w:r w:rsidR="00A91B5F">
              <w:rPr>
                <w:noProof/>
                <w:webHidden/>
              </w:rPr>
              <w:tab/>
            </w:r>
            <w:r w:rsidR="00A91B5F">
              <w:rPr>
                <w:noProof/>
                <w:webHidden/>
              </w:rPr>
              <w:fldChar w:fldCharType="begin"/>
            </w:r>
            <w:r w:rsidR="00A91B5F">
              <w:rPr>
                <w:noProof/>
                <w:webHidden/>
              </w:rPr>
              <w:instrText xml:space="preserve"> PAGEREF _Toc404874474 \h </w:instrText>
            </w:r>
            <w:r w:rsidR="00A91B5F">
              <w:rPr>
                <w:noProof/>
                <w:webHidden/>
              </w:rPr>
            </w:r>
            <w:r w:rsidR="00A91B5F">
              <w:rPr>
                <w:noProof/>
                <w:webHidden/>
              </w:rPr>
              <w:fldChar w:fldCharType="separate"/>
            </w:r>
            <w:r>
              <w:rPr>
                <w:noProof/>
                <w:webHidden/>
              </w:rPr>
              <w:t>6</w:t>
            </w:r>
            <w:r w:rsidR="00A91B5F">
              <w:rPr>
                <w:noProof/>
                <w:webHidden/>
              </w:rPr>
              <w:fldChar w:fldCharType="end"/>
            </w:r>
          </w:hyperlink>
        </w:p>
        <w:p w14:paraId="13A60387" w14:textId="77777777" w:rsidR="00A91B5F" w:rsidRDefault="00505195">
          <w:pPr>
            <w:pStyle w:val="TOC1"/>
            <w:tabs>
              <w:tab w:val="right" w:leader="dot" w:pos="8602"/>
            </w:tabs>
            <w:rPr>
              <w:noProof/>
              <w:lang w:eastAsia="zh-CN"/>
            </w:rPr>
          </w:pPr>
          <w:hyperlink w:anchor="_Toc404874475" w:history="1">
            <w:r w:rsidR="00A91B5F" w:rsidRPr="001C5739">
              <w:rPr>
                <w:rStyle w:val="Hyperlink"/>
                <w:noProof/>
              </w:rPr>
              <w:t>Response 4: Facilitating Entrepreneurial Programs</w:t>
            </w:r>
            <w:r w:rsidR="00A91B5F">
              <w:rPr>
                <w:noProof/>
                <w:webHidden/>
              </w:rPr>
              <w:tab/>
            </w:r>
            <w:r w:rsidR="00A91B5F">
              <w:rPr>
                <w:noProof/>
                <w:webHidden/>
              </w:rPr>
              <w:fldChar w:fldCharType="begin"/>
            </w:r>
            <w:r w:rsidR="00A91B5F">
              <w:rPr>
                <w:noProof/>
                <w:webHidden/>
              </w:rPr>
              <w:instrText xml:space="preserve"> PAGEREF _Toc404874475 \h </w:instrText>
            </w:r>
            <w:r w:rsidR="00A91B5F">
              <w:rPr>
                <w:noProof/>
                <w:webHidden/>
              </w:rPr>
            </w:r>
            <w:r w:rsidR="00A91B5F">
              <w:rPr>
                <w:noProof/>
                <w:webHidden/>
              </w:rPr>
              <w:fldChar w:fldCharType="separate"/>
            </w:r>
            <w:r>
              <w:rPr>
                <w:noProof/>
                <w:webHidden/>
              </w:rPr>
              <w:t>7</w:t>
            </w:r>
            <w:r w:rsidR="00A91B5F">
              <w:rPr>
                <w:noProof/>
                <w:webHidden/>
              </w:rPr>
              <w:fldChar w:fldCharType="end"/>
            </w:r>
          </w:hyperlink>
        </w:p>
        <w:p w14:paraId="13A60388" w14:textId="77777777" w:rsidR="00A91B5F" w:rsidRDefault="00505195">
          <w:pPr>
            <w:pStyle w:val="TOC1"/>
            <w:tabs>
              <w:tab w:val="right" w:leader="dot" w:pos="8602"/>
            </w:tabs>
            <w:rPr>
              <w:noProof/>
              <w:lang w:eastAsia="zh-CN"/>
            </w:rPr>
          </w:pPr>
          <w:hyperlink w:anchor="_Toc404874476" w:history="1">
            <w:r w:rsidR="00A91B5F" w:rsidRPr="001C5739">
              <w:rPr>
                <w:rStyle w:val="Hyperlink"/>
                <w:noProof/>
              </w:rPr>
              <w:t>Response 5: Research Training Programs</w:t>
            </w:r>
            <w:r w:rsidR="00A91B5F">
              <w:rPr>
                <w:noProof/>
                <w:webHidden/>
              </w:rPr>
              <w:tab/>
            </w:r>
            <w:r w:rsidR="00A91B5F">
              <w:rPr>
                <w:noProof/>
                <w:webHidden/>
              </w:rPr>
              <w:fldChar w:fldCharType="begin"/>
            </w:r>
            <w:r w:rsidR="00A91B5F">
              <w:rPr>
                <w:noProof/>
                <w:webHidden/>
              </w:rPr>
              <w:instrText xml:space="preserve"> PAGEREF _Toc404874476 \h </w:instrText>
            </w:r>
            <w:r w:rsidR="00A91B5F">
              <w:rPr>
                <w:noProof/>
                <w:webHidden/>
              </w:rPr>
            </w:r>
            <w:r w:rsidR="00A91B5F">
              <w:rPr>
                <w:noProof/>
                <w:webHidden/>
              </w:rPr>
              <w:fldChar w:fldCharType="separate"/>
            </w:r>
            <w:r>
              <w:rPr>
                <w:noProof/>
                <w:webHidden/>
              </w:rPr>
              <w:t>8</w:t>
            </w:r>
            <w:r w:rsidR="00A91B5F">
              <w:rPr>
                <w:noProof/>
                <w:webHidden/>
              </w:rPr>
              <w:fldChar w:fldCharType="end"/>
            </w:r>
          </w:hyperlink>
        </w:p>
        <w:p w14:paraId="13A60389" w14:textId="77777777" w:rsidR="00A91B5F" w:rsidRDefault="00505195">
          <w:pPr>
            <w:pStyle w:val="TOC1"/>
            <w:tabs>
              <w:tab w:val="right" w:leader="dot" w:pos="8602"/>
            </w:tabs>
            <w:rPr>
              <w:noProof/>
              <w:lang w:eastAsia="zh-CN"/>
            </w:rPr>
          </w:pPr>
          <w:hyperlink w:anchor="_Toc404874477" w:history="1">
            <w:r w:rsidR="00A91B5F" w:rsidRPr="001C5739">
              <w:rPr>
                <w:rStyle w:val="Hyperlink"/>
                <w:noProof/>
              </w:rPr>
              <w:t>Response 6:  Research Infrastructure</w:t>
            </w:r>
            <w:r w:rsidR="00A91B5F">
              <w:rPr>
                <w:noProof/>
                <w:webHidden/>
              </w:rPr>
              <w:tab/>
            </w:r>
            <w:r w:rsidR="00A91B5F">
              <w:rPr>
                <w:noProof/>
                <w:webHidden/>
              </w:rPr>
              <w:fldChar w:fldCharType="begin"/>
            </w:r>
            <w:r w:rsidR="00A91B5F">
              <w:rPr>
                <w:noProof/>
                <w:webHidden/>
              </w:rPr>
              <w:instrText xml:space="preserve"> PAGEREF _Toc404874477 \h </w:instrText>
            </w:r>
            <w:r w:rsidR="00A91B5F">
              <w:rPr>
                <w:noProof/>
                <w:webHidden/>
              </w:rPr>
            </w:r>
            <w:r w:rsidR="00A91B5F">
              <w:rPr>
                <w:noProof/>
                <w:webHidden/>
              </w:rPr>
              <w:fldChar w:fldCharType="separate"/>
            </w:r>
            <w:r>
              <w:rPr>
                <w:noProof/>
                <w:webHidden/>
              </w:rPr>
              <w:t>10</w:t>
            </w:r>
            <w:r w:rsidR="00A91B5F">
              <w:rPr>
                <w:noProof/>
                <w:webHidden/>
              </w:rPr>
              <w:fldChar w:fldCharType="end"/>
            </w:r>
          </w:hyperlink>
        </w:p>
        <w:p w14:paraId="13A6038A" w14:textId="77777777" w:rsidR="00A91B5F" w:rsidRDefault="00505195">
          <w:pPr>
            <w:pStyle w:val="TOC1"/>
            <w:tabs>
              <w:tab w:val="right" w:leader="dot" w:pos="8602"/>
            </w:tabs>
            <w:rPr>
              <w:noProof/>
              <w:lang w:eastAsia="zh-CN"/>
            </w:rPr>
          </w:pPr>
          <w:hyperlink w:anchor="_Toc404874478" w:history="1">
            <w:r w:rsidR="00A91B5F" w:rsidRPr="001C5739">
              <w:rPr>
                <w:rStyle w:val="Hyperlink"/>
                <w:noProof/>
              </w:rPr>
              <w:t>Appendix 1</w:t>
            </w:r>
            <w:r w:rsidR="00A91B5F">
              <w:rPr>
                <w:noProof/>
                <w:webHidden/>
              </w:rPr>
              <w:tab/>
            </w:r>
            <w:r w:rsidR="00A91B5F">
              <w:rPr>
                <w:noProof/>
                <w:webHidden/>
              </w:rPr>
              <w:fldChar w:fldCharType="begin"/>
            </w:r>
            <w:r w:rsidR="00A91B5F">
              <w:rPr>
                <w:noProof/>
                <w:webHidden/>
              </w:rPr>
              <w:instrText xml:space="preserve"> PAGEREF _Toc404874478 \h </w:instrText>
            </w:r>
            <w:r w:rsidR="00A91B5F">
              <w:rPr>
                <w:noProof/>
                <w:webHidden/>
              </w:rPr>
            </w:r>
            <w:r w:rsidR="00A91B5F">
              <w:rPr>
                <w:noProof/>
                <w:webHidden/>
              </w:rPr>
              <w:fldChar w:fldCharType="separate"/>
            </w:r>
            <w:r>
              <w:rPr>
                <w:noProof/>
                <w:webHidden/>
              </w:rPr>
              <w:t>12</w:t>
            </w:r>
            <w:r w:rsidR="00A91B5F">
              <w:rPr>
                <w:noProof/>
                <w:webHidden/>
              </w:rPr>
              <w:fldChar w:fldCharType="end"/>
            </w:r>
          </w:hyperlink>
        </w:p>
        <w:p w14:paraId="30331136" w14:textId="77777777" w:rsidR="004814CF" w:rsidRDefault="00384054" w:rsidP="004814CF">
          <w:pPr>
            <w:rPr>
              <w:noProof/>
            </w:rPr>
          </w:pPr>
          <w:r>
            <w:rPr>
              <w:b/>
              <w:bCs/>
              <w:noProof/>
            </w:rPr>
            <w:fldChar w:fldCharType="end"/>
          </w:r>
        </w:p>
      </w:sdtContent>
    </w:sdt>
    <w:bookmarkStart w:id="0" w:name="_Toc404874470" w:displacedByCustomXml="prev"/>
    <w:p w14:paraId="13A6038C" w14:textId="3FB57AC1" w:rsidR="00384054" w:rsidRPr="00A87726" w:rsidRDefault="00384054" w:rsidP="004814CF">
      <w:pPr>
        <w:pStyle w:val="Heading1"/>
      </w:pPr>
      <w:r w:rsidRPr="00A87726">
        <w:t>Introduction</w:t>
      </w:r>
      <w:bookmarkEnd w:id="0"/>
    </w:p>
    <w:p w14:paraId="13A6038D" w14:textId="77777777" w:rsidR="00384054" w:rsidRPr="00384054" w:rsidRDefault="00384054" w:rsidP="00384054">
      <w:p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The University of Tasmania welcomes the opportunity to provide a submission in response to the Federal government’s paper, “</w:t>
      </w:r>
      <w:r w:rsidRPr="00384054">
        <w:rPr>
          <w:rFonts w:asciiTheme="majorHAnsi" w:eastAsia="SimSun" w:hAnsiTheme="majorHAnsi" w:cstheme="majorHAnsi"/>
          <w:i/>
          <w:iCs/>
          <w:color w:val="272727"/>
          <w:sz w:val="21"/>
          <w:szCs w:val="21"/>
          <w:lang w:eastAsia="zh-CN"/>
        </w:rPr>
        <w:t>Boosting the Commercial Returns from Research</w:t>
      </w:r>
      <w:r w:rsidRPr="00384054">
        <w:rPr>
          <w:rFonts w:asciiTheme="majorHAnsi" w:eastAsia="SimSun" w:hAnsiTheme="majorHAnsi" w:cstheme="majorHAnsi"/>
          <w:color w:val="272727"/>
          <w:sz w:val="21"/>
          <w:szCs w:val="21"/>
          <w:lang w:eastAsia="zh-CN"/>
        </w:rPr>
        <w:t>”.</w:t>
      </w:r>
    </w:p>
    <w:p w14:paraId="13A6038F" w14:textId="77777777" w:rsidR="006E0214" w:rsidRPr="002D15F8" w:rsidRDefault="008D7522" w:rsidP="008D7522">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 xml:space="preserve">The </w:t>
      </w:r>
      <w:r w:rsidR="006E0214" w:rsidRPr="002D15F8">
        <w:rPr>
          <w:rFonts w:asciiTheme="majorHAnsi" w:eastAsia="SimSun" w:hAnsiTheme="majorHAnsi" w:cstheme="majorHAnsi"/>
          <w:color w:val="272727"/>
          <w:sz w:val="21"/>
          <w:szCs w:val="21"/>
          <w:lang w:eastAsia="zh-CN"/>
        </w:rPr>
        <w:t xml:space="preserve">University of Tasmania has ambitions to undertake commercially relevant research and we encourage any avenue of government support and policy to </w:t>
      </w:r>
      <w:r w:rsidR="00D919C9">
        <w:rPr>
          <w:rFonts w:asciiTheme="majorHAnsi" w:eastAsia="SimSun" w:hAnsiTheme="majorHAnsi" w:cstheme="majorHAnsi"/>
          <w:color w:val="272727"/>
          <w:sz w:val="21"/>
          <w:szCs w:val="21"/>
          <w:lang w:eastAsia="zh-CN"/>
        </w:rPr>
        <w:t>support</w:t>
      </w:r>
      <w:r w:rsidR="006E0214" w:rsidRPr="002D15F8">
        <w:rPr>
          <w:rFonts w:asciiTheme="majorHAnsi" w:eastAsia="SimSun" w:hAnsiTheme="majorHAnsi" w:cstheme="majorHAnsi"/>
          <w:color w:val="272727"/>
          <w:sz w:val="21"/>
          <w:szCs w:val="21"/>
          <w:lang w:eastAsia="zh-CN"/>
        </w:rPr>
        <w:t xml:space="preserve"> partner organisations and businesses to engage in joint research projects. We can provide evidence to show that our research</w:t>
      </w:r>
      <w:r w:rsidR="002D15F8">
        <w:rPr>
          <w:rFonts w:asciiTheme="majorHAnsi" w:eastAsia="SimSun" w:hAnsiTheme="majorHAnsi" w:cstheme="majorHAnsi"/>
          <w:color w:val="272727"/>
          <w:sz w:val="21"/>
          <w:szCs w:val="21"/>
          <w:lang w:eastAsia="zh-CN"/>
        </w:rPr>
        <w:t>er</w:t>
      </w:r>
      <w:r>
        <w:rPr>
          <w:rFonts w:asciiTheme="majorHAnsi" w:eastAsia="SimSun" w:hAnsiTheme="majorHAnsi" w:cstheme="majorHAnsi"/>
          <w:color w:val="272727"/>
          <w:sz w:val="21"/>
          <w:szCs w:val="21"/>
          <w:lang w:eastAsia="zh-CN"/>
        </w:rPr>
        <w:t>s</w:t>
      </w:r>
      <w:r w:rsidR="006E0214" w:rsidRPr="002D15F8">
        <w:rPr>
          <w:rFonts w:asciiTheme="majorHAnsi" w:eastAsia="SimSun" w:hAnsiTheme="majorHAnsi" w:cstheme="majorHAnsi"/>
          <w:color w:val="272727"/>
          <w:sz w:val="21"/>
          <w:szCs w:val="21"/>
          <w:lang w:eastAsia="zh-CN"/>
        </w:rPr>
        <w:t xml:space="preserve"> </w:t>
      </w:r>
      <w:r w:rsidR="002D15F8" w:rsidRPr="002D15F8">
        <w:rPr>
          <w:rFonts w:asciiTheme="majorHAnsi" w:eastAsia="SimSun" w:hAnsiTheme="majorHAnsi" w:cstheme="majorHAnsi"/>
          <w:color w:val="272727"/>
          <w:sz w:val="21"/>
          <w:szCs w:val="21"/>
          <w:lang w:eastAsia="zh-CN"/>
        </w:rPr>
        <w:t xml:space="preserve">have </w:t>
      </w:r>
      <w:r w:rsidR="006E0214" w:rsidRPr="002D15F8">
        <w:rPr>
          <w:rFonts w:asciiTheme="majorHAnsi" w:eastAsia="SimSun" w:hAnsiTheme="majorHAnsi" w:cstheme="majorHAnsi"/>
          <w:color w:val="272727"/>
          <w:sz w:val="21"/>
          <w:szCs w:val="21"/>
          <w:lang w:eastAsia="zh-CN"/>
        </w:rPr>
        <w:t xml:space="preserve">engaged with their respective industry partners and </w:t>
      </w:r>
      <w:r w:rsidR="002D15F8" w:rsidRPr="002D15F8">
        <w:rPr>
          <w:rFonts w:asciiTheme="majorHAnsi" w:eastAsia="SimSun" w:hAnsiTheme="majorHAnsi" w:cstheme="majorHAnsi"/>
          <w:color w:val="272727"/>
          <w:sz w:val="21"/>
          <w:szCs w:val="21"/>
          <w:lang w:eastAsia="zh-CN"/>
        </w:rPr>
        <w:t xml:space="preserve">delivered research outcomes that underpin </w:t>
      </w:r>
      <w:r>
        <w:rPr>
          <w:rFonts w:asciiTheme="majorHAnsi" w:eastAsia="SimSun" w:hAnsiTheme="majorHAnsi" w:cstheme="majorHAnsi"/>
          <w:color w:val="272727"/>
          <w:sz w:val="21"/>
          <w:szCs w:val="21"/>
          <w:lang w:eastAsia="zh-CN"/>
        </w:rPr>
        <w:t>billions</w:t>
      </w:r>
      <w:r w:rsidR="002D15F8" w:rsidRPr="002D15F8">
        <w:rPr>
          <w:rFonts w:asciiTheme="majorHAnsi" w:eastAsia="SimSun" w:hAnsiTheme="majorHAnsi" w:cstheme="majorHAnsi"/>
          <w:color w:val="272727"/>
          <w:sz w:val="21"/>
          <w:szCs w:val="21"/>
          <w:lang w:eastAsia="zh-CN"/>
        </w:rPr>
        <w:t xml:space="preserve"> of dollars in </w:t>
      </w:r>
      <w:r w:rsidR="006E0214" w:rsidRPr="002D15F8">
        <w:rPr>
          <w:rFonts w:asciiTheme="majorHAnsi" w:eastAsia="SimSun" w:hAnsiTheme="majorHAnsi" w:cstheme="majorHAnsi"/>
          <w:color w:val="272727"/>
          <w:sz w:val="21"/>
          <w:szCs w:val="21"/>
          <w:lang w:eastAsia="zh-CN"/>
        </w:rPr>
        <w:t>value for Australia. Importantly, these are not projects that provide a</w:t>
      </w:r>
      <w:r w:rsidR="00D919C9">
        <w:rPr>
          <w:rFonts w:asciiTheme="majorHAnsi" w:eastAsia="SimSun" w:hAnsiTheme="majorHAnsi" w:cstheme="majorHAnsi"/>
          <w:color w:val="272727"/>
          <w:sz w:val="21"/>
          <w:szCs w:val="21"/>
          <w:lang w:eastAsia="zh-CN"/>
        </w:rPr>
        <w:t>n immediate</w:t>
      </w:r>
      <w:r w:rsidR="006E0214" w:rsidRPr="002D15F8">
        <w:rPr>
          <w:rFonts w:asciiTheme="majorHAnsi" w:eastAsia="SimSun" w:hAnsiTheme="majorHAnsi" w:cstheme="majorHAnsi"/>
          <w:color w:val="272727"/>
          <w:sz w:val="21"/>
          <w:szCs w:val="21"/>
          <w:lang w:eastAsia="zh-CN"/>
        </w:rPr>
        <w:t xml:space="preserve"> return on investment to the University but </w:t>
      </w:r>
      <w:r w:rsidR="002D15F8">
        <w:rPr>
          <w:rFonts w:asciiTheme="majorHAnsi" w:eastAsia="SimSun" w:hAnsiTheme="majorHAnsi" w:cstheme="majorHAnsi"/>
          <w:color w:val="272727"/>
          <w:sz w:val="21"/>
          <w:szCs w:val="21"/>
          <w:lang w:eastAsia="zh-CN"/>
        </w:rPr>
        <w:t xml:space="preserve">should none-the-less be </w:t>
      </w:r>
      <w:r w:rsidR="006E0214" w:rsidRPr="002D15F8">
        <w:rPr>
          <w:rFonts w:asciiTheme="majorHAnsi" w:eastAsia="SimSun" w:hAnsiTheme="majorHAnsi" w:cstheme="majorHAnsi"/>
          <w:color w:val="272727"/>
          <w:sz w:val="21"/>
          <w:szCs w:val="21"/>
          <w:lang w:eastAsia="zh-CN"/>
        </w:rPr>
        <w:t xml:space="preserve">configured as a </w:t>
      </w:r>
      <w:r w:rsidR="002D15F8">
        <w:rPr>
          <w:rFonts w:asciiTheme="majorHAnsi" w:eastAsia="SimSun" w:hAnsiTheme="majorHAnsi" w:cstheme="majorHAnsi"/>
          <w:color w:val="272727"/>
          <w:sz w:val="21"/>
          <w:szCs w:val="21"/>
          <w:lang w:eastAsia="zh-CN"/>
        </w:rPr>
        <w:t xml:space="preserve">rich </w:t>
      </w:r>
      <w:r w:rsidR="006E0214" w:rsidRPr="002D15F8">
        <w:rPr>
          <w:rFonts w:asciiTheme="majorHAnsi" w:eastAsia="SimSun" w:hAnsiTheme="majorHAnsi" w:cstheme="majorHAnsi"/>
          <w:color w:val="272727"/>
          <w:sz w:val="21"/>
          <w:szCs w:val="21"/>
          <w:lang w:eastAsia="zh-CN"/>
        </w:rPr>
        <w:t>research resource for the country.</w:t>
      </w:r>
    </w:p>
    <w:p w14:paraId="13A60391" w14:textId="77777777" w:rsidR="00384054" w:rsidRPr="00384054" w:rsidRDefault="00D919C9" w:rsidP="00DA1CAC">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T</w:t>
      </w:r>
      <w:r w:rsidR="00384054" w:rsidRPr="00384054">
        <w:rPr>
          <w:rFonts w:asciiTheme="majorHAnsi" w:eastAsia="SimSun" w:hAnsiTheme="majorHAnsi" w:cstheme="majorHAnsi"/>
          <w:color w:val="272727"/>
          <w:sz w:val="21"/>
          <w:szCs w:val="21"/>
          <w:lang w:eastAsia="zh-CN"/>
        </w:rPr>
        <w:t xml:space="preserve">he University of Tasmania has </w:t>
      </w:r>
      <w:r w:rsidR="00DA1CAC">
        <w:rPr>
          <w:rFonts w:asciiTheme="majorHAnsi" w:eastAsia="SimSun" w:hAnsiTheme="majorHAnsi" w:cstheme="majorHAnsi"/>
          <w:color w:val="272727"/>
          <w:sz w:val="21"/>
          <w:szCs w:val="21"/>
          <w:lang w:eastAsia="zh-CN"/>
        </w:rPr>
        <w:t xml:space="preserve">chosen to provide feedback on the following </w:t>
      </w:r>
      <w:r w:rsidR="00384054" w:rsidRPr="00384054">
        <w:rPr>
          <w:rFonts w:asciiTheme="majorHAnsi" w:eastAsia="SimSun" w:hAnsiTheme="majorHAnsi" w:cstheme="majorHAnsi"/>
          <w:color w:val="272727"/>
          <w:sz w:val="21"/>
          <w:szCs w:val="21"/>
          <w:lang w:eastAsia="zh-CN"/>
        </w:rPr>
        <w:t>seven key questions:</w:t>
      </w:r>
    </w:p>
    <w:p w14:paraId="13A60393" w14:textId="77777777" w:rsidR="00384054" w:rsidRPr="00384054" w:rsidRDefault="00384054" w:rsidP="00384054">
      <w:pPr>
        <w:numPr>
          <w:ilvl w:val="0"/>
          <w:numId w:val="1"/>
        </w:num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How should research funding be adjusted to provide greater incentives for collaboration between research and industry?</w:t>
      </w:r>
    </w:p>
    <w:p w14:paraId="13A60394" w14:textId="77777777" w:rsidR="00384054" w:rsidRPr="00384054" w:rsidRDefault="00384054" w:rsidP="00384054">
      <w:pPr>
        <w:numPr>
          <w:ilvl w:val="0"/>
          <w:numId w:val="1"/>
        </w:num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What changes to intellectual property arrangements would facilitate collaboration and commercialisation of ideas? </w:t>
      </w:r>
    </w:p>
    <w:p w14:paraId="13A60395" w14:textId="77777777" w:rsidR="00384054" w:rsidRPr="00384054" w:rsidRDefault="00384054" w:rsidP="00384054">
      <w:pPr>
        <w:numPr>
          <w:ilvl w:val="0"/>
          <w:numId w:val="1"/>
        </w:num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lastRenderedPageBreak/>
        <w:t>What mechanisms would increase the level of collaboration between University researchers and industry?</w:t>
      </w:r>
    </w:p>
    <w:p w14:paraId="13A60396" w14:textId="77777777" w:rsidR="00384054" w:rsidRPr="00384054" w:rsidRDefault="00384054" w:rsidP="00384054">
      <w:pPr>
        <w:numPr>
          <w:ilvl w:val="0"/>
          <w:numId w:val="1"/>
        </w:num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How can we increase the level of entrepreneurism in our Universities and support the creation and growth of new business?</w:t>
      </w:r>
    </w:p>
    <w:p w14:paraId="13A60397" w14:textId="77777777" w:rsidR="00384054" w:rsidRPr="00384054" w:rsidRDefault="00384054" w:rsidP="00384054">
      <w:pPr>
        <w:numPr>
          <w:ilvl w:val="0"/>
          <w:numId w:val="1"/>
        </w:num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What changes to research training programs would incentivise and facilitate closer collaborations between researchers and industry?</w:t>
      </w:r>
    </w:p>
    <w:p w14:paraId="13A60398" w14:textId="77777777" w:rsidR="00384054" w:rsidRPr="00384054" w:rsidRDefault="00384054" w:rsidP="00384054">
      <w:pPr>
        <w:numPr>
          <w:ilvl w:val="0"/>
          <w:numId w:val="1"/>
        </w:num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How should Australia address research infrastructure to attract the world's best researchers and facilitate collaboration with industry?</w:t>
      </w:r>
    </w:p>
    <w:p w14:paraId="13A60399" w14:textId="77777777" w:rsidR="00384054" w:rsidRPr="00A87726" w:rsidRDefault="00A87726" w:rsidP="004814CF">
      <w:pPr>
        <w:pStyle w:val="Heading1"/>
      </w:pPr>
      <w:bookmarkStart w:id="1" w:name="_Toc404874471"/>
      <w:r>
        <w:t>Executive Summary</w:t>
      </w:r>
      <w:bookmarkEnd w:id="1"/>
    </w:p>
    <w:p w14:paraId="13A6039B" w14:textId="77777777" w:rsidR="00384054" w:rsidRPr="00384054" w:rsidRDefault="00384054" w:rsidP="003C763F">
      <w:p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The University of Tasmania summarises its </w:t>
      </w:r>
      <w:r w:rsidR="003C763F">
        <w:rPr>
          <w:rFonts w:asciiTheme="majorHAnsi" w:eastAsia="SimSun" w:hAnsiTheme="majorHAnsi" w:cstheme="majorHAnsi"/>
          <w:color w:val="272727"/>
          <w:sz w:val="21"/>
          <w:szCs w:val="21"/>
          <w:lang w:eastAsia="zh-CN"/>
        </w:rPr>
        <w:t>responses</w:t>
      </w:r>
      <w:r w:rsidRPr="00384054">
        <w:rPr>
          <w:rFonts w:asciiTheme="majorHAnsi" w:eastAsia="SimSun" w:hAnsiTheme="majorHAnsi" w:cstheme="majorHAnsi"/>
          <w:color w:val="272727"/>
          <w:sz w:val="21"/>
          <w:szCs w:val="21"/>
          <w:lang w:eastAsia="zh-CN"/>
        </w:rPr>
        <w:t xml:space="preserve"> to the questions as follows;</w:t>
      </w:r>
    </w:p>
    <w:p w14:paraId="13A6039D" w14:textId="77777777" w:rsidR="00DD29BA" w:rsidRPr="00772675" w:rsidRDefault="00DA1CAC" w:rsidP="00693E9E">
      <w:pPr>
        <w:autoSpaceDE w:val="0"/>
        <w:autoSpaceDN w:val="0"/>
        <w:adjustRightInd w:val="0"/>
        <w:rPr>
          <w:rFonts w:asciiTheme="majorHAnsi" w:eastAsia="SimSun" w:hAnsiTheme="majorHAnsi" w:cstheme="majorHAnsi"/>
          <w:i/>
          <w:iCs/>
          <w:color w:val="272727"/>
          <w:sz w:val="21"/>
          <w:szCs w:val="21"/>
          <w:lang w:eastAsia="zh-CN"/>
        </w:rPr>
      </w:pPr>
      <w:r>
        <w:rPr>
          <w:rFonts w:asciiTheme="majorHAnsi" w:eastAsia="SimSun" w:hAnsiTheme="majorHAnsi" w:cstheme="majorHAnsi"/>
          <w:b/>
          <w:bCs/>
          <w:color w:val="272727"/>
          <w:sz w:val="21"/>
          <w:szCs w:val="21"/>
          <w:lang w:eastAsia="zh-CN"/>
        </w:rPr>
        <w:t>Response</w:t>
      </w:r>
      <w:r w:rsidR="009C5796">
        <w:rPr>
          <w:rFonts w:asciiTheme="majorHAnsi" w:eastAsia="SimSun" w:hAnsiTheme="majorHAnsi" w:cstheme="majorHAnsi"/>
          <w:b/>
          <w:bCs/>
          <w:color w:val="272727"/>
          <w:sz w:val="21"/>
          <w:szCs w:val="21"/>
          <w:lang w:eastAsia="zh-CN"/>
        </w:rPr>
        <w:t xml:space="preserve"> </w:t>
      </w:r>
      <w:r w:rsidR="00384054" w:rsidRPr="00384054">
        <w:rPr>
          <w:rFonts w:asciiTheme="majorHAnsi" w:eastAsia="SimSun" w:hAnsiTheme="majorHAnsi" w:cstheme="majorHAnsi"/>
          <w:b/>
          <w:bCs/>
          <w:color w:val="272727"/>
          <w:sz w:val="21"/>
          <w:szCs w:val="21"/>
          <w:lang w:eastAsia="zh-CN"/>
        </w:rPr>
        <w:t>1</w:t>
      </w:r>
      <w:r w:rsidR="00384054" w:rsidRPr="00384054">
        <w:rPr>
          <w:rFonts w:asciiTheme="majorHAnsi" w:eastAsia="SimSun" w:hAnsiTheme="majorHAnsi" w:cstheme="majorHAnsi"/>
          <w:color w:val="272727"/>
          <w:sz w:val="21"/>
          <w:szCs w:val="21"/>
          <w:lang w:eastAsia="zh-CN"/>
        </w:rPr>
        <w:t xml:space="preserve">: </w:t>
      </w:r>
      <w:r w:rsidR="00772675" w:rsidRPr="00772675">
        <w:rPr>
          <w:rFonts w:asciiTheme="majorHAnsi" w:eastAsia="SimSun" w:hAnsiTheme="majorHAnsi" w:cstheme="majorHAnsi"/>
          <w:color w:val="272727"/>
          <w:sz w:val="21"/>
          <w:szCs w:val="21"/>
          <w:lang w:eastAsia="zh-CN"/>
        </w:rPr>
        <w:t xml:space="preserve">The current definitions for research income </w:t>
      </w:r>
      <w:r w:rsidR="008D7522">
        <w:rPr>
          <w:rFonts w:asciiTheme="majorHAnsi" w:eastAsia="SimSun" w:hAnsiTheme="majorHAnsi" w:cstheme="majorHAnsi"/>
          <w:color w:val="272727"/>
          <w:sz w:val="21"/>
          <w:szCs w:val="21"/>
          <w:lang w:eastAsia="zh-CN"/>
        </w:rPr>
        <w:t>categories</w:t>
      </w:r>
      <w:r w:rsidR="00772675" w:rsidRPr="00772675">
        <w:rPr>
          <w:rFonts w:asciiTheme="majorHAnsi" w:eastAsia="SimSun" w:hAnsiTheme="majorHAnsi" w:cstheme="majorHAnsi"/>
          <w:color w:val="272727"/>
          <w:sz w:val="21"/>
          <w:szCs w:val="21"/>
          <w:lang w:eastAsia="zh-CN"/>
        </w:rPr>
        <w:t xml:space="preserve"> could be revisited to minimise overlaps and increase category specificity.  The government could consider the introduction of another category(s) that more directly measures engagement with industry. Further, it might introduce </w:t>
      </w:r>
      <w:r w:rsidR="00772675" w:rsidRPr="00772675">
        <w:rPr>
          <w:rFonts w:asciiTheme="majorHAnsi" w:eastAsia="SimSun" w:hAnsiTheme="majorHAnsi" w:cstheme="majorHAnsi"/>
          <w:i/>
          <w:iCs/>
          <w:sz w:val="21"/>
          <w:szCs w:val="21"/>
          <w:lang w:eastAsia="zh-CN"/>
        </w:rPr>
        <w:t>(</w:t>
      </w:r>
      <w:r w:rsidR="00772675" w:rsidRPr="004814CF">
        <w:rPr>
          <w:rStyle w:val="Emphasis"/>
        </w:rPr>
        <w:t>incrementally</w:t>
      </w:r>
      <w:r w:rsidR="00772675" w:rsidRPr="00772675">
        <w:rPr>
          <w:rFonts w:asciiTheme="majorHAnsi" w:eastAsia="SimSun" w:hAnsiTheme="majorHAnsi" w:cstheme="majorHAnsi"/>
          <w:i/>
          <w:iCs/>
          <w:sz w:val="21"/>
          <w:szCs w:val="21"/>
          <w:lang w:eastAsia="zh-CN"/>
        </w:rPr>
        <w:t>)</w:t>
      </w:r>
      <w:r w:rsidR="00772675" w:rsidRPr="00772675">
        <w:rPr>
          <w:rFonts w:asciiTheme="majorHAnsi" w:eastAsia="SimSun" w:hAnsiTheme="majorHAnsi" w:cstheme="majorHAnsi"/>
          <w:b/>
          <w:bCs/>
          <w:sz w:val="21"/>
          <w:szCs w:val="21"/>
          <w:lang w:eastAsia="zh-CN"/>
        </w:rPr>
        <w:t xml:space="preserve"> </w:t>
      </w:r>
      <w:r w:rsidR="00772675" w:rsidRPr="00772675">
        <w:rPr>
          <w:rFonts w:asciiTheme="majorHAnsi" w:eastAsia="SimSun" w:hAnsiTheme="majorHAnsi" w:cstheme="majorHAnsi"/>
          <w:color w:val="272727"/>
          <w:sz w:val="21"/>
          <w:szCs w:val="21"/>
          <w:lang w:eastAsia="zh-CN"/>
        </w:rPr>
        <w:t xml:space="preserve">new weightings to </w:t>
      </w:r>
      <w:r w:rsidR="00E571AF">
        <w:rPr>
          <w:rFonts w:asciiTheme="majorHAnsi" w:eastAsia="SimSun" w:hAnsiTheme="majorHAnsi" w:cstheme="majorHAnsi"/>
          <w:color w:val="272727"/>
          <w:sz w:val="21"/>
          <w:szCs w:val="21"/>
          <w:lang w:eastAsia="zh-CN"/>
        </w:rPr>
        <w:t xml:space="preserve">properly </w:t>
      </w:r>
      <w:r w:rsidR="00772675" w:rsidRPr="00772675">
        <w:rPr>
          <w:rFonts w:asciiTheme="majorHAnsi" w:eastAsia="SimSun" w:hAnsiTheme="majorHAnsi" w:cstheme="majorHAnsi"/>
          <w:color w:val="272727"/>
          <w:sz w:val="21"/>
          <w:szCs w:val="21"/>
          <w:lang w:eastAsia="zh-CN"/>
        </w:rPr>
        <w:t>incentivi</w:t>
      </w:r>
      <w:r w:rsidR="00693E9E">
        <w:rPr>
          <w:rFonts w:asciiTheme="majorHAnsi" w:eastAsia="SimSun" w:hAnsiTheme="majorHAnsi" w:cstheme="majorHAnsi"/>
          <w:color w:val="272727"/>
          <w:sz w:val="21"/>
          <w:szCs w:val="21"/>
          <w:lang w:eastAsia="zh-CN"/>
        </w:rPr>
        <w:t>s</w:t>
      </w:r>
      <w:r w:rsidR="00772675" w:rsidRPr="00772675">
        <w:rPr>
          <w:rFonts w:asciiTheme="majorHAnsi" w:eastAsia="SimSun" w:hAnsiTheme="majorHAnsi" w:cstheme="majorHAnsi"/>
          <w:color w:val="272727"/>
          <w:sz w:val="21"/>
          <w:szCs w:val="21"/>
          <w:lang w:eastAsia="zh-CN"/>
        </w:rPr>
        <w:t xml:space="preserve">e </w:t>
      </w:r>
      <w:r w:rsidR="008D7522">
        <w:rPr>
          <w:rFonts w:asciiTheme="majorHAnsi" w:eastAsia="SimSun" w:hAnsiTheme="majorHAnsi" w:cstheme="majorHAnsi"/>
          <w:color w:val="272727"/>
          <w:sz w:val="21"/>
          <w:szCs w:val="21"/>
          <w:lang w:eastAsia="zh-CN"/>
        </w:rPr>
        <w:t>engagement</w:t>
      </w:r>
      <w:r w:rsidR="00772675" w:rsidRPr="00772675">
        <w:rPr>
          <w:rFonts w:asciiTheme="majorHAnsi" w:eastAsia="SimSun" w:hAnsiTheme="majorHAnsi" w:cstheme="majorHAnsi"/>
          <w:color w:val="272727"/>
          <w:sz w:val="21"/>
          <w:szCs w:val="21"/>
          <w:lang w:eastAsia="zh-CN"/>
        </w:rPr>
        <w:t xml:space="preserve">, but only at a pace which allows </w:t>
      </w:r>
      <w:r w:rsidR="00D919C9">
        <w:rPr>
          <w:rFonts w:asciiTheme="majorHAnsi" w:eastAsia="SimSun" w:hAnsiTheme="majorHAnsi" w:cstheme="majorHAnsi"/>
          <w:color w:val="272727"/>
          <w:sz w:val="21"/>
          <w:szCs w:val="21"/>
          <w:lang w:eastAsia="zh-CN"/>
        </w:rPr>
        <w:t>u</w:t>
      </w:r>
      <w:r w:rsidR="00772675" w:rsidRPr="00772675">
        <w:rPr>
          <w:rFonts w:asciiTheme="majorHAnsi" w:eastAsia="SimSun" w:hAnsiTheme="majorHAnsi" w:cstheme="majorHAnsi"/>
          <w:color w:val="272727"/>
          <w:sz w:val="21"/>
          <w:szCs w:val="21"/>
          <w:lang w:eastAsia="zh-CN"/>
        </w:rPr>
        <w:t>niversities to redirect future resources without compromising core educational missions.</w:t>
      </w:r>
    </w:p>
    <w:p w14:paraId="13A6039F" w14:textId="77777777" w:rsidR="00384054" w:rsidRDefault="00490854" w:rsidP="00D919C9">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b/>
          <w:bCs/>
          <w:color w:val="272727"/>
          <w:sz w:val="21"/>
          <w:szCs w:val="21"/>
          <w:lang w:eastAsia="zh-CN"/>
        </w:rPr>
        <w:t xml:space="preserve">Response </w:t>
      </w:r>
      <w:r w:rsidR="00384054" w:rsidRPr="00384054">
        <w:rPr>
          <w:rFonts w:asciiTheme="majorHAnsi" w:eastAsia="SimSun" w:hAnsiTheme="majorHAnsi" w:cstheme="majorHAnsi"/>
          <w:b/>
          <w:bCs/>
          <w:color w:val="272727"/>
          <w:sz w:val="21"/>
          <w:szCs w:val="21"/>
          <w:lang w:eastAsia="zh-CN"/>
        </w:rPr>
        <w:t>2</w:t>
      </w:r>
      <w:r w:rsidR="00384054" w:rsidRPr="00384054">
        <w:rPr>
          <w:rFonts w:asciiTheme="majorHAnsi" w:eastAsia="SimSun" w:hAnsiTheme="majorHAnsi" w:cstheme="majorHAnsi"/>
          <w:color w:val="272727"/>
          <w:sz w:val="21"/>
          <w:szCs w:val="21"/>
          <w:lang w:eastAsia="zh-CN"/>
        </w:rPr>
        <w:t xml:space="preserve">: </w:t>
      </w:r>
      <w:r w:rsidR="00665E18">
        <w:rPr>
          <w:rFonts w:asciiTheme="majorHAnsi" w:eastAsia="SimSun" w:hAnsiTheme="majorHAnsi" w:cstheme="majorHAnsi"/>
          <w:color w:val="272727"/>
          <w:sz w:val="21"/>
          <w:szCs w:val="21"/>
          <w:lang w:eastAsia="zh-CN"/>
        </w:rPr>
        <w:t>N</w:t>
      </w:r>
      <w:r w:rsidR="00384054" w:rsidRPr="00384054">
        <w:rPr>
          <w:rFonts w:asciiTheme="majorHAnsi" w:eastAsia="SimSun" w:hAnsiTheme="majorHAnsi" w:cstheme="majorHAnsi"/>
          <w:color w:val="272727"/>
          <w:sz w:val="21"/>
          <w:szCs w:val="21"/>
          <w:lang w:eastAsia="zh-CN"/>
        </w:rPr>
        <w:t xml:space="preserve">ew practices to partially offset the </w:t>
      </w:r>
      <w:r>
        <w:rPr>
          <w:rFonts w:asciiTheme="majorHAnsi" w:eastAsia="SimSun" w:hAnsiTheme="majorHAnsi" w:cstheme="majorHAnsi"/>
          <w:color w:val="272727"/>
          <w:sz w:val="21"/>
          <w:szCs w:val="21"/>
          <w:lang w:eastAsia="zh-CN"/>
        </w:rPr>
        <w:t>publicly funded research organisations’ (</w:t>
      </w:r>
      <w:r w:rsidR="00384054" w:rsidRPr="00384054">
        <w:rPr>
          <w:rFonts w:asciiTheme="majorHAnsi" w:eastAsia="SimSun" w:hAnsiTheme="majorHAnsi" w:cstheme="majorHAnsi"/>
          <w:color w:val="272727"/>
          <w:sz w:val="21"/>
          <w:szCs w:val="21"/>
          <w:lang w:eastAsia="zh-CN"/>
        </w:rPr>
        <w:t>PFRO’s</w:t>
      </w:r>
      <w:r>
        <w:rPr>
          <w:rFonts w:asciiTheme="majorHAnsi" w:eastAsia="SimSun" w:hAnsiTheme="majorHAnsi" w:cstheme="majorHAnsi"/>
          <w:color w:val="272727"/>
          <w:sz w:val="21"/>
          <w:szCs w:val="21"/>
          <w:lang w:eastAsia="zh-CN"/>
        </w:rPr>
        <w:t>)</w:t>
      </w:r>
      <w:r w:rsidR="00384054" w:rsidRPr="00384054">
        <w:rPr>
          <w:rFonts w:asciiTheme="majorHAnsi" w:eastAsia="SimSun" w:hAnsiTheme="majorHAnsi" w:cstheme="majorHAnsi"/>
          <w:color w:val="272727"/>
          <w:sz w:val="21"/>
          <w:szCs w:val="21"/>
          <w:lang w:eastAsia="zh-CN"/>
        </w:rPr>
        <w:t xml:space="preserve"> </w:t>
      </w:r>
      <w:r w:rsidR="00625F4D">
        <w:rPr>
          <w:rFonts w:asciiTheme="majorHAnsi" w:eastAsia="SimSun" w:hAnsiTheme="majorHAnsi" w:cstheme="majorHAnsi"/>
          <w:color w:val="272727"/>
          <w:sz w:val="21"/>
          <w:szCs w:val="21"/>
          <w:lang w:eastAsia="zh-CN"/>
        </w:rPr>
        <w:t xml:space="preserve">qualifying </w:t>
      </w:r>
      <w:r w:rsidR="001366A1">
        <w:rPr>
          <w:rFonts w:asciiTheme="majorHAnsi" w:eastAsia="SimSun" w:hAnsiTheme="majorHAnsi" w:cstheme="majorHAnsi"/>
          <w:color w:val="272727"/>
          <w:sz w:val="21"/>
          <w:szCs w:val="21"/>
          <w:lang w:eastAsia="zh-CN"/>
        </w:rPr>
        <w:t>intellectual property (</w:t>
      </w:r>
      <w:r w:rsidR="00384054" w:rsidRPr="00384054">
        <w:rPr>
          <w:rFonts w:asciiTheme="majorHAnsi" w:eastAsia="SimSun" w:hAnsiTheme="majorHAnsi" w:cstheme="majorHAnsi"/>
          <w:color w:val="272727"/>
          <w:sz w:val="21"/>
          <w:szCs w:val="21"/>
          <w:lang w:eastAsia="zh-CN"/>
        </w:rPr>
        <w:t>IP</w:t>
      </w:r>
      <w:r w:rsidR="001366A1">
        <w:rPr>
          <w:rFonts w:asciiTheme="majorHAnsi" w:eastAsia="SimSun" w:hAnsiTheme="majorHAnsi" w:cstheme="majorHAnsi"/>
          <w:color w:val="272727"/>
          <w:sz w:val="21"/>
          <w:szCs w:val="21"/>
          <w:lang w:eastAsia="zh-CN"/>
        </w:rPr>
        <w:t>)</w:t>
      </w:r>
      <w:r w:rsidR="00625F4D">
        <w:rPr>
          <w:rFonts w:asciiTheme="majorHAnsi" w:eastAsia="SimSun" w:hAnsiTheme="majorHAnsi" w:cstheme="majorHAnsi"/>
          <w:color w:val="272727"/>
          <w:sz w:val="21"/>
          <w:szCs w:val="21"/>
          <w:lang w:eastAsia="zh-CN"/>
        </w:rPr>
        <w:t xml:space="preserve"> protection costs</w:t>
      </w:r>
      <w:r w:rsidR="00384054" w:rsidRPr="00384054">
        <w:rPr>
          <w:rFonts w:asciiTheme="majorHAnsi" w:eastAsia="SimSun" w:hAnsiTheme="majorHAnsi" w:cstheme="majorHAnsi"/>
          <w:color w:val="272727"/>
          <w:sz w:val="21"/>
          <w:szCs w:val="21"/>
          <w:lang w:eastAsia="zh-CN"/>
        </w:rPr>
        <w:t xml:space="preserve">, and the development of IP frameworks to accelerate </w:t>
      </w:r>
      <w:r w:rsidR="00D919C9">
        <w:rPr>
          <w:rFonts w:asciiTheme="majorHAnsi" w:eastAsia="SimSun" w:hAnsiTheme="majorHAnsi" w:cstheme="majorHAnsi"/>
          <w:color w:val="272727"/>
          <w:sz w:val="21"/>
          <w:szCs w:val="21"/>
          <w:lang w:eastAsia="zh-CN"/>
        </w:rPr>
        <w:t>u</w:t>
      </w:r>
      <w:r w:rsidR="00384054" w:rsidRPr="00384054">
        <w:rPr>
          <w:rFonts w:asciiTheme="majorHAnsi" w:eastAsia="SimSun" w:hAnsiTheme="majorHAnsi" w:cstheme="majorHAnsi"/>
          <w:color w:val="272727"/>
          <w:sz w:val="21"/>
          <w:szCs w:val="21"/>
          <w:lang w:eastAsia="zh-CN"/>
        </w:rPr>
        <w:t>niversity-industry negotiations</w:t>
      </w:r>
      <w:r w:rsidR="001366A1">
        <w:rPr>
          <w:rFonts w:asciiTheme="majorHAnsi" w:eastAsia="SimSun" w:hAnsiTheme="majorHAnsi" w:cstheme="majorHAnsi"/>
          <w:color w:val="272727"/>
          <w:sz w:val="21"/>
          <w:szCs w:val="21"/>
          <w:lang w:eastAsia="zh-CN"/>
        </w:rPr>
        <w:t>,</w:t>
      </w:r>
      <w:r w:rsidR="00665E18">
        <w:rPr>
          <w:rFonts w:asciiTheme="majorHAnsi" w:eastAsia="SimSun" w:hAnsiTheme="majorHAnsi" w:cstheme="majorHAnsi"/>
          <w:color w:val="272727"/>
          <w:sz w:val="21"/>
          <w:szCs w:val="21"/>
          <w:lang w:eastAsia="zh-CN"/>
        </w:rPr>
        <w:t xml:space="preserve"> </w:t>
      </w:r>
      <w:r>
        <w:rPr>
          <w:rFonts w:asciiTheme="majorHAnsi" w:eastAsia="SimSun" w:hAnsiTheme="majorHAnsi" w:cstheme="majorHAnsi"/>
          <w:color w:val="272727"/>
          <w:sz w:val="21"/>
          <w:szCs w:val="21"/>
          <w:lang w:eastAsia="zh-CN"/>
        </w:rPr>
        <w:t xml:space="preserve">will </w:t>
      </w:r>
      <w:r w:rsidR="00665E18">
        <w:rPr>
          <w:rFonts w:asciiTheme="majorHAnsi" w:eastAsia="SimSun" w:hAnsiTheme="majorHAnsi" w:cstheme="majorHAnsi"/>
          <w:color w:val="272727"/>
          <w:sz w:val="21"/>
          <w:szCs w:val="21"/>
          <w:lang w:eastAsia="zh-CN"/>
        </w:rPr>
        <w:t xml:space="preserve">reduce </w:t>
      </w:r>
      <w:r w:rsidR="00955028">
        <w:rPr>
          <w:rFonts w:asciiTheme="majorHAnsi" w:eastAsia="SimSun" w:hAnsiTheme="majorHAnsi" w:cstheme="majorHAnsi"/>
          <w:color w:val="272727"/>
          <w:sz w:val="21"/>
          <w:szCs w:val="21"/>
          <w:lang w:eastAsia="zh-CN"/>
        </w:rPr>
        <w:t>current</w:t>
      </w:r>
      <w:r w:rsidR="00015ACA">
        <w:rPr>
          <w:rFonts w:asciiTheme="majorHAnsi" w:eastAsia="SimSun" w:hAnsiTheme="majorHAnsi" w:cstheme="majorHAnsi"/>
          <w:color w:val="272727"/>
          <w:sz w:val="21"/>
          <w:szCs w:val="21"/>
          <w:lang w:eastAsia="zh-CN"/>
        </w:rPr>
        <w:t>ly</w:t>
      </w:r>
      <w:r w:rsidR="00955028">
        <w:rPr>
          <w:rFonts w:asciiTheme="majorHAnsi" w:eastAsia="SimSun" w:hAnsiTheme="majorHAnsi" w:cstheme="majorHAnsi"/>
          <w:color w:val="272727"/>
          <w:sz w:val="21"/>
          <w:szCs w:val="21"/>
          <w:lang w:eastAsia="zh-CN"/>
        </w:rPr>
        <w:t xml:space="preserve"> high </w:t>
      </w:r>
      <w:r w:rsidR="00665E18">
        <w:rPr>
          <w:rFonts w:asciiTheme="majorHAnsi" w:eastAsia="SimSun" w:hAnsiTheme="majorHAnsi" w:cstheme="majorHAnsi"/>
          <w:color w:val="272727"/>
          <w:sz w:val="21"/>
          <w:szCs w:val="21"/>
          <w:lang w:eastAsia="zh-CN"/>
        </w:rPr>
        <w:t xml:space="preserve">barriers to </w:t>
      </w:r>
      <w:r w:rsidR="00955028">
        <w:rPr>
          <w:rFonts w:asciiTheme="majorHAnsi" w:eastAsia="SimSun" w:hAnsiTheme="majorHAnsi" w:cstheme="majorHAnsi"/>
          <w:color w:val="272727"/>
          <w:sz w:val="21"/>
          <w:szCs w:val="21"/>
          <w:lang w:eastAsia="zh-CN"/>
        </w:rPr>
        <w:t>collaboration</w:t>
      </w:r>
      <w:r w:rsidR="00384054" w:rsidRPr="00384054">
        <w:rPr>
          <w:rFonts w:asciiTheme="majorHAnsi" w:eastAsia="SimSun" w:hAnsiTheme="majorHAnsi" w:cstheme="majorHAnsi"/>
          <w:color w:val="272727"/>
          <w:sz w:val="21"/>
          <w:szCs w:val="21"/>
          <w:lang w:eastAsia="zh-CN"/>
        </w:rPr>
        <w:t>.</w:t>
      </w:r>
    </w:p>
    <w:p w14:paraId="13A603A1" w14:textId="77777777" w:rsidR="00384054" w:rsidRDefault="00796938" w:rsidP="00015ACA">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b/>
          <w:bCs/>
          <w:color w:val="272727"/>
          <w:sz w:val="21"/>
          <w:szCs w:val="21"/>
          <w:lang w:eastAsia="zh-CN"/>
        </w:rPr>
        <w:t xml:space="preserve">Response </w:t>
      </w:r>
      <w:r w:rsidR="00384054" w:rsidRPr="00384054">
        <w:rPr>
          <w:rFonts w:asciiTheme="majorHAnsi" w:eastAsia="SimSun" w:hAnsiTheme="majorHAnsi" w:cstheme="majorHAnsi"/>
          <w:b/>
          <w:bCs/>
          <w:color w:val="272727"/>
          <w:sz w:val="21"/>
          <w:szCs w:val="21"/>
          <w:lang w:eastAsia="zh-CN"/>
        </w:rPr>
        <w:t xml:space="preserve">3: </w:t>
      </w:r>
      <w:r w:rsidR="00665E18" w:rsidRPr="00665E18">
        <w:rPr>
          <w:rFonts w:asciiTheme="majorHAnsi" w:eastAsia="SimSun" w:hAnsiTheme="majorHAnsi" w:cstheme="majorHAnsi"/>
          <w:color w:val="272727"/>
          <w:sz w:val="21"/>
          <w:szCs w:val="21"/>
          <w:lang w:eastAsia="zh-CN"/>
        </w:rPr>
        <w:t>Without access to</w:t>
      </w:r>
      <w:r w:rsidR="00665E18">
        <w:rPr>
          <w:rFonts w:asciiTheme="majorHAnsi" w:eastAsia="SimSun" w:hAnsiTheme="majorHAnsi" w:cstheme="majorHAnsi"/>
          <w:b/>
          <w:bCs/>
          <w:color w:val="272727"/>
          <w:sz w:val="21"/>
          <w:szCs w:val="21"/>
          <w:lang w:eastAsia="zh-CN"/>
        </w:rPr>
        <w:t xml:space="preserve"> </w:t>
      </w:r>
      <w:r w:rsidR="00384054" w:rsidRPr="00384054">
        <w:rPr>
          <w:rFonts w:asciiTheme="majorHAnsi" w:eastAsia="SimSun" w:hAnsiTheme="majorHAnsi" w:cstheme="majorHAnsi"/>
          <w:color w:val="272727"/>
          <w:sz w:val="21"/>
          <w:szCs w:val="21"/>
          <w:lang w:eastAsia="zh-CN"/>
        </w:rPr>
        <w:t xml:space="preserve">financial incentives / mechanisms </w:t>
      </w:r>
      <w:r w:rsidR="00D919C9">
        <w:rPr>
          <w:rFonts w:asciiTheme="majorHAnsi" w:eastAsia="SimSun" w:hAnsiTheme="majorHAnsi" w:cstheme="majorHAnsi"/>
          <w:color w:val="272727"/>
          <w:sz w:val="21"/>
          <w:szCs w:val="21"/>
          <w:lang w:eastAsia="zh-CN"/>
        </w:rPr>
        <w:t>u</w:t>
      </w:r>
      <w:r w:rsidR="00384054" w:rsidRPr="00384054">
        <w:rPr>
          <w:rFonts w:asciiTheme="majorHAnsi" w:eastAsia="SimSun" w:hAnsiTheme="majorHAnsi" w:cstheme="majorHAnsi"/>
          <w:color w:val="272727"/>
          <w:sz w:val="21"/>
          <w:szCs w:val="21"/>
          <w:lang w:eastAsia="zh-CN"/>
        </w:rPr>
        <w:t xml:space="preserve">niversities </w:t>
      </w:r>
      <w:r w:rsidR="00665E18">
        <w:rPr>
          <w:rFonts w:asciiTheme="majorHAnsi" w:eastAsia="SimSun" w:hAnsiTheme="majorHAnsi" w:cstheme="majorHAnsi"/>
          <w:color w:val="272727"/>
          <w:sz w:val="21"/>
          <w:szCs w:val="21"/>
          <w:lang w:eastAsia="zh-CN"/>
        </w:rPr>
        <w:t xml:space="preserve">will remain largely unable </w:t>
      </w:r>
      <w:r w:rsidR="00384054" w:rsidRPr="00384054">
        <w:rPr>
          <w:rFonts w:asciiTheme="majorHAnsi" w:eastAsia="SimSun" w:hAnsiTheme="majorHAnsi" w:cstheme="majorHAnsi"/>
          <w:color w:val="272727"/>
          <w:sz w:val="21"/>
          <w:szCs w:val="21"/>
          <w:lang w:eastAsia="zh-CN"/>
        </w:rPr>
        <w:t xml:space="preserve">to </w:t>
      </w:r>
      <w:r w:rsidR="00955028">
        <w:rPr>
          <w:rFonts w:asciiTheme="majorHAnsi" w:eastAsia="SimSun" w:hAnsiTheme="majorHAnsi" w:cstheme="majorHAnsi"/>
          <w:color w:val="272727"/>
          <w:sz w:val="21"/>
          <w:szCs w:val="21"/>
          <w:lang w:eastAsia="zh-CN"/>
        </w:rPr>
        <w:t>re</w:t>
      </w:r>
      <w:r w:rsidR="00384054" w:rsidRPr="00384054">
        <w:rPr>
          <w:rFonts w:asciiTheme="majorHAnsi" w:eastAsia="SimSun" w:hAnsiTheme="majorHAnsi" w:cstheme="majorHAnsi"/>
          <w:color w:val="272727"/>
          <w:sz w:val="21"/>
          <w:szCs w:val="21"/>
          <w:lang w:eastAsia="zh-CN"/>
        </w:rPr>
        <w:t xml:space="preserve">deploy existing, or secure new researchers </w:t>
      </w:r>
      <w:r w:rsidR="00D919C9">
        <w:rPr>
          <w:rFonts w:asciiTheme="majorHAnsi" w:eastAsia="SimSun" w:hAnsiTheme="majorHAnsi" w:cstheme="majorHAnsi"/>
          <w:color w:val="272727"/>
          <w:sz w:val="21"/>
          <w:szCs w:val="21"/>
          <w:lang w:eastAsia="zh-CN"/>
        </w:rPr>
        <w:t xml:space="preserve">committed to </w:t>
      </w:r>
      <w:r w:rsidR="000C3522">
        <w:rPr>
          <w:rFonts w:asciiTheme="majorHAnsi" w:eastAsia="SimSun" w:hAnsiTheme="majorHAnsi" w:cstheme="majorHAnsi"/>
          <w:color w:val="272727"/>
          <w:sz w:val="21"/>
          <w:szCs w:val="21"/>
          <w:lang w:eastAsia="zh-CN"/>
        </w:rPr>
        <w:t>mid- to long</w:t>
      </w:r>
      <w:r w:rsidR="00015ACA">
        <w:rPr>
          <w:rFonts w:asciiTheme="majorHAnsi" w:eastAsia="SimSun" w:hAnsiTheme="majorHAnsi" w:cstheme="majorHAnsi"/>
          <w:color w:val="272727"/>
          <w:sz w:val="21"/>
          <w:szCs w:val="21"/>
          <w:lang w:eastAsia="zh-CN"/>
        </w:rPr>
        <w:t>er</w:t>
      </w:r>
      <w:r w:rsidR="000C3522">
        <w:rPr>
          <w:rFonts w:asciiTheme="majorHAnsi" w:eastAsia="SimSun" w:hAnsiTheme="majorHAnsi" w:cstheme="majorHAnsi"/>
          <w:color w:val="272727"/>
          <w:sz w:val="21"/>
          <w:szCs w:val="21"/>
          <w:lang w:eastAsia="zh-CN"/>
        </w:rPr>
        <w:t xml:space="preserve">-term </w:t>
      </w:r>
      <w:r w:rsidR="00955028">
        <w:rPr>
          <w:rFonts w:asciiTheme="majorHAnsi" w:eastAsia="SimSun" w:hAnsiTheme="majorHAnsi" w:cstheme="majorHAnsi"/>
          <w:color w:val="272727"/>
          <w:sz w:val="21"/>
          <w:szCs w:val="21"/>
          <w:lang w:eastAsia="zh-CN"/>
        </w:rPr>
        <w:t>collaborations and consultan</w:t>
      </w:r>
      <w:r w:rsidR="00015ACA">
        <w:rPr>
          <w:rFonts w:asciiTheme="majorHAnsi" w:eastAsia="SimSun" w:hAnsiTheme="majorHAnsi" w:cstheme="majorHAnsi"/>
          <w:color w:val="272727"/>
          <w:sz w:val="21"/>
          <w:szCs w:val="21"/>
          <w:lang w:eastAsia="zh-CN"/>
        </w:rPr>
        <w:t>cy</w:t>
      </w:r>
      <w:r w:rsidR="00384054" w:rsidRPr="00384054">
        <w:rPr>
          <w:rFonts w:asciiTheme="majorHAnsi" w:eastAsia="SimSun" w:hAnsiTheme="majorHAnsi" w:cstheme="majorHAnsi"/>
          <w:color w:val="272727"/>
          <w:sz w:val="21"/>
          <w:szCs w:val="21"/>
          <w:lang w:eastAsia="zh-CN"/>
        </w:rPr>
        <w:t xml:space="preserve"> </w:t>
      </w:r>
      <w:r w:rsidR="00665E18" w:rsidRPr="00384054">
        <w:rPr>
          <w:rFonts w:asciiTheme="majorHAnsi" w:eastAsia="SimSun" w:hAnsiTheme="majorHAnsi" w:cstheme="majorHAnsi"/>
          <w:color w:val="272727"/>
          <w:sz w:val="21"/>
          <w:szCs w:val="21"/>
          <w:lang w:eastAsia="zh-CN"/>
        </w:rPr>
        <w:t>with</w:t>
      </w:r>
      <w:r w:rsidR="00384054" w:rsidRPr="00384054">
        <w:rPr>
          <w:rFonts w:asciiTheme="majorHAnsi" w:eastAsia="SimSun" w:hAnsiTheme="majorHAnsi" w:cstheme="majorHAnsi"/>
          <w:color w:val="272727"/>
          <w:sz w:val="21"/>
          <w:szCs w:val="21"/>
          <w:lang w:eastAsia="zh-CN"/>
        </w:rPr>
        <w:t xml:space="preserve"> industry.</w:t>
      </w:r>
    </w:p>
    <w:p w14:paraId="13A603A3" w14:textId="77777777" w:rsidR="00384054" w:rsidRDefault="00796938" w:rsidP="00D919C9">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b/>
          <w:bCs/>
          <w:color w:val="272727"/>
          <w:sz w:val="21"/>
          <w:szCs w:val="21"/>
          <w:lang w:eastAsia="zh-CN"/>
        </w:rPr>
        <w:t xml:space="preserve">Response </w:t>
      </w:r>
      <w:r w:rsidR="00384054" w:rsidRPr="00384054">
        <w:rPr>
          <w:rFonts w:asciiTheme="majorHAnsi" w:eastAsia="SimSun" w:hAnsiTheme="majorHAnsi" w:cstheme="majorHAnsi"/>
          <w:b/>
          <w:bCs/>
          <w:color w:val="272727"/>
          <w:sz w:val="21"/>
          <w:szCs w:val="21"/>
          <w:lang w:eastAsia="zh-CN"/>
        </w:rPr>
        <w:t xml:space="preserve">4: </w:t>
      </w:r>
      <w:r w:rsidR="00490854">
        <w:rPr>
          <w:rFonts w:asciiTheme="majorHAnsi" w:eastAsia="SimSun" w:hAnsiTheme="majorHAnsi" w:cstheme="majorHAnsi"/>
          <w:color w:val="272727"/>
          <w:sz w:val="21"/>
          <w:szCs w:val="21"/>
          <w:lang w:eastAsia="zh-CN"/>
        </w:rPr>
        <w:t xml:space="preserve">There would be </w:t>
      </w:r>
      <w:r w:rsidR="00015ACA">
        <w:rPr>
          <w:rFonts w:asciiTheme="majorHAnsi" w:eastAsia="SimSun" w:hAnsiTheme="majorHAnsi" w:cstheme="majorHAnsi"/>
          <w:color w:val="272727"/>
          <w:sz w:val="21"/>
          <w:szCs w:val="21"/>
          <w:lang w:eastAsia="zh-CN"/>
        </w:rPr>
        <w:t xml:space="preserve">a </w:t>
      </w:r>
      <w:r w:rsidR="00490854">
        <w:rPr>
          <w:rFonts w:asciiTheme="majorHAnsi" w:eastAsia="SimSun" w:hAnsiTheme="majorHAnsi" w:cstheme="majorHAnsi"/>
          <w:color w:val="272727"/>
          <w:sz w:val="21"/>
          <w:szCs w:val="21"/>
          <w:lang w:eastAsia="zh-CN"/>
        </w:rPr>
        <w:t xml:space="preserve">marked increase in the number of </w:t>
      </w:r>
      <w:r w:rsidR="00D919C9">
        <w:rPr>
          <w:rFonts w:asciiTheme="majorHAnsi" w:eastAsia="SimSun" w:hAnsiTheme="majorHAnsi" w:cstheme="majorHAnsi"/>
          <w:color w:val="272727"/>
          <w:sz w:val="21"/>
          <w:szCs w:val="21"/>
          <w:lang w:eastAsia="zh-CN"/>
        </w:rPr>
        <w:t>u</w:t>
      </w:r>
      <w:r w:rsidR="00490854">
        <w:rPr>
          <w:rFonts w:asciiTheme="majorHAnsi" w:eastAsia="SimSun" w:hAnsiTheme="majorHAnsi" w:cstheme="majorHAnsi"/>
          <w:color w:val="272727"/>
          <w:sz w:val="21"/>
          <w:szCs w:val="21"/>
          <w:lang w:eastAsia="zh-CN"/>
        </w:rPr>
        <w:t xml:space="preserve">niversities </w:t>
      </w:r>
      <w:r w:rsidR="00D919C9">
        <w:rPr>
          <w:rFonts w:asciiTheme="majorHAnsi" w:eastAsia="SimSun" w:hAnsiTheme="majorHAnsi" w:cstheme="majorHAnsi"/>
          <w:color w:val="272727"/>
          <w:sz w:val="21"/>
          <w:szCs w:val="21"/>
          <w:lang w:eastAsia="zh-CN"/>
        </w:rPr>
        <w:t xml:space="preserve">with </w:t>
      </w:r>
      <w:r w:rsidR="00384054" w:rsidRPr="00384054">
        <w:rPr>
          <w:rFonts w:asciiTheme="majorHAnsi" w:eastAsia="SimSun" w:hAnsiTheme="majorHAnsi" w:cstheme="majorHAnsi"/>
          <w:color w:val="272727"/>
          <w:sz w:val="21"/>
          <w:szCs w:val="21"/>
          <w:lang w:eastAsia="zh-CN"/>
        </w:rPr>
        <w:t xml:space="preserve">entrepreneurial programs </w:t>
      </w:r>
      <w:r w:rsidR="00490854">
        <w:rPr>
          <w:rFonts w:asciiTheme="majorHAnsi" w:eastAsia="SimSun" w:hAnsiTheme="majorHAnsi" w:cstheme="majorHAnsi"/>
          <w:color w:val="272727"/>
          <w:sz w:val="21"/>
          <w:szCs w:val="21"/>
          <w:lang w:eastAsia="zh-CN"/>
        </w:rPr>
        <w:t xml:space="preserve">if the government provided access to resources to meet the costs </w:t>
      </w:r>
      <w:r w:rsidR="00A7506D">
        <w:rPr>
          <w:rFonts w:asciiTheme="majorHAnsi" w:eastAsia="SimSun" w:hAnsiTheme="majorHAnsi" w:cstheme="majorHAnsi"/>
          <w:color w:val="272727"/>
          <w:sz w:val="21"/>
          <w:szCs w:val="21"/>
          <w:lang w:eastAsia="zh-CN"/>
        </w:rPr>
        <w:t xml:space="preserve">to </w:t>
      </w:r>
      <w:r w:rsidR="00384054" w:rsidRPr="00384054">
        <w:rPr>
          <w:rFonts w:asciiTheme="majorHAnsi" w:eastAsia="SimSun" w:hAnsiTheme="majorHAnsi" w:cstheme="majorHAnsi"/>
          <w:color w:val="272727"/>
          <w:sz w:val="21"/>
          <w:szCs w:val="21"/>
          <w:lang w:eastAsia="zh-CN"/>
        </w:rPr>
        <w:t>access cohort</w:t>
      </w:r>
      <w:r w:rsidR="00490854">
        <w:rPr>
          <w:rFonts w:asciiTheme="majorHAnsi" w:eastAsia="SimSun" w:hAnsiTheme="majorHAnsi" w:cstheme="majorHAnsi"/>
          <w:color w:val="272727"/>
          <w:sz w:val="21"/>
          <w:szCs w:val="21"/>
          <w:lang w:eastAsia="zh-CN"/>
        </w:rPr>
        <w:t>s</w:t>
      </w:r>
      <w:r w:rsidR="00384054" w:rsidRPr="00384054">
        <w:rPr>
          <w:rFonts w:asciiTheme="majorHAnsi" w:eastAsia="SimSun" w:hAnsiTheme="majorHAnsi" w:cstheme="majorHAnsi"/>
          <w:color w:val="272727"/>
          <w:sz w:val="21"/>
          <w:szCs w:val="21"/>
          <w:lang w:eastAsia="zh-CN"/>
        </w:rPr>
        <w:t xml:space="preserve"> of business mentors </w:t>
      </w:r>
      <w:r w:rsidR="00955028">
        <w:rPr>
          <w:rFonts w:asciiTheme="majorHAnsi" w:eastAsia="SimSun" w:hAnsiTheme="majorHAnsi" w:cstheme="majorHAnsi"/>
          <w:color w:val="272727"/>
          <w:sz w:val="21"/>
          <w:szCs w:val="21"/>
          <w:lang w:eastAsia="zh-CN"/>
        </w:rPr>
        <w:t>and/</w:t>
      </w:r>
      <w:r w:rsidR="003C763F">
        <w:rPr>
          <w:rFonts w:asciiTheme="majorHAnsi" w:eastAsia="SimSun" w:hAnsiTheme="majorHAnsi" w:cstheme="majorHAnsi"/>
          <w:color w:val="272727"/>
          <w:sz w:val="21"/>
          <w:szCs w:val="21"/>
          <w:lang w:eastAsia="zh-CN"/>
        </w:rPr>
        <w:t xml:space="preserve">or </w:t>
      </w:r>
      <w:r w:rsidR="00384054" w:rsidRPr="00384054">
        <w:rPr>
          <w:rFonts w:asciiTheme="majorHAnsi" w:eastAsia="SimSun" w:hAnsiTheme="majorHAnsi" w:cstheme="majorHAnsi"/>
          <w:color w:val="272727"/>
          <w:sz w:val="21"/>
          <w:szCs w:val="21"/>
          <w:lang w:eastAsia="zh-CN"/>
        </w:rPr>
        <w:t>offer</w:t>
      </w:r>
      <w:r>
        <w:rPr>
          <w:rFonts w:asciiTheme="majorHAnsi" w:eastAsia="SimSun" w:hAnsiTheme="majorHAnsi" w:cstheme="majorHAnsi"/>
          <w:color w:val="272727"/>
          <w:sz w:val="21"/>
          <w:szCs w:val="21"/>
          <w:lang w:eastAsia="zh-CN"/>
        </w:rPr>
        <w:t>ed</w:t>
      </w:r>
      <w:r w:rsidR="00384054" w:rsidRPr="00384054">
        <w:rPr>
          <w:rFonts w:asciiTheme="majorHAnsi" w:eastAsia="SimSun" w:hAnsiTheme="majorHAnsi" w:cstheme="majorHAnsi"/>
          <w:color w:val="272727"/>
          <w:sz w:val="21"/>
          <w:szCs w:val="21"/>
          <w:lang w:eastAsia="zh-CN"/>
        </w:rPr>
        <w:t xml:space="preserve"> </w:t>
      </w:r>
      <w:r w:rsidR="000C3522">
        <w:rPr>
          <w:rFonts w:asciiTheme="majorHAnsi" w:eastAsia="SimSun" w:hAnsiTheme="majorHAnsi" w:cstheme="majorHAnsi"/>
          <w:color w:val="272727"/>
          <w:sz w:val="21"/>
          <w:szCs w:val="21"/>
          <w:lang w:eastAsia="zh-CN"/>
        </w:rPr>
        <w:t xml:space="preserve">very-early stage </w:t>
      </w:r>
      <w:r w:rsidR="00384054" w:rsidRPr="00384054">
        <w:rPr>
          <w:rFonts w:asciiTheme="majorHAnsi" w:eastAsia="SimSun" w:hAnsiTheme="majorHAnsi" w:cstheme="majorHAnsi"/>
          <w:color w:val="272727"/>
          <w:sz w:val="21"/>
          <w:szCs w:val="21"/>
          <w:lang w:eastAsia="zh-CN"/>
        </w:rPr>
        <w:t xml:space="preserve">investors financial incentives to invest in </w:t>
      </w:r>
      <w:r w:rsidR="00D919C9">
        <w:rPr>
          <w:rFonts w:asciiTheme="majorHAnsi" w:eastAsia="SimSun" w:hAnsiTheme="majorHAnsi" w:cstheme="majorHAnsi"/>
          <w:color w:val="272727"/>
          <w:sz w:val="21"/>
          <w:szCs w:val="21"/>
          <w:lang w:eastAsia="zh-CN"/>
        </w:rPr>
        <w:t>u</w:t>
      </w:r>
      <w:r w:rsidR="00955028">
        <w:rPr>
          <w:rFonts w:asciiTheme="majorHAnsi" w:eastAsia="SimSun" w:hAnsiTheme="majorHAnsi" w:cstheme="majorHAnsi"/>
          <w:color w:val="272727"/>
          <w:sz w:val="21"/>
          <w:szCs w:val="21"/>
          <w:lang w:eastAsia="zh-CN"/>
        </w:rPr>
        <w:t>niversity-</w:t>
      </w:r>
      <w:r>
        <w:rPr>
          <w:rFonts w:asciiTheme="majorHAnsi" w:eastAsia="SimSun" w:hAnsiTheme="majorHAnsi" w:cstheme="majorHAnsi"/>
          <w:color w:val="272727"/>
          <w:sz w:val="21"/>
          <w:szCs w:val="21"/>
          <w:lang w:eastAsia="zh-CN"/>
        </w:rPr>
        <w:t xml:space="preserve">based </w:t>
      </w:r>
      <w:r w:rsidR="00384054" w:rsidRPr="00384054">
        <w:rPr>
          <w:rFonts w:asciiTheme="majorHAnsi" w:eastAsia="SimSun" w:hAnsiTheme="majorHAnsi" w:cstheme="majorHAnsi"/>
          <w:color w:val="272727"/>
          <w:sz w:val="21"/>
          <w:szCs w:val="21"/>
          <w:lang w:eastAsia="zh-CN"/>
        </w:rPr>
        <w:t>incubator or accelerator opportunities.</w:t>
      </w:r>
    </w:p>
    <w:p w14:paraId="13A603A5" w14:textId="77777777" w:rsidR="00384054" w:rsidRDefault="00796938" w:rsidP="00D919C9">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b/>
          <w:bCs/>
          <w:color w:val="272727"/>
          <w:sz w:val="21"/>
          <w:szCs w:val="21"/>
          <w:lang w:eastAsia="zh-CN"/>
        </w:rPr>
        <w:t xml:space="preserve">Response </w:t>
      </w:r>
      <w:r w:rsidR="00384054" w:rsidRPr="00384054">
        <w:rPr>
          <w:rFonts w:asciiTheme="majorHAnsi" w:eastAsia="SimSun" w:hAnsiTheme="majorHAnsi" w:cstheme="majorHAnsi"/>
          <w:b/>
          <w:bCs/>
          <w:color w:val="272727"/>
          <w:sz w:val="21"/>
          <w:szCs w:val="21"/>
          <w:lang w:eastAsia="zh-CN"/>
        </w:rPr>
        <w:t xml:space="preserve">5: </w:t>
      </w:r>
      <w:r w:rsidR="000C3522" w:rsidRPr="000C3522">
        <w:rPr>
          <w:rFonts w:asciiTheme="majorHAnsi" w:eastAsia="SimSun" w:hAnsiTheme="majorHAnsi" w:cstheme="majorHAnsi"/>
          <w:color w:val="272727"/>
          <w:sz w:val="21"/>
          <w:szCs w:val="21"/>
          <w:lang w:eastAsia="zh-CN"/>
        </w:rPr>
        <w:t>Without</w:t>
      </w:r>
      <w:r w:rsidR="000C3522">
        <w:rPr>
          <w:rFonts w:asciiTheme="majorHAnsi" w:eastAsia="SimSun" w:hAnsiTheme="majorHAnsi" w:cstheme="majorHAnsi"/>
          <w:b/>
          <w:bCs/>
          <w:color w:val="272727"/>
          <w:sz w:val="21"/>
          <w:szCs w:val="21"/>
          <w:lang w:eastAsia="zh-CN"/>
        </w:rPr>
        <w:t xml:space="preserve"> </w:t>
      </w:r>
      <w:r w:rsidR="00384054" w:rsidRPr="00384054">
        <w:rPr>
          <w:rFonts w:asciiTheme="majorHAnsi" w:eastAsia="SimSun" w:hAnsiTheme="majorHAnsi" w:cstheme="majorHAnsi"/>
          <w:color w:val="272727"/>
          <w:sz w:val="21"/>
          <w:szCs w:val="21"/>
          <w:lang w:eastAsia="zh-CN"/>
        </w:rPr>
        <w:t xml:space="preserve">regulatory and taxation reform to permit part-time higher degree research </w:t>
      </w:r>
      <w:r w:rsidR="000C3522">
        <w:rPr>
          <w:rFonts w:asciiTheme="majorHAnsi" w:eastAsia="SimSun" w:hAnsiTheme="majorHAnsi" w:cstheme="majorHAnsi"/>
          <w:color w:val="272727"/>
          <w:sz w:val="21"/>
          <w:szCs w:val="21"/>
          <w:lang w:eastAsia="zh-CN"/>
        </w:rPr>
        <w:t xml:space="preserve">(HDR) </w:t>
      </w:r>
      <w:r w:rsidR="00384054" w:rsidRPr="00384054">
        <w:rPr>
          <w:rFonts w:asciiTheme="majorHAnsi" w:eastAsia="SimSun" w:hAnsiTheme="majorHAnsi" w:cstheme="majorHAnsi"/>
          <w:color w:val="272727"/>
          <w:sz w:val="21"/>
          <w:szCs w:val="21"/>
          <w:lang w:eastAsia="zh-CN"/>
        </w:rPr>
        <w:t xml:space="preserve">students to receive income tax-free scholarships from industry </w:t>
      </w:r>
      <w:r w:rsidR="00A7506D">
        <w:rPr>
          <w:rFonts w:asciiTheme="majorHAnsi" w:eastAsia="SimSun" w:hAnsiTheme="majorHAnsi" w:cstheme="majorHAnsi"/>
          <w:color w:val="272727"/>
          <w:sz w:val="21"/>
          <w:szCs w:val="21"/>
          <w:lang w:eastAsia="zh-CN"/>
        </w:rPr>
        <w:t>and</w:t>
      </w:r>
      <w:r w:rsidR="000C3522">
        <w:rPr>
          <w:rFonts w:asciiTheme="majorHAnsi" w:eastAsia="SimSun" w:hAnsiTheme="majorHAnsi" w:cstheme="majorHAnsi"/>
          <w:color w:val="272727"/>
          <w:sz w:val="21"/>
          <w:szCs w:val="21"/>
          <w:lang w:eastAsia="zh-CN"/>
        </w:rPr>
        <w:t xml:space="preserve"> </w:t>
      </w:r>
      <w:r w:rsidR="00D919C9">
        <w:rPr>
          <w:rFonts w:asciiTheme="majorHAnsi" w:eastAsia="SimSun" w:hAnsiTheme="majorHAnsi" w:cstheme="majorHAnsi"/>
          <w:color w:val="272727"/>
          <w:sz w:val="21"/>
          <w:szCs w:val="21"/>
          <w:lang w:eastAsia="zh-CN"/>
        </w:rPr>
        <w:t>clearer</w:t>
      </w:r>
      <w:r w:rsidR="00A7506D">
        <w:rPr>
          <w:rFonts w:asciiTheme="majorHAnsi" w:eastAsia="SimSun" w:hAnsiTheme="majorHAnsi" w:cstheme="majorHAnsi"/>
          <w:color w:val="272727"/>
          <w:sz w:val="21"/>
          <w:szCs w:val="21"/>
          <w:lang w:eastAsia="zh-CN"/>
        </w:rPr>
        <w:t xml:space="preserve"> conditions for </w:t>
      </w:r>
      <w:r w:rsidR="00384054" w:rsidRPr="00384054">
        <w:rPr>
          <w:rFonts w:asciiTheme="majorHAnsi" w:eastAsia="SimSun" w:hAnsiTheme="majorHAnsi" w:cstheme="majorHAnsi"/>
          <w:color w:val="272727"/>
          <w:sz w:val="21"/>
          <w:szCs w:val="21"/>
          <w:lang w:eastAsia="zh-CN"/>
        </w:rPr>
        <w:t>tax-free scholarships</w:t>
      </w:r>
      <w:r w:rsidR="00015ACA">
        <w:rPr>
          <w:rFonts w:asciiTheme="majorHAnsi" w:eastAsia="SimSun" w:hAnsiTheme="majorHAnsi" w:cstheme="majorHAnsi"/>
          <w:color w:val="272727"/>
          <w:sz w:val="21"/>
          <w:szCs w:val="21"/>
          <w:lang w:eastAsia="zh-CN"/>
        </w:rPr>
        <w:t xml:space="preserve"> for HDR students</w:t>
      </w:r>
      <w:r w:rsidR="000C3522">
        <w:rPr>
          <w:rFonts w:asciiTheme="majorHAnsi" w:eastAsia="SimSun" w:hAnsiTheme="majorHAnsi" w:cstheme="majorHAnsi"/>
          <w:color w:val="272727"/>
          <w:sz w:val="21"/>
          <w:szCs w:val="21"/>
          <w:lang w:eastAsia="zh-CN"/>
        </w:rPr>
        <w:t xml:space="preserve">, there will be little change in the </w:t>
      </w:r>
      <w:r w:rsidR="00D919C9">
        <w:rPr>
          <w:rFonts w:asciiTheme="majorHAnsi" w:eastAsia="SimSun" w:hAnsiTheme="majorHAnsi" w:cstheme="majorHAnsi"/>
          <w:color w:val="272727"/>
          <w:sz w:val="21"/>
          <w:szCs w:val="21"/>
          <w:lang w:eastAsia="zh-CN"/>
        </w:rPr>
        <w:t xml:space="preserve">number of </w:t>
      </w:r>
      <w:r w:rsidR="000C3522">
        <w:rPr>
          <w:rFonts w:asciiTheme="majorHAnsi" w:eastAsia="SimSun" w:hAnsiTheme="majorHAnsi" w:cstheme="majorHAnsi"/>
          <w:color w:val="272727"/>
          <w:sz w:val="21"/>
          <w:szCs w:val="21"/>
          <w:lang w:eastAsia="zh-CN"/>
        </w:rPr>
        <w:t>HDR-industry</w:t>
      </w:r>
      <w:r w:rsidR="00966292">
        <w:rPr>
          <w:rFonts w:asciiTheme="majorHAnsi" w:eastAsia="SimSun" w:hAnsiTheme="majorHAnsi" w:cstheme="majorHAnsi"/>
          <w:color w:val="272727"/>
          <w:sz w:val="21"/>
          <w:szCs w:val="21"/>
          <w:lang w:eastAsia="zh-CN"/>
        </w:rPr>
        <w:t xml:space="preserve"> engagements.</w:t>
      </w:r>
    </w:p>
    <w:p w14:paraId="13A603A7" w14:textId="5F329E4D" w:rsidR="004814CF" w:rsidRDefault="00796938" w:rsidP="00D919C9">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b/>
          <w:bCs/>
          <w:color w:val="272727"/>
          <w:sz w:val="21"/>
          <w:szCs w:val="21"/>
          <w:lang w:eastAsia="zh-CN"/>
        </w:rPr>
        <w:t xml:space="preserve">Response </w:t>
      </w:r>
      <w:r w:rsidR="00384054" w:rsidRPr="00384054">
        <w:rPr>
          <w:rFonts w:asciiTheme="majorHAnsi" w:eastAsia="SimSun" w:hAnsiTheme="majorHAnsi" w:cstheme="majorHAnsi"/>
          <w:b/>
          <w:bCs/>
          <w:color w:val="272727"/>
          <w:sz w:val="21"/>
          <w:szCs w:val="21"/>
          <w:lang w:eastAsia="zh-CN"/>
        </w:rPr>
        <w:t xml:space="preserve">6: </w:t>
      </w:r>
      <w:r w:rsidR="00966292" w:rsidRPr="00966292">
        <w:rPr>
          <w:rFonts w:asciiTheme="majorHAnsi" w:eastAsia="SimSun" w:hAnsiTheme="majorHAnsi" w:cstheme="majorHAnsi"/>
          <w:color w:val="272727"/>
          <w:sz w:val="21"/>
          <w:szCs w:val="21"/>
          <w:lang w:eastAsia="zh-CN"/>
        </w:rPr>
        <w:t xml:space="preserve">The amount of funding for </w:t>
      </w:r>
      <w:r w:rsidR="00966292">
        <w:rPr>
          <w:rFonts w:asciiTheme="majorHAnsi" w:eastAsia="SimSun" w:hAnsiTheme="majorHAnsi" w:cstheme="majorHAnsi"/>
          <w:color w:val="272727"/>
          <w:sz w:val="21"/>
          <w:szCs w:val="21"/>
          <w:lang w:eastAsia="zh-CN"/>
        </w:rPr>
        <w:t>i</w:t>
      </w:r>
      <w:r w:rsidR="00384054" w:rsidRPr="00966292">
        <w:rPr>
          <w:rFonts w:asciiTheme="majorHAnsi" w:eastAsia="SimSun" w:hAnsiTheme="majorHAnsi" w:cstheme="majorHAnsi"/>
          <w:color w:val="272727"/>
          <w:sz w:val="21"/>
          <w:szCs w:val="21"/>
          <w:lang w:eastAsia="zh-CN"/>
        </w:rPr>
        <w:t>nfrastructure</w:t>
      </w:r>
      <w:r w:rsidR="00384054" w:rsidRPr="00384054">
        <w:rPr>
          <w:rFonts w:asciiTheme="majorHAnsi" w:eastAsia="SimSun" w:hAnsiTheme="majorHAnsi" w:cstheme="majorHAnsi"/>
          <w:color w:val="272727"/>
          <w:sz w:val="21"/>
          <w:szCs w:val="21"/>
          <w:lang w:eastAsia="zh-CN"/>
        </w:rPr>
        <w:t xml:space="preserve"> assets </w:t>
      </w:r>
      <w:r w:rsidR="00966292">
        <w:rPr>
          <w:rFonts w:asciiTheme="majorHAnsi" w:eastAsia="SimSun" w:hAnsiTheme="majorHAnsi" w:cstheme="majorHAnsi"/>
          <w:color w:val="272727"/>
          <w:sz w:val="21"/>
          <w:szCs w:val="21"/>
          <w:lang w:eastAsia="zh-CN"/>
        </w:rPr>
        <w:t>appear</w:t>
      </w:r>
      <w:r>
        <w:rPr>
          <w:rFonts w:asciiTheme="majorHAnsi" w:eastAsia="SimSun" w:hAnsiTheme="majorHAnsi" w:cstheme="majorHAnsi"/>
          <w:color w:val="272727"/>
          <w:sz w:val="21"/>
          <w:szCs w:val="21"/>
          <w:lang w:eastAsia="zh-CN"/>
        </w:rPr>
        <w:t>s</w:t>
      </w:r>
      <w:r w:rsidR="00966292">
        <w:rPr>
          <w:rFonts w:asciiTheme="majorHAnsi" w:eastAsia="SimSun" w:hAnsiTheme="majorHAnsi" w:cstheme="majorHAnsi"/>
          <w:color w:val="272727"/>
          <w:sz w:val="21"/>
          <w:szCs w:val="21"/>
          <w:lang w:eastAsia="zh-CN"/>
        </w:rPr>
        <w:t xml:space="preserve"> too low to offer the nation sustainable global competitiveness. </w:t>
      </w:r>
      <w:r>
        <w:rPr>
          <w:rFonts w:asciiTheme="majorHAnsi" w:eastAsia="SimSun" w:hAnsiTheme="majorHAnsi" w:cstheme="majorHAnsi"/>
          <w:color w:val="272727"/>
          <w:sz w:val="21"/>
          <w:szCs w:val="21"/>
          <w:lang w:eastAsia="zh-CN"/>
        </w:rPr>
        <w:t>A</w:t>
      </w:r>
      <w:r w:rsidR="00966292">
        <w:rPr>
          <w:rFonts w:asciiTheme="majorHAnsi" w:eastAsia="SimSun" w:hAnsiTheme="majorHAnsi" w:cstheme="majorHAnsi"/>
          <w:color w:val="272727"/>
          <w:sz w:val="21"/>
          <w:szCs w:val="21"/>
          <w:lang w:eastAsia="zh-CN"/>
        </w:rPr>
        <w:t xml:space="preserve">n increase in overall commitment to </w:t>
      </w:r>
      <w:r>
        <w:rPr>
          <w:rFonts w:asciiTheme="majorHAnsi" w:eastAsia="SimSun" w:hAnsiTheme="majorHAnsi" w:cstheme="majorHAnsi"/>
          <w:color w:val="272727"/>
          <w:sz w:val="21"/>
          <w:szCs w:val="21"/>
          <w:lang w:eastAsia="zh-CN"/>
        </w:rPr>
        <w:t>infrastructure</w:t>
      </w:r>
      <w:r w:rsidR="00966292">
        <w:rPr>
          <w:rFonts w:asciiTheme="majorHAnsi" w:eastAsia="SimSun" w:hAnsiTheme="majorHAnsi" w:cstheme="majorHAnsi"/>
          <w:color w:val="272727"/>
          <w:sz w:val="21"/>
          <w:szCs w:val="21"/>
          <w:lang w:eastAsia="zh-CN"/>
        </w:rPr>
        <w:t xml:space="preserve"> </w:t>
      </w:r>
      <w:r>
        <w:rPr>
          <w:rFonts w:asciiTheme="majorHAnsi" w:eastAsia="SimSun" w:hAnsiTheme="majorHAnsi" w:cstheme="majorHAnsi"/>
          <w:color w:val="272727"/>
          <w:sz w:val="21"/>
          <w:szCs w:val="21"/>
          <w:lang w:eastAsia="zh-CN"/>
        </w:rPr>
        <w:t xml:space="preserve">and an </w:t>
      </w:r>
      <w:r w:rsidRPr="00384054">
        <w:rPr>
          <w:rFonts w:asciiTheme="majorHAnsi" w:eastAsia="SimSun" w:hAnsiTheme="majorHAnsi" w:cstheme="majorHAnsi"/>
          <w:color w:val="272727"/>
          <w:sz w:val="21"/>
          <w:szCs w:val="21"/>
          <w:lang w:eastAsia="zh-CN"/>
        </w:rPr>
        <w:t xml:space="preserve">equitable </w:t>
      </w:r>
      <w:r w:rsidR="00966292">
        <w:rPr>
          <w:rFonts w:asciiTheme="majorHAnsi" w:eastAsia="SimSun" w:hAnsiTheme="majorHAnsi" w:cstheme="majorHAnsi"/>
          <w:color w:val="272727"/>
          <w:sz w:val="21"/>
          <w:szCs w:val="21"/>
          <w:lang w:eastAsia="zh-CN"/>
        </w:rPr>
        <w:t>rationalisation</w:t>
      </w:r>
      <w:r w:rsidR="00384054" w:rsidRPr="00384054">
        <w:rPr>
          <w:rFonts w:asciiTheme="majorHAnsi" w:eastAsia="SimSun" w:hAnsiTheme="majorHAnsi" w:cstheme="majorHAnsi"/>
          <w:color w:val="272727"/>
          <w:sz w:val="21"/>
          <w:szCs w:val="21"/>
          <w:lang w:eastAsia="zh-CN"/>
        </w:rPr>
        <w:t xml:space="preserve"> </w:t>
      </w:r>
      <w:r>
        <w:rPr>
          <w:rFonts w:asciiTheme="majorHAnsi" w:eastAsia="SimSun" w:hAnsiTheme="majorHAnsi" w:cstheme="majorHAnsi"/>
          <w:color w:val="272727"/>
          <w:sz w:val="21"/>
          <w:szCs w:val="21"/>
          <w:lang w:eastAsia="zh-CN"/>
        </w:rPr>
        <w:t>that takes</w:t>
      </w:r>
      <w:r w:rsidR="00384054" w:rsidRPr="00384054">
        <w:rPr>
          <w:rFonts w:asciiTheme="majorHAnsi" w:eastAsia="SimSun" w:hAnsiTheme="majorHAnsi" w:cstheme="majorHAnsi"/>
          <w:color w:val="272727"/>
          <w:sz w:val="21"/>
          <w:szCs w:val="21"/>
          <w:lang w:eastAsia="zh-CN"/>
        </w:rPr>
        <w:t xml:space="preserve"> into account </w:t>
      </w:r>
      <w:r w:rsidR="00D919C9">
        <w:rPr>
          <w:rFonts w:asciiTheme="majorHAnsi" w:eastAsia="SimSun" w:hAnsiTheme="majorHAnsi" w:cstheme="majorHAnsi"/>
          <w:color w:val="272727"/>
          <w:sz w:val="21"/>
          <w:szCs w:val="21"/>
          <w:lang w:eastAsia="zh-CN"/>
        </w:rPr>
        <w:t>end user</w:t>
      </w:r>
      <w:r w:rsidR="00966292">
        <w:rPr>
          <w:rFonts w:asciiTheme="majorHAnsi" w:eastAsia="SimSun" w:hAnsiTheme="majorHAnsi" w:cstheme="majorHAnsi"/>
          <w:color w:val="272727"/>
          <w:sz w:val="21"/>
          <w:szCs w:val="21"/>
          <w:lang w:eastAsia="zh-CN"/>
        </w:rPr>
        <w:t xml:space="preserve"> </w:t>
      </w:r>
      <w:r w:rsidR="00D919C9" w:rsidRPr="00384054">
        <w:rPr>
          <w:rFonts w:asciiTheme="majorHAnsi" w:eastAsia="SimSun" w:hAnsiTheme="majorHAnsi" w:cstheme="majorHAnsi"/>
          <w:color w:val="272727"/>
          <w:sz w:val="21"/>
          <w:szCs w:val="21"/>
          <w:lang w:eastAsia="zh-CN"/>
        </w:rPr>
        <w:t>contributions</w:t>
      </w:r>
      <w:r w:rsidR="00D919C9">
        <w:rPr>
          <w:rFonts w:asciiTheme="majorHAnsi" w:eastAsia="SimSun" w:hAnsiTheme="majorHAnsi" w:cstheme="majorHAnsi"/>
          <w:color w:val="272727"/>
          <w:sz w:val="21"/>
          <w:szCs w:val="21"/>
          <w:lang w:eastAsia="zh-CN"/>
        </w:rPr>
        <w:t>,</w:t>
      </w:r>
      <w:r w:rsidR="00D919C9" w:rsidRPr="00384054">
        <w:rPr>
          <w:rFonts w:asciiTheme="majorHAnsi" w:eastAsia="SimSun" w:hAnsiTheme="majorHAnsi" w:cstheme="majorHAnsi"/>
          <w:color w:val="272727"/>
          <w:sz w:val="21"/>
          <w:szCs w:val="21"/>
          <w:lang w:eastAsia="zh-CN"/>
        </w:rPr>
        <w:t xml:space="preserve"> </w:t>
      </w:r>
      <w:r w:rsidR="00966292">
        <w:rPr>
          <w:rFonts w:asciiTheme="majorHAnsi" w:eastAsia="SimSun" w:hAnsiTheme="majorHAnsi" w:cstheme="majorHAnsi"/>
          <w:color w:val="272727"/>
          <w:sz w:val="21"/>
          <w:szCs w:val="21"/>
          <w:lang w:eastAsia="zh-CN"/>
        </w:rPr>
        <w:t xml:space="preserve">may offer a </w:t>
      </w:r>
      <w:r w:rsidR="00D919C9">
        <w:rPr>
          <w:rFonts w:asciiTheme="majorHAnsi" w:eastAsia="SimSun" w:hAnsiTheme="majorHAnsi" w:cstheme="majorHAnsi"/>
          <w:color w:val="272727"/>
          <w:sz w:val="21"/>
          <w:szCs w:val="21"/>
          <w:lang w:eastAsia="zh-CN"/>
        </w:rPr>
        <w:t xml:space="preserve">practical </w:t>
      </w:r>
      <w:r w:rsidR="00966292">
        <w:rPr>
          <w:rFonts w:asciiTheme="majorHAnsi" w:eastAsia="SimSun" w:hAnsiTheme="majorHAnsi" w:cstheme="majorHAnsi"/>
          <w:color w:val="272727"/>
          <w:sz w:val="21"/>
          <w:szCs w:val="21"/>
          <w:lang w:eastAsia="zh-CN"/>
        </w:rPr>
        <w:t>solution.</w:t>
      </w:r>
    </w:p>
    <w:p w14:paraId="33EFDF9E" w14:textId="77777777" w:rsidR="004814CF" w:rsidRDefault="004814CF" w:rsidP="004814CF">
      <w:pPr>
        <w:pStyle w:val="BodyTextIndent"/>
        <w:rPr>
          <w:lang w:eastAsia="zh-CN"/>
        </w:rPr>
      </w:pPr>
      <w:r>
        <w:rPr>
          <w:lang w:eastAsia="zh-CN"/>
        </w:rPr>
        <w:br w:type="page"/>
      </w:r>
    </w:p>
    <w:p w14:paraId="13A603A9" w14:textId="77777777" w:rsidR="00384054" w:rsidRPr="00384054" w:rsidRDefault="00796938" w:rsidP="004814CF">
      <w:pPr>
        <w:pStyle w:val="Heading1"/>
      </w:pPr>
      <w:bookmarkStart w:id="2" w:name="_Toc404874472"/>
      <w:r>
        <w:lastRenderedPageBreak/>
        <w:t>Response</w:t>
      </w:r>
      <w:r w:rsidR="00384054" w:rsidRPr="00384054">
        <w:t xml:space="preserve"> 1</w:t>
      </w:r>
      <w:r w:rsidR="00EB3F0B">
        <w:t>: Research Funding Allocations</w:t>
      </w:r>
      <w:bookmarkEnd w:id="2"/>
    </w:p>
    <w:p w14:paraId="13A603AA" w14:textId="77777777" w:rsidR="00384054" w:rsidRDefault="00CF4B49" w:rsidP="00693E9E">
      <w:pPr>
        <w:autoSpaceDE w:val="0"/>
        <w:autoSpaceDN w:val="0"/>
        <w:adjustRightInd w:val="0"/>
        <w:rPr>
          <w:rFonts w:asciiTheme="majorHAnsi" w:eastAsia="SimSun" w:hAnsiTheme="majorHAnsi" w:cstheme="majorHAnsi"/>
          <w:i/>
          <w:iCs/>
          <w:color w:val="272727"/>
          <w:sz w:val="21"/>
          <w:szCs w:val="21"/>
          <w:lang w:eastAsia="zh-CN"/>
        </w:rPr>
      </w:pPr>
      <w:r w:rsidRPr="006D025F">
        <w:rPr>
          <w:rFonts w:asciiTheme="majorHAnsi" w:eastAsia="SimSun" w:hAnsiTheme="majorHAnsi" w:cstheme="majorHAnsi"/>
          <w:i/>
          <w:iCs/>
          <w:color w:val="272727"/>
          <w:sz w:val="21"/>
          <w:szCs w:val="21"/>
          <w:lang w:eastAsia="zh-CN"/>
        </w:rPr>
        <w:t xml:space="preserve">The current definitions for </w:t>
      </w:r>
      <w:r w:rsidR="00015ACA">
        <w:rPr>
          <w:rFonts w:asciiTheme="majorHAnsi" w:eastAsia="SimSun" w:hAnsiTheme="majorHAnsi" w:cstheme="majorHAnsi"/>
          <w:i/>
          <w:iCs/>
          <w:color w:val="272727"/>
          <w:sz w:val="21"/>
          <w:szCs w:val="21"/>
          <w:lang w:eastAsia="zh-CN"/>
        </w:rPr>
        <w:t xml:space="preserve">categories of </w:t>
      </w:r>
      <w:r w:rsidRPr="006D025F">
        <w:rPr>
          <w:rFonts w:asciiTheme="majorHAnsi" w:eastAsia="SimSun" w:hAnsiTheme="majorHAnsi" w:cstheme="majorHAnsi"/>
          <w:i/>
          <w:iCs/>
          <w:color w:val="272727"/>
          <w:sz w:val="21"/>
          <w:szCs w:val="21"/>
          <w:lang w:eastAsia="zh-CN"/>
        </w:rPr>
        <w:t xml:space="preserve">research income could be revisited to </w:t>
      </w:r>
      <w:r w:rsidR="00772675">
        <w:rPr>
          <w:rFonts w:asciiTheme="majorHAnsi" w:eastAsia="SimSun" w:hAnsiTheme="majorHAnsi" w:cstheme="majorHAnsi"/>
          <w:i/>
          <w:iCs/>
          <w:color w:val="272727"/>
          <w:sz w:val="21"/>
          <w:szCs w:val="21"/>
          <w:lang w:eastAsia="zh-CN"/>
        </w:rPr>
        <w:t>minimise</w:t>
      </w:r>
      <w:r w:rsidRPr="006D025F">
        <w:rPr>
          <w:rFonts w:asciiTheme="majorHAnsi" w:eastAsia="SimSun" w:hAnsiTheme="majorHAnsi" w:cstheme="majorHAnsi"/>
          <w:i/>
          <w:iCs/>
          <w:color w:val="272727"/>
          <w:sz w:val="21"/>
          <w:szCs w:val="21"/>
          <w:lang w:eastAsia="zh-CN"/>
        </w:rPr>
        <w:t xml:space="preserve"> overlaps and increase </w:t>
      </w:r>
      <w:r w:rsidR="00EB3F0B">
        <w:rPr>
          <w:rFonts w:asciiTheme="majorHAnsi" w:eastAsia="SimSun" w:hAnsiTheme="majorHAnsi" w:cstheme="majorHAnsi"/>
          <w:i/>
          <w:iCs/>
          <w:color w:val="272727"/>
          <w:sz w:val="21"/>
          <w:szCs w:val="21"/>
          <w:lang w:eastAsia="zh-CN"/>
        </w:rPr>
        <w:t>category</w:t>
      </w:r>
      <w:r w:rsidRPr="006D025F">
        <w:rPr>
          <w:rFonts w:asciiTheme="majorHAnsi" w:eastAsia="SimSun" w:hAnsiTheme="majorHAnsi" w:cstheme="majorHAnsi"/>
          <w:i/>
          <w:iCs/>
          <w:color w:val="272727"/>
          <w:sz w:val="21"/>
          <w:szCs w:val="21"/>
          <w:lang w:eastAsia="zh-CN"/>
        </w:rPr>
        <w:t xml:space="preserve"> specificity.  The government </w:t>
      </w:r>
      <w:r w:rsidR="00796938">
        <w:rPr>
          <w:rFonts w:asciiTheme="majorHAnsi" w:eastAsia="SimSun" w:hAnsiTheme="majorHAnsi" w:cstheme="majorHAnsi"/>
          <w:i/>
          <w:iCs/>
          <w:color w:val="272727"/>
          <w:sz w:val="21"/>
          <w:szCs w:val="21"/>
          <w:lang w:eastAsia="zh-CN"/>
        </w:rPr>
        <w:t>could</w:t>
      </w:r>
      <w:r w:rsidRPr="006D025F">
        <w:rPr>
          <w:rFonts w:asciiTheme="majorHAnsi" w:eastAsia="SimSun" w:hAnsiTheme="majorHAnsi" w:cstheme="majorHAnsi"/>
          <w:i/>
          <w:iCs/>
          <w:color w:val="272727"/>
          <w:sz w:val="21"/>
          <w:szCs w:val="21"/>
          <w:lang w:eastAsia="zh-CN"/>
        </w:rPr>
        <w:t xml:space="preserve"> consider the introduction of another category(s) that more directly measures engagement with industry. Further, it might </w:t>
      </w:r>
      <w:r w:rsidR="00796938">
        <w:rPr>
          <w:rFonts w:asciiTheme="majorHAnsi" w:eastAsia="SimSun" w:hAnsiTheme="majorHAnsi" w:cstheme="majorHAnsi"/>
          <w:i/>
          <w:iCs/>
          <w:color w:val="272727"/>
          <w:sz w:val="21"/>
          <w:szCs w:val="21"/>
          <w:lang w:eastAsia="zh-CN"/>
        </w:rPr>
        <w:t xml:space="preserve">introduce </w:t>
      </w:r>
      <w:r w:rsidR="00796938" w:rsidRPr="00796938">
        <w:rPr>
          <w:rFonts w:asciiTheme="majorHAnsi" w:eastAsia="SimSun" w:hAnsiTheme="majorHAnsi" w:cstheme="majorHAnsi"/>
          <w:b/>
          <w:bCs/>
          <w:i/>
          <w:iCs/>
          <w:color w:val="0070C0"/>
          <w:sz w:val="21"/>
          <w:szCs w:val="21"/>
          <w:lang w:eastAsia="zh-CN"/>
        </w:rPr>
        <w:t>(</w:t>
      </w:r>
      <w:r w:rsidR="00796938">
        <w:rPr>
          <w:rFonts w:asciiTheme="majorHAnsi" w:eastAsia="SimSun" w:hAnsiTheme="majorHAnsi" w:cstheme="majorHAnsi"/>
          <w:b/>
          <w:bCs/>
          <w:i/>
          <w:iCs/>
          <w:color w:val="0070C0"/>
          <w:sz w:val="21"/>
          <w:szCs w:val="21"/>
          <w:lang w:eastAsia="zh-CN"/>
        </w:rPr>
        <w:t xml:space="preserve">incrementally) </w:t>
      </w:r>
      <w:r w:rsidRPr="006D025F">
        <w:rPr>
          <w:rFonts w:asciiTheme="majorHAnsi" w:eastAsia="SimSun" w:hAnsiTheme="majorHAnsi" w:cstheme="majorHAnsi"/>
          <w:i/>
          <w:iCs/>
          <w:color w:val="272727"/>
          <w:sz w:val="21"/>
          <w:szCs w:val="21"/>
          <w:lang w:eastAsia="zh-CN"/>
        </w:rPr>
        <w:t>new weightings to incentivi</w:t>
      </w:r>
      <w:r w:rsidR="00693E9E">
        <w:rPr>
          <w:rFonts w:asciiTheme="majorHAnsi" w:eastAsia="SimSun" w:hAnsiTheme="majorHAnsi" w:cstheme="majorHAnsi"/>
          <w:i/>
          <w:iCs/>
          <w:color w:val="272727"/>
          <w:sz w:val="21"/>
          <w:szCs w:val="21"/>
          <w:lang w:eastAsia="zh-CN"/>
        </w:rPr>
        <w:t>s</w:t>
      </w:r>
      <w:r w:rsidRPr="006D025F">
        <w:rPr>
          <w:rFonts w:asciiTheme="majorHAnsi" w:eastAsia="SimSun" w:hAnsiTheme="majorHAnsi" w:cstheme="majorHAnsi"/>
          <w:i/>
          <w:iCs/>
          <w:color w:val="272727"/>
          <w:sz w:val="21"/>
          <w:szCs w:val="21"/>
          <w:lang w:eastAsia="zh-CN"/>
        </w:rPr>
        <w:t xml:space="preserve">e industry </w:t>
      </w:r>
      <w:r w:rsidR="00015ACA">
        <w:rPr>
          <w:rFonts w:asciiTheme="majorHAnsi" w:eastAsia="SimSun" w:hAnsiTheme="majorHAnsi" w:cstheme="majorHAnsi"/>
          <w:i/>
          <w:iCs/>
          <w:color w:val="272727"/>
          <w:sz w:val="21"/>
          <w:szCs w:val="21"/>
          <w:lang w:eastAsia="zh-CN"/>
        </w:rPr>
        <w:t>engagement</w:t>
      </w:r>
      <w:r w:rsidRPr="006D025F">
        <w:rPr>
          <w:rFonts w:asciiTheme="majorHAnsi" w:eastAsia="SimSun" w:hAnsiTheme="majorHAnsi" w:cstheme="majorHAnsi"/>
          <w:i/>
          <w:iCs/>
          <w:color w:val="272727"/>
          <w:sz w:val="21"/>
          <w:szCs w:val="21"/>
          <w:lang w:eastAsia="zh-CN"/>
        </w:rPr>
        <w:t xml:space="preserve">, but only at a pace which allows </w:t>
      </w:r>
      <w:r w:rsidR="00015ACA">
        <w:rPr>
          <w:rFonts w:asciiTheme="majorHAnsi" w:eastAsia="SimSun" w:hAnsiTheme="majorHAnsi" w:cstheme="majorHAnsi"/>
          <w:i/>
          <w:iCs/>
          <w:color w:val="272727"/>
          <w:sz w:val="21"/>
          <w:szCs w:val="21"/>
          <w:lang w:eastAsia="zh-CN"/>
        </w:rPr>
        <w:t>u</w:t>
      </w:r>
      <w:r w:rsidRPr="006D025F">
        <w:rPr>
          <w:rFonts w:asciiTheme="majorHAnsi" w:eastAsia="SimSun" w:hAnsiTheme="majorHAnsi" w:cstheme="majorHAnsi"/>
          <w:i/>
          <w:iCs/>
          <w:color w:val="272727"/>
          <w:sz w:val="21"/>
          <w:szCs w:val="21"/>
          <w:lang w:eastAsia="zh-CN"/>
        </w:rPr>
        <w:t xml:space="preserve">niversities to redirect </w:t>
      </w:r>
      <w:r w:rsidR="00772675">
        <w:rPr>
          <w:rFonts w:asciiTheme="majorHAnsi" w:eastAsia="SimSun" w:hAnsiTheme="majorHAnsi" w:cstheme="majorHAnsi"/>
          <w:i/>
          <w:iCs/>
          <w:color w:val="272727"/>
          <w:sz w:val="21"/>
          <w:szCs w:val="21"/>
          <w:lang w:eastAsia="zh-CN"/>
        </w:rPr>
        <w:t xml:space="preserve">future </w:t>
      </w:r>
      <w:r w:rsidRPr="006D025F">
        <w:rPr>
          <w:rFonts w:asciiTheme="majorHAnsi" w:eastAsia="SimSun" w:hAnsiTheme="majorHAnsi" w:cstheme="majorHAnsi"/>
          <w:i/>
          <w:iCs/>
          <w:color w:val="272727"/>
          <w:sz w:val="21"/>
          <w:szCs w:val="21"/>
          <w:lang w:eastAsia="zh-CN"/>
        </w:rPr>
        <w:t>resour</w:t>
      </w:r>
      <w:r w:rsidR="006D025F">
        <w:rPr>
          <w:rFonts w:asciiTheme="majorHAnsi" w:eastAsia="SimSun" w:hAnsiTheme="majorHAnsi" w:cstheme="majorHAnsi"/>
          <w:i/>
          <w:iCs/>
          <w:color w:val="272727"/>
          <w:sz w:val="21"/>
          <w:szCs w:val="21"/>
          <w:lang w:eastAsia="zh-CN"/>
        </w:rPr>
        <w:t xml:space="preserve">ces </w:t>
      </w:r>
      <w:r w:rsidR="00796938">
        <w:rPr>
          <w:rFonts w:asciiTheme="majorHAnsi" w:eastAsia="SimSun" w:hAnsiTheme="majorHAnsi" w:cstheme="majorHAnsi"/>
          <w:i/>
          <w:iCs/>
          <w:color w:val="272727"/>
          <w:sz w:val="21"/>
          <w:szCs w:val="21"/>
          <w:lang w:eastAsia="zh-CN"/>
        </w:rPr>
        <w:t xml:space="preserve">without compromising </w:t>
      </w:r>
      <w:r w:rsidRPr="006D025F">
        <w:rPr>
          <w:rFonts w:asciiTheme="majorHAnsi" w:eastAsia="SimSun" w:hAnsiTheme="majorHAnsi" w:cstheme="majorHAnsi"/>
          <w:i/>
          <w:iCs/>
          <w:color w:val="272727"/>
          <w:sz w:val="21"/>
          <w:szCs w:val="21"/>
          <w:lang w:eastAsia="zh-CN"/>
        </w:rPr>
        <w:t>core educational missions</w:t>
      </w:r>
      <w:r w:rsidR="003C763F">
        <w:rPr>
          <w:rFonts w:asciiTheme="majorHAnsi" w:eastAsia="SimSun" w:hAnsiTheme="majorHAnsi" w:cstheme="majorHAnsi"/>
          <w:i/>
          <w:iCs/>
          <w:color w:val="272727"/>
          <w:sz w:val="21"/>
          <w:szCs w:val="21"/>
          <w:lang w:eastAsia="zh-CN"/>
        </w:rPr>
        <w:t>.</w:t>
      </w:r>
    </w:p>
    <w:p w14:paraId="13A603AC" w14:textId="77777777" w:rsidR="00384054" w:rsidRPr="00E95B7D" w:rsidRDefault="00E95B7D" w:rsidP="004814CF">
      <w:pPr>
        <w:pStyle w:val="Heading2"/>
        <w:rPr>
          <w:rFonts w:eastAsia="SimSun"/>
        </w:rPr>
      </w:pPr>
      <w:r w:rsidRPr="00E95B7D">
        <w:rPr>
          <w:rFonts w:eastAsia="SimSun"/>
        </w:rPr>
        <w:t>Synopsis:</w:t>
      </w:r>
    </w:p>
    <w:p w14:paraId="13A603AD" w14:textId="77777777" w:rsidR="00384054" w:rsidRDefault="00CC223C" w:rsidP="00CC223C">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 xml:space="preserve">With respect to changing the approach to the </w:t>
      </w:r>
      <w:r w:rsidR="00C002D8">
        <w:rPr>
          <w:rFonts w:asciiTheme="majorHAnsi" w:eastAsia="SimSun" w:hAnsiTheme="majorHAnsi" w:cstheme="majorHAnsi"/>
          <w:color w:val="272727"/>
          <w:sz w:val="21"/>
          <w:szCs w:val="21"/>
          <w:lang w:eastAsia="zh-CN"/>
        </w:rPr>
        <w:t xml:space="preserve">allocation of research funding </w:t>
      </w:r>
      <w:r>
        <w:rPr>
          <w:rFonts w:asciiTheme="majorHAnsi" w:eastAsia="SimSun" w:hAnsiTheme="majorHAnsi" w:cstheme="majorHAnsi"/>
          <w:color w:val="272727"/>
          <w:sz w:val="21"/>
          <w:szCs w:val="21"/>
          <w:lang w:eastAsia="zh-CN"/>
        </w:rPr>
        <w:t>the University of Tasmania makes the following comments:</w:t>
      </w:r>
    </w:p>
    <w:p w14:paraId="13A603AE" w14:textId="77777777" w:rsidR="00C002D8" w:rsidRPr="00C002D8" w:rsidRDefault="00C002D8" w:rsidP="00C002D8">
      <w:pPr>
        <w:pStyle w:val="BodyTextIndent"/>
        <w:rPr>
          <w:lang w:eastAsia="zh-CN"/>
        </w:rPr>
      </w:pPr>
    </w:p>
    <w:p w14:paraId="13A603AF" w14:textId="77777777" w:rsidR="0085069C" w:rsidRPr="0085069C" w:rsidRDefault="0085069C" w:rsidP="00955028">
      <w:pPr>
        <w:numPr>
          <w:ilvl w:val="0"/>
          <w:numId w:val="10"/>
        </w:numPr>
        <w:autoSpaceDE w:val="0"/>
        <w:autoSpaceDN w:val="0"/>
        <w:adjustRightInd w:val="0"/>
        <w:rPr>
          <w:rFonts w:asciiTheme="majorHAnsi" w:eastAsia="SimSun" w:hAnsiTheme="majorHAnsi" w:cstheme="majorHAnsi"/>
          <w:color w:val="272727"/>
          <w:sz w:val="21"/>
          <w:szCs w:val="21"/>
          <w:lang w:eastAsia="zh-CN"/>
        </w:rPr>
      </w:pPr>
      <w:r w:rsidRPr="0085069C">
        <w:rPr>
          <w:rFonts w:asciiTheme="majorHAnsi" w:eastAsia="SimSun" w:hAnsiTheme="majorHAnsi" w:cstheme="majorHAnsi"/>
          <w:color w:val="272727"/>
          <w:sz w:val="21"/>
          <w:szCs w:val="21"/>
          <w:lang w:eastAsia="zh-CN"/>
        </w:rPr>
        <w:t xml:space="preserve">The current </w:t>
      </w:r>
      <w:r w:rsidRPr="0085069C">
        <w:rPr>
          <w:rFonts w:asciiTheme="majorHAnsi" w:eastAsia="SimSun" w:hAnsiTheme="majorHAnsi" w:cstheme="majorHAnsi"/>
          <w:b/>
          <w:bCs/>
          <w:color w:val="0070C0"/>
          <w:sz w:val="21"/>
          <w:szCs w:val="21"/>
          <w:lang w:eastAsia="zh-CN"/>
        </w:rPr>
        <w:t xml:space="preserve">definitions </w:t>
      </w:r>
      <w:r w:rsidRPr="0085069C">
        <w:rPr>
          <w:rFonts w:asciiTheme="majorHAnsi" w:eastAsia="SimSun" w:hAnsiTheme="majorHAnsi" w:cstheme="majorHAnsi"/>
          <w:color w:val="272727"/>
          <w:sz w:val="21"/>
          <w:szCs w:val="21"/>
          <w:lang w:eastAsia="zh-CN"/>
        </w:rPr>
        <w:t xml:space="preserve">for research income category could be </w:t>
      </w:r>
      <w:r w:rsidRPr="0085069C">
        <w:rPr>
          <w:rFonts w:asciiTheme="majorHAnsi" w:eastAsia="SimSun" w:hAnsiTheme="majorHAnsi" w:cstheme="majorHAnsi"/>
          <w:b/>
          <w:bCs/>
          <w:color w:val="0070C0"/>
          <w:sz w:val="21"/>
          <w:szCs w:val="21"/>
          <w:lang w:eastAsia="zh-CN"/>
        </w:rPr>
        <w:t>revisited</w:t>
      </w:r>
      <w:r w:rsidRPr="0085069C">
        <w:rPr>
          <w:rFonts w:asciiTheme="majorHAnsi" w:eastAsia="SimSun" w:hAnsiTheme="majorHAnsi" w:cstheme="majorHAnsi"/>
          <w:color w:val="272727"/>
          <w:sz w:val="21"/>
          <w:szCs w:val="21"/>
          <w:lang w:eastAsia="zh-CN"/>
        </w:rPr>
        <w:t xml:space="preserve"> to </w:t>
      </w:r>
      <w:r w:rsidR="00955028">
        <w:rPr>
          <w:rFonts w:asciiTheme="majorHAnsi" w:eastAsia="SimSun" w:hAnsiTheme="majorHAnsi" w:cstheme="majorHAnsi"/>
          <w:color w:val="272727"/>
          <w:sz w:val="21"/>
          <w:szCs w:val="21"/>
          <w:lang w:eastAsia="zh-CN"/>
        </w:rPr>
        <w:t>minimize</w:t>
      </w:r>
      <w:r w:rsidRPr="0085069C">
        <w:rPr>
          <w:rFonts w:asciiTheme="majorHAnsi" w:eastAsia="SimSun" w:hAnsiTheme="majorHAnsi" w:cstheme="majorHAnsi"/>
          <w:color w:val="272727"/>
          <w:sz w:val="21"/>
          <w:szCs w:val="21"/>
          <w:lang w:eastAsia="zh-CN"/>
        </w:rPr>
        <w:t xml:space="preserve"> overlaps and increase category specificity</w:t>
      </w:r>
      <w:r w:rsidR="00625F4D">
        <w:rPr>
          <w:rFonts w:asciiTheme="majorHAnsi" w:eastAsia="SimSun" w:hAnsiTheme="majorHAnsi" w:cstheme="majorHAnsi"/>
          <w:color w:val="272727"/>
          <w:sz w:val="21"/>
          <w:szCs w:val="21"/>
          <w:lang w:eastAsia="zh-CN"/>
        </w:rPr>
        <w:t>.</w:t>
      </w:r>
    </w:p>
    <w:p w14:paraId="13A603B0" w14:textId="77777777" w:rsidR="0085069C" w:rsidRPr="0085069C" w:rsidRDefault="0085069C" w:rsidP="00FA7965">
      <w:pPr>
        <w:numPr>
          <w:ilvl w:val="0"/>
          <w:numId w:val="10"/>
        </w:numPr>
        <w:autoSpaceDE w:val="0"/>
        <w:autoSpaceDN w:val="0"/>
        <w:adjustRightInd w:val="0"/>
        <w:rPr>
          <w:rFonts w:asciiTheme="majorHAnsi" w:eastAsia="SimSun" w:hAnsiTheme="majorHAnsi" w:cstheme="majorHAnsi"/>
          <w:color w:val="272727"/>
          <w:sz w:val="21"/>
          <w:szCs w:val="21"/>
          <w:lang w:eastAsia="zh-CN"/>
        </w:rPr>
      </w:pPr>
      <w:r w:rsidRPr="0085069C">
        <w:rPr>
          <w:rFonts w:asciiTheme="majorHAnsi" w:eastAsia="SimSun" w:hAnsiTheme="majorHAnsi" w:cstheme="majorHAnsi"/>
          <w:color w:val="272727"/>
          <w:sz w:val="21"/>
          <w:szCs w:val="21"/>
          <w:lang w:eastAsia="zh-CN"/>
        </w:rPr>
        <w:t xml:space="preserve">The Government could consider </w:t>
      </w:r>
      <w:r w:rsidRPr="0085069C">
        <w:rPr>
          <w:rFonts w:asciiTheme="majorHAnsi" w:eastAsia="SimSun" w:hAnsiTheme="majorHAnsi" w:cstheme="majorHAnsi"/>
          <w:b/>
          <w:bCs/>
          <w:color w:val="0070C0"/>
          <w:sz w:val="21"/>
          <w:szCs w:val="21"/>
          <w:lang w:eastAsia="zh-CN"/>
        </w:rPr>
        <w:t xml:space="preserve">introducing </w:t>
      </w:r>
      <w:r w:rsidR="00E571AF">
        <w:rPr>
          <w:rFonts w:asciiTheme="majorHAnsi" w:eastAsia="SimSun" w:hAnsiTheme="majorHAnsi" w:cstheme="majorHAnsi"/>
          <w:b/>
          <w:bCs/>
          <w:color w:val="0070C0"/>
          <w:sz w:val="21"/>
          <w:szCs w:val="21"/>
          <w:lang w:eastAsia="zh-CN"/>
        </w:rPr>
        <w:t>incrementally</w:t>
      </w:r>
      <w:r w:rsidR="00E571AF" w:rsidRPr="0085069C">
        <w:rPr>
          <w:rFonts w:asciiTheme="majorHAnsi" w:eastAsia="SimSun" w:hAnsiTheme="majorHAnsi" w:cstheme="majorHAnsi"/>
          <w:b/>
          <w:bCs/>
          <w:color w:val="0070C0"/>
          <w:sz w:val="21"/>
          <w:szCs w:val="21"/>
          <w:lang w:eastAsia="zh-CN"/>
        </w:rPr>
        <w:t xml:space="preserve"> </w:t>
      </w:r>
      <w:r w:rsidRPr="0085069C">
        <w:rPr>
          <w:rFonts w:asciiTheme="majorHAnsi" w:eastAsia="SimSun" w:hAnsiTheme="majorHAnsi" w:cstheme="majorHAnsi"/>
          <w:b/>
          <w:bCs/>
          <w:color w:val="0070C0"/>
          <w:sz w:val="21"/>
          <w:szCs w:val="21"/>
          <w:lang w:eastAsia="zh-CN"/>
        </w:rPr>
        <w:t>a new category</w:t>
      </w:r>
      <w:r w:rsidRPr="0085069C">
        <w:rPr>
          <w:rFonts w:asciiTheme="majorHAnsi" w:eastAsia="SimSun" w:hAnsiTheme="majorHAnsi" w:cstheme="majorHAnsi"/>
          <w:color w:val="272727"/>
          <w:sz w:val="21"/>
          <w:szCs w:val="21"/>
          <w:lang w:eastAsia="zh-CN"/>
        </w:rPr>
        <w:t>(s) to more directly measure university-industry collaboration.</w:t>
      </w:r>
    </w:p>
    <w:p w14:paraId="13A603B1" w14:textId="77777777" w:rsidR="0085069C" w:rsidRDefault="0085069C" w:rsidP="00FA7965">
      <w:pPr>
        <w:numPr>
          <w:ilvl w:val="0"/>
          <w:numId w:val="10"/>
        </w:num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 xml:space="preserve">Any changes to the allocation process for RBG must </w:t>
      </w:r>
      <w:r w:rsidRPr="00EB3F0B">
        <w:rPr>
          <w:rFonts w:asciiTheme="majorHAnsi" w:eastAsia="SimSun" w:hAnsiTheme="majorHAnsi" w:cstheme="majorHAnsi"/>
          <w:b/>
          <w:bCs/>
          <w:color w:val="0070C0"/>
          <w:sz w:val="21"/>
          <w:szCs w:val="21"/>
          <w:lang w:eastAsia="zh-CN"/>
        </w:rPr>
        <w:t>provide incentives for University to</w:t>
      </w:r>
      <w:r>
        <w:rPr>
          <w:rFonts w:asciiTheme="majorHAnsi" w:eastAsia="SimSun" w:hAnsiTheme="majorHAnsi" w:cstheme="majorHAnsi"/>
          <w:color w:val="272727"/>
          <w:sz w:val="21"/>
          <w:szCs w:val="21"/>
          <w:lang w:eastAsia="zh-CN"/>
        </w:rPr>
        <w:t xml:space="preserve"> </w:t>
      </w:r>
      <w:r w:rsidRPr="002D23BF">
        <w:rPr>
          <w:rFonts w:asciiTheme="majorHAnsi" w:eastAsia="SimSun" w:hAnsiTheme="majorHAnsi" w:cstheme="majorHAnsi"/>
          <w:b/>
          <w:bCs/>
          <w:color w:val="0070C0"/>
          <w:sz w:val="21"/>
          <w:szCs w:val="21"/>
          <w:lang w:eastAsia="zh-CN"/>
        </w:rPr>
        <w:t>inv</w:t>
      </w:r>
      <w:r>
        <w:rPr>
          <w:rFonts w:asciiTheme="majorHAnsi" w:eastAsia="SimSun" w:hAnsiTheme="majorHAnsi" w:cstheme="majorHAnsi"/>
          <w:b/>
          <w:bCs/>
          <w:color w:val="0070C0"/>
          <w:sz w:val="21"/>
          <w:szCs w:val="21"/>
          <w:lang w:eastAsia="zh-CN"/>
        </w:rPr>
        <w:t xml:space="preserve">est in their </w:t>
      </w:r>
      <w:r w:rsidRPr="0085069C">
        <w:rPr>
          <w:rFonts w:asciiTheme="majorHAnsi" w:eastAsia="SimSun" w:hAnsiTheme="majorHAnsi" w:cstheme="majorHAnsi"/>
          <w:b/>
          <w:bCs/>
          <w:i/>
          <w:iCs/>
          <w:color w:val="0070C0"/>
          <w:sz w:val="21"/>
          <w:szCs w:val="21"/>
          <w:lang w:eastAsia="zh-CN"/>
        </w:rPr>
        <w:t>future</w:t>
      </w:r>
      <w:r>
        <w:rPr>
          <w:rFonts w:asciiTheme="majorHAnsi" w:eastAsia="SimSun" w:hAnsiTheme="majorHAnsi" w:cstheme="majorHAnsi"/>
          <w:b/>
          <w:bCs/>
          <w:color w:val="0070C0"/>
          <w:sz w:val="21"/>
          <w:szCs w:val="21"/>
          <w:lang w:eastAsia="zh-CN"/>
        </w:rPr>
        <w:t xml:space="preserve"> </w:t>
      </w:r>
      <w:r w:rsidR="00625F4D">
        <w:rPr>
          <w:rFonts w:asciiTheme="majorHAnsi" w:eastAsia="SimSun" w:hAnsiTheme="majorHAnsi" w:cstheme="majorHAnsi"/>
          <w:b/>
          <w:bCs/>
          <w:color w:val="0070C0"/>
          <w:sz w:val="21"/>
          <w:szCs w:val="21"/>
          <w:lang w:eastAsia="zh-CN"/>
        </w:rPr>
        <w:t xml:space="preserve">collaborative </w:t>
      </w:r>
      <w:r>
        <w:rPr>
          <w:rFonts w:asciiTheme="majorHAnsi" w:eastAsia="SimSun" w:hAnsiTheme="majorHAnsi" w:cstheme="majorHAnsi"/>
          <w:b/>
          <w:bCs/>
          <w:color w:val="0070C0"/>
          <w:sz w:val="21"/>
          <w:szCs w:val="21"/>
          <w:lang w:eastAsia="zh-CN"/>
        </w:rPr>
        <w:t>performance</w:t>
      </w:r>
      <w:r>
        <w:rPr>
          <w:rFonts w:asciiTheme="majorHAnsi" w:eastAsia="SimSun" w:hAnsiTheme="majorHAnsi" w:cstheme="majorHAnsi"/>
          <w:color w:val="272727"/>
          <w:sz w:val="21"/>
          <w:szCs w:val="21"/>
          <w:lang w:eastAsia="zh-CN"/>
        </w:rPr>
        <w:t xml:space="preserve">, otherwise the changes </w:t>
      </w:r>
      <w:r w:rsidR="00625F4D">
        <w:rPr>
          <w:rFonts w:asciiTheme="majorHAnsi" w:eastAsia="SimSun" w:hAnsiTheme="majorHAnsi" w:cstheme="majorHAnsi"/>
          <w:color w:val="272727"/>
          <w:sz w:val="21"/>
          <w:szCs w:val="21"/>
          <w:lang w:eastAsia="zh-CN"/>
        </w:rPr>
        <w:t>may inequitably reward</w:t>
      </w:r>
      <w:r>
        <w:rPr>
          <w:rFonts w:asciiTheme="majorHAnsi" w:eastAsia="SimSun" w:hAnsiTheme="majorHAnsi" w:cstheme="majorHAnsi"/>
          <w:color w:val="272727"/>
          <w:sz w:val="21"/>
          <w:szCs w:val="21"/>
          <w:lang w:eastAsia="zh-CN"/>
        </w:rPr>
        <w:t xml:space="preserve"> past performance and</w:t>
      </w:r>
      <w:r w:rsidR="003C763F">
        <w:rPr>
          <w:rFonts w:asciiTheme="majorHAnsi" w:eastAsia="SimSun" w:hAnsiTheme="majorHAnsi" w:cstheme="majorHAnsi"/>
          <w:color w:val="272727"/>
          <w:sz w:val="21"/>
          <w:szCs w:val="21"/>
          <w:lang w:eastAsia="zh-CN"/>
        </w:rPr>
        <w:t>/or create</w:t>
      </w:r>
      <w:r>
        <w:rPr>
          <w:rFonts w:asciiTheme="majorHAnsi" w:eastAsia="SimSun" w:hAnsiTheme="majorHAnsi" w:cstheme="majorHAnsi"/>
          <w:color w:val="272727"/>
          <w:sz w:val="21"/>
          <w:szCs w:val="21"/>
          <w:lang w:eastAsia="zh-CN"/>
        </w:rPr>
        <w:t xml:space="preserve"> perverse incentives.</w:t>
      </w:r>
      <w:r w:rsidR="003C763F">
        <w:rPr>
          <w:rFonts w:asciiTheme="majorHAnsi" w:eastAsia="SimSun" w:hAnsiTheme="majorHAnsi" w:cstheme="majorHAnsi"/>
          <w:color w:val="272727"/>
          <w:sz w:val="21"/>
          <w:szCs w:val="21"/>
          <w:lang w:eastAsia="zh-CN"/>
        </w:rPr>
        <w:t xml:space="preserve"> If adopted the government should call for input on </w:t>
      </w:r>
      <w:r w:rsidR="00FA7965">
        <w:rPr>
          <w:rFonts w:asciiTheme="majorHAnsi" w:eastAsia="SimSun" w:hAnsiTheme="majorHAnsi" w:cstheme="majorHAnsi"/>
          <w:color w:val="272727"/>
          <w:sz w:val="21"/>
          <w:szCs w:val="21"/>
          <w:lang w:eastAsia="zh-CN"/>
        </w:rPr>
        <w:t>appropriate</w:t>
      </w:r>
      <w:r w:rsidR="003C763F">
        <w:rPr>
          <w:rFonts w:asciiTheme="majorHAnsi" w:eastAsia="SimSun" w:hAnsiTheme="majorHAnsi" w:cstheme="majorHAnsi"/>
          <w:color w:val="272727"/>
          <w:sz w:val="21"/>
          <w:szCs w:val="21"/>
          <w:lang w:eastAsia="zh-CN"/>
        </w:rPr>
        <w:t xml:space="preserve"> metrics </w:t>
      </w:r>
      <w:r w:rsidR="00FA7965">
        <w:rPr>
          <w:rFonts w:asciiTheme="majorHAnsi" w:eastAsia="SimSun" w:hAnsiTheme="majorHAnsi" w:cstheme="majorHAnsi"/>
          <w:color w:val="272727"/>
          <w:sz w:val="21"/>
          <w:szCs w:val="21"/>
          <w:lang w:eastAsia="zh-CN"/>
        </w:rPr>
        <w:t xml:space="preserve">for </w:t>
      </w:r>
      <w:r w:rsidR="003C763F">
        <w:rPr>
          <w:rFonts w:asciiTheme="majorHAnsi" w:eastAsia="SimSun" w:hAnsiTheme="majorHAnsi" w:cstheme="majorHAnsi"/>
          <w:color w:val="272727"/>
          <w:sz w:val="21"/>
          <w:szCs w:val="21"/>
          <w:lang w:eastAsia="zh-CN"/>
        </w:rPr>
        <w:t xml:space="preserve">effective </w:t>
      </w:r>
      <w:r w:rsidR="00FA7965">
        <w:rPr>
          <w:rFonts w:asciiTheme="majorHAnsi" w:eastAsia="SimSun" w:hAnsiTheme="majorHAnsi" w:cstheme="majorHAnsi"/>
          <w:color w:val="272727"/>
          <w:sz w:val="21"/>
          <w:szCs w:val="21"/>
          <w:lang w:eastAsia="zh-CN"/>
        </w:rPr>
        <w:t>u</w:t>
      </w:r>
      <w:r w:rsidR="003C763F">
        <w:rPr>
          <w:rFonts w:asciiTheme="majorHAnsi" w:eastAsia="SimSun" w:hAnsiTheme="majorHAnsi" w:cstheme="majorHAnsi"/>
          <w:color w:val="272727"/>
          <w:sz w:val="21"/>
          <w:szCs w:val="21"/>
          <w:lang w:eastAsia="zh-CN"/>
        </w:rPr>
        <w:t>niversity-</w:t>
      </w:r>
      <w:r w:rsidR="00FA7965">
        <w:rPr>
          <w:rFonts w:asciiTheme="majorHAnsi" w:eastAsia="SimSun" w:hAnsiTheme="majorHAnsi" w:cstheme="majorHAnsi"/>
          <w:color w:val="272727"/>
          <w:sz w:val="21"/>
          <w:szCs w:val="21"/>
          <w:lang w:eastAsia="zh-CN"/>
        </w:rPr>
        <w:t>industry</w:t>
      </w:r>
      <w:r w:rsidR="003C763F">
        <w:rPr>
          <w:rFonts w:asciiTheme="majorHAnsi" w:eastAsia="SimSun" w:hAnsiTheme="majorHAnsi" w:cstheme="majorHAnsi"/>
          <w:color w:val="272727"/>
          <w:sz w:val="21"/>
          <w:szCs w:val="21"/>
          <w:lang w:eastAsia="zh-CN"/>
        </w:rPr>
        <w:t xml:space="preserve"> engagement.</w:t>
      </w:r>
    </w:p>
    <w:p w14:paraId="13A603B2" w14:textId="77777777" w:rsidR="00C002D8" w:rsidRPr="00C002D8" w:rsidRDefault="00C002D8" w:rsidP="00FA7965">
      <w:pPr>
        <w:numPr>
          <w:ilvl w:val="0"/>
          <w:numId w:val="10"/>
        </w:numPr>
        <w:autoSpaceDE w:val="0"/>
        <w:autoSpaceDN w:val="0"/>
        <w:adjustRightInd w:val="0"/>
        <w:rPr>
          <w:rFonts w:asciiTheme="majorHAnsi" w:eastAsia="SimSun" w:hAnsiTheme="majorHAnsi" w:cstheme="majorHAnsi"/>
          <w:color w:val="272727"/>
          <w:sz w:val="21"/>
          <w:szCs w:val="21"/>
          <w:lang w:eastAsia="zh-CN"/>
        </w:rPr>
      </w:pPr>
      <w:r w:rsidRPr="00C002D8">
        <w:rPr>
          <w:rFonts w:asciiTheme="majorHAnsi" w:eastAsia="SimSun" w:hAnsiTheme="majorHAnsi" w:cstheme="majorHAnsi"/>
          <w:color w:val="272727"/>
          <w:sz w:val="21"/>
          <w:szCs w:val="21"/>
          <w:lang w:eastAsia="zh-CN"/>
        </w:rPr>
        <w:t>There remain</w:t>
      </w:r>
      <w:r w:rsidR="003C763F">
        <w:rPr>
          <w:rFonts w:asciiTheme="majorHAnsi" w:eastAsia="SimSun" w:hAnsiTheme="majorHAnsi" w:cstheme="majorHAnsi"/>
          <w:color w:val="272727"/>
          <w:sz w:val="21"/>
          <w:szCs w:val="21"/>
          <w:lang w:eastAsia="zh-CN"/>
        </w:rPr>
        <w:t>s</w:t>
      </w:r>
      <w:r w:rsidRPr="00C002D8">
        <w:rPr>
          <w:rFonts w:asciiTheme="majorHAnsi" w:eastAsia="SimSun" w:hAnsiTheme="majorHAnsi" w:cstheme="majorHAnsi"/>
          <w:color w:val="272727"/>
          <w:sz w:val="21"/>
          <w:szCs w:val="21"/>
          <w:lang w:eastAsia="zh-CN"/>
        </w:rPr>
        <w:t xml:space="preserve"> considerable </w:t>
      </w:r>
      <w:r w:rsidR="003C763F">
        <w:rPr>
          <w:rFonts w:asciiTheme="majorHAnsi" w:eastAsia="SimSun" w:hAnsiTheme="majorHAnsi" w:cstheme="majorHAnsi"/>
          <w:color w:val="272727"/>
          <w:sz w:val="21"/>
          <w:szCs w:val="21"/>
          <w:lang w:eastAsia="zh-CN"/>
        </w:rPr>
        <w:t>opportunity</w:t>
      </w:r>
      <w:r w:rsidRPr="00C002D8">
        <w:rPr>
          <w:rFonts w:asciiTheme="majorHAnsi" w:eastAsia="SimSun" w:hAnsiTheme="majorHAnsi" w:cstheme="majorHAnsi"/>
          <w:color w:val="272727"/>
          <w:sz w:val="21"/>
          <w:szCs w:val="21"/>
          <w:lang w:eastAsia="zh-CN"/>
        </w:rPr>
        <w:t xml:space="preserve"> to place increased emphasis on </w:t>
      </w:r>
      <w:r w:rsidR="00FA7965">
        <w:rPr>
          <w:rFonts w:asciiTheme="majorHAnsi" w:eastAsia="SimSun" w:hAnsiTheme="majorHAnsi" w:cstheme="majorHAnsi"/>
          <w:color w:val="272727"/>
          <w:sz w:val="21"/>
          <w:szCs w:val="21"/>
          <w:lang w:eastAsia="zh-CN"/>
        </w:rPr>
        <w:t>u</w:t>
      </w:r>
      <w:r w:rsidRPr="00C002D8">
        <w:rPr>
          <w:rFonts w:asciiTheme="majorHAnsi" w:eastAsia="SimSun" w:hAnsiTheme="majorHAnsi" w:cstheme="majorHAnsi"/>
          <w:color w:val="272727"/>
          <w:sz w:val="21"/>
          <w:szCs w:val="21"/>
          <w:lang w:eastAsia="zh-CN"/>
        </w:rPr>
        <w:t>niversity-</w:t>
      </w:r>
      <w:r w:rsidR="00FA7965">
        <w:rPr>
          <w:rFonts w:asciiTheme="majorHAnsi" w:eastAsia="SimSun" w:hAnsiTheme="majorHAnsi" w:cstheme="majorHAnsi"/>
          <w:color w:val="272727"/>
          <w:sz w:val="21"/>
          <w:szCs w:val="21"/>
          <w:lang w:eastAsia="zh-CN"/>
        </w:rPr>
        <w:t>i</w:t>
      </w:r>
      <w:r w:rsidRPr="00C002D8">
        <w:rPr>
          <w:rFonts w:asciiTheme="majorHAnsi" w:eastAsia="SimSun" w:hAnsiTheme="majorHAnsi" w:cstheme="majorHAnsi"/>
          <w:color w:val="272727"/>
          <w:sz w:val="21"/>
          <w:szCs w:val="21"/>
          <w:lang w:eastAsia="zh-CN"/>
        </w:rPr>
        <w:t>ndustry collaboration</w:t>
      </w:r>
      <w:r>
        <w:rPr>
          <w:rFonts w:asciiTheme="majorHAnsi" w:eastAsia="SimSun" w:hAnsiTheme="majorHAnsi" w:cstheme="majorHAnsi"/>
          <w:color w:val="272727"/>
          <w:sz w:val="21"/>
          <w:szCs w:val="21"/>
          <w:lang w:eastAsia="zh-CN"/>
        </w:rPr>
        <w:t xml:space="preserve"> through </w:t>
      </w:r>
      <w:r w:rsidR="003C763F" w:rsidRPr="00C002D8">
        <w:rPr>
          <w:rFonts w:asciiTheme="majorHAnsi" w:eastAsia="SimSun" w:hAnsiTheme="majorHAnsi" w:cstheme="majorHAnsi"/>
          <w:b/>
          <w:bCs/>
          <w:color w:val="0070C0"/>
          <w:sz w:val="21"/>
          <w:szCs w:val="21"/>
          <w:lang w:eastAsia="zh-CN"/>
        </w:rPr>
        <w:t>other mechanisms</w:t>
      </w:r>
      <w:r w:rsidR="003C763F">
        <w:rPr>
          <w:rFonts w:asciiTheme="majorHAnsi" w:eastAsia="SimSun" w:hAnsiTheme="majorHAnsi" w:cstheme="majorHAnsi"/>
          <w:color w:val="272727"/>
          <w:sz w:val="21"/>
          <w:szCs w:val="21"/>
          <w:lang w:eastAsia="zh-CN"/>
        </w:rPr>
        <w:t xml:space="preserve"> beyond </w:t>
      </w:r>
      <w:r>
        <w:rPr>
          <w:rFonts w:asciiTheme="majorHAnsi" w:eastAsia="SimSun" w:hAnsiTheme="majorHAnsi" w:cstheme="majorHAnsi"/>
          <w:color w:val="272727"/>
          <w:sz w:val="21"/>
          <w:szCs w:val="21"/>
          <w:lang w:eastAsia="zh-CN"/>
        </w:rPr>
        <w:t xml:space="preserve">the </w:t>
      </w:r>
      <w:r w:rsidRPr="00625F4D">
        <w:rPr>
          <w:rFonts w:asciiTheme="majorHAnsi" w:eastAsia="SimSun" w:hAnsiTheme="majorHAnsi" w:cstheme="majorHAnsi"/>
          <w:b/>
          <w:bCs/>
          <w:color w:val="0070C0"/>
          <w:sz w:val="21"/>
          <w:szCs w:val="21"/>
          <w:lang w:eastAsia="zh-CN"/>
        </w:rPr>
        <w:t>RBG allocation</w:t>
      </w:r>
      <w:r>
        <w:rPr>
          <w:rFonts w:asciiTheme="majorHAnsi" w:eastAsia="SimSun" w:hAnsiTheme="majorHAnsi" w:cstheme="majorHAnsi"/>
          <w:color w:val="272727"/>
          <w:sz w:val="21"/>
          <w:szCs w:val="21"/>
          <w:lang w:eastAsia="zh-CN"/>
        </w:rPr>
        <w:t>.</w:t>
      </w:r>
    </w:p>
    <w:p w14:paraId="13A603B3" w14:textId="77777777" w:rsidR="00384054" w:rsidRPr="00384054" w:rsidRDefault="00384054" w:rsidP="00625F4D">
      <w:pPr>
        <w:numPr>
          <w:ilvl w:val="0"/>
          <w:numId w:val="10"/>
        </w:num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Any revision </w:t>
      </w:r>
      <w:r w:rsidR="002D23BF">
        <w:rPr>
          <w:rFonts w:asciiTheme="majorHAnsi" w:eastAsia="SimSun" w:hAnsiTheme="majorHAnsi" w:cstheme="majorHAnsi"/>
          <w:color w:val="272727"/>
          <w:sz w:val="21"/>
          <w:szCs w:val="21"/>
          <w:lang w:eastAsia="zh-CN"/>
        </w:rPr>
        <w:t xml:space="preserve">to the RBG scheme </w:t>
      </w:r>
      <w:r w:rsidRPr="00384054">
        <w:rPr>
          <w:rFonts w:asciiTheme="majorHAnsi" w:eastAsia="SimSun" w:hAnsiTheme="majorHAnsi" w:cstheme="majorHAnsi"/>
          <w:color w:val="272727"/>
          <w:sz w:val="21"/>
          <w:szCs w:val="21"/>
          <w:lang w:eastAsia="zh-CN"/>
        </w:rPr>
        <w:t xml:space="preserve">should where possible, </w:t>
      </w:r>
      <w:r w:rsidRPr="006D025F">
        <w:rPr>
          <w:rFonts w:asciiTheme="majorHAnsi" w:eastAsia="SimSun" w:hAnsiTheme="majorHAnsi" w:cstheme="majorHAnsi"/>
          <w:b/>
          <w:bCs/>
          <w:color w:val="0070C0"/>
          <w:sz w:val="21"/>
          <w:szCs w:val="21"/>
          <w:lang w:eastAsia="zh-CN"/>
        </w:rPr>
        <w:t>leverage metrics already being recorded</w:t>
      </w:r>
      <w:r w:rsidRPr="00384054">
        <w:rPr>
          <w:rFonts w:asciiTheme="majorHAnsi" w:eastAsia="SimSun" w:hAnsiTheme="majorHAnsi" w:cstheme="majorHAnsi"/>
          <w:color w:val="272727"/>
          <w:sz w:val="21"/>
          <w:szCs w:val="21"/>
          <w:lang w:eastAsia="zh-CN"/>
        </w:rPr>
        <w:t xml:space="preserve"> in the HERDC system.</w:t>
      </w:r>
    </w:p>
    <w:p w14:paraId="13A603B4" w14:textId="77777777" w:rsidR="00384054" w:rsidRPr="00384054" w:rsidRDefault="00384054" w:rsidP="00625F4D">
      <w:pPr>
        <w:numPr>
          <w:ilvl w:val="0"/>
          <w:numId w:val="10"/>
        </w:num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Where possible the revision should </w:t>
      </w:r>
      <w:r w:rsidRPr="006D025F">
        <w:rPr>
          <w:rFonts w:asciiTheme="majorHAnsi" w:eastAsia="SimSun" w:hAnsiTheme="majorHAnsi" w:cstheme="majorHAnsi"/>
          <w:b/>
          <w:bCs/>
          <w:color w:val="0070C0"/>
          <w:sz w:val="21"/>
          <w:szCs w:val="21"/>
          <w:lang w:eastAsia="zh-CN"/>
        </w:rPr>
        <w:t>limit the introduction of new metrics</w:t>
      </w:r>
      <w:r w:rsidRPr="00384054">
        <w:rPr>
          <w:rFonts w:asciiTheme="majorHAnsi" w:eastAsia="SimSun" w:hAnsiTheme="majorHAnsi" w:cstheme="majorHAnsi"/>
          <w:color w:val="272727"/>
          <w:sz w:val="21"/>
          <w:szCs w:val="21"/>
          <w:lang w:eastAsia="zh-CN"/>
        </w:rPr>
        <w:t xml:space="preserve"> to those that are essential to drive meaningful outcomes.</w:t>
      </w:r>
    </w:p>
    <w:p w14:paraId="13A603B5" w14:textId="77777777" w:rsidR="00E95B7D" w:rsidRPr="00E95B7D" w:rsidRDefault="00384054" w:rsidP="00E571AF">
      <w:pPr>
        <w:numPr>
          <w:ilvl w:val="0"/>
          <w:numId w:val="10"/>
        </w:num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There are critical educational outputs of Universities which are not traditionally taken up by industry (e.g. </w:t>
      </w:r>
      <w:r w:rsidRPr="006D025F">
        <w:rPr>
          <w:rFonts w:asciiTheme="majorHAnsi" w:eastAsia="SimSun" w:hAnsiTheme="majorHAnsi" w:cstheme="majorHAnsi"/>
          <w:b/>
          <w:bCs/>
          <w:color w:val="0070C0"/>
          <w:sz w:val="21"/>
          <w:szCs w:val="21"/>
          <w:lang w:eastAsia="zh-CN"/>
        </w:rPr>
        <w:t>Human</w:t>
      </w:r>
      <w:r w:rsidR="006D025F">
        <w:rPr>
          <w:rFonts w:asciiTheme="majorHAnsi" w:eastAsia="SimSun" w:hAnsiTheme="majorHAnsi" w:cstheme="majorHAnsi"/>
          <w:b/>
          <w:bCs/>
          <w:color w:val="0070C0"/>
          <w:sz w:val="21"/>
          <w:szCs w:val="21"/>
          <w:lang w:eastAsia="zh-CN"/>
        </w:rPr>
        <w:t>ities</w:t>
      </w:r>
      <w:r w:rsidRPr="006D025F">
        <w:rPr>
          <w:rFonts w:asciiTheme="majorHAnsi" w:eastAsia="SimSun" w:hAnsiTheme="majorHAnsi" w:cstheme="majorHAnsi"/>
          <w:b/>
          <w:bCs/>
          <w:color w:val="0070C0"/>
          <w:sz w:val="21"/>
          <w:szCs w:val="21"/>
          <w:lang w:eastAsia="zh-CN"/>
        </w:rPr>
        <w:t xml:space="preserve"> and Social Sciences</w:t>
      </w:r>
      <w:r w:rsidRPr="00384054">
        <w:rPr>
          <w:rFonts w:asciiTheme="majorHAnsi" w:eastAsia="SimSun" w:hAnsiTheme="majorHAnsi" w:cstheme="majorHAnsi"/>
          <w:color w:val="272727"/>
          <w:sz w:val="21"/>
          <w:szCs w:val="21"/>
          <w:lang w:eastAsia="zh-CN"/>
        </w:rPr>
        <w:t xml:space="preserve">) and </w:t>
      </w:r>
      <w:r w:rsidR="00092DB7">
        <w:rPr>
          <w:rFonts w:asciiTheme="majorHAnsi" w:eastAsia="SimSun" w:hAnsiTheme="majorHAnsi" w:cstheme="majorHAnsi"/>
          <w:color w:val="272727"/>
          <w:sz w:val="21"/>
          <w:szCs w:val="21"/>
          <w:lang w:eastAsia="zh-CN"/>
        </w:rPr>
        <w:t xml:space="preserve">any </w:t>
      </w:r>
      <w:r w:rsidRPr="00384054">
        <w:rPr>
          <w:rFonts w:asciiTheme="majorHAnsi" w:eastAsia="SimSun" w:hAnsiTheme="majorHAnsi" w:cstheme="majorHAnsi"/>
          <w:color w:val="272727"/>
          <w:sz w:val="21"/>
          <w:szCs w:val="21"/>
          <w:lang w:eastAsia="zh-CN"/>
        </w:rPr>
        <w:t xml:space="preserve">revised allocation process should </w:t>
      </w:r>
      <w:r w:rsidRPr="006D025F">
        <w:rPr>
          <w:rFonts w:asciiTheme="majorHAnsi" w:eastAsia="SimSun" w:hAnsiTheme="majorHAnsi" w:cstheme="majorHAnsi"/>
          <w:b/>
          <w:bCs/>
          <w:color w:val="0070C0"/>
          <w:sz w:val="21"/>
          <w:szCs w:val="21"/>
          <w:lang w:eastAsia="zh-CN"/>
        </w:rPr>
        <w:t>continue to allow</w:t>
      </w:r>
      <w:r w:rsidRPr="00384054">
        <w:rPr>
          <w:rFonts w:asciiTheme="majorHAnsi" w:eastAsia="SimSun" w:hAnsiTheme="majorHAnsi" w:cstheme="majorHAnsi"/>
          <w:color w:val="272727"/>
          <w:sz w:val="21"/>
          <w:szCs w:val="21"/>
          <w:lang w:eastAsia="zh-CN"/>
        </w:rPr>
        <w:t xml:space="preserve"> those disciplines to </w:t>
      </w:r>
      <w:r w:rsidRPr="006D025F">
        <w:rPr>
          <w:rFonts w:asciiTheme="majorHAnsi" w:eastAsia="SimSun" w:hAnsiTheme="majorHAnsi" w:cstheme="majorHAnsi"/>
          <w:b/>
          <w:bCs/>
          <w:color w:val="0070C0"/>
          <w:sz w:val="21"/>
          <w:szCs w:val="21"/>
          <w:lang w:eastAsia="zh-CN"/>
        </w:rPr>
        <w:t>compete</w:t>
      </w:r>
      <w:r w:rsidRPr="00384054">
        <w:rPr>
          <w:rFonts w:asciiTheme="majorHAnsi" w:eastAsia="SimSun" w:hAnsiTheme="majorHAnsi" w:cstheme="majorHAnsi"/>
          <w:color w:val="272727"/>
          <w:sz w:val="21"/>
          <w:szCs w:val="21"/>
          <w:lang w:eastAsia="zh-CN"/>
        </w:rPr>
        <w:t xml:space="preserve"> for funding </w:t>
      </w:r>
      <w:r w:rsidR="00E571AF">
        <w:rPr>
          <w:rFonts w:asciiTheme="majorHAnsi" w:eastAsia="SimSun" w:hAnsiTheme="majorHAnsi" w:cstheme="majorHAnsi"/>
          <w:b/>
          <w:bCs/>
          <w:color w:val="0070C0"/>
          <w:sz w:val="21"/>
          <w:szCs w:val="21"/>
          <w:lang w:eastAsia="zh-CN"/>
        </w:rPr>
        <w:t>using</w:t>
      </w:r>
      <w:r w:rsidRPr="006D025F">
        <w:rPr>
          <w:rFonts w:asciiTheme="majorHAnsi" w:eastAsia="SimSun" w:hAnsiTheme="majorHAnsi" w:cstheme="majorHAnsi"/>
          <w:b/>
          <w:bCs/>
          <w:color w:val="0070C0"/>
          <w:sz w:val="21"/>
          <w:szCs w:val="21"/>
          <w:lang w:eastAsia="zh-CN"/>
        </w:rPr>
        <w:t xml:space="preserve"> existing metrics</w:t>
      </w:r>
      <w:r w:rsidR="002D23BF">
        <w:rPr>
          <w:rFonts w:asciiTheme="majorHAnsi" w:eastAsia="SimSun" w:hAnsiTheme="majorHAnsi" w:cstheme="majorHAnsi"/>
          <w:color w:val="272727"/>
          <w:sz w:val="21"/>
          <w:szCs w:val="21"/>
          <w:lang w:eastAsia="zh-CN"/>
        </w:rPr>
        <w:t>.</w:t>
      </w:r>
    </w:p>
    <w:p w14:paraId="13A603B7" w14:textId="44800F7E" w:rsidR="00384054" w:rsidRPr="00384054" w:rsidRDefault="00C002D8" w:rsidP="004814CF">
      <w:pPr>
        <w:pStyle w:val="Heading1"/>
      </w:pPr>
      <w:bookmarkStart w:id="3" w:name="_Toc404874473"/>
      <w:r>
        <w:t>Response</w:t>
      </w:r>
      <w:r w:rsidR="00384054" w:rsidRPr="00384054">
        <w:t xml:space="preserve"> 2</w:t>
      </w:r>
      <w:r w:rsidR="00895D82">
        <w:t>: Changes to IP Arrangements</w:t>
      </w:r>
      <w:bookmarkEnd w:id="3"/>
    </w:p>
    <w:p w14:paraId="13A603B9" w14:textId="57B618AD" w:rsidR="00092DB7" w:rsidRPr="004814CF" w:rsidRDefault="006D025F" w:rsidP="004814CF">
      <w:pPr>
        <w:autoSpaceDE w:val="0"/>
        <w:autoSpaceDN w:val="0"/>
        <w:adjustRightInd w:val="0"/>
        <w:rPr>
          <w:rFonts w:asciiTheme="majorHAnsi" w:eastAsia="SimSun" w:hAnsiTheme="majorHAnsi" w:cstheme="majorHAnsi"/>
          <w:i/>
          <w:iCs/>
          <w:color w:val="272727"/>
          <w:sz w:val="21"/>
          <w:szCs w:val="21"/>
          <w:lang w:eastAsia="zh-CN"/>
        </w:rPr>
      </w:pPr>
      <w:r w:rsidRPr="006D025F">
        <w:rPr>
          <w:rFonts w:asciiTheme="majorHAnsi" w:eastAsia="SimSun" w:hAnsiTheme="majorHAnsi" w:cstheme="majorHAnsi"/>
          <w:i/>
          <w:iCs/>
          <w:color w:val="272727"/>
          <w:sz w:val="21"/>
          <w:szCs w:val="21"/>
          <w:lang w:eastAsia="zh-CN"/>
        </w:rPr>
        <w:t xml:space="preserve">New practices to partially offset the PFRO’s </w:t>
      </w:r>
      <w:r w:rsidR="00C002D8">
        <w:rPr>
          <w:rFonts w:asciiTheme="majorHAnsi" w:eastAsia="SimSun" w:hAnsiTheme="majorHAnsi" w:cstheme="majorHAnsi"/>
          <w:i/>
          <w:iCs/>
          <w:color w:val="272727"/>
          <w:sz w:val="21"/>
          <w:szCs w:val="21"/>
          <w:lang w:eastAsia="zh-CN"/>
        </w:rPr>
        <w:t xml:space="preserve">qualifying IP protection </w:t>
      </w:r>
      <w:proofErr w:type="gramStart"/>
      <w:r w:rsidR="00C002D8">
        <w:rPr>
          <w:rFonts w:asciiTheme="majorHAnsi" w:eastAsia="SimSun" w:hAnsiTheme="majorHAnsi" w:cstheme="majorHAnsi"/>
          <w:i/>
          <w:iCs/>
          <w:color w:val="272727"/>
          <w:sz w:val="21"/>
          <w:szCs w:val="21"/>
          <w:lang w:eastAsia="zh-CN"/>
        </w:rPr>
        <w:t>costs,</w:t>
      </w:r>
      <w:proofErr w:type="gramEnd"/>
      <w:r w:rsidR="00C002D8">
        <w:rPr>
          <w:rFonts w:asciiTheme="majorHAnsi" w:eastAsia="SimSun" w:hAnsiTheme="majorHAnsi" w:cstheme="majorHAnsi"/>
          <w:i/>
          <w:iCs/>
          <w:color w:val="272727"/>
          <w:sz w:val="21"/>
          <w:szCs w:val="21"/>
          <w:lang w:eastAsia="zh-CN"/>
        </w:rPr>
        <w:t xml:space="preserve"> and </w:t>
      </w:r>
      <w:r w:rsidR="00895D82">
        <w:rPr>
          <w:rFonts w:asciiTheme="majorHAnsi" w:eastAsia="SimSun" w:hAnsiTheme="majorHAnsi" w:cstheme="majorHAnsi"/>
          <w:i/>
          <w:iCs/>
          <w:color w:val="272727"/>
          <w:sz w:val="21"/>
          <w:szCs w:val="21"/>
          <w:lang w:eastAsia="zh-CN"/>
        </w:rPr>
        <w:t>the development of</w:t>
      </w:r>
      <w:r w:rsidRPr="006D025F">
        <w:rPr>
          <w:rFonts w:asciiTheme="majorHAnsi" w:eastAsia="SimSun" w:hAnsiTheme="majorHAnsi" w:cstheme="majorHAnsi"/>
          <w:i/>
          <w:iCs/>
          <w:color w:val="272727"/>
          <w:sz w:val="21"/>
          <w:szCs w:val="21"/>
          <w:lang w:eastAsia="zh-CN"/>
        </w:rPr>
        <w:t xml:space="preserve"> </w:t>
      </w:r>
      <w:r w:rsidR="00C002D8">
        <w:rPr>
          <w:rFonts w:asciiTheme="majorHAnsi" w:eastAsia="SimSun" w:hAnsiTheme="majorHAnsi" w:cstheme="majorHAnsi"/>
          <w:i/>
          <w:iCs/>
          <w:color w:val="272727"/>
          <w:sz w:val="21"/>
          <w:szCs w:val="21"/>
          <w:lang w:eastAsia="zh-CN"/>
        </w:rPr>
        <w:t xml:space="preserve">improved </w:t>
      </w:r>
      <w:r w:rsidRPr="006D025F">
        <w:rPr>
          <w:rFonts w:asciiTheme="majorHAnsi" w:eastAsia="SimSun" w:hAnsiTheme="majorHAnsi" w:cstheme="majorHAnsi"/>
          <w:i/>
          <w:iCs/>
          <w:color w:val="272727"/>
          <w:sz w:val="21"/>
          <w:szCs w:val="21"/>
          <w:lang w:eastAsia="zh-CN"/>
        </w:rPr>
        <w:t xml:space="preserve">IP </w:t>
      </w:r>
      <w:r w:rsidR="00C002D8">
        <w:rPr>
          <w:rFonts w:asciiTheme="majorHAnsi" w:eastAsia="SimSun" w:hAnsiTheme="majorHAnsi" w:cstheme="majorHAnsi"/>
          <w:i/>
          <w:iCs/>
          <w:color w:val="272727"/>
          <w:sz w:val="21"/>
          <w:szCs w:val="21"/>
          <w:lang w:eastAsia="zh-CN"/>
        </w:rPr>
        <w:t xml:space="preserve">transfer </w:t>
      </w:r>
      <w:r w:rsidRPr="006D025F">
        <w:rPr>
          <w:rFonts w:asciiTheme="majorHAnsi" w:eastAsia="SimSun" w:hAnsiTheme="majorHAnsi" w:cstheme="majorHAnsi"/>
          <w:i/>
          <w:iCs/>
          <w:color w:val="272727"/>
          <w:sz w:val="21"/>
          <w:szCs w:val="21"/>
          <w:lang w:eastAsia="zh-CN"/>
        </w:rPr>
        <w:t xml:space="preserve">frameworks </w:t>
      </w:r>
      <w:r w:rsidR="00C002D8">
        <w:rPr>
          <w:rFonts w:asciiTheme="majorHAnsi" w:eastAsia="SimSun" w:hAnsiTheme="majorHAnsi" w:cstheme="majorHAnsi"/>
          <w:i/>
          <w:iCs/>
          <w:color w:val="272727"/>
          <w:sz w:val="21"/>
          <w:szCs w:val="21"/>
          <w:lang w:eastAsia="zh-CN"/>
        </w:rPr>
        <w:t xml:space="preserve">will </w:t>
      </w:r>
      <w:r w:rsidRPr="006D025F">
        <w:rPr>
          <w:rFonts w:asciiTheme="majorHAnsi" w:eastAsia="SimSun" w:hAnsiTheme="majorHAnsi" w:cstheme="majorHAnsi"/>
          <w:i/>
          <w:iCs/>
          <w:color w:val="272727"/>
          <w:sz w:val="21"/>
          <w:szCs w:val="21"/>
          <w:lang w:eastAsia="zh-CN"/>
        </w:rPr>
        <w:t xml:space="preserve">accelerate University-industry negotiations </w:t>
      </w:r>
      <w:r w:rsidR="00895D82">
        <w:rPr>
          <w:rFonts w:asciiTheme="majorHAnsi" w:eastAsia="SimSun" w:hAnsiTheme="majorHAnsi" w:cstheme="majorHAnsi"/>
          <w:i/>
          <w:iCs/>
          <w:color w:val="272727"/>
          <w:sz w:val="21"/>
          <w:szCs w:val="21"/>
          <w:lang w:eastAsia="zh-CN"/>
        </w:rPr>
        <w:t>and</w:t>
      </w:r>
      <w:r w:rsidRPr="006D025F">
        <w:rPr>
          <w:rFonts w:asciiTheme="majorHAnsi" w:eastAsia="SimSun" w:hAnsiTheme="majorHAnsi" w:cstheme="majorHAnsi"/>
          <w:i/>
          <w:iCs/>
          <w:color w:val="272727"/>
          <w:sz w:val="21"/>
          <w:szCs w:val="21"/>
          <w:lang w:eastAsia="zh-CN"/>
        </w:rPr>
        <w:t xml:space="preserve"> reduce barriers to commercialisation</w:t>
      </w:r>
      <w:r w:rsidR="0085069C">
        <w:rPr>
          <w:rFonts w:asciiTheme="majorHAnsi" w:eastAsia="SimSun" w:hAnsiTheme="majorHAnsi" w:cstheme="majorHAnsi"/>
          <w:i/>
          <w:iCs/>
          <w:color w:val="272727"/>
          <w:sz w:val="21"/>
          <w:szCs w:val="21"/>
          <w:lang w:eastAsia="zh-CN"/>
        </w:rPr>
        <w:t>.</w:t>
      </w:r>
    </w:p>
    <w:p w14:paraId="13A603BA" w14:textId="77777777" w:rsidR="00092DB7" w:rsidRPr="00E95B7D" w:rsidRDefault="00092DB7" w:rsidP="004814CF">
      <w:pPr>
        <w:pStyle w:val="Heading3"/>
        <w:rPr>
          <w:rFonts w:eastAsia="SimSun"/>
        </w:rPr>
      </w:pPr>
      <w:r w:rsidRPr="00E95B7D">
        <w:rPr>
          <w:rFonts w:eastAsia="SimSun"/>
        </w:rPr>
        <w:lastRenderedPageBreak/>
        <w:t>Synopsis:</w:t>
      </w:r>
    </w:p>
    <w:p w14:paraId="13A603BB" w14:textId="77777777" w:rsidR="00092DB7" w:rsidRDefault="00092DB7" w:rsidP="00E571AF">
      <w:pPr>
        <w:pStyle w:val="BodyTextIndent"/>
        <w:numPr>
          <w:ilvl w:val="0"/>
          <w:numId w:val="32"/>
        </w:numPr>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T</w:t>
      </w:r>
      <w:r w:rsidRPr="00384054">
        <w:rPr>
          <w:rFonts w:asciiTheme="majorHAnsi" w:eastAsia="SimSun" w:hAnsiTheme="majorHAnsi" w:cstheme="majorHAnsi"/>
          <w:color w:val="272727"/>
          <w:sz w:val="21"/>
          <w:szCs w:val="21"/>
          <w:lang w:eastAsia="zh-CN"/>
        </w:rPr>
        <w:t xml:space="preserve">he University of Tasmania </w:t>
      </w:r>
      <w:r w:rsidR="00E571AF">
        <w:rPr>
          <w:rFonts w:asciiTheme="majorHAnsi" w:eastAsia="SimSun" w:hAnsiTheme="majorHAnsi" w:cstheme="majorHAnsi"/>
          <w:color w:val="272727"/>
          <w:sz w:val="21"/>
          <w:szCs w:val="21"/>
          <w:lang w:eastAsia="zh-CN"/>
        </w:rPr>
        <w:t>seeks</w:t>
      </w:r>
      <w:r w:rsidRPr="00384054">
        <w:rPr>
          <w:rFonts w:asciiTheme="majorHAnsi" w:eastAsia="SimSun" w:hAnsiTheme="majorHAnsi" w:cstheme="majorHAnsi"/>
          <w:color w:val="272727"/>
          <w:sz w:val="21"/>
          <w:szCs w:val="21"/>
          <w:lang w:eastAsia="zh-CN"/>
        </w:rPr>
        <w:t xml:space="preserve"> new policies to support</w:t>
      </w:r>
      <w:r w:rsidR="00772675">
        <w:rPr>
          <w:rFonts w:asciiTheme="majorHAnsi" w:eastAsia="SimSun" w:hAnsiTheme="majorHAnsi" w:cstheme="majorHAnsi"/>
          <w:color w:val="272727"/>
          <w:sz w:val="21"/>
          <w:szCs w:val="21"/>
          <w:lang w:eastAsia="zh-CN"/>
        </w:rPr>
        <w:t xml:space="preserve"> innovators and publicly funded research organisations (P</w:t>
      </w:r>
      <w:r w:rsidRPr="00384054">
        <w:rPr>
          <w:rFonts w:asciiTheme="majorHAnsi" w:eastAsia="SimSun" w:hAnsiTheme="majorHAnsi" w:cstheme="majorHAnsi"/>
          <w:color w:val="272727"/>
          <w:sz w:val="21"/>
          <w:szCs w:val="21"/>
          <w:lang w:eastAsia="zh-CN"/>
        </w:rPr>
        <w:t>FRO)</w:t>
      </w:r>
      <w:r w:rsidR="00772675">
        <w:rPr>
          <w:rFonts w:asciiTheme="majorHAnsi" w:eastAsia="SimSun" w:hAnsiTheme="majorHAnsi" w:cstheme="majorHAnsi"/>
          <w:color w:val="272727"/>
          <w:sz w:val="21"/>
          <w:szCs w:val="21"/>
          <w:lang w:eastAsia="zh-CN"/>
        </w:rPr>
        <w:t>,</w:t>
      </w:r>
      <w:r w:rsidRPr="00384054">
        <w:rPr>
          <w:rFonts w:asciiTheme="majorHAnsi" w:eastAsia="SimSun" w:hAnsiTheme="majorHAnsi" w:cstheme="majorHAnsi"/>
          <w:color w:val="272727"/>
          <w:sz w:val="21"/>
          <w:szCs w:val="21"/>
          <w:lang w:eastAsia="zh-CN"/>
        </w:rPr>
        <w:t xml:space="preserve"> so that this important IP-related investment barrier can be removed. </w:t>
      </w:r>
      <w:r w:rsidR="00E571AF">
        <w:rPr>
          <w:rFonts w:asciiTheme="majorHAnsi" w:eastAsia="SimSun" w:hAnsiTheme="majorHAnsi" w:cstheme="majorHAnsi"/>
          <w:color w:val="272727"/>
          <w:sz w:val="21"/>
          <w:szCs w:val="21"/>
          <w:lang w:eastAsia="zh-CN"/>
        </w:rPr>
        <w:t>T</w:t>
      </w:r>
      <w:r w:rsidRPr="00384054">
        <w:rPr>
          <w:rFonts w:asciiTheme="majorHAnsi" w:eastAsia="SimSun" w:hAnsiTheme="majorHAnsi" w:cstheme="majorHAnsi"/>
          <w:color w:val="272727"/>
          <w:sz w:val="21"/>
          <w:szCs w:val="21"/>
          <w:lang w:eastAsia="zh-CN"/>
        </w:rPr>
        <w:t xml:space="preserve">he government might </w:t>
      </w:r>
      <w:r w:rsidR="00E571AF">
        <w:rPr>
          <w:rFonts w:asciiTheme="majorHAnsi" w:eastAsia="SimSun" w:hAnsiTheme="majorHAnsi" w:cstheme="majorHAnsi"/>
          <w:color w:val="272727"/>
          <w:sz w:val="21"/>
          <w:szCs w:val="21"/>
          <w:lang w:eastAsia="zh-CN"/>
        </w:rPr>
        <w:t>provide</w:t>
      </w:r>
      <w:r w:rsidRPr="00384054">
        <w:rPr>
          <w:rFonts w:asciiTheme="majorHAnsi" w:eastAsia="SimSun" w:hAnsiTheme="majorHAnsi" w:cstheme="majorHAnsi"/>
          <w:color w:val="272727"/>
          <w:sz w:val="21"/>
          <w:szCs w:val="21"/>
          <w:lang w:eastAsia="zh-CN"/>
        </w:rPr>
        <w:t xml:space="preserve"> funding to </w:t>
      </w:r>
      <w:r w:rsidRPr="00C56108">
        <w:rPr>
          <w:rFonts w:asciiTheme="majorHAnsi" w:eastAsia="SimSun" w:hAnsiTheme="majorHAnsi" w:cstheme="majorHAnsi"/>
          <w:b/>
          <w:bCs/>
          <w:color w:val="365F91"/>
          <w:sz w:val="21"/>
          <w:szCs w:val="21"/>
          <w:lang w:eastAsia="zh-CN"/>
        </w:rPr>
        <w:t>partially offset the PFRO’s qualifying IP protection costs</w:t>
      </w:r>
      <w:r w:rsidRPr="00384054">
        <w:rPr>
          <w:rFonts w:asciiTheme="majorHAnsi" w:eastAsia="SimSun" w:hAnsiTheme="majorHAnsi" w:cstheme="majorHAnsi"/>
          <w:color w:val="272727"/>
          <w:sz w:val="21"/>
          <w:szCs w:val="21"/>
          <w:lang w:eastAsia="zh-CN"/>
        </w:rPr>
        <w:t>. For example a reimbursement scheme that meets (say 50%) of the patenting costs t</w:t>
      </w:r>
      <w:r w:rsidRPr="00384054">
        <w:rPr>
          <w:rFonts w:asciiTheme="majorHAnsi" w:eastAsia="SimSun" w:hAnsiTheme="majorHAnsi" w:cstheme="majorHAnsi"/>
          <w:i/>
          <w:iCs/>
          <w:color w:val="272727"/>
          <w:sz w:val="21"/>
          <w:szCs w:val="21"/>
          <w:lang w:eastAsia="zh-CN"/>
        </w:rPr>
        <w:t>hat an industry partn</w:t>
      </w:r>
      <w:r>
        <w:rPr>
          <w:rFonts w:asciiTheme="majorHAnsi" w:eastAsia="SimSun" w:hAnsiTheme="majorHAnsi" w:cstheme="majorHAnsi"/>
          <w:i/>
          <w:iCs/>
          <w:color w:val="272727"/>
          <w:sz w:val="21"/>
          <w:szCs w:val="21"/>
          <w:lang w:eastAsia="zh-CN"/>
        </w:rPr>
        <w:t>er</w:t>
      </w:r>
      <w:r w:rsidRPr="00384054">
        <w:rPr>
          <w:rFonts w:asciiTheme="majorHAnsi" w:eastAsia="SimSun" w:hAnsiTheme="majorHAnsi" w:cstheme="majorHAnsi"/>
          <w:i/>
          <w:iCs/>
          <w:color w:val="272727"/>
          <w:sz w:val="21"/>
          <w:szCs w:val="21"/>
          <w:lang w:eastAsia="zh-CN"/>
        </w:rPr>
        <w:t xml:space="preserve"> agree</w:t>
      </w:r>
      <w:r>
        <w:rPr>
          <w:rFonts w:asciiTheme="majorHAnsi" w:eastAsia="SimSun" w:hAnsiTheme="majorHAnsi" w:cstheme="majorHAnsi"/>
          <w:i/>
          <w:iCs/>
          <w:color w:val="272727"/>
          <w:sz w:val="21"/>
          <w:szCs w:val="21"/>
          <w:lang w:eastAsia="zh-CN"/>
        </w:rPr>
        <w:t>s</w:t>
      </w:r>
      <w:r w:rsidRPr="00384054">
        <w:rPr>
          <w:rFonts w:asciiTheme="majorHAnsi" w:eastAsia="SimSun" w:hAnsiTheme="majorHAnsi" w:cstheme="majorHAnsi"/>
          <w:i/>
          <w:iCs/>
          <w:color w:val="272727"/>
          <w:sz w:val="21"/>
          <w:szCs w:val="21"/>
          <w:lang w:eastAsia="zh-CN"/>
        </w:rPr>
        <w:t xml:space="preserve"> to meet</w:t>
      </w:r>
      <w:r w:rsidRPr="00384054">
        <w:rPr>
          <w:rFonts w:asciiTheme="majorHAnsi" w:eastAsia="SimSun" w:hAnsiTheme="majorHAnsi" w:cstheme="majorHAnsi"/>
          <w:color w:val="272727"/>
          <w:sz w:val="21"/>
          <w:szCs w:val="21"/>
          <w:lang w:eastAsia="zh-CN"/>
        </w:rPr>
        <w:t xml:space="preserve"> under the terms of a </w:t>
      </w:r>
      <w:r w:rsidRPr="00795938">
        <w:rPr>
          <w:rFonts w:asciiTheme="majorHAnsi" w:eastAsia="SimSun" w:hAnsiTheme="majorHAnsi" w:cstheme="majorHAnsi"/>
          <w:i/>
          <w:iCs/>
          <w:color w:val="272727"/>
          <w:sz w:val="21"/>
          <w:szCs w:val="21"/>
          <w:lang w:eastAsia="zh-CN"/>
        </w:rPr>
        <w:t>commercial</w:t>
      </w:r>
      <w:r w:rsidRPr="00384054">
        <w:rPr>
          <w:rFonts w:asciiTheme="majorHAnsi" w:eastAsia="SimSun" w:hAnsiTheme="majorHAnsi" w:cstheme="majorHAnsi"/>
          <w:color w:val="272727"/>
          <w:sz w:val="21"/>
          <w:szCs w:val="21"/>
          <w:lang w:eastAsia="zh-CN"/>
        </w:rPr>
        <w:t xml:space="preserve"> license with the patent owner (i.e. the PFRO), is worthy of consideration. This scheme might be funded by </w:t>
      </w:r>
      <w:r w:rsidRPr="00C56108">
        <w:rPr>
          <w:rFonts w:asciiTheme="majorHAnsi" w:eastAsia="SimSun" w:hAnsiTheme="majorHAnsi" w:cstheme="majorHAnsi"/>
          <w:b/>
          <w:bCs/>
          <w:color w:val="365F91"/>
          <w:sz w:val="21"/>
          <w:szCs w:val="21"/>
          <w:lang w:eastAsia="zh-CN"/>
        </w:rPr>
        <w:t>restructuring the current R&amp;D tax arrangements</w:t>
      </w:r>
      <w:r w:rsidRPr="00384054">
        <w:rPr>
          <w:rFonts w:asciiTheme="majorHAnsi" w:eastAsia="SimSun" w:hAnsiTheme="majorHAnsi" w:cstheme="majorHAnsi"/>
          <w:color w:val="272727"/>
          <w:sz w:val="21"/>
          <w:szCs w:val="21"/>
          <w:lang w:eastAsia="zh-CN"/>
        </w:rPr>
        <w:t xml:space="preserve"> to include a specific rebate.</w:t>
      </w:r>
    </w:p>
    <w:p w14:paraId="13A603BC" w14:textId="77777777" w:rsidR="00092DB7" w:rsidRPr="00092DB7" w:rsidRDefault="00092DB7" w:rsidP="00FA7965">
      <w:pPr>
        <w:pStyle w:val="BodyTextIndent"/>
        <w:numPr>
          <w:ilvl w:val="0"/>
          <w:numId w:val="32"/>
        </w:numPr>
        <w:rPr>
          <w:rFonts w:asciiTheme="majorHAnsi" w:eastAsia="SimSun" w:hAnsiTheme="majorHAnsi" w:cstheme="majorHAnsi"/>
          <w:b/>
          <w:bCs/>
          <w:color w:val="365F91"/>
          <w:sz w:val="21"/>
          <w:szCs w:val="21"/>
          <w:lang w:eastAsia="zh-CN"/>
        </w:rPr>
      </w:pPr>
      <w:r>
        <w:rPr>
          <w:rFonts w:asciiTheme="majorHAnsi" w:eastAsia="SimSun" w:hAnsiTheme="majorHAnsi" w:cstheme="majorHAnsi"/>
          <w:color w:val="272727"/>
          <w:sz w:val="21"/>
          <w:szCs w:val="21"/>
          <w:lang w:eastAsia="zh-CN"/>
        </w:rPr>
        <w:t>The</w:t>
      </w:r>
      <w:r w:rsidRPr="00384054">
        <w:rPr>
          <w:rFonts w:asciiTheme="majorHAnsi" w:eastAsia="SimSun" w:hAnsiTheme="majorHAnsi" w:cstheme="majorHAnsi"/>
          <w:color w:val="272727"/>
          <w:sz w:val="21"/>
          <w:szCs w:val="21"/>
          <w:lang w:eastAsia="zh-CN"/>
        </w:rPr>
        <w:t xml:space="preserve"> government might consider </w:t>
      </w:r>
      <w:r w:rsidRPr="00092DB7">
        <w:rPr>
          <w:rFonts w:asciiTheme="majorHAnsi" w:eastAsia="SimSun" w:hAnsiTheme="majorHAnsi" w:cstheme="majorHAnsi"/>
          <w:b/>
          <w:bCs/>
          <w:color w:val="365F91"/>
          <w:sz w:val="21"/>
          <w:szCs w:val="21"/>
          <w:lang w:eastAsia="zh-CN"/>
        </w:rPr>
        <w:t>staged grants</w:t>
      </w:r>
      <w:r w:rsidRPr="00384054">
        <w:rPr>
          <w:rFonts w:asciiTheme="majorHAnsi" w:eastAsia="SimSun" w:hAnsiTheme="majorHAnsi" w:cstheme="majorHAnsi"/>
          <w:color w:val="0070C0"/>
          <w:sz w:val="21"/>
          <w:szCs w:val="21"/>
          <w:lang w:eastAsia="zh-CN"/>
        </w:rPr>
        <w:t xml:space="preserve"> </w:t>
      </w:r>
      <w:r w:rsidRPr="00384054">
        <w:rPr>
          <w:rFonts w:asciiTheme="majorHAnsi" w:eastAsia="SimSun" w:hAnsiTheme="majorHAnsi" w:cstheme="majorHAnsi"/>
          <w:color w:val="272727"/>
          <w:sz w:val="21"/>
          <w:szCs w:val="21"/>
          <w:lang w:eastAsia="zh-CN"/>
        </w:rPr>
        <w:t xml:space="preserve">where in the initial phase, the minimum financial support </w:t>
      </w:r>
      <w:r>
        <w:rPr>
          <w:rFonts w:asciiTheme="majorHAnsi" w:eastAsia="SimSun" w:hAnsiTheme="majorHAnsi" w:cstheme="majorHAnsi"/>
          <w:color w:val="272727"/>
          <w:sz w:val="21"/>
          <w:szCs w:val="21"/>
          <w:lang w:eastAsia="zh-CN"/>
        </w:rPr>
        <w:t>(</w:t>
      </w:r>
      <w:r w:rsidRPr="00384054">
        <w:rPr>
          <w:rFonts w:asciiTheme="majorHAnsi" w:eastAsia="SimSun" w:hAnsiTheme="majorHAnsi" w:cstheme="majorHAnsi"/>
          <w:color w:val="272727"/>
          <w:sz w:val="21"/>
          <w:szCs w:val="21"/>
          <w:lang w:eastAsia="zh-CN"/>
        </w:rPr>
        <w:t>to complete the target research outcomes</w:t>
      </w:r>
      <w:r>
        <w:rPr>
          <w:rFonts w:asciiTheme="majorHAnsi" w:eastAsia="SimSun" w:hAnsiTheme="majorHAnsi" w:cstheme="majorHAnsi"/>
          <w:color w:val="272727"/>
          <w:sz w:val="21"/>
          <w:szCs w:val="21"/>
          <w:lang w:eastAsia="zh-CN"/>
        </w:rPr>
        <w:t>)</w:t>
      </w:r>
      <w:r w:rsidRPr="00384054">
        <w:rPr>
          <w:rFonts w:asciiTheme="majorHAnsi" w:eastAsia="SimSun" w:hAnsiTheme="majorHAnsi" w:cstheme="majorHAnsi"/>
          <w:color w:val="272727"/>
          <w:sz w:val="21"/>
          <w:szCs w:val="21"/>
          <w:lang w:eastAsia="zh-CN"/>
        </w:rPr>
        <w:t xml:space="preserve"> is provided, but where the grants contain additional contractual undertakings to </w:t>
      </w:r>
      <w:r w:rsidRPr="00092DB7">
        <w:rPr>
          <w:rFonts w:asciiTheme="majorHAnsi" w:eastAsia="SimSun" w:hAnsiTheme="majorHAnsi" w:cstheme="majorHAnsi"/>
          <w:b/>
          <w:bCs/>
          <w:color w:val="365F91"/>
          <w:sz w:val="21"/>
          <w:szCs w:val="21"/>
          <w:lang w:eastAsia="zh-CN"/>
        </w:rPr>
        <w:t>provide follow-on financial benefits</w:t>
      </w:r>
      <w:r w:rsidRPr="00384054">
        <w:rPr>
          <w:rFonts w:asciiTheme="majorHAnsi" w:eastAsia="SimSun" w:hAnsiTheme="majorHAnsi" w:cstheme="majorHAnsi"/>
          <w:color w:val="0070C0"/>
          <w:sz w:val="21"/>
          <w:szCs w:val="21"/>
          <w:lang w:eastAsia="zh-CN"/>
        </w:rPr>
        <w:t xml:space="preserve"> </w:t>
      </w:r>
      <w:r w:rsidRPr="00384054">
        <w:rPr>
          <w:rFonts w:asciiTheme="majorHAnsi" w:eastAsia="SimSun" w:hAnsiTheme="majorHAnsi" w:cstheme="majorHAnsi"/>
          <w:color w:val="272727"/>
          <w:sz w:val="21"/>
          <w:szCs w:val="21"/>
          <w:lang w:eastAsia="zh-CN"/>
        </w:rPr>
        <w:t xml:space="preserve">for </w:t>
      </w:r>
      <w:r w:rsidRPr="00092DB7">
        <w:rPr>
          <w:rFonts w:asciiTheme="majorHAnsi" w:eastAsia="SimSun" w:hAnsiTheme="majorHAnsi" w:cstheme="majorHAnsi"/>
          <w:b/>
          <w:bCs/>
          <w:color w:val="365F91"/>
          <w:sz w:val="21"/>
          <w:szCs w:val="21"/>
          <w:lang w:eastAsia="zh-CN"/>
        </w:rPr>
        <w:t>participants that achieve pre-agreed impact/commercial/collaboration targets.</w:t>
      </w:r>
    </w:p>
    <w:p w14:paraId="13A603BE" w14:textId="77777777" w:rsidR="00092DB7" w:rsidRPr="00092DB7" w:rsidRDefault="00092DB7" w:rsidP="004814CF">
      <w:pPr>
        <w:pStyle w:val="Heading3"/>
        <w:rPr>
          <w:rFonts w:eastAsia="SimSun"/>
        </w:rPr>
      </w:pPr>
      <w:r w:rsidRPr="00092DB7">
        <w:rPr>
          <w:rFonts w:eastAsia="SimSun"/>
        </w:rPr>
        <w:t>Response 2- Discussion</w:t>
      </w:r>
    </w:p>
    <w:p w14:paraId="13A603BF" w14:textId="77777777" w:rsidR="00384054" w:rsidRPr="00384054" w:rsidRDefault="00384054" w:rsidP="00693E9E">
      <w:p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The University of Tasmania has provided commentary on this </w:t>
      </w:r>
      <w:r w:rsidR="00E571AF">
        <w:rPr>
          <w:rFonts w:asciiTheme="majorHAnsi" w:eastAsia="SimSun" w:hAnsiTheme="majorHAnsi" w:cstheme="majorHAnsi"/>
          <w:color w:val="272727"/>
          <w:sz w:val="21"/>
          <w:szCs w:val="21"/>
          <w:lang w:eastAsia="zh-CN"/>
        </w:rPr>
        <w:t xml:space="preserve">issue </w:t>
      </w:r>
      <w:r w:rsidRPr="00384054">
        <w:rPr>
          <w:rFonts w:asciiTheme="majorHAnsi" w:eastAsia="SimSun" w:hAnsiTheme="majorHAnsi" w:cstheme="majorHAnsi"/>
          <w:color w:val="272727"/>
          <w:sz w:val="21"/>
          <w:szCs w:val="21"/>
          <w:lang w:eastAsia="zh-CN"/>
        </w:rPr>
        <w:t>in its submission</w:t>
      </w:r>
      <w:r w:rsidRPr="00384054">
        <w:rPr>
          <w:rFonts w:asciiTheme="majorHAnsi" w:eastAsia="SimSun" w:hAnsiTheme="majorHAnsi" w:cstheme="majorHAnsi"/>
          <w:color w:val="272727"/>
          <w:sz w:val="21"/>
          <w:szCs w:val="21"/>
          <w:vertAlign w:val="superscript"/>
          <w:lang w:eastAsia="zh-CN"/>
        </w:rPr>
        <w:footnoteReference w:id="1"/>
      </w:r>
      <w:r w:rsidR="006D025F">
        <w:rPr>
          <w:rFonts w:asciiTheme="majorHAnsi" w:eastAsia="SimSun" w:hAnsiTheme="majorHAnsi" w:cstheme="majorHAnsi"/>
          <w:color w:val="272727"/>
          <w:sz w:val="21"/>
          <w:szCs w:val="21"/>
          <w:lang w:eastAsia="zh-CN"/>
        </w:rPr>
        <w:t xml:space="preserve"> to </w:t>
      </w:r>
      <w:r w:rsidRPr="00384054">
        <w:rPr>
          <w:rFonts w:asciiTheme="majorHAnsi" w:eastAsia="SimSun" w:hAnsiTheme="majorHAnsi" w:cstheme="majorHAnsi"/>
          <w:color w:val="272727"/>
          <w:sz w:val="21"/>
          <w:szCs w:val="21"/>
          <w:lang w:eastAsia="zh-CN"/>
        </w:rPr>
        <w:t xml:space="preserve">the </w:t>
      </w:r>
      <w:r w:rsidR="00E571AF" w:rsidRPr="00384054">
        <w:rPr>
          <w:rFonts w:asciiTheme="majorHAnsi" w:eastAsia="SimSun" w:hAnsiTheme="majorHAnsi" w:cstheme="majorHAnsi"/>
          <w:color w:val="272727"/>
          <w:sz w:val="21"/>
          <w:szCs w:val="21"/>
          <w:lang w:eastAsia="zh-CN"/>
        </w:rPr>
        <w:t>18</w:t>
      </w:r>
      <w:r w:rsidR="00E571AF">
        <w:rPr>
          <w:rFonts w:asciiTheme="majorHAnsi" w:eastAsia="SimSun" w:hAnsiTheme="majorHAnsi" w:cstheme="majorHAnsi"/>
          <w:color w:val="272727"/>
          <w:sz w:val="21"/>
          <w:szCs w:val="21"/>
          <w:lang w:eastAsia="zh-CN"/>
        </w:rPr>
        <w:t xml:space="preserve"> </w:t>
      </w:r>
      <w:r w:rsidRPr="00384054">
        <w:rPr>
          <w:rFonts w:asciiTheme="majorHAnsi" w:eastAsia="SimSun" w:hAnsiTheme="majorHAnsi" w:cstheme="majorHAnsi"/>
          <w:color w:val="272727"/>
          <w:sz w:val="21"/>
          <w:szCs w:val="21"/>
          <w:lang w:eastAsia="zh-CN"/>
        </w:rPr>
        <w:t>March, 2014, Senate Economics References Committees call for responses to its paper, “</w:t>
      </w:r>
      <w:r w:rsidRPr="00384054">
        <w:rPr>
          <w:rFonts w:asciiTheme="majorHAnsi" w:eastAsia="SimSun" w:hAnsiTheme="majorHAnsi" w:cstheme="majorHAnsi"/>
          <w:i/>
          <w:iCs/>
          <w:color w:val="272727"/>
          <w:sz w:val="21"/>
          <w:szCs w:val="21"/>
          <w:lang w:eastAsia="zh-CN"/>
        </w:rPr>
        <w:t>The Challenges to Australian industries and jobs posed by increasing global competition in innovation, science, engineering, research and education</w:t>
      </w:r>
      <w:r w:rsidRPr="00384054">
        <w:rPr>
          <w:rFonts w:asciiTheme="majorHAnsi" w:eastAsia="SimSun" w:hAnsiTheme="majorHAnsi" w:cstheme="majorHAnsi"/>
          <w:color w:val="272727"/>
          <w:sz w:val="21"/>
          <w:szCs w:val="21"/>
          <w:lang w:eastAsia="zh-CN"/>
        </w:rPr>
        <w:t xml:space="preserve">”. </w:t>
      </w:r>
      <w:r w:rsidR="00895D82">
        <w:rPr>
          <w:rFonts w:asciiTheme="majorHAnsi" w:eastAsia="SimSun" w:hAnsiTheme="majorHAnsi" w:cstheme="majorHAnsi"/>
          <w:color w:val="272727"/>
          <w:sz w:val="21"/>
          <w:szCs w:val="21"/>
          <w:lang w:eastAsia="zh-CN"/>
        </w:rPr>
        <w:t xml:space="preserve">In </w:t>
      </w:r>
      <w:r w:rsidR="00FA4245">
        <w:rPr>
          <w:rFonts w:asciiTheme="majorHAnsi" w:eastAsia="SimSun" w:hAnsiTheme="majorHAnsi" w:cstheme="majorHAnsi"/>
          <w:color w:val="272727"/>
          <w:sz w:val="21"/>
          <w:szCs w:val="21"/>
          <w:lang w:eastAsia="zh-CN"/>
        </w:rPr>
        <w:t>the</w:t>
      </w:r>
      <w:r w:rsidR="00895D82">
        <w:rPr>
          <w:rFonts w:asciiTheme="majorHAnsi" w:eastAsia="SimSun" w:hAnsiTheme="majorHAnsi" w:cstheme="majorHAnsi"/>
          <w:color w:val="272727"/>
          <w:sz w:val="21"/>
          <w:szCs w:val="21"/>
          <w:lang w:eastAsia="zh-CN"/>
        </w:rPr>
        <w:t xml:space="preserve"> present submission i</w:t>
      </w:r>
      <w:r w:rsidRPr="00384054">
        <w:rPr>
          <w:rFonts w:asciiTheme="majorHAnsi" w:eastAsia="SimSun" w:hAnsiTheme="majorHAnsi" w:cstheme="majorHAnsi"/>
          <w:color w:val="272727"/>
          <w:sz w:val="21"/>
          <w:szCs w:val="21"/>
          <w:lang w:eastAsia="zh-CN"/>
        </w:rPr>
        <w:t xml:space="preserve">t </w:t>
      </w:r>
      <w:r w:rsidR="00C002D8">
        <w:rPr>
          <w:rFonts w:asciiTheme="majorHAnsi" w:eastAsia="SimSun" w:hAnsiTheme="majorHAnsi" w:cstheme="majorHAnsi"/>
          <w:color w:val="272727"/>
          <w:sz w:val="21"/>
          <w:szCs w:val="21"/>
          <w:lang w:eastAsia="zh-CN"/>
        </w:rPr>
        <w:t>also dra</w:t>
      </w:r>
      <w:r w:rsidRPr="00384054">
        <w:rPr>
          <w:rFonts w:asciiTheme="majorHAnsi" w:eastAsia="SimSun" w:hAnsiTheme="majorHAnsi" w:cstheme="majorHAnsi"/>
          <w:color w:val="272727"/>
          <w:sz w:val="21"/>
          <w:szCs w:val="21"/>
          <w:lang w:eastAsia="zh-CN"/>
        </w:rPr>
        <w:t>w</w:t>
      </w:r>
      <w:r w:rsidR="00C002D8">
        <w:rPr>
          <w:rFonts w:asciiTheme="majorHAnsi" w:eastAsia="SimSun" w:hAnsiTheme="majorHAnsi" w:cstheme="majorHAnsi"/>
          <w:color w:val="272727"/>
          <w:sz w:val="21"/>
          <w:szCs w:val="21"/>
          <w:lang w:eastAsia="zh-CN"/>
        </w:rPr>
        <w:t>s</w:t>
      </w:r>
      <w:r w:rsidRPr="00384054">
        <w:rPr>
          <w:rFonts w:asciiTheme="majorHAnsi" w:eastAsia="SimSun" w:hAnsiTheme="majorHAnsi" w:cstheme="majorHAnsi"/>
          <w:color w:val="272727"/>
          <w:sz w:val="21"/>
          <w:szCs w:val="21"/>
          <w:lang w:eastAsia="zh-CN"/>
        </w:rPr>
        <w:t xml:space="preserve"> to the government’s attention the discussion paper</w:t>
      </w:r>
      <w:r w:rsidRPr="00384054">
        <w:rPr>
          <w:rFonts w:asciiTheme="majorHAnsi" w:eastAsia="SimSun" w:hAnsiTheme="majorHAnsi" w:cstheme="majorHAnsi"/>
          <w:color w:val="272727"/>
          <w:sz w:val="21"/>
          <w:szCs w:val="21"/>
          <w:vertAlign w:val="superscript"/>
          <w:lang w:eastAsia="zh-CN"/>
        </w:rPr>
        <w:footnoteReference w:id="2"/>
      </w:r>
      <w:r w:rsidRPr="00384054">
        <w:rPr>
          <w:rFonts w:asciiTheme="majorHAnsi" w:eastAsia="SimSun" w:hAnsiTheme="majorHAnsi" w:cstheme="majorHAnsi"/>
          <w:color w:val="272727"/>
          <w:sz w:val="21"/>
          <w:szCs w:val="21"/>
          <w:lang w:eastAsia="zh-CN"/>
        </w:rPr>
        <w:t xml:space="preserve"> by the World Intellectual Property Organisation (</w:t>
      </w:r>
      <w:r w:rsidRPr="00384054">
        <w:rPr>
          <w:rFonts w:asciiTheme="majorHAnsi" w:eastAsia="SimSun" w:hAnsiTheme="majorHAnsi" w:cstheme="majorHAnsi"/>
          <w:b/>
          <w:bCs/>
          <w:color w:val="365F91"/>
          <w:sz w:val="21"/>
          <w:szCs w:val="21"/>
          <w:lang w:eastAsia="zh-CN"/>
        </w:rPr>
        <w:t>WIPO</w:t>
      </w:r>
      <w:proofErr w:type="gramStart"/>
      <w:r w:rsidRPr="00384054">
        <w:rPr>
          <w:rFonts w:asciiTheme="majorHAnsi" w:eastAsia="SimSun" w:hAnsiTheme="majorHAnsi" w:cstheme="majorHAnsi"/>
          <w:color w:val="272727"/>
          <w:sz w:val="21"/>
          <w:szCs w:val="21"/>
          <w:lang w:eastAsia="zh-CN"/>
        </w:rPr>
        <w:t>)</w:t>
      </w:r>
      <w:r w:rsidR="00895D82">
        <w:rPr>
          <w:rFonts w:asciiTheme="majorHAnsi" w:eastAsia="SimSun" w:hAnsiTheme="majorHAnsi" w:cstheme="majorHAnsi"/>
          <w:color w:val="272727"/>
          <w:sz w:val="21"/>
          <w:szCs w:val="21"/>
          <w:lang w:eastAsia="zh-CN"/>
        </w:rPr>
        <w:t>,</w:t>
      </w:r>
      <w:r w:rsidR="00693E9E">
        <w:rPr>
          <w:rFonts w:asciiTheme="majorHAnsi" w:eastAsia="SimSun" w:hAnsiTheme="majorHAnsi" w:cstheme="majorHAnsi"/>
          <w:color w:val="272727"/>
          <w:sz w:val="21"/>
          <w:szCs w:val="21"/>
          <w:lang w:eastAsia="zh-CN"/>
        </w:rPr>
        <w:t xml:space="preserve"> </w:t>
      </w:r>
      <w:r w:rsidRPr="00384054">
        <w:rPr>
          <w:rFonts w:asciiTheme="majorHAnsi" w:eastAsia="SimSun" w:hAnsiTheme="majorHAnsi" w:cstheme="majorHAnsi"/>
          <w:color w:val="272727"/>
          <w:sz w:val="21"/>
          <w:szCs w:val="21"/>
          <w:lang w:eastAsia="zh-CN"/>
        </w:rPr>
        <w:t>that</w:t>
      </w:r>
      <w:proofErr w:type="gramEnd"/>
      <w:r w:rsidRPr="00384054">
        <w:rPr>
          <w:rFonts w:asciiTheme="majorHAnsi" w:eastAsia="SimSun" w:hAnsiTheme="majorHAnsi" w:cstheme="majorHAnsi"/>
          <w:color w:val="272727"/>
          <w:sz w:val="21"/>
          <w:szCs w:val="21"/>
          <w:lang w:eastAsia="zh-CN"/>
        </w:rPr>
        <w:t xml:space="preserve"> considers IP issu</w:t>
      </w:r>
      <w:r w:rsidR="00895D82">
        <w:rPr>
          <w:rFonts w:asciiTheme="majorHAnsi" w:eastAsia="SimSun" w:hAnsiTheme="majorHAnsi" w:cstheme="majorHAnsi"/>
          <w:color w:val="272727"/>
          <w:sz w:val="21"/>
          <w:szCs w:val="21"/>
          <w:lang w:eastAsia="zh-CN"/>
        </w:rPr>
        <w:t>es with respect to university-</w:t>
      </w:r>
      <w:r w:rsidRPr="00384054">
        <w:rPr>
          <w:rFonts w:asciiTheme="majorHAnsi" w:eastAsia="SimSun" w:hAnsiTheme="majorHAnsi" w:cstheme="majorHAnsi"/>
          <w:color w:val="272727"/>
          <w:sz w:val="21"/>
          <w:szCs w:val="21"/>
          <w:lang w:eastAsia="zh-CN"/>
        </w:rPr>
        <w:t>industry technology transfer.</w:t>
      </w:r>
    </w:p>
    <w:p w14:paraId="13A603C1" w14:textId="77777777" w:rsidR="00384054" w:rsidRPr="00384054" w:rsidRDefault="00895D82" w:rsidP="00E571AF">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 xml:space="preserve">Our </w:t>
      </w:r>
      <w:r w:rsidR="00FA4245">
        <w:rPr>
          <w:rFonts w:asciiTheme="majorHAnsi" w:eastAsia="SimSun" w:hAnsiTheme="majorHAnsi" w:cstheme="majorHAnsi"/>
          <w:color w:val="272727"/>
          <w:sz w:val="21"/>
          <w:szCs w:val="21"/>
          <w:lang w:eastAsia="zh-CN"/>
        </w:rPr>
        <w:t xml:space="preserve">earlier </w:t>
      </w:r>
      <w:r w:rsidR="00384054" w:rsidRPr="00384054">
        <w:rPr>
          <w:rFonts w:asciiTheme="majorHAnsi" w:eastAsia="SimSun" w:hAnsiTheme="majorHAnsi" w:cstheme="majorHAnsi"/>
          <w:color w:val="272727"/>
          <w:sz w:val="21"/>
          <w:szCs w:val="21"/>
          <w:lang w:eastAsia="zh-CN"/>
        </w:rPr>
        <w:t xml:space="preserve">submission noted that for university-created inventions and innovations for which there is a commercial opportunity, </w:t>
      </w:r>
      <w:r w:rsidR="00FA4245">
        <w:rPr>
          <w:rFonts w:asciiTheme="majorHAnsi" w:eastAsia="SimSun" w:hAnsiTheme="majorHAnsi" w:cstheme="majorHAnsi"/>
          <w:color w:val="272727"/>
          <w:sz w:val="21"/>
          <w:szCs w:val="21"/>
          <w:lang w:eastAsia="zh-CN"/>
        </w:rPr>
        <w:t>PFRO</w:t>
      </w:r>
      <w:r w:rsidR="00FA7965">
        <w:rPr>
          <w:rFonts w:asciiTheme="majorHAnsi" w:eastAsia="SimSun" w:hAnsiTheme="majorHAnsi" w:cstheme="majorHAnsi"/>
          <w:color w:val="272727"/>
          <w:sz w:val="21"/>
          <w:szCs w:val="21"/>
          <w:lang w:eastAsia="zh-CN"/>
        </w:rPr>
        <w:t>s</w:t>
      </w:r>
      <w:r w:rsidR="00384054" w:rsidRPr="00384054">
        <w:rPr>
          <w:rFonts w:asciiTheme="majorHAnsi" w:eastAsia="SimSun" w:hAnsiTheme="majorHAnsi" w:cstheme="majorHAnsi"/>
          <w:color w:val="272727"/>
          <w:sz w:val="21"/>
          <w:szCs w:val="21"/>
          <w:lang w:eastAsia="zh-CN"/>
        </w:rPr>
        <w:t xml:space="preserve"> are often required (by their potential commercial</w:t>
      </w:r>
      <w:r w:rsidR="00FA4245">
        <w:rPr>
          <w:rFonts w:asciiTheme="majorHAnsi" w:eastAsia="SimSun" w:hAnsiTheme="majorHAnsi" w:cstheme="majorHAnsi"/>
          <w:color w:val="272727"/>
          <w:sz w:val="21"/>
          <w:szCs w:val="21"/>
          <w:lang w:eastAsia="zh-CN"/>
        </w:rPr>
        <w:t xml:space="preserve"> </w:t>
      </w:r>
      <w:r w:rsidR="00384054" w:rsidRPr="00384054">
        <w:rPr>
          <w:rFonts w:asciiTheme="majorHAnsi" w:eastAsia="SimSun" w:hAnsiTheme="majorHAnsi" w:cstheme="majorHAnsi"/>
          <w:color w:val="272727"/>
          <w:sz w:val="21"/>
          <w:szCs w:val="21"/>
          <w:lang w:eastAsia="zh-CN"/>
        </w:rPr>
        <w:t>/</w:t>
      </w:r>
      <w:r w:rsidR="00FA4245">
        <w:rPr>
          <w:rFonts w:asciiTheme="majorHAnsi" w:eastAsia="SimSun" w:hAnsiTheme="majorHAnsi" w:cstheme="majorHAnsi"/>
          <w:color w:val="272727"/>
          <w:sz w:val="21"/>
          <w:szCs w:val="21"/>
          <w:lang w:eastAsia="zh-CN"/>
        </w:rPr>
        <w:t xml:space="preserve"> </w:t>
      </w:r>
      <w:r w:rsidR="00384054" w:rsidRPr="00384054">
        <w:rPr>
          <w:rFonts w:asciiTheme="majorHAnsi" w:eastAsia="SimSun" w:hAnsiTheme="majorHAnsi" w:cstheme="majorHAnsi"/>
          <w:color w:val="272727"/>
          <w:sz w:val="21"/>
          <w:szCs w:val="21"/>
          <w:lang w:eastAsia="zh-CN"/>
        </w:rPr>
        <w:t xml:space="preserve">industry partners) to secure intellectual property (IP) protection in order to offer some form of commercial advantage. </w:t>
      </w:r>
    </w:p>
    <w:p w14:paraId="13A603C3" w14:textId="77777777" w:rsidR="00384054" w:rsidRPr="00384054" w:rsidRDefault="00384054" w:rsidP="00E571AF">
      <w:p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For many types of IP, patenting is the mechanism commonly used to secure the limited commercial monopolies that industrial partners typically require. However, while patent protection often needs to be in place soon after the innovation has been created (or be un-protectable), it may be </w:t>
      </w:r>
      <w:r w:rsidRPr="00384054">
        <w:rPr>
          <w:rFonts w:asciiTheme="majorHAnsi" w:eastAsia="SimSun" w:hAnsiTheme="majorHAnsi" w:cstheme="majorHAnsi"/>
          <w:b/>
          <w:bCs/>
          <w:color w:val="365F91"/>
          <w:sz w:val="21"/>
          <w:szCs w:val="21"/>
          <w:lang w:eastAsia="zh-CN"/>
        </w:rPr>
        <w:t>many years before the technology has matured</w:t>
      </w:r>
      <w:r w:rsidRPr="00384054">
        <w:rPr>
          <w:rFonts w:asciiTheme="majorHAnsi" w:eastAsia="SimSun" w:hAnsiTheme="majorHAnsi" w:cstheme="majorHAnsi"/>
          <w:color w:val="272727"/>
          <w:sz w:val="21"/>
          <w:szCs w:val="21"/>
          <w:lang w:eastAsia="zh-CN"/>
        </w:rPr>
        <w:t xml:space="preserve"> sufficiently that </w:t>
      </w:r>
      <w:r w:rsidR="00760716">
        <w:rPr>
          <w:rFonts w:asciiTheme="majorHAnsi" w:eastAsia="SimSun" w:hAnsiTheme="majorHAnsi" w:cstheme="majorHAnsi"/>
          <w:color w:val="272727"/>
          <w:sz w:val="21"/>
          <w:szCs w:val="21"/>
          <w:lang w:eastAsia="zh-CN"/>
        </w:rPr>
        <w:t xml:space="preserve">there is commercial </w:t>
      </w:r>
      <w:r w:rsidR="00E571AF">
        <w:rPr>
          <w:rFonts w:asciiTheme="majorHAnsi" w:eastAsia="SimSun" w:hAnsiTheme="majorHAnsi" w:cstheme="majorHAnsi"/>
          <w:color w:val="272727"/>
          <w:sz w:val="21"/>
          <w:szCs w:val="21"/>
          <w:lang w:eastAsia="zh-CN"/>
        </w:rPr>
        <w:t>uptake</w:t>
      </w:r>
      <w:r w:rsidRPr="00384054">
        <w:rPr>
          <w:rFonts w:asciiTheme="majorHAnsi" w:eastAsia="SimSun" w:hAnsiTheme="majorHAnsi" w:cstheme="majorHAnsi"/>
          <w:color w:val="272727"/>
          <w:sz w:val="21"/>
          <w:szCs w:val="21"/>
          <w:lang w:eastAsia="zh-CN"/>
        </w:rPr>
        <w:t xml:space="preserve">. </w:t>
      </w:r>
    </w:p>
    <w:p w14:paraId="13A603C5" w14:textId="77777777" w:rsidR="00384054" w:rsidRPr="00384054" w:rsidRDefault="00760716" w:rsidP="00FA7965">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In the event</w:t>
      </w:r>
      <w:r w:rsidR="00384054" w:rsidRPr="00384054">
        <w:rPr>
          <w:rFonts w:asciiTheme="majorHAnsi" w:eastAsia="SimSun" w:hAnsiTheme="majorHAnsi" w:cstheme="majorHAnsi"/>
          <w:color w:val="272727"/>
          <w:sz w:val="21"/>
          <w:szCs w:val="21"/>
          <w:lang w:eastAsia="zh-CN"/>
        </w:rPr>
        <w:t xml:space="preserve"> a commercial partner licences that IP</w:t>
      </w:r>
      <w:r w:rsidR="00693E9E">
        <w:rPr>
          <w:rFonts w:asciiTheme="majorHAnsi" w:eastAsia="SimSun" w:hAnsiTheme="majorHAnsi" w:cstheme="majorHAnsi"/>
          <w:color w:val="272727"/>
          <w:sz w:val="21"/>
          <w:szCs w:val="21"/>
          <w:lang w:eastAsia="zh-CN"/>
        </w:rPr>
        <w:t>,</w:t>
      </w:r>
      <w:r w:rsidR="00384054" w:rsidRPr="00384054">
        <w:rPr>
          <w:rFonts w:asciiTheme="majorHAnsi" w:eastAsia="SimSun" w:hAnsiTheme="majorHAnsi" w:cstheme="majorHAnsi"/>
          <w:color w:val="272727"/>
          <w:sz w:val="21"/>
          <w:szCs w:val="21"/>
          <w:lang w:eastAsia="zh-CN"/>
        </w:rPr>
        <w:t xml:space="preserve"> it </w:t>
      </w:r>
      <w:r w:rsidR="00384054" w:rsidRPr="00384054">
        <w:rPr>
          <w:rFonts w:asciiTheme="majorHAnsi" w:eastAsia="SimSun" w:hAnsiTheme="majorHAnsi" w:cstheme="majorHAnsi"/>
          <w:b/>
          <w:bCs/>
          <w:color w:val="365F91"/>
          <w:sz w:val="21"/>
          <w:szCs w:val="21"/>
          <w:lang w:eastAsia="zh-CN"/>
        </w:rPr>
        <w:t xml:space="preserve">may be several years again before the </w:t>
      </w:r>
      <w:r w:rsidR="00FA7965">
        <w:rPr>
          <w:rFonts w:asciiTheme="majorHAnsi" w:eastAsia="SimSun" w:hAnsiTheme="majorHAnsi" w:cstheme="majorHAnsi"/>
          <w:b/>
          <w:bCs/>
          <w:color w:val="365F91"/>
          <w:sz w:val="21"/>
          <w:szCs w:val="21"/>
          <w:lang w:eastAsia="zh-CN"/>
        </w:rPr>
        <w:t xml:space="preserve">PFRO </w:t>
      </w:r>
      <w:r w:rsidR="00384054" w:rsidRPr="00384054">
        <w:rPr>
          <w:rFonts w:asciiTheme="majorHAnsi" w:eastAsia="SimSun" w:hAnsiTheme="majorHAnsi" w:cstheme="majorHAnsi"/>
          <w:b/>
          <w:bCs/>
          <w:color w:val="365F91"/>
          <w:sz w:val="21"/>
          <w:szCs w:val="21"/>
          <w:lang w:eastAsia="zh-CN"/>
        </w:rPr>
        <w:t>receives any royalty</w:t>
      </w:r>
      <w:r w:rsidR="00384054" w:rsidRPr="00384054">
        <w:rPr>
          <w:rFonts w:asciiTheme="majorHAnsi" w:eastAsia="SimSun" w:hAnsiTheme="majorHAnsi" w:cstheme="majorHAnsi"/>
          <w:color w:val="272727"/>
          <w:sz w:val="21"/>
          <w:szCs w:val="21"/>
          <w:lang w:eastAsia="zh-CN"/>
        </w:rPr>
        <w:t xml:space="preserve"> to offset </w:t>
      </w:r>
      <w:r>
        <w:rPr>
          <w:rFonts w:asciiTheme="majorHAnsi" w:eastAsia="SimSun" w:hAnsiTheme="majorHAnsi" w:cstheme="majorHAnsi"/>
          <w:color w:val="272727"/>
          <w:sz w:val="21"/>
          <w:szCs w:val="21"/>
          <w:lang w:eastAsia="zh-CN"/>
        </w:rPr>
        <w:t>its IP costs,</w:t>
      </w:r>
      <w:r w:rsidR="00384054" w:rsidRPr="00384054">
        <w:rPr>
          <w:rFonts w:asciiTheme="majorHAnsi" w:eastAsia="SimSun" w:hAnsiTheme="majorHAnsi" w:cstheme="majorHAnsi"/>
          <w:color w:val="272727"/>
          <w:sz w:val="21"/>
          <w:szCs w:val="21"/>
          <w:lang w:eastAsia="zh-CN"/>
        </w:rPr>
        <w:t xml:space="preserve"> costs that typically continue throughout the course of the licence. As a result of the substantial financial impost associated with filing and maintaining patents, most </w:t>
      </w:r>
      <w:r w:rsidR="00FA7965">
        <w:rPr>
          <w:rFonts w:asciiTheme="majorHAnsi" w:eastAsia="SimSun" w:hAnsiTheme="majorHAnsi" w:cstheme="majorHAnsi"/>
          <w:b/>
          <w:bCs/>
          <w:color w:val="365F91"/>
          <w:sz w:val="21"/>
          <w:szCs w:val="21"/>
          <w:lang w:eastAsia="zh-CN"/>
        </w:rPr>
        <w:t>u</w:t>
      </w:r>
      <w:r w:rsidR="00384054" w:rsidRPr="00384054">
        <w:rPr>
          <w:rFonts w:asciiTheme="majorHAnsi" w:eastAsia="SimSun" w:hAnsiTheme="majorHAnsi" w:cstheme="majorHAnsi"/>
          <w:b/>
          <w:bCs/>
          <w:color w:val="365F91"/>
          <w:sz w:val="21"/>
          <w:szCs w:val="21"/>
          <w:lang w:eastAsia="zh-CN"/>
        </w:rPr>
        <w:t xml:space="preserve">niversities are only able to protect a small proportion of the </w:t>
      </w:r>
      <w:r w:rsidR="00E571AF">
        <w:rPr>
          <w:rFonts w:asciiTheme="majorHAnsi" w:eastAsia="SimSun" w:hAnsiTheme="majorHAnsi" w:cstheme="majorHAnsi"/>
          <w:b/>
          <w:bCs/>
          <w:color w:val="365F91"/>
          <w:sz w:val="21"/>
          <w:szCs w:val="21"/>
          <w:lang w:eastAsia="zh-CN"/>
        </w:rPr>
        <w:t xml:space="preserve">publicly funded </w:t>
      </w:r>
      <w:r w:rsidR="00384054" w:rsidRPr="00384054">
        <w:rPr>
          <w:rFonts w:asciiTheme="majorHAnsi" w:eastAsia="SimSun" w:hAnsiTheme="majorHAnsi" w:cstheme="majorHAnsi"/>
          <w:b/>
          <w:bCs/>
          <w:color w:val="365F91"/>
          <w:sz w:val="21"/>
          <w:szCs w:val="21"/>
          <w:lang w:eastAsia="zh-CN"/>
        </w:rPr>
        <w:t>intellectual property</w:t>
      </w:r>
      <w:r w:rsidR="00384054" w:rsidRPr="00384054">
        <w:rPr>
          <w:rFonts w:asciiTheme="majorHAnsi" w:eastAsia="SimSun" w:hAnsiTheme="majorHAnsi" w:cstheme="majorHAnsi"/>
          <w:color w:val="272727"/>
          <w:sz w:val="21"/>
          <w:szCs w:val="21"/>
          <w:lang w:eastAsia="zh-CN"/>
        </w:rPr>
        <w:t xml:space="preserve">. </w:t>
      </w:r>
    </w:p>
    <w:p w14:paraId="13A603C7" w14:textId="77777777" w:rsidR="00384054" w:rsidRPr="00760716" w:rsidRDefault="00384054" w:rsidP="00E571AF">
      <w:p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Importantly, </w:t>
      </w:r>
      <w:r w:rsidR="00FA4245">
        <w:rPr>
          <w:rFonts w:asciiTheme="majorHAnsi" w:eastAsia="SimSun" w:hAnsiTheme="majorHAnsi" w:cstheme="majorHAnsi"/>
          <w:color w:val="272727"/>
          <w:sz w:val="21"/>
          <w:szCs w:val="21"/>
          <w:lang w:eastAsia="zh-CN"/>
        </w:rPr>
        <w:t>those long-term</w:t>
      </w:r>
      <w:r w:rsidR="00760716">
        <w:rPr>
          <w:rFonts w:asciiTheme="majorHAnsi" w:eastAsia="SimSun" w:hAnsiTheme="majorHAnsi" w:cstheme="majorHAnsi"/>
          <w:color w:val="272727"/>
          <w:sz w:val="21"/>
          <w:szCs w:val="21"/>
          <w:lang w:eastAsia="zh-CN"/>
        </w:rPr>
        <w:t xml:space="preserve"> IP investments </w:t>
      </w:r>
      <w:r w:rsidR="00AA4525">
        <w:rPr>
          <w:rFonts w:asciiTheme="majorHAnsi" w:eastAsia="SimSun" w:hAnsiTheme="majorHAnsi" w:cstheme="majorHAnsi"/>
          <w:color w:val="272727"/>
          <w:sz w:val="21"/>
          <w:szCs w:val="21"/>
          <w:lang w:eastAsia="zh-CN"/>
        </w:rPr>
        <w:t>drive</w:t>
      </w:r>
      <w:r w:rsidRPr="00384054">
        <w:rPr>
          <w:rFonts w:asciiTheme="majorHAnsi" w:eastAsia="SimSun" w:hAnsiTheme="majorHAnsi" w:cstheme="majorHAnsi"/>
          <w:color w:val="272727"/>
          <w:sz w:val="21"/>
          <w:szCs w:val="21"/>
          <w:lang w:eastAsia="zh-CN"/>
        </w:rPr>
        <w:t xml:space="preserve"> commercial behaviour that means at best</w:t>
      </w:r>
      <w:r w:rsidR="00C56108">
        <w:rPr>
          <w:rFonts w:asciiTheme="majorHAnsi" w:eastAsia="SimSun" w:hAnsiTheme="majorHAnsi" w:cstheme="majorHAnsi"/>
          <w:color w:val="272727"/>
          <w:sz w:val="21"/>
          <w:szCs w:val="21"/>
          <w:lang w:eastAsia="zh-CN"/>
        </w:rPr>
        <w:t>,</w:t>
      </w:r>
      <w:r w:rsidRPr="00384054">
        <w:rPr>
          <w:rFonts w:asciiTheme="majorHAnsi" w:eastAsia="SimSun" w:hAnsiTheme="majorHAnsi" w:cstheme="majorHAnsi"/>
          <w:color w:val="272727"/>
          <w:sz w:val="21"/>
          <w:szCs w:val="21"/>
          <w:lang w:eastAsia="zh-CN"/>
        </w:rPr>
        <w:t xml:space="preserve"> the </w:t>
      </w:r>
      <w:r w:rsidRPr="00384054">
        <w:rPr>
          <w:rFonts w:asciiTheme="majorHAnsi" w:eastAsia="SimSun" w:hAnsiTheme="majorHAnsi" w:cstheme="majorHAnsi"/>
          <w:b/>
          <w:bCs/>
          <w:color w:val="365F91"/>
          <w:sz w:val="21"/>
          <w:szCs w:val="21"/>
          <w:lang w:eastAsia="zh-CN"/>
        </w:rPr>
        <w:t>negotiations are long</w:t>
      </w:r>
      <w:r w:rsidRPr="00384054">
        <w:rPr>
          <w:rFonts w:asciiTheme="majorHAnsi" w:eastAsia="SimSun" w:hAnsiTheme="majorHAnsi" w:cstheme="majorHAnsi"/>
          <w:color w:val="272727"/>
          <w:sz w:val="21"/>
          <w:szCs w:val="21"/>
          <w:lang w:eastAsia="zh-CN"/>
        </w:rPr>
        <w:t xml:space="preserve"> or at worst </w:t>
      </w:r>
      <w:r w:rsidR="00AA4525">
        <w:rPr>
          <w:rFonts w:asciiTheme="majorHAnsi" w:eastAsia="SimSun" w:hAnsiTheme="majorHAnsi" w:cstheme="majorHAnsi"/>
          <w:color w:val="272727"/>
          <w:sz w:val="21"/>
          <w:szCs w:val="21"/>
          <w:lang w:eastAsia="zh-CN"/>
        </w:rPr>
        <w:t>inconclusive</w:t>
      </w:r>
      <w:r w:rsidRPr="00384054">
        <w:rPr>
          <w:rFonts w:asciiTheme="majorHAnsi" w:eastAsia="SimSun" w:hAnsiTheme="majorHAnsi" w:cstheme="majorHAnsi"/>
          <w:color w:val="272727"/>
          <w:sz w:val="21"/>
          <w:szCs w:val="21"/>
          <w:lang w:eastAsia="zh-CN"/>
        </w:rPr>
        <w:t xml:space="preserve"> and </w:t>
      </w:r>
      <w:r w:rsidRPr="00384054">
        <w:rPr>
          <w:rFonts w:asciiTheme="majorHAnsi" w:eastAsia="SimSun" w:hAnsiTheme="majorHAnsi" w:cstheme="majorHAnsi"/>
          <w:b/>
          <w:bCs/>
          <w:color w:val="365F91"/>
          <w:sz w:val="21"/>
          <w:szCs w:val="21"/>
          <w:lang w:eastAsia="zh-CN"/>
        </w:rPr>
        <w:t>innovation is not taken up by business</w:t>
      </w:r>
      <w:r w:rsidR="00AA4525">
        <w:rPr>
          <w:rFonts w:asciiTheme="majorHAnsi" w:eastAsia="SimSun" w:hAnsiTheme="majorHAnsi" w:cstheme="majorHAnsi"/>
          <w:b/>
          <w:bCs/>
          <w:color w:val="365F91"/>
          <w:sz w:val="21"/>
          <w:szCs w:val="21"/>
          <w:lang w:eastAsia="zh-CN"/>
        </w:rPr>
        <w:t>,</w:t>
      </w:r>
      <w:r w:rsidRPr="00384054">
        <w:rPr>
          <w:rFonts w:asciiTheme="majorHAnsi" w:eastAsia="SimSun" w:hAnsiTheme="majorHAnsi" w:cstheme="majorHAnsi"/>
          <w:color w:val="365F91"/>
          <w:sz w:val="21"/>
          <w:szCs w:val="21"/>
          <w:lang w:eastAsia="zh-CN"/>
        </w:rPr>
        <w:t xml:space="preserve"> </w:t>
      </w:r>
      <w:r w:rsidRPr="00384054">
        <w:rPr>
          <w:rFonts w:asciiTheme="majorHAnsi" w:eastAsia="SimSun" w:hAnsiTheme="majorHAnsi" w:cstheme="majorHAnsi"/>
          <w:color w:val="272727"/>
          <w:sz w:val="21"/>
          <w:szCs w:val="21"/>
          <w:lang w:eastAsia="zh-CN"/>
        </w:rPr>
        <w:t xml:space="preserve">or the commercial returns </w:t>
      </w:r>
      <w:r w:rsidR="00E571AF" w:rsidRPr="00E571AF">
        <w:rPr>
          <w:rFonts w:asciiTheme="majorHAnsi" w:eastAsia="SimSun" w:hAnsiTheme="majorHAnsi" w:cstheme="majorHAnsi"/>
          <w:b/>
          <w:bCs/>
          <w:color w:val="365F91"/>
          <w:sz w:val="21"/>
          <w:szCs w:val="21"/>
          <w:lang w:eastAsia="zh-CN"/>
        </w:rPr>
        <w:t>reduce</w:t>
      </w:r>
      <w:r w:rsidR="00E571AF">
        <w:rPr>
          <w:rFonts w:asciiTheme="majorHAnsi" w:eastAsia="SimSun" w:hAnsiTheme="majorHAnsi" w:cstheme="majorHAnsi"/>
          <w:color w:val="272727"/>
          <w:sz w:val="21"/>
          <w:szCs w:val="21"/>
          <w:lang w:eastAsia="zh-CN"/>
        </w:rPr>
        <w:t xml:space="preserve"> </w:t>
      </w:r>
      <w:r w:rsidR="00E571AF">
        <w:rPr>
          <w:rFonts w:asciiTheme="majorHAnsi" w:eastAsia="SimSun" w:hAnsiTheme="majorHAnsi" w:cstheme="majorHAnsi"/>
          <w:b/>
          <w:bCs/>
          <w:color w:val="365F91"/>
          <w:sz w:val="21"/>
          <w:szCs w:val="21"/>
          <w:lang w:eastAsia="zh-CN"/>
        </w:rPr>
        <w:t>incentives</w:t>
      </w:r>
      <w:r w:rsidRPr="00760716">
        <w:rPr>
          <w:rFonts w:asciiTheme="majorHAnsi" w:eastAsia="SimSun" w:hAnsiTheme="majorHAnsi" w:cstheme="majorHAnsi"/>
          <w:color w:val="0070C0"/>
          <w:sz w:val="21"/>
          <w:szCs w:val="21"/>
          <w:lang w:eastAsia="zh-CN"/>
        </w:rPr>
        <w:t xml:space="preserve"> </w:t>
      </w:r>
      <w:r w:rsidRPr="00760716">
        <w:rPr>
          <w:rFonts w:asciiTheme="majorHAnsi" w:eastAsia="SimSun" w:hAnsiTheme="majorHAnsi" w:cstheme="majorHAnsi"/>
          <w:b/>
          <w:bCs/>
          <w:color w:val="365F91"/>
          <w:sz w:val="21"/>
          <w:szCs w:val="21"/>
          <w:lang w:eastAsia="zh-CN"/>
        </w:rPr>
        <w:t>to reinvest</w:t>
      </w:r>
      <w:r w:rsidRPr="00760716">
        <w:rPr>
          <w:rFonts w:asciiTheme="majorHAnsi" w:eastAsia="SimSun" w:hAnsiTheme="majorHAnsi" w:cstheme="majorHAnsi"/>
          <w:color w:val="272727"/>
          <w:sz w:val="21"/>
          <w:szCs w:val="21"/>
          <w:lang w:eastAsia="zh-CN"/>
        </w:rPr>
        <w:t xml:space="preserve"> those returns into future patenting strategies.</w:t>
      </w:r>
    </w:p>
    <w:p w14:paraId="13A603C9" w14:textId="77777777" w:rsidR="00384054" w:rsidRPr="00384054" w:rsidRDefault="00C56108" w:rsidP="00AA4525">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lastRenderedPageBreak/>
        <w:t>W</w:t>
      </w:r>
      <w:r w:rsidR="00384054" w:rsidRPr="00384054">
        <w:rPr>
          <w:rFonts w:asciiTheme="majorHAnsi" w:eastAsia="SimSun" w:hAnsiTheme="majorHAnsi" w:cstheme="majorHAnsi"/>
          <w:color w:val="272727"/>
          <w:sz w:val="21"/>
          <w:szCs w:val="21"/>
          <w:lang w:eastAsia="zh-CN"/>
        </w:rPr>
        <w:t xml:space="preserve">ithout change to the innovation system, Australian research organisations and particularly PFROs will be </w:t>
      </w:r>
      <w:r w:rsidR="00760716">
        <w:rPr>
          <w:rFonts w:asciiTheme="majorHAnsi" w:eastAsia="SimSun" w:hAnsiTheme="majorHAnsi" w:cstheme="majorHAnsi"/>
          <w:color w:val="272727"/>
          <w:sz w:val="21"/>
          <w:szCs w:val="21"/>
          <w:lang w:eastAsia="zh-CN"/>
        </w:rPr>
        <w:t>unable to</w:t>
      </w:r>
      <w:r w:rsidR="00384054" w:rsidRPr="00384054">
        <w:rPr>
          <w:rFonts w:asciiTheme="majorHAnsi" w:eastAsia="SimSun" w:hAnsiTheme="majorHAnsi" w:cstheme="majorHAnsi"/>
          <w:color w:val="272727"/>
          <w:sz w:val="21"/>
          <w:szCs w:val="21"/>
          <w:lang w:eastAsia="zh-CN"/>
        </w:rPr>
        <w:t xml:space="preserve"> afford to protect </w:t>
      </w:r>
      <w:r w:rsidR="00AA4525">
        <w:rPr>
          <w:rFonts w:asciiTheme="majorHAnsi" w:eastAsia="SimSun" w:hAnsiTheme="majorHAnsi" w:cstheme="majorHAnsi"/>
          <w:color w:val="272727"/>
          <w:sz w:val="21"/>
          <w:szCs w:val="21"/>
          <w:lang w:eastAsia="zh-CN"/>
        </w:rPr>
        <w:t>otherwise valuable</w:t>
      </w:r>
      <w:r w:rsidR="00384054" w:rsidRPr="00384054">
        <w:rPr>
          <w:rFonts w:asciiTheme="majorHAnsi" w:eastAsia="SimSun" w:hAnsiTheme="majorHAnsi" w:cstheme="majorHAnsi"/>
          <w:color w:val="272727"/>
          <w:sz w:val="21"/>
          <w:szCs w:val="21"/>
          <w:lang w:eastAsia="zh-CN"/>
        </w:rPr>
        <w:t xml:space="preserve"> IP and therefore </w:t>
      </w:r>
      <w:r>
        <w:rPr>
          <w:rFonts w:asciiTheme="majorHAnsi" w:eastAsia="SimSun" w:hAnsiTheme="majorHAnsi" w:cstheme="majorHAnsi"/>
          <w:color w:val="272727"/>
          <w:sz w:val="21"/>
          <w:szCs w:val="21"/>
          <w:lang w:eastAsia="zh-CN"/>
        </w:rPr>
        <w:t>be without</w:t>
      </w:r>
      <w:r w:rsidR="00760716">
        <w:rPr>
          <w:rFonts w:asciiTheme="majorHAnsi" w:eastAsia="SimSun" w:hAnsiTheme="majorHAnsi" w:cstheme="majorHAnsi"/>
          <w:color w:val="272727"/>
          <w:sz w:val="21"/>
          <w:szCs w:val="21"/>
          <w:lang w:eastAsia="zh-CN"/>
        </w:rPr>
        <w:t xml:space="preserve"> </w:t>
      </w:r>
      <w:r>
        <w:rPr>
          <w:rFonts w:asciiTheme="majorHAnsi" w:eastAsia="SimSun" w:hAnsiTheme="majorHAnsi" w:cstheme="majorHAnsi"/>
          <w:color w:val="272727"/>
          <w:sz w:val="21"/>
          <w:szCs w:val="21"/>
          <w:lang w:eastAsia="zh-CN"/>
        </w:rPr>
        <w:t xml:space="preserve">the </w:t>
      </w:r>
      <w:r w:rsidR="00384054" w:rsidRPr="00384054">
        <w:rPr>
          <w:rFonts w:asciiTheme="majorHAnsi" w:eastAsia="SimSun" w:hAnsiTheme="majorHAnsi" w:cstheme="majorHAnsi"/>
          <w:color w:val="272727"/>
          <w:sz w:val="21"/>
          <w:szCs w:val="21"/>
          <w:lang w:eastAsia="zh-CN"/>
        </w:rPr>
        <w:t xml:space="preserve">fundamental </w:t>
      </w:r>
      <w:r w:rsidR="00AA4525">
        <w:rPr>
          <w:rFonts w:asciiTheme="majorHAnsi" w:eastAsia="SimSun" w:hAnsiTheme="majorHAnsi" w:cstheme="majorHAnsi"/>
          <w:color w:val="272727"/>
          <w:sz w:val="21"/>
          <w:szCs w:val="21"/>
          <w:lang w:eastAsia="zh-CN"/>
        </w:rPr>
        <w:t>assets</w:t>
      </w:r>
      <w:r w:rsidR="00384054" w:rsidRPr="00384054">
        <w:rPr>
          <w:rFonts w:asciiTheme="majorHAnsi" w:eastAsia="SimSun" w:hAnsiTheme="majorHAnsi" w:cstheme="majorHAnsi"/>
          <w:color w:val="272727"/>
          <w:sz w:val="21"/>
          <w:szCs w:val="21"/>
          <w:lang w:eastAsia="zh-CN"/>
        </w:rPr>
        <w:t xml:space="preserve"> that commercial partners seek. While unaddressed this issue will </w:t>
      </w:r>
      <w:r w:rsidR="00384054" w:rsidRPr="00384054">
        <w:rPr>
          <w:rFonts w:asciiTheme="majorHAnsi" w:eastAsia="SimSun" w:hAnsiTheme="majorHAnsi" w:cstheme="majorHAnsi"/>
          <w:b/>
          <w:bCs/>
          <w:color w:val="365F91"/>
          <w:sz w:val="21"/>
          <w:szCs w:val="21"/>
          <w:lang w:eastAsia="zh-CN"/>
        </w:rPr>
        <w:t>perpetuate a barrier to collaboration</w:t>
      </w:r>
      <w:r w:rsidR="00384054" w:rsidRPr="00384054">
        <w:rPr>
          <w:rFonts w:asciiTheme="majorHAnsi" w:eastAsia="SimSun" w:hAnsiTheme="majorHAnsi" w:cstheme="majorHAnsi"/>
          <w:color w:val="272727"/>
          <w:sz w:val="21"/>
          <w:szCs w:val="21"/>
          <w:lang w:eastAsia="zh-CN"/>
        </w:rPr>
        <w:t>.</w:t>
      </w:r>
    </w:p>
    <w:p w14:paraId="13A603CB" w14:textId="77777777" w:rsidR="00384054" w:rsidRPr="00384054" w:rsidRDefault="00760716" w:rsidP="00795938">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T</w:t>
      </w:r>
      <w:r w:rsidR="00384054" w:rsidRPr="00384054">
        <w:rPr>
          <w:rFonts w:asciiTheme="majorHAnsi" w:eastAsia="SimSun" w:hAnsiTheme="majorHAnsi" w:cstheme="majorHAnsi"/>
          <w:color w:val="272727"/>
          <w:sz w:val="21"/>
          <w:szCs w:val="21"/>
          <w:lang w:eastAsia="zh-CN"/>
        </w:rPr>
        <w:t xml:space="preserve">he University of Tasmania </w:t>
      </w:r>
      <w:r w:rsidR="006D025F">
        <w:rPr>
          <w:rFonts w:asciiTheme="majorHAnsi" w:eastAsia="SimSun" w:hAnsiTheme="majorHAnsi" w:cstheme="majorHAnsi"/>
          <w:color w:val="272727"/>
          <w:sz w:val="21"/>
          <w:szCs w:val="21"/>
          <w:lang w:eastAsia="zh-CN"/>
        </w:rPr>
        <w:t xml:space="preserve">sees merit in </w:t>
      </w:r>
      <w:r w:rsidR="00384054" w:rsidRPr="00384054">
        <w:rPr>
          <w:rFonts w:asciiTheme="majorHAnsi" w:eastAsia="SimSun" w:hAnsiTheme="majorHAnsi" w:cstheme="majorHAnsi"/>
          <w:color w:val="272727"/>
          <w:sz w:val="21"/>
          <w:szCs w:val="21"/>
          <w:lang w:eastAsia="zh-CN"/>
        </w:rPr>
        <w:t xml:space="preserve">the government </w:t>
      </w:r>
      <w:r>
        <w:rPr>
          <w:rFonts w:asciiTheme="majorHAnsi" w:eastAsia="SimSun" w:hAnsiTheme="majorHAnsi" w:cstheme="majorHAnsi"/>
          <w:color w:val="272727"/>
          <w:sz w:val="21"/>
          <w:szCs w:val="21"/>
          <w:lang w:eastAsia="zh-CN"/>
        </w:rPr>
        <w:t>introducing</w:t>
      </w:r>
      <w:r w:rsidR="00384054" w:rsidRPr="00384054">
        <w:rPr>
          <w:rFonts w:asciiTheme="majorHAnsi" w:eastAsia="SimSun" w:hAnsiTheme="majorHAnsi" w:cstheme="majorHAnsi"/>
          <w:color w:val="272727"/>
          <w:sz w:val="21"/>
          <w:szCs w:val="21"/>
          <w:lang w:eastAsia="zh-CN"/>
        </w:rPr>
        <w:t xml:space="preserve"> new policies to support innovators (and in particular PFRO</w:t>
      </w:r>
      <w:r w:rsidR="00FA7965">
        <w:rPr>
          <w:rFonts w:asciiTheme="majorHAnsi" w:eastAsia="SimSun" w:hAnsiTheme="majorHAnsi" w:cstheme="majorHAnsi"/>
          <w:color w:val="272727"/>
          <w:sz w:val="21"/>
          <w:szCs w:val="21"/>
          <w:lang w:eastAsia="zh-CN"/>
        </w:rPr>
        <w:t>s</w:t>
      </w:r>
      <w:r w:rsidR="00384054" w:rsidRPr="00384054">
        <w:rPr>
          <w:rFonts w:asciiTheme="majorHAnsi" w:eastAsia="SimSun" w:hAnsiTheme="majorHAnsi" w:cstheme="majorHAnsi"/>
          <w:color w:val="272727"/>
          <w:sz w:val="21"/>
          <w:szCs w:val="21"/>
          <w:lang w:eastAsia="zh-CN"/>
        </w:rPr>
        <w:t xml:space="preserve">) so that this important IP-related investment barrier can be removed. For example, the government might consider providing funding (which could take a variety of forms) to </w:t>
      </w:r>
      <w:r w:rsidR="00384054" w:rsidRPr="00C56108">
        <w:rPr>
          <w:rFonts w:asciiTheme="majorHAnsi" w:eastAsia="SimSun" w:hAnsiTheme="majorHAnsi" w:cstheme="majorHAnsi"/>
          <w:b/>
          <w:bCs/>
          <w:color w:val="365F91"/>
          <w:sz w:val="21"/>
          <w:szCs w:val="21"/>
          <w:lang w:eastAsia="zh-CN"/>
        </w:rPr>
        <w:t xml:space="preserve">partially offset the PFRO’s </w:t>
      </w:r>
      <w:r w:rsidRPr="00C56108">
        <w:rPr>
          <w:rFonts w:asciiTheme="majorHAnsi" w:eastAsia="SimSun" w:hAnsiTheme="majorHAnsi" w:cstheme="majorHAnsi"/>
          <w:b/>
          <w:bCs/>
          <w:color w:val="365F91"/>
          <w:sz w:val="21"/>
          <w:szCs w:val="21"/>
          <w:lang w:eastAsia="zh-CN"/>
        </w:rPr>
        <w:t xml:space="preserve">qualifying </w:t>
      </w:r>
      <w:r w:rsidR="00384054" w:rsidRPr="00C56108">
        <w:rPr>
          <w:rFonts w:asciiTheme="majorHAnsi" w:eastAsia="SimSun" w:hAnsiTheme="majorHAnsi" w:cstheme="majorHAnsi"/>
          <w:b/>
          <w:bCs/>
          <w:color w:val="365F91"/>
          <w:sz w:val="21"/>
          <w:szCs w:val="21"/>
          <w:lang w:eastAsia="zh-CN"/>
        </w:rPr>
        <w:t>IP protection costs</w:t>
      </w:r>
      <w:r w:rsidR="00384054" w:rsidRPr="00384054">
        <w:rPr>
          <w:rFonts w:asciiTheme="majorHAnsi" w:eastAsia="SimSun" w:hAnsiTheme="majorHAnsi" w:cstheme="majorHAnsi"/>
          <w:color w:val="272727"/>
          <w:sz w:val="21"/>
          <w:szCs w:val="21"/>
          <w:lang w:eastAsia="zh-CN"/>
        </w:rPr>
        <w:t>. For example a reimbursement scheme that meets (say 50%) of the patenting costs t</w:t>
      </w:r>
      <w:r w:rsidR="00384054" w:rsidRPr="00384054">
        <w:rPr>
          <w:rFonts w:asciiTheme="majorHAnsi" w:eastAsia="SimSun" w:hAnsiTheme="majorHAnsi" w:cstheme="majorHAnsi"/>
          <w:i/>
          <w:iCs/>
          <w:color w:val="272727"/>
          <w:sz w:val="21"/>
          <w:szCs w:val="21"/>
          <w:lang w:eastAsia="zh-CN"/>
        </w:rPr>
        <w:t>hat an industry partn</w:t>
      </w:r>
      <w:r w:rsidR="00795938">
        <w:rPr>
          <w:rFonts w:asciiTheme="majorHAnsi" w:eastAsia="SimSun" w:hAnsiTheme="majorHAnsi" w:cstheme="majorHAnsi"/>
          <w:i/>
          <w:iCs/>
          <w:color w:val="272727"/>
          <w:sz w:val="21"/>
          <w:szCs w:val="21"/>
          <w:lang w:eastAsia="zh-CN"/>
        </w:rPr>
        <w:t>er</w:t>
      </w:r>
      <w:r w:rsidR="00384054" w:rsidRPr="00384054">
        <w:rPr>
          <w:rFonts w:asciiTheme="majorHAnsi" w:eastAsia="SimSun" w:hAnsiTheme="majorHAnsi" w:cstheme="majorHAnsi"/>
          <w:i/>
          <w:iCs/>
          <w:color w:val="272727"/>
          <w:sz w:val="21"/>
          <w:szCs w:val="21"/>
          <w:lang w:eastAsia="zh-CN"/>
        </w:rPr>
        <w:t xml:space="preserve"> agree</w:t>
      </w:r>
      <w:r w:rsidR="00795938">
        <w:rPr>
          <w:rFonts w:asciiTheme="majorHAnsi" w:eastAsia="SimSun" w:hAnsiTheme="majorHAnsi" w:cstheme="majorHAnsi"/>
          <w:i/>
          <w:iCs/>
          <w:color w:val="272727"/>
          <w:sz w:val="21"/>
          <w:szCs w:val="21"/>
          <w:lang w:eastAsia="zh-CN"/>
        </w:rPr>
        <w:t>s</w:t>
      </w:r>
      <w:r w:rsidR="00384054" w:rsidRPr="00384054">
        <w:rPr>
          <w:rFonts w:asciiTheme="majorHAnsi" w:eastAsia="SimSun" w:hAnsiTheme="majorHAnsi" w:cstheme="majorHAnsi"/>
          <w:i/>
          <w:iCs/>
          <w:color w:val="272727"/>
          <w:sz w:val="21"/>
          <w:szCs w:val="21"/>
          <w:lang w:eastAsia="zh-CN"/>
        </w:rPr>
        <w:t xml:space="preserve"> to meet</w:t>
      </w:r>
      <w:r w:rsidR="00384054" w:rsidRPr="00384054">
        <w:rPr>
          <w:rFonts w:asciiTheme="majorHAnsi" w:eastAsia="SimSun" w:hAnsiTheme="majorHAnsi" w:cstheme="majorHAnsi"/>
          <w:color w:val="272727"/>
          <w:sz w:val="21"/>
          <w:szCs w:val="21"/>
          <w:lang w:eastAsia="zh-CN"/>
        </w:rPr>
        <w:t xml:space="preserve"> under the terms of a </w:t>
      </w:r>
      <w:r w:rsidR="00384054" w:rsidRPr="00795938">
        <w:rPr>
          <w:rFonts w:asciiTheme="majorHAnsi" w:eastAsia="SimSun" w:hAnsiTheme="majorHAnsi" w:cstheme="majorHAnsi"/>
          <w:i/>
          <w:iCs/>
          <w:color w:val="272727"/>
          <w:sz w:val="21"/>
          <w:szCs w:val="21"/>
          <w:lang w:eastAsia="zh-CN"/>
        </w:rPr>
        <w:t>commercial</w:t>
      </w:r>
      <w:r w:rsidR="00384054" w:rsidRPr="00384054">
        <w:rPr>
          <w:rFonts w:asciiTheme="majorHAnsi" w:eastAsia="SimSun" w:hAnsiTheme="majorHAnsi" w:cstheme="majorHAnsi"/>
          <w:color w:val="272727"/>
          <w:sz w:val="21"/>
          <w:szCs w:val="21"/>
          <w:lang w:eastAsia="zh-CN"/>
        </w:rPr>
        <w:t xml:space="preserve"> license with the patent owner (i.e. the PFRO), is worthy of consideration. This scheme might be funded by </w:t>
      </w:r>
      <w:r w:rsidR="00384054" w:rsidRPr="00C56108">
        <w:rPr>
          <w:rFonts w:asciiTheme="majorHAnsi" w:eastAsia="SimSun" w:hAnsiTheme="majorHAnsi" w:cstheme="majorHAnsi"/>
          <w:b/>
          <w:bCs/>
          <w:color w:val="365F91"/>
          <w:sz w:val="21"/>
          <w:szCs w:val="21"/>
          <w:lang w:eastAsia="zh-CN"/>
        </w:rPr>
        <w:t>restructuring the current R&amp;D tax arrangements</w:t>
      </w:r>
      <w:r w:rsidR="00384054" w:rsidRPr="00384054">
        <w:rPr>
          <w:rFonts w:asciiTheme="majorHAnsi" w:eastAsia="SimSun" w:hAnsiTheme="majorHAnsi" w:cstheme="majorHAnsi"/>
          <w:color w:val="272727"/>
          <w:sz w:val="21"/>
          <w:szCs w:val="21"/>
          <w:lang w:eastAsia="zh-CN"/>
        </w:rPr>
        <w:t xml:space="preserve"> to include a specific rebate</w:t>
      </w:r>
      <w:r w:rsidR="00FA7965">
        <w:rPr>
          <w:rFonts w:asciiTheme="majorHAnsi" w:eastAsia="SimSun" w:hAnsiTheme="majorHAnsi" w:cstheme="majorHAnsi"/>
          <w:color w:val="272727"/>
          <w:sz w:val="21"/>
          <w:szCs w:val="21"/>
          <w:lang w:eastAsia="zh-CN"/>
        </w:rPr>
        <w:t xml:space="preserve"> to the commercial partner</w:t>
      </w:r>
      <w:r w:rsidR="00384054" w:rsidRPr="00384054">
        <w:rPr>
          <w:rFonts w:asciiTheme="majorHAnsi" w:eastAsia="SimSun" w:hAnsiTheme="majorHAnsi" w:cstheme="majorHAnsi"/>
          <w:color w:val="272727"/>
          <w:sz w:val="21"/>
          <w:szCs w:val="21"/>
          <w:lang w:eastAsia="zh-CN"/>
        </w:rPr>
        <w:t xml:space="preserve">. </w:t>
      </w:r>
    </w:p>
    <w:p w14:paraId="13A603CD" w14:textId="77777777" w:rsidR="00384054" w:rsidRPr="00384054" w:rsidRDefault="00384054" w:rsidP="00E571AF">
      <w:p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The Government’s paper also raised the possibility of introducing measures </w:t>
      </w:r>
      <w:r w:rsidR="00795938">
        <w:rPr>
          <w:rFonts w:asciiTheme="majorHAnsi" w:eastAsia="SimSun" w:hAnsiTheme="majorHAnsi" w:cstheme="majorHAnsi"/>
          <w:color w:val="272727"/>
          <w:sz w:val="21"/>
          <w:szCs w:val="21"/>
          <w:lang w:eastAsia="zh-CN"/>
        </w:rPr>
        <w:t>to</w:t>
      </w:r>
      <w:r w:rsidRPr="00384054">
        <w:rPr>
          <w:rFonts w:asciiTheme="majorHAnsi" w:eastAsia="SimSun" w:hAnsiTheme="majorHAnsi" w:cstheme="majorHAnsi"/>
          <w:color w:val="272727"/>
          <w:sz w:val="21"/>
          <w:szCs w:val="21"/>
          <w:lang w:eastAsia="zh-CN"/>
        </w:rPr>
        <w:t xml:space="preserve"> strengthen IP guidelines where grants </w:t>
      </w:r>
      <w:r w:rsidR="00795938">
        <w:rPr>
          <w:rFonts w:asciiTheme="majorHAnsi" w:eastAsia="SimSun" w:hAnsiTheme="majorHAnsi" w:cstheme="majorHAnsi"/>
          <w:color w:val="272727"/>
          <w:sz w:val="21"/>
          <w:szCs w:val="21"/>
          <w:lang w:eastAsia="zh-CN"/>
        </w:rPr>
        <w:t>are</w:t>
      </w:r>
      <w:r w:rsidRPr="00384054">
        <w:rPr>
          <w:rFonts w:asciiTheme="majorHAnsi" w:eastAsia="SimSun" w:hAnsiTheme="majorHAnsi" w:cstheme="majorHAnsi"/>
          <w:color w:val="272727"/>
          <w:sz w:val="21"/>
          <w:szCs w:val="21"/>
          <w:lang w:eastAsia="zh-CN"/>
        </w:rPr>
        <w:t xml:space="preserve"> conditional on </w:t>
      </w:r>
      <w:r w:rsidR="00E571AF">
        <w:rPr>
          <w:rFonts w:asciiTheme="majorHAnsi" w:eastAsia="SimSun" w:hAnsiTheme="majorHAnsi" w:cstheme="majorHAnsi"/>
          <w:color w:val="272727"/>
          <w:sz w:val="21"/>
          <w:szCs w:val="21"/>
          <w:lang w:eastAsia="zh-CN"/>
        </w:rPr>
        <w:t xml:space="preserve">the </w:t>
      </w:r>
      <w:r w:rsidRPr="00384054">
        <w:rPr>
          <w:rFonts w:asciiTheme="majorHAnsi" w:eastAsia="SimSun" w:hAnsiTheme="majorHAnsi" w:cstheme="majorHAnsi"/>
          <w:color w:val="272727"/>
          <w:sz w:val="21"/>
          <w:szCs w:val="21"/>
          <w:lang w:eastAsia="zh-CN"/>
        </w:rPr>
        <w:t xml:space="preserve">appropriate management and dissemination of IP. </w:t>
      </w:r>
    </w:p>
    <w:p w14:paraId="13A603CE" w14:textId="77777777" w:rsidR="00795938" w:rsidRDefault="00384054" w:rsidP="00FA7965">
      <w:p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In relation to i</w:t>
      </w:r>
      <w:r w:rsidR="00795938">
        <w:rPr>
          <w:rFonts w:asciiTheme="majorHAnsi" w:eastAsia="SimSun" w:hAnsiTheme="majorHAnsi" w:cstheme="majorHAnsi"/>
          <w:color w:val="272727"/>
          <w:sz w:val="21"/>
          <w:szCs w:val="21"/>
          <w:lang w:eastAsia="zh-CN"/>
        </w:rPr>
        <w:t>mplementing grants that contain</w:t>
      </w:r>
      <w:r w:rsidRPr="00384054">
        <w:rPr>
          <w:rFonts w:asciiTheme="majorHAnsi" w:eastAsia="SimSun" w:hAnsiTheme="majorHAnsi" w:cstheme="majorHAnsi"/>
          <w:color w:val="272727"/>
          <w:sz w:val="21"/>
          <w:szCs w:val="21"/>
          <w:lang w:eastAsia="zh-CN"/>
        </w:rPr>
        <w:t xml:space="preserve"> conditions which require certain IP management and exploitation metrics, the University of Tasmania is broadly supportive of the </w:t>
      </w:r>
      <w:r w:rsidRPr="00384054">
        <w:rPr>
          <w:rFonts w:asciiTheme="majorHAnsi" w:eastAsia="SimSun" w:hAnsiTheme="majorHAnsi" w:cstheme="majorHAnsi"/>
          <w:i/>
          <w:iCs/>
          <w:color w:val="272727"/>
          <w:sz w:val="21"/>
          <w:szCs w:val="21"/>
          <w:lang w:eastAsia="zh-CN"/>
        </w:rPr>
        <w:t>concept</w:t>
      </w:r>
      <w:r w:rsidRPr="00384054">
        <w:rPr>
          <w:rFonts w:asciiTheme="majorHAnsi" w:eastAsia="SimSun" w:hAnsiTheme="majorHAnsi" w:cstheme="majorHAnsi"/>
          <w:color w:val="272727"/>
          <w:sz w:val="21"/>
          <w:szCs w:val="21"/>
          <w:lang w:eastAsia="zh-CN"/>
        </w:rPr>
        <w:t xml:space="preserve"> </w:t>
      </w:r>
      <w:r w:rsidR="00FA7965">
        <w:rPr>
          <w:rFonts w:asciiTheme="majorHAnsi" w:eastAsia="SimSun" w:hAnsiTheme="majorHAnsi" w:cstheme="majorHAnsi"/>
          <w:color w:val="272727"/>
          <w:sz w:val="21"/>
          <w:szCs w:val="21"/>
          <w:lang w:eastAsia="zh-CN"/>
        </w:rPr>
        <w:t xml:space="preserve">but </w:t>
      </w:r>
      <w:r w:rsidRPr="00384054">
        <w:rPr>
          <w:rFonts w:asciiTheme="majorHAnsi" w:eastAsia="SimSun" w:hAnsiTheme="majorHAnsi" w:cstheme="majorHAnsi"/>
          <w:color w:val="272727"/>
          <w:sz w:val="21"/>
          <w:szCs w:val="21"/>
          <w:lang w:eastAsia="zh-CN"/>
        </w:rPr>
        <w:t xml:space="preserve">would anticipate that defining those metrics would be complex and difficult. </w:t>
      </w:r>
    </w:p>
    <w:p w14:paraId="13A603D0" w14:textId="77777777" w:rsidR="00384054" w:rsidRDefault="00384054" w:rsidP="00795938">
      <w:p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Instead, the government might consider </w:t>
      </w:r>
      <w:r w:rsidRPr="000126F8">
        <w:rPr>
          <w:rFonts w:asciiTheme="majorHAnsi" w:eastAsia="SimSun" w:hAnsiTheme="majorHAnsi" w:cstheme="majorHAnsi"/>
          <w:b/>
          <w:bCs/>
          <w:color w:val="365F91"/>
          <w:sz w:val="21"/>
          <w:szCs w:val="21"/>
          <w:lang w:eastAsia="zh-CN"/>
        </w:rPr>
        <w:t>staged grants</w:t>
      </w:r>
      <w:r w:rsidRPr="00384054">
        <w:rPr>
          <w:rFonts w:asciiTheme="majorHAnsi" w:eastAsia="SimSun" w:hAnsiTheme="majorHAnsi" w:cstheme="majorHAnsi"/>
          <w:color w:val="0070C0"/>
          <w:sz w:val="21"/>
          <w:szCs w:val="21"/>
          <w:lang w:eastAsia="zh-CN"/>
        </w:rPr>
        <w:t xml:space="preserve"> </w:t>
      </w:r>
      <w:r w:rsidRPr="00384054">
        <w:rPr>
          <w:rFonts w:asciiTheme="majorHAnsi" w:eastAsia="SimSun" w:hAnsiTheme="majorHAnsi" w:cstheme="majorHAnsi"/>
          <w:color w:val="272727"/>
          <w:sz w:val="21"/>
          <w:szCs w:val="21"/>
          <w:lang w:eastAsia="zh-CN"/>
        </w:rPr>
        <w:t xml:space="preserve">where in the initial phase, the minimum financial support </w:t>
      </w:r>
      <w:r w:rsidR="00795938">
        <w:rPr>
          <w:rFonts w:asciiTheme="majorHAnsi" w:eastAsia="SimSun" w:hAnsiTheme="majorHAnsi" w:cstheme="majorHAnsi"/>
          <w:color w:val="272727"/>
          <w:sz w:val="21"/>
          <w:szCs w:val="21"/>
          <w:lang w:eastAsia="zh-CN"/>
        </w:rPr>
        <w:t>(</w:t>
      </w:r>
      <w:r w:rsidRPr="00384054">
        <w:rPr>
          <w:rFonts w:asciiTheme="majorHAnsi" w:eastAsia="SimSun" w:hAnsiTheme="majorHAnsi" w:cstheme="majorHAnsi"/>
          <w:color w:val="272727"/>
          <w:sz w:val="21"/>
          <w:szCs w:val="21"/>
          <w:lang w:eastAsia="zh-CN"/>
        </w:rPr>
        <w:t>to complete the target research outcomes</w:t>
      </w:r>
      <w:r w:rsidR="00C56108">
        <w:rPr>
          <w:rFonts w:asciiTheme="majorHAnsi" w:eastAsia="SimSun" w:hAnsiTheme="majorHAnsi" w:cstheme="majorHAnsi"/>
          <w:color w:val="272727"/>
          <w:sz w:val="21"/>
          <w:szCs w:val="21"/>
          <w:lang w:eastAsia="zh-CN"/>
        </w:rPr>
        <w:t>)</w:t>
      </w:r>
      <w:r w:rsidRPr="00384054">
        <w:rPr>
          <w:rFonts w:asciiTheme="majorHAnsi" w:eastAsia="SimSun" w:hAnsiTheme="majorHAnsi" w:cstheme="majorHAnsi"/>
          <w:color w:val="272727"/>
          <w:sz w:val="21"/>
          <w:szCs w:val="21"/>
          <w:lang w:eastAsia="zh-CN"/>
        </w:rPr>
        <w:t xml:space="preserve"> is provided, but where the grants contain additional contractual undertakings to </w:t>
      </w:r>
      <w:r w:rsidRPr="000126F8">
        <w:rPr>
          <w:rFonts w:asciiTheme="majorHAnsi" w:eastAsia="SimSun" w:hAnsiTheme="majorHAnsi" w:cstheme="majorHAnsi"/>
          <w:b/>
          <w:bCs/>
          <w:color w:val="365F91"/>
          <w:sz w:val="21"/>
          <w:szCs w:val="21"/>
          <w:lang w:eastAsia="zh-CN"/>
        </w:rPr>
        <w:t>provide follow-on financial benefits</w:t>
      </w:r>
      <w:r w:rsidRPr="00384054">
        <w:rPr>
          <w:rFonts w:asciiTheme="majorHAnsi" w:eastAsia="SimSun" w:hAnsiTheme="majorHAnsi" w:cstheme="majorHAnsi"/>
          <w:color w:val="0070C0"/>
          <w:sz w:val="21"/>
          <w:szCs w:val="21"/>
          <w:lang w:eastAsia="zh-CN"/>
        </w:rPr>
        <w:t xml:space="preserve"> </w:t>
      </w:r>
      <w:r w:rsidRPr="00384054">
        <w:rPr>
          <w:rFonts w:asciiTheme="majorHAnsi" w:eastAsia="SimSun" w:hAnsiTheme="majorHAnsi" w:cstheme="majorHAnsi"/>
          <w:color w:val="272727"/>
          <w:sz w:val="21"/>
          <w:szCs w:val="21"/>
          <w:lang w:eastAsia="zh-CN"/>
        </w:rPr>
        <w:t>(e.g. additional development funding, reimbursement for certain co</w:t>
      </w:r>
      <w:r w:rsidR="00AA4525">
        <w:rPr>
          <w:rFonts w:asciiTheme="majorHAnsi" w:eastAsia="SimSun" w:hAnsiTheme="majorHAnsi" w:cstheme="majorHAnsi"/>
          <w:color w:val="272727"/>
          <w:sz w:val="21"/>
          <w:szCs w:val="21"/>
          <w:lang w:eastAsia="zh-CN"/>
        </w:rPr>
        <w:t>mmercialisation costs, preferential</w:t>
      </w:r>
      <w:r w:rsidRPr="00384054">
        <w:rPr>
          <w:rFonts w:asciiTheme="majorHAnsi" w:eastAsia="SimSun" w:hAnsiTheme="majorHAnsi" w:cstheme="majorHAnsi"/>
          <w:color w:val="272727"/>
          <w:sz w:val="21"/>
          <w:szCs w:val="21"/>
          <w:lang w:eastAsia="zh-CN"/>
        </w:rPr>
        <w:t xml:space="preserve"> taxation arrangements etc.) for </w:t>
      </w:r>
      <w:r w:rsidRPr="000126F8">
        <w:rPr>
          <w:rFonts w:asciiTheme="majorHAnsi" w:eastAsia="SimSun" w:hAnsiTheme="majorHAnsi" w:cstheme="majorHAnsi"/>
          <w:b/>
          <w:bCs/>
          <w:color w:val="365F91"/>
          <w:sz w:val="21"/>
          <w:szCs w:val="21"/>
          <w:lang w:eastAsia="zh-CN"/>
        </w:rPr>
        <w:t>participants that achieve pre-agreed impact/commercial/collaboration</w:t>
      </w:r>
      <w:r w:rsidRPr="00384054">
        <w:rPr>
          <w:rFonts w:asciiTheme="majorHAnsi" w:eastAsia="SimSun" w:hAnsiTheme="majorHAnsi" w:cstheme="majorHAnsi"/>
          <w:b/>
          <w:bCs/>
          <w:color w:val="0070C0"/>
          <w:sz w:val="21"/>
          <w:szCs w:val="21"/>
          <w:lang w:eastAsia="zh-CN"/>
        </w:rPr>
        <w:t xml:space="preserve"> </w:t>
      </w:r>
      <w:r w:rsidRPr="000126F8">
        <w:rPr>
          <w:rFonts w:asciiTheme="majorHAnsi" w:eastAsia="SimSun" w:hAnsiTheme="majorHAnsi" w:cstheme="majorHAnsi"/>
          <w:b/>
          <w:bCs/>
          <w:color w:val="365F91"/>
          <w:sz w:val="21"/>
          <w:szCs w:val="21"/>
          <w:lang w:eastAsia="zh-CN"/>
        </w:rPr>
        <w:t>targets</w:t>
      </w:r>
      <w:r w:rsidR="00795938">
        <w:rPr>
          <w:rFonts w:asciiTheme="majorHAnsi" w:eastAsia="SimSun" w:hAnsiTheme="majorHAnsi" w:cstheme="majorHAnsi"/>
          <w:color w:val="272727"/>
          <w:sz w:val="21"/>
          <w:szCs w:val="21"/>
          <w:lang w:eastAsia="zh-CN"/>
        </w:rPr>
        <w:t>.</w:t>
      </w:r>
    </w:p>
    <w:p w14:paraId="13A603D2" w14:textId="77777777" w:rsidR="00384054" w:rsidRPr="00384054" w:rsidRDefault="00795938" w:rsidP="00795938">
      <w:pPr>
        <w:autoSpaceDE w:val="0"/>
        <w:autoSpaceDN w:val="0"/>
        <w:adjustRightInd w:val="0"/>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Such an approach</w:t>
      </w:r>
      <w:r w:rsidR="00384054" w:rsidRPr="00384054">
        <w:rPr>
          <w:rFonts w:asciiTheme="majorHAnsi" w:eastAsia="SimSun" w:hAnsiTheme="majorHAnsi" w:cstheme="majorHAnsi"/>
          <w:color w:val="272727"/>
          <w:sz w:val="21"/>
          <w:szCs w:val="21"/>
          <w:lang w:eastAsia="zh-CN"/>
        </w:rPr>
        <w:t xml:space="preserve"> does not rely on defining in advance what </w:t>
      </w:r>
      <w:r>
        <w:rPr>
          <w:rFonts w:asciiTheme="majorHAnsi" w:eastAsia="SimSun" w:hAnsiTheme="majorHAnsi" w:cstheme="majorHAnsi"/>
          <w:color w:val="272727"/>
          <w:sz w:val="21"/>
          <w:szCs w:val="21"/>
          <w:lang w:eastAsia="zh-CN"/>
        </w:rPr>
        <w:t xml:space="preserve">the </w:t>
      </w:r>
      <w:r w:rsidR="00384054" w:rsidRPr="00384054">
        <w:rPr>
          <w:rFonts w:asciiTheme="majorHAnsi" w:eastAsia="SimSun" w:hAnsiTheme="majorHAnsi" w:cstheme="majorHAnsi"/>
          <w:color w:val="272727"/>
          <w:sz w:val="21"/>
          <w:szCs w:val="21"/>
          <w:lang w:eastAsia="zh-CN"/>
        </w:rPr>
        <w:t xml:space="preserve">IP management and IP exploitation terms should be and instead incentivises the participants to </w:t>
      </w:r>
      <w:r w:rsidR="00384054" w:rsidRPr="000126F8">
        <w:rPr>
          <w:rFonts w:asciiTheme="majorHAnsi" w:eastAsia="SimSun" w:hAnsiTheme="majorHAnsi" w:cstheme="majorHAnsi"/>
          <w:b/>
          <w:bCs/>
          <w:color w:val="365F91"/>
          <w:sz w:val="21"/>
          <w:szCs w:val="21"/>
          <w:lang w:eastAsia="zh-CN"/>
        </w:rPr>
        <w:t>dynamically manage and exploit the IP</w:t>
      </w:r>
      <w:r w:rsidR="00384054" w:rsidRPr="00384054">
        <w:rPr>
          <w:rFonts w:asciiTheme="majorHAnsi" w:eastAsia="SimSun" w:hAnsiTheme="majorHAnsi" w:cstheme="majorHAnsi"/>
          <w:color w:val="272727"/>
          <w:sz w:val="21"/>
          <w:szCs w:val="21"/>
          <w:lang w:eastAsia="zh-CN"/>
        </w:rPr>
        <w:t xml:space="preserve"> in a way which targets the agreed outputs.</w:t>
      </w:r>
    </w:p>
    <w:p w14:paraId="13A603D4" w14:textId="77777777" w:rsidR="00384054" w:rsidRPr="00384054" w:rsidRDefault="00384054" w:rsidP="00DD29BA">
      <w:pPr>
        <w:autoSpaceDE w:val="0"/>
        <w:autoSpaceDN w:val="0"/>
        <w:adjustRightInd w:val="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The Government’s paper sought feedback on the use of an IP toolkit to overcome obstacles and accelerate negotiations. </w:t>
      </w:r>
      <w:r w:rsidR="00DD29BA">
        <w:rPr>
          <w:rFonts w:asciiTheme="majorHAnsi" w:eastAsia="SimSun" w:hAnsiTheme="majorHAnsi" w:cstheme="majorHAnsi"/>
          <w:color w:val="272727"/>
          <w:sz w:val="21"/>
          <w:szCs w:val="21"/>
          <w:lang w:eastAsia="zh-CN"/>
        </w:rPr>
        <w:t xml:space="preserve">A separate list of common legal obstacles </w:t>
      </w:r>
      <w:r w:rsidR="00DD29BA" w:rsidRPr="00384054">
        <w:rPr>
          <w:rFonts w:asciiTheme="majorHAnsi" w:eastAsia="SimSun" w:hAnsiTheme="majorHAnsi" w:cstheme="majorHAnsi"/>
          <w:sz w:val="21"/>
          <w:szCs w:val="21"/>
          <w:lang w:eastAsia="zh-CN"/>
        </w:rPr>
        <w:t xml:space="preserve">when negotiating with industry </w:t>
      </w:r>
      <w:r w:rsidR="00DD29BA">
        <w:rPr>
          <w:rFonts w:asciiTheme="majorHAnsi" w:eastAsia="SimSun" w:hAnsiTheme="majorHAnsi" w:cstheme="majorHAnsi"/>
          <w:sz w:val="21"/>
          <w:szCs w:val="21"/>
          <w:lang w:eastAsia="zh-CN"/>
        </w:rPr>
        <w:t xml:space="preserve">is provided in Appendix 1. </w:t>
      </w:r>
    </w:p>
    <w:p w14:paraId="522C9857" w14:textId="77777777" w:rsidR="004814CF" w:rsidRDefault="00384054" w:rsidP="004814CF">
      <w:pPr>
        <w:contextualSpacing/>
        <w:rPr>
          <w:rFonts w:asciiTheme="majorHAnsi" w:eastAsia="SimSun" w:hAnsiTheme="majorHAnsi" w:cstheme="majorHAnsi"/>
          <w:color w:val="272727"/>
          <w:sz w:val="21"/>
          <w:szCs w:val="21"/>
          <w:lang w:eastAsia="zh-CN"/>
        </w:rPr>
      </w:pPr>
      <w:r w:rsidRPr="00384054">
        <w:rPr>
          <w:rFonts w:asciiTheme="majorHAnsi" w:eastAsia="Times New Roman" w:hAnsiTheme="majorHAnsi" w:cstheme="majorHAnsi"/>
          <w:sz w:val="21"/>
          <w:szCs w:val="21"/>
          <w:lang w:val="en-US"/>
        </w:rPr>
        <w:br/>
      </w:r>
      <w:r w:rsidRPr="00384054">
        <w:rPr>
          <w:rFonts w:asciiTheme="majorHAnsi" w:eastAsia="SimSun" w:hAnsiTheme="majorHAnsi" w:cstheme="majorHAnsi"/>
          <w:color w:val="272727"/>
          <w:sz w:val="21"/>
          <w:szCs w:val="21"/>
          <w:lang w:eastAsia="zh-CN"/>
        </w:rPr>
        <w:t>Embedded within the Go</w:t>
      </w:r>
      <w:r w:rsidR="001E49C5">
        <w:rPr>
          <w:rFonts w:asciiTheme="majorHAnsi" w:eastAsia="SimSun" w:hAnsiTheme="majorHAnsi" w:cstheme="majorHAnsi"/>
          <w:color w:val="272727"/>
          <w:sz w:val="21"/>
          <w:szCs w:val="21"/>
          <w:lang w:eastAsia="zh-CN"/>
        </w:rPr>
        <w:t>vernment’s question concerning IP</w:t>
      </w:r>
      <w:r w:rsidRPr="00384054">
        <w:rPr>
          <w:rFonts w:asciiTheme="majorHAnsi" w:eastAsia="SimSun" w:hAnsiTheme="majorHAnsi" w:cstheme="majorHAnsi"/>
          <w:color w:val="272727"/>
          <w:sz w:val="21"/>
          <w:szCs w:val="21"/>
          <w:lang w:eastAsia="zh-CN"/>
        </w:rPr>
        <w:t xml:space="preserve"> arrangements that facilitate collaboration</w:t>
      </w:r>
      <w:r w:rsidR="00C56108">
        <w:rPr>
          <w:rFonts w:asciiTheme="majorHAnsi" w:eastAsia="SimSun" w:hAnsiTheme="majorHAnsi" w:cstheme="majorHAnsi"/>
          <w:color w:val="272727"/>
          <w:sz w:val="21"/>
          <w:szCs w:val="21"/>
          <w:lang w:eastAsia="zh-CN"/>
        </w:rPr>
        <w:t xml:space="preserve"> and commercialisation of ideas</w:t>
      </w:r>
      <w:r w:rsidRPr="00384054">
        <w:rPr>
          <w:rFonts w:asciiTheme="majorHAnsi" w:eastAsia="SimSun" w:hAnsiTheme="majorHAnsi" w:cstheme="majorHAnsi"/>
          <w:color w:val="272727"/>
          <w:sz w:val="21"/>
          <w:szCs w:val="21"/>
          <w:lang w:eastAsia="zh-CN"/>
        </w:rPr>
        <w:t>, the paper explores the implications of benefit</w:t>
      </w:r>
      <w:r w:rsidR="001E49C5">
        <w:rPr>
          <w:rFonts w:asciiTheme="majorHAnsi" w:eastAsia="SimSun" w:hAnsiTheme="majorHAnsi" w:cstheme="majorHAnsi"/>
          <w:color w:val="272727"/>
          <w:sz w:val="21"/>
          <w:szCs w:val="21"/>
          <w:lang w:eastAsia="zh-CN"/>
        </w:rPr>
        <w:t>-</w:t>
      </w:r>
      <w:r w:rsidRPr="00384054">
        <w:rPr>
          <w:rFonts w:asciiTheme="majorHAnsi" w:eastAsia="SimSun" w:hAnsiTheme="majorHAnsi" w:cstheme="majorHAnsi"/>
          <w:color w:val="272727"/>
          <w:sz w:val="21"/>
          <w:szCs w:val="21"/>
          <w:lang w:eastAsia="zh-CN"/>
        </w:rPr>
        <w:t xml:space="preserve">sharing for university-based researchers. </w:t>
      </w:r>
    </w:p>
    <w:p w14:paraId="26B47C18" w14:textId="77777777" w:rsidR="004814CF" w:rsidRDefault="004814CF" w:rsidP="004814CF">
      <w:pPr>
        <w:contextualSpacing/>
        <w:rPr>
          <w:rFonts w:asciiTheme="majorHAnsi" w:eastAsia="SimSun" w:hAnsiTheme="majorHAnsi" w:cstheme="majorHAnsi"/>
          <w:color w:val="272727"/>
          <w:sz w:val="21"/>
          <w:szCs w:val="21"/>
          <w:lang w:eastAsia="zh-CN"/>
        </w:rPr>
      </w:pPr>
    </w:p>
    <w:p w14:paraId="13A603D7" w14:textId="13DD2A82" w:rsidR="00384054" w:rsidRPr="006D025F" w:rsidRDefault="00E571AF" w:rsidP="004814CF">
      <w:pPr>
        <w:contextualSpacing/>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We are</w:t>
      </w:r>
      <w:r w:rsidR="00384054" w:rsidRPr="00384054">
        <w:rPr>
          <w:rFonts w:asciiTheme="majorHAnsi" w:eastAsia="SimSun" w:hAnsiTheme="majorHAnsi" w:cstheme="majorHAnsi"/>
          <w:color w:val="272727"/>
          <w:sz w:val="21"/>
          <w:szCs w:val="21"/>
          <w:lang w:eastAsia="zh-CN"/>
        </w:rPr>
        <w:t xml:space="preserve"> currently cons</w:t>
      </w:r>
      <w:r w:rsidR="006D025F">
        <w:rPr>
          <w:rFonts w:asciiTheme="majorHAnsi" w:eastAsia="SimSun" w:hAnsiTheme="majorHAnsi" w:cstheme="majorHAnsi"/>
          <w:color w:val="272727"/>
          <w:sz w:val="21"/>
          <w:szCs w:val="21"/>
          <w:lang w:eastAsia="zh-CN"/>
        </w:rPr>
        <w:t>idering a review of its benefit-</w:t>
      </w:r>
      <w:r w:rsidR="00384054" w:rsidRPr="00384054">
        <w:rPr>
          <w:rFonts w:asciiTheme="majorHAnsi" w:eastAsia="SimSun" w:hAnsiTheme="majorHAnsi" w:cstheme="majorHAnsi"/>
          <w:color w:val="272727"/>
          <w:sz w:val="21"/>
          <w:szCs w:val="21"/>
          <w:lang w:eastAsia="zh-CN"/>
        </w:rPr>
        <w:t>sharing policies, (</w:t>
      </w:r>
      <w:r w:rsidR="006D025F">
        <w:rPr>
          <w:rFonts w:asciiTheme="majorHAnsi" w:eastAsia="SimSun" w:hAnsiTheme="majorHAnsi" w:cstheme="majorHAnsi"/>
          <w:color w:val="272727"/>
          <w:sz w:val="21"/>
          <w:szCs w:val="21"/>
          <w:lang w:eastAsia="zh-CN"/>
        </w:rPr>
        <w:t xml:space="preserve">i.e. </w:t>
      </w:r>
      <w:r w:rsidR="00FA7965">
        <w:rPr>
          <w:rFonts w:asciiTheme="majorHAnsi" w:eastAsia="SimSun" w:hAnsiTheme="majorHAnsi" w:cstheme="majorHAnsi"/>
          <w:color w:val="272727"/>
          <w:sz w:val="21"/>
          <w:szCs w:val="21"/>
          <w:lang w:eastAsia="zh-CN"/>
        </w:rPr>
        <w:t>our</w:t>
      </w:r>
      <w:r w:rsidR="006D025F">
        <w:rPr>
          <w:rFonts w:asciiTheme="majorHAnsi" w:eastAsia="SimSun" w:hAnsiTheme="majorHAnsi" w:cstheme="majorHAnsi"/>
          <w:color w:val="272727"/>
          <w:sz w:val="21"/>
          <w:szCs w:val="21"/>
          <w:lang w:eastAsia="zh-CN"/>
        </w:rPr>
        <w:t xml:space="preserve"> </w:t>
      </w:r>
      <w:r w:rsidR="00384054" w:rsidRPr="00384054">
        <w:rPr>
          <w:rFonts w:asciiTheme="majorHAnsi" w:eastAsia="SimSun" w:hAnsiTheme="majorHAnsi" w:cstheme="majorHAnsi"/>
          <w:color w:val="272727"/>
          <w:sz w:val="21"/>
          <w:szCs w:val="21"/>
          <w:lang w:eastAsia="zh-CN"/>
        </w:rPr>
        <w:t>IP Ordinance). While its deliberations are ongoing the University wou</w:t>
      </w:r>
      <w:r w:rsidR="006D025F">
        <w:rPr>
          <w:rFonts w:asciiTheme="majorHAnsi" w:eastAsia="SimSun" w:hAnsiTheme="majorHAnsi" w:cstheme="majorHAnsi"/>
          <w:color w:val="272727"/>
          <w:sz w:val="21"/>
          <w:szCs w:val="21"/>
          <w:lang w:eastAsia="zh-CN"/>
        </w:rPr>
        <w:t>ld make the following comments;</w:t>
      </w:r>
    </w:p>
    <w:p w14:paraId="13A603D8" w14:textId="77777777" w:rsidR="00384054" w:rsidRPr="00384054" w:rsidRDefault="00384054" w:rsidP="004814CF">
      <w:pPr>
        <w:numPr>
          <w:ilvl w:val="0"/>
          <w:numId w:val="21"/>
        </w:numPr>
        <w:contextualSpacing/>
        <w:rPr>
          <w:rFonts w:asciiTheme="majorHAnsi" w:eastAsia="Times New Roman" w:hAnsiTheme="majorHAnsi" w:cstheme="majorHAnsi"/>
          <w:color w:val="272727"/>
          <w:sz w:val="21"/>
          <w:szCs w:val="21"/>
          <w:lang w:val="en-US"/>
        </w:rPr>
      </w:pPr>
      <w:r w:rsidRPr="00384054">
        <w:rPr>
          <w:rFonts w:asciiTheme="majorHAnsi" w:eastAsia="Times New Roman" w:hAnsiTheme="majorHAnsi" w:cstheme="majorHAnsi"/>
          <w:color w:val="272727"/>
          <w:sz w:val="21"/>
          <w:szCs w:val="21"/>
          <w:lang w:val="en-US"/>
        </w:rPr>
        <w:t xml:space="preserve">Benefit sharing schemes should be flexible enough to accommodate the </w:t>
      </w:r>
      <w:r w:rsidRPr="000126F8">
        <w:rPr>
          <w:rFonts w:asciiTheme="majorHAnsi" w:eastAsia="SimSun" w:hAnsiTheme="majorHAnsi" w:cstheme="majorHAnsi"/>
          <w:b/>
          <w:bCs/>
          <w:color w:val="365F91"/>
          <w:sz w:val="21"/>
          <w:szCs w:val="21"/>
          <w:lang w:eastAsia="zh-CN"/>
        </w:rPr>
        <w:t>wide array of technology transfer mechanisms</w:t>
      </w:r>
      <w:r w:rsidRPr="00384054">
        <w:rPr>
          <w:rFonts w:asciiTheme="majorHAnsi" w:eastAsia="Times New Roman" w:hAnsiTheme="majorHAnsi" w:cstheme="majorHAnsi"/>
          <w:color w:val="272727"/>
          <w:sz w:val="21"/>
          <w:szCs w:val="21"/>
          <w:lang w:val="en-US"/>
        </w:rPr>
        <w:t>.</w:t>
      </w:r>
    </w:p>
    <w:p w14:paraId="7B747C00" w14:textId="77777777" w:rsidR="004814CF" w:rsidRDefault="00384054" w:rsidP="004814CF">
      <w:pPr>
        <w:numPr>
          <w:ilvl w:val="0"/>
          <w:numId w:val="21"/>
        </w:numPr>
        <w:contextualSpacing/>
        <w:rPr>
          <w:rFonts w:asciiTheme="majorHAnsi" w:eastAsia="Times New Roman" w:hAnsiTheme="majorHAnsi" w:cstheme="majorHAnsi"/>
          <w:color w:val="272727"/>
          <w:sz w:val="21"/>
          <w:szCs w:val="21"/>
          <w:lang w:val="en-US"/>
        </w:rPr>
      </w:pPr>
      <w:r w:rsidRPr="00384054">
        <w:rPr>
          <w:rFonts w:asciiTheme="majorHAnsi" w:eastAsia="Times New Roman" w:hAnsiTheme="majorHAnsi" w:cstheme="majorHAnsi"/>
          <w:color w:val="272727"/>
          <w:sz w:val="21"/>
          <w:szCs w:val="21"/>
          <w:lang w:val="en-US"/>
        </w:rPr>
        <w:lastRenderedPageBreak/>
        <w:t xml:space="preserve">The terms of benefit sharing schemes should </w:t>
      </w:r>
      <w:r w:rsidRPr="000126F8">
        <w:rPr>
          <w:rFonts w:asciiTheme="majorHAnsi" w:eastAsia="SimSun" w:hAnsiTheme="majorHAnsi" w:cstheme="majorHAnsi"/>
          <w:b/>
          <w:bCs/>
          <w:color w:val="365F91"/>
          <w:sz w:val="21"/>
          <w:szCs w:val="21"/>
          <w:lang w:eastAsia="zh-CN"/>
        </w:rPr>
        <w:t>encourage innovation</w:t>
      </w:r>
      <w:r w:rsidRPr="002F1808">
        <w:rPr>
          <w:rFonts w:asciiTheme="majorHAnsi" w:eastAsia="Times New Roman" w:hAnsiTheme="majorHAnsi" w:cstheme="majorHAnsi"/>
          <w:color w:val="0070C0"/>
          <w:sz w:val="21"/>
          <w:szCs w:val="21"/>
          <w:lang w:val="en-US"/>
        </w:rPr>
        <w:t xml:space="preserve"> </w:t>
      </w:r>
      <w:r w:rsidRPr="00384054">
        <w:rPr>
          <w:rFonts w:asciiTheme="majorHAnsi" w:eastAsia="Times New Roman" w:hAnsiTheme="majorHAnsi" w:cstheme="majorHAnsi"/>
          <w:color w:val="272727"/>
          <w:sz w:val="21"/>
          <w:szCs w:val="21"/>
          <w:lang w:val="en-US"/>
        </w:rPr>
        <w:t xml:space="preserve">and commercialisation and take into </w:t>
      </w:r>
      <w:r w:rsidR="00C56108">
        <w:rPr>
          <w:rFonts w:asciiTheme="majorHAnsi" w:eastAsia="Times New Roman" w:hAnsiTheme="majorHAnsi" w:cstheme="majorHAnsi"/>
          <w:color w:val="272727"/>
          <w:sz w:val="21"/>
          <w:szCs w:val="21"/>
          <w:lang w:val="en-US"/>
        </w:rPr>
        <w:t xml:space="preserve">account the </w:t>
      </w:r>
      <w:r w:rsidR="00C56108" w:rsidRPr="000126F8">
        <w:rPr>
          <w:rFonts w:asciiTheme="majorHAnsi" w:eastAsia="SimSun" w:hAnsiTheme="majorHAnsi" w:cstheme="majorHAnsi"/>
          <w:b/>
          <w:bCs/>
          <w:color w:val="365F91"/>
          <w:sz w:val="21"/>
          <w:szCs w:val="21"/>
          <w:lang w:eastAsia="zh-CN"/>
        </w:rPr>
        <w:t>risk-reward balance</w:t>
      </w:r>
      <w:r w:rsidR="00C56108">
        <w:rPr>
          <w:rFonts w:asciiTheme="majorHAnsi" w:eastAsia="Times New Roman" w:hAnsiTheme="majorHAnsi" w:cstheme="majorHAnsi"/>
          <w:color w:val="272727"/>
          <w:sz w:val="21"/>
          <w:szCs w:val="21"/>
          <w:lang w:val="en-US"/>
        </w:rPr>
        <w:t>.</w:t>
      </w:r>
    </w:p>
    <w:p w14:paraId="4C0338EA" w14:textId="77777777" w:rsidR="004814CF" w:rsidRDefault="004814CF" w:rsidP="004814CF">
      <w:pPr>
        <w:contextualSpacing/>
        <w:rPr>
          <w:rFonts w:asciiTheme="majorHAnsi" w:eastAsia="Times New Roman" w:hAnsiTheme="majorHAnsi" w:cstheme="majorHAnsi"/>
          <w:color w:val="272727"/>
          <w:sz w:val="21"/>
          <w:szCs w:val="21"/>
          <w:lang w:val="en-US"/>
        </w:rPr>
      </w:pPr>
    </w:p>
    <w:p w14:paraId="13A603DB" w14:textId="08AED443" w:rsidR="00BC698C" w:rsidRDefault="00AF360B" w:rsidP="004814CF">
      <w:pPr>
        <w:contextualSpacing/>
        <w:rPr>
          <w:rFonts w:asciiTheme="majorHAnsi" w:eastAsia="SimSun" w:hAnsiTheme="majorHAnsi" w:cstheme="majorHAnsi"/>
          <w:color w:val="272727"/>
          <w:sz w:val="21"/>
          <w:szCs w:val="21"/>
          <w:lang w:eastAsia="zh-CN"/>
        </w:rPr>
      </w:pPr>
      <w:r w:rsidRPr="004814CF">
        <w:rPr>
          <w:rFonts w:asciiTheme="majorHAnsi" w:eastAsia="SimSun" w:hAnsiTheme="majorHAnsi" w:cstheme="majorHAnsi"/>
          <w:color w:val="272727"/>
          <w:sz w:val="21"/>
          <w:szCs w:val="21"/>
          <w:lang w:eastAsia="zh-CN"/>
        </w:rPr>
        <w:t>B</w:t>
      </w:r>
      <w:r w:rsidR="000828A8" w:rsidRPr="004814CF">
        <w:rPr>
          <w:rFonts w:asciiTheme="majorHAnsi" w:eastAsia="SimSun" w:hAnsiTheme="majorHAnsi" w:cstheme="majorHAnsi"/>
          <w:color w:val="272727"/>
          <w:sz w:val="21"/>
          <w:szCs w:val="21"/>
          <w:lang w:eastAsia="zh-CN"/>
        </w:rPr>
        <w:t>enefit-</w:t>
      </w:r>
      <w:r w:rsidR="00384054" w:rsidRPr="004814CF">
        <w:rPr>
          <w:rFonts w:asciiTheme="majorHAnsi" w:eastAsia="SimSun" w:hAnsiTheme="majorHAnsi" w:cstheme="majorHAnsi"/>
          <w:color w:val="272727"/>
          <w:sz w:val="21"/>
          <w:szCs w:val="21"/>
          <w:lang w:eastAsia="zh-CN"/>
        </w:rPr>
        <w:t xml:space="preserve">sharing programs (in whatever form they take) are by their nature designed to provide medium to long-term incentive to researchers to commercialise their research. </w:t>
      </w:r>
      <w:r w:rsidR="000828A8" w:rsidRPr="004814CF">
        <w:rPr>
          <w:rFonts w:asciiTheme="majorHAnsi" w:eastAsia="SimSun" w:hAnsiTheme="majorHAnsi" w:cstheme="majorHAnsi"/>
          <w:color w:val="272727"/>
          <w:sz w:val="21"/>
          <w:szCs w:val="21"/>
          <w:lang w:eastAsia="zh-CN"/>
        </w:rPr>
        <w:t xml:space="preserve"> </w:t>
      </w:r>
      <w:r w:rsidRPr="004814CF">
        <w:rPr>
          <w:rFonts w:asciiTheme="majorHAnsi" w:eastAsia="SimSun" w:hAnsiTheme="majorHAnsi" w:cstheme="majorHAnsi"/>
          <w:color w:val="272727"/>
          <w:sz w:val="21"/>
          <w:szCs w:val="21"/>
          <w:lang w:eastAsia="zh-CN"/>
        </w:rPr>
        <w:t>However</w:t>
      </w:r>
      <w:r w:rsidR="00C56108" w:rsidRPr="004814CF">
        <w:rPr>
          <w:rFonts w:asciiTheme="majorHAnsi" w:eastAsia="SimSun" w:hAnsiTheme="majorHAnsi" w:cstheme="majorHAnsi"/>
          <w:color w:val="272727"/>
          <w:sz w:val="21"/>
          <w:szCs w:val="21"/>
          <w:lang w:eastAsia="zh-CN"/>
        </w:rPr>
        <w:t>,</w:t>
      </w:r>
      <w:r w:rsidRPr="004814CF">
        <w:rPr>
          <w:rFonts w:asciiTheme="majorHAnsi" w:eastAsia="SimSun" w:hAnsiTheme="majorHAnsi" w:cstheme="majorHAnsi"/>
          <w:color w:val="272727"/>
          <w:sz w:val="21"/>
          <w:szCs w:val="21"/>
          <w:lang w:eastAsia="zh-CN"/>
        </w:rPr>
        <w:t xml:space="preserve"> it is equally important </w:t>
      </w:r>
      <w:r w:rsidR="000828A8" w:rsidRPr="004814CF">
        <w:rPr>
          <w:rFonts w:asciiTheme="majorHAnsi" w:eastAsia="SimSun" w:hAnsiTheme="majorHAnsi" w:cstheme="majorHAnsi"/>
          <w:color w:val="272727"/>
          <w:sz w:val="21"/>
          <w:szCs w:val="21"/>
          <w:lang w:eastAsia="zh-CN"/>
        </w:rPr>
        <w:t xml:space="preserve">to </w:t>
      </w:r>
      <w:r w:rsidR="00384054" w:rsidRPr="004814CF">
        <w:rPr>
          <w:rFonts w:asciiTheme="majorHAnsi" w:eastAsia="SimSun" w:hAnsiTheme="majorHAnsi" w:cstheme="majorHAnsi"/>
          <w:color w:val="272727"/>
          <w:sz w:val="21"/>
          <w:szCs w:val="21"/>
          <w:lang w:eastAsia="zh-CN"/>
        </w:rPr>
        <w:t xml:space="preserve">provide mechanisms which </w:t>
      </w:r>
      <w:r w:rsidR="00384054" w:rsidRPr="004814CF">
        <w:rPr>
          <w:rFonts w:asciiTheme="majorHAnsi" w:eastAsia="SimSun" w:hAnsiTheme="majorHAnsi" w:cstheme="majorHAnsi"/>
          <w:b/>
          <w:bCs/>
          <w:color w:val="365F91"/>
          <w:sz w:val="21"/>
          <w:szCs w:val="21"/>
          <w:lang w:eastAsia="zh-CN"/>
        </w:rPr>
        <w:t>incentivise researchers to disclose pre-commercial inventions</w:t>
      </w:r>
      <w:r w:rsidR="00384054" w:rsidRPr="004814CF">
        <w:rPr>
          <w:rFonts w:asciiTheme="majorHAnsi" w:eastAsia="SimSun" w:hAnsiTheme="majorHAnsi" w:cstheme="majorHAnsi"/>
          <w:color w:val="272727"/>
          <w:sz w:val="21"/>
          <w:szCs w:val="21"/>
          <w:lang w:eastAsia="zh-CN"/>
        </w:rPr>
        <w:t xml:space="preserve"> in the first place. To that end un</w:t>
      </w:r>
      <w:r w:rsidR="00A91B5F" w:rsidRPr="004814CF">
        <w:rPr>
          <w:rFonts w:asciiTheme="majorHAnsi" w:eastAsia="SimSun" w:hAnsiTheme="majorHAnsi" w:cstheme="majorHAnsi"/>
          <w:color w:val="272727"/>
          <w:sz w:val="21"/>
          <w:szCs w:val="21"/>
          <w:lang w:eastAsia="zh-CN"/>
        </w:rPr>
        <w:t>iversities need adequate resourcing</w:t>
      </w:r>
      <w:r w:rsidR="00384054" w:rsidRPr="004814CF">
        <w:rPr>
          <w:rFonts w:asciiTheme="majorHAnsi" w:eastAsia="SimSun" w:hAnsiTheme="majorHAnsi" w:cstheme="majorHAnsi"/>
          <w:color w:val="272727"/>
          <w:sz w:val="21"/>
          <w:szCs w:val="21"/>
          <w:lang w:eastAsia="zh-CN"/>
        </w:rPr>
        <w:t xml:space="preserve"> </w:t>
      </w:r>
      <w:r w:rsidR="00FA7965" w:rsidRPr="004814CF">
        <w:rPr>
          <w:rFonts w:asciiTheme="majorHAnsi" w:eastAsia="SimSun" w:hAnsiTheme="majorHAnsi" w:cstheme="majorHAnsi"/>
          <w:color w:val="272727"/>
          <w:sz w:val="21"/>
          <w:szCs w:val="21"/>
          <w:lang w:eastAsia="zh-CN"/>
        </w:rPr>
        <w:t>and t</w:t>
      </w:r>
      <w:r w:rsidR="00384054" w:rsidRPr="004814CF">
        <w:rPr>
          <w:rFonts w:asciiTheme="majorHAnsi" w:eastAsia="SimSun" w:hAnsiTheme="majorHAnsi" w:cstheme="majorHAnsi"/>
          <w:color w:val="272727"/>
          <w:sz w:val="21"/>
          <w:szCs w:val="21"/>
          <w:lang w:eastAsia="zh-CN"/>
        </w:rPr>
        <w:t xml:space="preserve">he government might consider providing a modest pool of funding (either embedded in the RBG process or separately) to be administered </w:t>
      </w:r>
      <w:r w:rsidRPr="004814CF">
        <w:rPr>
          <w:rFonts w:asciiTheme="majorHAnsi" w:eastAsia="SimSun" w:hAnsiTheme="majorHAnsi" w:cstheme="majorHAnsi"/>
          <w:color w:val="272727"/>
          <w:sz w:val="21"/>
          <w:szCs w:val="21"/>
          <w:lang w:eastAsia="zh-CN"/>
        </w:rPr>
        <w:t xml:space="preserve">by </w:t>
      </w:r>
      <w:r w:rsidR="00A91B5F" w:rsidRPr="004814CF">
        <w:rPr>
          <w:rFonts w:asciiTheme="majorHAnsi" w:eastAsia="SimSun" w:hAnsiTheme="majorHAnsi" w:cstheme="majorHAnsi"/>
          <w:color w:val="272727"/>
          <w:sz w:val="21"/>
          <w:szCs w:val="21"/>
          <w:lang w:eastAsia="zh-CN"/>
        </w:rPr>
        <w:t>u</w:t>
      </w:r>
      <w:r w:rsidRPr="004814CF">
        <w:rPr>
          <w:rFonts w:asciiTheme="majorHAnsi" w:eastAsia="SimSun" w:hAnsiTheme="majorHAnsi" w:cstheme="majorHAnsi"/>
          <w:color w:val="272727"/>
          <w:sz w:val="21"/>
          <w:szCs w:val="21"/>
          <w:lang w:eastAsia="zh-CN"/>
        </w:rPr>
        <w:t>niversities as rewards for encouraging</w:t>
      </w:r>
      <w:r w:rsidR="00384054" w:rsidRPr="004814CF">
        <w:rPr>
          <w:rFonts w:asciiTheme="majorHAnsi" w:eastAsia="SimSun" w:hAnsiTheme="majorHAnsi" w:cstheme="majorHAnsi"/>
          <w:color w:val="272727"/>
          <w:sz w:val="21"/>
          <w:szCs w:val="21"/>
          <w:lang w:eastAsia="zh-CN"/>
        </w:rPr>
        <w:t xml:space="preserve"> and assessing invention disclosures.</w:t>
      </w:r>
      <w:r w:rsidR="000828A8" w:rsidRPr="004814CF">
        <w:rPr>
          <w:rFonts w:asciiTheme="majorHAnsi" w:eastAsia="SimSun" w:hAnsiTheme="majorHAnsi" w:cstheme="majorHAnsi"/>
          <w:color w:val="272727"/>
          <w:sz w:val="21"/>
          <w:szCs w:val="21"/>
          <w:lang w:eastAsia="zh-CN"/>
        </w:rPr>
        <w:t xml:space="preserve"> </w:t>
      </w:r>
    </w:p>
    <w:p w14:paraId="13A603DC" w14:textId="77777777" w:rsidR="00384054" w:rsidRPr="000828A8" w:rsidRDefault="00AF360B" w:rsidP="004814CF">
      <w:pPr>
        <w:pStyle w:val="Heading1"/>
      </w:pPr>
      <w:bookmarkStart w:id="4" w:name="_Toc404874474"/>
      <w:r>
        <w:t>Response</w:t>
      </w:r>
      <w:r w:rsidR="00384054" w:rsidRPr="000828A8">
        <w:t xml:space="preserve"> 3</w:t>
      </w:r>
      <w:r w:rsidR="006602FB">
        <w:t>: Facilitating University-Industry Collaboration</w:t>
      </w:r>
      <w:bookmarkEnd w:id="4"/>
    </w:p>
    <w:p w14:paraId="133F644B" w14:textId="6073958C" w:rsidR="004814CF" w:rsidRPr="00BC698C" w:rsidRDefault="000828A8" w:rsidP="00BC698C">
      <w:pPr>
        <w:autoSpaceDE w:val="0"/>
        <w:autoSpaceDN w:val="0"/>
        <w:adjustRightInd w:val="0"/>
        <w:rPr>
          <w:rFonts w:asciiTheme="majorHAnsi" w:eastAsia="SimSun" w:hAnsiTheme="majorHAnsi" w:cstheme="majorHAnsi"/>
          <w:color w:val="272727"/>
          <w:sz w:val="21"/>
          <w:szCs w:val="21"/>
          <w:lang w:eastAsia="zh-CN"/>
        </w:rPr>
      </w:pPr>
      <w:r w:rsidRPr="000828A8">
        <w:rPr>
          <w:rFonts w:asciiTheme="majorHAnsi" w:eastAsia="SimSun" w:hAnsiTheme="majorHAnsi" w:cstheme="majorHAnsi"/>
          <w:i/>
          <w:iCs/>
          <w:color w:val="272727"/>
          <w:sz w:val="21"/>
          <w:szCs w:val="21"/>
          <w:lang w:eastAsia="zh-CN"/>
        </w:rPr>
        <w:t>Without access to</w:t>
      </w:r>
      <w:r w:rsidRPr="000828A8">
        <w:rPr>
          <w:rFonts w:asciiTheme="majorHAnsi" w:eastAsia="SimSun" w:hAnsiTheme="majorHAnsi" w:cstheme="majorHAnsi"/>
          <w:b/>
          <w:bCs/>
          <w:i/>
          <w:iCs/>
          <w:color w:val="272727"/>
          <w:sz w:val="21"/>
          <w:szCs w:val="21"/>
          <w:lang w:eastAsia="zh-CN"/>
        </w:rPr>
        <w:t xml:space="preserve"> </w:t>
      </w:r>
      <w:r w:rsidRPr="000828A8">
        <w:rPr>
          <w:rFonts w:asciiTheme="majorHAnsi" w:eastAsia="SimSun" w:hAnsiTheme="majorHAnsi" w:cstheme="majorHAnsi"/>
          <w:i/>
          <w:iCs/>
          <w:color w:val="272727"/>
          <w:sz w:val="21"/>
          <w:szCs w:val="21"/>
          <w:lang w:eastAsia="zh-CN"/>
        </w:rPr>
        <w:t xml:space="preserve">financial incentives / mechanisms Universities will remain largely unable to </w:t>
      </w:r>
      <w:r w:rsidR="00AA4525">
        <w:rPr>
          <w:rFonts w:asciiTheme="majorHAnsi" w:eastAsia="SimSun" w:hAnsiTheme="majorHAnsi" w:cstheme="majorHAnsi"/>
          <w:i/>
          <w:iCs/>
          <w:color w:val="272727"/>
          <w:sz w:val="21"/>
          <w:szCs w:val="21"/>
          <w:lang w:eastAsia="zh-CN"/>
        </w:rPr>
        <w:t>re</w:t>
      </w:r>
      <w:r w:rsidRPr="000828A8">
        <w:rPr>
          <w:rFonts w:asciiTheme="majorHAnsi" w:eastAsia="SimSun" w:hAnsiTheme="majorHAnsi" w:cstheme="majorHAnsi"/>
          <w:i/>
          <w:iCs/>
          <w:color w:val="272727"/>
          <w:sz w:val="21"/>
          <w:szCs w:val="21"/>
          <w:lang w:eastAsia="zh-CN"/>
        </w:rPr>
        <w:t xml:space="preserve">deploy existing, or secure new researchers to participate </w:t>
      </w:r>
      <w:r w:rsidR="0085069C">
        <w:rPr>
          <w:rFonts w:asciiTheme="majorHAnsi" w:eastAsia="SimSun" w:hAnsiTheme="majorHAnsi" w:cstheme="majorHAnsi"/>
          <w:i/>
          <w:iCs/>
          <w:color w:val="272727"/>
          <w:sz w:val="21"/>
          <w:szCs w:val="21"/>
          <w:lang w:eastAsia="zh-CN"/>
        </w:rPr>
        <w:t>effectively</w:t>
      </w:r>
      <w:r w:rsidRPr="000828A8">
        <w:rPr>
          <w:rFonts w:asciiTheme="majorHAnsi" w:eastAsia="SimSun" w:hAnsiTheme="majorHAnsi" w:cstheme="majorHAnsi"/>
          <w:i/>
          <w:iCs/>
          <w:color w:val="272727"/>
          <w:sz w:val="21"/>
          <w:szCs w:val="21"/>
          <w:lang w:eastAsia="zh-CN"/>
        </w:rPr>
        <w:t xml:space="preserve"> in mid- to long-ter</w:t>
      </w:r>
      <w:r w:rsidR="00AA4525">
        <w:rPr>
          <w:rFonts w:asciiTheme="majorHAnsi" w:eastAsia="SimSun" w:hAnsiTheme="majorHAnsi" w:cstheme="majorHAnsi"/>
          <w:i/>
          <w:iCs/>
          <w:color w:val="272727"/>
          <w:sz w:val="21"/>
          <w:szCs w:val="21"/>
          <w:lang w:eastAsia="zh-CN"/>
        </w:rPr>
        <w:t>m collaborations and consultancies</w:t>
      </w:r>
      <w:r w:rsidRPr="000828A8">
        <w:rPr>
          <w:rFonts w:asciiTheme="majorHAnsi" w:eastAsia="SimSun" w:hAnsiTheme="majorHAnsi" w:cstheme="majorHAnsi"/>
          <w:i/>
          <w:iCs/>
          <w:color w:val="272727"/>
          <w:sz w:val="21"/>
          <w:szCs w:val="21"/>
          <w:lang w:eastAsia="zh-CN"/>
        </w:rPr>
        <w:t xml:space="preserve"> with industry</w:t>
      </w:r>
      <w:r w:rsidR="00384054" w:rsidRPr="00384054">
        <w:rPr>
          <w:rFonts w:asciiTheme="majorHAnsi" w:eastAsia="SimSun" w:hAnsiTheme="majorHAnsi" w:cstheme="majorHAnsi"/>
          <w:color w:val="272727"/>
          <w:sz w:val="21"/>
          <w:szCs w:val="21"/>
          <w:lang w:eastAsia="zh-CN"/>
        </w:rPr>
        <w:t>.</w:t>
      </w:r>
    </w:p>
    <w:p w14:paraId="13A603DF" w14:textId="77777777" w:rsidR="00E95B7D" w:rsidRPr="00E95B7D" w:rsidRDefault="00E95B7D" w:rsidP="004814CF">
      <w:pPr>
        <w:pStyle w:val="Heading2"/>
        <w:rPr>
          <w:rFonts w:eastAsia="SimSun"/>
        </w:rPr>
      </w:pPr>
      <w:r w:rsidRPr="00E95B7D">
        <w:rPr>
          <w:rFonts w:eastAsia="SimSun"/>
        </w:rPr>
        <w:t>Synopsis:</w:t>
      </w:r>
    </w:p>
    <w:p w14:paraId="13A603E0" w14:textId="77777777" w:rsidR="00384054" w:rsidRPr="00384054" w:rsidRDefault="00384054" w:rsidP="00384054">
      <w:pPr>
        <w:autoSpaceDE w:val="0"/>
        <w:autoSpaceDN w:val="0"/>
        <w:adjustRightInd w:val="0"/>
        <w:ind w:right="205" w:firstLine="8"/>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The University of Tasmania would encourage the government to consider mechanisms which:</w:t>
      </w:r>
    </w:p>
    <w:p w14:paraId="13A603E2" w14:textId="77777777" w:rsidR="002F1808" w:rsidRPr="002F1808" w:rsidRDefault="002F1808" w:rsidP="00AA4525">
      <w:pPr>
        <w:numPr>
          <w:ilvl w:val="0"/>
          <w:numId w:val="24"/>
        </w:numPr>
        <w:autoSpaceDE w:val="0"/>
        <w:autoSpaceDN w:val="0"/>
        <w:adjustRightInd w:val="0"/>
        <w:ind w:right="205"/>
        <w:rPr>
          <w:rFonts w:asciiTheme="majorHAnsi" w:eastAsia="SimSun" w:hAnsiTheme="majorHAnsi" w:cstheme="majorHAnsi"/>
          <w:color w:val="272727"/>
          <w:sz w:val="21"/>
          <w:szCs w:val="21"/>
          <w:lang w:eastAsia="zh-CN"/>
        </w:rPr>
      </w:pPr>
      <w:r w:rsidRPr="002F1808">
        <w:rPr>
          <w:rFonts w:asciiTheme="majorHAnsi" w:eastAsia="SimSun" w:hAnsiTheme="majorHAnsi" w:cstheme="majorHAnsi"/>
          <w:color w:val="272727"/>
          <w:sz w:val="21"/>
          <w:szCs w:val="21"/>
          <w:lang w:eastAsia="zh-CN"/>
        </w:rPr>
        <w:t>P</w:t>
      </w:r>
      <w:r w:rsidR="00AA4525">
        <w:rPr>
          <w:rFonts w:asciiTheme="majorHAnsi" w:eastAsia="SimSun" w:hAnsiTheme="majorHAnsi" w:cstheme="majorHAnsi"/>
          <w:color w:val="272727"/>
          <w:sz w:val="21"/>
          <w:szCs w:val="21"/>
          <w:lang w:eastAsia="zh-CN"/>
        </w:rPr>
        <w:t>rovide industry</w:t>
      </w:r>
      <w:r w:rsidR="00384054" w:rsidRPr="002F1808">
        <w:rPr>
          <w:rFonts w:asciiTheme="majorHAnsi" w:eastAsia="SimSun" w:hAnsiTheme="majorHAnsi" w:cstheme="majorHAnsi"/>
          <w:color w:val="272727"/>
          <w:sz w:val="21"/>
          <w:szCs w:val="21"/>
          <w:lang w:eastAsia="zh-CN"/>
        </w:rPr>
        <w:t xml:space="preserve"> with a </w:t>
      </w:r>
      <w:r w:rsidR="00384054" w:rsidRPr="000126F8">
        <w:rPr>
          <w:rFonts w:asciiTheme="majorHAnsi" w:eastAsia="SimSun" w:hAnsiTheme="majorHAnsi" w:cstheme="majorHAnsi"/>
          <w:b/>
          <w:bCs/>
          <w:color w:val="365F91"/>
          <w:sz w:val="21"/>
          <w:szCs w:val="21"/>
          <w:lang w:eastAsia="zh-CN"/>
        </w:rPr>
        <w:t>platform</w:t>
      </w:r>
      <w:r w:rsidR="00384054" w:rsidRPr="002F1808">
        <w:rPr>
          <w:rFonts w:asciiTheme="majorHAnsi" w:eastAsia="SimSun" w:hAnsiTheme="majorHAnsi" w:cstheme="majorHAnsi"/>
          <w:color w:val="272727"/>
          <w:sz w:val="21"/>
          <w:szCs w:val="21"/>
          <w:lang w:eastAsia="zh-CN"/>
        </w:rPr>
        <w:t xml:space="preserve"> (and incentives) </w:t>
      </w:r>
      <w:r w:rsidR="00384054" w:rsidRPr="000126F8">
        <w:rPr>
          <w:rFonts w:asciiTheme="majorHAnsi" w:eastAsia="SimSun" w:hAnsiTheme="majorHAnsi" w:cstheme="majorHAnsi"/>
          <w:b/>
          <w:bCs/>
          <w:color w:val="365F91"/>
          <w:sz w:val="21"/>
          <w:szCs w:val="21"/>
          <w:lang w:eastAsia="zh-CN"/>
        </w:rPr>
        <w:t>to identify R&amp;D challenges</w:t>
      </w:r>
      <w:r w:rsidR="00384054" w:rsidRPr="002F1808">
        <w:rPr>
          <w:rFonts w:asciiTheme="majorHAnsi" w:eastAsia="SimSun" w:hAnsiTheme="majorHAnsi" w:cstheme="majorHAnsi"/>
          <w:color w:val="0070C0"/>
          <w:sz w:val="21"/>
          <w:szCs w:val="21"/>
          <w:lang w:eastAsia="zh-CN"/>
        </w:rPr>
        <w:t xml:space="preserve"> </w:t>
      </w:r>
      <w:r w:rsidRPr="002F1808">
        <w:rPr>
          <w:rFonts w:asciiTheme="majorHAnsi" w:eastAsia="SimSun" w:hAnsiTheme="majorHAnsi" w:cstheme="majorHAnsi"/>
          <w:color w:val="272727"/>
          <w:sz w:val="21"/>
          <w:szCs w:val="21"/>
          <w:lang w:eastAsia="zh-CN"/>
        </w:rPr>
        <w:t xml:space="preserve">and </w:t>
      </w:r>
      <w:r w:rsidR="00AA4525">
        <w:rPr>
          <w:rFonts w:asciiTheme="majorHAnsi" w:eastAsia="SimSun" w:hAnsiTheme="majorHAnsi" w:cstheme="majorHAnsi"/>
          <w:color w:val="272727"/>
          <w:sz w:val="21"/>
          <w:szCs w:val="21"/>
          <w:lang w:eastAsia="zh-CN"/>
        </w:rPr>
        <w:t xml:space="preserve">the ability </w:t>
      </w:r>
      <w:r w:rsidRPr="000126F8">
        <w:rPr>
          <w:rFonts w:asciiTheme="majorHAnsi" w:eastAsia="SimSun" w:hAnsiTheme="majorHAnsi" w:cstheme="majorHAnsi"/>
          <w:b/>
          <w:bCs/>
          <w:color w:val="365F91"/>
          <w:sz w:val="21"/>
          <w:szCs w:val="21"/>
          <w:lang w:eastAsia="zh-CN"/>
        </w:rPr>
        <w:t>match</w:t>
      </w:r>
      <w:r w:rsidRPr="002F1808">
        <w:rPr>
          <w:rFonts w:asciiTheme="majorHAnsi" w:eastAsia="SimSun" w:hAnsiTheme="majorHAnsi" w:cstheme="majorHAnsi"/>
          <w:color w:val="0070C0"/>
          <w:sz w:val="21"/>
          <w:szCs w:val="21"/>
          <w:lang w:eastAsia="zh-CN"/>
        </w:rPr>
        <w:t xml:space="preserve"> </w:t>
      </w:r>
      <w:r w:rsidR="00AA4525">
        <w:rPr>
          <w:rFonts w:asciiTheme="majorHAnsi" w:eastAsia="SimSun" w:hAnsiTheme="majorHAnsi" w:cstheme="majorHAnsi"/>
          <w:color w:val="272727"/>
          <w:sz w:val="21"/>
          <w:szCs w:val="21"/>
          <w:lang w:eastAsia="zh-CN"/>
        </w:rPr>
        <w:t xml:space="preserve">those </w:t>
      </w:r>
      <w:r w:rsidRPr="002F1808">
        <w:rPr>
          <w:rFonts w:asciiTheme="majorHAnsi" w:eastAsia="SimSun" w:hAnsiTheme="majorHAnsi" w:cstheme="majorHAnsi"/>
          <w:color w:val="272727"/>
          <w:sz w:val="21"/>
          <w:szCs w:val="21"/>
          <w:lang w:eastAsia="zh-CN"/>
        </w:rPr>
        <w:t>with</w:t>
      </w:r>
      <w:r w:rsidRPr="002F1808">
        <w:rPr>
          <w:rFonts w:asciiTheme="majorHAnsi" w:eastAsia="SimSun" w:hAnsiTheme="majorHAnsi" w:cstheme="majorHAnsi"/>
          <w:color w:val="0070C0"/>
          <w:sz w:val="21"/>
          <w:szCs w:val="21"/>
          <w:lang w:eastAsia="zh-CN"/>
        </w:rPr>
        <w:t xml:space="preserve"> </w:t>
      </w:r>
      <w:r w:rsidRPr="000126F8">
        <w:rPr>
          <w:rFonts w:asciiTheme="majorHAnsi" w:eastAsia="SimSun" w:hAnsiTheme="majorHAnsi" w:cstheme="majorHAnsi"/>
          <w:b/>
          <w:bCs/>
          <w:color w:val="365F91"/>
          <w:sz w:val="21"/>
          <w:szCs w:val="21"/>
          <w:lang w:eastAsia="zh-CN"/>
        </w:rPr>
        <w:t>University capabilities</w:t>
      </w:r>
      <w:r w:rsidR="00AA4525">
        <w:rPr>
          <w:rStyle w:val="FootnoteReference"/>
          <w:rFonts w:asciiTheme="majorHAnsi" w:eastAsia="SimSun" w:hAnsiTheme="majorHAnsi" w:cstheme="majorHAnsi"/>
          <w:b/>
          <w:bCs/>
          <w:color w:val="0070C0"/>
          <w:sz w:val="21"/>
          <w:szCs w:val="21"/>
          <w:lang w:eastAsia="zh-CN"/>
        </w:rPr>
        <w:footnoteReference w:id="3"/>
      </w:r>
      <w:r w:rsidRPr="002F1808">
        <w:rPr>
          <w:rFonts w:asciiTheme="majorHAnsi" w:eastAsia="SimSun" w:hAnsiTheme="majorHAnsi" w:cstheme="majorHAnsi"/>
          <w:color w:val="0070C0"/>
          <w:sz w:val="21"/>
          <w:szCs w:val="21"/>
          <w:lang w:eastAsia="zh-CN"/>
        </w:rPr>
        <w:t xml:space="preserve">. </w:t>
      </w:r>
    </w:p>
    <w:p w14:paraId="13A603E3" w14:textId="77777777" w:rsidR="00384054" w:rsidRPr="002F1808" w:rsidRDefault="002F1808" w:rsidP="002F1808">
      <w:pPr>
        <w:numPr>
          <w:ilvl w:val="0"/>
          <w:numId w:val="24"/>
        </w:numPr>
        <w:autoSpaceDE w:val="0"/>
        <w:autoSpaceDN w:val="0"/>
        <w:adjustRightInd w:val="0"/>
        <w:ind w:right="205"/>
        <w:rPr>
          <w:rFonts w:asciiTheme="majorHAnsi" w:eastAsia="SimSun" w:hAnsiTheme="majorHAnsi" w:cstheme="majorHAnsi"/>
          <w:color w:val="272727"/>
          <w:sz w:val="21"/>
          <w:szCs w:val="21"/>
          <w:lang w:eastAsia="zh-CN"/>
        </w:rPr>
      </w:pPr>
      <w:r w:rsidRPr="002F1808">
        <w:rPr>
          <w:rFonts w:asciiTheme="majorHAnsi" w:eastAsia="SimSun" w:hAnsiTheme="majorHAnsi" w:cstheme="majorHAnsi"/>
          <w:color w:val="272727"/>
          <w:sz w:val="21"/>
          <w:szCs w:val="21"/>
          <w:lang w:eastAsia="zh-CN"/>
        </w:rPr>
        <w:t>Universities</w:t>
      </w:r>
      <w:r w:rsidR="00384054" w:rsidRPr="002F1808">
        <w:rPr>
          <w:rFonts w:asciiTheme="majorHAnsi" w:eastAsia="SimSun" w:hAnsiTheme="majorHAnsi" w:cstheme="majorHAnsi"/>
          <w:color w:val="272727"/>
          <w:sz w:val="21"/>
          <w:szCs w:val="21"/>
          <w:lang w:eastAsia="zh-CN"/>
        </w:rPr>
        <w:t xml:space="preserve"> are financially supported to</w:t>
      </w:r>
      <w:r w:rsidR="00384054" w:rsidRPr="002F1808">
        <w:rPr>
          <w:rFonts w:asciiTheme="majorHAnsi" w:eastAsia="SimSun" w:hAnsiTheme="majorHAnsi" w:cstheme="majorHAnsi"/>
          <w:b/>
          <w:bCs/>
          <w:color w:val="272727"/>
          <w:sz w:val="21"/>
          <w:szCs w:val="21"/>
          <w:lang w:eastAsia="zh-CN"/>
        </w:rPr>
        <w:t xml:space="preserve"> </w:t>
      </w:r>
      <w:r w:rsidR="00384054" w:rsidRPr="000126F8">
        <w:rPr>
          <w:rFonts w:asciiTheme="majorHAnsi" w:eastAsia="SimSun" w:hAnsiTheme="majorHAnsi" w:cstheme="majorHAnsi"/>
          <w:b/>
          <w:bCs/>
          <w:color w:val="365F91"/>
          <w:sz w:val="21"/>
          <w:szCs w:val="21"/>
          <w:lang w:eastAsia="zh-CN"/>
        </w:rPr>
        <w:t>offset the normally substantial costs associated with redirecting traditional academic efforts</w:t>
      </w:r>
      <w:r w:rsidR="00384054" w:rsidRPr="002F1808">
        <w:rPr>
          <w:rFonts w:asciiTheme="majorHAnsi" w:eastAsia="SimSun" w:hAnsiTheme="majorHAnsi" w:cstheme="majorHAnsi"/>
          <w:color w:val="272727"/>
          <w:sz w:val="21"/>
          <w:szCs w:val="21"/>
          <w:lang w:eastAsia="zh-CN"/>
        </w:rPr>
        <w:t xml:space="preserve"> towards these industrial projects. </w:t>
      </w:r>
    </w:p>
    <w:p w14:paraId="13A603E5" w14:textId="77777777" w:rsidR="00E95B7D" w:rsidRPr="00E95B7D" w:rsidRDefault="00E95B7D" w:rsidP="004814CF">
      <w:pPr>
        <w:pStyle w:val="Heading3"/>
        <w:rPr>
          <w:rFonts w:eastAsia="SimSun"/>
        </w:rPr>
      </w:pPr>
      <w:r w:rsidRPr="00E95B7D">
        <w:rPr>
          <w:rFonts w:eastAsia="SimSun"/>
        </w:rPr>
        <w:t>Discussion</w:t>
      </w:r>
    </w:p>
    <w:p w14:paraId="13A603E6" w14:textId="77777777" w:rsidR="00384054" w:rsidRPr="00384054" w:rsidRDefault="002F1808" w:rsidP="00693E9E">
      <w:pPr>
        <w:autoSpaceDE w:val="0"/>
        <w:autoSpaceDN w:val="0"/>
        <w:adjustRightInd w:val="0"/>
        <w:ind w:right="205" w:firstLine="8"/>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 xml:space="preserve">Currently Australian universities (by and large) do not have the staff </w:t>
      </w:r>
      <w:r w:rsidR="00FA7965">
        <w:rPr>
          <w:rFonts w:asciiTheme="majorHAnsi" w:eastAsia="SimSun" w:hAnsiTheme="majorHAnsi" w:cstheme="majorHAnsi"/>
          <w:color w:val="272727"/>
          <w:sz w:val="21"/>
          <w:szCs w:val="21"/>
          <w:lang w:eastAsia="zh-CN"/>
        </w:rPr>
        <w:t>to resource</w:t>
      </w:r>
      <w:r>
        <w:rPr>
          <w:rFonts w:asciiTheme="majorHAnsi" w:eastAsia="SimSun" w:hAnsiTheme="majorHAnsi" w:cstheme="majorHAnsi"/>
          <w:color w:val="272727"/>
          <w:sz w:val="21"/>
          <w:szCs w:val="21"/>
          <w:lang w:eastAsia="zh-CN"/>
        </w:rPr>
        <w:t xml:space="preserve"> mid- to long</w:t>
      </w:r>
      <w:r w:rsidR="00A60A30">
        <w:rPr>
          <w:rFonts w:asciiTheme="majorHAnsi" w:eastAsia="SimSun" w:hAnsiTheme="majorHAnsi" w:cstheme="majorHAnsi"/>
          <w:color w:val="272727"/>
          <w:sz w:val="21"/>
          <w:szCs w:val="21"/>
          <w:lang w:eastAsia="zh-CN"/>
        </w:rPr>
        <w:t>-</w:t>
      </w:r>
      <w:r>
        <w:rPr>
          <w:rFonts w:asciiTheme="majorHAnsi" w:eastAsia="SimSun" w:hAnsiTheme="majorHAnsi" w:cstheme="majorHAnsi"/>
          <w:color w:val="272727"/>
          <w:sz w:val="21"/>
          <w:szCs w:val="21"/>
          <w:lang w:eastAsia="zh-CN"/>
        </w:rPr>
        <w:t>term industry collaboration. Financial arrangements that incentivi</w:t>
      </w:r>
      <w:r w:rsidR="00693E9E">
        <w:rPr>
          <w:rFonts w:asciiTheme="majorHAnsi" w:eastAsia="SimSun" w:hAnsiTheme="majorHAnsi" w:cstheme="majorHAnsi"/>
          <w:color w:val="272727"/>
          <w:sz w:val="21"/>
          <w:szCs w:val="21"/>
          <w:lang w:eastAsia="zh-CN"/>
        </w:rPr>
        <w:t>s</w:t>
      </w:r>
      <w:r>
        <w:rPr>
          <w:rFonts w:asciiTheme="majorHAnsi" w:eastAsia="SimSun" w:hAnsiTheme="majorHAnsi" w:cstheme="majorHAnsi"/>
          <w:color w:val="272727"/>
          <w:sz w:val="21"/>
          <w:szCs w:val="21"/>
          <w:lang w:eastAsia="zh-CN"/>
        </w:rPr>
        <w:t xml:space="preserve">e </w:t>
      </w:r>
      <w:r w:rsidR="00384054" w:rsidRPr="00384054">
        <w:rPr>
          <w:rFonts w:asciiTheme="majorHAnsi" w:eastAsia="SimSun" w:hAnsiTheme="majorHAnsi" w:cstheme="majorHAnsi"/>
          <w:color w:val="272727"/>
          <w:sz w:val="21"/>
          <w:szCs w:val="21"/>
          <w:lang w:eastAsia="zh-CN"/>
        </w:rPr>
        <w:t xml:space="preserve">universities to either hire industry dedicated academics </w:t>
      </w:r>
      <w:r>
        <w:rPr>
          <w:rFonts w:asciiTheme="majorHAnsi" w:eastAsia="SimSun" w:hAnsiTheme="majorHAnsi" w:cstheme="majorHAnsi"/>
          <w:color w:val="272727"/>
          <w:sz w:val="21"/>
          <w:szCs w:val="21"/>
          <w:lang w:eastAsia="zh-CN"/>
        </w:rPr>
        <w:t>(</w:t>
      </w:r>
      <w:r w:rsidR="00384054" w:rsidRPr="00384054">
        <w:rPr>
          <w:rFonts w:asciiTheme="majorHAnsi" w:eastAsia="SimSun" w:hAnsiTheme="majorHAnsi" w:cstheme="majorHAnsi"/>
          <w:color w:val="272727"/>
          <w:sz w:val="21"/>
          <w:szCs w:val="21"/>
          <w:lang w:eastAsia="zh-CN"/>
        </w:rPr>
        <w:t>or to backfill academic positions</w:t>
      </w:r>
      <w:r>
        <w:rPr>
          <w:rFonts w:asciiTheme="majorHAnsi" w:eastAsia="SimSun" w:hAnsiTheme="majorHAnsi" w:cstheme="majorHAnsi"/>
          <w:color w:val="272727"/>
          <w:sz w:val="21"/>
          <w:szCs w:val="21"/>
          <w:lang w:eastAsia="zh-CN"/>
        </w:rPr>
        <w:t>)</w:t>
      </w:r>
      <w:r w:rsidR="00384054" w:rsidRPr="00384054">
        <w:rPr>
          <w:rFonts w:asciiTheme="majorHAnsi" w:eastAsia="SimSun" w:hAnsiTheme="majorHAnsi" w:cstheme="majorHAnsi"/>
          <w:color w:val="272727"/>
          <w:sz w:val="21"/>
          <w:szCs w:val="21"/>
          <w:lang w:eastAsia="zh-CN"/>
        </w:rPr>
        <w:t xml:space="preserve"> </w:t>
      </w:r>
      <w:r>
        <w:rPr>
          <w:rFonts w:asciiTheme="majorHAnsi" w:eastAsia="SimSun" w:hAnsiTheme="majorHAnsi" w:cstheme="majorHAnsi"/>
          <w:color w:val="272727"/>
          <w:sz w:val="21"/>
          <w:szCs w:val="21"/>
          <w:lang w:eastAsia="zh-CN"/>
        </w:rPr>
        <w:t xml:space="preserve">to </w:t>
      </w:r>
      <w:r w:rsidRPr="000126F8">
        <w:rPr>
          <w:rFonts w:asciiTheme="majorHAnsi" w:eastAsia="SimSun" w:hAnsiTheme="majorHAnsi" w:cstheme="majorHAnsi"/>
          <w:b/>
          <w:bCs/>
          <w:color w:val="365F91"/>
          <w:sz w:val="21"/>
          <w:szCs w:val="21"/>
          <w:lang w:eastAsia="zh-CN"/>
        </w:rPr>
        <w:t xml:space="preserve">avoid </w:t>
      </w:r>
      <w:r w:rsidR="00384054" w:rsidRPr="000126F8">
        <w:rPr>
          <w:rFonts w:asciiTheme="majorHAnsi" w:eastAsia="SimSun" w:hAnsiTheme="majorHAnsi" w:cstheme="majorHAnsi"/>
          <w:b/>
          <w:bCs/>
          <w:color w:val="365F91"/>
          <w:sz w:val="21"/>
          <w:szCs w:val="21"/>
          <w:lang w:eastAsia="zh-CN"/>
        </w:rPr>
        <w:t>compromising the University’s obligations to teaching and research</w:t>
      </w:r>
      <w:r w:rsidRPr="000126F8">
        <w:rPr>
          <w:rFonts w:asciiTheme="majorHAnsi" w:eastAsia="SimSun" w:hAnsiTheme="majorHAnsi" w:cstheme="majorHAnsi"/>
          <w:b/>
          <w:bCs/>
          <w:color w:val="365F91"/>
          <w:sz w:val="21"/>
          <w:szCs w:val="21"/>
          <w:lang w:eastAsia="zh-CN"/>
        </w:rPr>
        <w:t xml:space="preserve"> is critical</w:t>
      </w:r>
      <w:r w:rsidR="00384054" w:rsidRPr="00384054">
        <w:rPr>
          <w:rFonts w:asciiTheme="majorHAnsi" w:eastAsia="SimSun" w:hAnsiTheme="majorHAnsi" w:cstheme="majorHAnsi"/>
          <w:color w:val="272727"/>
          <w:sz w:val="21"/>
          <w:szCs w:val="21"/>
          <w:lang w:eastAsia="zh-CN"/>
        </w:rPr>
        <w:t xml:space="preserve">. This </w:t>
      </w:r>
      <w:r>
        <w:rPr>
          <w:rFonts w:asciiTheme="majorHAnsi" w:eastAsia="SimSun" w:hAnsiTheme="majorHAnsi" w:cstheme="majorHAnsi"/>
          <w:color w:val="272727"/>
          <w:sz w:val="21"/>
          <w:szCs w:val="21"/>
          <w:lang w:eastAsia="zh-CN"/>
        </w:rPr>
        <w:t>flexibility is common-</w:t>
      </w:r>
      <w:r w:rsidR="00384054" w:rsidRPr="00384054">
        <w:rPr>
          <w:rFonts w:asciiTheme="majorHAnsi" w:eastAsia="SimSun" w:hAnsiTheme="majorHAnsi" w:cstheme="majorHAnsi"/>
          <w:color w:val="272727"/>
          <w:sz w:val="21"/>
          <w:szCs w:val="21"/>
          <w:lang w:eastAsia="zh-CN"/>
        </w:rPr>
        <w:t>place in many American universities</w:t>
      </w:r>
      <w:r w:rsidR="000828A8">
        <w:rPr>
          <w:rFonts w:asciiTheme="majorHAnsi" w:eastAsia="SimSun" w:hAnsiTheme="majorHAnsi" w:cstheme="majorHAnsi"/>
          <w:color w:val="272727"/>
          <w:sz w:val="21"/>
          <w:szCs w:val="21"/>
          <w:lang w:eastAsia="zh-CN"/>
        </w:rPr>
        <w:t>, which use this as a mechanism</w:t>
      </w:r>
      <w:r w:rsidR="00384054" w:rsidRPr="00384054">
        <w:rPr>
          <w:rFonts w:asciiTheme="majorHAnsi" w:eastAsia="SimSun" w:hAnsiTheme="majorHAnsi" w:cstheme="majorHAnsi"/>
          <w:color w:val="272727"/>
          <w:sz w:val="21"/>
          <w:szCs w:val="21"/>
          <w:lang w:eastAsia="zh-CN"/>
        </w:rPr>
        <w:t xml:space="preserve"> to </w:t>
      </w:r>
      <w:r w:rsidR="000828A8">
        <w:rPr>
          <w:rFonts w:asciiTheme="majorHAnsi" w:eastAsia="SimSun" w:hAnsiTheme="majorHAnsi" w:cstheme="majorHAnsi"/>
          <w:i/>
          <w:iCs/>
          <w:color w:val="272727"/>
          <w:sz w:val="21"/>
          <w:szCs w:val="21"/>
          <w:lang w:eastAsia="zh-CN"/>
        </w:rPr>
        <w:t>build</w:t>
      </w:r>
      <w:r w:rsidR="00384054" w:rsidRPr="00384054">
        <w:rPr>
          <w:rFonts w:asciiTheme="majorHAnsi" w:eastAsia="SimSun" w:hAnsiTheme="majorHAnsi" w:cstheme="majorHAnsi"/>
          <w:i/>
          <w:iCs/>
          <w:color w:val="272727"/>
          <w:sz w:val="21"/>
          <w:szCs w:val="21"/>
          <w:lang w:eastAsia="zh-CN"/>
        </w:rPr>
        <w:t xml:space="preserve"> a pipeline of industry related collaborations</w:t>
      </w:r>
      <w:r w:rsidR="000828A8">
        <w:rPr>
          <w:rFonts w:asciiTheme="majorHAnsi" w:eastAsia="SimSun" w:hAnsiTheme="majorHAnsi" w:cstheme="majorHAnsi"/>
          <w:color w:val="272727"/>
          <w:sz w:val="21"/>
          <w:szCs w:val="21"/>
          <w:lang w:eastAsia="zh-CN"/>
        </w:rPr>
        <w:t>.</w:t>
      </w:r>
    </w:p>
    <w:p w14:paraId="13A603E8" w14:textId="5A333083" w:rsidR="00384054" w:rsidRPr="004814CF" w:rsidRDefault="00384054" w:rsidP="004814CF">
      <w:pPr>
        <w:autoSpaceDE w:val="0"/>
        <w:autoSpaceDN w:val="0"/>
        <w:adjustRightInd w:val="0"/>
        <w:ind w:right="204" w:firstLine="6"/>
        <w:rPr>
          <w:rFonts w:asciiTheme="majorHAnsi" w:eastAsia="SimSun" w:hAnsiTheme="majorHAnsi" w:cstheme="majorHAnsi"/>
          <w:i/>
          <w:iCs/>
          <w:color w:val="272727"/>
          <w:sz w:val="21"/>
          <w:szCs w:val="21"/>
          <w:lang w:eastAsia="zh-CN"/>
        </w:rPr>
      </w:pPr>
      <w:r w:rsidRPr="00384054">
        <w:rPr>
          <w:rFonts w:asciiTheme="majorHAnsi" w:eastAsia="SimSun" w:hAnsiTheme="majorHAnsi" w:cstheme="majorHAnsi"/>
          <w:color w:val="272727"/>
          <w:sz w:val="21"/>
          <w:szCs w:val="21"/>
          <w:lang w:eastAsia="zh-CN"/>
        </w:rPr>
        <w:t xml:space="preserve">The government might consider programs such as the US National Science Foundation’s, </w:t>
      </w:r>
      <w:r w:rsidRPr="00384054">
        <w:rPr>
          <w:rFonts w:asciiTheme="majorHAnsi" w:eastAsia="SimSun" w:hAnsiTheme="majorHAnsi" w:cstheme="majorHAnsi"/>
          <w:i/>
          <w:iCs/>
          <w:color w:val="272727"/>
          <w:sz w:val="21"/>
          <w:szCs w:val="21"/>
          <w:lang w:eastAsia="zh-CN"/>
        </w:rPr>
        <w:t>Grant</w:t>
      </w:r>
      <w:r w:rsidR="004814CF">
        <w:rPr>
          <w:rFonts w:asciiTheme="majorHAnsi" w:eastAsia="SimSun" w:hAnsiTheme="majorHAnsi" w:cstheme="majorHAnsi"/>
          <w:i/>
          <w:iCs/>
          <w:color w:val="272727"/>
          <w:sz w:val="21"/>
          <w:szCs w:val="21"/>
          <w:lang w:eastAsia="zh-CN"/>
        </w:rPr>
        <w:t xml:space="preserve"> </w:t>
      </w:r>
      <w:r w:rsidRPr="00384054">
        <w:rPr>
          <w:rFonts w:asciiTheme="majorHAnsi" w:eastAsia="SimSun" w:hAnsiTheme="majorHAnsi" w:cstheme="majorHAnsi"/>
          <w:i/>
          <w:iCs/>
          <w:color w:val="272727"/>
          <w:sz w:val="21"/>
          <w:szCs w:val="21"/>
          <w:lang w:eastAsia="zh-CN"/>
        </w:rPr>
        <w:t>Opportunities for Academic Liaison with Industry</w:t>
      </w:r>
      <w:r w:rsidRPr="00384054">
        <w:rPr>
          <w:rFonts w:asciiTheme="majorHAnsi" w:eastAsia="SimSun" w:hAnsiTheme="majorHAnsi" w:cstheme="majorHAnsi"/>
          <w:color w:val="272727"/>
          <w:sz w:val="21"/>
          <w:szCs w:val="21"/>
          <w:lang w:eastAsia="zh-CN"/>
        </w:rPr>
        <w:t xml:space="preserve"> (GOALI) program</w:t>
      </w:r>
      <w:r w:rsidRPr="00384054">
        <w:rPr>
          <w:rFonts w:asciiTheme="majorHAnsi" w:eastAsia="SimSun" w:hAnsiTheme="majorHAnsi" w:cstheme="majorHAnsi"/>
          <w:color w:val="000000"/>
          <w:sz w:val="24"/>
          <w:vertAlign w:val="superscript"/>
          <w:lang w:eastAsia="zh-CN"/>
        </w:rPr>
        <w:footnoteReference w:id="4"/>
      </w:r>
      <w:r w:rsidRPr="00384054">
        <w:rPr>
          <w:rFonts w:asciiTheme="majorHAnsi" w:eastAsia="SimSun" w:hAnsiTheme="majorHAnsi" w:cstheme="majorHAnsi"/>
          <w:color w:val="272727"/>
          <w:sz w:val="21"/>
          <w:szCs w:val="21"/>
          <w:lang w:eastAsia="zh-CN"/>
        </w:rPr>
        <w:t xml:space="preserve">. The GOALI program supports </w:t>
      </w:r>
      <w:r w:rsidR="00D36234">
        <w:rPr>
          <w:rFonts w:asciiTheme="majorHAnsi" w:eastAsia="SimSun" w:hAnsiTheme="majorHAnsi" w:cstheme="majorHAnsi"/>
          <w:color w:val="272727"/>
          <w:sz w:val="21"/>
          <w:szCs w:val="21"/>
          <w:lang w:eastAsia="zh-CN"/>
        </w:rPr>
        <w:t>f</w:t>
      </w:r>
      <w:r w:rsidRPr="00384054">
        <w:rPr>
          <w:rFonts w:asciiTheme="majorHAnsi" w:eastAsia="SimSun" w:hAnsiTheme="majorHAnsi" w:cstheme="majorHAnsi"/>
          <w:color w:val="272727"/>
          <w:sz w:val="21"/>
          <w:szCs w:val="21"/>
          <w:lang w:eastAsia="zh-CN"/>
        </w:rPr>
        <w:t>aculty, postdoctoral fellows, and students to conduct research and gain experience in an industrial setting and conversely industrial scientists and engineers to bring industry's perspective and integrative skills to academe.</w:t>
      </w:r>
    </w:p>
    <w:p w14:paraId="13A603EA" w14:textId="32AB46AB" w:rsidR="00384054" w:rsidRPr="00384054" w:rsidRDefault="00AF360B" w:rsidP="004814CF">
      <w:pPr>
        <w:pStyle w:val="Heading1"/>
      </w:pPr>
      <w:bookmarkStart w:id="5" w:name="_Toc404874475"/>
      <w:r>
        <w:lastRenderedPageBreak/>
        <w:t>Response</w:t>
      </w:r>
      <w:r w:rsidR="00384054" w:rsidRPr="000828A8">
        <w:t xml:space="preserve"> 4</w:t>
      </w:r>
      <w:r w:rsidR="00C661E1">
        <w:t>: Facilitating Entrepreneur</w:t>
      </w:r>
      <w:r w:rsidR="006602FB">
        <w:t>ial Programs</w:t>
      </w:r>
      <w:bookmarkEnd w:id="5"/>
    </w:p>
    <w:p w14:paraId="13A603EB" w14:textId="77777777" w:rsidR="00384054" w:rsidRPr="000828A8" w:rsidRDefault="00AF360B" w:rsidP="00D36234">
      <w:pPr>
        <w:autoSpaceDE w:val="0"/>
        <w:autoSpaceDN w:val="0"/>
        <w:adjustRightInd w:val="0"/>
        <w:ind w:right="205" w:firstLine="8"/>
        <w:rPr>
          <w:rFonts w:asciiTheme="majorHAnsi" w:eastAsia="SimSun" w:hAnsiTheme="majorHAnsi" w:cstheme="majorHAnsi"/>
          <w:i/>
          <w:iCs/>
          <w:color w:val="272727"/>
          <w:sz w:val="21"/>
          <w:szCs w:val="21"/>
          <w:lang w:eastAsia="zh-CN"/>
        </w:rPr>
      </w:pPr>
      <w:r w:rsidRPr="00AF360B">
        <w:rPr>
          <w:rFonts w:asciiTheme="majorHAnsi" w:eastAsia="SimSun" w:hAnsiTheme="majorHAnsi" w:cstheme="majorHAnsi"/>
          <w:i/>
          <w:iCs/>
          <w:color w:val="272727"/>
          <w:sz w:val="21"/>
          <w:szCs w:val="21"/>
          <w:lang w:eastAsia="zh-CN"/>
        </w:rPr>
        <w:t xml:space="preserve">There would be </w:t>
      </w:r>
      <w:r w:rsidR="00D36234">
        <w:rPr>
          <w:rFonts w:asciiTheme="majorHAnsi" w:eastAsia="SimSun" w:hAnsiTheme="majorHAnsi" w:cstheme="majorHAnsi"/>
          <w:i/>
          <w:iCs/>
          <w:color w:val="272727"/>
          <w:sz w:val="21"/>
          <w:szCs w:val="21"/>
          <w:lang w:eastAsia="zh-CN"/>
        </w:rPr>
        <w:t xml:space="preserve">a </w:t>
      </w:r>
      <w:r w:rsidRPr="00AF360B">
        <w:rPr>
          <w:rFonts w:asciiTheme="majorHAnsi" w:eastAsia="SimSun" w:hAnsiTheme="majorHAnsi" w:cstheme="majorHAnsi"/>
          <w:i/>
          <w:iCs/>
          <w:color w:val="272727"/>
          <w:sz w:val="21"/>
          <w:szCs w:val="21"/>
          <w:lang w:eastAsia="zh-CN"/>
        </w:rPr>
        <w:t>marked increase in the number of Universities willing to administer entrepreneurial programs if the government provided access to resources to either</w:t>
      </w:r>
      <w:r w:rsidR="009D6A9F">
        <w:rPr>
          <w:rFonts w:asciiTheme="majorHAnsi" w:eastAsia="SimSun" w:hAnsiTheme="majorHAnsi" w:cstheme="majorHAnsi"/>
          <w:i/>
          <w:iCs/>
          <w:color w:val="272727"/>
          <w:sz w:val="21"/>
          <w:szCs w:val="21"/>
          <w:lang w:eastAsia="zh-CN"/>
        </w:rPr>
        <w:t>;</w:t>
      </w:r>
      <w:r w:rsidRPr="00AF360B">
        <w:rPr>
          <w:rFonts w:asciiTheme="majorHAnsi" w:eastAsia="SimSun" w:hAnsiTheme="majorHAnsi" w:cstheme="majorHAnsi"/>
          <w:i/>
          <w:iCs/>
          <w:color w:val="272727"/>
          <w:sz w:val="21"/>
          <w:szCs w:val="21"/>
          <w:lang w:eastAsia="zh-CN"/>
        </w:rPr>
        <w:t xml:space="preserve"> </w:t>
      </w:r>
      <w:r w:rsidR="000828A8" w:rsidRPr="000828A8">
        <w:rPr>
          <w:rFonts w:asciiTheme="majorHAnsi" w:eastAsia="SimSun" w:hAnsiTheme="majorHAnsi" w:cstheme="majorHAnsi"/>
          <w:i/>
          <w:iCs/>
          <w:color w:val="272727"/>
          <w:sz w:val="21"/>
          <w:szCs w:val="21"/>
          <w:lang w:eastAsia="zh-CN"/>
        </w:rPr>
        <w:t>(</w:t>
      </w:r>
      <w:proofErr w:type="spellStart"/>
      <w:r w:rsidR="000828A8" w:rsidRPr="000828A8">
        <w:rPr>
          <w:rFonts w:asciiTheme="majorHAnsi" w:eastAsia="SimSun" w:hAnsiTheme="majorHAnsi" w:cstheme="majorHAnsi"/>
          <w:i/>
          <w:iCs/>
          <w:color w:val="272727"/>
          <w:sz w:val="21"/>
          <w:szCs w:val="21"/>
          <w:lang w:eastAsia="zh-CN"/>
        </w:rPr>
        <w:t>i</w:t>
      </w:r>
      <w:proofErr w:type="spellEnd"/>
      <w:r w:rsidR="000828A8" w:rsidRPr="000828A8">
        <w:rPr>
          <w:rFonts w:asciiTheme="majorHAnsi" w:eastAsia="SimSun" w:hAnsiTheme="majorHAnsi" w:cstheme="majorHAnsi"/>
          <w:i/>
          <w:iCs/>
          <w:color w:val="272727"/>
          <w:sz w:val="21"/>
          <w:szCs w:val="21"/>
          <w:lang w:eastAsia="zh-CN"/>
        </w:rPr>
        <w:t>) establish new, or augment existing</w:t>
      </w:r>
      <w:r>
        <w:rPr>
          <w:rFonts w:asciiTheme="majorHAnsi" w:eastAsia="SimSun" w:hAnsiTheme="majorHAnsi" w:cstheme="majorHAnsi"/>
          <w:i/>
          <w:iCs/>
          <w:color w:val="272727"/>
          <w:sz w:val="21"/>
          <w:szCs w:val="21"/>
          <w:lang w:eastAsia="zh-CN"/>
        </w:rPr>
        <w:t xml:space="preserve"> entrepreneurial programs, </w:t>
      </w:r>
      <w:r w:rsidR="000828A8" w:rsidRPr="000828A8">
        <w:rPr>
          <w:rFonts w:asciiTheme="majorHAnsi" w:eastAsia="SimSun" w:hAnsiTheme="majorHAnsi" w:cstheme="majorHAnsi"/>
          <w:i/>
          <w:iCs/>
          <w:color w:val="272727"/>
          <w:sz w:val="21"/>
          <w:szCs w:val="21"/>
          <w:lang w:eastAsia="zh-CN"/>
        </w:rPr>
        <w:t xml:space="preserve">(ii) </w:t>
      </w:r>
      <w:r>
        <w:rPr>
          <w:rFonts w:asciiTheme="majorHAnsi" w:eastAsia="SimSun" w:hAnsiTheme="majorHAnsi" w:cstheme="majorHAnsi"/>
          <w:i/>
          <w:iCs/>
          <w:color w:val="272727"/>
          <w:sz w:val="21"/>
          <w:szCs w:val="21"/>
          <w:lang w:eastAsia="zh-CN"/>
        </w:rPr>
        <w:t xml:space="preserve">fund </w:t>
      </w:r>
      <w:r w:rsidR="000828A8" w:rsidRPr="000828A8">
        <w:rPr>
          <w:rFonts w:asciiTheme="majorHAnsi" w:eastAsia="SimSun" w:hAnsiTheme="majorHAnsi" w:cstheme="majorHAnsi"/>
          <w:i/>
          <w:iCs/>
          <w:color w:val="272727"/>
          <w:sz w:val="21"/>
          <w:szCs w:val="21"/>
          <w:lang w:eastAsia="zh-CN"/>
        </w:rPr>
        <w:t>access to a cohort of business mentors</w:t>
      </w:r>
      <w:r>
        <w:rPr>
          <w:rFonts w:asciiTheme="majorHAnsi" w:eastAsia="SimSun" w:hAnsiTheme="majorHAnsi" w:cstheme="majorHAnsi"/>
          <w:i/>
          <w:iCs/>
          <w:color w:val="272727"/>
          <w:sz w:val="21"/>
          <w:szCs w:val="21"/>
          <w:lang w:eastAsia="zh-CN"/>
        </w:rPr>
        <w:t xml:space="preserve"> </w:t>
      </w:r>
      <w:r w:rsidR="009D6A9F">
        <w:rPr>
          <w:rFonts w:asciiTheme="majorHAnsi" w:eastAsia="SimSun" w:hAnsiTheme="majorHAnsi" w:cstheme="majorHAnsi"/>
          <w:i/>
          <w:iCs/>
          <w:color w:val="272727"/>
          <w:sz w:val="21"/>
          <w:szCs w:val="21"/>
          <w:lang w:eastAsia="zh-CN"/>
        </w:rPr>
        <w:t xml:space="preserve">for the programs </w:t>
      </w:r>
      <w:r>
        <w:rPr>
          <w:rFonts w:asciiTheme="majorHAnsi" w:eastAsia="SimSun" w:hAnsiTheme="majorHAnsi" w:cstheme="majorHAnsi"/>
          <w:i/>
          <w:iCs/>
          <w:color w:val="272727"/>
          <w:sz w:val="21"/>
          <w:szCs w:val="21"/>
          <w:lang w:eastAsia="zh-CN"/>
        </w:rPr>
        <w:t xml:space="preserve">and </w:t>
      </w:r>
      <w:r w:rsidR="000828A8" w:rsidRPr="000828A8">
        <w:rPr>
          <w:rFonts w:asciiTheme="majorHAnsi" w:eastAsia="SimSun" w:hAnsiTheme="majorHAnsi" w:cstheme="majorHAnsi"/>
          <w:i/>
          <w:iCs/>
          <w:color w:val="272727"/>
          <w:sz w:val="21"/>
          <w:szCs w:val="21"/>
          <w:lang w:eastAsia="zh-CN"/>
        </w:rPr>
        <w:t>offer</w:t>
      </w:r>
      <w:r>
        <w:rPr>
          <w:rFonts w:asciiTheme="majorHAnsi" w:eastAsia="SimSun" w:hAnsiTheme="majorHAnsi" w:cstheme="majorHAnsi"/>
          <w:i/>
          <w:iCs/>
          <w:color w:val="272727"/>
          <w:sz w:val="21"/>
          <w:szCs w:val="21"/>
          <w:lang w:eastAsia="zh-CN"/>
        </w:rPr>
        <w:t>ed</w:t>
      </w:r>
      <w:r w:rsidR="000828A8" w:rsidRPr="000828A8">
        <w:rPr>
          <w:rFonts w:asciiTheme="majorHAnsi" w:eastAsia="SimSun" w:hAnsiTheme="majorHAnsi" w:cstheme="majorHAnsi"/>
          <w:i/>
          <w:iCs/>
          <w:color w:val="272727"/>
          <w:sz w:val="21"/>
          <w:szCs w:val="21"/>
          <w:lang w:eastAsia="zh-CN"/>
        </w:rPr>
        <w:t xml:space="preserve"> very-early stage investors financial incentives to invest in incubator or accelerator opportunities</w:t>
      </w:r>
      <w:r>
        <w:rPr>
          <w:rFonts w:asciiTheme="majorHAnsi" w:eastAsia="SimSun" w:hAnsiTheme="majorHAnsi" w:cstheme="majorHAnsi"/>
          <w:i/>
          <w:iCs/>
          <w:color w:val="272727"/>
          <w:sz w:val="21"/>
          <w:szCs w:val="21"/>
          <w:lang w:eastAsia="zh-CN"/>
        </w:rPr>
        <w:t>.</w:t>
      </w:r>
    </w:p>
    <w:p w14:paraId="13A603ED" w14:textId="77777777" w:rsidR="002F1808" w:rsidRPr="00DD29BA" w:rsidRDefault="00DD29BA" w:rsidP="004814CF">
      <w:pPr>
        <w:pStyle w:val="Heading2"/>
        <w:rPr>
          <w:rFonts w:eastAsia="SimSun"/>
        </w:rPr>
      </w:pPr>
      <w:r w:rsidRPr="00DD29BA">
        <w:rPr>
          <w:rFonts w:eastAsia="SimSun"/>
        </w:rPr>
        <w:t>Discussion:</w:t>
      </w:r>
    </w:p>
    <w:p w14:paraId="13A603EE" w14:textId="77777777" w:rsidR="00384054" w:rsidRPr="00384054" w:rsidRDefault="00384054" w:rsidP="00A91B5F">
      <w:pPr>
        <w:autoSpaceDE w:val="0"/>
        <w:autoSpaceDN w:val="0"/>
        <w:adjustRightInd w:val="0"/>
        <w:ind w:right="205" w:firstLine="8"/>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There is substantial evidence to indicate that a vibrant entrepreneurial culture is essential </w:t>
      </w:r>
      <w:r w:rsidR="00D36234">
        <w:rPr>
          <w:rFonts w:asciiTheme="majorHAnsi" w:eastAsia="SimSun" w:hAnsiTheme="majorHAnsi" w:cstheme="majorHAnsi"/>
          <w:color w:val="272727"/>
          <w:sz w:val="21"/>
          <w:szCs w:val="21"/>
          <w:lang w:eastAsia="zh-CN"/>
        </w:rPr>
        <w:t xml:space="preserve">to </w:t>
      </w:r>
      <w:r w:rsidR="00D36234" w:rsidRPr="00384054">
        <w:rPr>
          <w:rFonts w:asciiTheme="majorHAnsi" w:eastAsia="SimSun" w:hAnsiTheme="majorHAnsi" w:cstheme="majorHAnsi"/>
          <w:color w:val="272727"/>
          <w:sz w:val="21"/>
          <w:szCs w:val="21"/>
          <w:lang w:eastAsia="zh-CN"/>
        </w:rPr>
        <w:t>ecosystems</w:t>
      </w:r>
      <w:r w:rsidRPr="00384054">
        <w:rPr>
          <w:rFonts w:asciiTheme="majorHAnsi" w:eastAsia="SimSun" w:hAnsiTheme="majorHAnsi" w:cstheme="majorHAnsi"/>
          <w:color w:val="272727"/>
          <w:sz w:val="21"/>
          <w:szCs w:val="21"/>
          <w:lang w:eastAsia="zh-CN"/>
        </w:rPr>
        <w:t xml:space="preserve"> of innovative</w:t>
      </w:r>
      <w:r w:rsidRPr="00384054">
        <w:rPr>
          <w:rFonts w:asciiTheme="majorHAnsi" w:eastAsia="SimSun" w:hAnsiTheme="majorHAnsi" w:cstheme="majorHAnsi"/>
          <w:color w:val="272727"/>
          <w:sz w:val="21"/>
          <w:szCs w:val="21"/>
          <w:vertAlign w:val="superscript"/>
          <w:lang w:eastAsia="zh-CN"/>
        </w:rPr>
        <w:footnoteReference w:id="5"/>
      </w:r>
      <w:r w:rsidRPr="00384054">
        <w:rPr>
          <w:rFonts w:asciiTheme="majorHAnsi" w:eastAsia="SimSun" w:hAnsiTheme="majorHAnsi" w:cstheme="majorHAnsi"/>
          <w:color w:val="272727"/>
          <w:sz w:val="21"/>
          <w:szCs w:val="21"/>
          <w:lang w:eastAsia="zh-CN"/>
        </w:rPr>
        <w:t xml:space="preserve"> and competitive economies. Likewise, there is now a range of credible models for Australian university-based entrepreneurism including; ATP Innovation</w:t>
      </w:r>
      <w:r w:rsidRPr="00384054">
        <w:rPr>
          <w:rFonts w:asciiTheme="majorHAnsi" w:eastAsia="SimSun" w:hAnsiTheme="majorHAnsi" w:cstheme="majorHAnsi"/>
          <w:color w:val="272727"/>
          <w:sz w:val="21"/>
          <w:szCs w:val="21"/>
          <w:vertAlign w:val="superscript"/>
          <w:lang w:eastAsia="zh-CN"/>
        </w:rPr>
        <w:footnoteReference w:id="6"/>
      </w:r>
      <w:r w:rsidRPr="00384054">
        <w:rPr>
          <w:rFonts w:asciiTheme="majorHAnsi" w:eastAsia="SimSun" w:hAnsiTheme="majorHAnsi" w:cstheme="majorHAnsi"/>
          <w:color w:val="272727"/>
          <w:sz w:val="21"/>
          <w:szCs w:val="21"/>
          <w:lang w:eastAsia="zh-CN"/>
        </w:rPr>
        <w:t>, Griffin Accelerator</w:t>
      </w:r>
      <w:r w:rsidRPr="00384054">
        <w:rPr>
          <w:rFonts w:asciiTheme="majorHAnsi" w:eastAsia="SimSun" w:hAnsiTheme="majorHAnsi" w:cstheme="majorHAnsi"/>
          <w:color w:val="272727"/>
          <w:sz w:val="21"/>
          <w:szCs w:val="21"/>
          <w:vertAlign w:val="superscript"/>
          <w:lang w:eastAsia="zh-CN"/>
        </w:rPr>
        <w:footnoteReference w:id="7"/>
      </w:r>
      <w:r w:rsidRPr="00384054">
        <w:rPr>
          <w:rFonts w:asciiTheme="majorHAnsi" w:eastAsia="SimSun" w:hAnsiTheme="majorHAnsi" w:cstheme="majorHAnsi"/>
          <w:color w:val="272727"/>
          <w:sz w:val="21"/>
          <w:szCs w:val="21"/>
          <w:lang w:eastAsia="zh-CN"/>
        </w:rPr>
        <w:t>, Melbourne Accelerator Program</w:t>
      </w:r>
      <w:r w:rsidRPr="00384054">
        <w:rPr>
          <w:rFonts w:asciiTheme="majorHAnsi" w:eastAsia="SimSun" w:hAnsiTheme="majorHAnsi" w:cstheme="majorHAnsi"/>
          <w:color w:val="272727"/>
          <w:sz w:val="21"/>
          <w:szCs w:val="21"/>
          <w:vertAlign w:val="superscript"/>
          <w:lang w:eastAsia="zh-CN"/>
        </w:rPr>
        <w:footnoteReference w:id="8"/>
      </w:r>
      <w:r w:rsidRPr="00384054">
        <w:rPr>
          <w:rFonts w:asciiTheme="majorHAnsi" w:eastAsia="SimSun" w:hAnsiTheme="majorHAnsi" w:cstheme="majorHAnsi"/>
          <w:color w:val="272727"/>
          <w:sz w:val="21"/>
          <w:szCs w:val="21"/>
          <w:lang w:eastAsia="zh-CN"/>
        </w:rPr>
        <w:t xml:space="preserve"> </w:t>
      </w:r>
      <w:r w:rsidR="00C661E1">
        <w:rPr>
          <w:rFonts w:asciiTheme="majorHAnsi" w:eastAsia="SimSun" w:hAnsiTheme="majorHAnsi" w:cstheme="majorHAnsi"/>
          <w:color w:val="272727"/>
          <w:sz w:val="21"/>
          <w:szCs w:val="21"/>
          <w:lang w:eastAsia="zh-CN"/>
        </w:rPr>
        <w:t>(MAP)</w:t>
      </w:r>
      <w:r w:rsidRPr="00384054">
        <w:rPr>
          <w:rFonts w:asciiTheme="majorHAnsi" w:eastAsia="SimSun" w:hAnsiTheme="majorHAnsi" w:cstheme="majorHAnsi"/>
          <w:color w:val="272727"/>
          <w:sz w:val="21"/>
          <w:szCs w:val="21"/>
          <w:lang w:eastAsia="zh-CN"/>
        </w:rPr>
        <w:t>.</w:t>
      </w:r>
    </w:p>
    <w:p w14:paraId="13A603F0" w14:textId="77777777" w:rsidR="00384054" w:rsidRPr="00384054" w:rsidRDefault="00384054" w:rsidP="00C661E1">
      <w:pPr>
        <w:autoSpaceDE w:val="0"/>
        <w:autoSpaceDN w:val="0"/>
        <w:adjustRightInd w:val="0"/>
        <w:ind w:right="205" w:firstLine="8"/>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While the scope of the University’s direct involvement in these schemes ranges (from minimal to significant), in each case there is a need for </w:t>
      </w:r>
      <w:r w:rsidRPr="000126F8">
        <w:rPr>
          <w:rFonts w:asciiTheme="majorHAnsi" w:eastAsia="SimSun" w:hAnsiTheme="majorHAnsi" w:cstheme="majorHAnsi"/>
          <w:b/>
          <w:bCs/>
          <w:color w:val="365F91"/>
          <w:sz w:val="21"/>
          <w:szCs w:val="21"/>
          <w:lang w:eastAsia="zh-CN"/>
        </w:rPr>
        <w:t>resources and capital to jump-start entrepreneurial ideas</w:t>
      </w:r>
      <w:r w:rsidRPr="00384054">
        <w:rPr>
          <w:rFonts w:asciiTheme="majorHAnsi" w:eastAsia="SimSun" w:hAnsiTheme="majorHAnsi" w:cstheme="majorHAnsi"/>
          <w:color w:val="272727"/>
          <w:sz w:val="21"/>
          <w:szCs w:val="21"/>
          <w:lang w:eastAsia="zh-CN"/>
        </w:rPr>
        <w:t>.</w:t>
      </w:r>
      <w:r w:rsidR="009D6A9F">
        <w:rPr>
          <w:rFonts w:asciiTheme="majorHAnsi" w:eastAsia="SimSun" w:hAnsiTheme="majorHAnsi" w:cstheme="majorHAnsi"/>
          <w:color w:val="272727"/>
          <w:sz w:val="21"/>
          <w:szCs w:val="21"/>
          <w:lang w:eastAsia="zh-CN"/>
        </w:rPr>
        <w:t xml:space="preserve"> </w:t>
      </w:r>
      <w:r w:rsidRPr="00384054">
        <w:rPr>
          <w:rFonts w:asciiTheme="majorHAnsi" w:eastAsia="SimSun" w:hAnsiTheme="majorHAnsi" w:cstheme="majorHAnsi"/>
          <w:color w:val="272727"/>
          <w:sz w:val="21"/>
          <w:szCs w:val="21"/>
          <w:lang w:eastAsia="zh-CN"/>
        </w:rPr>
        <w:t xml:space="preserve">For many universities finding the capital (which typically ranges between $10K-$50K per opportunity) to </w:t>
      </w:r>
      <w:r w:rsidR="009D6A9F">
        <w:rPr>
          <w:rFonts w:asciiTheme="majorHAnsi" w:eastAsia="SimSun" w:hAnsiTheme="majorHAnsi" w:cstheme="majorHAnsi"/>
          <w:color w:val="272727"/>
          <w:sz w:val="21"/>
          <w:szCs w:val="21"/>
          <w:lang w:eastAsia="zh-CN"/>
        </w:rPr>
        <w:t>support</w:t>
      </w:r>
      <w:r w:rsidRPr="00384054">
        <w:rPr>
          <w:rFonts w:asciiTheme="majorHAnsi" w:eastAsia="SimSun" w:hAnsiTheme="majorHAnsi" w:cstheme="majorHAnsi"/>
          <w:color w:val="272727"/>
          <w:sz w:val="21"/>
          <w:szCs w:val="21"/>
          <w:lang w:eastAsia="zh-CN"/>
        </w:rPr>
        <w:t xml:space="preserve"> the very earliest stage</w:t>
      </w:r>
      <w:r w:rsidR="009D6A9F">
        <w:rPr>
          <w:rFonts w:asciiTheme="majorHAnsi" w:eastAsia="SimSun" w:hAnsiTheme="majorHAnsi" w:cstheme="majorHAnsi"/>
          <w:color w:val="272727"/>
          <w:sz w:val="21"/>
          <w:szCs w:val="21"/>
          <w:lang w:eastAsia="zh-CN"/>
        </w:rPr>
        <w:t>s</w:t>
      </w:r>
      <w:r w:rsidRPr="00384054">
        <w:rPr>
          <w:rFonts w:asciiTheme="majorHAnsi" w:eastAsia="SimSun" w:hAnsiTheme="majorHAnsi" w:cstheme="majorHAnsi"/>
          <w:color w:val="272727"/>
          <w:sz w:val="21"/>
          <w:szCs w:val="21"/>
          <w:lang w:eastAsia="zh-CN"/>
        </w:rPr>
        <w:t xml:space="preserve"> </w:t>
      </w:r>
      <w:r w:rsidR="009D6A9F">
        <w:rPr>
          <w:rFonts w:asciiTheme="majorHAnsi" w:eastAsia="SimSun" w:hAnsiTheme="majorHAnsi" w:cstheme="majorHAnsi"/>
          <w:color w:val="272727"/>
          <w:sz w:val="21"/>
          <w:szCs w:val="21"/>
          <w:lang w:eastAsia="zh-CN"/>
        </w:rPr>
        <w:t>of commercialisation</w:t>
      </w:r>
      <w:r w:rsidRPr="00384054">
        <w:rPr>
          <w:rFonts w:asciiTheme="majorHAnsi" w:eastAsia="SimSun" w:hAnsiTheme="majorHAnsi" w:cstheme="majorHAnsi"/>
          <w:color w:val="272727"/>
          <w:sz w:val="21"/>
          <w:szCs w:val="21"/>
          <w:lang w:eastAsia="zh-CN"/>
        </w:rPr>
        <w:t>, is prohibitive</w:t>
      </w:r>
      <w:r w:rsidR="009D6A9F">
        <w:rPr>
          <w:rFonts w:asciiTheme="majorHAnsi" w:eastAsia="SimSun" w:hAnsiTheme="majorHAnsi" w:cstheme="majorHAnsi"/>
          <w:color w:val="272727"/>
          <w:sz w:val="21"/>
          <w:szCs w:val="21"/>
          <w:lang w:eastAsia="zh-CN"/>
        </w:rPr>
        <w:t>,</w:t>
      </w:r>
      <w:r w:rsidRPr="00384054">
        <w:rPr>
          <w:rFonts w:asciiTheme="majorHAnsi" w:eastAsia="SimSun" w:hAnsiTheme="majorHAnsi" w:cstheme="majorHAnsi"/>
          <w:color w:val="272727"/>
          <w:sz w:val="21"/>
          <w:szCs w:val="21"/>
          <w:lang w:eastAsia="zh-CN"/>
        </w:rPr>
        <w:t xml:space="preserve"> particularly when </w:t>
      </w:r>
      <w:r w:rsidR="00C661E1">
        <w:rPr>
          <w:rFonts w:asciiTheme="majorHAnsi" w:eastAsia="SimSun" w:hAnsiTheme="majorHAnsi" w:cstheme="majorHAnsi"/>
          <w:color w:val="272727"/>
          <w:sz w:val="21"/>
          <w:szCs w:val="21"/>
          <w:lang w:eastAsia="zh-CN"/>
        </w:rPr>
        <w:t>compounded</w:t>
      </w:r>
      <w:r w:rsidRPr="00384054">
        <w:rPr>
          <w:rFonts w:asciiTheme="majorHAnsi" w:eastAsia="SimSun" w:hAnsiTheme="majorHAnsi" w:cstheme="majorHAnsi"/>
          <w:color w:val="272727"/>
          <w:sz w:val="21"/>
          <w:szCs w:val="21"/>
          <w:lang w:eastAsia="zh-CN"/>
        </w:rPr>
        <w:t xml:space="preserve"> </w:t>
      </w:r>
      <w:r w:rsidR="00C661E1">
        <w:rPr>
          <w:rFonts w:asciiTheme="majorHAnsi" w:eastAsia="SimSun" w:hAnsiTheme="majorHAnsi" w:cstheme="majorHAnsi"/>
          <w:color w:val="272727"/>
          <w:sz w:val="21"/>
          <w:szCs w:val="21"/>
          <w:lang w:eastAsia="zh-CN"/>
        </w:rPr>
        <w:t xml:space="preserve">with </w:t>
      </w:r>
      <w:r w:rsidRPr="00384054">
        <w:rPr>
          <w:rFonts w:asciiTheme="majorHAnsi" w:eastAsia="SimSun" w:hAnsiTheme="majorHAnsi" w:cstheme="majorHAnsi"/>
          <w:color w:val="272727"/>
          <w:sz w:val="21"/>
          <w:szCs w:val="21"/>
          <w:lang w:eastAsia="zh-CN"/>
        </w:rPr>
        <w:t>the resource</w:t>
      </w:r>
      <w:r w:rsidR="00C661E1">
        <w:rPr>
          <w:rFonts w:asciiTheme="majorHAnsi" w:eastAsia="SimSun" w:hAnsiTheme="majorHAnsi" w:cstheme="majorHAnsi"/>
          <w:color w:val="272727"/>
          <w:sz w:val="21"/>
          <w:szCs w:val="21"/>
          <w:lang w:eastAsia="zh-CN"/>
        </w:rPr>
        <w:t>s</w:t>
      </w:r>
      <w:r w:rsidRPr="00384054">
        <w:rPr>
          <w:rFonts w:asciiTheme="majorHAnsi" w:eastAsia="SimSun" w:hAnsiTheme="majorHAnsi" w:cstheme="majorHAnsi"/>
          <w:color w:val="272727"/>
          <w:sz w:val="21"/>
          <w:szCs w:val="21"/>
          <w:lang w:eastAsia="zh-CN"/>
        </w:rPr>
        <w:t xml:space="preserve"> needed to provide the working spaces, offset mentoring costs and </w:t>
      </w:r>
      <w:r w:rsidR="00C661E1">
        <w:rPr>
          <w:rFonts w:asciiTheme="majorHAnsi" w:eastAsia="SimSun" w:hAnsiTheme="majorHAnsi" w:cstheme="majorHAnsi"/>
          <w:color w:val="272727"/>
          <w:sz w:val="21"/>
          <w:szCs w:val="21"/>
          <w:lang w:eastAsia="zh-CN"/>
        </w:rPr>
        <w:t xml:space="preserve">meet </w:t>
      </w:r>
      <w:r w:rsidRPr="00384054">
        <w:rPr>
          <w:rFonts w:asciiTheme="majorHAnsi" w:eastAsia="SimSun" w:hAnsiTheme="majorHAnsi" w:cstheme="majorHAnsi"/>
          <w:color w:val="272727"/>
          <w:sz w:val="21"/>
          <w:szCs w:val="21"/>
          <w:lang w:eastAsia="zh-CN"/>
        </w:rPr>
        <w:t>other administrative overheads.</w:t>
      </w:r>
    </w:p>
    <w:p w14:paraId="13A603F3" w14:textId="359023D7" w:rsidR="009D6A9F" w:rsidRDefault="00384054" w:rsidP="004814CF">
      <w:pPr>
        <w:autoSpaceDE w:val="0"/>
        <w:autoSpaceDN w:val="0"/>
        <w:adjustRightInd w:val="0"/>
        <w:ind w:right="205" w:firstLine="8"/>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The University of Tasmania would </w:t>
      </w:r>
      <w:r w:rsidR="000828A8">
        <w:rPr>
          <w:rFonts w:asciiTheme="majorHAnsi" w:eastAsia="SimSun" w:hAnsiTheme="majorHAnsi" w:cstheme="majorHAnsi"/>
          <w:color w:val="272727"/>
          <w:sz w:val="21"/>
          <w:szCs w:val="21"/>
          <w:lang w:eastAsia="zh-CN"/>
        </w:rPr>
        <w:t xml:space="preserve">support initiatives which </w:t>
      </w:r>
      <w:r w:rsidR="009D6A9F">
        <w:rPr>
          <w:rFonts w:asciiTheme="majorHAnsi" w:eastAsia="SimSun" w:hAnsiTheme="majorHAnsi" w:cstheme="majorHAnsi"/>
          <w:color w:val="272727"/>
          <w:sz w:val="21"/>
          <w:szCs w:val="21"/>
          <w:lang w:eastAsia="zh-CN"/>
        </w:rPr>
        <w:t xml:space="preserve">provide </w:t>
      </w:r>
      <w:r w:rsidRPr="00384054">
        <w:rPr>
          <w:rFonts w:asciiTheme="majorHAnsi" w:eastAsia="SimSun" w:hAnsiTheme="majorHAnsi" w:cstheme="majorHAnsi"/>
          <w:color w:val="272727"/>
          <w:sz w:val="21"/>
          <w:szCs w:val="21"/>
          <w:lang w:eastAsia="zh-CN"/>
        </w:rPr>
        <w:t xml:space="preserve">one-off allocation of money to establish a new, </w:t>
      </w:r>
      <w:r w:rsidR="000828A8">
        <w:rPr>
          <w:rFonts w:asciiTheme="majorHAnsi" w:eastAsia="SimSun" w:hAnsiTheme="majorHAnsi" w:cstheme="majorHAnsi"/>
          <w:color w:val="272727"/>
          <w:sz w:val="21"/>
          <w:szCs w:val="21"/>
          <w:lang w:eastAsia="zh-CN"/>
        </w:rPr>
        <w:t>(</w:t>
      </w:r>
      <w:r w:rsidRPr="00384054">
        <w:rPr>
          <w:rFonts w:asciiTheme="majorHAnsi" w:eastAsia="SimSun" w:hAnsiTheme="majorHAnsi" w:cstheme="majorHAnsi"/>
          <w:color w:val="272727"/>
          <w:sz w:val="21"/>
          <w:szCs w:val="21"/>
          <w:lang w:eastAsia="zh-CN"/>
        </w:rPr>
        <w:t>or augment an existing</w:t>
      </w:r>
      <w:r w:rsidR="000828A8">
        <w:rPr>
          <w:rFonts w:asciiTheme="majorHAnsi" w:eastAsia="SimSun" w:hAnsiTheme="majorHAnsi" w:cstheme="majorHAnsi"/>
          <w:color w:val="272727"/>
          <w:sz w:val="21"/>
          <w:szCs w:val="21"/>
          <w:lang w:eastAsia="zh-CN"/>
        </w:rPr>
        <w:t>)</w:t>
      </w:r>
      <w:r w:rsidRPr="00384054">
        <w:rPr>
          <w:rFonts w:asciiTheme="majorHAnsi" w:eastAsia="SimSun" w:hAnsiTheme="majorHAnsi" w:cstheme="majorHAnsi"/>
          <w:color w:val="272727"/>
          <w:sz w:val="21"/>
          <w:szCs w:val="21"/>
          <w:lang w:eastAsia="zh-CN"/>
        </w:rPr>
        <w:t xml:space="preserve"> University based entrepreneurial program, on the basis that this one-off investment would provide (in the case of new entrepreneurial programs)</w:t>
      </w:r>
      <w:r w:rsidR="009D6A9F">
        <w:rPr>
          <w:rFonts w:asciiTheme="majorHAnsi" w:eastAsia="SimSun" w:hAnsiTheme="majorHAnsi" w:cstheme="majorHAnsi"/>
          <w:color w:val="272727"/>
          <w:sz w:val="21"/>
          <w:szCs w:val="21"/>
          <w:lang w:eastAsia="zh-CN"/>
        </w:rPr>
        <w:t xml:space="preserve"> the start-up funding required.</w:t>
      </w:r>
    </w:p>
    <w:p w14:paraId="13A603F4" w14:textId="77777777" w:rsidR="00384054" w:rsidRPr="00384054" w:rsidRDefault="009D6A9F" w:rsidP="009D6A9F">
      <w:pPr>
        <w:autoSpaceDE w:val="0"/>
        <w:autoSpaceDN w:val="0"/>
        <w:adjustRightInd w:val="0"/>
        <w:ind w:right="205" w:firstLine="8"/>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 xml:space="preserve">To encourage sustainability, this type of </w:t>
      </w:r>
      <w:r w:rsidR="00384054" w:rsidRPr="00384054">
        <w:rPr>
          <w:rFonts w:asciiTheme="majorHAnsi" w:eastAsia="SimSun" w:hAnsiTheme="majorHAnsi" w:cstheme="majorHAnsi"/>
          <w:color w:val="272727"/>
          <w:sz w:val="21"/>
          <w:szCs w:val="21"/>
          <w:lang w:eastAsia="zh-CN"/>
        </w:rPr>
        <w:t xml:space="preserve">funding might be subject to the University providing a business case that demonstrates at least nominal commitments by state or local government, </w:t>
      </w:r>
      <w:r>
        <w:rPr>
          <w:rFonts w:asciiTheme="majorHAnsi" w:eastAsia="SimSun" w:hAnsiTheme="majorHAnsi" w:cstheme="majorHAnsi"/>
          <w:color w:val="272727"/>
          <w:sz w:val="21"/>
          <w:szCs w:val="21"/>
          <w:lang w:eastAsia="zh-CN"/>
        </w:rPr>
        <w:t xml:space="preserve">program </w:t>
      </w:r>
      <w:r w:rsidR="00384054" w:rsidRPr="00384054">
        <w:rPr>
          <w:rFonts w:asciiTheme="majorHAnsi" w:eastAsia="SimSun" w:hAnsiTheme="majorHAnsi" w:cstheme="majorHAnsi"/>
          <w:color w:val="272727"/>
          <w:sz w:val="21"/>
          <w:szCs w:val="21"/>
          <w:lang w:eastAsia="zh-CN"/>
        </w:rPr>
        <w:t>mentors and potential follow-on investors to participate</w:t>
      </w:r>
      <w:r>
        <w:rPr>
          <w:rFonts w:asciiTheme="majorHAnsi" w:eastAsia="SimSun" w:hAnsiTheme="majorHAnsi" w:cstheme="majorHAnsi"/>
          <w:color w:val="272727"/>
          <w:sz w:val="21"/>
          <w:szCs w:val="21"/>
          <w:lang w:eastAsia="zh-CN"/>
        </w:rPr>
        <w:t>.</w:t>
      </w:r>
      <w:r w:rsidR="00384054" w:rsidRPr="00384054">
        <w:rPr>
          <w:rFonts w:asciiTheme="majorHAnsi" w:eastAsia="SimSun" w:hAnsiTheme="majorHAnsi" w:cstheme="majorHAnsi"/>
          <w:color w:val="272727"/>
          <w:sz w:val="21"/>
          <w:szCs w:val="21"/>
          <w:lang w:eastAsia="zh-CN"/>
        </w:rPr>
        <w:t xml:space="preserve"> These accelerator / incubator business cases could be assessed by a panel of independent experts with a strong track-record in the space.</w:t>
      </w:r>
    </w:p>
    <w:p w14:paraId="13A603F6" w14:textId="77777777" w:rsidR="00384054" w:rsidRPr="00384054" w:rsidRDefault="00384054" w:rsidP="000828A8">
      <w:pPr>
        <w:autoSpaceDE w:val="0"/>
        <w:autoSpaceDN w:val="0"/>
        <w:adjustRightInd w:val="0"/>
        <w:ind w:right="205" w:firstLine="8"/>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If the Government </w:t>
      </w:r>
      <w:r w:rsidR="000828A8">
        <w:rPr>
          <w:rFonts w:asciiTheme="majorHAnsi" w:eastAsia="SimSun" w:hAnsiTheme="majorHAnsi" w:cstheme="majorHAnsi"/>
          <w:color w:val="272727"/>
          <w:sz w:val="21"/>
          <w:szCs w:val="21"/>
          <w:lang w:eastAsia="zh-CN"/>
        </w:rPr>
        <w:t xml:space="preserve">were </w:t>
      </w:r>
      <w:r w:rsidRPr="00384054">
        <w:rPr>
          <w:rFonts w:asciiTheme="majorHAnsi" w:eastAsia="SimSun" w:hAnsiTheme="majorHAnsi" w:cstheme="majorHAnsi"/>
          <w:color w:val="272727"/>
          <w:sz w:val="21"/>
          <w:szCs w:val="21"/>
          <w:lang w:eastAsia="zh-CN"/>
        </w:rPr>
        <w:t xml:space="preserve">unable to commit dedicated funding to directly support University accelerators / incubators it might </w:t>
      </w:r>
      <w:r w:rsidR="000828A8">
        <w:rPr>
          <w:rFonts w:asciiTheme="majorHAnsi" w:eastAsia="SimSun" w:hAnsiTheme="majorHAnsi" w:cstheme="majorHAnsi"/>
          <w:color w:val="272727"/>
          <w:sz w:val="21"/>
          <w:szCs w:val="21"/>
          <w:lang w:eastAsia="zh-CN"/>
        </w:rPr>
        <w:t>as an alternative consider</w:t>
      </w:r>
      <w:r w:rsidRPr="00384054">
        <w:rPr>
          <w:rFonts w:asciiTheme="majorHAnsi" w:eastAsia="SimSun" w:hAnsiTheme="majorHAnsi" w:cstheme="majorHAnsi"/>
          <w:color w:val="272727"/>
          <w:sz w:val="21"/>
          <w:szCs w:val="21"/>
          <w:lang w:eastAsia="zh-CN"/>
        </w:rPr>
        <w:t xml:space="preserve">; </w:t>
      </w:r>
    </w:p>
    <w:p w14:paraId="13A603F7" w14:textId="77777777" w:rsidR="00384054" w:rsidRPr="00384054" w:rsidRDefault="00384054" w:rsidP="00C661E1">
      <w:pPr>
        <w:numPr>
          <w:ilvl w:val="0"/>
          <w:numId w:val="27"/>
        </w:numPr>
        <w:autoSpaceDE w:val="0"/>
        <w:autoSpaceDN w:val="0"/>
        <w:adjustRightInd w:val="0"/>
        <w:ind w:right="205"/>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fund</w:t>
      </w:r>
      <w:r w:rsidR="00C661E1">
        <w:rPr>
          <w:rFonts w:asciiTheme="majorHAnsi" w:eastAsia="SimSun" w:hAnsiTheme="majorHAnsi" w:cstheme="majorHAnsi"/>
          <w:color w:val="272727"/>
          <w:sz w:val="21"/>
          <w:szCs w:val="21"/>
          <w:lang w:eastAsia="zh-CN"/>
        </w:rPr>
        <w:t>ing</w:t>
      </w:r>
      <w:r w:rsidRPr="00384054">
        <w:rPr>
          <w:rFonts w:asciiTheme="majorHAnsi" w:eastAsia="SimSun" w:hAnsiTheme="majorHAnsi" w:cstheme="majorHAnsi"/>
          <w:color w:val="272727"/>
          <w:sz w:val="21"/>
          <w:szCs w:val="21"/>
          <w:lang w:eastAsia="zh-CN"/>
        </w:rPr>
        <w:t xml:space="preserve"> a program that would support a cohort of business advisors / mentors </w:t>
      </w:r>
      <w:r w:rsidR="00C661E1">
        <w:rPr>
          <w:rFonts w:asciiTheme="majorHAnsi" w:eastAsia="SimSun" w:hAnsiTheme="majorHAnsi" w:cstheme="majorHAnsi"/>
          <w:color w:val="272727"/>
          <w:sz w:val="21"/>
          <w:szCs w:val="21"/>
          <w:lang w:eastAsia="zh-CN"/>
        </w:rPr>
        <w:t>to</w:t>
      </w:r>
      <w:r w:rsidRPr="00384054">
        <w:rPr>
          <w:rFonts w:asciiTheme="majorHAnsi" w:eastAsia="SimSun" w:hAnsiTheme="majorHAnsi" w:cstheme="majorHAnsi"/>
          <w:color w:val="272727"/>
          <w:sz w:val="21"/>
          <w:szCs w:val="21"/>
          <w:lang w:eastAsia="zh-CN"/>
        </w:rPr>
        <w:t xml:space="preserve"> make themselves available to accelerator and incubator programs, as there is evidence that the quality of, and access to advisors is a key factor in the success rate of these programs and</w:t>
      </w:r>
    </w:p>
    <w:p w14:paraId="13A603F8" w14:textId="77777777" w:rsidR="00384054" w:rsidRPr="00384054" w:rsidRDefault="00384054" w:rsidP="00384054">
      <w:pPr>
        <w:numPr>
          <w:ilvl w:val="0"/>
          <w:numId w:val="27"/>
        </w:numPr>
        <w:autoSpaceDE w:val="0"/>
        <w:autoSpaceDN w:val="0"/>
        <w:adjustRightInd w:val="0"/>
        <w:ind w:right="205"/>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lastRenderedPageBreak/>
        <w:t>Offer</w:t>
      </w:r>
      <w:r w:rsidR="00C661E1">
        <w:rPr>
          <w:rFonts w:asciiTheme="majorHAnsi" w:eastAsia="SimSun" w:hAnsiTheme="majorHAnsi" w:cstheme="majorHAnsi"/>
          <w:color w:val="272727"/>
          <w:sz w:val="21"/>
          <w:szCs w:val="21"/>
          <w:lang w:eastAsia="zh-CN"/>
        </w:rPr>
        <w:t>ing</w:t>
      </w:r>
      <w:r w:rsidRPr="00384054">
        <w:rPr>
          <w:rFonts w:asciiTheme="majorHAnsi" w:eastAsia="SimSun" w:hAnsiTheme="majorHAnsi" w:cstheme="majorHAnsi"/>
          <w:color w:val="272727"/>
          <w:sz w:val="21"/>
          <w:szCs w:val="21"/>
          <w:lang w:eastAsia="zh-CN"/>
        </w:rPr>
        <w:t xml:space="preserve"> </w:t>
      </w:r>
      <w:r w:rsidRPr="000126F8">
        <w:rPr>
          <w:rFonts w:asciiTheme="majorHAnsi" w:eastAsia="SimSun" w:hAnsiTheme="majorHAnsi" w:cstheme="majorHAnsi"/>
          <w:b/>
          <w:bCs/>
          <w:color w:val="365F91"/>
          <w:sz w:val="21"/>
          <w:szCs w:val="21"/>
          <w:lang w:eastAsia="zh-CN"/>
        </w:rPr>
        <w:t>special tax treatment</w:t>
      </w:r>
      <w:r w:rsidRPr="00A60A30">
        <w:rPr>
          <w:rFonts w:asciiTheme="majorHAnsi" w:eastAsia="SimSun" w:hAnsiTheme="majorHAnsi" w:cstheme="majorHAnsi"/>
          <w:color w:val="0070C0"/>
          <w:sz w:val="21"/>
          <w:szCs w:val="21"/>
          <w:lang w:eastAsia="zh-CN"/>
        </w:rPr>
        <w:t xml:space="preserve"> </w:t>
      </w:r>
      <w:r w:rsidRPr="00384054">
        <w:rPr>
          <w:rFonts w:asciiTheme="majorHAnsi" w:eastAsia="SimSun" w:hAnsiTheme="majorHAnsi" w:cstheme="majorHAnsi"/>
          <w:color w:val="272727"/>
          <w:sz w:val="21"/>
          <w:szCs w:val="21"/>
          <w:lang w:eastAsia="zh-CN"/>
        </w:rPr>
        <w:t xml:space="preserve">or other benefits </w:t>
      </w:r>
      <w:r w:rsidRPr="000126F8">
        <w:rPr>
          <w:rFonts w:asciiTheme="majorHAnsi" w:eastAsia="SimSun" w:hAnsiTheme="majorHAnsi" w:cstheme="majorHAnsi"/>
          <w:b/>
          <w:bCs/>
          <w:color w:val="365F91"/>
          <w:sz w:val="21"/>
          <w:szCs w:val="21"/>
          <w:lang w:eastAsia="zh-CN"/>
        </w:rPr>
        <w:t>to investors in University accelerator  programs</w:t>
      </w:r>
      <w:r w:rsidRPr="00A60A30">
        <w:rPr>
          <w:rFonts w:asciiTheme="majorHAnsi" w:eastAsia="SimSun" w:hAnsiTheme="majorHAnsi" w:cstheme="majorHAnsi"/>
          <w:color w:val="0070C0"/>
          <w:sz w:val="21"/>
          <w:szCs w:val="21"/>
          <w:lang w:eastAsia="zh-CN"/>
        </w:rPr>
        <w:t xml:space="preserve"> </w:t>
      </w:r>
      <w:r w:rsidRPr="00384054">
        <w:rPr>
          <w:rFonts w:asciiTheme="majorHAnsi" w:eastAsia="SimSun" w:hAnsiTheme="majorHAnsi" w:cstheme="majorHAnsi"/>
          <w:color w:val="272727"/>
          <w:sz w:val="21"/>
          <w:szCs w:val="21"/>
          <w:lang w:eastAsia="zh-CN"/>
        </w:rPr>
        <w:t>or</w:t>
      </w:r>
      <w:r w:rsidR="00C661E1">
        <w:rPr>
          <w:rFonts w:asciiTheme="majorHAnsi" w:eastAsia="SimSun" w:hAnsiTheme="majorHAnsi" w:cstheme="majorHAnsi"/>
          <w:color w:val="272727"/>
          <w:sz w:val="21"/>
          <w:szCs w:val="21"/>
          <w:lang w:eastAsia="zh-CN"/>
        </w:rPr>
        <w:t>,</w:t>
      </w:r>
    </w:p>
    <w:p w14:paraId="13A603F9" w14:textId="77777777" w:rsidR="00384054" w:rsidRPr="009D6A9F" w:rsidRDefault="00384054" w:rsidP="009D6A9F">
      <w:pPr>
        <w:numPr>
          <w:ilvl w:val="0"/>
          <w:numId w:val="27"/>
        </w:numPr>
        <w:autoSpaceDE w:val="0"/>
        <w:autoSpaceDN w:val="0"/>
        <w:adjustRightInd w:val="0"/>
        <w:ind w:right="205"/>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Offering matching investment funding (with a cap) for private investments made into accelerator / incubator start-ups.</w:t>
      </w:r>
    </w:p>
    <w:p w14:paraId="13A603FB" w14:textId="77777777" w:rsidR="00384054" w:rsidRPr="00384054" w:rsidRDefault="009D6A9F" w:rsidP="004814CF">
      <w:pPr>
        <w:pStyle w:val="Heading1"/>
      </w:pPr>
      <w:bookmarkStart w:id="6" w:name="_Toc404874476"/>
      <w:r>
        <w:t xml:space="preserve">Response </w:t>
      </w:r>
      <w:r w:rsidR="00384054" w:rsidRPr="00384054">
        <w:t>5</w:t>
      </w:r>
      <w:r w:rsidR="006602FB">
        <w:t>: Research Training Programs</w:t>
      </w:r>
      <w:bookmarkEnd w:id="6"/>
    </w:p>
    <w:p w14:paraId="13A603FD" w14:textId="6FC2E9E8" w:rsidR="00DD29BA" w:rsidRPr="004814CF" w:rsidRDefault="000828A8" w:rsidP="004814CF">
      <w:pPr>
        <w:autoSpaceDE w:val="0"/>
        <w:autoSpaceDN w:val="0"/>
        <w:adjustRightInd w:val="0"/>
        <w:rPr>
          <w:rFonts w:asciiTheme="majorHAnsi" w:eastAsia="SimSun" w:hAnsiTheme="majorHAnsi" w:cstheme="majorHAnsi"/>
          <w:i/>
          <w:iCs/>
          <w:color w:val="272727"/>
          <w:sz w:val="21"/>
          <w:szCs w:val="21"/>
          <w:lang w:eastAsia="zh-CN"/>
        </w:rPr>
      </w:pPr>
      <w:r w:rsidRPr="000828A8">
        <w:rPr>
          <w:rFonts w:asciiTheme="majorHAnsi" w:eastAsia="SimSun" w:hAnsiTheme="majorHAnsi" w:cstheme="majorHAnsi"/>
          <w:i/>
          <w:iCs/>
          <w:color w:val="272727"/>
          <w:sz w:val="21"/>
          <w:szCs w:val="21"/>
          <w:lang w:eastAsia="zh-CN"/>
        </w:rPr>
        <w:t>Without</w:t>
      </w:r>
      <w:r w:rsidRPr="000828A8">
        <w:rPr>
          <w:rFonts w:asciiTheme="majorHAnsi" w:eastAsia="SimSun" w:hAnsiTheme="majorHAnsi" w:cstheme="majorHAnsi"/>
          <w:b/>
          <w:bCs/>
          <w:i/>
          <w:iCs/>
          <w:color w:val="272727"/>
          <w:sz w:val="21"/>
          <w:szCs w:val="21"/>
          <w:lang w:eastAsia="zh-CN"/>
        </w:rPr>
        <w:t xml:space="preserve"> </w:t>
      </w:r>
      <w:r w:rsidRPr="000828A8">
        <w:rPr>
          <w:rFonts w:asciiTheme="majorHAnsi" w:eastAsia="SimSun" w:hAnsiTheme="majorHAnsi" w:cstheme="majorHAnsi"/>
          <w:i/>
          <w:iCs/>
          <w:color w:val="272727"/>
          <w:sz w:val="21"/>
          <w:szCs w:val="21"/>
          <w:lang w:eastAsia="zh-CN"/>
        </w:rPr>
        <w:t>regulatory and taxation reform to; (</w:t>
      </w:r>
      <w:proofErr w:type="spellStart"/>
      <w:r w:rsidRPr="000828A8">
        <w:rPr>
          <w:rFonts w:asciiTheme="majorHAnsi" w:eastAsia="SimSun" w:hAnsiTheme="majorHAnsi" w:cstheme="majorHAnsi"/>
          <w:i/>
          <w:iCs/>
          <w:color w:val="272727"/>
          <w:sz w:val="21"/>
          <w:szCs w:val="21"/>
          <w:lang w:eastAsia="zh-CN"/>
        </w:rPr>
        <w:t>i</w:t>
      </w:r>
      <w:proofErr w:type="spellEnd"/>
      <w:r w:rsidRPr="000828A8">
        <w:rPr>
          <w:rFonts w:asciiTheme="majorHAnsi" w:eastAsia="SimSun" w:hAnsiTheme="majorHAnsi" w:cstheme="majorHAnsi"/>
          <w:i/>
          <w:iCs/>
          <w:color w:val="272727"/>
          <w:sz w:val="21"/>
          <w:szCs w:val="21"/>
          <w:lang w:eastAsia="zh-CN"/>
        </w:rPr>
        <w:t xml:space="preserve">) permit part-time higher degree research (HDR) students to receive income tax-free scholarships from industry and, (ii) the ability for higher degree research students to receive tax-free scholarships on the condition that they undertake a fixed- term placement in industry, there will be little change in the extent of meaningful </w:t>
      </w:r>
      <w:proofErr w:type="spellStart"/>
      <w:r w:rsidRPr="000828A8">
        <w:rPr>
          <w:rFonts w:asciiTheme="majorHAnsi" w:eastAsia="SimSun" w:hAnsiTheme="majorHAnsi" w:cstheme="majorHAnsi"/>
          <w:i/>
          <w:iCs/>
          <w:color w:val="272727"/>
          <w:sz w:val="21"/>
          <w:szCs w:val="21"/>
          <w:lang w:eastAsia="zh-CN"/>
        </w:rPr>
        <w:t>HDR</w:t>
      </w:r>
      <w:proofErr w:type="spellEnd"/>
      <w:r w:rsidRPr="000828A8">
        <w:rPr>
          <w:rFonts w:asciiTheme="majorHAnsi" w:eastAsia="SimSun" w:hAnsiTheme="majorHAnsi" w:cstheme="majorHAnsi"/>
          <w:i/>
          <w:iCs/>
          <w:color w:val="272727"/>
          <w:sz w:val="21"/>
          <w:szCs w:val="21"/>
          <w:lang w:eastAsia="zh-CN"/>
        </w:rPr>
        <w:t>-industry engagements.</w:t>
      </w:r>
    </w:p>
    <w:p w14:paraId="13A603FE" w14:textId="77777777" w:rsidR="00DD29BA" w:rsidRPr="00DD29BA" w:rsidRDefault="00DD29BA" w:rsidP="004814CF">
      <w:pPr>
        <w:pStyle w:val="Heading2"/>
        <w:rPr>
          <w:rFonts w:eastAsia="SimSun"/>
        </w:rPr>
      </w:pPr>
      <w:r w:rsidRPr="00DD29BA">
        <w:rPr>
          <w:rFonts w:eastAsia="SimSun"/>
        </w:rPr>
        <w:t>Discussion:</w:t>
      </w:r>
    </w:p>
    <w:p w14:paraId="13A603FF" w14:textId="77777777" w:rsidR="00384054" w:rsidRDefault="00384054" w:rsidP="004814CF">
      <w:pPr>
        <w:rPr>
          <w:rFonts w:asciiTheme="majorHAnsi" w:eastAsia="SimSun" w:hAnsiTheme="majorHAnsi" w:cstheme="majorHAnsi"/>
          <w:color w:val="000000"/>
          <w:sz w:val="21"/>
          <w:lang w:eastAsia="zh-CN"/>
        </w:rPr>
      </w:pPr>
      <w:r w:rsidRPr="00384054">
        <w:rPr>
          <w:rFonts w:asciiTheme="majorHAnsi" w:eastAsia="SimSun" w:hAnsiTheme="majorHAnsi" w:cstheme="majorHAnsi"/>
          <w:color w:val="000000"/>
          <w:sz w:val="21"/>
          <w:lang w:eastAsia="zh-CN"/>
        </w:rPr>
        <w:t xml:space="preserve">University of Tasmania strongly endorses the continuation and extension of funded research programmes that drive collaboration between industry and researchers. In particular, the Australian Research Council (ARC) </w:t>
      </w:r>
      <w:r w:rsidRPr="000126F8">
        <w:rPr>
          <w:rFonts w:asciiTheme="majorHAnsi" w:eastAsia="SimSun" w:hAnsiTheme="majorHAnsi" w:cstheme="majorHAnsi"/>
          <w:b/>
          <w:bCs/>
          <w:color w:val="365F91"/>
          <w:sz w:val="21"/>
          <w:szCs w:val="21"/>
          <w:lang w:eastAsia="zh-CN"/>
        </w:rPr>
        <w:t>Industrial Transformation Training Centres (ITTC)</w:t>
      </w:r>
      <w:r w:rsidRPr="00384054">
        <w:rPr>
          <w:rFonts w:asciiTheme="majorHAnsi" w:eastAsia="SimSun" w:hAnsiTheme="majorHAnsi" w:cstheme="majorHAnsi"/>
          <w:color w:val="000000"/>
          <w:sz w:val="21"/>
          <w:lang w:eastAsia="zh-CN"/>
        </w:rPr>
        <w:t xml:space="preserve"> appears to be a program creating enduring relationships between universities and industry partners.</w:t>
      </w:r>
    </w:p>
    <w:p w14:paraId="13A60400" w14:textId="77777777" w:rsidR="00A60A30" w:rsidRDefault="00F26610" w:rsidP="004814CF">
      <w:pPr>
        <w:rPr>
          <w:rFonts w:asciiTheme="majorHAnsi" w:eastAsia="SimSun" w:hAnsiTheme="majorHAnsi" w:cstheme="majorHAnsi"/>
          <w:color w:val="000000"/>
          <w:sz w:val="21"/>
          <w:lang w:eastAsia="zh-CN"/>
        </w:rPr>
      </w:pPr>
      <w:r w:rsidRPr="00F26610">
        <w:rPr>
          <w:rFonts w:asciiTheme="majorHAnsi" w:eastAsia="SimSun" w:hAnsiTheme="majorHAnsi" w:cstheme="majorHAnsi"/>
          <w:color w:val="000000"/>
          <w:sz w:val="21"/>
          <w:lang w:eastAsia="zh-CN"/>
        </w:rPr>
        <w:t xml:space="preserve">In </w:t>
      </w:r>
      <w:r>
        <w:rPr>
          <w:rFonts w:asciiTheme="majorHAnsi" w:eastAsia="SimSun" w:hAnsiTheme="majorHAnsi" w:cstheme="majorHAnsi"/>
          <w:color w:val="000000"/>
          <w:sz w:val="21"/>
          <w:lang w:eastAsia="zh-CN"/>
        </w:rPr>
        <w:t>the University of Tasmania’s experience</w:t>
      </w:r>
      <w:r w:rsidR="00F86472">
        <w:rPr>
          <w:rFonts w:asciiTheme="majorHAnsi" w:eastAsia="SimSun" w:hAnsiTheme="majorHAnsi" w:cstheme="majorHAnsi"/>
          <w:color w:val="000000"/>
          <w:sz w:val="21"/>
          <w:lang w:eastAsia="zh-CN"/>
        </w:rPr>
        <w:t>,</w:t>
      </w:r>
      <w:r>
        <w:rPr>
          <w:rFonts w:asciiTheme="majorHAnsi" w:eastAsia="SimSun" w:hAnsiTheme="majorHAnsi" w:cstheme="majorHAnsi"/>
          <w:color w:val="000000"/>
          <w:sz w:val="21"/>
          <w:lang w:eastAsia="zh-CN"/>
        </w:rPr>
        <w:t xml:space="preserve"> these programs has been able to support high quality research that has the potential to</w:t>
      </w:r>
      <w:r w:rsidR="009D6A9F">
        <w:rPr>
          <w:rFonts w:asciiTheme="majorHAnsi" w:eastAsia="SimSun" w:hAnsiTheme="majorHAnsi" w:cstheme="majorHAnsi"/>
          <w:color w:val="000000"/>
          <w:sz w:val="21"/>
          <w:lang w:eastAsia="zh-CN"/>
        </w:rPr>
        <w:t xml:space="preserve"> address industry goals</w:t>
      </w:r>
      <w:r>
        <w:rPr>
          <w:rFonts w:asciiTheme="majorHAnsi" w:eastAsia="SimSun" w:hAnsiTheme="majorHAnsi" w:cstheme="majorHAnsi"/>
          <w:color w:val="000000"/>
          <w:sz w:val="21"/>
          <w:lang w:eastAsia="zh-CN"/>
        </w:rPr>
        <w:t xml:space="preserve"> on terms which allow Universities to maintain </w:t>
      </w:r>
      <w:r w:rsidR="00F86472">
        <w:rPr>
          <w:rFonts w:asciiTheme="majorHAnsi" w:eastAsia="SimSun" w:hAnsiTheme="majorHAnsi" w:cstheme="majorHAnsi"/>
          <w:color w:val="000000"/>
          <w:sz w:val="21"/>
          <w:lang w:eastAsia="zh-CN"/>
        </w:rPr>
        <w:t>strong</w:t>
      </w:r>
      <w:r w:rsidR="009D6A9F">
        <w:rPr>
          <w:rFonts w:asciiTheme="majorHAnsi" w:eastAsia="SimSun" w:hAnsiTheme="majorHAnsi" w:cstheme="majorHAnsi"/>
          <w:color w:val="000000"/>
          <w:sz w:val="21"/>
          <w:lang w:eastAsia="zh-CN"/>
        </w:rPr>
        <w:t xml:space="preserve"> research integrity</w:t>
      </w:r>
      <w:r>
        <w:rPr>
          <w:rFonts w:asciiTheme="majorHAnsi" w:eastAsia="SimSun" w:hAnsiTheme="majorHAnsi" w:cstheme="majorHAnsi"/>
          <w:color w:val="000000"/>
          <w:sz w:val="21"/>
          <w:lang w:eastAsia="zh-CN"/>
        </w:rPr>
        <w:t xml:space="preserve"> </w:t>
      </w:r>
      <w:r w:rsidR="009D6A9F">
        <w:rPr>
          <w:rFonts w:asciiTheme="majorHAnsi" w:eastAsia="SimSun" w:hAnsiTheme="majorHAnsi" w:cstheme="majorHAnsi"/>
          <w:color w:val="000000"/>
          <w:sz w:val="21"/>
          <w:lang w:eastAsia="zh-CN"/>
        </w:rPr>
        <w:t xml:space="preserve">and </w:t>
      </w:r>
      <w:r>
        <w:rPr>
          <w:rFonts w:asciiTheme="majorHAnsi" w:eastAsia="SimSun" w:hAnsiTheme="majorHAnsi" w:cstheme="majorHAnsi"/>
          <w:color w:val="000000"/>
          <w:sz w:val="21"/>
          <w:lang w:eastAsia="zh-CN"/>
        </w:rPr>
        <w:t xml:space="preserve">meet </w:t>
      </w:r>
      <w:r w:rsidR="006602FB">
        <w:rPr>
          <w:rFonts w:asciiTheme="majorHAnsi" w:eastAsia="SimSun" w:hAnsiTheme="majorHAnsi" w:cstheme="majorHAnsi"/>
          <w:color w:val="000000"/>
          <w:sz w:val="21"/>
          <w:lang w:eastAsia="zh-CN"/>
        </w:rPr>
        <w:t>their</w:t>
      </w:r>
      <w:r>
        <w:rPr>
          <w:rFonts w:asciiTheme="majorHAnsi" w:eastAsia="SimSun" w:hAnsiTheme="majorHAnsi" w:cstheme="majorHAnsi"/>
          <w:color w:val="000000"/>
          <w:sz w:val="21"/>
          <w:lang w:eastAsia="zh-CN"/>
        </w:rPr>
        <w:t xml:space="preserve"> obligation</w:t>
      </w:r>
      <w:r w:rsidR="00F86472">
        <w:rPr>
          <w:rFonts w:asciiTheme="majorHAnsi" w:eastAsia="SimSun" w:hAnsiTheme="majorHAnsi" w:cstheme="majorHAnsi"/>
          <w:color w:val="000000"/>
          <w:sz w:val="21"/>
          <w:lang w:eastAsia="zh-CN"/>
        </w:rPr>
        <w:t>s</w:t>
      </w:r>
      <w:r>
        <w:rPr>
          <w:rFonts w:asciiTheme="majorHAnsi" w:eastAsia="SimSun" w:hAnsiTheme="majorHAnsi" w:cstheme="majorHAnsi"/>
          <w:color w:val="000000"/>
          <w:sz w:val="21"/>
          <w:lang w:eastAsia="zh-CN"/>
        </w:rPr>
        <w:t xml:space="preserve"> to offer students a high quality education</w:t>
      </w:r>
      <w:r w:rsidR="006602FB">
        <w:rPr>
          <w:rFonts w:asciiTheme="majorHAnsi" w:eastAsia="SimSun" w:hAnsiTheme="majorHAnsi" w:cstheme="majorHAnsi"/>
          <w:color w:val="000000"/>
          <w:sz w:val="21"/>
          <w:lang w:eastAsia="zh-CN"/>
        </w:rPr>
        <w:t>al</w:t>
      </w:r>
      <w:r>
        <w:rPr>
          <w:rFonts w:asciiTheme="majorHAnsi" w:eastAsia="SimSun" w:hAnsiTheme="majorHAnsi" w:cstheme="majorHAnsi"/>
          <w:color w:val="000000"/>
          <w:sz w:val="21"/>
          <w:lang w:eastAsia="zh-CN"/>
        </w:rPr>
        <w:t xml:space="preserve"> experience</w:t>
      </w:r>
      <w:r w:rsidR="009D6A9F">
        <w:rPr>
          <w:rFonts w:asciiTheme="majorHAnsi" w:eastAsia="SimSun" w:hAnsiTheme="majorHAnsi" w:cstheme="majorHAnsi"/>
          <w:color w:val="000000"/>
          <w:sz w:val="21"/>
          <w:lang w:eastAsia="zh-CN"/>
        </w:rPr>
        <w:t>,</w:t>
      </w:r>
      <w:r>
        <w:rPr>
          <w:rFonts w:asciiTheme="majorHAnsi" w:eastAsia="SimSun" w:hAnsiTheme="majorHAnsi" w:cstheme="majorHAnsi"/>
          <w:color w:val="000000"/>
          <w:sz w:val="21"/>
          <w:lang w:eastAsia="zh-CN"/>
        </w:rPr>
        <w:t xml:space="preserve"> </w:t>
      </w:r>
      <w:r w:rsidR="00F86472">
        <w:rPr>
          <w:rFonts w:asciiTheme="majorHAnsi" w:eastAsia="SimSun" w:hAnsiTheme="majorHAnsi" w:cstheme="majorHAnsi"/>
          <w:color w:val="000000"/>
          <w:sz w:val="21"/>
          <w:lang w:eastAsia="zh-CN"/>
        </w:rPr>
        <w:t>while</w:t>
      </w:r>
      <w:r>
        <w:rPr>
          <w:rFonts w:asciiTheme="majorHAnsi" w:eastAsia="SimSun" w:hAnsiTheme="majorHAnsi" w:cstheme="majorHAnsi"/>
          <w:color w:val="000000"/>
          <w:sz w:val="21"/>
          <w:lang w:eastAsia="zh-CN"/>
        </w:rPr>
        <w:t xml:space="preserve"> </w:t>
      </w:r>
      <w:r w:rsidR="009D6A9F">
        <w:rPr>
          <w:rFonts w:asciiTheme="majorHAnsi" w:eastAsia="SimSun" w:hAnsiTheme="majorHAnsi" w:cstheme="majorHAnsi"/>
          <w:color w:val="000000"/>
          <w:sz w:val="21"/>
          <w:lang w:eastAsia="zh-CN"/>
        </w:rPr>
        <w:t xml:space="preserve">at the same time </w:t>
      </w:r>
      <w:r>
        <w:rPr>
          <w:rFonts w:asciiTheme="majorHAnsi" w:eastAsia="SimSun" w:hAnsiTheme="majorHAnsi" w:cstheme="majorHAnsi"/>
          <w:color w:val="000000"/>
          <w:sz w:val="21"/>
          <w:lang w:eastAsia="zh-CN"/>
        </w:rPr>
        <w:t>creating com</w:t>
      </w:r>
      <w:r w:rsidR="00F86472">
        <w:rPr>
          <w:rFonts w:asciiTheme="majorHAnsi" w:eastAsia="SimSun" w:hAnsiTheme="majorHAnsi" w:cstheme="majorHAnsi"/>
          <w:color w:val="000000"/>
          <w:sz w:val="21"/>
          <w:lang w:eastAsia="zh-CN"/>
        </w:rPr>
        <w:t>m</w:t>
      </w:r>
      <w:r>
        <w:rPr>
          <w:rFonts w:asciiTheme="majorHAnsi" w:eastAsia="SimSun" w:hAnsiTheme="majorHAnsi" w:cstheme="majorHAnsi"/>
          <w:color w:val="000000"/>
          <w:sz w:val="21"/>
          <w:lang w:eastAsia="zh-CN"/>
        </w:rPr>
        <w:t>er</w:t>
      </w:r>
      <w:r w:rsidR="00F86472">
        <w:rPr>
          <w:rFonts w:asciiTheme="majorHAnsi" w:eastAsia="SimSun" w:hAnsiTheme="majorHAnsi" w:cstheme="majorHAnsi"/>
          <w:color w:val="000000"/>
          <w:sz w:val="21"/>
          <w:lang w:eastAsia="zh-CN"/>
        </w:rPr>
        <w:t>cial value and enduring relationships with industry.</w:t>
      </w:r>
      <w:r>
        <w:rPr>
          <w:rFonts w:asciiTheme="majorHAnsi" w:eastAsia="SimSun" w:hAnsiTheme="majorHAnsi" w:cstheme="majorHAnsi"/>
          <w:color w:val="000000"/>
          <w:sz w:val="21"/>
          <w:lang w:eastAsia="zh-CN"/>
        </w:rPr>
        <w:t xml:space="preserve"> </w:t>
      </w:r>
    </w:p>
    <w:p w14:paraId="13A60401" w14:textId="77777777" w:rsidR="00F26610" w:rsidRPr="00F26610" w:rsidRDefault="00A60A30" w:rsidP="004814CF">
      <w:pPr>
        <w:rPr>
          <w:rFonts w:asciiTheme="majorHAnsi" w:eastAsia="SimSun" w:hAnsiTheme="majorHAnsi" w:cstheme="majorHAnsi"/>
          <w:color w:val="000000"/>
          <w:sz w:val="21"/>
          <w:lang w:eastAsia="zh-CN"/>
        </w:rPr>
      </w:pPr>
      <w:r>
        <w:rPr>
          <w:rFonts w:asciiTheme="majorHAnsi" w:eastAsia="SimSun" w:hAnsiTheme="majorHAnsi" w:cstheme="majorHAnsi"/>
          <w:color w:val="000000"/>
          <w:sz w:val="21"/>
          <w:lang w:eastAsia="zh-CN"/>
        </w:rPr>
        <w:t xml:space="preserve">The University of Tasmania’s joint venture with the </w:t>
      </w:r>
      <w:r w:rsidR="00560787">
        <w:rPr>
          <w:rFonts w:asciiTheme="majorHAnsi" w:eastAsia="SimSun" w:hAnsiTheme="majorHAnsi" w:cstheme="majorHAnsi"/>
          <w:color w:val="000000"/>
          <w:sz w:val="21"/>
          <w:lang w:eastAsia="zh-CN"/>
        </w:rPr>
        <w:t xml:space="preserve">Tasmanian Government </w:t>
      </w:r>
      <w:r>
        <w:rPr>
          <w:rFonts w:asciiTheme="majorHAnsi" w:eastAsia="SimSun" w:hAnsiTheme="majorHAnsi" w:cstheme="majorHAnsi"/>
          <w:color w:val="000000"/>
          <w:sz w:val="21"/>
          <w:lang w:eastAsia="zh-CN"/>
        </w:rPr>
        <w:t xml:space="preserve">– the </w:t>
      </w:r>
      <w:r w:rsidR="00560787">
        <w:rPr>
          <w:rFonts w:asciiTheme="majorHAnsi" w:eastAsia="SimSun" w:hAnsiTheme="majorHAnsi" w:cstheme="majorHAnsi"/>
          <w:color w:val="000000"/>
          <w:sz w:val="21"/>
          <w:lang w:eastAsia="zh-CN"/>
        </w:rPr>
        <w:t>Tasmanian</w:t>
      </w:r>
      <w:r>
        <w:rPr>
          <w:rFonts w:asciiTheme="majorHAnsi" w:eastAsia="SimSun" w:hAnsiTheme="majorHAnsi" w:cstheme="majorHAnsi"/>
          <w:color w:val="000000"/>
          <w:sz w:val="21"/>
          <w:lang w:eastAsia="zh-CN"/>
        </w:rPr>
        <w:t xml:space="preserve"> Institute of Agriculture (TIA), is another example of an effective model to facilitate long term </w:t>
      </w:r>
      <w:r w:rsidR="00DC0C53">
        <w:rPr>
          <w:rFonts w:asciiTheme="majorHAnsi" w:eastAsia="SimSun" w:hAnsiTheme="majorHAnsi" w:cstheme="majorHAnsi"/>
          <w:color w:val="000000"/>
          <w:sz w:val="21"/>
          <w:lang w:eastAsia="zh-CN"/>
        </w:rPr>
        <w:t xml:space="preserve">collaboration. </w:t>
      </w:r>
      <w:r w:rsidR="00DC0C53" w:rsidRPr="00DC0C53">
        <w:rPr>
          <w:rFonts w:asciiTheme="majorHAnsi" w:eastAsia="SimSun" w:hAnsiTheme="majorHAnsi" w:cstheme="majorHAnsi"/>
          <w:color w:val="000000"/>
          <w:sz w:val="21"/>
          <w:lang w:eastAsia="zh-CN"/>
        </w:rPr>
        <w:t xml:space="preserve">This partnership has brought together the resources of the </w:t>
      </w:r>
      <w:r w:rsidR="00560787">
        <w:rPr>
          <w:rFonts w:asciiTheme="majorHAnsi" w:eastAsia="SimSun" w:hAnsiTheme="majorHAnsi" w:cstheme="majorHAnsi"/>
          <w:color w:val="000000"/>
          <w:sz w:val="21"/>
          <w:lang w:eastAsia="zh-CN"/>
        </w:rPr>
        <w:t>State</w:t>
      </w:r>
      <w:r w:rsidR="00DC0C53" w:rsidRPr="00DC0C53">
        <w:rPr>
          <w:rFonts w:asciiTheme="majorHAnsi" w:eastAsia="SimSun" w:hAnsiTheme="majorHAnsi" w:cstheme="majorHAnsi"/>
          <w:color w:val="000000"/>
          <w:sz w:val="21"/>
          <w:lang w:eastAsia="zh-CN"/>
        </w:rPr>
        <w:t xml:space="preserve"> Government with the scientific research and teaching capacity of the University to create a centre of excellence in agricultural research, development, extension, education and training. TIA's activities are funded by the </w:t>
      </w:r>
      <w:r w:rsidR="00A91B5F">
        <w:rPr>
          <w:rFonts w:asciiTheme="majorHAnsi" w:eastAsia="SimSun" w:hAnsiTheme="majorHAnsi" w:cstheme="majorHAnsi"/>
          <w:color w:val="000000"/>
          <w:sz w:val="21"/>
          <w:lang w:eastAsia="zh-CN"/>
        </w:rPr>
        <w:t>State</w:t>
      </w:r>
      <w:r w:rsidR="00DC0C53" w:rsidRPr="00DC0C53">
        <w:rPr>
          <w:rFonts w:asciiTheme="majorHAnsi" w:eastAsia="SimSun" w:hAnsiTheme="majorHAnsi" w:cstheme="majorHAnsi"/>
          <w:color w:val="000000"/>
          <w:sz w:val="21"/>
          <w:lang w:eastAsia="zh-CN"/>
        </w:rPr>
        <w:t xml:space="preserve"> Government, </w:t>
      </w:r>
      <w:r w:rsidR="007B1CBD">
        <w:rPr>
          <w:rFonts w:asciiTheme="majorHAnsi" w:eastAsia="SimSun" w:hAnsiTheme="majorHAnsi" w:cstheme="majorHAnsi"/>
          <w:color w:val="000000"/>
          <w:sz w:val="21"/>
          <w:lang w:eastAsia="zh-CN"/>
        </w:rPr>
        <w:t>the University of Tasmania</w:t>
      </w:r>
      <w:r w:rsidR="00DC0C53" w:rsidRPr="00DC0C53">
        <w:rPr>
          <w:rFonts w:asciiTheme="majorHAnsi" w:eastAsia="SimSun" w:hAnsiTheme="majorHAnsi" w:cstheme="majorHAnsi"/>
          <w:color w:val="000000"/>
          <w:sz w:val="21"/>
          <w:lang w:eastAsia="zh-CN"/>
        </w:rPr>
        <w:t>, agricultural research, development and extension organisations, resource management organisations, other granting bodies and industry.</w:t>
      </w:r>
    </w:p>
    <w:p w14:paraId="13A60402" w14:textId="77777777" w:rsidR="00384054" w:rsidRDefault="00384054" w:rsidP="004814CF">
      <w:pPr>
        <w:rPr>
          <w:rFonts w:asciiTheme="majorHAnsi" w:eastAsia="SimSun" w:hAnsiTheme="majorHAnsi" w:cstheme="majorHAnsi"/>
          <w:color w:val="000000"/>
          <w:sz w:val="21"/>
          <w:lang w:eastAsia="zh-CN"/>
        </w:rPr>
      </w:pPr>
      <w:r w:rsidRPr="00384054">
        <w:rPr>
          <w:rFonts w:asciiTheme="majorHAnsi" w:eastAsia="SimSun" w:hAnsiTheme="majorHAnsi" w:cstheme="majorHAnsi"/>
          <w:color w:val="000000"/>
          <w:sz w:val="21"/>
          <w:lang w:eastAsia="zh-CN"/>
        </w:rPr>
        <w:t>However, there is scope to remove barriers which currently limit the opportunities to place postgraduate students in industry settings as part of their study programs. Currently, barriers exist in the areas of; (a) taxation in relation to industry sponsored postgraduate research (including scholarships) and (b) the ineligibility of part-time students to receive scholarships and financial industry support on a tax-free basis.</w:t>
      </w:r>
    </w:p>
    <w:p w14:paraId="13A60403" w14:textId="77777777" w:rsidR="00F86472" w:rsidRPr="00237C56" w:rsidRDefault="00F86472" w:rsidP="004814CF">
      <w:pPr>
        <w:rPr>
          <w:rFonts w:asciiTheme="majorHAnsi" w:eastAsia="SimSun" w:hAnsiTheme="majorHAnsi" w:cstheme="majorHAnsi"/>
          <w:sz w:val="21"/>
          <w:szCs w:val="21"/>
          <w:lang w:eastAsia="zh-CN"/>
        </w:rPr>
      </w:pPr>
      <w:r w:rsidRPr="00237C56">
        <w:rPr>
          <w:rFonts w:asciiTheme="majorHAnsi" w:eastAsia="SimSun" w:hAnsiTheme="majorHAnsi" w:cstheme="majorHAnsi"/>
          <w:sz w:val="21"/>
          <w:szCs w:val="21"/>
          <w:lang w:eastAsia="zh-CN"/>
        </w:rPr>
        <w:t xml:space="preserve">Others have already </w:t>
      </w:r>
      <w:proofErr w:type="gramStart"/>
      <w:r w:rsidRPr="00237C56">
        <w:rPr>
          <w:rFonts w:asciiTheme="majorHAnsi" w:eastAsia="SimSun" w:hAnsiTheme="majorHAnsi" w:cstheme="majorHAnsi"/>
          <w:sz w:val="21"/>
          <w:szCs w:val="21"/>
          <w:lang w:eastAsia="zh-CN"/>
        </w:rPr>
        <w:t>reported</w:t>
      </w:r>
      <w:r w:rsidR="0084774F" w:rsidRPr="00237C56">
        <w:rPr>
          <w:rStyle w:val="FootnoteReference"/>
          <w:rFonts w:asciiTheme="majorHAnsi" w:eastAsia="SimSun" w:hAnsiTheme="majorHAnsi" w:cstheme="majorHAnsi"/>
          <w:sz w:val="21"/>
          <w:szCs w:val="21"/>
          <w:lang w:eastAsia="zh-CN"/>
        </w:rPr>
        <w:footnoteReference w:id="9"/>
      </w:r>
      <w:r w:rsidR="006602FB" w:rsidRPr="006602FB">
        <w:rPr>
          <w:rFonts w:asciiTheme="majorHAnsi" w:eastAsia="SimSun" w:hAnsiTheme="majorHAnsi" w:cstheme="majorHAnsi"/>
          <w:sz w:val="21"/>
          <w:szCs w:val="21"/>
          <w:vertAlign w:val="superscript"/>
          <w:lang w:eastAsia="zh-CN"/>
        </w:rPr>
        <w:t>,</w:t>
      </w:r>
      <w:r w:rsidR="0084774F" w:rsidRPr="00237C56">
        <w:rPr>
          <w:rStyle w:val="FootnoteReference"/>
          <w:rFonts w:asciiTheme="majorHAnsi" w:eastAsia="SimSun" w:hAnsiTheme="majorHAnsi" w:cstheme="majorHAnsi"/>
          <w:sz w:val="21"/>
          <w:szCs w:val="21"/>
          <w:lang w:eastAsia="zh-CN"/>
        </w:rPr>
        <w:footnoteReference w:id="10"/>
      </w:r>
      <w:proofErr w:type="gramEnd"/>
      <w:r w:rsidRPr="00237C56">
        <w:rPr>
          <w:rFonts w:asciiTheme="majorHAnsi" w:eastAsia="SimSun" w:hAnsiTheme="majorHAnsi" w:cstheme="majorHAnsi"/>
          <w:sz w:val="21"/>
          <w:szCs w:val="21"/>
          <w:lang w:eastAsia="zh-CN"/>
        </w:rPr>
        <w:t xml:space="preserve"> that, students graduating from research programs involving industry partnerships and placements develop a broad suite of skills and are typically highly </w:t>
      </w:r>
      <w:r w:rsidRPr="00237C56">
        <w:rPr>
          <w:rFonts w:asciiTheme="majorHAnsi" w:eastAsia="SimSun" w:hAnsiTheme="majorHAnsi" w:cstheme="majorHAnsi"/>
          <w:sz w:val="21"/>
          <w:szCs w:val="21"/>
          <w:lang w:eastAsia="zh-CN"/>
        </w:rPr>
        <w:lastRenderedPageBreak/>
        <w:t>successful in securing industry employment. For this reason the Unive</w:t>
      </w:r>
      <w:r w:rsidR="006602FB">
        <w:rPr>
          <w:rFonts w:asciiTheme="majorHAnsi" w:eastAsia="SimSun" w:hAnsiTheme="majorHAnsi" w:cstheme="majorHAnsi"/>
          <w:sz w:val="21"/>
          <w:szCs w:val="21"/>
          <w:lang w:eastAsia="zh-CN"/>
        </w:rPr>
        <w:t>rsity of Tasmania would welcome</w:t>
      </w:r>
      <w:r w:rsidRPr="00237C56">
        <w:rPr>
          <w:rFonts w:asciiTheme="majorHAnsi" w:eastAsia="SimSun" w:hAnsiTheme="majorHAnsi" w:cstheme="majorHAnsi"/>
          <w:sz w:val="21"/>
          <w:szCs w:val="21"/>
          <w:lang w:eastAsia="zh-CN"/>
        </w:rPr>
        <w:t xml:space="preserve"> the extension of the programs and/or others like it as a vehicle to create highly competitive graduates.</w:t>
      </w:r>
    </w:p>
    <w:p w14:paraId="13A60404" w14:textId="77777777" w:rsidR="00B06A95" w:rsidRDefault="00384054" w:rsidP="004814CF">
      <w:pPr>
        <w:rPr>
          <w:rFonts w:asciiTheme="majorHAnsi" w:eastAsia="SimSun" w:hAnsiTheme="majorHAnsi" w:cstheme="majorHAnsi"/>
          <w:sz w:val="21"/>
          <w:szCs w:val="21"/>
          <w:lang w:eastAsia="zh-CN"/>
        </w:rPr>
      </w:pPr>
      <w:r w:rsidRPr="00237C56">
        <w:rPr>
          <w:rFonts w:asciiTheme="majorHAnsi" w:eastAsia="SimSun" w:hAnsiTheme="majorHAnsi" w:cstheme="majorHAnsi"/>
          <w:sz w:val="21"/>
          <w:szCs w:val="21"/>
          <w:lang w:eastAsia="zh-CN"/>
        </w:rPr>
        <w:t xml:space="preserve">We </w:t>
      </w:r>
      <w:r w:rsidR="00A91B5F" w:rsidRPr="00237C56">
        <w:rPr>
          <w:rFonts w:asciiTheme="majorHAnsi" w:eastAsia="SimSun" w:hAnsiTheme="majorHAnsi" w:cstheme="majorHAnsi"/>
          <w:sz w:val="21"/>
          <w:szCs w:val="21"/>
          <w:lang w:eastAsia="zh-CN"/>
        </w:rPr>
        <w:t>submit</w:t>
      </w:r>
      <w:r w:rsidRPr="00237C56">
        <w:rPr>
          <w:rFonts w:asciiTheme="majorHAnsi" w:eastAsia="SimSun" w:hAnsiTheme="majorHAnsi" w:cstheme="majorHAnsi"/>
          <w:sz w:val="21"/>
          <w:szCs w:val="21"/>
          <w:lang w:eastAsia="zh-CN"/>
        </w:rPr>
        <w:t xml:space="preserve"> that a review of mechanisms to increase industry relevant research training should take into account the fact that not all industry experience is gained while persons are </w:t>
      </w:r>
      <w:r w:rsidRPr="006602FB">
        <w:rPr>
          <w:rFonts w:asciiTheme="majorHAnsi" w:eastAsia="SimSun" w:hAnsiTheme="majorHAnsi" w:cstheme="majorHAnsi"/>
          <w:i/>
          <w:iCs/>
          <w:sz w:val="21"/>
          <w:szCs w:val="21"/>
          <w:lang w:eastAsia="zh-CN"/>
        </w:rPr>
        <w:t>exclusively</w:t>
      </w:r>
      <w:r w:rsidRPr="00237C56">
        <w:rPr>
          <w:rFonts w:asciiTheme="majorHAnsi" w:eastAsia="SimSun" w:hAnsiTheme="majorHAnsi" w:cstheme="majorHAnsi"/>
          <w:sz w:val="21"/>
          <w:szCs w:val="21"/>
          <w:lang w:eastAsia="zh-CN"/>
        </w:rPr>
        <w:t xml:space="preserve"> in the employ of industry, and in particular should consider industry’s ability to offer tax-free scholarships.</w:t>
      </w:r>
      <w:r w:rsidR="00237C56">
        <w:rPr>
          <w:rFonts w:asciiTheme="majorHAnsi" w:eastAsia="SimSun" w:hAnsiTheme="majorHAnsi" w:cstheme="majorHAnsi"/>
          <w:sz w:val="21"/>
          <w:szCs w:val="21"/>
          <w:lang w:eastAsia="zh-CN"/>
        </w:rPr>
        <w:t xml:space="preserve"> </w:t>
      </w:r>
    </w:p>
    <w:p w14:paraId="13A60406" w14:textId="77777777" w:rsidR="00384054" w:rsidRPr="00384054" w:rsidRDefault="00237C56" w:rsidP="00237C56">
      <w:pPr>
        <w:rPr>
          <w:rFonts w:asciiTheme="majorHAnsi" w:eastAsia="SimSun" w:hAnsiTheme="majorHAnsi" w:cstheme="majorHAnsi"/>
          <w:lang w:eastAsia="zh-CN"/>
        </w:rPr>
      </w:pPr>
      <w:r>
        <w:rPr>
          <w:rFonts w:asciiTheme="majorHAnsi" w:eastAsia="SimSun" w:hAnsiTheme="majorHAnsi" w:cstheme="majorHAnsi"/>
          <w:sz w:val="21"/>
          <w:szCs w:val="21"/>
          <w:lang w:eastAsia="zh-CN"/>
        </w:rPr>
        <w:t>Specifically we recommend a review of the following areas;</w:t>
      </w:r>
    </w:p>
    <w:p w14:paraId="13A60407" w14:textId="77777777" w:rsidR="00384054" w:rsidRPr="00384054" w:rsidRDefault="00384054" w:rsidP="000126F8">
      <w:pPr>
        <w:autoSpaceDE w:val="0"/>
        <w:autoSpaceDN w:val="0"/>
        <w:adjustRightInd w:val="0"/>
        <w:rPr>
          <w:rFonts w:asciiTheme="majorHAnsi" w:eastAsia="Times New Roman" w:hAnsiTheme="majorHAnsi" w:cstheme="majorHAnsi"/>
          <w:sz w:val="21"/>
          <w:szCs w:val="21"/>
          <w:lang w:val="en-US"/>
        </w:rPr>
      </w:pPr>
      <w:r w:rsidRPr="00384054">
        <w:rPr>
          <w:rFonts w:asciiTheme="majorHAnsi" w:eastAsia="Times New Roman" w:hAnsiTheme="majorHAnsi" w:cstheme="majorHAnsi"/>
          <w:sz w:val="21"/>
          <w:szCs w:val="21"/>
          <w:u w:val="single"/>
          <w:lang w:val="en-US"/>
        </w:rPr>
        <w:t>Part-Time Scholarships</w:t>
      </w:r>
      <w:r w:rsidRPr="00384054">
        <w:rPr>
          <w:rFonts w:asciiTheme="majorHAnsi" w:eastAsia="Times New Roman" w:hAnsiTheme="majorHAnsi" w:cstheme="majorHAnsi"/>
          <w:sz w:val="21"/>
          <w:szCs w:val="21"/>
          <w:lang w:val="en-US"/>
        </w:rPr>
        <w:t xml:space="preserve">: Students who are both </w:t>
      </w:r>
      <w:r w:rsidRPr="000126F8">
        <w:rPr>
          <w:rFonts w:asciiTheme="majorHAnsi" w:eastAsia="SimSun" w:hAnsiTheme="majorHAnsi" w:cstheme="majorHAnsi"/>
          <w:b/>
          <w:bCs/>
          <w:color w:val="365F91"/>
          <w:sz w:val="21"/>
          <w:szCs w:val="21"/>
          <w:lang w:eastAsia="zh-CN"/>
        </w:rPr>
        <w:t>part-time employees and part-time students are ineligible to receive income tax-free scholarships</w:t>
      </w:r>
      <w:r w:rsidRPr="00475E19">
        <w:rPr>
          <w:rFonts w:asciiTheme="majorHAnsi" w:eastAsia="Times New Roman" w:hAnsiTheme="majorHAnsi" w:cstheme="majorHAnsi"/>
          <w:color w:val="0070C0"/>
          <w:sz w:val="21"/>
          <w:szCs w:val="21"/>
          <w:lang w:val="en-US"/>
        </w:rPr>
        <w:t xml:space="preserve"> </w:t>
      </w:r>
      <w:r w:rsidRPr="00384054">
        <w:rPr>
          <w:rFonts w:asciiTheme="majorHAnsi" w:eastAsia="Times New Roman" w:hAnsiTheme="majorHAnsi" w:cstheme="majorHAnsi"/>
          <w:sz w:val="21"/>
          <w:szCs w:val="21"/>
          <w:lang w:val="en-US"/>
        </w:rPr>
        <w:t xml:space="preserve">(whether or not from their employer) based on s51-10 of the </w:t>
      </w:r>
      <w:r w:rsidRPr="00384054">
        <w:rPr>
          <w:rFonts w:asciiTheme="majorHAnsi" w:eastAsia="Times New Roman" w:hAnsiTheme="majorHAnsi" w:cstheme="majorHAnsi"/>
          <w:i/>
          <w:iCs/>
          <w:sz w:val="21"/>
          <w:szCs w:val="21"/>
          <w:lang w:val="en-US"/>
        </w:rPr>
        <w:t>Income Tax Assessment Act 1997</w:t>
      </w:r>
      <w:r w:rsidRPr="00384054">
        <w:rPr>
          <w:rFonts w:asciiTheme="majorHAnsi" w:eastAsia="Times New Roman" w:hAnsiTheme="majorHAnsi" w:cstheme="majorHAnsi"/>
          <w:sz w:val="21"/>
          <w:szCs w:val="21"/>
          <w:lang w:val="en-US"/>
        </w:rPr>
        <w:t xml:space="preserve">. </w:t>
      </w:r>
      <w:r w:rsidRPr="000126F8">
        <w:rPr>
          <w:rFonts w:asciiTheme="majorHAnsi" w:eastAsia="SimSun" w:hAnsiTheme="majorHAnsi" w:cstheme="majorHAnsi"/>
          <w:b/>
          <w:bCs/>
          <w:color w:val="365F91"/>
          <w:sz w:val="21"/>
          <w:szCs w:val="21"/>
          <w:lang w:eastAsia="zh-CN"/>
        </w:rPr>
        <w:t>Scholarships</w:t>
      </w:r>
      <w:r w:rsidRPr="00384054">
        <w:rPr>
          <w:rFonts w:asciiTheme="majorHAnsi" w:eastAsia="Times New Roman" w:hAnsiTheme="majorHAnsi" w:cstheme="majorHAnsi"/>
          <w:sz w:val="21"/>
          <w:szCs w:val="21"/>
          <w:lang w:val="en-US"/>
        </w:rPr>
        <w:t xml:space="preserve"> paid by industry to their employees undertaking research training that is </w:t>
      </w:r>
      <w:r w:rsidRPr="00384054">
        <w:rPr>
          <w:rFonts w:asciiTheme="majorHAnsi" w:eastAsia="Times New Roman" w:hAnsiTheme="majorHAnsi" w:cstheme="majorHAnsi"/>
          <w:i/>
          <w:iCs/>
          <w:sz w:val="21"/>
          <w:szCs w:val="21"/>
          <w:lang w:val="en-US"/>
        </w:rPr>
        <w:t>related to their employment</w:t>
      </w:r>
      <w:r w:rsidRPr="00384054">
        <w:rPr>
          <w:rFonts w:asciiTheme="majorHAnsi" w:eastAsia="Times New Roman" w:hAnsiTheme="majorHAnsi" w:cstheme="majorHAnsi"/>
          <w:sz w:val="21"/>
          <w:szCs w:val="21"/>
          <w:lang w:val="en-US"/>
        </w:rPr>
        <w:t xml:space="preserve"> are also likely to be </w:t>
      </w:r>
      <w:r w:rsidRPr="000126F8">
        <w:rPr>
          <w:rFonts w:asciiTheme="majorHAnsi" w:eastAsia="SimSun" w:hAnsiTheme="majorHAnsi" w:cstheme="majorHAnsi"/>
          <w:b/>
          <w:bCs/>
          <w:color w:val="365F91"/>
          <w:sz w:val="21"/>
          <w:szCs w:val="21"/>
          <w:lang w:eastAsia="zh-CN"/>
        </w:rPr>
        <w:t>taxable</w:t>
      </w:r>
      <w:r w:rsidRPr="00384054">
        <w:rPr>
          <w:rFonts w:asciiTheme="majorHAnsi" w:eastAsia="Times New Roman" w:hAnsiTheme="majorHAnsi" w:cstheme="majorHAnsi"/>
          <w:sz w:val="21"/>
          <w:szCs w:val="21"/>
          <w:lang w:val="en-US"/>
        </w:rPr>
        <w:t xml:space="preserve">. In our experience, this is </w:t>
      </w:r>
      <w:r w:rsidRPr="000126F8">
        <w:rPr>
          <w:rFonts w:asciiTheme="majorHAnsi" w:eastAsia="SimSun" w:hAnsiTheme="majorHAnsi" w:cstheme="majorHAnsi"/>
          <w:b/>
          <w:bCs/>
          <w:color w:val="365F91"/>
          <w:sz w:val="21"/>
          <w:szCs w:val="21"/>
          <w:lang w:eastAsia="zh-CN"/>
        </w:rPr>
        <w:t>typically a strong disincentive</w:t>
      </w:r>
      <w:r w:rsidRPr="00384054">
        <w:rPr>
          <w:rFonts w:asciiTheme="majorHAnsi" w:eastAsia="Times New Roman" w:hAnsiTheme="majorHAnsi" w:cstheme="majorHAnsi"/>
          <w:color w:val="0070C0"/>
          <w:sz w:val="21"/>
          <w:szCs w:val="21"/>
          <w:lang w:val="en-US"/>
        </w:rPr>
        <w:t xml:space="preserve"> </w:t>
      </w:r>
      <w:r w:rsidRPr="00384054">
        <w:rPr>
          <w:rFonts w:asciiTheme="majorHAnsi" w:eastAsia="Times New Roman" w:hAnsiTheme="majorHAnsi" w:cstheme="majorHAnsi"/>
          <w:sz w:val="21"/>
          <w:szCs w:val="21"/>
          <w:lang w:val="en-US"/>
        </w:rPr>
        <w:t>for those persons already employed in industry pursuing research training.</w:t>
      </w:r>
    </w:p>
    <w:p w14:paraId="13A60408" w14:textId="77777777" w:rsidR="00384054" w:rsidRPr="00384054" w:rsidRDefault="00384054" w:rsidP="004814CF">
      <w:pPr>
        <w:numPr>
          <w:ilvl w:val="0"/>
          <w:numId w:val="28"/>
        </w:numPr>
        <w:ind w:hanging="357"/>
        <w:rPr>
          <w:rFonts w:asciiTheme="majorHAnsi" w:eastAsia="Times New Roman" w:hAnsiTheme="majorHAnsi" w:cstheme="majorHAnsi"/>
          <w:sz w:val="21"/>
          <w:szCs w:val="21"/>
          <w:lang w:val="en-US"/>
        </w:rPr>
      </w:pPr>
      <w:r w:rsidRPr="00384054">
        <w:rPr>
          <w:rFonts w:asciiTheme="majorHAnsi" w:eastAsia="Times New Roman" w:hAnsiTheme="majorHAnsi" w:cstheme="majorHAnsi"/>
          <w:sz w:val="21"/>
          <w:szCs w:val="21"/>
          <w:u w:val="single"/>
          <w:lang w:val="en-US"/>
        </w:rPr>
        <w:t>Scholarships Paid on the Condition of Completing an Industry Placement</w:t>
      </w:r>
      <w:r w:rsidRPr="00384054">
        <w:rPr>
          <w:rFonts w:asciiTheme="majorHAnsi" w:eastAsia="Times New Roman" w:hAnsiTheme="majorHAnsi" w:cstheme="majorHAnsi"/>
          <w:sz w:val="21"/>
          <w:szCs w:val="21"/>
          <w:lang w:val="en-US"/>
        </w:rPr>
        <w:t xml:space="preserve">: Even where a student is full-time, or not employed by industry, there are other legal impediments to the payment of scholarships to support students undertaking placements with industry where they are also undertaking higher degrees by research (such as a PhD or </w:t>
      </w:r>
      <w:r w:rsidR="007B1CBD">
        <w:rPr>
          <w:rFonts w:asciiTheme="majorHAnsi" w:eastAsia="Times New Roman" w:hAnsiTheme="majorHAnsi" w:cstheme="majorHAnsi"/>
          <w:sz w:val="21"/>
          <w:szCs w:val="21"/>
          <w:lang w:val="en-US"/>
        </w:rPr>
        <w:t>M</w:t>
      </w:r>
      <w:r w:rsidRPr="00384054">
        <w:rPr>
          <w:rFonts w:asciiTheme="majorHAnsi" w:eastAsia="Times New Roman" w:hAnsiTheme="majorHAnsi" w:cstheme="majorHAnsi"/>
          <w:sz w:val="21"/>
          <w:szCs w:val="21"/>
          <w:lang w:val="en-US"/>
        </w:rPr>
        <w:t xml:space="preserve">asters by </w:t>
      </w:r>
      <w:r w:rsidR="007B1CBD">
        <w:rPr>
          <w:rFonts w:asciiTheme="majorHAnsi" w:eastAsia="Times New Roman" w:hAnsiTheme="majorHAnsi" w:cstheme="majorHAnsi"/>
          <w:sz w:val="21"/>
          <w:szCs w:val="21"/>
          <w:lang w:val="en-US"/>
        </w:rPr>
        <w:t>R</w:t>
      </w:r>
      <w:r w:rsidRPr="00384054">
        <w:rPr>
          <w:rFonts w:asciiTheme="majorHAnsi" w:eastAsia="Times New Roman" w:hAnsiTheme="majorHAnsi" w:cstheme="majorHAnsi"/>
          <w:sz w:val="21"/>
          <w:szCs w:val="21"/>
          <w:lang w:val="en-US"/>
        </w:rPr>
        <w:t>esearch):</w:t>
      </w:r>
    </w:p>
    <w:p w14:paraId="13A60409" w14:textId="77777777" w:rsidR="00384054" w:rsidRPr="00384054" w:rsidRDefault="00384054" w:rsidP="004814CF">
      <w:pPr>
        <w:numPr>
          <w:ilvl w:val="1"/>
          <w:numId w:val="28"/>
        </w:numPr>
        <w:ind w:hanging="357"/>
        <w:rPr>
          <w:rFonts w:asciiTheme="majorHAnsi" w:eastAsia="Times New Roman" w:hAnsiTheme="majorHAnsi" w:cstheme="majorHAnsi"/>
          <w:sz w:val="21"/>
          <w:szCs w:val="21"/>
          <w:lang w:val="en-US"/>
        </w:rPr>
      </w:pPr>
      <w:r w:rsidRPr="00384054">
        <w:rPr>
          <w:rFonts w:asciiTheme="majorHAnsi" w:eastAsia="Times New Roman" w:hAnsiTheme="majorHAnsi" w:cstheme="majorHAnsi"/>
          <w:sz w:val="21"/>
          <w:szCs w:val="21"/>
          <w:lang w:val="en-US"/>
        </w:rPr>
        <w:t xml:space="preserve">Universities approached with ‘scholarship’ opportunities must assess in each case whether any required placements are still ‘vocational placements’.  Placements supported by scholarships may not be a ‘vocational placement’ under the </w:t>
      </w:r>
      <w:r w:rsidRPr="00384054">
        <w:rPr>
          <w:rFonts w:asciiTheme="majorHAnsi" w:eastAsia="Times New Roman" w:hAnsiTheme="majorHAnsi" w:cstheme="majorHAnsi"/>
          <w:i/>
          <w:iCs/>
          <w:sz w:val="21"/>
          <w:szCs w:val="21"/>
          <w:lang w:val="en-US"/>
        </w:rPr>
        <w:t>Fair Work Act 2009</w:t>
      </w:r>
      <w:r w:rsidRPr="00384054">
        <w:rPr>
          <w:rFonts w:asciiTheme="majorHAnsi" w:eastAsia="Times New Roman" w:hAnsiTheme="majorHAnsi" w:cstheme="majorHAnsi"/>
          <w:sz w:val="21"/>
          <w:szCs w:val="21"/>
          <w:lang w:val="en-US"/>
        </w:rPr>
        <w:t xml:space="preserve"> in circumstances where </w:t>
      </w:r>
      <w:r w:rsidR="00237C56">
        <w:rPr>
          <w:rFonts w:asciiTheme="majorHAnsi" w:eastAsia="Times New Roman" w:hAnsiTheme="majorHAnsi" w:cstheme="majorHAnsi"/>
          <w:sz w:val="21"/>
          <w:szCs w:val="21"/>
          <w:lang w:val="en-US"/>
        </w:rPr>
        <w:t xml:space="preserve">either </w:t>
      </w:r>
      <w:r w:rsidRPr="00384054">
        <w:rPr>
          <w:rFonts w:asciiTheme="majorHAnsi" w:eastAsia="Times New Roman" w:hAnsiTheme="majorHAnsi" w:cstheme="majorHAnsi"/>
          <w:sz w:val="21"/>
          <w:szCs w:val="21"/>
          <w:lang w:val="en-US"/>
        </w:rPr>
        <w:t>the</w:t>
      </w:r>
      <w:r w:rsidR="00237C56">
        <w:rPr>
          <w:rFonts w:asciiTheme="majorHAnsi" w:eastAsia="Times New Roman" w:hAnsiTheme="majorHAnsi" w:cstheme="majorHAnsi"/>
          <w:sz w:val="21"/>
          <w:szCs w:val="21"/>
          <w:lang w:val="en-US"/>
        </w:rPr>
        <w:t xml:space="preserve"> student is entitled to be paid; or</w:t>
      </w:r>
      <w:r w:rsidRPr="00384054">
        <w:rPr>
          <w:rFonts w:asciiTheme="majorHAnsi" w:eastAsia="Times New Roman" w:hAnsiTheme="majorHAnsi" w:cstheme="majorHAnsi"/>
          <w:sz w:val="21"/>
          <w:szCs w:val="21"/>
          <w:lang w:val="en-US"/>
        </w:rPr>
        <w:t xml:space="preserve"> the student makes an active contribution to the business; or where the placement is not a course requirement (and in particular </w:t>
      </w:r>
      <w:r w:rsidR="00237C56">
        <w:rPr>
          <w:rFonts w:asciiTheme="majorHAnsi" w:eastAsia="Times New Roman" w:hAnsiTheme="majorHAnsi" w:cstheme="majorHAnsi"/>
          <w:sz w:val="21"/>
          <w:szCs w:val="21"/>
          <w:lang w:val="en-US"/>
        </w:rPr>
        <w:t xml:space="preserve">a </w:t>
      </w:r>
      <w:r w:rsidRPr="00384054">
        <w:rPr>
          <w:rFonts w:asciiTheme="majorHAnsi" w:eastAsia="Times New Roman" w:hAnsiTheme="majorHAnsi" w:cstheme="majorHAnsi"/>
          <w:sz w:val="21"/>
          <w:szCs w:val="21"/>
          <w:lang w:val="en-US"/>
        </w:rPr>
        <w:t xml:space="preserve">placement is </w:t>
      </w:r>
      <w:r w:rsidRPr="00384054">
        <w:rPr>
          <w:rFonts w:asciiTheme="majorHAnsi" w:eastAsia="Times New Roman" w:hAnsiTheme="majorHAnsi" w:cstheme="majorHAnsi"/>
          <w:sz w:val="21"/>
          <w:szCs w:val="21"/>
          <w:u w:val="single"/>
          <w:lang w:val="en-US"/>
        </w:rPr>
        <w:t>not</w:t>
      </w:r>
      <w:r w:rsidRPr="00384054">
        <w:rPr>
          <w:rFonts w:asciiTheme="majorHAnsi" w:eastAsia="Times New Roman" w:hAnsiTheme="majorHAnsi" w:cstheme="majorHAnsi"/>
          <w:sz w:val="21"/>
          <w:szCs w:val="21"/>
          <w:lang w:val="en-US"/>
        </w:rPr>
        <w:t xml:space="preserve"> generally a course requirement for PhD students). In some circumstances, this means such </w:t>
      </w:r>
      <w:r w:rsidRPr="000126F8">
        <w:rPr>
          <w:rFonts w:asciiTheme="majorHAnsi" w:eastAsia="SimSun" w:hAnsiTheme="majorHAnsi" w:cstheme="majorHAnsi"/>
          <w:b/>
          <w:bCs/>
          <w:color w:val="365F91"/>
          <w:sz w:val="21"/>
          <w:szCs w:val="21"/>
          <w:lang w:eastAsia="zh-CN"/>
        </w:rPr>
        <w:t>students undertaking ‘placements’ must be engaged as employees and receive a wage and other employment conditions/ benefits</w:t>
      </w:r>
      <w:r w:rsidRPr="00384054">
        <w:rPr>
          <w:rFonts w:asciiTheme="majorHAnsi" w:eastAsia="Times New Roman" w:hAnsiTheme="majorHAnsi" w:cstheme="majorHAnsi"/>
          <w:sz w:val="21"/>
          <w:szCs w:val="21"/>
          <w:lang w:val="en-US"/>
        </w:rPr>
        <w:t xml:space="preserve">. In our view greater clarity should be provided regarding what fair-work protections and entitlements apply to </w:t>
      </w:r>
      <w:r w:rsidR="00237C56">
        <w:rPr>
          <w:rFonts w:asciiTheme="majorHAnsi" w:eastAsia="Times New Roman" w:hAnsiTheme="majorHAnsi" w:cstheme="majorHAnsi"/>
          <w:sz w:val="21"/>
          <w:szCs w:val="21"/>
          <w:lang w:val="en-US"/>
        </w:rPr>
        <w:t xml:space="preserve">HDR </w:t>
      </w:r>
      <w:r w:rsidRPr="00384054">
        <w:rPr>
          <w:rFonts w:asciiTheme="majorHAnsi" w:eastAsia="Times New Roman" w:hAnsiTheme="majorHAnsi" w:cstheme="majorHAnsi"/>
          <w:sz w:val="21"/>
          <w:szCs w:val="21"/>
          <w:lang w:val="en-US"/>
        </w:rPr>
        <w:t xml:space="preserve">students (enrolled in research-based courses) undertaking placements as </w:t>
      </w:r>
      <w:r w:rsidR="00237C56">
        <w:rPr>
          <w:rFonts w:asciiTheme="majorHAnsi" w:eastAsia="Times New Roman" w:hAnsiTheme="majorHAnsi" w:cstheme="majorHAnsi"/>
          <w:sz w:val="21"/>
          <w:szCs w:val="21"/>
          <w:lang w:val="en-US"/>
        </w:rPr>
        <w:t>a condition of a scholarship.</w:t>
      </w:r>
    </w:p>
    <w:p w14:paraId="13A6040A" w14:textId="77777777" w:rsidR="00384054" w:rsidRPr="00384054" w:rsidRDefault="00384054" w:rsidP="004814CF">
      <w:pPr>
        <w:numPr>
          <w:ilvl w:val="1"/>
          <w:numId w:val="28"/>
        </w:numPr>
        <w:ind w:hanging="357"/>
        <w:rPr>
          <w:rFonts w:asciiTheme="majorHAnsi" w:eastAsia="Times New Roman" w:hAnsiTheme="majorHAnsi" w:cstheme="majorHAnsi"/>
          <w:sz w:val="21"/>
          <w:szCs w:val="21"/>
          <w:lang w:val="en-US"/>
        </w:rPr>
      </w:pPr>
      <w:r w:rsidRPr="00384054">
        <w:rPr>
          <w:rFonts w:asciiTheme="majorHAnsi" w:eastAsia="Times New Roman" w:hAnsiTheme="majorHAnsi" w:cstheme="majorHAnsi"/>
          <w:sz w:val="21"/>
          <w:szCs w:val="21"/>
          <w:lang w:val="en-US"/>
        </w:rPr>
        <w:t xml:space="preserve">To be treated as exempt from income tax, the ‘scholarship’ paid for the placement must not be primarily for the student’s labour and must be principally for educational purposes based on s51-10 and s51-35 of the </w:t>
      </w:r>
      <w:r w:rsidRPr="00384054">
        <w:rPr>
          <w:rFonts w:asciiTheme="majorHAnsi" w:eastAsia="Times New Roman" w:hAnsiTheme="majorHAnsi" w:cstheme="majorHAnsi"/>
          <w:i/>
          <w:iCs/>
          <w:sz w:val="21"/>
          <w:szCs w:val="21"/>
          <w:lang w:val="en-US"/>
        </w:rPr>
        <w:t>Income Tax Assessment Act 1997</w:t>
      </w:r>
      <w:r w:rsidRPr="00384054">
        <w:rPr>
          <w:rFonts w:asciiTheme="majorHAnsi" w:eastAsia="Times New Roman" w:hAnsiTheme="majorHAnsi" w:cstheme="majorHAnsi"/>
          <w:sz w:val="21"/>
          <w:szCs w:val="21"/>
          <w:lang w:val="en-US"/>
        </w:rPr>
        <w:t xml:space="preserve">. Various Australian Taxation Office rulings have cast doubt on whether scholarships paid on the condition that a placement is undertaken can legitimately </w:t>
      </w:r>
      <w:r w:rsidRPr="00384054">
        <w:rPr>
          <w:rFonts w:asciiTheme="majorHAnsi" w:eastAsia="Times New Roman" w:hAnsiTheme="majorHAnsi" w:cstheme="majorHAnsi"/>
          <w:sz w:val="21"/>
          <w:szCs w:val="21"/>
          <w:lang w:val="en-US"/>
        </w:rPr>
        <w:lastRenderedPageBreak/>
        <w:t>be treated as income tax-free</w:t>
      </w:r>
      <w:r w:rsidRPr="00384054">
        <w:rPr>
          <w:rFonts w:asciiTheme="majorHAnsi" w:eastAsia="Times New Roman" w:hAnsiTheme="majorHAnsi" w:cstheme="majorHAnsi"/>
          <w:sz w:val="21"/>
          <w:szCs w:val="21"/>
          <w:vertAlign w:val="superscript"/>
          <w:lang w:val="en-US"/>
        </w:rPr>
        <w:footnoteReference w:id="11"/>
      </w:r>
      <w:r w:rsidRPr="00384054">
        <w:rPr>
          <w:rFonts w:asciiTheme="majorHAnsi" w:eastAsia="Times New Roman" w:hAnsiTheme="majorHAnsi" w:cstheme="majorHAnsi"/>
          <w:sz w:val="21"/>
          <w:szCs w:val="21"/>
          <w:lang w:val="en-US"/>
        </w:rPr>
        <w:t>. As the purpose of the ‘scholarship’ is essentially assessed from the point of view of the industry placement provider</w:t>
      </w:r>
      <w:r w:rsidRPr="00384054">
        <w:rPr>
          <w:rFonts w:asciiTheme="majorHAnsi" w:eastAsia="Times New Roman" w:hAnsiTheme="majorHAnsi" w:cstheme="majorHAnsi"/>
          <w:sz w:val="21"/>
          <w:szCs w:val="21"/>
          <w:vertAlign w:val="superscript"/>
          <w:lang w:val="en-US"/>
        </w:rPr>
        <w:footnoteReference w:id="12"/>
      </w:r>
      <w:r w:rsidRPr="00384054">
        <w:rPr>
          <w:rFonts w:asciiTheme="majorHAnsi" w:eastAsia="Times New Roman" w:hAnsiTheme="majorHAnsi" w:cstheme="majorHAnsi"/>
          <w:sz w:val="21"/>
          <w:szCs w:val="21"/>
          <w:lang w:val="en-US"/>
        </w:rPr>
        <w:t xml:space="preserve">, scholarship agreements which require the student to undertake a placement and give industry an active role in guiding student research, require the student to </w:t>
      </w:r>
      <w:r w:rsidRPr="000126F8">
        <w:rPr>
          <w:rFonts w:asciiTheme="majorHAnsi" w:eastAsia="SimSun" w:hAnsiTheme="majorHAnsi" w:cstheme="majorHAnsi"/>
          <w:b/>
          <w:bCs/>
          <w:color w:val="365F91"/>
          <w:sz w:val="21"/>
          <w:szCs w:val="21"/>
          <w:lang w:eastAsia="zh-CN"/>
        </w:rPr>
        <w:t>provide reports</w:t>
      </w:r>
      <w:r w:rsidRPr="00384054">
        <w:rPr>
          <w:rFonts w:asciiTheme="majorHAnsi" w:eastAsia="Times New Roman" w:hAnsiTheme="majorHAnsi" w:cstheme="majorHAnsi"/>
          <w:sz w:val="21"/>
          <w:szCs w:val="21"/>
          <w:lang w:val="en-US"/>
        </w:rPr>
        <w:t xml:space="preserve"> (other than updated on the progress of their course) or </w:t>
      </w:r>
      <w:r w:rsidRPr="000126F8">
        <w:rPr>
          <w:rFonts w:asciiTheme="majorHAnsi" w:eastAsia="SimSun" w:hAnsiTheme="majorHAnsi" w:cstheme="majorHAnsi"/>
          <w:b/>
          <w:bCs/>
          <w:color w:val="365F91"/>
          <w:sz w:val="21"/>
          <w:szCs w:val="21"/>
          <w:lang w:eastAsia="zh-CN"/>
        </w:rPr>
        <w:t>assign intellectual property</w:t>
      </w:r>
      <w:r w:rsidRPr="00475E19">
        <w:rPr>
          <w:rFonts w:asciiTheme="majorHAnsi" w:eastAsia="Times New Roman" w:hAnsiTheme="majorHAnsi" w:cstheme="majorHAnsi"/>
          <w:b/>
          <w:bCs/>
          <w:color w:val="0070C0"/>
          <w:sz w:val="21"/>
          <w:szCs w:val="21"/>
          <w:lang w:val="en-US"/>
        </w:rPr>
        <w:t xml:space="preserve"> </w:t>
      </w:r>
      <w:r w:rsidRPr="00237C56">
        <w:rPr>
          <w:rFonts w:asciiTheme="majorHAnsi" w:eastAsia="Times New Roman" w:hAnsiTheme="majorHAnsi" w:cstheme="majorHAnsi"/>
          <w:sz w:val="21"/>
          <w:szCs w:val="21"/>
          <w:lang w:val="en-US"/>
        </w:rPr>
        <w:t>in the student’s research results to the industry placement</w:t>
      </w:r>
      <w:r w:rsidRPr="00384054">
        <w:rPr>
          <w:rFonts w:asciiTheme="majorHAnsi" w:eastAsia="Times New Roman" w:hAnsiTheme="majorHAnsi" w:cstheme="majorHAnsi"/>
          <w:sz w:val="21"/>
          <w:szCs w:val="21"/>
          <w:lang w:val="en-US"/>
        </w:rPr>
        <w:t xml:space="preserve"> provider can </w:t>
      </w:r>
      <w:r w:rsidRPr="00237C56">
        <w:rPr>
          <w:rFonts w:asciiTheme="majorHAnsi" w:eastAsia="Times New Roman" w:hAnsiTheme="majorHAnsi" w:cstheme="majorHAnsi"/>
          <w:sz w:val="21"/>
          <w:szCs w:val="21"/>
          <w:lang w:val="en-US"/>
        </w:rPr>
        <w:t>cause those ‘scholarship’ funds to be</w:t>
      </w:r>
      <w:r w:rsidRPr="00475E19">
        <w:rPr>
          <w:rFonts w:asciiTheme="majorHAnsi" w:eastAsia="Times New Roman" w:hAnsiTheme="majorHAnsi" w:cstheme="majorHAnsi"/>
          <w:b/>
          <w:bCs/>
          <w:color w:val="0070C0"/>
          <w:sz w:val="21"/>
          <w:szCs w:val="21"/>
          <w:lang w:val="en-US"/>
        </w:rPr>
        <w:t xml:space="preserve"> </w:t>
      </w:r>
      <w:r w:rsidRPr="000126F8">
        <w:rPr>
          <w:rFonts w:asciiTheme="majorHAnsi" w:eastAsia="SimSun" w:hAnsiTheme="majorHAnsi" w:cstheme="majorHAnsi"/>
          <w:b/>
          <w:bCs/>
          <w:color w:val="365F91"/>
          <w:sz w:val="21"/>
          <w:szCs w:val="21"/>
          <w:lang w:eastAsia="zh-CN"/>
        </w:rPr>
        <w:t>characterised as ordinary income</w:t>
      </w:r>
      <w:r w:rsidRPr="00384054">
        <w:rPr>
          <w:rFonts w:asciiTheme="majorHAnsi" w:eastAsia="Times New Roman" w:hAnsiTheme="majorHAnsi" w:cstheme="majorHAnsi"/>
          <w:sz w:val="21"/>
          <w:szCs w:val="21"/>
          <w:lang w:val="en-US"/>
        </w:rPr>
        <w:t xml:space="preserve"> that is subject to income tax (and no longer a scholarship). This is a </w:t>
      </w:r>
      <w:r w:rsidRPr="000126F8">
        <w:rPr>
          <w:rFonts w:asciiTheme="majorHAnsi" w:eastAsia="SimSun" w:hAnsiTheme="majorHAnsi" w:cstheme="majorHAnsi"/>
          <w:b/>
          <w:bCs/>
          <w:color w:val="365F91"/>
          <w:sz w:val="21"/>
          <w:szCs w:val="21"/>
          <w:lang w:eastAsia="zh-CN"/>
        </w:rPr>
        <w:t>substantial impediment to incentivising students to complete scholarships that involve industry participation</w:t>
      </w:r>
      <w:r w:rsidRPr="00384054">
        <w:rPr>
          <w:rFonts w:asciiTheme="majorHAnsi" w:eastAsia="Times New Roman" w:hAnsiTheme="majorHAnsi" w:cstheme="majorHAnsi"/>
          <w:sz w:val="21"/>
          <w:szCs w:val="21"/>
          <w:lang w:val="en-US"/>
        </w:rPr>
        <w:t xml:space="preserve"> and should be remedied.</w:t>
      </w:r>
    </w:p>
    <w:p w14:paraId="13A6040B" w14:textId="77777777" w:rsidR="00384054" w:rsidRPr="00237C56" w:rsidRDefault="00384054" w:rsidP="004814CF">
      <w:pPr>
        <w:numPr>
          <w:ilvl w:val="1"/>
          <w:numId w:val="28"/>
        </w:numPr>
        <w:ind w:hanging="357"/>
        <w:rPr>
          <w:rFonts w:asciiTheme="majorHAnsi" w:eastAsia="Times New Roman" w:hAnsiTheme="majorHAnsi" w:cstheme="majorHAnsi"/>
          <w:sz w:val="21"/>
          <w:szCs w:val="21"/>
          <w:lang w:val="en-US"/>
        </w:rPr>
      </w:pPr>
      <w:r w:rsidRPr="00384054">
        <w:rPr>
          <w:rFonts w:asciiTheme="majorHAnsi" w:eastAsia="Times New Roman" w:hAnsiTheme="majorHAnsi" w:cstheme="majorHAnsi"/>
          <w:sz w:val="21"/>
          <w:szCs w:val="21"/>
          <w:lang w:val="en-US"/>
        </w:rPr>
        <w:t>The government might also consider providing Australian based industries with financial incentives, through taxation mechanisms or otherwise, to take on more post-graduate students through industry sponsored support programs</w:t>
      </w:r>
      <w:r w:rsidR="00237C56">
        <w:rPr>
          <w:rFonts w:asciiTheme="majorHAnsi" w:eastAsia="Times New Roman" w:hAnsiTheme="majorHAnsi" w:cstheme="majorHAnsi"/>
          <w:sz w:val="21"/>
          <w:szCs w:val="21"/>
          <w:lang w:val="en-US"/>
        </w:rPr>
        <w:t xml:space="preserve"> </w:t>
      </w:r>
      <w:r w:rsidRPr="00384054">
        <w:rPr>
          <w:rFonts w:asciiTheme="majorHAnsi" w:eastAsia="Times New Roman" w:hAnsiTheme="majorHAnsi" w:cstheme="majorHAnsi"/>
          <w:sz w:val="21"/>
          <w:szCs w:val="21"/>
          <w:lang w:val="en-US"/>
        </w:rPr>
        <w:t>/</w:t>
      </w:r>
      <w:r w:rsidR="00237C56">
        <w:rPr>
          <w:rFonts w:asciiTheme="majorHAnsi" w:eastAsia="Times New Roman" w:hAnsiTheme="majorHAnsi" w:cstheme="majorHAnsi"/>
          <w:sz w:val="21"/>
          <w:szCs w:val="21"/>
          <w:lang w:val="en-US"/>
        </w:rPr>
        <w:t xml:space="preserve"> </w:t>
      </w:r>
      <w:r w:rsidRPr="00384054">
        <w:rPr>
          <w:rFonts w:asciiTheme="majorHAnsi" w:eastAsia="Times New Roman" w:hAnsiTheme="majorHAnsi" w:cstheme="majorHAnsi"/>
          <w:sz w:val="21"/>
          <w:szCs w:val="21"/>
          <w:lang w:val="en-US"/>
        </w:rPr>
        <w:t>scholarships</w:t>
      </w:r>
      <w:r w:rsidR="00237C56">
        <w:rPr>
          <w:rFonts w:asciiTheme="majorHAnsi" w:eastAsia="Times New Roman" w:hAnsiTheme="majorHAnsi" w:cstheme="majorHAnsi"/>
          <w:sz w:val="21"/>
          <w:szCs w:val="21"/>
          <w:lang w:val="en-US"/>
        </w:rPr>
        <w:t xml:space="preserve"> </w:t>
      </w:r>
      <w:r w:rsidRPr="00384054">
        <w:rPr>
          <w:rFonts w:asciiTheme="majorHAnsi" w:eastAsia="Times New Roman" w:hAnsiTheme="majorHAnsi" w:cstheme="majorHAnsi"/>
          <w:sz w:val="21"/>
          <w:szCs w:val="21"/>
          <w:lang w:val="en-US"/>
        </w:rPr>
        <w:t>/</w:t>
      </w:r>
      <w:r w:rsidR="00237C56">
        <w:rPr>
          <w:rFonts w:asciiTheme="majorHAnsi" w:eastAsia="Times New Roman" w:hAnsiTheme="majorHAnsi" w:cstheme="majorHAnsi"/>
          <w:sz w:val="21"/>
          <w:szCs w:val="21"/>
          <w:lang w:val="en-US"/>
        </w:rPr>
        <w:t xml:space="preserve"> </w:t>
      </w:r>
      <w:r w:rsidRPr="00384054">
        <w:rPr>
          <w:rFonts w:asciiTheme="majorHAnsi" w:eastAsia="Times New Roman" w:hAnsiTheme="majorHAnsi" w:cstheme="majorHAnsi"/>
          <w:sz w:val="21"/>
          <w:szCs w:val="21"/>
          <w:lang w:val="en-US"/>
        </w:rPr>
        <w:t>internships.</w:t>
      </w:r>
    </w:p>
    <w:p w14:paraId="13A6040C" w14:textId="77777777" w:rsidR="00384054" w:rsidRPr="00384054" w:rsidRDefault="00237C56" w:rsidP="004814CF">
      <w:pPr>
        <w:pStyle w:val="Heading1"/>
      </w:pPr>
      <w:bookmarkStart w:id="7" w:name="_Toc404874477"/>
      <w:r>
        <w:t>Response</w:t>
      </w:r>
      <w:r w:rsidR="00384054" w:rsidRPr="00384054">
        <w:t xml:space="preserve"> 6</w:t>
      </w:r>
      <w:r w:rsidR="006602FB">
        <w:t>:  Research Infrastructure</w:t>
      </w:r>
      <w:bookmarkEnd w:id="7"/>
    </w:p>
    <w:p w14:paraId="13A6040D" w14:textId="77777777" w:rsidR="00384054" w:rsidRPr="00384054" w:rsidRDefault="00F86472" w:rsidP="004814CF">
      <w:pPr>
        <w:rPr>
          <w:rFonts w:asciiTheme="majorHAnsi" w:eastAsia="SimSun" w:hAnsiTheme="majorHAnsi" w:cstheme="majorHAnsi"/>
          <w:lang w:eastAsia="zh-CN"/>
        </w:rPr>
      </w:pPr>
      <w:r w:rsidRPr="00F86472">
        <w:rPr>
          <w:rFonts w:asciiTheme="majorHAnsi" w:eastAsia="SimSun" w:hAnsiTheme="majorHAnsi" w:cstheme="majorHAnsi"/>
          <w:i/>
          <w:iCs/>
          <w:color w:val="272727"/>
          <w:sz w:val="21"/>
          <w:szCs w:val="21"/>
          <w:lang w:eastAsia="zh-CN"/>
        </w:rPr>
        <w:t>The amount of funding for infrastructure assets continues to appear too low to offer the nation sustainable global competitiveness. Subject to an increase in overall commitment to infrastructure, rationalisation across the sector in an equitable fashion (while taking into account contributions made by end users) may offer the sector a solution</w:t>
      </w:r>
      <w:r w:rsidR="00384054" w:rsidRPr="00384054">
        <w:rPr>
          <w:rFonts w:asciiTheme="majorHAnsi" w:eastAsia="SimSun" w:hAnsiTheme="majorHAnsi" w:cstheme="majorHAnsi"/>
          <w:lang w:eastAsia="zh-CN"/>
        </w:rPr>
        <w:t>.</w:t>
      </w:r>
    </w:p>
    <w:p w14:paraId="13A6040E" w14:textId="77777777" w:rsidR="00DD29BA" w:rsidRPr="00DD29BA" w:rsidRDefault="00DD29BA" w:rsidP="004814CF">
      <w:pPr>
        <w:pStyle w:val="Heading2"/>
        <w:rPr>
          <w:rFonts w:eastAsia="SimSun"/>
        </w:rPr>
      </w:pPr>
      <w:r w:rsidRPr="00DD29BA">
        <w:rPr>
          <w:rFonts w:eastAsia="SimSun"/>
        </w:rPr>
        <w:t>Discussion:</w:t>
      </w:r>
    </w:p>
    <w:p w14:paraId="6B750E27" w14:textId="77777777" w:rsidR="001F36DF" w:rsidRDefault="006E0214" w:rsidP="004814CF">
      <w:pPr>
        <w:spacing w:afterLines="200" w:after="480"/>
        <w:rPr>
          <w:rFonts w:asciiTheme="majorHAnsi" w:eastAsia="SimSun" w:hAnsiTheme="majorHAnsi" w:cstheme="majorHAnsi"/>
          <w:sz w:val="21"/>
          <w:szCs w:val="21"/>
          <w:lang w:eastAsia="zh-CN"/>
        </w:rPr>
      </w:pPr>
      <w:r w:rsidRPr="006E0214">
        <w:rPr>
          <w:rFonts w:asciiTheme="majorHAnsi" w:eastAsia="SimSun" w:hAnsiTheme="majorHAnsi" w:cstheme="majorHAnsi"/>
          <w:sz w:val="21"/>
          <w:szCs w:val="21"/>
          <w:lang w:eastAsia="zh-CN"/>
        </w:rPr>
        <w:t xml:space="preserve">There is a looming crisis in terms of ageing research structure and we strongly encourage government investment and support schemes to enable our research to remain world class. In the University of Tasmania case we hold around $80 million of infrastructure for research purposes at the University’s Australian Maritime College (AMC). </w:t>
      </w:r>
      <w:r>
        <w:rPr>
          <w:rFonts w:asciiTheme="majorHAnsi" w:eastAsia="SimSun" w:hAnsiTheme="majorHAnsi" w:cstheme="majorHAnsi"/>
          <w:sz w:val="21"/>
          <w:szCs w:val="21"/>
          <w:lang w:eastAsia="zh-CN"/>
        </w:rPr>
        <w:t xml:space="preserve">AMC is the </w:t>
      </w:r>
      <w:r w:rsidRPr="006E0214">
        <w:rPr>
          <w:rFonts w:asciiTheme="majorHAnsi" w:eastAsia="SimSun" w:hAnsiTheme="majorHAnsi" w:cstheme="majorHAnsi"/>
          <w:sz w:val="21"/>
          <w:szCs w:val="21"/>
          <w:lang w:eastAsia="zh-CN"/>
        </w:rPr>
        <w:t>national institute for maritime and maritime-related education, training and research</w:t>
      </w:r>
      <w:r>
        <w:rPr>
          <w:rFonts w:asciiTheme="majorHAnsi" w:eastAsia="SimSun" w:hAnsiTheme="majorHAnsi" w:cstheme="majorHAnsi"/>
          <w:sz w:val="21"/>
          <w:szCs w:val="21"/>
          <w:lang w:eastAsia="zh-CN"/>
        </w:rPr>
        <w:t xml:space="preserve"> and </w:t>
      </w:r>
      <w:r w:rsidRPr="006E0214">
        <w:rPr>
          <w:rFonts w:asciiTheme="majorHAnsi" w:eastAsia="SimSun" w:hAnsiTheme="majorHAnsi" w:cstheme="majorHAnsi"/>
          <w:sz w:val="21"/>
          <w:szCs w:val="21"/>
          <w:lang w:eastAsia="zh-CN"/>
        </w:rPr>
        <w:t>is one of the seven founding members of the International Association of Maritime Universities (IAMU), which represents five continents.</w:t>
      </w:r>
    </w:p>
    <w:p w14:paraId="13A60410" w14:textId="04ACEF6C" w:rsidR="006E0214" w:rsidRDefault="006E0214" w:rsidP="004814CF">
      <w:pPr>
        <w:spacing w:afterLines="200" w:after="480"/>
        <w:rPr>
          <w:rFonts w:asciiTheme="majorHAnsi" w:eastAsia="SimSun" w:hAnsiTheme="majorHAnsi" w:cstheme="majorHAnsi"/>
          <w:sz w:val="21"/>
          <w:szCs w:val="21"/>
          <w:lang w:eastAsia="zh-CN"/>
        </w:rPr>
      </w:pPr>
      <w:r w:rsidRPr="006E0214">
        <w:rPr>
          <w:rFonts w:asciiTheme="majorHAnsi" w:eastAsia="SimSun" w:hAnsiTheme="majorHAnsi" w:cstheme="majorHAnsi"/>
          <w:sz w:val="21"/>
          <w:szCs w:val="21"/>
          <w:lang w:eastAsia="zh-CN"/>
        </w:rPr>
        <w:t>AMC is globally recognised as being a centre for excellence.</w:t>
      </w:r>
      <w:r>
        <w:rPr>
          <w:rFonts w:asciiTheme="majorHAnsi" w:eastAsia="SimSun" w:hAnsiTheme="majorHAnsi" w:cstheme="majorHAnsi"/>
          <w:sz w:val="21"/>
          <w:szCs w:val="21"/>
          <w:lang w:eastAsia="zh-CN"/>
        </w:rPr>
        <w:t xml:space="preserve"> Our multi-million dollar suite</w:t>
      </w:r>
      <w:r w:rsidR="004A27A8">
        <w:rPr>
          <w:rFonts w:asciiTheme="majorHAnsi" w:eastAsia="SimSun" w:hAnsiTheme="majorHAnsi" w:cstheme="majorHAnsi"/>
          <w:sz w:val="21"/>
          <w:szCs w:val="21"/>
          <w:lang w:eastAsia="zh-CN"/>
        </w:rPr>
        <w:t xml:space="preserve"> </w:t>
      </w:r>
      <w:r w:rsidRPr="006E0214">
        <w:rPr>
          <w:rFonts w:asciiTheme="majorHAnsi" w:eastAsia="SimSun" w:hAnsiTheme="majorHAnsi" w:cstheme="majorHAnsi"/>
          <w:sz w:val="21"/>
          <w:szCs w:val="21"/>
          <w:lang w:eastAsia="zh-CN"/>
        </w:rPr>
        <w:t>of </w:t>
      </w:r>
      <w:hyperlink r:id="rId13" w:history="1">
        <w:r w:rsidRPr="006E0214">
          <w:rPr>
            <w:rFonts w:asciiTheme="majorHAnsi" w:eastAsia="SimSun" w:hAnsiTheme="majorHAnsi" w:cstheme="majorHAnsi"/>
            <w:sz w:val="21"/>
            <w:szCs w:val="21"/>
            <w:lang w:eastAsia="zh-CN"/>
          </w:rPr>
          <w:t>specialist teaching, learning and research facilities</w:t>
        </w:r>
      </w:hyperlink>
      <w:r w:rsidRPr="006E0214">
        <w:rPr>
          <w:rFonts w:asciiTheme="majorHAnsi" w:eastAsia="SimSun" w:hAnsiTheme="majorHAnsi" w:cstheme="majorHAnsi"/>
          <w:sz w:val="21"/>
          <w:szCs w:val="21"/>
          <w:lang w:eastAsia="zh-CN"/>
        </w:rPr>
        <w:t> are internationally acclaimed and are utilised by government bodies and maritime-related businesses world-wide.</w:t>
      </w:r>
      <w:r w:rsidR="004A27A8">
        <w:rPr>
          <w:rFonts w:asciiTheme="majorHAnsi" w:eastAsia="SimSun" w:hAnsiTheme="majorHAnsi" w:cstheme="majorHAnsi"/>
          <w:sz w:val="21"/>
          <w:szCs w:val="21"/>
          <w:lang w:eastAsia="zh-CN"/>
        </w:rPr>
        <w:t xml:space="preserve"> </w:t>
      </w:r>
      <w:r w:rsidR="00232BD2">
        <w:rPr>
          <w:rFonts w:asciiTheme="majorHAnsi" w:eastAsia="SimSun" w:hAnsiTheme="majorHAnsi" w:cstheme="majorHAnsi"/>
          <w:sz w:val="21"/>
          <w:szCs w:val="21"/>
          <w:lang w:eastAsia="zh-CN"/>
        </w:rPr>
        <w:t>Despite</w:t>
      </w:r>
      <w:r>
        <w:rPr>
          <w:rFonts w:asciiTheme="majorHAnsi" w:eastAsia="SimSun" w:hAnsiTheme="majorHAnsi" w:cstheme="majorHAnsi"/>
          <w:sz w:val="21"/>
          <w:szCs w:val="21"/>
          <w:lang w:eastAsia="zh-CN"/>
        </w:rPr>
        <w:t xml:space="preserve"> this </w:t>
      </w:r>
      <w:r w:rsidRPr="004A27A8">
        <w:rPr>
          <w:rFonts w:asciiTheme="majorHAnsi" w:eastAsia="SimSun" w:hAnsiTheme="majorHAnsi" w:cstheme="majorHAnsi"/>
          <w:b/>
          <w:bCs/>
          <w:color w:val="365F91"/>
          <w:sz w:val="21"/>
          <w:szCs w:val="21"/>
          <w:lang w:eastAsia="zh-CN"/>
        </w:rPr>
        <w:t xml:space="preserve">world-leading </w:t>
      </w:r>
      <w:r w:rsidR="004A27A8">
        <w:rPr>
          <w:rFonts w:asciiTheme="majorHAnsi" w:eastAsia="SimSun" w:hAnsiTheme="majorHAnsi" w:cstheme="majorHAnsi"/>
          <w:b/>
          <w:bCs/>
          <w:color w:val="365F91"/>
          <w:sz w:val="21"/>
          <w:szCs w:val="21"/>
          <w:lang w:eastAsia="zh-CN"/>
        </w:rPr>
        <w:t>capability</w:t>
      </w:r>
      <w:r>
        <w:rPr>
          <w:rFonts w:asciiTheme="majorHAnsi" w:eastAsia="SimSun" w:hAnsiTheme="majorHAnsi" w:cstheme="majorHAnsi"/>
          <w:sz w:val="21"/>
          <w:szCs w:val="21"/>
          <w:lang w:eastAsia="zh-CN"/>
        </w:rPr>
        <w:t xml:space="preserve"> </w:t>
      </w:r>
      <w:r w:rsidRPr="006E0214">
        <w:rPr>
          <w:rFonts w:asciiTheme="majorHAnsi" w:eastAsia="SimSun" w:hAnsiTheme="majorHAnsi" w:cstheme="majorHAnsi"/>
          <w:sz w:val="21"/>
          <w:szCs w:val="21"/>
          <w:lang w:eastAsia="zh-CN"/>
        </w:rPr>
        <w:t xml:space="preserve">there </w:t>
      </w:r>
      <w:r w:rsidR="004A27A8">
        <w:rPr>
          <w:rFonts w:asciiTheme="majorHAnsi" w:eastAsia="SimSun" w:hAnsiTheme="majorHAnsi" w:cstheme="majorHAnsi"/>
          <w:sz w:val="21"/>
          <w:szCs w:val="21"/>
          <w:lang w:eastAsia="zh-CN"/>
        </w:rPr>
        <w:t>is</w:t>
      </w:r>
      <w:r w:rsidRPr="006E0214">
        <w:rPr>
          <w:rFonts w:asciiTheme="majorHAnsi" w:eastAsia="SimSun" w:hAnsiTheme="majorHAnsi" w:cstheme="majorHAnsi"/>
          <w:sz w:val="21"/>
          <w:szCs w:val="21"/>
          <w:lang w:eastAsia="zh-CN"/>
        </w:rPr>
        <w:t xml:space="preserve"> </w:t>
      </w:r>
      <w:r w:rsidRPr="004A27A8">
        <w:rPr>
          <w:rFonts w:asciiTheme="majorHAnsi" w:eastAsia="SimSun" w:hAnsiTheme="majorHAnsi" w:cstheme="majorHAnsi"/>
          <w:b/>
          <w:bCs/>
          <w:color w:val="365F91"/>
          <w:sz w:val="21"/>
          <w:szCs w:val="21"/>
          <w:lang w:eastAsia="zh-CN"/>
        </w:rPr>
        <w:t>no suitable infrastructure budget for its updating or renewal</w:t>
      </w:r>
      <w:r w:rsidRPr="006E0214">
        <w:rPr>
          <w:rFonts w:asciiTheme="majorHAnsi" w:eastAsia="SimSun" w:hAnsiTheme="majorHAnsi" w:cstheme="majorHAnsi"/>
          <w:sz w:val="21"/>
          <w:szCs w:val="21"/>
          <w:lang w:eastAsia="zh-CN"/>
        </w:rPr>
        <w:t>.</w:t>
      </w:r>
    </w:p>
    <w:p w14:paraId="13A60411" w14:textId="77777777" w:rsidR="00384054" w:rsidRPr="006602FB" w:rsidRDefault="00384054" w:rsidP="004814CF">
      <w:pPr>
        <w:spacing w:afterLines="200" w:after="480"/>
        <w:rPr>
          <w:rFonts w:asciiTheme="majorHAnsi" w:eastAsia="SimSun" w:hAnsiTheme="majorHAnsi" w:cstheme="majorHAnsi"/>
          <w:b/>
          <w:bCs/>
          <w:color w:val="0070C0"/>
          <w:lang w:eastAsia="zh-CN"/>
        </w:rPr>
      </w:pPr>
      <w:r w:rsidRPr="006602FB">
        <w:rPr>
          <w:rFonts w:asciiTheme="majorHAnsi" w:eastAsia="SimSun" w:hAnsiTheme="majorHAnsi" w:cstheme="majorHAnsi"/>
          <w:sz w:val="21"/>
          <w:szCs w:val="21"/>
          <w:lang w:eastAsia="zh-CN"/>
        </w:rPr>
        <w:lastRenderedPageBreak/>
        <w:t xml:space="preserve">The University of Tasmania would make the following </w:t>
      </w:r>
      <w:r w:rsidR="00232BD2">
        <w:rPr>
          <w:rFonts w:asciiTheme="majorHAnsi" w:eastAsia="SimSun" w:hAnsiTheme="majorHAnsi" w:cstheme="majorHAnsi"/>
          <w:sz w:val="21"/>
          <w:szCs w:val="21"/>
          <w:lang w:eastAsia="zh-CN"/>
        </w:rPr>
        <w:t xml:space="preserve">general </w:t>
      </w:r>
      <w:r w:rsidRPr="006602FB">
        <w:rPr>
          <w:rFonts w:asciiTheme="majorHAnsi" w:eastAsia="SimSun" w:hAnsiTheme="majorHAnsi" w:cstheme="majorHAnsi"/>
          <w:sz w:val="21"/>
          <w:szCs w:val="21"/>
          <w:lang w:eastAsia="zh-CN"/>
        </w:rPr>
        <w:t>comments in respect of</w:t>
      </w:r>
      <w:r w:rsidRPr="00384054">
        <w:rPr>
          <w:rFonts w:asciiTheme="majorHAnsi" w:eastAsia="SimSun" w:hAnsiTheme="majorHAnsi" w:cstheme="majorHAnsi"/>
          <w:lang w:eastAsia="zh-CN"/>
        </w:rPr>
        <w:t xml:space="preserve"> </w:t>
      </w:r>
      <w:r w:rsidRPr="000126F8">
        <w:rPr>
          <w:rFonts w:asciiTheme="majorHAnsi" w:eastAsia="SimSun" w:hAnsiTheme="majorHAnsi" w:cstheme="majorHAnsi"/>
          <w:b/>
          <w:bCs/>
          <w:color w:val="365F91"/>
          <w:sz w:val="21"/>
          <w:szCs w:val="21"/>
          <w:lang w:eastAsia="zh-CN"/>
        </w:rPr>
        <w:t>optimising the research infrastructure capacity in the sector</w:t>
      </w:r>
      <w:r w:rsidRPr="006602FB">
        <w:rPr>
          <w:rFonts w:asciiTheme="majorHAnsi" w:eastAsia="SimSun" w:hAnsiTheme="majorHAnsi" w:cstheme="majorHAnsi"/>
          <w:b/>
          <w:bCs/>
          <w:color w:val="0070C0"/>
          <w:lang w:eastAsia="zh-CN"/>
        </w:rPr>
        <w:t>.</w:t>
      </w:r>
    </w:p>
    <w:p w14:paraId="13A60412" w14:textId="77777777" w:rsidR="00F86472" w:rsidRDefault="00F86472" w:rsidP="004814CF">
      <w:pPr>
        <w:numPr>
          <w:ilvl w:val="0"/>
          <w:numId w:val="31"/>
        </w:numPr>
        <w:autoSpaceDE w:val="0"/>
        <w:autoSpaceDN w:val="0"/>
        <w:spacing w:afterLines="200" w:after="480"/>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World class infrastructure is a key platform for growing global competitiveness. Current</w:t>
      </w:r>
      <w:r w:rsidR="006602FB">
        <w:rPr>
          <w:rFonts w:asciiTheme="majorHAnsi" w:eastAsia="SimSun" w:hAnsiTheme="majorHAnsi" w:cstheme="majorHAnsi"/>
          <w:color w:val="272727"/>
          <w:sz w:val="21"/>
          <w:szCs w:val="21"/>
          <w:lang w:eastAsia="zh-CN"/>
        </w:rPr>
        <w:t>ly</w:t>
      </w:r>
      <w:r>
        <w:rPr>
          <w:rFonts w:asciiTheme="majorHAnsi" w:eastAsia="SimSun" w:hAnsiTheme="majorHAnsi" w:cstheme="majorHAnsi"/>
          <w:color w:val="272727"/>
          <w:sz w:val="21"/>
          <w:szCs w:val="21"/>
          <w:lang w:eastAsia="zh-CN"/>
        </w:rPr>
        <w:t xml:space="preserve"> the investment in our infrastructure appears too low.</w:t>
      </w:r>
    </w:p>
    <w:p w14:paraId="13A60413" w14:textId="77777777" w:rsidR="00384054" w:rsidRPr="00F86472" w:rsidRDefault="00F86472" w:rsidP="004814CF">
      <w:pPr>
        <w:numPr>
          <w:ilvl w:val="0"/>
          <w:numId w:val="31"/>
        </w:numPr>
        <w:autoSpaceDE w:val="0"/>
        <w:autoSpaceDN w:val="0"/>
        <w:spacing w:afterLines="200" w:after="480"/>
        <w:rPr>
          <w:rFonts w:asciiTheme="majorHAnsi" w:eastAsia="SimSun" w:hAnsiTheme="majorHAnsi" w:cstheme="majorHAnsi"/>
          <w:color w:val="272727"/>
          <w:sz w:val="21"/>
          <w:szCs w:val="21"/>
          <w:lang w:eastAsia="zh-CN"/>
        </w:rPr>
      </w:pPr>
      <w:r>
        <w:rPr>
          <w:rFonts w:asciiTheme="majorHAnsi" w:eastAsia="SimSun" w:hAnsiTheme="majorHAnsi" w:cstheme="majorHAnsi"/>
          <w:color w:val="272727"/>
          <w:sz w:val="21"/>
          <w:szCs w:val="21"/>
          <w:lang w:eastAsia="zh-CN"/>
        </w:rPr>
        <w:t xml:space="preserve">Building on the </w:t>
      </w:r>
      <w:r w:rsidRPr="00F86472">
        <w:rPr>
          <w:rFonts w:asciiTheme="majorHAnsi" w:eastAsia="SimSun" w:hAnsiTheme="majorHAnsi" w:cstheme="majorHAnsi"/>
          <w:color w:val="272727"/>
          <w:sz w:val="21"/>
          <w:szCs w:val="21"/>
          <w:lang w:eastAsia="zh-CN"/>
        </w:rPr>
        <w:t>Linkage Infrastructure, Equipment and Facilities</w:t>
      </w:r>
      <w:r>
        <w:rPr>
          <w:rFonts w:asciiTheme="majorHAnsi" w:eastAsia="SimSun" w:hAnsiTheme="majorHAnsi" w:cstheme="majorHAnsi"/>
          <w:color w:val="272727"/>
          <w:sz w:val="21"/>
          <w:szCs w:val="21"/>
          <w:lang w:eastAsia="zh-CN"/>
        </w:rPr>
        <w:t xml:space="preserve"> (</w:t>
      </w:r>
      <w:r w:rsidRPr="00E06229">
        <w:rPr>
          <w:rFonts w:asciiTheme="majorHAnsi" w:eastAsia="SimSun" w:hAnsiTheme="majorHAnsi" w:cstheme="majorHAnsi"/>
          <w:b/>
          <w:bCs/>
          <w:color w:val="272727"/>
          <w:sz w:val="21"/>
          <w:szCs w:val="21"/>
          <w:lang w:eastAsia="zh-CN"/>
        </w:rPr>
        <w:t>LIEF</w:t>
      </w:r>
      <w:r>
        <w:rPr>
          <w:rFonts w:asciiTheme="majorHAnsi" w:eastAsia="SimSun" w:hAnsiTheme="majorHAnsi" w:cstheme="majorHAnsi"/>
          <w:color w:val="272727"/>
          <w:sz w:val="21"/>
          <w:szCs w:val="21"/>
          <w:lang w:eastAsia="zh-CN"/>
        </w:rPr>
        <w:t xml:space="preserve">) scheme </w:t>
      </w:r>
      <w:r w:rsidRPr="00F86472">
        <w:rPr>
          <w:rFonts w:asciiTheme="majorHAnsi" w:eastAsia="SimSun" w:hAnsiTheme="majorHAnsi" w:cstheme="majorHAnsi"/>
          <w:color w:val="272727"/>
          <w:sz w:val="21"/>
          <w:szCs w:val="21"/>
          <w:lang w:eastAsia="zh-CN"/>
        </w:rPr>
        <w:t xml:space="preserve">the </w:t>
      </w:r>
      <w:r>
        <w:rPr>
          <w:rFonts w:asciiTheme="majorHAnsi" w:eastAsia="SimSun" w:hAnsiTheme="majorHAnsi" w:cstheme="majorHAnsi"/>
          <w:color w:val="272727"/>
          <w:sz w:val="21"/>
          <w:szCs w:val="21"/>
          <w:lang w:eastAsia="zh-CN"/>
        </w:rPr>
        <w:t>government might consider</w:t>
      </w:r>
      <w:r w:rsidRPr="00F86472">
        <w:rPr>
          <w:rFonts w:asciiTheme="majorHAnsi" w:eastAsia="SimSun" w:hAnsiTheme="majorHAnsi" w:cstheme="majorHAnsi"/>
          <w:color w:val="272727"/>
          <w:sz w:val="21"/>
          <w:szCs w:val="21"/>
          <w:lang w:eastAsia="zh-CN"/>
        </w:rPr>
        <w:t xml:space="preserve"> </w:t>
      </w:r>
      <w:r>
        <w:rPr>
          <w:rFonts w:asciiTheme="majorHAnsi" w:eastAsia="SimSun" w:hAnsiTheme="majorHAnsi" w:cstheme="majorHAnsi"/>
          <w:color w:val="272727"/>
          <w:sz w:val="21"/>
          <w:szCs w:val="21"/>
          <w:lang w:eastAsia="zh-CN"/>
        </w:rPr>
        <w:t xml:space="preserve">continuing a </w:t>
      </w:r>
      <w:r w:rsidR="00384054" w:rsidRPr="000126F8">
        <w:rPr>
          <w:rFonts w:asciiTheme="majorHAnsi" w:eastAsia="SimSun" w:hAnsiTheme="majorHAnsi" w:cstheme="majorHAnsi"/>
          <w:b/>
          <w:bCs/>
          <w:color w:val="365F91"/>
          <w:sz w:val="21"/>
          <w:szCs w:val="21"/>
          <w:lang w:eastAsia="zh-CN"/>
        </w:rPr>
        <w:t xml:space="preserve">rationalised </w:t>
      </w:r>
      <w:r w:rsidRPr="000126F8">
        <w:rPr>
          <w:rFonts w:asciiTheme="majorHAnsi" w:eastAsia="SimSun" w:hAnsiTheme="majorHAnsi" w:cstheme="majorHAnsi"/>
          <w:b/>
          <w:bCs/>
          <w:color w:val="365F91"/>
          <w:sz w:val="21"/>
          <w:szCs w:val="21"/>
          <w:lang w:eastAsia="zh-CN"/>
        </w:rPr>
        <w:t xml:space="preserve">but </w:t>
      </w:r>
      <w:r w:rsidR="00E06229" w:rsidRPr="000126F8">
        <w:rPr>
          <w:rFonts w:asciiTheme="majorHAnsi" w:eastAsia="SimSun" w:hAnsiTheme="majorHAnsi" w:cstheme="majorHAnsi"/>
          <w:b/>
          <w:bCs/>
          <w:color w:val="365F91"/>
          <w:sz w:val="21"/>
          <w:szCs w:val="21"/>
          <w:lang w:eastAsia="zh-CN"/>
        </w:rPr>
        <w:t>augmented investment</w:t>
      </w:r>
      <w:r w:rsidR="00E06229">
        <w:rPr>
          <w:rFonts w:asciiTheme="majorHAnsi" w:eastAsia="SimSun" w:hAnsiTheme="majorHAnsi" w:cstheme="majorHAnsi"/>
          <w:color w:val="272727"/>
          <w:sz w:val="21"/>
          <w:szCs w:val="21"/>
          <w:lang w:eastAsia="zh-CN"/>
        </w:rPr>
        <w:t xml:space="preserve"> in infrastructure </w:t>
      </w:r>
    </w:p>
    <w:p w14:paraId="13A60414" w14:textId="77777777" w:rsidR="00384054" w:rsidRPr="00384054" w:rsidRDefault="00384054" w:rsidP="004814CF">
      <w:pPr>
        <w:numPr>
          <w:ilvl w:val="0"/>
          <w:numId w:val="31"/>
        </w:numPr>
        <w:autoSpaceDE w:val="0"/>
        <w:autoSpaceDN w:val="0"/>
        <w:spacing w:afterLines="200" w:after="48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Distributed infrastructure would require a process whereby </w:t>
      </w:r>
      <w:r w:rsidRPr="000126F8">
        <w:rPr>
          <w:rFonts w:asciiTheme="majorHAnsi" w:eastAsia="SimSun" w:hAnsiTheme="majorHAnsi" w:cstheme="majorHAnsi"/>
          <w:b/>
          <w:bCs/>
          <w:color w:val="365F91"/>
          <w:sz w:val="21"/>
          <w:szCs w:val="21"/>
          <w:lang w:eastAsia="zh-CN"/>
        </w:rPr>
        <w:t>access was equitable</w:t>
      </w:r>
      <w:r w:rsidRPr="00384054">
        <w:rPr>
          <w:rFonts w:asciiTheme="majorHAnsi" w:eastAsia="SimSun" w:hAnsiTheme="majorHAnsi" w:cstheme="majorHAnsi"/>
          <w:color w:val="272727"/>
          <w:sz w:val="21"/>
          <w:szCs w:val="21"/>
          <w:lang w:eastAsia="zh-CN"/>
        </w:rPr>
        <w:t>, while taking into account the relative contributions that research institutions make towards infrastructure clusters.</w:t>
      </w:r>
    </w:p>
    <w:p w14:paraId="13A60415" w14:textId="77777777" w:rsidR="00384054" w:rsidRPr="00384054" w:rsidRDefault="00384054" w:rsidP="004814CF">
      <w:pPr>
        <w:numPr>
          <w:ilvl w:val="0"/>
          <w:numId w:val="31"/>
        </w:numPr>
        <w:autoSpaceDE w:val="0"/>
        <w:autoSpaceDN w:val="0"/>
        <w:spacing w:afterLines="200" w:after="48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Federal infrastructure investments should support areas where Australia has other </w:t>
      </w:r>
      <w:r w:rsidRPr="000126F8">
        <w:rPr>
          <w:rFonts w:asciiTheme="majorHAnsi" w:eastAsia="SimSun" w:hAnsiTheme="majorHAnsi" w:cstheme="majorHAnsi"/>
          <w:b/>
          <w:bCs/>
          <w:color w:val="365F91"/>
          <w:sz w:val="21"/>
          <w:szCs w:val="21"/>
          <w:lang w:eastAsia="zh-CN"/>
        </w:rPr>
        <w:t>sustainable advantages</w:t>
      </w:r>
      <w:r w:rsidRPr="00384054">
        <w:rPr>
          <w:rFonts w:asciiTheme="majorHAnsi" w:eastAsia="SimSun" w:hAnsiTheme="majorHAnsi" w:cstheme="majorHAnsi"/>
          <w:color w:val="272727"/>
          <w:sz w:val="21"/>
          <w:szCs w:val="21"/>
          <w:lang w:eastAsia="zh-CN"/>
        </w:rPr>
        <w:t xml:space="preserve"> (e.g. existing technology, existing commercial investment or other natural advantages).</w:t>
      </w:r>
    </w:p>
    <w:p w14:paraId="13A60416" w14:textId="77777777" w:rsidR="00384054" w:rsidRPr="00384054" w:rsidRDefault="00384054" w:rsidP="004814CF">
      <w:pPr>
        <w:numPr>
          <w:ilvl w:val="0"/>
          <w:numId w:val="31"/>
        </w:numPr>
        <w:autoSpaceDE w:val="0"/>
        <w:autoSpaceDN w:val="0"/>
        <w:spacing w:afterLines="200" w:after="48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The infrastructure spend should be guided in part by a </w:t>
      </w:r>
      <w:r w:rsidRPr="000126F8">
        <w:rPr>
          <w:rFonts w:asciiTheme="majorHAnsi" w:eastAsia="SimSun" w:hAnsiTheme="majorHAnsi" w:cstheme="majorHAnsi"/>
          <w:b/>
          <w:bCs/>
          <w:color w:val="365F91"/>
          <w:sz w:val="21"/>
          <w:szCs w:val="21"/>
          <w:lang w:eastAsia="zh-CN"/>
        </w:rPr>
        <w:t>dialogue</w:t>
      </w:r>
      <w:r w:rsidRPr="00384054">
        <w:rPr>
          <w:rFonts w:asciiTheme="majorHAnsi" w:eastAsia="SimSun" w:hAnsiTheme="majorHAnsi" w:cstheme="majorHAnsi"/>
          <w:color w:val="272727"/>
          <w:sz w:val="21"/>
          <w:szCs w:val="21"/>
          <w:lang w:eastAsia="zh-CN"/>
        </w:rPr>
        <w:t xml:space="preserve"> with industry, PFRO, Universities that would galvanise a financial contribution by all parties to ensure alignment; </w:t>
      </w:r>
    </w:p>
    <w:p w14:paraId="13A60417" w14:textId="33E13003" w:rsidR="004814CF" w:rsidRDefault="00384054" w:rsidP="004814CF">
      <w:pPr>
        <w:numPr>
          <w:ilvl w:val="0"/>
          <w:numId w:val="31"/>
        </w:numPr>
        <w:autoSpaceDE w:val="0"/>
        <w:autoSpaceDN w:val="0"/>
        <w:spacing w:afterLines="200" w:after="480"/>
        <w:rPr>
          <w:rFonts w:asciiTheme="majorHAnsi" w:eastAsia="SimSun" w:hAnsiTheme="majorHAnsi" w:cstheme="majorHAnsi"/>
          <w:color w:val="272727"/>
          <w:sz w:val="21"/>
          <w:szCs w:val="21"/>
          <w:lang w:eastAsia="zh-CN"/>
        </w:rPr>
      </w:pPr>
      <w:r w:rsidRPr="00384054">
        <w:rPr>
          <w:rFonts w:asciiTheme="majorHAnsi" w:eastAsia="SimSun" w:hAnsiTheme="majorHAnsi" w:cstheme="majorHAnsi"/>
          <w:color w:val="272727"/>
          <w:sz w:val="21"/>
          <w:szCs w:val="21"/>
          <w:lang w:eastAsia="zh-CN"/>
        </w:rPr>
        <w:t xml:space="preserve">With the exception of some specific sectors (e.g. astronomy) infrastructure </w:t>
      </w:r>
      <w:r w:rsidRPr="000126F8">
        <w:rPr>
          <w:rFonts w:asciiTheme="majorHAnsi" w:eastAsia="SimSun" w:hAnsiTheme="majorHAnsi" w:cstheme="majorHAnsi"/>
          <w:b/>
          <w:bCs/>
          <w:color w:val="365F91"/>
          <w:sz w:val="21"/>
          <w:szCs w:val="21"/>
          <w:lang w:eastAsia="zh-CN"/>
        </w:rPr>
        <w:t>spend is too low</w:t>
      </w:r>
      <w:r w:rsidRPr="00384054">
        <w:rPr>
          <w:rFonts w:asciiTheme="majorHAnsi" w:eastAsia="SimSun" w:hAnsiTheme="majorHAnsi" w:cstheme="majorHAnsi"/>
          <w:color w:val="272727"/>
          <w:sz w:val="21"/>
          <w:szCs w:val="21"/>
          <w:lang w:eastAsia="zh-CN"/>
        </w:rPr>
        <w:t xml:space="preserve"> to secure an internationally competitive position.</w:t>
      </w:r>
    </w:p>
    <w:p w14:paraId="60FBA7A6" w14:textId="7969C272" w:rsidR="004814CF" w:rsidRDefault="004814CF" w:rsidP="001F36DF">
      <w:pPr>
        <w:pStyle w:val="BodyTextIndent"/>
        <w:spacing w:afterLines="200" w:after="480"/>
        <w:ind w:left="0"/>
        <w:rPr>
          <w:lang w:eastAsia="zh-CN"/>
        </w:rPr>
      </w:pPr>
      <w:r>
        <w:rPr>
          <w:lang w:eastAsia="zh-CN"/>
        </w:rPr>
        <w:br w:type="page"/>
      </w:r>
    </w:p>
    <w:p w14:paraId="13A60418" w14:textId="77777777" w:rsidR="00DD29BA" w:rsidRPr="00DD29BA" w:rsidRDefault="00DD29BA" w:rsidP="004814CF">
      <w:pPr>
        <w:pStyle w:val="Title"/>
      </w:pPr>
      <w:bookmarkStart w:id="8" w:name="_Toc404874478"/>
      <w:r w:rsidRPr="00DD29BA">
        <w:lastRenderedPageBreak/>
        <w:t>A</w:t>
      </w:r>
      <w:r w:rsidR="00EA710A">
        <w:t>ppendix</w:t>
      </w:r>
      <w:r w:rsidRPr="00DD29BA">
        <w:t xml:space="preserve"> 1</w:t>
      </w:r>
      <w:bookmarkEnd w:id="8"/>
    </w:p>
    <w:p w14:paraId="13A60419" w14:textId="77777777" w:rsidR="00DD29BA" w:rsidRPr="00384054" w:rsidRDefault="00DD29BA" w:rsidP="00DD29BA">
      <w:pPr>
        <w:rPr>
          <w:rFonts w:asciiTheme="majorHAnsi" w:eastAsia="SimSun" w:hAnsiTheme="majorHAnsi" w:cstheme="majorHAnsi"/>
          <w:sz w:val="21"/>
          <w:szCs w:val="21"/>
          <w:lang w:eastAsia="zh-CN"/>
        </w:rPr>
      </w:pPr>
      <w:r w:rsidRPr="00384054">
        <w:rPr>
          <w:rFonts w:asciiTheme="majorHAnsi" w:eastAsia="SimSun" w:hAnsiTheme="majorHAnsi" w:cstheme="majorHAnsi"/>
          <w:sz w:val="21"/>
          <w:szCs w:val="21"/>
          <w:lang w:eastAsia="zh-CN"/>
        </w:rPr>
        <w:t>In the University’s experience, common legal obstacles that exist when negotiating with industry include:</w:t>
      </w:r>
    </w:p>
    <w:p w14:paraId="13A6041A" w14:textId="77777777" w:rsidR="00DD29BA" w:rsidRPr="00384054" w:rsidRDefault="00DD29BA" w:rsidP="004814CF">
      <w:pPr>
        <w:pStyle w:val="Heading1"/>
        <w:rPr>
          <w:lang w:val="en-US"/>
        </w:rPr>
      </w:pPr>
      <w:r w:rsidRPr="00384054">
        <w:rPr>
          <w:lang w:val="en-US"/>
        </w:rPr>
        <w:t>Lack of Common Understanding regarding University Functions and Requirements</w:t>
      </w:r>
    </w:p>
    <w:p w14:paraId="13A6041C" w14:textId="77777777" w:rsidR="00DD29BA" w:rsidRPr="00384054" w:rsidRDefault="00DD29BA" w:rsidP="00DD29BA">
      <w:pPr>
        <w:rPr>
          <w:rFonts w:asciiTheme="majorHAnsi" w:eastAsia="SimSun" w:hAnsiTheme="majorHAnsi" w:cstheme="majorHAnsi"/>
          <w:sz w:val="21"/>
          <w:szCs w:val="21"/>
          <w:lang w:eastAsia="zh-CN"/>
        </w:rPr>
      </w:pPr>
      <w:r w:rsidRPr="00384054">
        <w:rPr>
          <w:rFonts w:asciiTheme="majorHAnsi" w:eastAsia="SimSun" w:hAnsiTheme="majorHAnsi" w:cstheme="majorHAnsi"/>
          <w:sz w:val="21"/>
          <w:szCs w:val="21"/>
          <w:lang w:eastAsia="zh-CN"/>
        </w:rPr>
        <w:t>For example industry often seeks terms that:</w:t>
      </w:r>
    </w:p>
    <w:p w14:paraId="13A6041D" w14:textId="77777777" w:rsidR="00DD29BA" w:rsidRPr="00384054" w:rsidRDefault="00DD29BA" w:rsidP="00DD29BA">
      <w:pPr>
        <w:numPr>
          <w:ilvl w:val="0"/>
          <w:numId w:val="18"/>
        </w:numPr>
        <w:contextualSpacing/>
        <w:rPr>
          <w:rFonts w:asciiTheme="majorHAnsi" w:eastAsia="Times New Roman" w:hAnsiTheme="majorHAnsi" w:cstheme="majorHAnsi"/>
          <w:sz w:val="21"/>
          <w:szCs w:val="21"/>
          <w:lang w:val="en-US"/>
        </w:rPr>
      </w:pPr>
      <w:r w:rsidRPr="00384054">
        <w:rPr>
          <w:rFonts w:asciiTheme="majorHAnsi" w:eastAsia="Times New Roman" w:hAnsiTheme="majorHAnsi" w:cstheme="majorHAnsi"/>
          <w:sz w:val="21"/>
          <w:szCs w:val="21"/>
          <w:lang w:val="en-US"/>
        </w:rPr>
        <w:t>Would restrict the PFRO</w:t>
      </w:r>
      <w:r>
        <w:rPr>
          <w:rFonts w:asciiTheme="majorHAnsi" w:eastAsia="Times New Roman" w:hAnsiTheme="majorHAnsi" w:cstheme="majorHAnsi"/>
          <w:sz w:val="21"/>
          <w:szCs w:val="21"/>
          <w:lang w:val="en-US"/>
        </w:rPr>
        <w:t>’s publication or examination</w:t>
      </w:r>
      <w:r w:rsidRPr="00384054">
        <w:rPr>
          <w:rFonts w:asciiTheme="majorHAnsi" w:eastAsia="Times New Roman" w:hAnsiTheme="majorHAnsi" w:cstheme="majorHAnsi"/>
          <w:sz w:val="21"/>
          <w:szCs w:val="21"/>
          <w:lang w:val="en-US"/>
        </w:rPr>
        <w:t>, or impose unaccepta</w:t>
      </w:r>
      <w:r>
        <w:rPr>
          <w:rFonts w:asciiTheme="majorHAnsi" w:eastAsia="Times New Roman" w:hAnsiTheme="majorHAnsi" w:cstheme="majorHAnsi"/>
          <w:sz w:val="21"/>
          <w:szCs w:val="21"/>
          <w:lang w:val="en-US"/>
        </w:rPr>
        <w:t>ble timeframes on the review of</w:t>
      </w:r>
      <w:r w:rsidRPr="00384054">
        <w:rPr>
          <w:rFonts w:asciiTheme="majorHAnsi" w:eastAsia="Times New Roman" w:hAnsiTheme="majorHAnsi" w:cstheme="majorHAnsi"/>
          <w:sz w:val="21"/>
          <w:szCs w:val="21"/>
          <w:lang w:val="en-US"/>
        </w:rPr>
        <w:t xml:space="preserve"> a student thesis which describes the results of a research project</w:t>
      </w:r>
      <w:r>
        <w:rPr>
          <w:rFonts w:asciiTheme="majorHAnsi" w:eastAsia="Times New Roman" w:hAnsiTheme="majorHAnsi" w:cstheme="majorHAnsi"/>
          <w:sz w:val="21"/>
          <w:szCs w:val="21"/>
          <w:lang w:val="en-US"/>
        </w:rPr>
        <w:t>.</w:t>
      </w:r>
    </w:p>
    <w:p w14:paraId="13A6041E" w14:textId="77777777" w:rsidR="00DD29BA" w:rsidRPr="00384054" w:rsidRDefault="00DD29BA" w:rsidP="00DD29BA">
      <w:pPr>
        <w:numPr>
          <w:ilvl w:val="0"/>
          <w:numId w:val="18"/>
        </w:numPr>
        <w:contextualSpacing/>
        <w:rPr>
          <w:rFonts w:asciiTheme="majorHAnsi" w:eastAsia="Times New Roman" w:hAnsiTheme="majorHAnsi" w:cstheme="majorHAnsi"/>
          <w:sz w:val="21"/>
          <w:szCs w:val="21"/>
          <w:lang w:val="en-US"/>
        </w:rPr>
      </w:pPr>
      <w:r w:rsidRPr="00384054">
        <w:rPr>
          <w:rFonts w:asciiTheme="majorHAnsi" w:eastAsia="Times New Roman" w:hAnsiTheme="majorHAnsi" w:cstheme="majorHAnsi"/>
          <w:sz w:val="21"/>
          <w:szCs w:val="21"/>
          <w:lang w:val="en-US"/>
        </w:rPr>
        <w:t>Allow industry to amend proposed publications regarding a research project which might affect the academic integrity of the proposed publication or otherwise restrict the release of information that might be unfavorable to it.</w:t>
      </w:r>
    </w:p>
    <w:p w14:paraId="13A6041F" w14:textId="77777777" w:rsidR="00DD29BA" w:rsidRPr="00384054" w:rsidRDefault="00DD29BA" w:rsidP="00DD29BA">
      <w:pPr>
        <w:numPr>
          <w:ilvl w:val="0"/>
          <w:numId w:val="18"/>
        </w:numPr>
        <w:contextualSpacing/>
        <w:rPr>
          <w:rFonts w:asciiTheme="majorHAnsi" w:eastAsia="Times New Roman" w:hAnsiTheme="majorHAnsi" w:cstheme="majorHAnsi"/>
          <w:sz w:val="21"/>
          <w:szCs w:val="21"/>
          <w:lang w:val="en-US"/>
        </w:rPr>
      </w:pPr>
      <w:r w:rsidRPr="00384054">
        <w:rPr>
          <w:rFonts w:asciiTheme="majorHAnsi" w:eastAsia="Times New Roman" w:hAnsiTheme="majorHAnsi" w:cstheme="majorHAnsi"/>
          <w:sz w:val="21"/>
          <w:szCs w:val="21"/>
          <w:lang w:val="en-US"/>
        </w:rPr>
        <w:t>Restrict the further conduct of research which relies on the outcome of collaborative research.</w:t>
      </w:r>
    </w:p>
    <w:p w14:paraId="13A60420" w14:textId="77777777" w:rsidR="00DD29BA" w:rsidRPr="00384054" w:rsidRDefault="00DD29BA" w:rsidP="00DD29BA">
      <w:pPr>
        <w:numPr>
          <w:ilvl w:val="0"/>
          <w:numId w:val="18"/>
        </w:numPr>
        <w:contextualSpacing/>
        <w:rPr>
          <w:rFonts w:asciiTheme="majorHAnsi" w:eastAsia="Times New Roman" w:hAnsiTheme="majorHAnsi" w:cstheme="majorHAnsi"/>
          <w:sz w:val="21"/>
          <w:szCs w:val="21"/>
          <w:lang w:val="en-US"/>
        </w:rPr>
      </w:pPr>
      <w:r w:rsidRPr="00384054">
        <w:rPr>
          <w:rFonts w:asciiTheme="majorHAnsi" w:eastAsia="Times New Roman" w:hAnsiTheme="majorHAnsi" w:cstheme="majorHAnsi"/>
          <w:sz w:val="21"/>
          <w:szCs w:val="21"/>
          <w:lang w:val="en-US"/>
        </w:rPr>
        <w:t xml:space="preserve">Require the University to make unreasonable warranties or provide indemnities about either: the outcomes of its research (including the purposes to which it might be put); or the extent of its due diligence in relation to whether research outputs will infringe third party </w:t>
      </w:r>
      <w:r>
        <w:rPr>
          <w:rFonts w:asciiTheme="majorHAnsi" w:eastAsia="Times New Roman" w:hAnsiTheme="majorHAnsi" w:cstheme="majorHAnsi"/>
          <w:sz w:val="21"/>
          <w:szCs w:val="21"/>
          <w:lang w:val="en-US"/>
        </w:rPr>
        <w:t>IP</w:t>
      </w:r>
      <w:r w:rsidRPr="00384054">
        <w:rPr>
          <w:rFonts w:asciiTheme="majorHAnsi" w:eastAsia="Times New Roman" w:hAnsiTheme="majorHAnsi" w:cstheme="majorHAnsi"/>
          <w:sz w:val="21"/>
          <w:szCs w:val="21"/>
          <w:lang w:val="en-US"/>
        </w:rPr>
        <w:t>.</w:t>
      </w:r>
    </w:p>
    <w:p w14:paraId="13A60421" w14:textId="66F541E5" w:rsidR="00DD29BA" w:rsidRPr="00384054" w:rsidRDefault="00DD29BA" w:rsidP="00DD29BA">
      <w:pPr>
        <w:numPr>
          <w:ilvl w:val="0"/>
          <w:numId w:val="18"/>
        </w:numPr>
        <w:contextualSpacing/>
        <w:rPr>
          <w:rFonts w:asciiTheme="majorHAnsi" w:eastAsia="Times New Roman" w:hAnsiTheme="majorHAnsi" w:cstheme="majorHAnsi"/>
          <w:sz w:val="21"/>
          <w:szCs w:val="21"/>
          <w:lang w:val="en-US"/>
        </w:rPr>
      </w:pPr>
      <w:r w:rsidRPr="00384054">
        <w:rPr>
          <w:rFonts w:asciiTheme="majorHAnsi" w:eastAsia="Times New Roman" w:hAnsiTheme="majorHAnsi" w:cstheme="majorHAnsi"/>
          <w:sz w:val="21"/>
          <w:szCs w:val="21"/>
          <w:lang w:val="en-US"/>
        </w:rPr>
        <w:t>Require the University to seek the consent of authors of copyright works for industry to infringe moral rights.</w:t>
      </w:r>
    </w:p>
    <w:p w14:paraId="13A60422" w14:textId="77777777" w:rsidR="00DD29BA" w:rsidRPr="00384054" w:rsidRDefault="00DD29BA" w:rsidP="004814CF">
      <w:pPr>
        <w:pStyle w:val="Heading2"/>
        <w:rPr>
          <w:lang w:val="en-US"/>
        </w:rPr>
      </w:pPr>
      <w:r w:rsidRPr="00384054">
        <w:rPr>
          <w:lang w:val="en-US"/>
        </w:rPr>
        <w:t xml:space="preserve">Industry (particularly </w:t>
      </w:r>
      <w:proofErr w:type="spellStart"/>
      <w:r w:rsidRPr="00384054">
        <w:rPr>
          <w:lang w:val="en-US"/>
        </w:rPr>
        <w:t>SMEs</w:t>
      </w:r>
      <w:proofErr w:type="spellEnd"/>
      <w:r w:rsidRPr="00384054">
        <w:rPr>
          <w:lang w:val="en-US"/>
        </w:rPr>
        <w:t>) lack Access to Legal, Tax and Intellectual Property Advice</w:t>
      </w:r>
    </w:p>
    <w:p w14:paraId="13A60423" w14:textId="77777777" w:rsidR="00DD29BA" w:rsidRPr="00384054" w:rsidRDefault="00DD29BA" w:rsidP="00DD29BA">
      <w:pPr>
        <w:rPr>
          <w:rFonts w:asciiTheme="majorHAnsi" w:eastAsia="SimSun" w:hAnsiTheme="majorHAnsi" w:cstheme="majorHAnsi"/>
          <w:sz w:val="21"/>
          <w:szCs w:val="21"/>
          <w:lang w:eastAsia="zh-CN"/>
        </w:rPr>
      </w:pPr>
      <w:r w:rsidRPr="00384054">
        <w:rPr>
          <w:rFonts w:asciiTheme="majorHAnsi" w:eastAsia="SimSun" w:hAnsiTheme="majorHAnsi" w:cstheme="majorHAnsi"/>
          <w:sz w:val="21"/>
          <w:szCs w:val="21"/>
          <w:lang w:eastAsia="zh-CN"/>
        </w:rPr>
        <w:t xml:space="preserve">In our experience, negotiations take longer when the other Party does not have access to </w:t>
      </w:r>
      <w:r>
        <w:rPr>
          <w:rFonts w:asciiTheme="majorHAnsi" w:eastAsia="SimSun" w:hAnsiTheme="majorHAnsi" w:cstheme="majorHAnsi"/>
          <w:sz w:val="21"/>
          <w:szCs w:val="21"/>
          <w:lang w:eastAsia="zh-CN"/>
        </w:rPr>
        <w:t>l</w:t>
      </w:r>
      <w:r w:rsidRPr="00384054">
        <w:rPr>
          <w:rFonts w:asciiTheme="majorHAnsi" w:eastAsia="SimSun" w:hAnsiTheme="majorHAnsi" w:cstheme="majorHAnsi"/>
          <w:sz w:val="21"/>
          <w:szCs w:val="21"/>
          <w:lang w:eastAsia="zh-CN"/>
        </w:rPr>
        <w:t xml:space="preserve">egal or </w:t>
      </w:r>
      <w:r>
        <w:rPr>
          <w:rFonts w:asciiTheme="majorHAnsi" w:eastAsia="SimSun" w:hAnsiTheme="majorHAnsi" w:cstheme="majorHAnsi"/>
          <w:sz w:val="21"/>
          <w:szCs w:val="21"/>
          <w:lang w:eastAsia="zh-CN"/>
        </w:rPr>
        <w:t>IP</w:t>
      </w:r>
      <w:r w:rsidRPr="00384054">
        <w:rPr>
          <w:rFonts w:asciiTheme="majorHAnsi" w:eastAsia="SimSun" w:hAnsiTheme="majorHAnsi" w:cstheme="majorHAnsi"/>
          <w:sz w:val="21"/>
          <w:szCs w:val="21"/>
          <w:lang w:eastAsia="zh-CN"/>
        </w:rPr>
        <w:t xml:space="preserve"> advice and as a consequence struggles to form or negotiate a clear position on </w:t>
      </w:r>
      <w:r>
        <w:rPr>
          <w:rFonts w:asciiTheme="majorHAnsi" w:eastAsia="SimSun" w:hAnsiTheme="majorHAnsi" w:cstheme="majorHAnsi"/>
          <w:sz w:val="21"/>
          <w:szCs w:val="21"/>
          <w:lang w:eastAsia="zh-CN"/>
        </w:rPr>
        <w:t xml:space="preserve">IP </w:t>
      </w:r>
      <w:r w:rsidRPr="00384054">
        <w:rPr>
          <w:rFonts w:asciiTheme="majorHAnsi" w:eastAsia="SimSun" w:hAnsiTheme="majorHAnsi" w:cstheme="majorHAnsi"/>
          <w:sz w:val="21"/>
          <w:szCs w:val="21"/>
          <w:lang w:eastAsia="zh-CN"/>
        </w:rPr>
        <w:t>matters that are addressed in a collaborative research agreement.</w:t>
      </w:r>
    </w:p>
    <w:p w14:paraId="13A60424" w14:textId="77777777" w:rsidR="00DD29BA" w:rsidRPr="00384054" w:rsidRDefault="00DD29BA" w:rsidP="004814CF">
      <w:pPr>
        <w:pStyle w:val="Heading3"/>
        <w:rPr>
          <w:lang w:val="en-US"/>
        </w:rPr>
      </w:pPr>
      <w:r w:rsidRPr="00384054">
        <w:rPr>
          <w:lang w:val="en-US"/>
        </w:rPr>
        <w:t>Third Party Funding Restrictions</w:t>
      </w:r>
    </w:p>
    <w:p w14:paraId="13A60425" w14:textId="77777777" w:rsidR="00DD29BA" w:rsidRPr="00384054" w:rsidRDefault="00DD29BA" w:rsidP="00DD29BA">
      <w:pPr>
        <w:rPr>
          <w:rFonts w:asciiTheme="majorHAnsi" w:eastAsia="SimSun" w:hAnsiTheme="majorHAnsi" w:cstheme="majorHAnsi"/>
          <w:sz w:val="21"/>
          <w:szCs w:val="21"/>
          <w:lang w:eastAsia="zh-CN"/>
        </w:rPr>
      </w:pPr>
      <w:r w:rsidRPr="00384054">
        <w:rPr>
          <w:rFonts w:asciiTheme="majorHAnsi" w:eastAsia="SimSun" w:hAnsiTheme="majorHAnsi" w:cstheme="majorHAnsi"/>
          <w:sz w:val="21"/>
          <w:szCs w:val="21"/>
          <w:lang w:eastAsia="zh-CN"/>
        </w:rPr>
        <w:t xml:space="preserve">Where the other party is one of several parties involved in the same project, Universities need to ensure their agreements with each </w:t>
      </w:r>
      <w:r w:rsidR="007B1CBD">
        <w:rPr>
          <w:rFonts w:asciiTheme="majorHAnsi" w:eastAsia="SimSun" w:hAnsiTheme="majorHAnsi" w:cstheme="majorHAnsi"/>
          <w:sz w:val="21"/>
          <w:szCs w:val="21"/>
          <w:lang w:eastAsia="zh-CN"/>
        </w:rPr>
        <w:t xml:space="preserve">other </w:t>
      </w:r>
      <w:r w:rsidRPr="00384054">
        <w:rPr>
          <w:rFonts w:asciiTheme="majorHAnsi" w:eastAsia="SimSun" w:hAnsiTheme="majorHAnsi" w:cstheme="majorHAnsi"/>
          <w:sz w:val="21"/>
          <w:szCs w:val="21"/>
          <w:lang w:eastAsia="zh-CN"/>
        </w:rPr>
        <w:t xml:space="preserve">are consistent. Negotiations can be particularly difficult where one provider of funding insists on ownership or an exclusive license or option of </w:t>
      </w:r>
      <w:r>
        <w:rPr>
          <w:rFonts w:asciiTheme="majorHAnsi" w:eastAsia="SimSun" w:hAnsiTheme="majorHAnsi" w:cstheme="majorHAnsi"/>
          <w:sz w:val="21"/>
          <w:szCs w:val="21"/>
          <w:lang w:eastAsia="zh-CN"/>
        </w:rPr>
        <w:t xml:space="preserve">IP </w:t>
      </w:r>
      <w:r w:rsidRPr="00384054">
        <w:rPr>
          <w:rFonts w:asciiTheme="majorHAnsi" w:eastAsia="SimSun" w:hAnsiTheme="majorHAnsi" w:cstheme="majorHAnsi"/>
          <w:sz w:val="21"/>
          <w:szCs w:val="21"/>
          <w:lang w:eastAsia="zh-CN"/>
        </w:rPr>
        <w:t>arising out of the project.</w:t>
      </w:r>
    </w:p>
    <w:p w14:paraId="13A60426" w14:textId="77777777" w:rsidR="00DD29BA" w:rsidRPr="00384054" w:rsidRDefault="00DD29BA" w:rsidP="00DD29BA">
      <w:pPr>
        <w:rPr>
          <w:rFonts w:asciiTheme="majorHAnsi" w:eastAsia="SimSun" w:hAnsiTheme="majorHAnsi" w:cstheme="majorHAnsi"/>
          <w:sz w:val="21"/>
          <w:szCs w:val="21"/>
          <w:lang w:eastAsia="zh-CN"/>
        </w:rPr>
      </w:pPr>
      <w:r w:rsidRPr="00384054">
        <w:rPr>
          <w:rFonts w:asciiTheme="majorHAnsi" w:eastAsia="SimSun" w:hAnsiTheme="majorHAnsi" w:cstheme="majorHAnsi"/>
          <w:sz w:val="21"/>
          <w:szCs w:val="21"/>
          <w:lang w:eastAsia="zh-CN"/>
        </w:rPr>
        <w:t xml:space="preserve">As </w:t>
      </w:r>
      <w:r>
        <w:rPr>
          <w:rFonts w:asciiTheme="majorHAnsi" w:eastAsia="SimSun" w:hAnsiTheme="majorHAnsi" w:cstheme="majorHAnsi"/>
          <w:sz w:val="21"/>
          <w:szCs w:val="21"/>
          <w:lang w:eastAsia="zh-CN"/>
        </w:rPr>
        <w:t xml:space="preserve">sections A-C demonstrate, </w:t>
      </w:r>
      <w:r w:rsidRPr="00384054">
        <w:rPr>
          <w:rFonts w:asciiTheme="majorHAnsi" w:eastAsia="SimSun" w:hAnsiTheme="majorHAnsi" w:cstheme="majorHAnsi"/>
          <w:sz w:val="21"/>
          <w:szCs w:val="21"/>
          <w:lang w:eastAsia="zh-CN"/>
        </w:rPr>
        <w:t xml:space="preserve">such terms </w:t>
      </w:r>
      <w:r>
        <w:rPr>
          <w:rFonts w:asciiTheme="majorHAnsi" w:eastAsia="SimSun" w:hAnsiTheme="majorHAnsi" w:cstheme="majorHAnsi"/>
          <w:sz w:val="21"/>
          <w:szCs w:val="21"/>
          <w:lang w:eastAsia="zh-CN"/>
        </w:rPr>
        <w:t>are usually project-specific,</w:t>
      </w:r>
      <w:r w:rsidRPr="00384054">
        <w:rPr>
          <w:rFonts w:asciiTheme="majorHAnsi" w:eastAsia="SimSun" w:hAnsiTheme="majorHAnsi" w:cstheme="majorHAnsi"/>
          <w:sz w:val="21"/>
          <w:szCs w:val="21"/>
          <w:lang w:eastAsia="zh-CN"/>
        </w:rPr>
        <w:t xml:space="preserve"> less straightforward and less likely to be able to be addressed through the use of ‘template’ terms.</w:t>
      </w:r>
    </w:p>
    <w:p w14:paraId="13A60427" w14:textId="77777777" w:rsidR="00DD29BA" w:rsidRPr="00384054" w:rsidRDefault="00DD29BA" w:rsidP="00DD29BA">
      <w:pPr>
        <w:rPr>
          <w:rFonts w:asciiTheme="majorHAnsi" w:eastAsia="SimSun" w:hAnsiTheme="majorHAnsi" w:cstheme="majorHAnsi"/>
          <w:sz w:val="21"/>
          <w:szCs w:val="21"/>
          <w:lang w:eastAsia="zh-CN"/>
        </w:rPr>
      </w:pPr>
      <w:r w:rsidRPr="00384054">
        <w:rPr>
          <w:rFonts w:asciiTheme="majorHAnsi" w:eastAsia="SimSun" w:hAnsiTheme="majorHAnsi" w:cstheme="majorHAnsi"/>
          <w:sz w:val="21"/>
          <w:szCs w:val="21"/>
          <w:lang w:eastAsia="zh-CN"/>
        </w:rPr>
        <w:t>It is in this context that that the University of Tasmania makes the following recommendation:</w:t>
      </w:r>
    </w:p>
    <w:p w14:paraId="13A60428" w14:textId="77777777" w:rsidR="00DD29BA" w:rsidRPr="00384054" w:rsidRDefault="00DD29BA" w:rsidP="00DD29BA">
      <w:pPr>
        <w:numPr>
          <w:ilvl w:val="0"/>
          <w:numId w:val="20"/>
        </w:numPr>
        <w:contextualSpacing/>
        <w:rPr>
          <w:rFonts w:asciiTheme="majorHAnsi" w:eastAsia="Times New Roman" w:hAnsiTheme="majorHAnsi" w:cstheme="majorHAnsi"/>
          <w:color w:val="1F497D"/>
          <w:sz w:val="21"/>
          <w:szCs w:val="21"/>
          <w:lang w:val="en-US"/>
        </w:rPr>
      </w:pPr>
      <w:r w:rsidRPr="00384054">
        <w:rPr>
          <w:rFonts w:asciiTheme="majorHAnsi" w:eastAsia="Times New Roman" w:hAnsiTheme="majorHAnsi" w:cstheme="majorHAnsi"/>
          <w:sz w:val="21"/>
          <w:szCs w:val="21"/>
          <w:lang w:val="en-US"/>
        </w:rPr>
        <w:t xml:space="preserve">A more straightforward approach (than an IP toolkit) might be to provide model IP clauses for certain situations, and information about when PFROs and industry might seek to use those model clauses. A decision guide or tool, similar to that available on the UK Intellectual </w:t>
      </w:r>
      <w:r w:rsidRPr="00384054">
        <w:rPr>
          <w:rFonts w:asciiTheme="majorHAnsi" w:eastAsia="Times New Roman" w:hAnsiTheme="majorHAnsi" w:cstheme="majorHAnsi"/>
          <w:sz w:val="21"/>
          <w:szCs w:val="21"/>
          <w:lang w:val="en-US"/>
        </w:rPr>
        <w:lastRenderedPageBreak/>
        <w:t>Property Office Lambert Tool Kit</w:t>
      </w:r>
      <w:r w:rsidRPr="00384054">
        <w:rPr>
          <w:rFonts w:asciiTheme="majorHAnsi" w:eastAsia="Times New Roman" w:hAnsiTheme="majorHAnsi" w:cstheme="majorHAnsi"/>
          <w:sz w:val="21"/>
          <w:szCs w:val="21"/>
          <w:vertAlign w:val="superscript"/>
          <w:lang w:val="en-US"/>
        </w:rPr>
        <w:footnoteReference w:id="13"/>
      </w:r>
      <w:r w:rsidRPr="00384054">
        <w:rPr>
          <w:rFonts w:asciiTheme="majorHAnsi" w:eastAsia="Times New Roman" w:hAnsiTheme="majorHAnsi" w:cstheme="majorHAnsi"/>
          <w:sz w:val="21"/>
          <w:szCs w:val="21"/>
          <w:lang w:val="en-US"/>
        </w:rPr>
        <w:t xml:space="preserve"> might assist in the selection of a suitable IP clause, encompassing publication restrictions, use and disclosure of confidential information, intellectual property ownership and licensing and commercialisation. We note however that the Lambert toolkit would need to be further developed in order to accommodate the common situation where there is a hierarchy of agreements.</w:t>
      </w:r>
    </w:p>
    <w:p w14:paraId="13A60429" w14:textId="77777777" w:rsidR="00DD29BA" w:rsidRPr="00DD29BA" w:rsidRDefault="00DD29BA" w:rsidP="00DD29BA">
      <w:pPr>
        <w:pStyle w:val="BodyTextIndent"/>
        <w:rPr>
          <w:lang w:eastAsia="zh-CN"/>
        </w:rPr>
      </w:pPr>
      <w:r w:rsidRPr="00384054">
        <w:rPr>
          <w:rFonts w:asciiTheme="majorHAnsi" w:eastAsia="Times New Roman" w:hAnsiTheme="majorHAnsi" w:cstheme="majorHAnsi"/>
          <w:sz w:val="21"/>
          <w:szCs w:val="21"/>
          <w:lang w:val="en-US"/>
        </w:rPr>
        <w:t xml:space="preserve">We do not </w:t>
      </w:r>
      <w:r>
        <w:rPr>
          <w:rFonts w:asciiTheme="majorHAnsi" w:eastAsia="Times New Roman" w:hAnsiTheme="majorHAnsi" w:cstheme="majorHAnsi"/>
          <w:sz w:val="21"/>
          <w:szCs w:val="21"/>
          <w:lang w:val="en-US"/>
        </w:rPr>
        <w:t>support</w:t>
      </w:r>
      <w:r w:rsidRPr="00384054">
        <w:rPr>
          <w:rFonts w:asciiTheme="majorHAnsi" w:eastAsia="Times New Roman" w:hAnsiTheme="majorHAnsi" w:cstheme="majorHAnsi"/>
          <w:sz w:val="21"/>
          <w:szCs w:val="21"/>
          <w:lang w:val="en-US"/>
        </w:rPr>
        <w:t xml:space="preserve"> the use of template term sheets addressing only IP matters, as in our experience these rarely provide sufficient instructions for lawyers</w:t>
      </w:r>
      <w:r w:rsidR="007B1CBD">
        <w:rPr>
          <w:rFonts w:asciiTheme="majorHAnsi" w:eastAsia="Times New Roman" w:hAnsiTheme="majorHAnsi" w:cstheme="majorHAnsi"/>
          <w:sz w:val="21"/>
          <w:szCs w:val="21"/>
          <w:lang w:val="en-US"/>
        </w:rPr>
        <w:t xml:space="preserve"> to draft </w:t>
      </w:r>
      <w:proofErr w:type="gramStart"/>
      <w:r w:rsidR="007B1CBD">
        <w:rPr>
          <w:rFonts w:asciiTheme="majorHAnsi" w:eastAsia="Times New Roman" w:hAnsiTheme="majorHAnsi" w:cstheme="majorHAnsi"/>
          <w:sz w:val="21"/>
          <w:szCs w:val="21"/>
          <w:lang w:val="en-US"/>
        </w:rPr>
        <w:t xml:space="preserve">a </w:t>
      </w:r>
      <w:r>
        <w:rPr>
          <w:rFonts w:asciiTheme="majorHAnsi" w:eastAsia="Times New Roman" w:hAnsiTheme="majorHAnsi" w:cstheme="majorHAnsi"/>
          <w:sz w:val="21"/>
          <w:szCs w:val="21"/>
          <w:lang w:val="en-US"/>
        </w:rPr>
        <w:t>collaboration</w:t>
      </w:r>
      <w:proofErr w:type="gramEnd"/>
      <w:r w:rsidRPr="00384054">
        <w:rPr>
          <w:rFonts w:asciiTheme="majorHAnsi" w:eastAsia="Times New Roman" w:hAnsiTheme="majorHAnsi" w:cstheme="majorHAnsi"/>
          <w:sz w:val="21"/>
          <w:szCs w:val="21"/>
          <w:lang w:val="en-US"/>
        </w:rPr>
        <w:t xml:space="preserve"> or other agreement based only on those terms. Instead we suggest that the inclusion of specific questions within the term sheet, (rather than check boxes), as this will allow instructors to provide more information about agreed terms. The model CRC term sheet</w:t>
      </w:r>
      <w:r w:rsidRPr="00384054">
        <w:rPr>
          <w:rFonts w:asciiTheme="majorHAnsi" w:eastAsia="Times New Roman" w:hAnsiTheme="majorHAnsi" w:cstheme="majorHAnsi"/>
          <w:sz w:val="21"/>
          <w:szCs w:val="21"/>
          <w:vertAlign w:val="superscript"/>
          <w:lang w:val="en-US"/>
        </w:rPr>
        <w:footnoteReference w:id="14"/>
      </w:r>
      <w:r w:rsidRPr="00384054">
        <w:rPr>
          <w:rFonts w:asciiTheme="majorHAnsi" w:eastAsia="Times New Roman" w:hAnsiTheme="majorHAnsi" w:cstheme="majorHAnsi"/>
          <w:sz w:val="21"/>
          <w:szCs w:val="21"/>
          <w:lang w:val="en-US"/>
        </w:rPr>
        <w:t xml:space="preserve"> takes a question-</w:t>
      </w:r>
      <w:bookmarkStart w:id="9" w:name="_GoBack"/>
      <w:r w:rsidRPr="00384054">
        <w:rPr>
          <w:rFonts w:asciiTheme="majorHAnsi" w:eastAsia="Times New Roman" w:hAnsiTheme="majorHAnsi" w:cstheme="majorHAnsi"/>
          <w:sz w:val="21"/>
          <w:szCs w:val="21"/>
          <w:lang w:val="en-US"/>
        </w:rPr>
        <w:t>based approach and may represent a model upon which to build such a framework.</w:t>
      </w:r>
      <w:bookmarkEnd w:id="9"/>
    </w:p>
    <w:sectPr w:rsidR="00DD29BA" w:rsidRPr="00DD29BA" w:rsidSect="00CF4B49">
      <w:footerReference w:type="default" r:id="rId14"/>
      <w:pgSz w:w="11900" w:h="16820"/>
      <w:pgMar w:top="2041" w:right="1644" w:bottom="1418" w:left="164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6042F" w14:textId="77777777" w:rsidR="001371F4" w:rsidRDefault="001371F4" w:rsidP="00384054">
      <w:r>
        <w:separator/>
      </w:r>
    </w:p>
  </w:endnote>
  <w:endnote w:type="continuationSeparator" w:id="0">
    <w:p w14:paraId="13A60430" w14:textId="77777777" w:rsidR="001371F4" w:rsidRDefault="001371F4" w:rsidP="0038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yriad Pro Light">
    <w:altName w:val="Trebuchet MS"/>
    <w:panose1 w:val="00000000000000000000"/>
    <w:charset w:val="00"/>
    <w:family w:val="swiss"/>
    <w:notTrueType/>
    <w:pitch w:val="variable"/>
    <w:sig w:usb0="20000287" w:usb1="00000001"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777854"/>
      <w:docPartObj>
        <w:docPartGallery w:val="Page Numbers (Bottom of Page)"/>
        <w:docPartUnique/>
      </w:docPartObj>
    </w:sdtPr>
    <w:sdtEndPr>
      <w:rPr>
        <w:color w:val="808080" w:themeColor="background1" w:themeShade="80"/>
        <w:spacing w:val="60"/>
      </w:rPr>
    </w:sdtEndPr>
    <w:sdtContent>
      <w:p w14:paraId="13A60431" w14:textId="77777777" w:rsidR="00237C56" w:rsidRDefault="00237C5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5195">
          <w:rPr>
            <w:noProof/>
          </w:rPr>
          <w:t>13</w:t>
        </w:r>
        <w:r>
          <w:rPr>
            <w:noProof/>
          </w:rPr>
          <w:fldChar w:fldCharType="end"/>
        </w:r>
        <w:r>
          <w:t xml:space="preserve"> | </w:t>
        </w:r>
        <w:r>
          <w:rPr>
            <w:color w:val="808080" w:themeColor="background1" w:themeShade="80"/>
            <w:spacing w:val="60"/>
          </w:rPr>
          <w:t>Page</w:t>
        </w:r>
      </w:p>
    </w:sdtContent>
  </w:sdt>
  <w:p w14:paraId="13A60432" w14:textId="77777777" w:rsidR="00237C56" w:rsidRDefault="00237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6042D" w14:textId="77777777" w:rsidR="001371F4" w:rsidRDefault="001371F4" w:rsidP="00384054">
      <w:r>
        <w:separator/>
      </w:r>
    </w:p>
  </w:footnote>
  <w:footnote w:type="continuationSeparator" w:id="0">
    <w:p w14:paraId="13A6042E" w14:textId="77777777" w:rsidR="001371F4" w:rsidRDefault="001371F4" w:rsidP="00384054">
      <w:r>
        <w:continuationSeparator/>
      </w:r>
    </w:p>
  </w:footnote>
  <w:footnote w:id="1">
    <w:p w14:paraId="13A60433" w14:textId="77777777" w:rsidR="00237C56" w:rsidRPr="00447711" w:rsidRDefault="00237C56" w:rsidP="00384054">
      <w:pPr>
        <w:pStyle w:val="FootnoteText1"/>
        <w:rPr>
          <w:sz w:val="16"/>
          <w:szCs w:val="16"/>
        </w:rPr>
      </w:pPr>
      <w:r>
        <w:rPr>
          <w:rStyle w:val="FootnoteReference"/>
        </w:rPr>
        <w:footnoteRef/>
      </w:r>
      <w:r>
        <w:t xml:space="preserve"> </w:t>
      </w:r>
      <w:hyperlink r:id="rId1" w:history="1">
        <w:r w:rsidRPr="00384054">
          <w:rPr>
            <w:rStyle w:val="Hyperlink"/>
            <w:rFonts w:asciiTheme="majorHAnsi" w:hAnsiTheme="majorHAnsi" w:cstheme="majorHAnsi"/>
            <w:sz w:val="16"/>
            <w:szCs w:val="16"/>
          </w:rPr>
          <w:t>http://www.aph.gov.au/Parliamentary_Business/Committees/Senate/Economics/Innovation_System/Submissions</w:t>
        </w:r>
      </w:hyperlink>
    </w:p>
  </w:footnote>
  <w:footnote w:id="2">
    <w:p w14:paraId="13A60434" w14:textId="77777777" w:rsidR="00237C56" w:rsidRDefault="00237C56" w:rsidP="00384054">
      <w:pPr>
        <w:pStyle w:val="FootnoteText1"/>
      </w:pPr>
      <w:r>
        <w:rPr>
          <w:rStyle w:val="FootnoteReference"/>
        </w:rPr>
        <w:footnoteRef/>
      </w:r>
      <w:r w:rsidRPr="00107F54">
        <w:rPr>
          <w:sz w:val="16"/>
          <w:szCs w:val="16"/>
        </w:rPr>
        <w:t xml:space="preserve"> </w:t>
      </w:r>
      <w:hyperlink r:id="rId2" w:history="1">
        <w:r w:rsidRPr="00384054">
          <w:rPr>
            <w:rStyle w:val="Hyperlink"/>
            <w:rFonts w:asciiTheme="majorHAnsi" w:hAnsiTheme="majorHAnsi" w:cstheme="majorHAnsi"/>
            <w:sz w:val="16"/>
            <w:szCs w:val="16"/>
          </w:rPr>
          <w:t>http://www.uschamberfoundation.org/sites/default/files/article/foundation/IndustryAcademia.pdf</w:t>
        </w:r>
      </w:hyperlink>
    </w:p>
  </w:footnote>
  <w:footnote w:id="3">
    <w:p w14:paraId="13A60435" w14:textId="77777777" w:rsidR="00AA4525" w:rsidRDefault="00AA4525" w:rsidP="00225C55">
      <w:pPr>
        <w:pStyle w:val="FootnoteText"/>
      </w:pPr>
      <w:r>
        <w:rPr>
          <w:rStyle w:val="FootnoteReference"/>
        </w:rPr>
        <w:footnoteRef/>
      </w:r>
      <w:r>
        <w:t xml:space="preserve"> </w:t>
      </w:r>
      <w:r w:rsidRPr="00A60A30">
        <w:rPr>
          <w:rFonts w:asciiTheme="minorBidi" w:hAnsiTheme="minorBidi"/>
          <w:sz w:val="16"/>
          <w:szCs w:val="16"/>
        </w:rPr>
        <w:t xml:space="preserve">The federally funded </w:t>
      </w:r>
      <w:r w:rsidRPr="00A60A30">
        <w:rPr>
          <w:rFonts w:asciiTheme="minorBidi" w:hAnsiTheme="minorBidi"/>
          <w:i/>
          <w:iCs/>
          <w:sz w:val="16"/>
          <w:szCs w:val="16"/>
        </w:rPr>
        <w:t>Manufacturing Excellence Taskforce Australia</w:t>
      </w:r>
      <w:r w:rsidRPr="00A60A30">
        <w:rPr>
          <w:rFonts w:asciiTheme="minorBidi" w:hAnsiTheme="minorBidi"/>
          <w:sz w:val="16"/>
          <w:szCs w:val="16"/>
        </w:rPr>
        <w:t xml:space="preserve"> (META</w:t>
      </w:r>
      <w:proofErr w:type="gramStart"/>
      <w:r w:rsidRPr="00A60A30">
        <w:rPr>
          <w:rFonts w:asciiTheme="minorBidi" w:hAnsiTheme="minorBidi"/>
          <w:sz w:val="16"/>
          <w:szCs w:val="16"/>
        </w:rPr>
        <w:t>)</w:t>
      </w:r>
      <w:r w:rsidR="00225C55" w:rsidRPr="00A60A30">
        <w:rPr>
          <w:rFonts w:asciiTheme="minorBidi" w:hAnsiTheme="minorBidi"/>
          <w:sz w:val="16"/>
          <w:szCs w:val="16"/>
        </w:rPr>
        <w:t>,</w:t>
      </w:r>
      <w:proofErr w:type="gramEnd"/>
      <w:r w:rsidRPr="00A60A30">
        <w:rPr>
          <w:rFonts w:asciiTheme="minorBidi" w:hAnsiTheme="minorBidi"/>
          <w:sz w:val="16"/>
          <w:szCs w:val="16"/>
        </w:rPr>
        <w:t xml:space="preserve"> is pursuing a</w:t>
      </w:r>
      <w:r w:rsidR="00225C55" w:rsidRPr="00A60A30">
        <w:rPr>
          <w:rFonts w:asciiTheme="minorBidi" w:hAnsiTheme="minorBidi"/>
          <w:sz w:val="16"/>
          <w:szCs w:val="16"/>
        </w:rPr>
        <w:t>n</w:t>
      </w:r>
      <w:r w:rsidRPr="00A60A30">
        <w:rPr>
          <w:rFonts w:asciiTheme="minorBidi" w:hAnsiTheme="minorBidi"/>
          <w:sz w:val="16"/>
          <w:szCs w:val="16"/>
        </w:rPr>
        <w:t xml:space="preserve"> initiative </w:t>
      </w:r>
      <w:r w:rsidR="00225C55" w:rsidRPr="00A60A30">
        <w:rPr>
          <w:rFonts w:asciiTheme="minorBidi" w:hAnsiTheme="minorBidi"/>
          <w:sz w:val="16"/>
          <w:szCs w:val="16"/>
        </w:rPr>
        <w:t>addressing this issue in the manufacturing space</w:t>
      </w:r>
      <w:r w:rsidR="00225C55" w:rsidRPr="00225C55">
        <w:rPr>
          <w:sz w:val="16"/>
          <w:szCs w:val="16"/>
        </w:rPr>
        <w:t>.</w:t>
      </w:r>
    </w:p>
  </w:footnote>
  <w:footnote w:id="4">
    <w:p w14:paraId="13A60436" w14:textId="77777777" w:rsidR="00237C56" w:rsidRDefault="00237C56" w:rsidP="00384054">
      <w:pPr>
        <w:pStyle w:val="FootnoteText1"/>
      </w:pPr>
      <w:r>
        <w:rPr>
          <w:rStyle w:val="FootnoteReference"/>
        </w:rPr>
        <w:footnoteRef/>
      </w:r>
      <w:r>
        <w:t xml:space="preserve"> </w:t>
      </w:r>
      <w:hyperlink r:id="rId3" w:history="1">
        <w:r w:rsidRPr="00384054">
          <w:rPr>
            <w:rStyle w:val="Hyperlink"/>
            <w:rFonts w:asciiTheme="majorHAnsi" w:hAnsiTheme="majorHAnsi" w:cstheme="majorHAnsi"/>
            <w:sz w:val="16"/>
            <w:szCs w:val="16"/>
          </w:rPr>
          <w:t>http://www.nsf.gov/pubs/2012/nsf12513/nsf12513.htm</w:t>
        </w:r>
      </w:hyperlink>
      <w:r w:rsidR="00625F4D">
        <w:rPr>
          <w:rStyle w:val="Hyperlink"/>
          <w:rFonts w:asciiTheme="majorHAnsi" w:hAnsiTheme="majorHAnsi" w:cstheme="majorHAnsi"/>
          <w:sz w:val="16"/>
          <w:szCs w:val="16"/>
        </w:rPr>
        <w:t xml:space="preserve">  </w:t>
      </w:r>
      <w:r w:rsidR="00625F4D" w:rsidRPr="00625F4D">
        <w:rPr>
          <w:rStyle w:val="Hyperlink"/>
          <w:rFonts w:asciiTheme="majorHAnsi" w:hAnsiTheme="majorHAnsi" w:cstheme="majorHAnsi"/>
          <w:sz w:val="16"/>
          <w:szCs w:val="16"/>
          <w:u w:val="none"/>
        </w:rPr>
        <w:t xml:space="preserve">GOALI </w:t>
      </w:r>
      <w:r w:rsidR="00625F4D" w:rsidRPr="00625F4D">
        <w:rPr>
          <w:rFonts w:ascii="Arial" w:hAnsi="Arial" w:cs="Arial"/>
          <w:color w:val="000000"/>
          <w:sz w:val="16"/>
          <w:szCs w:val="16"/>
          <w:shd w:val="clear" w:color="auto" w:fill="FFFFFF"/>
        </w:rPr>
        <w:t>targets high-risk/high-gain research with a focus on fundamental research, new approaches to solving generic problems, development of innovative collaborative industry-university educational programs, and direct transfer of new knowledge between academe and industry</w:t>
      </w:r>
      <w:r w:rsidR="00625F4D">
        <w:rPr>
          <w:rFonts w:ascii="Arial" w:hAnsi="Arial" w:cs="Arial"/>
          <w:color w:val="000000"/>
          <w:shd w:val="clear" w:color="auto" w:fill="FFFFFF"/>
        </w:rPr>
        <w:t>.</w:t>
      </w:r>
      <w:r w:rsidR="00625F4D">
        <w:rPr>
          <w:rStyle w:val="apple-converted-space"/>
          <w:rFonts w:ascii="Arial" w:hAnsi="Arial" w:cs="Arial"/>
          <w:color w:val="000000"/>
          <w:shd w:val="clear" w:color="auto" w:fill="FFFFFF"/>
        </w:rPr>
        <w:t> </w:t>
      </w:r>
    </w:p>
  </w:footnote>
  <w:footnote w:id="5">
    <w:p w14:paraId="13A60437" w14:textId="77777777" w:rsidR="00237C56" w:rsidRPr="00B97E54" w:rsidRDefault="00237C56" w:rsidP="00384054">
      <w:pPr>
        <w:pStyle w:val="FootnoteText1"/>
        <w:rPr>
          <w:sz w:val="16"/>
          <w:szCs w:val="16"/>
        </w:rPr>
      </w:pPr>
      <w:r>
        <w:rPr>
          <w:rStyle w:val="FootnoteReference"/>
        </w:rPr>
        <w:footnoteRef/>
      </w:r>
      <w:r>
        <w:t xml:space="preserve"> </w:t>
      </w:r>
      <w:hyperlink r:id="rId4" w:history="1">
        <w:r w:rsidRPr="00384054">
          <w:rPr>
            <w:rStyle w:val="Hyperlink"/>
            <w:rFonts w:asciiTheme="majorHAnsi" w:hAnsiTheme="majorHAnsi" w:cstheme="majorHAnsi"/>
            <w:sz w:val="14"/>
            <w:szCs w:val="14"/>
          </w:rPr>
          <w:t>http://www.rhgraham.org/RHG/Recent_publications_files/MIT%3ASkoltech%20entrepreneurial%20ecosystems%20report%202014%20_1.pdf</w:t>
        </w:r>
      </w:hyperlink>
    </w:p>
  </w:footnote>
  <w:footnote w:id="6">
    <w:p w14:paraId="13A60438" w14:textId="77777777" w:rsidR="00237C56" w:rsidRDefault="00237C56" w:rsidP="00384054">
      <w:pPr>
        <w:pStyle w:val="FootnoteText1"/>
      </w:pPr>
      <w:r>
        <w:rPr>
          <w:rStyle w:val="FootnoteReference"/>
        </w:rPr>
        <w:footnoteRef/>
      </w:r>
      <w:r>
        <w:t xml:space="preserve"> </w:t>
      </w:r>
      <w:hyperlink r:id="rId5" w:history="1">
        <w:r w:rsidRPr="00384054">
          <w:rPr>
            <w:rStyle w:val="Hyperlink"/>
            <w:rFonts w:asciiTheme="majorHAnsi" w:hAnsiTheme="majorHAnsi" w:cstheme="majorHAnsi"/>
            <w:sz w:val="16"/>
            <w:szCs w:val="16"/>
          </w:rPr>
          <w:t>http://atp-innovations.com.au/</w:t>
        </w:r>
      </w:hyperlink>
    </w:p>
  </w:footnote>
  <w:footnote w:id="7">
    <w:p w14:paraId="13A60439" w14:textId="77777777" w:rsidR="00237C56" w:rsidRDefault="00237C56" w:rsidP="00384054">
      <w:pPr>
        <w:pStyle w:val="FootnoteText1"/>
      </w:pPr>
      <w:r>
        <w:rPr>
          <w:rStyle w:val="FootnoteReference"/>
        </w:rPr>
        <w:footnoteRef/>
      </w:r>
      <w:r>
        <w:t xml:space="preserve"> </w:t>
      </w:r>
      <w:hyperlink r:id="rId6" w:history="1">
        <w:r w:rsidRPr="00384054">
          <w:rPr>
            <w:rStyle w:val="Hyperlink"/>
            <w:rFonts w:asciiTheme="majorHAnsi" w:hAnsiTheme="majorHAnsi" w:cstheme="majorHAnsi"/>
            <w:sz w:val="16"/>
            <w:szCs w:val="16"/>
          </w:rPr>
          <w:t>http://www.griffinaccelerator.com.au/</w:t>
        </w:r>
      </w:hyperlink>
    </w:p>
  </w:footnote>
  <w:footnote w:id="8">
    <w:p w14:paraId="13A6043A" w14:textId="77777777" w:rsidR="00237C56" w:rsidRDefault="00237C56" w:rsidP="00384054">
      <w:pPr>
        <w:pStyle w:val="FootnoteText1"/>
      </w:pPr>
      <w:r>
        <w:rPr>
          <w:rStyle w:val="FootnoteReference"/>
        </w:rPr>
        <w:footnoteRef/>
      </w:r>
      <w:r>
        <w:t xml:space="preserve"> </w:t>
      </w:r>
      <w:hyperlink r:id="rId7" w:history="1">
        <w:r w:rsidRPr="00384054">
          <w:rPr>
            <w:rStyle w:val="Hyperlink"/>
            <w:rFonts w:asciiTheme="majorHAnsi" w:hAnsiTheme="majorHAnsi" w:cstheme="majorHAnsi"/>
            <w:sz w:val="16"/>
            <w:szCs w:val="16"/>
          </w:rPr>
          <w:t>http://map.eng.unimelb.edu.au/</w:t>
        </w:r>
      </w:hyperlink>
    </w:p>
  </w:footnote>
  <w:footnote w:id="9">
    <w:p w14:paraId="13A6043B" w14:textId="77777777" w:rsidR="00237C56" w:rsidRPr="0084774F" w:rsidRDefault="00237C56" w:rsidP="0084774F">
      <w:pPr>
        <w:pStyle w:val="FootnoteText"/>
        <w:rPr>
          <w:rFonts w:asciiTheme="majorHAnsi" w:hAnsiTheme="majorHAnsi" w:cstheme="majorHAnsi"/>
          <w:sz w:val="16"/>
          <w:szCs w:val="16"/>
        </w:rPr>
      </w:pPr>
      <w:r>
        <w:rPr>
          <w:rStyle w:val="FootnoteReference"/>
        </w:rPr>
        <w:footnoteRef/>
      </w:r>
      <w:r>
        <w:t xml:space="preserve"> “</w:t>
      </w:r>
      <w:r w:rsidRPr="0084774F">
        <w:rPr>
          <w:rFonts w:asciiTheme="majorHAnsi" w:hAnsiTheme="majorHAnsi" w:cstheme="majorHAnsi"/>
          <w:i/>
          <w:iCs/>
          <w:sz w:val="16"/>
          <w:szCs w:val="16"/>
        </w:rPr>
        <w:t>The Changing PhD</w:t>
      </w:r>
      <w:r w:rsidRPr="0084774F">
        <w:rPr>
          <w:rFonts w:asciiTheme="majorHAnsi" w:hAnsiTheme="majorHAnsi" w:cstheme="majorHAnsi"/>
          <w:sz w:val="16"/>
          <w:szCs w:val="16"/>
        </w:rPr>
        <w:t>”- The Group of Eight , March 2013</w:t>
      </w:r>
      <w:r>
        <w:rPr>
          <w:rFonts w:asciiTheme="majorHAnsi" w:hAnsiTheme="majorHAnsi" w:cstheme="majorHAnsi"/>
          <w:sz w:val="16"/>
          <w:szCs w:val="16"/>
        </w:rPr>
        <w:t xml:space="preserve">: </w:t>
      </w:r>
    </w:p>
  </w:footnote>
  <w:footnote w:id="10">
    <w:p w14:paraId="13A6043C" w14:textId="77777777" w:rsidR="00237C56" w:rsidRDefault="00237C56">
      <w:pPr>
        <w:pStyle w:val="FootnoteText"/>
      </w:pPr>
      <w:r>
        <w:rPr>
          <w:rStyle w:val="FootnoteReference"/>
        </w:rPr>
        <w:footnoteRef/>
      </w:r>
      <w:r>
        <w:t xml:space="preserve"> “</w:t>
      </w:r>
      <w:r w:rsidRPr="0084774F">
        <w:rPr>
          <w:rFonts w:asciiTheme="majorHAnsi" w:hAnsiTheme="majorHAnsi" w:cstheme="majorHAnsi"/>
          <w:i/>
          <w:iCs/>
          <w:sz w:val="16"/>
          <w:szCs w:val="16"/>
        </w:rPr>
        <w:t>Research Skills for an Innovative Future- A research workforce strategy to cover the decade to 2020 and beyond</w:t>
      </w:r>
      <w:r>
        <w:rPr>
          <w:rFonts w:asciiTheme="majorHAnsi" w:hAnsiTheme="majorHAnsi" w:cstheme="majorHAnsi"/>
          <w:sz w:val="16"/>
          <w:szCs w:val="16"/>
        </w:rPr>
        <w:t xml:space="preserve">”- </w:t>
      </w:r>
      <w:r w:rsidRPr="0084774F">
        <w:rPr>
          <w:rFonts w:asciiTheme="majorHAnsi" w:hAnsiTheme="majorHAnsi" w:cstheme="majorHAnsi"/>
          <w:sz w:val="16"/>
          <w:szCs w:val="16"/>
        </w:rPr>
        <w:t>ISBN 978 0 642 72563 9</w:t>
      </w:r>
    </w:p>
  </w:footnote>
  <w:footnote w:id="11">
    <w:p w14:paraId="13A6043D" w14:textId="77777777" w:rsidR="00237C56" w:rsidRPr="00B06A95" w:rsidRDefault="00237C56" w:rsidP="00384054">
      <w:pPr>
        <w:pStyle w:val="FootnoteText1"/>
      </w:pPr>
      <w:r>
        <w:rPr>
          <w:rStyle w:val="FootnoteReference"/>
        </w:rPr>
        <w:footnoteRef/>
      </w:r>
      <w:r>
        <w:t xml:space="preserve"> </w:t>
      </w:r>
      <w:r w:rsidRPr="00B06A95">
        <w:rPr>
          <w:rFonts w:asciiTheme="majorHAnsi" w:hAnsiTheme="majorHAnsi" w:cstheme="majorHAnsi"/>
          <w:sz w:val="16"/>
          <w:szCs w:val="16"/>
        </w:rPr>
        <w:t>See for example ATO private ruling 1012609421129, which raises the question of whether the student is a ‘full-time student or a student at a school, college or university’ while located off-site for the purpose of exemption under s51-10 of the ITAA 1997.</w:t>
      </w:r>
    </w:p>
  </w:footnote>
  <w:footnote w:id="12">
    <w:p w14:paraId="13A6043E" w14:textId="77777777" w:rsidR="00237C56" w:rsidRDefault="00237C56" w:rsidP="00384054">
      <w:pPr>
        <w:pStyle w:val="FootnoteText1"/>
      </w:pPr>
      <w:r w:rsidRPr="00B06A95">
        <w:rPr>
          <w:rStyle w:val="FootnoteReference"/>
        </w:rPr>
        <w:footnoteRef/>
      </w:r>
      <w:r w:rsidRPr="00B06A95">
        <w:t xml:space="preserve"> </w:t>
      </w:r>
      <w:r w:rsidRPr="00B06A95">
        <w:rPr>
          <w:rFonts w:asciiTheme="majorHAnsi" w:hAnsiTheme="majorHAnsi" w:cstheme="majorHAnsi"/>
          <w:sz w:val="16"/>
          <w:szCs w:val="16"/>
        </w:rPr>
        <w:t xml:space="preserve">See </w:t>
      </w:r>
      <w:r w:rsidRPr="00B06A95">
        <w:rPr>
          <w:rFonts w:asciiTheme="majorHAnsi" w:hAnsiTheme="majorHAnsi" w:cstheme="majorHAnsi"/>
          <w:i/>
          <w:iCs/>
          <w:sz w:val="16"/>
          <w:szCs w:val="16"/>
        </w:rPr>
        <w:t>Federal Commissioner of Taxation v. Hall</w:t>
      </w:r>
      <w:r w:rsidRPr="00B06A95">
        <w:rPr>
          <w:rFonts w:asciiTheme="majorHAnsi" w:hAnsiTheme="majorHAnsi" w:cstheme="majorHAnsi"/>
          <w:sz w:val="16"/>
          <w:szCs w:val="16"/>
        </w:rPr>
        <w:t>. 75 ATC 4156 at 4164</w:t>
      </w:r>
    </w:p>
  </w:footnote>
  <w:footnote w:id="13">
    <w:p w14:paraId="13A6043F" w14:textId="77777777" w:rsidR="00DD29BA" w:rsidRDefault="00DD29BA" w:rsidP="00DD29BA">
      <w:pPr>
        <w:pStyle w:val="FootnoteText1"/>
      </w:pPr>
      <w:r>
        <w:rPr>
          <w:rStyle w:val="FootnoteReference"/>
        </w:rPr>
        <w:footnoteRef/>
      </w:r>
      <w:r>
        <w:t xml:space="preserve"> </w:t>
      </w:r>
      <w:hyperlink r:id="rId8" w:history="1">
        <w:r w:rsidRPr="00384054">
          <w:rPr>
            <w:rStyle w:val="Hyperlink"/>
            <w:rFonts w:asciiTheme="majorHAnsi" w:hAnsiTheme="majorHAnsi" w:cstheme="majorHAnsi"/>
            <w:sz w:val="16"/>
            <w:szCs w:val="16"/>
          </w:rPr>
          <w:t>http://www.ipo.gov.uk/whyuse/research/lambert/lambert-mrc/lambert-decguide.htm</w:t>
        </w:r>
      </w:hyperlink>
    </w:p>
  </w:footnote>
  <w:footnote w:id="14">
    <w:p w14:paraId="13A60440" w14:textId="77777777" w:rsidR="00DD29BA" w:rsidRDefault="00DD29BA" w:rsidP="00DD29BA">
      <w:pPr>
        <w:pStyle w:val="FootnoteText1"/>
      </w:pPr>
      <w:r>
        <w:rPr>
          <w:rStyle w:val="FootnoteReference"/>
        </w:rPr>
        <w:footnoteRef/>
      </w:r>
      <w:r>
        <w:t xml:space="preserve"> </w:t>
      </w:r>
      <w:hyperlink r:id="rId9" w:history="1">
        <w:r w:rsidRPr="00384054">
          <w:rPr>
            <w:rStyle w:val="Hyperlink"/>
            <w:rFonts w:asciiTheme="majorHAnsi" w:hAnsiTheme="majorHAnsi" w:cstheme="majorHAnsi"/>
            <w:sz w:val="16"/>
            <w:szCs w:val="16"/>
          </w:rPr>
          <w:t>http://www.crc.gov.au/Selection-Rounds/Documents/Term%20Sheet%20Template.doc</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1E2"/>
    <w:multiLevelType w:val="hybridMultilevel"/>
    <w:tmpl w:val="CB12263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0C21CCC"/>
    <w:multiLevelType w:val="hybridMultilevel"/>
    <w:tmpl w:val="08CCC924"/>
    <w:lvl w:ilvl="0" w:tplc="0C09000F">
      <w:start w:val="1"/>
      <w:numFmt w:val="decimal"/>
      <w:lvlText w:val="%1."/>
      <w:lvlJc w:val="left"/>
      <w:pPr>
        <w:ind w:left="1440" w:hanging="720"/>
      </w:pPr>
      <w:rPr>
        <w:rFonts w:hint="default"/>
      </w:rPr>
    </w:lvl>
    <w:lvl w:ilvl="1" w:tplc="0C090019">
      <w:start w:val="1"/>
      <w:numFmt w:val="lowerLetter"/>
      <w:lvlText w:val="%2."/>
      <w:lvlJc w:val="left"/>
      <w:pPr>
        <w:ind w:left="1800" w:hanging="360"/>
      </w:pPr>
      <w:rPr>
        <w:rFonts w:hint="default"/>
      </w:rPr>
    </w:lvl>
    <w:lvl w:ilvl="2" w:tplc="0C090019">
      <w:start w:val="1"/>
      <w:numFmt w:val="lowerLetter"/>
      <w:lvlText w:val="%3."/>
      <w:lvlJc w:val="lef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17D13D5"/>
    <w:multiLevelType w:val="hybridMultilevel"/>
    <w:tmpl w:val="EAAC66F8"/>
    <w:lvl w:ilvl="0" w:tplc="0C09001B">
      <w:start w:val="1"/>
      <w:numFmt w:val="lowerRoman"/>
      <w:lvlText w:val="%1."/>
      <w:lvlJc w:val="right"/>
      <w:pPr>
        <w:ind w:left="728" w:hanging="360"/>
      </w:pPr>
    </w:lvl>
    <w:lvl w:ilvl="1" w:tplc="0C090019" w:tentative="1">
      <w:start w:val="1"/>
      <w:numFmt w:val="lowerLetter"/>
      <w:lvlText w:val="%2."/>
      <w:lvlJc w:val="left"/>
      <w:pPr>
        <w:ind w:left="1448" w:hanging="360"/>
      </w:pPr>
    </w:lvl>
    <w:lvl w:ilvl="2" w:tplc="0C09001B" w:tentative="1">
      <w:start w:val="1"/>
      <w:numFmt w:val="lowerRoman"/>
      <w:lvlText w:val="%3."/>
      <w:lvlJc w:val="right"/>
      <w:pPr>
        <w:ind w:left="2168" w:hanging="180"/>
      </w:pPr>
    </w:lvl>
    <w:lvl w:ilvl="3" w:tplc="0C09000F" w:tentative="1">
      <w:start w:val="1"/>
      <w:numFmt w:val="decimal"/>
      <w:lvlText w:val="%4."/>
      <w:lvlJc w:val="left"/>
      <w:pPr>
        <w:ind w:left="2888" w:hanging="360"/>
      </w:pPr>
    </w:lvl>
    <w:lvl w:ilvl="4" w:tplc="0C090019" w:tentative="1">
      <w:start w:val="1"/>
      <w:numFmt w:val="lowerLetter"/>
      <w:lvlText w:val="%5."/>
      <w:lvlJc w:val="left"/>
      <w:pPr>
        <w:ind w:left="3608" w:hanging="360"/>
      </w:pPr>
    </w:lvl>
    <w:lvl w:ilvl="5" w:tplc="0C09001B" w:tentative="1">
      <w:start w:val="1"/>
      <w:numFmt w:val="lowerRoman"/>
      <w:lvlText w:val="%6."/>
      <w:lvlJc w:val="right"/>
      <w:pPr>
        <w:ind w:left="4328" w:hanging="180"/>
      </w:pPr>
    </w:lvl>
    <w:lvl w:ilvl="6" w:tplc="0C09000F" w:tentative="1">
      <w:start w:val="1"/>
      <w:numFmt w:val="decimal"/>
      <w:lvlText w:val="%7."/>
      <w:lvlJc w:val="left"/>
      <w:pPr>
        <w:ind w:left="5048" w:hanging="360"/>
      </w:pPr>
    </w:lvl>
    <w:lvl w:ilvl="7" w:tplc="0C090019" w:tentative="1">
      <w:start w:val="1"/>
      <w:numFmt w:val="lowerLetter"/>
      <w:lvlText w:val="%8."/>
      <w:lvlJc w:val="left"/>
      <w:pPr>
        <w:ind w:left="5768" w:hanging="360"/>
      </w:pPr>
    </w:lvl>
    <w:lvl w:ilvl="8" w:tplc="0C09001B" w:tentative="1">
      <w:start w:val="1"/>
      <w:numFmt w:val="lowerRoman"/>
      <w:lvlText w:val="%9."/>
      <w:lvlJc w:val="right"/>
      <w:pPr>
        <w:ind w:left="6488" w:hanging="180"/>
      </w:pPr>
    </w:lvl>
  </w:abstractNum>
  <w:abstractNum w:abstractNumId="3">
    <w:nsid w:val="11D8327F"/>
    <w:multiLevelType w:val="hybridMultilevel"/>
    <w:tmpl w:val="D3CA729E"/>
    <w:lvl w:ilvl="0" w:tplc="E6FCD17C">
      <w:start w:val="3"/>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
    <w:nsid w:val="120B5467"/>
    <w:multiLevelType w:val="hybridMultilevel"/>
    <w:tmpl w:val="70F603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15370381"/>
    <w:multiLevelType w:val="hybridMultilevel"/>
    <w:tmpl w:val="3000C71E"/>
    <w:lvl w:ilvl="0" w:tplc="7D8014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5E51756"/>
    <w:multiLevelType w:val="hybridMultilevel"/>
    <w:tmpl w:val="9A5AF01A"/>
    <w:lvl w:ilvl="0" w:tplc="D35E59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25013C"/>
    <w:multiLevelType w:val="hybridMultilevel"/>
    <w:tmpl w:val="FE14FD8A"/>
    <w:lvl w:ilvl="0" w:tplc="7D8014B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B33826"/>
    <w:multiLevelType w:val="hybridMultilevel"/>
    <w:tmpl w:val="73EA3154"/>
    <w:lvl w:ilvl="0" w:tplc="0C09000F">
      <w:start w:val="1"/>
      <w:numFmt w:val="decimal"/>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EE74C07"/>
    <w:multiLevelType w:val="hybridMultilevel"/>
    <w:tmpl w:val="C194F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786C86"/>
    <w:multiLevelType w:val="hybridMultilevel"/>
    <w:tmpl w:val="5302CCF6"/>
    <w:lvl w:ilvl="0" w:tplc="C388B37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9FF639A"/>
    <w:multiLevelType w:val="multilevel"/>
    <w:tmpl w:val="C1E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49711C"/>
    <w:multiLevelType w:val="hybridMultilevel"/>
    <w:tmpl w:val="9A5AF01A"/>
    <w:lvl w:ilvl="0" w:tplc="D35E59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67A2229"/>
    <w:multiLevelType w:val="hybridMultilevel"/>
    <w:tmpl w:val="54CA554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nsid w:val="3D842C16"/>
    <w:multiLevelType w:val="hybridMultilevel"/>
    <w:tmpl w:val="4FF49A3E"/>
    <w:lvl w:ilvl="0" w:tplc="E8407182">
      <w:start w:val="1"/>
      <w:numFmt w:val="upperLetter"/>
      <w:lvlText w:val="%1."/>
      <w:lvlJc w:val="left"/>
      <w:pPr>
        <w:ind w:left="502"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AB539B"/>
    <w:multiLevelType w:val="hybridMultilevel"/>
    <w:tmpl w:val="07F0C84A"/>
    <w:lvl w:ilvl="0" w:tplc="0C09000F">
      <w:start w:val="1"/>
      <w:numFmt w:val="decimal"/>
      <w:lvlText w:val="%1."/>
      <w:lvlJc w:val="left"/>
      <w:pPr>
        <w:ind w:left="1440" w:hanging="720"/>
      </w:pPr>
      <w:rPr>
        <w:rFonts w:hint="default"/>
      </w:rPr>
    </w:lvl>
    <w:lvl w:ilvl="1" w:tplc="7D8014B0">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3414BBD"/>
    <w:multiLevelType w:val="hybridMultilevel"/>
    <w:tmpl w:val="A0D456D0"/>
    <w:lvl w:ilvl="0" w:tplc="0C09000F">
      <w:start w:val="1"/>
      <w:numFmt w:val="decimal"/>
      <w:lvlText w:val="%1."/>
      <w:lvlJc w:val="left"/>
      <w:pPr>
        <w:ind w:left="1440" w:hanging="720"/>
      </w:pPr>
      <w:rPr>
        <w:rFonts w:hint="default"/>
      </w:rPr>
    </w:lvl>
    <w:lvl w:ilvl="1" w:tplc="0C090019">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4B507D9"/>
    <w:multiLevelType w:val="hybridMultilevel"/>
    <w:tmpl w:val="76E6EC6C"/>
    <w:lvl w:ilvl="0" w:tplc="0C09001B">
      <w:start w:val="1"/>
      <w:numFmt w:val="lowerRoman"/>
      <w:lvlText w:val="%1."/>
      <w:lvlJc w:val="right"/>
      <w:pPr>
        <w:ind w:left="728" w:hanging="360"/>
      </w:pPr>
    </w:lvl>
    <w:lvl w:ilvl="1" w:tplc="0C090019" w:tentative="1">
      <w:start w:val="1"/>
      <w:numFmt w:val="lowerLetter"/>
      <w:lvlText w:val="%2."/>
      <w:lvlJc w:val="left"/>
      <w:pPr>
        <w:ind w:left="1448" w:hanging="360"/>
      </w:pPr>
    </w:lvl>
    <w:lvl w:ilvl="2" w:tplc="0C09001B" w:tentative="1">
      <w:start w:val="1"/>
      <w:numFmt w:val="lowerRoman"/>
      <w:lvlText w:val="%3."/>
      <w:lvlJc w:val="right"/>
      <w:pPr>
        <w:ind w:left="2168" w:hanging="180"/>
      </w:pPr>
    </w:lvl>
    <w:lvl w:ilvl="3" w:tplc="0C09000F" w:tentative="1">
      <w:start w:val="1"/>
      <w:numFmt w:val="decimal"/>
      <w:lvlText w:val="%4."/>
      <w:lvlJc w:val="left"/>
      <w:pPr>
        <w:ind w:left="2888" w:hanging="360"/>
      </w:pPr>
    </w:lvl>
    <w:lvl w:ilvl="4" w:tplc="0C090019" w:tentative="1">
      <w:start w:val="1"/>
      <w:numFmt w:val="lowerLetter"/>
      <w:lvlText w:val="%5."/>
      <w:lvlJc w:val="left"/>
      <w:pPr>
        <w:ind w:left="3608" w:hanging="360"/>
      </w:pPr>
    </w:lvl>
    <w:lvl w:ilvl="5" w:tplc="0C09001B" w:tentative="1">
      <w:start w:val="1"/>
      <w:numFmt w:val="lowerRoman"/>
      <w:lvlText w:val="%6."/>
      <w:lvlJc w:val="right"/>
      <w:pPr>
        <w:ind w:left="4328" w:hanging="180"/>
      </w:pPr>
    </w:lvl>
    <w:lvl w:ilvl="6" w:tplc="0C09000F" w:tentative="1">
      <w:start w:val="1"/>
      <w:numFmt w:val="decimal"/>
      <w:lvlText w:val="%7."/>
      <w:lvlJc w:val="left"/>
      <w:pPr>
        <w:ind w:left="5048" w:hanging="360"/>
      </w:pPr>
    </w:lvl>
    <w:lvl w:ilvl="7" w:tplc="0C090019" w:tentative="1">
      <w:start w:val="1"/>
      <w:numFmt w:val="lowerLetter"/>
      <w:lvlText w:val="%8."/>
      <w:lvlJc w:val="left"/>
      <w:pPr>
        <w:ind w:left="5768" w:hanging="360"/>
      </w:pPr>
    </w:lvl>
    <w:lvl w:ilvl="8" w:tplc="0C09001B" w:tentative="1">
      <w:start w:val="1"/>
      <w:numFmt w:val="lowerRoman"/>
      <w:lvlText w:val="%9."/>
      <w:lvlJc w:val="right"/>
      <w:pPr>
        <w:ind w:left="6488" w:hanging="180"/>
      </w:pPr>
    </w:lvl>
  </w:abstractNum>
  <w:abstractNum w:abstractNumId="18">
    <w:nsid w:val="4B622B94"/>
    <w:multiLevelType w:val="hybridMultilevel"/>
    <w:tmpl w:val="1E88C5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D25575F"/>
    <w:multiLevelType w:val="hybridMultilevel"/>
    <w:tmpl w:val="31FCEE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6B3650C"/>
    <w:multiLevelType w:val="hybridMultilevel"/>
    <w:tmpl w:val="9A5AF01A"/>
    <w:lvl w:ilvl="0" w:tplc="D35E59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EB1FC3"/>
    <w:multiLevelType w:val="hybridMultilevel"/>
    <w:tmpl w:val="88F82AC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A135319"/>
    <w:multiLevelType w:val="multilevel"/>
    <w:tmpl w:val="47CC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201435"/>
    <w:multiLevelType w:val="hybridMultilevel"/>
    <w:tmpl w:val="9A5AF01A"/>
    <w:lvl w:ilvl="0" w:tplc="D35E59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07355DD"/>
    <w:multiLevelType w:val="hybridMultilevel"/>
    <w:tmpl w:val="77DA7F58"/>
    <w:lvl w:ilvl="0" w:tplc="F3C8C88E">
      <w:start w:val="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48415E"/>
    <w:multiLevelType w:val="hybridMultilevel"/>
    <w:tmpl w:val="FABCCB66"/>
    <w:lvl w:ilvl="0" w:tplc="6AD01FA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AB56B1B"/>
    <w:multiLevelType w:val="multilevel"/>
    <w:tmpl w:val="66A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1A1119"/>
    <w:multiLevelType w:val="hybridMultilevel"/>
    <w:tmpl w:val="162849F6"/>
    <w:lvl w:ilvl="0" w:tplc="7D8014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E62622E"/>
    <w:multiLevelType w:val="hybridMultilevel"/>
    <w:tmpl w:val="9648B1F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F764DBD"/>
    <w:multiLevelType w:val="hybridMultilevel"/>
    <w:tmpl w:val="9A5AF01A"/>
    <w:lvl w:ilvl="0" w:tplc="D35E59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36B3118"/>
    <w:multiLevelType w:val="multilevel"/>
    <w:tmpl w:val="56D8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DE6EA1"/>
    <w:multiLevelType w:val="hybridMultilevel"/>
    <w:tmpl w:val="2A3CCCE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2"/>
  </w:num>
  <w:num w:numId="2">
    <w:abstractNumId w:val="28"/>
  </w:num>
  <w:num w:numId="3">
    <w:abstractNumId w:val="30"/>
  </w:num>
  <w:num w:numId="4">
    <w:abstractNumId w:val="20"/>
  </w:num>
  <w:num w:numId="5">
    <w:abstractNumId w:val="11"/>
  </w:num>
  <w:num w:numId="6">
    <w:abstractNumId w:val="26"/>
  </w:num>
  <w:num w:numId="7">
    <w:abstractNumId w:val="18"/>
  </w:num>
  <w:num w:numId="8">
    <w:abstractNumId w:val="29"/>
  </w:num>
  <w:num w:numId="9">
    <w:abstractNumId w:val="25"/>
  </w:num>
  <w:num w:numId="10">
    <w:abstractNumId w:val="27"/>
  </w:num>
  <w:num w:numId="11">
    <w:abstractNumId w:val="5"/>
  </w:num>
  <w:num w:numId="12">
    <w:abstractNumId w:val="8"/>
  </w:num>
  <w:num w:numId="13">
    <w:abstractNumId w:val="15"/>
  </w:num>
  <w:num w:numId="14">
    <w:abstractNumId w:val="13"/>
  </w:num>
  <w:num w:numId="15">
    <w:abstractNumId w:val="16"/>
  </w:num>
  <w:num w:numId="16">
    <w:abstractNumId w:val="1"/>
  </w:num>
  <w:num w:numId="17">
    <w:abstractNumId w:val="14"/>
  </w:num>
  <w:num w:numId="18">
    <w:abstractNumId w:val="9"/>
  </w:num>
  <w:num w:numId="19">
    <w:abstractNumId w:val="24"/>
  </w:num>
  <w:num w:numId="20">
    <w:abstractNumId w:val="19"/>
  </w:num>
  <w:num w:numId="21">
    <w:abstractNumId w:val="21"/>
  </w:num>
  <w:num w:numId="22">
    <w:abstractNumId w:val="10"/>
  </w:num>
  <w:num w:numId="23">
    <w:abstractNumId w:val="3"/>
  </w:num>
  <w:num w:numId="24">
    <w:abstractNumId w:val="2"/>
  </w:num>
  <w:num w:numId="25">
    <w:abstractNumId w:val="22"/>
  </w:num>
  <w:num w:numId="26">
    <w:abstractNumId w:val="6"/>
  </w:num>
  <w:num w:numId="27">
    <w:abstractNumId w:val="17"/>
  </w:num>
  <w:num w:numId="28">
    <w:abstractNumId w:val="31"/>
  </w:num>
  <w:num w:numId="29">
    <w:abstractNumId w:val="2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FA0ADE-2FCE-4365-B0B0-4706D704FB5C}"/>
    <w:docVar w:name="dgnword-eventsink" w:val="87277256"/>
  </w:docVars>
  <w:rsids>
    <w:rsidRoot w:val="00384054"/>
    <w:rsid w:val="000126F8"/>
    <w:rsid w:val="00015ACA"/>
    <w:rsid w:val="000214B7"/>
    <w:rsid w:val="000828A8"/>
    <w:rsid w:val="00092DB7"/>
    <w:rsid w:val="000A12CB"/>
    <w:rsid w:val="000C3522"/>
    <w:rsid w:val="00126CBD"/>
    <w:rsid w:val="001366A1"/>
    <w:rsid w:val="001371F4"/>
    <w:rsid w:val="00167F13"/>
    <w:rsid w:val="001C7654"/>
    <w:rsid w:val="001D017F"/>
    <w:rsid w:val="001E49C5"/>
    <w:rsid w:val="001F36DF"/>
    <w:rsid w:val="00201B35"/>
    <w:rsid w:val="00225C55"/>
    <w:rsid w:val="00232BD2"/>
    <w:rsid w:val="00237C56"/>
    <w:rsid w:val="002421CA"/>
    <w:rsid w:val="002D15F8"/>
    <w:rsid w:val="002D23BF"/>
    <w:rsid w:val="002F1808"/>
    <w:rsid w:val="00334F41"/>
    <w:rsid w:val="0034181B"/>
    <w:rsid w:val="00384054"/>
    <w:rsid w:val="003A234B"/>
    <w:rsid w:val="003C763F"/>
    <w:rsid w:val="003E4D22"/>
    <w:rsid w:val="0046159E"/>
    <w:rsid w:val="00475E19"/>
    <w:rsid w:val="004814CF"/>
    <w:rsid w:val="00490854"/>
    <w:rsid w:val="004A2701"/>
    <w:rsid w:val="004A27A8"/>
    <w:rsid w:val="004E28F0"/>
    <w:rsid w:val="004F6EBF"/>
    <w:rsid w:val="00505195"/>
    <w:rsid w:val="00555E0F"/>
    <w:rsid w:val="00560787"/>
    <w:rsid w:val="00574F6C"/>
    <w:rsid w:val="00582363"/>
    <w:rsid w:val="00586FA2"/>
    <w:rsid w:val="005A23B3"/>
    <w:rsid w:val="005A68A3"/>
    <w:rsid w:val="005C5CFB"/>
    <w:rsid w:val="005F4E48"/>
    <w:rsid w:val="00625F4D"/>
    <w:rsid w:val="006600A5"/>
    <w:rsid w:val="006602FB"/>
    <w:rsid w:val="00662B5E"/>
    <w:rsid w:val="00665E18"/>
    <w:rsid w:val="00693E9E"/>
    <w:rsid w:val="006D025F"/>
    <w:rsid w:val="006E0214"/>
    <w:rsid w:val="006F1951"/>
    <w:rsid w:val="00752677"/>
    <w:rsid w:val="00760716"/>
    <w:rsid w:val="00772675"/>
    <w:rsid w:val="00795938"/>
    <w:rsid w:val="00796797"/>
    <w:rsid w:val="00796938"/>
    <w:rsid w:val="007B1CBD"/>
    <w:rsid w:val="007B25C8"/>
    <w:rsid w:val="007E01BA"/>
    <w:rsid w:val="0084774F"/>
    <w:rsid w:val="0085069C"/>
    <w:rsid w:val="00854B55"/>
    <w:rsid w:val="00864537"/>
    <w:rsid w:val="00895D82"/>
    <w:rsid w:val="008D7522"/>
    <w:rsid w:val="009108D5"/>
    <w:rsid w:val="00952A4A"/>
    <w:rsid w:val="00955028"/>
    <w:rsid w:val="00966292"/>
    <w:rsid w:val="00993AEE"/>
    <w:rsid w:val="009C5796"/>
    <w:rsid w:val="009D6A9F"/>
    <w:rsid w:val="009F14D3"/>
    <w:rsid w:val="00A526D7"/>
    <w:rsid w:val="00A60A30"/>
    <w:rsid w:val="00A7506D"/>
    <w:rsid w:val="00A87726"/>
    <w:rsid w:val="00A91B5F"/>
    <w:rsid w:val="00AA4525"/>
    <w:rsid w:val="00AA7320"/>
    <w:rsid w:val="00AF360B"/>
    <w:rsid w:val="00AF6299"/>
    <w:rsid w:val="00B06A95"/>
    <w:rsid w:val="00B2595A"/>
    <w:rsid w:val="00B60ECE"/>
    <w:rsid w:val="00B62D51"/>
    <w:rsid w:val="00BC698C"/>
    <w:rsid w:val="00C002D8"/>
    <w:rsid w:val="00C56108"/>
    <w:rsid w:val="00C661E1"/>
    <w:rsid w:val="00C66CF0"/>
    <w:rsid w:val="00CA04B1"/>
    <w:rsid w:val="00CA0582"/>
    <w:rsid w:val="00CC223C"/>
    <w:rsid w:val="00CF4B49"/>
    <w:rsid w:val="00CF57EF"/>
    <w:rsid w:val="00D03738"/>
    <w:rsid w:val="00D36234"/>
    <w:rsid w:val="00D919C9"/>
    <w:rsid w:val="00D97613"/>
    <w:rsid w:val="00DA1CAC"/>
    <w:rsid w:val="00DB2D7F"/>
    <w:rsid w:val="00DC0C53"/>
    <w:rsid w:val="00DD29BA"/>
    <w:rsid w:val="00E04125"/>
    <w:rsid w:val="00E06229"/>
    <w:rsid w:val="00E0769D"/>
    <w:rsid w:val="00E51879"/>
    <w:rsid w:val="00E571AF"/>
    <w:rsid w:val="00E92D18"/>
    <w:rsid w:val="00E95B7D"/>
    <w:rsid w:val="00EA710A"/>
    <w:rsid w:val="00EB3F0B"/>
    <w:rsid w:val="00EE7E34"/>
    <w:rsid w:val="00F26610"/>
    <w:rsid w:val="00F86472"/>
    <w:rsid w:val="00FA4245"/>
    <w:rsid w:val="00FA7965"/>
    <w:rsid w:val="00FC08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A603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yriad Pro"/>
    <w:qFormat/>
    <w:rsid w:val="001F36DF"/>
  </w:style>
  <w:style w:type="paragraph" w:styleId="Heading1">
    <w:name w:val="heading 1"/>
    <w:basedOn w:val="Normal"/>
    <w:next w:val="Normal"/>
    <w:link w:val="Heading1Char"/>
    <w:uiPriority w:val="9"/>
    <w:qFormat/>
    <w:rsid w:val="001F36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36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36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36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36D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36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36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36D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F36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4E9B"/>
    <w:pPr>
      <w:widowControl w:val="0"/>
      <w:autoSpaceDE w:val="0"/>
      <w:autoSpaceDN w:val="0"/>
      <w:adjustRightInd w:val="0"/>
    </w:pPr>
    <w:rPr>
      <w:rFonts w:ascii="Trebuchet MS" w:hAnsi="Trebuchet MS"/>
      <w:b/>
      <w:color w:val="000000"/>
      <w:sz w:val="18"/>
      <w:lang w:val="en-US" w:eastAsia="en-US"/>
    </w:rPr>
  </w:style>
  <w:style w:type="paragraph" w:styleId="BodyTextIndent">
    <w:name w:val="Body Text Indent"/>
    <w:basedOn w:val="Normal"/>
    <w:rsid w:val="000416F7"/>
    <w:pPr>
      <w:spacing w:after="120"/>
      <w:ind w:left="283"/>
    </w:pPr>
  </w:style>
  <w:style w:type="paragraph" w:styleId="BalloonText">
    <w:name w:val="Balloon Text"/>
    <w:basedOn w:val="Normal"/>
    <w:link w:val="BalloonTextChar"/>
    <w:uiPriority w:val="99"/>
    <w:semiHidden/>
    <w:unhideWhenUsed/>
    <w:rsid w:val="00E0769D"/>
    <w:rPr>
      <w:rFonts w:ascii="Lucida Grande" w:hAnsi="Lucida Grande"/>
      <w:szCs w:val="18"/>
    </w:rPr>
  </w:style>
  <w:style w:type="character" w:customStyle="1" w:styleId="BalloonTextChar">
    <w:name w:val="Balloon Text Char"/>
    <w:basedOn w:val="DefaultParagraphFont"/>
    <w:link w:val="BalloonText"/>
    <w:uiPriority w:val="99"/>
    <w:semiHidden/>
    <w:rsid w:val="00E0769D"/>
    <w:rPr>
      <w:rFonts w:ascii="Lucida Grande" w:hAnsi="Lucida Grande"/>
      <w:sz w:val="18"/>
      <w:szCs w:val="18"/>
      <w:lang w:eastAsia="en-US"/>
    </w:rPr>
  </w:style>
  <w:style w:type="paragraph" w:styleId="Revision">
    <w:name w:val="Revision"/>
    <w:hidden/>
    <w:uiPriority w:val="99"/>
    <w:semiHidden/>
    <w:rsid w:val="00E0769D"/>
    <w:rPr>
      <w:rFonts w:ascii="Myriad Pro Light" w:hAnsi="Myriad Pro Light"/>
      <w:sz w:val="18"/>
      <w:szCs w:val="24"/>
      <w:lang w:eastAsia="en-US"/>
    </w:rPr>
  </w:style>
  <w:style w:type="paragraph" w:customStyle="1" w:styleId="BasicParagraph">
    <w:name w:val="[Basic Paragraph]"/>
    <w:basedOn w:val="Normal"/>
    <w:uiPriority w:val="99"/>
    <w:rsid w:val="00E0769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Heading11">
    <w:name w:val="Heading 11"/>
    <w:basedOn w:val="Normal"/>
    <w:next w:val="Normal"/>
    <w:uiPriority w:val="9"/>
    <w:rsid w:val="00384054"/>
    <w:pPr>
      <w:keepNext/>
      <w:keepLines/>
      <w:spacing w:before="480"/>
      <w:outlineLvl w:val="0"/>
    </w:pPr>
    <w:rPr>
      <w:rFonts w:ascii="Cambria" w:eastAsia="SimSun" w:hAnsi="Cambria"/>
      <w:b/>
      <w:bCs/>
      <w:color w:val="365F91"/>
      <w:sz w:val="28"/>
      <w:szCs w:val="28"/>
      <w:lang w:eastAsia="zh-CN"/>
    </w:rPr>
  </w:style>
  <w:style w:type="character" w:customStyle="1" w:styleId="Heading2Char">
    <w:name w:val="Heading 2 Char"/>
    <w:basedOn w:val="DefaultParagraphFont"/>
    <w:link w:val="Heading2"/>
    <w:uiPriority w:val="9"/>
    <w:rsid w:val="001F36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36DF"/>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384054"/>
  </w:style>
  <w:style w:type="character" w:customStyle="1" w:styleId="Heading1Char">
    <w:name w:val="Heading 1 Char"/>
    <w:basedOn w:val="DefaultParagraphFont"/>
    <w:link w:val="Heading1"/>
    <w:uiPriority w:val="9"/>
    <w:rsid w:val="001F36D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384054"/>
    <w:pPr>
      <w:spacing w:before="100" w:beforeAutospacing="1" w:after="100" w:afterAutospacing="1"/>
    </w:pPr>
    <w:rPr>
      <w:rFonts w:ascii="Times New Roman" w:eastAsia="Times New Roman" w:hAnsi="Times New Roman"/>
      <w:sz w:val="24"/>
      <w:lang w:eastAsia="zh-CN"/>
    </w:rPr>
  </w:style>
  <w:style w:type="character" w:styleId="Hyperlink">
    <w:name w:val="Hyperlink"/>
    <w:basedOn w:val="DefaultParagraphFont"/>
    <w:uiPriority w:val="99"/>
    <w:unhideWhenUsed/>
    <w:rsid w:val="00384054"/>
    <w:rPr>
      <w:color w:val="0000FF"/>
      <w:u w:val="single"/>
    </w:rPr>
  </w:style>
  <w:style w:type="character" w:customStyle="1" w:styleId="apple-converted-space">
    <w:name w:val="apple-converted-space"/>
    <w:basedOn w:val="DefaultParagraphFont"/>
    <w:rsid w:val="00384054"/>
  </w:style>
  <w:style w:type="paragraph" w:customStyle="1" w:styleId="FootnoteText1">
    <w:name w:val="Footnote Text1"/>
    <w:basedOn w:val="Normal"/>
    <w:next w:val="FootnoteText"/>
    <w:link w:val="FootnoteTextChar"/>
    <w:uiPriority w:val="99"/>
    <w:semiHidden/>
    <w:unhideWhenUsed/>
    <w:rsid w:val="00384054"/>
    <w:rPr>
      <w:rFonts w:ascii="Times New Roman" w:hAnsi="Times New Roman"/>
      <w:sz w:val="20"/>
      <w:szCs w:val="20"/>
    </w:rPr>
  </w:style>
  <w:style w:type="character" w:customStyle="1" w:styleId="FootnoteTextChar">
    <w:name w:val="Footnote Text Char"/>
    <w:basedOn w:val="DefaultParagraphFont"/>
    <w:link w:val="FootnoteText1"/>
    <w:uiPriority w:val="99"/>
    <w:semiHidden/>
    <w:rsid w:val="00384054"/>
    <w:rPr>
      <w:sz w:val="20"/>
      <w:szCs w:val="20"/>
    </w:rPr>
  </w:style>
  <w:style w:type="character" w:styleId="FootnoteReference">
    <w:name w:val="footnote reference"/>
    <w:basedOn w:val="DefaultParagraphFont"/>
    <w:uiPriority w:val="99"/>
    <w:semiHidden/>
    <w:unhideWhenUsed/>
    <w:rsid w:val="00384054"/>
    <w:rPr>
      <w:vertAlign w:val="superscript"/>
    </w:rPr>
  </w:style>
  <w:style w:type="table" w:styleId="TableGrid">
    <w:name w:val="Table Grid"/>
    <w:basedOn w:val="TableNormal"/>
    <w:uiPriority w:val="99"/>
    <w:rsid w:val="00384054"/>
    <w:rPr>
      <w:rFonts w:eastAsia="Times New Roman"/>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6DF"/>
    <w:pPr>
      <w:ind w:left="720"/>
      <w:contextualSpacing/>
    </w:pPr>
  </w:style>
  <w:style w:type="character" w:styleId="Strong">
    <w:name w:val="Strong"/>
    <w:basedOn w:val="DefaultParagraphFont"/>
    <w:uiPriority w:val="22"/>
    <w:qFormat/>
    <w:rsid w:val="001F36DF"/>
    <w:rPr>
      <w:b/>
      <w:bCs/>
    </w:rPr>
  </w:style>
  <w:style w:type="paragraph" w:customStyle="1" w:styleId="Header1">
    <w:name w:val="Header1"/>
    <w:basedOn w:val="Normal"/>
    <w:next w:val="Header"/>
    <w:link w:val="HeaderChar"/>
    <w:uiPriority w:val="99"/>
    <w:unhideWhenUsed/>
    <w:rsid w:val="00384054"/>
    <w:pPr>
      <w:tabs>
        <w:tab w:val="center" w:pos="4513"/>
        <w:tab w:val="right" w:pos="9026"/>
      </w:tabs>
    </w:pPr>
    <w:rPr>
      <w:rFonts w:ascii="Times New Roman" w:hAnsi="Times New Roman"/>
      <w:sz w:val="20"/>
      <w:szCs w:val="20"/>
    </w:rPr>
  </w:style>
  <w:style w:type="character" w:customStyle="1" w:styleId="HeaderChar">
    <w:name w:val="Header Char"/>
    <w:basedOn w:val="DefaultParagraphFont"/>
    <w:link w:val="Header1"/>
    <w:uiPriority w:val="99"/>
    <w:rsid w:val="00384054"/>
  </w:style>
  <w:style w:type="paragraph" w:customStyle="1" w:styleId="Footer1">
    <w:name w:val="Footer1"/>
    <w:basedOn w:val="Normal"/>
    <w:next w:val="Footer"/>
    <w:link w:val="FooterChar"/>
    <w:uiPriority w:val="99"/>
    <w:unhideWhenUsed/>
    <w:rsid w:val="00384054"/>
    <w:pPr>
      <w:tabs>
        <w:tab w:val="center" w:pos="4513"/>
        <w:tab w:val="right" w:pos="9026"/>
      </w:tabs>
    </w:pPr>
    <w:rPr>
      <w:rFonts w:ascii="Times New Roman" w:hAnsi="Times New Roman"/>
      <w:sz w:val="20"/>
      <w:szCs w:val="20"/>
    </w:rPr>
  </w:style>
  <w:style w:type="character" w:customStyle="1" w:styleId="FooterChar">
    <w:name w:val="Footer Char"/>
    <w:basedOn w:val="DefaultParagraphFont"/>
    <w:link w:val="Footer1"/>
    <w:uiPriority w:val="99"/>
    <w:rsid w:val="00384054"/>
  </w:style>
  <w:style w:type="character" w:customStyle="1" w:styleId="FollowedHyperlink1">
    <w:name w:val="FollowedHyperlink1"/>
    <w:basedOn w:val="DefaultParagraphFont"/>
    <w:uiPriority w:val="99"/>
    <w:semiHidden/>
    <w:unhideWhenUsed/>
    <w:rsid w:val="00384054"/>
    <w:rPr>
      <w:color w:val="800080"/>
      <w:u w:val="single"/>
    </w:rPr>
  </w:style>
  <w:style w:type="character" w:customStyle="1" w:styleId="Heading1Char1">
    <w:name w:val="Heading 1 Char1"/>
    <w:basedOn w:val="DefaultParagraphFont"/>
    <w:uiPriority w:val="9"/>
    <w:rsid w:val="00384054"/>
    <w:rPr>
      <w:rFonts w:asciiTheme="majorHAnsi" w:eastAsiaTheme="majorEastAsia" w:hAnsiTheme="majorHAnsi" w:cstheme="majorBidi"/>
      <w:b/>
      <w:bCs/>
      <w:color w:val="365F91" w:themeColor="accent1" w:themeShade="BF"/>
      <w:sz w:val="28"/>
      <w:szCs w:val="28"/>
      <w:lang w:eastAsia="en-US"/>
    </w:rPr>
  </w:style>
  <w:style w:type="paragraph" w:styleId="FootnoteText">
    <w:name w:val="footnote text"/>
    <w:basedOn w:val="Normal"/>
    <w:link w:val="FootnoteTextChar1"/>
    <w:uiPriority w:val="99"/>
    <w:semiHidden/>
    <w:unhideWhenUsed/>
    <w:rsid w:val="00384054"/>
    <w:rPr>
      <w:sz w:val="20"/>
      <w:szCs w:val="20"/>
    </w:rPr>
  </w:style>
  <w:style w:type="character" w:customStyle="1" w:styleId="FootnoteTextChar1">
    <w:name w:val="Footnote Text Char1"/>
    <w:basedOn w:val="DefaultParagraphFont"/>
    <w:link w:val="FootnoteText"/>
    <w:uiPriority w:val="99"/>
    <w:semiHidden/>
    <w:rsid w:val="00384054"/>
    <w:rPr>
      <w:rFonts w:ascii="Myriad Pro Light" w:hAnsi="Myriad Pro Light"/>
      <w:lang w:eastAsia="en-US"/>
    </w:rPr>
  </w:style>
  <w:style w:type="paragraph" w:styleId="Header">
    <w:name w:val="header"/>
    <w:basedOn w:val="Normal"/>
    <w:link w:val="HeaderChar1"/>
    <w:uiPriority w:val="99"/>
    <w:unhideWhenUsed/>
    <w:rsid w:val="00384054"/>
    <w:pPr>
      <w:tabs>
        <w:tab w:val="center" w:pos="4513"/>
        <w:tab w:val="right" w:pos="9026"/>
      </w:tabs>
    </w:pPr>
  </w:style>
  <w:style w:type="character" w:customStyle="1" w:styleId="HeaderChar1">
    <w:name w:val="Header Char1"/>
    <w:basedOn w:val="DefaultParagraphFont"/>
    <w:link w:val="Header"/>
    <w:uiPriority w:val="99"/>
    <w:rsid w:val="00384054"/>
    <w:rPr>
      <w:rFonts w:ascii="Myriad Pro Light" w:hAnsi="Myriad Pro Light"/>
      <w:sz w:val="18"/>
      <w:szCs w:val="24"/>
      <w:lang w:eastAsia="en-US"/>
    </w:rPr>
  </w:style>
  <w:style w:type="paragraph" w:styleId="Footer">
    <w:name w:val="footer"/>
    <w:basedOn w:val="Normal"/>
    <w:link w:val="FooterChar1"/>
    <w:uiPriority w:val="99"/>
    <w:unhideWhenUsed/>
    <w:rsid w:val="00384054"/>
    <w:pPr>
      <w:tabs>
        <w:tab w:val="center" w:pos="4513"/>
        <w:tab w:val="right" w:pos="9026"/>
      </w:tabs>
    </w:pPr>
  </w:style>
  <w:style w:type="character" w:customStyle="1" w:styleId="FooterChar1">
    <w:name w:val="Footer Char1"/>
    <w:basedOn w:val="DefaultParagraphFont"/>
    <w:link w:val="Footer"/>
    <w:uiPriority w:val="99"/>
    <w:rsid w:val="00384054"/>
    <w:rPr>
      <w:rFonts w:ascii="Myriad Pro Light" w:hAnsi="Myriad Pro Light"/>
      <w:sz w:val="18"/>
      <w:szCs w:val="24"/>
      <w:lang w:eastAsia="en-US"/>
    </w:rPr>
  </w:style>
  <w:style w:type="character" w:styleId="FollowedHyperlink">
    <w:name w:val="FollowedHyperlink"/>
    <w:basedOn w:val="DefaultParagraphFont"/>
    <w:uiPriority w:val="99"/>
    <w:semiHidden/>
    <w:unhideWhenUsed/>
    <w:rsid w:val="00384054"/>
    <w:rPr>
      <w:color w:val="800080" w:themeColor="followedHyperlink"/>
      <w:u w:val="single"/>
    </w:rPr>
  </w:style>
  <w:style w:type="paragraph" w:styleId="TOCHeading">
    <w:name w:val="TOC Heading"/>
    <w:basedOn w:val="Heading1"/>
    <w:next w:val="Normal"/>
    <w:uiPriority w:val="39"/>
    <w:semiHidden/>
    <w:unhideWhenUsed/>
    <w:qFormat/>
    <w:rsid w:val="001F36DF"/>
    <w:pPr>
      <w:outlineLvl w:val="9"/>
    </w:pPr>
  </w:style>
  <w:style w:type="paragraph" w:styleId="TOC1">
    <w:name w:val="toc 1"/>
    <w:basedOn w:val="Normal"/>
    <w:next w:val="Normal"/>
    <w:autoRedefine/>
    <w:uiPriority w:val="39"/>
    <w:unhideWhenUsed/>
    <w:rsid w:val="00384054"/>
    <w:pPr>
      <w:spacing w:after="100"/>
    </w:pPr>
  </w:style>
  <w:style w:type="character" w:styleId="Emphasis">
    <w:name w:val="Emphasis"/>
    <w:basedOn w:val="DefaultParagraphFont"/>
    <w:uiPriority w:val="20"/>
    <w:qFormat/>
    <w:rsid w:val="001F36DF"/>
    <w:rPr>
      <w:i/>
      <w:iCs/>
    </w:rPr>
  </w:style>
  <w:style w:type="paragraph" w:styleId="Title">
    <w:name w:val="Title"/>
    <w:basedOn w:val="Normal"/>
    <w:next w:val="Normal"/>
    <w:link w:val="TitleChar"/>
    <w:uiPriority w:val="10"/>
    <w:qFormat/>
    <w:rsid w:val="001F36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6D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F36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F36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F36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F36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36D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F36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F36DF"/>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F36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36D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1F36DF"/>
    <w:pPr>
      <w:spacing w:after="0" w:line="240" w:lineRule="auto"/>
    </w:pPr>
  </w:style>
  <w:style w:type="paragraph" w:styleId="Quote">
    <w:name w:val="Quote"/>
    <w:basedOn w:val="Normal"/>
    <w:next w:val="Normal"/>
    <w:link w:val="QuoteChar"/>
    <w:uiPriority w:val="29"/>
    <w:qFormat/>
    <w:rsid w:val="001F36DF"/>
    <w:rPr>
      <w:i/>
      <w:iCs/>
      <w:color w:val="000000" w:themeColor="text1"/>
    </w:rPr>
  </w:style>
  <w:style w:type="character" w:customStyle="1" w:styleId="QuoteChar">
    <w:name w:val="Quote Char"/>
    <w:basedOn w:val="DefaultParagraphFont"/>
    <w:link w:val="Quote"/>
    <w:uiPriority w:val="29"/>
    <w:rsid w:val="001F36DF"/>
    <w:rPr>
      <w:i/>
      <w:iCs/>
      <w:color w:val="000000" w:themeColor="text1"/>
    </w:rPr>
  </w:style>
  <w:style w:type="paragraph" w:styleId="IntenseQuote">
    <w:name w:val="Intense Quote"/>
    <w:basedOn w:val="Normal"/>
    <w:next w:val="Normal"/>
    <w:link w:val="IntenseQuoteChar"/>
    <w:uiPriority w:val="30"/>
    <w:qFormat/>
    <w:rsid w:val="001F36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F36DF"/>
    <w:rPr>
      <w:b/>
      <w:bCs/>
      <w:i/>
      <w:iCs/>
      <w:color w:val="4F81BD" w:themeColor="accent1"/>
    </w:rPr>
  </w:style>
  <w:style w:type="character" w:styleId="SubtleEmphasis">
    <w:name w:val="Subtle Emphasis"/>
    <w:basedOn w:val="DefaultParagraphFont"/>
    <w:uiPriority w:val="19"/>
    <w:qFormat/>
    <w:rsid w:val="001F36DF"/>
    <w:rPr>
      <w:i/>
      <w:iCs/>
      <w:color w:val="808080" w:themeColor="text1" w:themeTint="7F"/>
    </w:rPr>
  </w:style>
  <w:style w:type="character" w:styleId="IntenseEmphasis">
    <w:name w:val="Intense Emphasis"/>
    <w:basedOn w:val="DefaultParagraphFont"/>
    <w:uiPriority w:val="21"/>
    <w:qFormat/>
    <w:rsid w:val="001F36DF"/>
    <w:rPr>
      <w:b/>
      <w:bCs/>
      <w:i/>
      <w:iCs/>
      <w:color w:val="4F81BD" w:themeColor="accent1"/>
    </w:rPr>
  </w:style>
  <w:style w:type="character" w:styleId="SubtleReference">
    <w:name w:val="Subtle Reference"/>
    <w:basedOn w:val="DefaultParagraphFont"/>
    <w:uiPriority w:val="31"/>
    <w:qFormat/>
    <w:rsid w:val="001F36DF"/>
    <w:rPr>
      <w:smallCaps/>
      <w:color w:val="C0504D" w:themeColor="accent2"/>
      <w:u w:val="single"/>
    </w:rPr>
  </w:style>
  <w:style w:type="character" w:styleId="IntenseReference">
    <w:name w:val="Intense Reference"/>
    <w:basedOn w:val="DefaultParagraphFont"/>
    <w:uiPriority w:val="32"/>
    <w:qFormat/>
    <w:rsid w:val="001F36DF"/>
    <w:rPr>
      <w:b/>
      <w:bCs/>
      <w:smallCaps/>
      <w:color w:val="C0504D" w:themeColor="accent2"/>
      <w:spacing w:val="5"/>
      <w:u w:val="single"/>
    </w:rPr>
  </w:style>
  <w:style w:type="character" w:styleId="BookTitle">
    <w:name w:val="Book Title"/>
    <w:basedOn w:val="DefaultParagraphFont"/>
    <w:uiPriority w:val="33"/>
    <w:qFormat/>
    <w:rsid w:val="001F36D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yriad Pro"/>
    <w:qFormat/>
    <w:rsid w:val="001F36DF"/>
  </w:style>
  <w:style w:type="paragraph" w:styleId="Heading1">
    <w:name w:val="heading 1"/>
    <w:basedOn w:val="Normal"/>
    <w:next w:val="Normal"/>
    <w:link w:val="Heading1Char"/>
    <w:uiPriority w:val="9"/>
    <w:qFormat/>
    <w:rsid w:val="001F36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36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36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36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36D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36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36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36D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F36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4E9B"/>
    <w:pPr>
      <w:widowControl w:val="0"/>
      <w:autoSpaceDE w:val="0"/>
      <w:autoSpaceDN w:val="0"/>
      <w:adjustRightInd w:val="0"/>
    </w:pPr>
    <w:rPr>
      <w:rFonts w:ascii="Trebuchet MS" w:hAnsi="Trebuchet MS"/>
      <w:b/>
      <w:color w:val="000000"/>
      <w:sz w:val="18"/>
      <w:lang w:val="en-US" w:eastAsia="en-US"/>
    </w:rPr>
  </w:style>
  <w:style w:type="paragraph" w:styleId="BodyTextIndent">
    <w:name w:val="Body Text Indent"/>
    <w:basedOn w:val="Normal"/>
    <w:rsid w:val="000416F7"/>
    <w:pPr>
      <w:spacing w:after="120"/>
      <w:ind w:left="283"/>
    </w:pPr>
  </w:style>
  <w:style w:type="paragraph" w:styleId="BalloonText">
    <w:name w:val="Balloon Text"/>
    <w:basedOn w:val="Normal"/>
    <w:link w:val="BalloonTextChar"/>
    <w:uiPriority w:val="99"/>
    <w:semiHidden/>
    <w:unhideWhenUsed/>
    <w:rsid w:val="00E0769D"/>
    <w:rPr>
      <w:rFonts w:ascii="Lucida Grande" w:hAnsi="Lucida Grande"/>
      <w:szCs w:val="18"/>
    </w:rPr>
  </w:style>
  <w:style w:type="character" w:customStyle="1" w:styleId="BalloonTextChar">
    <w:name w:val="Balloon Text Char"/>
    <w:basedOn w:val="DefaultParagraphFont"/>
    <w:link w:val="BalloonText"/>
    <w:uiPriority w:val="99"/>
    <w:semiHidden/>
    <w:rsid w:val="00E0769D"/>
    <w:rPr>
      <w:rFonts w:ascii="Lucida Grande" w:hAnsi="Lucida Grande"/>
      <w:sz w:val="18"/>
      <w:szCs w:val="18"/>
      <w:lang w:eastAsia="en-US"/>
    </w:rPr>
  </w:style>
  <w:style w:type="paragraph" w:styleId="Revision">
    <w:name w:val="Revision"/>
    <w:hidden/>
    <w:uiPriority w:val="99"/>
    <w:semiHidden/>
    <w:rsid w:val="00E0769D"/>
    <w:rPr>
      <w:rFonts w:ascii="Myriad Pro Light" w:hAnsi="Myriad Pro Light"/>
      <w:sz w:val="18"/>
      <w:szCs w:val="24"/>
      <w:lang w:eastAsia="en-US"/>
    </w:rPr>
  </w:style>
  <w:style w:type="paragraph" w:customStyle="1" w:styleId="BasicParagraph">
    <w:name w:val="[Basic Paragraph]"/>
    <w:basedOn w:val="Normal"/>
    <w:uiPriority w:val="99"/>
    <w:rsid w:val="00E0769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Heading11">
    <w:name w:val="Heading 11"/>
    <w:basedOn w:val="Normal"/>
    <w:next w:val="Normal"/>
    <w:uiPriority w:val="9"/>
    <w:rsid w:val="00384054"/>
    <w:pPr>
      <w:keepNext/>
      <w:keepLines/>
      <w:spacing w:before="480"/>
      <w:outlineLvl w:val="0"/>
    </w:pPr>
    <w:rPr>
      <w:rFonts w:ascii="Cambria" w:eastAsia="SimSun" w:hAnsi="Cambria"/>
      <w:b/>
      <w:bCs/>
      <w:color w:val="365F91"/>
      <w:sz w:val="28"/>
      <w:szCs w:val="28"/>
      <w:lang w:eastAsia="zh-CN"/>
    </w:rPr>
  </w:style>
  <w:style w:type="character" w:customStyle="1" w:styleId="Heading2Char">
    <w:name w:val="Heading 2 Char"/>
    <w:basedOn w:val="DefaultParagraphFont"/>
    <w:link w:val="Heading2"/>
    <w:uiPriority w:val="9"/>
    <w:rsid w:val="001F36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36DF"/>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384054"/>
  </w:style>
  <w:style w:type="character" w:customStyle="1" w:styleId="Heading1Char">
    <w:name w:val="Heading 1 Char"/>
    <w:basedOn w:val="DefaultParagraphFont"/>
    <w:link w:val="Heading1"/>
    <w:uiPriority w:val="9"/>
    <w:rsid w:val="001F36D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384054"/>
    <w:pPr>
      <w:spacing w:before="100" w:beforeAutospacing="1" w:after="100" w:afterAutospacing="1"/>
    </w:pPr>
    <w:rPr>
      <w:rFonts w:ascii="Times New Roman" w:eastAsia="Times New Roman" w:hAnsi="Times New Roman"/>
      <w:sz w:val="24"/>
      <w:lang w:eastAsia="zh-CN"/>
    </w:rPr>
  </w:style>
  <w:style w:type="character" w:styleId="Hyperlink">
    <w:name w:val="Hyperlink"/>
    <w:basedOn w:val="DefaultParagraphFont"/>
    <w:uiPriority w:val="99"/>
    <w:unhideWhenUsed/>
    <w:rsid w:val="00384054"/>
    <w:rPr>
      <w:color w:val="0000FF"/>
      <w:u w:val="single"/>
    </w:rPr>
  </w:style>
  <w:style w:type="character" w:customStyle="1" w:styleId="apple-converted-space">
    <w:name w:val="apple-converted-space"/>
    <w:basedOn w:val="DefaultParagraphFont"/>
    <w:rsid w:val="00384054"/>
  </w:style>
  <w:style w:type="paragraph" w:customStyle="1" w:styleId="FootnoteText1">
    <w:name w:val="Footnote Text1"/>
    <w:basedOn w:val="Normal"/>
    <w:next w:val="FootnoteText"/>
    <w:link w:val="FootnoteTextChar"/>
    <w:uiPriority w:val="99"/>
    <w:semiHidden/>
    <w:unhideWhenUsed/>
    <w:rsid w:val="00384054"/>
    <w:rPr>
      <w:rFonts w:ascii="Times New Roman" w:hAnsi="Times New Roman"/>
      <w:sz w:val="20"/>
      <w:szCs w:val="20"/>
    </w:rPr>
  </w:style>
  <w:style w:type="character" w:customStyle="1" w:styleId="FootnoteTextChar">
    <w:name w:val="Footnote Text Char"/>
    <w:basedOn w:val="DefaultParagraphFont"/>
    <w:link w:val="FootnoteText1"/>
    <w:uiPriority w:val="99"/>
    <w:semiHidden/>
    <w:rsid w:val="00384054"/>
    <w:rPr>
      <w:sz w:val="20"/>
      <w:szCs w:val="20"/>
    </w:rPr>
  </w:style>
  <w:style w:type="character" w:styleId="FootnoteReference">
    <w:name w:val="footnote reference"/>
    <w:basedOn w:val="DefaultParagraphFont"/>
    <w:uiPriority w:val="99"/>
    <w:semiHidden/>
    <w:unhideWhenUsed/>
    <w:rsid w:val="00384054"/>
    <w:rPr>
      <w:vertAlign w:val="superscript"/>
    </w:rPr>
  </w:style>
  <w:style w:type="table" w:styleId="TableGrid">
    <w:name w:val="Table Grid"/>
    <w:basedOn w:val="TableNormal"/>
    <w:uiPriority w:val="99"/>
    <w:rsid w:val="00384054"/>
    <w:rPr>
      <w:rFonts w:eastAsia="Times New Roman"/>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6DF"/>
    <w:pPr>
      <w:ind w:left="720"/>
      <w:contextualSpacing/>
    </w:pPr>
  </w:style>
  <w:style w:type="character" w:styleId="Strong">
    <w:name w:val="Strong"/>
    <w:basedOn w:val="DefaultParagraphFont"/>
    <w:uiPriority w:val="22"/>
    <w:qFormat/>
    <w:rsid w:val="001F36DF"/>
    <w:rPr>
      <w:b/>
      <w:bCs/>
    </w:rPr>
  </w:style>
  <w:style w:type="paragraph" w:customStyle="1" w:styleId="Header1">
    <w:name w:val="Header1"/>
    <w:basedOn w:val="Normal"/>
    <w:next w:val="Header"/>
    <w:link w:val="HeaderChar"/>
    <w:uiPriority w:val="99"/>
    <w:unhideWhenUsed/>
    <w:rsid w:val="00384054"/>
    <w:pPr>
      <w:tabs>
        <w:tab w:val="center" w:pos="4513"/>
        <w:tab w:val="right" w:pos="9026"/>
      </w:tabs>
    </w:pPr>
    <w:rPr>
      <w:rFonts w:ascii="Times New Roman" w:hAnsi="Times New Roman"/>
      <w:sz w:val="20"/>
      <w:szCs w:val="20"/>
    </w:rPr>
  </w:style>
  <w:style w:type="character" w:customStyle="1" w:styleId="HeaderChar">
    <w:name w:val="Header Char"/>
    <w:basedOn w:val="DefaultParagraphFont"/>
    <w:link w:val="Header1"/>
    <w:uiPriority w:val="99"/>
    <w:rsid w:val="00384054"/>
  </w:style>
  <w:style w:type="paragraph" w:customStyle="1" w:styleId="Footer1">
    <w:name w:val="Footer1"/>
    <w:basedOn w:val="Normal"/>
    <w:next w:val="Footer"/>
    <w:link w:val="FooterChar"/>
    <w:uiPriority w:val="99"/>
    <w:unhideWhenUsed/>
    <w:rsid w:val="00384054"/>
    <w:pPr>
      <w:tabs>
        <w:tab w:val="center" w:pos="4513"/>
        <w:tab w:val="right" w:pos="9026"/>
      </w:tabs>
    </w:pPr>
    <w:rPr>
      <w:rFonts w:ascii="Times New Roman" w:hAnsi="Times New Roman"/>
      <w:sz w:val="20"/>
      <w:szCs w:val="20"/>
    </w:rPr>
  </w:style>
  <w:style w:type="character" w:customStyle="1" w:styleId="FooterChar">
    <w:name w:val="Footer Char"/>
    <w:basedOn w:val="DefaultParagraphFont"/>
    <w:link w:val="Footer1"/>
    <w:uiPriority w:val="99"/>
    <w:rsid w:val="00384054"/>
  </w:style>
  <w:style w:type="character" w:customStyle="1" w:styleId="FollowedHyperlink1">
    <w:name w:val="FollowedHyperlink1"/>
    <w:basedOn w:val="DefaultParagraphFont"/>
    <w:uiPriority w:val="99"/>
    <w:semiHidden/>
    <w:unhideWhenUsed/>
    <w:rsid w:val="00384054"/>
    <w:rPr>
      <w:color w:val="800080"/>
      <w:u w:val="single"/>
    </w:rPr>
  </w:style>
  <w:style w:type="character" w:customStyle="1" w:styleId="Heading1Char1">
    <w:name w:val="Heading 1 Char1"/>
    <w:basedOn w:val="DefaultParagraphFont"/>
    <w:uiPriority w:val="9"/>
    <w:rsid w:val="00384054"/>
    <w:rPr>
      <w:rFonts w:asciiTheme="majorHAnsi" w:eastAsiaTheme="majorEastAsia" w:hAnsiTheme="majorHAnsi" w:cstheme="majorBidi"/>
      <w:b/>
      <w:bCs/>
      <w:color w:val="365F91" w:themeColor="accent1" w:themeShade="BF"/>
      <w:sz w:val="28"/>
      <w:szCs w:val="28"/>
      <w:lang w:eastAsia="en-US"/>
    </w:rPr>
  </w:style>
  <w:style w:type="paragraph" w:styleId="FootnoteText">
    <w:name w:val="footnote text"/>
    <w:basedOn w:val="Normal"/>
    <w:link w:val="FootnoteTextChar1"/>
    <w:uiPriority w:val="99"/>
    <w:semiHidden/>
    <w:unhideWhenUsed/>
    <w:rsid w:val="00384054"/>
    <w:rPr>
      <w:sz w:val="20"/>
      <w:szCs w:val="20"/>
    </w:rPr>
  </w:style>
  <w:style w:type="character" w:customStyle="1" w:styleId="FootnoteTextChar1">
    <w:name w:val="Footnote Text Char1"/>
    <w:basedOn w:val="DefaultParagraphFont"/>
    <w:link w:val="FootnoteText"/>
    <w:uiPriority w:val="99"/>
    <w:semiHidden/>
    <w:rsid w:val="00384054"/>
    <w:rPr>
      <w:rFonts w:ascii="Myriad Pro Light" w:hAnsi="Myriad Pro Light"/>
      <w:lang w:eastAsia="en-US"/>
    </w:rPr>
  </w:style>
  <w:style w:type="paragraph" w:styleId="Header">
    <w:name w:val="header"/>
    <w:basedOn w:val="Normal"/>
    <w:link w:val="HeaderChar1"/>
    <w:uiPriority w:val="99"/>
    <w:unhideWhenUsed/>
    <w:rsid w:val="00384054"/>
    <w:pPr>
      <w:tabs>
        <w:tab w:val="center" w:pos="4513"/>
        <w:tab w:val="right" w:pos="9026"/>
      </w:tabs>
    </w:pPr>
  </w:style>
  <w:style w:type="character" w:customStyle="1" w:styleId="HeaderChar1">
    <w:name w:val="Header Char1"/>
    <w:basedOn w:val="DefaultParagraphFont"/>
    <w:link w:val="Header"/>
    <w:uiPriority w:val="99"/>
    <w:rsid w:val="00384054"/>
    <w:rPr>
      <w:rFonts w:ascii="Myriad Pro Light" w:hAnsi="Myriad Pro Light"/>
      <w:sz w:val="18"/>
      <w:szCs w:val="24"/>
      <w:lang w:eastAsia="en-US"/>
    </w:rPr>
  </w:style>
  <w:style w:type="paragraph" w:styleId="Footer">
    <w:name w:val="footer"/>
    <w:basedOn w:val="Normal"/>
    <w:link w:val="FooterChar1"/>
    <w:uiPriority w:val="99"/>
    <w:unhideWhenUsed/>
    <w:rsid w:val="00384054"/>
    <w:pPr>
      <w:tabs>
        <w:tab w:val="center" w:pos="4513"/>
        <w:tab w:val="right" w:pos="9026"/>
      </w:tabs>
    </w:pPr>
  </w:style>
  <w:style w:type="character" w:customStyle="1" w:styleId="FooterChar1">
    <w:name w:val="Footer Char1"/>
    <w:basedOn w:val="DefaultParagraphFont"/>
    <w:link w:val="Footer"/>
    <w:uiPriority w:val="99"/>
    <w:rsid w:val="00384054"/>
    <w:rPr>
      <w:rFonts w:ascii="Myriad Pro Light" w:hAnsi="Myriad Pro Light"/>
      <w:sz w:val="18"/>
      <w:szCs w:val="24"/>
      <w:lang w:eastAsia="en-US"/>
    </w:rPr>
  </w:style>
  <w:style w:type="character" w:styleId="FollowedHyperlink">
    <w:name w:val="FollowedHyperlink"/>
    <w:basedOn w:val="DefaultParagraphFont"/>
    <w:uiPriority w:val="99"/>
    <w:semiHidden/>
    <w:unhideWhenUsed/>
    <w:rsid w:val="00384054"/>
    <w:rPr>
      <w:color w:val="800080" w:themeColor="followedHyperlink"/>
      <w:u w:val="single"/>
    </w:rPr>
  </w:style>
  <w:style w:type="paragraph" w:styleId="TOCHeading">
    <w:name w:val="TOC Heading"/>
    <w:basedOn w:val="Heading1"/>
    <w:next w:val="Normal"/>
    <w:uiPriority w:val="39"/>
    <w:semiHidden/>
    <w:unhideWhenUsed/>
    <w:qFormat/>
    <w:rsid w:val="001F36DF"/>
    <w:pPr>
      <w:outlineLvl w:val="9"/>
    </w:pPr>
  </w:style>
  <w:style w:type="paragraph" w:styleId="TOC1">
    <w:name w:val="toc 1"/>
    <w:basedOn w:val="Normal"/>
    <w:next w:val="Normal"/>
    <w:autoRedefine/>
    <w:uiPriority w:val="39"/>
    <w:unhideWhenUsed/>
    <w:rsid w:val="00384054"/>
    <w:pPr>
      <w:spacing w:after="100"/>
    </w:pPr>
  </w:style>
  <w:style w:type="character" w:styleId="Emphasis">
    <w:name w:val="Emphasis"/>
    <w:basedOn w:val="DefaultParagraphFont"/>
    <w:uiPriority w:val="20"/>
    <w:qFormat/>
    <w:rsid w:val="001F36DF"/>
    <w:rPr>
      <w:i/>
      <w:iCs/>
    </w:rPr>
  </w:style>
  <w:style w:type="paragraph" w:styleId="Title">
    <w:name w:val="Title"/>
    <w:basedOn w:val="Normal"/>
    <w:next w:val="Normal"/>
    <w:link w:val="TitleChar"/>
    <w:uiPriority w:val="10"/>
    <w:qFormat/>
    <w:rsid w:val="001F36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6D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F36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F36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F36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F36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36D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F36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F36DF"/>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F36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36D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1F36DF"/>
    <w:pPr>
      <w:spacing w:after="0" w:line="240" w:lineRule="auto"/>
    </w:pPr>
  </w:style>
  <w:style w:type="paragraph" w:styleId="Quote">
    <w:name w:val="Quote"/>
    <w:basedOn w:val="Normal"/>
    <w:next w:val="Normal"/>
    <w:link w:val="QuoteChar"/>
    <w:uiPriority w:val="29"/>
    <w:qFormat/>
    <w:rsid w:val="001F36DF"/>
    <w:rPr>
      <w:i/>
      <w:iCs/>
      <w:color w:val="000000" w:themeColor="text1"/>
    </w:rPr>
  </w:style>
  <w:style w:type="character" w:customStyle="1" w:styleId="QuoteChar">
    <w:name w:val="Quote Char"/>
    <w:basedOn w:val="DefaultParagraphFont"/>
    <w:link w:val="Quote"/>
    <w:uiPriority w:val="29"/>
    <w:rsid w:val="001F36DF"/>
    <w:rPr>
      <w:i/>
      <w:iCs/>
      <w:color w:val="000000" w:themeColor="text1"/>
    </w:rPr>
  </w:style>
  <w:style w:type="paragraph" w:styleId="IntenseQuote">
    <w:name w:val="Intense Quote"/>
    <w:basedOn w:val="Normal"/>
    <w:next w:val="Normal"/>
    <w:link w:val="IntenseQuoteChar"/>
    <w:uiPriority w:val="30"/>
    <w:qFormat/>
    <w:rsid w:val="001F36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F36DF"/>
    <w:rPr>
      <w:b/>
      <w:bCs/>
      <w:i/>
      <w:iCs/>
      <w:color w:val="4F81BD" w:themeColor="accent1"/>
    </w:rPr>
  </w:style>
  <w:style w:type="character" w:styleId="SubtleEmphasis">
    <w:name w:val="Subtle Emphasis"/>
    <w:basedOn w:val="DefaultParagraphFont"/>
    <w:uiPriority w:val="19"/>
    <w:qFormat/>
    <w:rsid w:val="001F36DF"/>
    <w:rPr>
      <w:i/>
      <w:iCs/>
      <w:color w:val="808080" w:themeColor="text1" w:themeTint="7F"/>
    </w:rPr>
  </w:style>
  <w:style w:type="character" w:styleId="IntenseEmphasis">
    <w:name w:val="Intense Emphasis"/>
    <w:basedOn w:val="DefaultParagraphFont"/>
    <w:uiPriority w:val="21"/>
    <w:qFormat/>
    <w:rsid w:val="001F36DF"/>
    <w:rPr>
      <w:b/>
      <w:bCs/>
      <w:i/>
      <w:iCs/>
      <w:color w:val="4F81BD" w:themeColor="accent1"/>
    </w:rPr>
  </w:style>
  <w:style w:type="character" w:styleId="SubtleReference">
    <w:name w:val="Subtle Reference"/>
    <w:basedOn w:val="DefaultParagraphFont"/>
    <w:uiPriority w:val="31"/>
    <w:qFormat/>
    <w:rsid w:val="001F36DF"/>
    <w:rPr>
      <w:smallCaps/>
      <w:color w:val="C0504D" w:themeColor="accent2"/>
      <w:u w:val="single"/>
    </w:rPr>
  </w:style>
  <w:style w:type="character" w:styleId="IntenseReference">
    <w:name w:val="Intense Reference"/>
    <w:basedOn w:val="DefaultParagraphFont"/>
    <w:uiPriority w:val="32"/>
    <w:qFormat/>
    <w:rsid w:val="001F36DF"/>
    <w:rPr>
      <w:b/>
      <w:bCs/>
      <w:smallCaps/>
      <w:color w:val="C0504D" w:themeColor="accent2"/>
      <w:spacing w:val="5"/>
      <w:u w:val="single"/>
    </w:rPr>
  </w:style>
  <w:style w:type="character" w:styleId="BookTitle">
    <w:name w:val="Book Title"/>
    <w:basedOn w:val="DefaultParagraphFont"/>
    <w:uiPriority w:val="33"/>
    <w:qFormat/>
    <w:rsid w:val="001F36D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4510">
      <w:bodyDiv w:val="1"/>
      <w:marLeft w:val="0"/>
      <w:marRight w:val="0"/>
      <w:marTop w:val="0"/>
      <w:marBottom w:val="0"/>
      <w:divBdr>
        <w:top w:val="none" w:sz="0" w:space="0" w:color="auto"/>
        <w:left w:val="none" w:sz="0" w:space="0" w:color="auto"/>
        <w:bottom w:val="none" w:sz="0" w:space="0" w:color="auto"/>
        <w:right w:val="none" w:sz="0" w:space="0" w:color="auto"/>
      </w:divBdr>
      <w:divsChild>
        <w:div w:id="5023605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56804943">
      <w:bodyDiv w:val="1"/>
      <w:marLeft w:val="0"/>
      <w:marRight w:val="0"/>
      <w:marTop w:val="0"/>
      <w:marBottom w:val="0"/>
      <w:divBdr>
        <w:top w:val="none" w:sz="0" w:space="0" w:color="auto"/>
        <w:left w:val="none" w:sz="0" w:space="0" w:color="auto"/>
        <w:bottom w:val="none" w:sz="0" w:space="0" w:color="auto"/>
        <w:right w:val="none" w:sz="0" w:space="0" w:color="auto"/>
      </w:divBdr>
    </w:div>
    <w:div w:id="1898003661">
      <w:bodyDiv w:val="1"/>
      <w:marLeft w:val="0"/>
      <w:marRight w:val="0"/>
      <w:marTop w:val="0"/>
      <w:marBottom w:val="0"/>
      <w:divBdr>
        <w:top w:val="none" w:sz="0" w:space="0" w:color="auto"/>
        <w:left w:val="none" w:sz="0" w:space="0" w:color="auto"/>
        <w:bottom w:val="none" w:sz="0" w:space="0" w:color="auto"/>
        <w:right w:val="none" w:sz="0" w:space="0" w:color="auto"/>
      </w:divBdr>
    </w:div>
    <w:div w:id="2039355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mc.edu.au/faciliti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po.gov.uk/whyuse/research/lambert/lambert-mrc/lambert-decguide.htm" TargetMode="External"/><Relationship Id="rId3" Type="http://schemas.openxmlformats.org/officeDocument/2006/relationships/hyperlink" Target="http://www.nsf.gov/pubs/2012/nsf12513/nsf12513.htm" TargetMode="External"/><Relationship Id="rId7" Type="http://schemas.openxmlformats.org/officeDocument/2006/relationships/hyperlink" Target="http://map.eng.unimelb.edu.au/" TargetMode="External"/><Relationship Id="rId2" Type="http://schemas.openxmlformats.org/officeDocument/2006/relationships/hyperlink" Target="http://www.uschamberfoundation.org/sites/default/files/article/foundation/IndustryAcademia.pdf" TargetMode="External"/><Relationship Id="rId1" Type="http://schemas.openxmlformats.org/officeDocument/2006/relationships/hyperlink" Target="http://www.aph.gov.au/Parliamentary_Business/Committees/Senate/Economics/Innovation_System/Submissions" TargetMode="External"/><Relationship Id="rId6" Type="http://schemas.openxmlformats.org/officeDocument/2006/relationships/hyperlink" Target="http://www.griffinaccelerator.com.au/" TargetMode="External"/><Relationship Id="rId5" Type="http://schemas.openxmlformats.org/officeDocument/2006/relationships/hyperlink" Target="http://atp-innovations.com.au/" TargetMode="External"/><Relationship Id="rId4" Type="http://schemas.openxmlformats.org/officeDocument/2006/relationships/hyperlink" Target="http://www.rhgraham.org/RHG/Recent_publications_files/MIT%3ASkoltech%20entrepreneurial%20ecosystems%20report%202014%20_1.pdf" TargetMode="External"/><Relationship Id="rId9" Type="http://schemas.openxmlformats.org/officeDocument/2006/relationships/hyperlink" Target="http://www.crc.gov.au/Selection-Rounds/Documents/Term%20Sheet%20Templat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undy\Downloads\Division_RESEARCH_Letterhead%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BCR1400072</SubmissionID>
    <OriginalFileName xmlns="ed110c73-9675-4a40-bedd-85eaf2417466">UTAS Boosting Commercial Returns from Research final.docx</Original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E6CE-7A6E-47FA-A8EF-3B55DB6264BF}"/>
</file>

<file path=customXml/itemProps2.xml><?xml version="1.0" encoding="utf-8"?>
<ds:datastoreItem xmlns:ds="http://schemas.openxmlformats.org/officeDocument/2006/customXml" ds:itemID="{D84CD748-BC99-4AE8-934D-345F12615146}"/>
</file>

<file path=customXml/itemProps3.xml><?xml version="1.0" encoding="utf-8"?>
<ds:datastoreItem xmlns:ds="http://schemas.openxmlformats.org/officeDocument/2006/customXml" ds:itemID="{3F694388-9820-4DFA-8125-49EC52DAB865}"/>
</file>

<file path=customXml/itemProps4.xml><?xml version="1.0" encoding="utf-8"?>
<ds:datastoreItem xmlns:ds="http://schemas.openxmlformats.org/officeDocument/2006/customXml" ds:itemID="{C86FDE45-496D-4BE5-92BF-2C7489621F99}"/>
</file>

<file path=docProps/app.xml><?xml version="1.0" encoding="utf-8"?>
<Properties xmlns="http://schemas.openxmlformats.org/officeDocument/2006/extended-properties" xmlns:vt="http://schemas.openxmlformats.org/officeDocument/2006/docPropsVTypes">
  <Template>Division_RESEARCH_Letterhead (3).dotx</Template>
  <TotalTime>52</TotalTime>
  <Pages>13</Pages>
  <Words>4187</Words>
  <Characters>25802</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2_Boosting_the_commercial_return_UniversityofTasmania_28112014_BCR1400072.docx</vt:lpstr>
    </vt:vector>
  </TitlesOfParts>
  <Company>mcmoffatt</Company>
  <LinksUpToDate>false</LinksUpToDate>
  <CharactersWithSpaces>29930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2_Boosting_the_commercial_return_UniversityofTasmania_28112014_BCR1400072.docx</dc:title>
  <dc:creator>Darren Cundy</dc:creator>
  <cp:lastModifiedBy>Drew Menzies-McVey</cp:lastModifiedBy>
  <cp:revision>9</cp:revision>
  <cp:lastPrinted>2015-02-23T02:54:00Z</cp:lastPrinted>
  <dcterms:created xsi:type="dcterms:W3CDTF">2014-11-28T05:14:00Z</dcterms:created>
  <dcterms:modified xsi:type="dcterms:W3CDTF">2015-02-23T02:54:00Z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