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EE0E4" w14:textId="69A21F7F" w:rsidR="00B93536" w:rsidRPr="006949BC" w:rsidRDefault="00286DB6" w:rsidP="006949BC">
      <w:pPr>
        <w:pStyle w:val="Title"/>
        <w:ind w:left="993"/>
        <w:rPr>
          <w:sz w:val="36"/>
          <w:szCs w:val="36"/>
        </w:rPr>
      </w:pPr>
      <w:bookmarkStart w:id="0" w:name="_GoBack"/>
      <w:bookmarkEnd w:id="0"/>
      <w:r>
        <w:rPr>
          <w:sz w:val="36"/>
          <w:szCs w:val="36"/>
        </w:rPr>
        <w:t>Boosting the Commercial Returns from Research</w:t>
      </w:r>
      <w:r w:rsidR="001B0312" w:rsidRPr="006949BC">
        <w:rPr>
          <w:sz w:val="36"/>
          <w:szCs w:val="36"/>
        </w:rPr>
        <w:t>:</w:t>
      </w:r>
      <w:r w:rsidR="001B0312" w:rsidRPr="006949BC">
        <w:rPr>
          <w:sz w:val="36"/>
          <w:szCs w:val="36"/>
        </w:rPr>
        <w:br/>
        <w:t>AARNet Submission</w:t>
      </w:r>
    </w:p>
    <w:p w14:paraId="615C28E4" w14:textId="77777777" w:rsidR="001B0312" w:rsidRPr="006949BC" w:rsidRDefault="001B0312" w:rsidP="006949BC"/>
    <w:p w14:paraId="79765AB3" w14:textId="37C6D0CC" w:rsidR="00B93536" w:rsidRDefault="00286DB6" w:rsidP="006949BC">
      <w:pPr>
        <w:pStyle w:val="PlainText"/>
        <w:ind w:left="993"/>
      </w:pPr>
      <w:r>
        <w:t>28</w:t>
      </w:r>
      <w:r w:rsidRPr="00762D2F">
        <w:rPr>
          <w:vertAlign w:val="superscript"/>
        </w:rPr>
        <w:t>th</w:t>
      </w:r>
      <w:r>
        <w:t xml:space="preserve"> November</w:t>
      </w:r>
      <w:r w:rsidR="000F6C82">
        <w:t>, 2014</w:t>
      </w:r>
    </w:p>
    <w:p w14:paraId="307015E5" w14:textId="77777777" w:rsidR="000F6C82" w:rsidRDefault="000F6C82" w:rsidP="006949BC">
      <w:pPr>
        <w:pStyle w:val="PlainText"/>
        <w:ind w:left="993"/>
      </w:pPr>
    </w:p>
    <w:p w14:paraId="4C8276FE" w14:textId="77777777" w:rsidR="00703EBF" w:rsidRDefault="00703EBF" w:rsidP="000114E1">
      <w:pPr>
        <w:pStyle w:val="Heading1"/>
      </w:pPr>
      <w:r>
        <w:t>Introduction</w:t>
      </w:r>
    </w:p>
    <w:p w14:paraId="441BD2C1" w14:textId="77777777" w:rsidR="00703EBF" w:rsidRDefault="00703EBF" w:rsidP="006949BC">
      <w:pPr>
        <w:pStyle w:val="PlainText"/>
        <w:ind w:left="993"/>
      </w:pPr>
    </w:p>
    <w:p w14:paraId="29866B7B" w14:textId="78FA39E8" w:rsidR="007378FF" w:rsidRDefault="00286DB6" w:rsidP="00762D2F">
      <w:pPr>
        <w:pStyle w:val="PlainText"/>
        <w:ind w:left="993"/>
      </w:pPr>
      <w:r>
        <w:t>Th</w:t>
      </w:r>
      <w:r w:rsidRPr="003A0A83">
        <w:t>e Boosting Commercial Returns from Research</w:t>
      </w:r>
      <w:r w:rsidR="003A0A83">
        <w:rPr>
          <w:rStyle w:val="FootnoteReference"/>
        </w:rPr>
        <w:footnoteReference w:id="1"/>
      </w:r>
      <w:r w:rsidRPr="003A0A83">
        <w:t xml:space="preserve"> </w:t>
      </w:r>
      <w:r w:rsidR="007378FF" w:rsidRPr="003A0A83">
        <w:t>discuss</w:t>
      </w:r>
      <w:r w:rsidR="007378FF">
        <w:t>ion paper highlights four factors that contribute to a country’s</w:t>
      </w:r>
      <w:r>
        <w:t xml:space="preserve"> </w:t>
      </w:r>
      <w:r w:rsidR="007378FF">
        <w:t xml:space="preserve">successful </w:t>
      </w:r>
      <w:r>
        <w:t>translation of res</w:t>
      </w:r>
      <w:r w:rsidR="007378FF">
        <w:t>earch into commercial outcomes</w:t>
      </w:r>
      <w:r w:rsidR="003B36EB">
        <w:t>:</w:t>
      </w:r>
    </w:p>
    <w:p w14:paraId="6D403F55" w14:textId="77777777" w:rsidR="006A0B34" w:rsidRDefault="006A0B34" w:rsidP="00762D2F">
      <w:pPr>
        <w:pStyle w:val="PlainText"/>
        <w:ind w:left="993"/>
      </w:pPr>
    </w:p>
    <w:p w14:paraId="49955C04" w14:textId="2079ECAD" w:rsidR="007378FF" w:rsidRDefault="007378FF" w:rsidP="00762D2F">
      <w:pPr>
        <w:pStyle w:val="PlainText"/>
        <w:numPr>
          <w:ilvl w:val="0"/>
          <w:numId w:val="18"/>
        </w:numPr>
      </w:pPr>
      <w:r>
        <w:t>Research Excellence</w:t>
      </w:r>
    </w:p>
    <w:p w14:paraId="01F7F4E0" w14:textId="4B228177" w:rsidR="007378FF" w:rsidRDefault="007378FF" w:rsidP="00762D2F">
      <w:pPr>
        <w:pStyle w:val="PlainText"/>
        <w:numPr>
          <w:ilvl w:val="0"/>
          <w:numId w:val="18"/>
        </w:numPr>
      </w:pPr>
      <w:r>
        <w:t>Targeted Research Effort</w:t>
      </w:r>
    </w:p>
    <w:p w14:paraId="00795E47" w14:textId="39470E64" w:rsidR="007378FF" w:rsidRDefault="007378FF" w:rsidP="00762D2F">
      <w:pPr>
        <w:pStyle w:val="PlainText"/>
        <w:numPr>
          <w:ilvl w:val="0"/>
          <w:numId w:val="18"/>
        </w:numPr>
      </w:pPr>
      <w:r>
        <w:t>Cooperation Between Researchers and Industry</w:t>
      </w:r>
    </w:p>
    <w:p w14:paraId="05CD8A80" w14:textId="7647BCF6" w:rsidR="007378FF" w:rsidRDefault="007378FF" w:rsidP="00762D2F">
      <w:pPr>
        <w:pStyle w:val="PlainText"/>
        <w:numPr>
          <w:ilvl w:val="0"/>
          <w:numId w:val="18"/>
        </w:numPr>
      </w:pPr>
      <w:r>
        <w:t>Entrepreneurship</w:t>
      </w:r>
    </w:p>
    <w:p w14:paraId="2497A5B4" w14:textId="77777777" w:rsidR="007378FF" w:rsidRDefault="007378FF" w:rsidP="00762D2F">
      <w:pPr>
        <w:pStyle w:val="PlainText"/>
        <w:ind w:left="993"/>
      </w:pPr>
    </w:p>
    <w:p w14:paraId="75FFED83" w14:textId="328C6BFF" w:rsidR="007378FF" w:rsidRDefault="007378FF" w:rsidP="00762D2F">
      <w:pPr>
        <w:pStyle w:val="PlainText"/>
        <w:ind w:left="993"/>
      </w:pPr>
      <w:r>
        <w:t xml:space="preserve">This submission addresses the first factor, </w:t>
      </w:r>
      <w:r w:rsidRPr="00EE5E98">
        <w:rPr>
          <w:b/>
        </w:rPr>
        <w:t>Research Excellence</w:t>
      </w:r>
      <w:r>
        <w:t xml:space="preserve">, and the critical role </w:t>
      </w:r>
      <w:r w:rsidR="00EB58C4">
        <w:t xml:space="preserve">Australia’s National Research and Education Network (NREN) </w:t>
      </w:r>
      <w:r>
        <w:t>plays in ensuring Australia has wor</w:t>
      </w:r>
      <w:r w:rsidR="003B36EB">
        <w:t>l</w:t>
      </w:r>
      <w:r>
        <w:t xml:space="preserve">d-class research infrastructure, </w:t>
      </w:r>
      <w:r w:rsidR="00EB58C4">
        <w:t>s</w:t>
      </w:r>
      <w:r w:rsidR="00CD5BA0">
        <w:t>upporting</w:t>
      </w:r>
      <w:r w:rsidR="00EB58C4">
        <w:t xml:space="preserve"> the retention of</w:t>
      </w:r>
      <w:r>
        <w:t xml:space="preserve"> a highly</w:t>
      </w:r>
      <w:r w:rsidR="003B36EB">
        <w:t>-</w:t>
      </w:r>
      <w:r>
        <w:t>skilled research workforce, enabl</w:t>
      </w:r>
      <w:r w:rsidR="00230ED7">
        <w:t>ing</w:t>
      </w:r>
      <w:r>
        <w:t xml:space="preserve"> critical mass in areas of re</w:t>
      </w:r>
      <w:r w:rsidR="00230ED7">
        <w:t xml:space="preserve">search strength and facilitating </w:t>
      </w:r>
      <w:r>
        <w:t>international research engagement.</w:t>
      </w:r>
    </w:p>
    <w:p w14:paraId="4419FDB9" w14:textId="77777777" w:rsidR="006A0B34" w:rsidRDefault="006A0B34" w:rsidP="00762D2F">
      <w:pPr>
        <w:pStyle w:val="PlainText"/>
        <w:ind w:left="993"/>
      </w:pPr>
    </w:p>
    <w:p w14:paraId="605F53AD" w14:textId="77777777" w:rsidR="006A0B34" w:rsidRDefault="006A0B34" w:rsidP="000114E1">
      <w:pPr>
        <w:pStyle w:val="Heading1"/>
      </w:pPr>
      <w:r>
        <w:t>Executive Summary</w:t>
      </w:r>
    </w:p>
    <w:tbl>
      <w:tblPr>
        <w:tblStyle w:val="TableGrid"/>
        <w:tblW w:w="824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956"/>
        <w:gridCol w:w="3293"/>
      </w:tblGrid>
      <w:tr w:rsidR="007B26A9" w14:paraId="06CA7755" w14:textId="77777777" w:rsidTr="00792702">
        <w:tc>
          <w:tcPr>
            <w:tcW w:w="4956" w:type="dxa"/>
            <w:shd w:val="clear" w:color="auto" w:fill="FFFFFF" w:themeFill="background1"/>
          </w:tcPr>
          <w:p w14:paraId="296DE299" w14:textId="0B069AAA" w:rsidR="005707F7" w:rsidRDefault="005707F7" w:rsidP="00762D2F">
            <w:pPr>
              <w:pStyle w:val="PlainText"/>
            </w:pPr>
            <w:r w:rsidRPr="00E67315">
              <w:rPr>
                <w:noProof/>
                <w:lang w:eastAsia="en-AU"/>
              </w:rPr>
              <w:drawing>
                <wp:inline distT="0" distB="0" distL="0" distR="0" wp14:anchorId="17681A11" wp14:editId="395D1710">
                  <wp:extent cx="3016250" cy="2286000"/>
                  <wp:effectExtent l="19050" t="19050" r="31750" b="571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c>
          <w:tcPr>
            <w:tcW w:w="3293" w:type="dxa"/>
            <w:shd w:val="clear" w:color="auto" w:fill="FFFFFF" w:themeFill="background1"/>
            <w:vAlign w:val="center"/>
          </w:tcPr>
          <w:p w14:paraId="779AC026" w14:textId="10028DFA" w:rsidR="005707F7" w:rsidRPr="00792702" w:rsidRDefault="005707F7" w:rsidP="00792702">
            <w:pPr>
              <w:pStyle w:val="PlainText"/>
              <w:jc w:val="center"/>
              <w:rPr>
                <w:i/>
              </w:rPr>
            </w:pPr>
            <w:r w:rsidRPr="00792702">
              <w:rPr>
                <w:i/>
                <w:sz w:val="24"/>
                <w:szCs w:val="24"/>
              </w:rPr>
              <w:t>AARNet strongly supports the Government’s objective to “develop a roadmap for long-term research infrastructure investment”. Further, we recommend that a strategy be put in place to ensure that the Commonwealth is able to respond to commercial opportunities for investment in digital infrastructure in a timely manner</w:t>
            </w:r>
            <w:r w:rsidR="007B26A9" w:rsidRPr="00792702">
              <w:rPr>
                <w:i/>
                <w:sz w:val="24"/>
                <w:szCs w:val="24"/>
              </w:rPr>
              <w:t xml:space="preserve"> in the coming decade</w:t>
            </w:r>
            <w:r w:rsidR="007B26A9">
              <w:rPr>
                <w:i/>
              </w:rPr>
              <w:t>.</w:t>
            </w:r>
          </w:p>
        </w:tc>
      </w:tr>
    </w:tbl>
    <w:p w14:paraId="5FE0AFA4" w14:textId="7FA14902" w:rsidR="001A6D4B" w:rsidRDefault="001A6D4B" w:rsidP="00792702">
      <w:pPr>
        <w:pStyle w:val="PlainText"/>
      </w:pPr>
    </w:p>
    <w:p w14:paraId="345309EB" w14:textId="27253C7B" w:rsidR="006E597B" w:rsidRDefault="003A0A83" w:rsidP="000114E1">
      <w:pPr>
        <w:pStyle w:val="Heading1"/>
      </w:pPr>
      <w:r>
        <w:t>Digital Research Infrastructure</w:t>
      </w:r>
    </w:p>
    <w:p w14:paraId="6E25E9EF" w14:textId="3C17B0E9" w:rsidR="006C70D9" w:rsidRDefault="00640165" w:rsidP="006949BC">
      <w:pPr>
        <w:pStyle w:val="PlainText"/>
        <w:ind w:left="993"/>
      </w:pPr>
      <w:r>
        <w:t>The discipline of using digital methods for generating ideas and knowledge from data is a key enabling technology for the advanced nations of the 21</w:t>
      </w:r>
      <w:r w:rsidRPr="00640165">
        <w:rPr>
          <w:vertAlign w:val="superscript"/>
        </w:rPr>
        <w:t>st</w:t>
      </w:r>
      <w:r>
        <w:t xml:space="preserve"> century. The USA, China and Japan continue to invest </w:t>
      </w:r>
      <w:r w:rsidR="001C3E47">
        <w:t xml:space="preserve">huge </w:t>
      </w:r>
      <w:r>
        <w:t xml:space="preserve">sums on creating the necessary infrastructure to support </w:t>
      </w:r>
      <w:r>
        <w:lastRenderedPageBreak/>
        <w:t xml:space="preserve">these </w:t>
      </w:r>
      <w:r w:rsidR="00276887">
        <w:t xml:space="preserve">research </w:t>
      </w:r>
      <w:r>
        <w:t>developments because of positive return in terms of growth in the industrial and commercial sectors</w:t>
      </w:r>
      <w:r>
        <w:rPr>
          <w:rStyle w:val="FootnoteReference"/>
        </w:rPr>
        <w:footnoteReference w:id="2"/>
      </w:r>
      <w:r>
        <w:t>.</w:t>
      </w:r>
      <w:r w:rsidR="006C70D9">
        <w:t xml:space="preserve"> </w:t>
      </w:r>
    </w:p>
    <w:p w14:paraId="05D32A43" w14:textId="77777777" w:rsidR="006C70D9" w:rsidRDefault="006C70D9" w:rsidP="006949BC">
      <w:pPr>
        <w:pStyle w:val="PlainText"/>
        <w:ind w:left="993"/>
      </w:pPr>
    </w:p>
    <w:p w14:paraId="7870B2C5" w14:textId="14A740ED" w:rsidR="00710563" w:rsidRDefault="006C70D9" w:rsidP="006C70D9">
      <w:pPr>
        <w:pStyle w:val="PlainText"/>
        <w:ind w:left="993"/>
      </w:pPr>
      <w:r>
        <w:t xml:space="preserve">Such digital methods are often termed </w:t>
      </w:r>
      <w:r w:rsidR="00276887">
        <w:t>“</w:t>
      </w:r>
      <w:r>
        <w:t>eResearch</w:t>
      </w:r>
      <w:r w:rsidR="00276887">
        <w:t>”</w:t>
      </w:r>
      <w:r>
        <w:t xml:space="preserve">, and leverage a digital research infrastructure comprising very high speed networks, huge data repositories, high performance computing </w:t>
      </w:r>
      <w:r w:rsidR="009E570C">
        <w:t xml:space="preserve">(HPC) </w:t>
      </w:r>
      <w:r>
        <w:t xml:space="preserve">and advanced software tools. </w:t>
      </w:r>
      <w:r w:rsidR="00276887">
        <w:t xml:space="preserve">This </w:t>
      </w:r>
      <w:r>
        <w:t xml:space="preserve">eResearch infrastructure increases both the efficiency and effectiveness of research </w:t>
      </w:r>
      <w:r w:rsidR="00276887">
        <w:t xml:space="preserve">collaboration and scientific and commercial outcomes </w:t>
      </w:r>
      <w:r>
        <w:t>and opens up new and innovative research possibilities</w:t>
      </w:r>
      <w:r w:rsidR="00276887">
        <w:t xml:space="preserve"> </w:t>
      </w:r>
      <w:r>
        <w:t>across all disciplines including the ability to disseminate that knowledge</w:t>
      </w:r>
      <w:r w:rsidR="00276887">
        <w:t xml:space="preserve"> for competitive advantage</w:t>
      </w:r>
      <w:r>
        <w:t>. This reflects the fact that eResearch infrastructure is an integral part of modern research</w:t>
      </w:r>
      <w:r>
        <w:rPr>
          <w:rStyle w:val="FootnoteReference"/>
        </w:rPr>
        <w:footnoteReference w:id="3"/>
      </w:r>
      <w:r>
        <w:t>.</w:t>
      </w:r>
    </w:p>
    <w:p w14:paraId="25695169" w14:textId="77777777" w:rsidR="00640165" w:rsidRDefault="00640165" w:rsidP="006C70D9">
      <w:pPr>
        <w:pStyle w:val="PlainText"/>
      </w:pPr>
    </w:p>
    <w:p w14:paraId="05ADFE5D" w14:textId="4452AD32" w:rsidR="00BA2875" w:rsidRDefault="00BA2875" w:rsidP="006949BC">
      <w:pPr>
        <w:pStyle w:val="PlainText"/>
        <w:ind w:left="993"/>
      </w:pPr>
      <w:r>
        <w:t>A</w:t>
      </w:r>
      <w:r w:rsidR="003A0A83">
        <w:t xml:space="preserve">ccess to world-class infrastructure </w:t>
      </w:r>
      <w:r w:rsidR="00710563">
        <w:t xml:space="preserve">is a factor </w:t>
      </w:r>
      <w:r w:rsidR="003A0A83">
        <w:t>known to drive research excellence</w:t>
      </w:r>
      <w:r w:rsidR="003A0A83">
        <w:rPr>
          <w:rStyle w:val="FootnoteReference"/>
        </w:rPr>
        <w:footnoteReference w:id="4"/>
      </w:r>
      <w:r>
        <w:t>. I</w:t>
      </w:r>
      <w:r w:rsidR="006C70D9">
        <w:t xml:space="preserve">t is </w:t>
      </w:r>
      <w:r>
        <w:t xml:space="preserve">therefore </w:t>
      </w:r>
      <w:r w:rsidR="006C70D9">
        <w:t>critical that Australia’s eResearch i</w:t>
      </w:r>
      <w:r w:rsidR="00710563">
        <w:t xml:space="preserve">nfrastructure </w:t>
      </w:r>
      <w:r w:rsidR="006C70D9">
        <w:t>is also world class</w:t>
      </w:r>
      <w:r w:rsidR="002C0874">
        <w:t xml:space="preserve">. </w:t>
      </w:r>
      <w:r>
        <w:t xml:space="preserve">The </w:t>
      </w:r>
      <w:r w:rsidR="00E13429">
        <w:t xml:space="preserve">eResearch </w:t>
      </w:r>
      <w:r>
        <w:t xml:space="preserve">investments made by the Federal government’s </w:t>
      </w:r>
      <w:r w:rsidR="00230ED7">
        <w:t>National Collaborative Research Infrastructure Strategy (</w:t>
      </w:r>
      <w:r>
        <w:t>NCRIS</w:t>
      </w:r>
      <w:r w:rsidR="00E13429">
        <w:t>)</w:t>
      </w:r>
      <w:r>
        <w:t xml:space="preserve"> have </w:t>
      </w:r>
      <w:r w:rsidR="00276887">
        <w:t>established</w:t>
      </w:r>
      <w:r>
        <w:t xml:space="preserve"> a capability that is globally competitive, </w:t>
      </w:r>
      <w:r w:rsidR="00276887">
        <w:t xml:space="preserve">however </w:t>
      </w:r>
      <w:r w:rsidR="00AD1592">
        <w:t xml:space="preserve">future investments will be needed to maintain and enhance this infrastructure in an increasingly globalised </w:t>
      </w:r>
      <w:r w:rsidR="00276887">
        <w:t xml:space="preserve">and competitive </w:t>
      </w:r>
      <w:r w:rsidR="00AD1592">
        <w:t>research and innovation market.</w:t>
      </w:r>
    </w:p>
    <w:p w14:paraId="55243263" w14:textId="77777777" w:rsidR="005B0479" w:rsidRDefault="005B0479" w:rsidP="006949BC">
      <w:pPr>
        <w:pStyle w:val="PlainText"/>
        <w:ind w:left="993"/>
      </w:pPr>
    </w:p>
    <w:p w14:paraId="44328AC1" w14:textId="10ABB564" w:rsidR="00EE5E98" w:rsidRDefault="005B0479" w:rsidP="00EE5E98">
      <w:pPr>
        <w:pStyle w:val="PlainText"/>
        <w:ind w:left="993"/>
      </w:pPr>
      <w:r>
        <w:t>The pre-r</w:t>
      </w:r>
      <w:r w:rsidR="006A0B34">
        <w:t>equisite enabling characteristic of eResearch infrastructure is connectivity enabled by data communications networks</w:t>
      </w:r>
      <w:r w:rsidR="00276887">
        <w:t xml:space="preserve"> that can support broadband</w:t>
      </w:r>
      <w:r w:rsidR="001C3E47">
        <w:t xml:space="preserve"> (bandwidth and quality</w:t>
      </w:r>
      <w:r w:rsidR="00276887">
        <w:t xml:space="preserve">) </w:t>
      </w:r>
      <w:r w:rsidR="001C3E47">
        <w:t>services that are</w:t>
      </w:r>
      <w:r w:rsidR="00276887">
        <w:t xml:space="preserve"> not available or reasonably priced </w:t>
      </w:r>
      <w:r w:rsidR="001C3E47">
        <w:t>from</w:t>
      </w:r>
      <w:r w:rsidR="00276887">
        <w:t xml:space="preserve"> traditional commercial data communication </w:t>
      </w:r>
      <w:r w:rsidR="00C87803">
        <w:t>providers</w:t>
      </w:r>
      <w:r w:rsidR="006A0B34">
        <w:t xml:space="preserve">. </w:t>
      </w:r>
      <w:r w:rsidR="001C3E47">
        <w:t xml:space="preserve">This connectivity </w:t>
      </w:r>
      <w:r w:rsidR="006A0B34">
        <w:t xml:space="preserve">allows data to be </w:t>
      </w:r>
      <w:r w:rsidR="001C3E47">
        <w:t xml:space="preserve">ingested </w:t>
      </w:r>
      <w:r w:rsidR="006A0B34">
        <w:t>into storage</w:t>
      </w:r>
      <w:r w:rsidR="003B36EB">
        <w:t xml:space="preserve"> </w:t>
      </w:r>
      <w:r w:rsidR="001C3E47">
        <w:t xml:space="preserve">and </w:t>
      </w:r>
      <w:r w:rsidR="006A0B34">
        <w:t>for data to be transferred to computational resources where it can be processed</w:t>
      </w:r>
      <w:r w:rsidR="00C87803">
        <w:t>. I</w:t>
      </w:r>
      <w:r w:rsidR="006A0B34">
        <w:t xml:space="preserve">t allows instruments, data storage and HPC services to be accessed remotely, and it provides a means for digital collaboration to occur at every level. In every country in the world, </w:t>
      </w:r>
      <w:r w:rsidR="00E13429">
        <w:t xml:space="preserve">this </w:t>
      </w:r>
      <w:r w:rsidR="006A0B34">
        <w:t>networ</w:t>
      </w:r>
      <w:r w:rsidR="00C87803">
        <w:t>k</w:t>
      </w:r>
      <w:r w:rsidR="006A0B34">
        <w:t xml:space="preserve"> for the research sector is provided by a National Research and Education Network (NREN). In Australia, the national and international NREN operator is the Australian Academic and Research Network (AARNet).</w:t>
      </w:r>
    </w:p>
    <w:p w14:paraId="55EA2C0F" w14:textId="77777777" w:rsidR="00BA2875" w:rsidRDefault="00BA2875" w:rsidP="006949BC">
      <w:pPr>
        <w:pStyle w:val="PlainText"/>
        <w:ind w:left="993"/>
      </w:pPr>
    </w:p>
    <w:p w14:paraId="7ACDA73D" w14:textId="756FEE79" w:rsidR="00370AC8" w:rsidRDefault="00EE5E98" w:rsidP="00B1529F">
      <w:pPr>
        <w:ind w:left="993"/>
      </w:pPr>
      <w:r>
        <w:t>Note that the other factors identified in the discussion paper</w:t>
      </w:r>
      <w:r w:rsidR="00E13429">
        <w:rPr>
          <w:rStyle w:val="FootnoteReference"/>
        </w:rPr>
        <w:footnoteReference w:id="5"/>
      </w:r>
      <w:r>
        <w:t xml:space="preserve"> as contributors to research excellence, in addition to world class infrastructure, </w:t>
      </w:r>
      <w:r w:rsidR="00370AC8">
        <w:t>namely</w:t>
      </w:r>
    </w:p>
    <w:p w14:paraId="10CE6463" w14:textId="77777777" w:rsidR="00370AC8" w:rsidRDefault="00EE5E98" w:rsidP="00370AC8">
      <w:pPr>
        <w:pStyle w:val="ListParagraph"/>
        <w:numPr>
          <w:ilvl w:val="0"/>
          <w:numId w:val="21"/>
        </w:numPr>
      </w:pPr>
      <w:r>
        <w:t>a highly skilled research workforce,</w:t>
      </w:r>
    </w:p>
    <w:p w14:paraId="3A043653" w14:textId="77777777" w:rsidR="00370AC8" w:rsidRDefault="00EE5E98" w:rsidP="00370AC8">
      <w:pPr>
        <w:pStyle w:val="ListParagraph"/>
        <w:numPr>
          <w:ilvl w:val="0"/>
          <w:numId w:val="21"/>
        </w:numPr>
      </w:pPr>
      <w:r>
        <w:t xml:space="preserve">maintaining a critical mass in areas of research strength and </w:t>
      </w:r>
    </w:p>
    <w:p w14:paraId="4F7CC04D" w14:textId="71D9C90A" w:rsidR="00370AC8" w:rsidRDefault="00EE5E98" w:rsidP="00370AC8">
      <w:pPr>
        <w:pStyle w:val="ListParagraph"/>
        <w:numPr>
          <w:ilvl w:val="0"/>
          <w:numId w:val="21"/>
        </w:numPr>
      </w:pPr>
      <w:r>
        <w:t>international</w:t>
      </w:r>
      <w:r w:rsidR="00370AC8">
        <w:t xml:space="preserve"> research engagement,</w:t>
      </w:r>
    </w:p>
    <w:p w14:paraId="1299D51D" w14:textId="58754CE5" w:rsidR="00EE5E98" w:rsidRDefault="00370AC8" w:rsidP="00792702">
      <w:pPr>
        <w:ind w:left="993"/>
      </w:pPr>
      <w:r>
        <w:t xml:space="preserve">are all </w:t>
      </w:r>
      <w:r w:rsidR="00E13429">
        <w:t xml:space="preserve">also </w:t>
      </w:r>
      <w:r>
        <w:t xml:space="preserve">critically dependent on Australia’s NREN. </w:t>
      </w:r>
      <w:r w:rsidR="00EE5E98">
        <w:t>Moreover, because of Australia’s unique ge</w:t>
      </w:r>
      <w:r>
        <w:t xml:space="preserve">ographic location on the globe and our sparse distributed population, </w:t>
      </w:r>
      <w:r w:rsidR="00EE5E98">
        <w:t>digital network connectivity is more important for Australian</w:t>
      </w:r>
      <w:r w:rsidR="00E13429">
        <w:t xml:space="preserve"> researchers </w:t>
      </w:r>
      <w:r w:rsidR="00EE5E98">
        <w:t>than it is for their peers in any other nation</w:t>
      </w:r>
      <w:r w:rsidR="00276887">
        <w:t xml:space="preserve"> because today’s research is truly global</w:t>
      </w:r>
      <w:r w:rsidR="00C87803">
        <w:t>. R</w:t>
      </w:r>
      <w:r w:rsidR="00276887">
        <w:t>esearch papers are accepted and cited where multiple institution based researchers have collaborated to disseminate their work, this in turn drive</w:t>
      </w:r>
      <w:r w:rsidR="00C87803">
        <w:t>s</w:t>
      </w:r>
      <w:r w:rsidR="00276887">
        <w:t xml:space="preserve"> Australia’s ability to attract the brightest research mind around the globe to work here on important socio-economic research outcomes and for our industries to gain access to commercialisation opportunities for growth and competitive advantage</w:t>
      </w:r>
      <w:r>
        <w:t>.</w:t>
      </w:r>
      <w:r w:rsidR="002C141C">
        <w:tab/>
      </w:r>
    </w:p>
    <w:p w14:paraId="434A9E40" w14:textId="77777777" w:rsidR="000114E1" w:rsidRDefault="000114E1" w:rsidP="00792702">
      <w:pPr>
        <w:ind w:left="993"/>
      </w:pPr>
    </w:p>
    <w:p w14:paraId="469F2D45" w14:textId="6588305B" w:rsidR="00E67315" w:rsidRDefault="00025A26" w:rsidP="000114E1">
      <w:pPr>
        <w:pStyle w:val="Heading1"/>
      </w:pPr>
      <w:r>
        <w:t xml:space="preserve">Australia’s </w:t>
      </w:r>
      <w:r w:rsidR="00E67315">
        <w:t>National Research and Education Network</w:t>
      </w:r>
    </w:p>
    <w:p w14:paraId="341526E8" w14:textId="275A2AB6" w:rsidR="004A2D83" w:rsidRDefault="004A2D83" w:rsidP="009633DD">
      <w:pPr>
        <w:ind w:left="993"/>
      </w:pPr>
      <w:r>
        <w:t xml:space="preserve">Australia’s NREN, </w:t>
      </w:r>
      <w:r w:rsidR="009633DD">
        <w:t>AARNet</w:t>
      </w:r>
      <w:r>
        <w:t>,</w:t>
      </w:r>
      <w:r w:rsidR="009633DD">
        <w:t xml:space="preserve"> was established by the (then) Australian Vice-Chancellors Committee in 1989 to nationally interconnect the universities and CSIRO, and provide international connectivity via other NRENs to the global research community. In doing so, AARNet brought the Internet to Australia and pioneered the use of Internet technologies</w:t>
      </w:r>
      <w:r>
        <w:t xml:space="preserve"> and applications</w:t>
      </w:r>
      <w:r w:rsidR="009633DD">
        <w:t xml:space="preserve">. </w:t>
      </w:r>
    </w:p>
    <w:p w14:paraId="6548E7BA" w14:textId="77777777" w:rsidR="004A2D83" w:rsidRDefault="004A2D83" w:rsidP="009633DD">
      <w:pPr>
        <w:ind w:left="993"/>
      </w:pPr>
    </w:p>
    <w:p w14:paraId="7D33B796" w14:textId="2713DBB6" w:rsidR="009633DD" w:rsidRDefault="009633DD" w:rsidP="00BA32D0">
      <w:pPr>
        <w:ind w:left="993"/>
      </w:pPr>
      <w:r>
        <w:t xml:space="preserve">Today, AARNet is a </w:t>
      </w:r>
      <w:r w:rsidR="00267DCF">
        <w:t xml:space="preserve">licensed telecommunications carrier operating as a </w:t>
      </w:r>
      <w:r>
        <w:t>not-for-profit company limited by shares and owned</w:t>
      </w:r>
      <w:r w:rsidR="00267DCF">
        <w:t xml:space="preserve"> by the universities and CSIRO. AARNet provides </w:t>
      </w:r>
      <w:r w:rsidR="004A2D83">
        <w:t xml:space="preserve">telecommunications </w:t>
      </w:r>
      <w:r w:rsidR="00267DCF">
        <w:t>services</w:t>
      </w:r>
      <w:r w:rsidR="004A2D83">
        <w:t xml:space="preserve"> </w:t>
      </w:r>
      <w:r w:rsidR="004A2D83" w:rsidRPr="004A2D83">
        <w:t>that are not co</w:t>
      </w:r>
      <w:r w:rsidR="004A2D83">
        <w:t>mmercially available (t</w:t>
      </w:r>
      <w:r w:rsidR="004A2D83" w:rsidRPr="004A2D83">
        <w:t xml:space="preserve">echnically </w:t>
      </w:r>
      <w:r w:rsidR="004A2D83">
        <w:t>u</w:t>
      </w:r>
      <w:r w:rsidR="004A2D83" w:rsidRPr="004A2D83">
        <w:t>nique), or not</w:t>
      </w:r>
      <w:r w:rsidR="004A2D83">
        <w:t xml:space="preserve"> available at reasonable cost (commercially u</w:t>
      </w:r>
      <w:r w:rsidR="004A2D83" w:rsidRPr="004A2D83">
        <w:t>nique)</w:t>
      </w:r>
      <w:r w:rsidR="00267DCF">
        <w:t xml:space="preserve"> to all </w:t>
      </w:r>
      <w:r w:rsidR="004A2D83">
        <w:t xml:space="preserve">Australian </w:t>
      </w:r>
      <w:r w:rsidR="00267DCF">
        <w:t>research and education organisations</w:t>
      </w:r>
      <w:r w:rsidR="004A2D83">
        <w:t xml:space="preserve">. AARNet has over </w:t>
      </w:r>
      <w:r w:rsidR="00267DCF">
        <w:t xml:space="preserve">200 </w:t>
      </w:r>
      <w:r w:rsidR="004A2D83">
        <w:t xml:space="preserve">directly connected member and customer </w:t>
      </w:r>
      <w:r w:rsidR="00267DCF">
        <w:t>institutions</w:t>
      </w:r>
      <w:r w:rsidR="00BA32D0">
        <w:t xml:space="preserve"> and operates sustainably</w:t>
      </w:r>
      <w:r w:rsidR="003B36EB">
        <w:t>,</w:t>
      </w:r>
      <w:r w:rsidR="00BA32D0">
        <w:t xml:space="preserve"> based on a subscription consumption model. </w:t>
      </w:r>
    </w:p>
    <w:p w14:paraId="38EEA652" w14:textId="77777777" w:rsidR="004A2D83" w:rsidRDefault="004A2D83" w:rsidP="009633DD">
      <w:pPr>
        <w:ind w:left="993"/>
      </w:pPr>
    </w:p>
    <w:p w14:paraId="5B615288" w14:textId="46F63612" w:rsidR="00BA32D0" w:rsidRDefault="007B26A9" w:rsidP="007B26A9">
      <w:pPr>
        <w:ind w:left="993"/>
      </w:pPr>
      <w:r w:rsidRPr="007B26A9">
        <w:t>AARNet</w:t>
      </w:r>
      <w:r>
        <w:t>’s vision is to advance Australian excellence in research and e</w:t>
      </w:r>
      <w:r w:rsidRPr="007B26A9">
        <w:t>ducation by ensuring world leading connectivity, creating platforms for collaboration and developing unique solutions for the sector</w:t>
      </w:r>
      <w:r>
        <w:t>. This is achieved by providing</w:t>
      </w:r>
      <w:r w:rsidR="004A2D83">
        <w:t xml:space="preserve"> educational institutions with access to </w:t>
      </w:r>
      <w:r w:rsidR="00276887">
        <w:t xml:space="preserve">digital </w:t>
      </w:r>
      <w:r w:rsidR="004A2D83">
        <w:t>content, resources, and people tha</w:t>
      </w:r>
      <w:r w:rsidR="004A2D83" w:rsidRPr="00E57078">
        <w:rPr>
          <w:b/>
        </w:rPr>
        <w:t>t enable the creation and delivery of new digitally-enabled educational experiences</w:t>
      </w:r>
      <w:r w:rsidR="004A2D83">
        <w:t xml:space="preserve"> (online, flipped, blended, MOOCs</w:t>
      </w:r>
      <w:r w:rsidR="004A2D83">
        <w:rPr>
          <w:rStyle w:val="FootnoteReference"/>
        </w:rPr>
        <w:footnoteReference w:id="6"/>
      </w:r>
      <w:r w:rsidR="004A2D83">
        <w:t xml:space="preserve">). </w:t>
      </w:r>
      <w:r w:rsidR="00E13429">
        <w:t xml:space="preserve"> </w:t>
      </w:r>
      <w:r w:rsidR="00BA32D0">
        <w:t xml:space="preserve">For </w:t>
      </w:r>
      <w:r w:rsidR="00276887">
        <w:t xml:space="preserve">Australian </w:t>
      </w:r>
      <w:r w:rsidR="00BA32D0">
        <w:t xml:space="preserve">researchers, </w:t>
      </w:r>
      <w:r w:rsidR="00276887">
        <w:t xml:space="preserve">collaborating </w:t>
      </w:r>
      <w:r w:rsidR="00BA32D0">
        <w:t xml:space="preserve">in an increasingly globalised and digitally-enabled sector, </w:t>
      </w:r>
      <w:r w:rsidR="00BA32D0" w:rsidRPr="00BA32D0">
        <w:t>AARNet</w:t>
      </w:r>
      <w:r w:rsidR="00BA32D0">
        <w:t xml:space="preserve"> </w:t>
      </w:r>
      <w:r w:rsidR="00BA32D0" w:rsidRPr="00E57078">
        <w:rPr>
          <w:b/>
        </w:rPr>
        <w:t>removes barriers</w:t>
      </w:r>
      <w:r w:rsidR="00BA32D0">
        <w:t xml:space="preserve"> </w:t>
      </w:r>
      <w:r w:rsidR="00BA32D0" w:rsidRPr="00370AC8">
        <w:rPr>
          <w:b/>
        </w:rPr>
        <w:t xml:space="preserve">to </w:t>
      </w:r>
      <w:r w:rsidR="00276887">
        <w:rPr>
          <w:b/>
        </w:rPr>
        <w:t xml:space="preserve">collaboration and </w:t>
      </w:r>
      <w:r w:rsidR="00BA32D0" w:rsidRPr="00370AC8">
        <w:rPr>
          <w:b/>
        </w:rPr>
        <w:t>innovation</w:t>
      </w:r>
      <w:r w:rsidR="00BA32D0">
        <w:t xml:space="preserve">. </w:t>
      </w:r>
    </w:p>
    <w:p w14:paraId="6D41EADD" w14:textId="77777777" w:rsidR="00BA32D0" w:rsidRDefault="00BA32D0" w:rsidP="00BA32D0">
      <w:pPr>
        <w:ind w:left="993"/>
      </w:pPr>
    </w:p>
    <w:p w14:paraId="6F1C513F" w14:textId="4050A627" w:rsidR="00EE5E98" w:rsidRDefault="00BA32D0" w:rsidP="00370AC8">
      <w:pPr>
        <w:ind w:left="993"/>
      </w:pPr>
      <w:r>
        <w:t xml:space="preserve">Both </w:t>
      </w:r>
      <w:r w:rsidR="00E57078">
        <w:t xml:space="preserve">capabilities </w:t>
      </w:r>
      <w:r>
        <w:t xml:space="preserve">are </w:t>
      </w:r>
      <w:r w:rsidR="004A2D83">
        <w:t>crucial to supporting Australia’s innovati</w:t>
      </w:r>
      <w:r>
        <w:t>on system</w:t>
      </w:r>
      <w:r w:rsidR="004A2D83">
        <w:t xml:space="preserve"> </w:t>
      </w:r>
      <w:r>
        <w:t xml:space="preserve">as </w:t>
      </w:r>
      <w:r w:rsidRPr="00BA32D0">
        <w:t>Australia</w:t>
      </w:r>
      <w:r>
        <w:t>’s</w:t>
      </w:r>
      <w:r w:rsidRPr="00BA32D0">
        <w:t xml:space="preserve"> invest</w:t>
      </w:r>
      <w:r>
        <w:t>ment</w:t>
      </w:r>
      <w:r w:rsidRPr="00BA32D0">
        <w:t xml:space="preserve">s in education and research </w:t>
      </w:r>
      <w:r>
        <w:t>play a critical role in ensuring the continued prosperity of Australia on all fronts – socially, culturally and economically – for all our citizens and for our place in the world</w:t>
      </w:r>
      <w:r>
        <w:rPr>
          <w:rStyle w:val="FootnoteReference"/>
        </w:rPr>
        <w:footnoteReference w:id="7"/>
      </w:r>
      <w:r>
        <w:t>.</w:t>
      </w:r>
    </w:p>
    <w:p w14:paraId="59EA1166" w14:textId="77777777" w:rsidR="00A35D9A" w:rsidRDefault="00A35D9A" w:rsidP="00E57078">
      <w:pPr>
        <w:pStyle w:val="PlainText"/>
        <w:ind w:left="993"/>
      </w:pPr>
    </w:p>
    <w:p w14:paraId="03AA6973" w14:textId="58FC28CA" w:rsidR="00A35D9A" w:rsidRDefault="00A35D9A" w:rsidP="008F04C0">
      <w:pPr>
        <w:ind w:left="993"/>
      </w:pPr>
      <w:r>
        <w:t>Like most NREN’s, AARNet is able to provide unique services to the research and education community by having direct access to (or by owning) fibre optic links</w:t>
      </w:r>
      <w:r w:rsidR="008F04C0">
        <w:t xml:space="preserve"> and building and operating its own active infrastructure. </w:t>
      </w:r>
      <w:r>
        <w:t>This underpins the key differentiating aspects of an NREN service:</w:t>
      </w:r>
    </w:p>
    <w:p w14:paraId="0CED7BEA" w14:textId="77777777" w:rsidR="00A35D9A" w:rsidRDefault="00A35D9A" w:rsidP="00E57078">
      <w:pPr>
        <w:pStyle w:val="PlainText"/>
        <w:ind w:left="993"/>
      </w:pPr>
    </w:p>
    <w:p w14:paraId="05376753" w14:textId="39838197" w:rsidR="00EE5E98" w:rsidRDefault="00EE5E98" w:rsidP="00E57078">
      <w:pPr>
        <w:pStyle w:val="PlainText"/>
        <w:ind w:left="993"/>
      </w:pPr>
      <w:r>
        <w:t>Technically</w:t>
      </w:r>
    </w:p>
    <w:p w14:paraId="747A55EC" w14:textId="6E853996" w:rsidR="00A35D9A" w:rsidRDefault="00A35D9A" w:rsidP="00A35D9A">
      <w:pPr>
        <w:pStyle w:val="PlainText"/>
        <w:numPr>
          <w:ilvl w:val="0"/>
          <w:numId w:val="20"/>
        </w:numPr>
      </w:pPr>
      <w:r w:rsidRPr="00A35D9A">
        <w:rPr>
          <w:b/>
        </w:rPr>
        <w:t>Performance</w:t>
      </w:r>
      <w:r>
        <w:t xml:space="preserve"> </w:t>
      </w:r>
      <w:r w:rsidR="00EE5E98">
        <w:t>–</w:t>
      </w:r>
      <w:r>
        <w:t xml:space="preserve"> Extremely high bandwidth, </w:t>
      </w:r>
      <w:r w:rsidR="00276887">
        <w:t xml:space="preserve">high availability, </w:t>
      </w:r>
      <w:r>
        <w:t xml:space="preserve">very low congestion and latency, </w:t>
      </w:r>
      <w:r w:rsidR="003B36EB">
        <w:t>and</w:t>
      </w:r>
      <w:r w:rsidR="00C87803">
        <w:t xml:space="preserve"> the </w:t>
      </w:r>
      <w:r>
        <w:t xml:space="preserve">capacity to accommodate peaks of demand </w:t>
      </w:r>
    </w:p>
    <w:p w14:paraId="10F50A84" w14:textId="3D2A6548" w:rsidR="00A35D9A" w:rsidRDefault="00A35D9A" w:rsidP="00A35D9A">
      <w:pPr>
        <w:pStyle w:val="PlainText"/>
        <w:numPr>
          <w:ilvl w:val="0"/>
          <w:numId w:val="20"/>
        </w:numPr>
      </w:pPr>
      <w:r w:rsidRPr="00A35D9A">
        <w:rPr>
          <w:b/>
        </w:rPr>
        <w:t>Reach</w:t>
      </w:r>
      <w:r>
        <w:t xml:space="preserve"> – Interconnects campuses and scientific instruments in metropolitan and regional areas, with national and international connectivity to peer institutions via other National Research and Education Networks (NRENs)</w:t>
      </w:r>
    </w:p>
    <w:p w14:paraId="29E8FF57" w14:textId="25568457" w:rsidR="00A35D9A" w:rsidRDefault="00A35D9A" w:rsidP="00A35D9A">
      <w:pPr>
        <w:pStyle w:val="PlainText"/>
        <w:numPr>
          <w:ilvl w:val="0"/>
          <w:numId w:val="20"/>
        </w:numPr>
      </w:pPr>
      <w:r w:rsidRPr="00A35D9A">
        <w:rPr>
          <w:b/>
        </w:rPr>
        <w:t>Scalability</w:t>
      </w:r>
      <w:r>
        <w:t xml:space="preserve"> </w:t>
      </w:r>
      <w:r w:rsidR="00EE5E98">
        <w:t>–</w:t>
      </w:r>
      <w:r w:rsidR="00290A1E">
        <w:t xml:space="preserve"> </w:t>
      </w:r>
      <w:r>
        <w:t>Network services can be upgraded by upgrading active network equipment</w:t>
      </w:r>
    </w:p>
    <w:p w14:paraId="0809F338" w14:textId="77777777" w:rsidR="00EE5E98" w:rsidRDefault="00EE5E98" w:rsidP="00E13429">
      <w:pPr>
        <w:pStyle w:val="PlainText"/>
      </w:pPr>
    </w:p>
    <w:p w14:paraId="050F5EAB" w14:textId="1A014977" w:rsidR="00EE5E98" w:rsidRDefault="00EE5E98" w:rsidP="00EE5E98">
      <w:pPr>
        <w:pStyle w:val="PlainText"/>
        <w:ind w:left="993"/>
      </w:pPr>
      <w:r>
        <w:t>Commercially</w:t>
      </w:r>
    </w:p>
    <w:p w14:paraId="1F0FA2D0" w14:textId="499525DF" w:rsidR="00EE5E98" w:rsidRDefault="00EE5E98" w:rsidP="00EE5E98">
      <w:pPr>
        <w:pStyle w:val="PlainText"/>
        <w:numPr>
          <w:ilvl w:val="0"/>
          <w:numId w:val="20"/>
        </w:numPr>
      </w:pPr>
      <w:r>
        <w:t xml:space="preserve">Operational costs, incremental expansions and capability enhancements covered by </w:t>
      </w:r>
      <w:r w:rsidRPr="00EE5E98">
        <w:rPr>
          <w:b/>
        </w:rPr>
        <w:t>annual member and customer subscriptions</w:t>
      </w:r>
      <w:r>
        <w:t xml:space="preserve"> and charges</w:t>
      </w:r>
    </w:p>
    <w:p w14:paraId="6D092C04" w14:textId="7D727276" w:rsidR="00EE5E98" w:rsidRPr="00EE5E98" w:rsidRDefault="00EE5E98" w:rsidP="00EE5E98">
      <w:pPr>
        <w:pStyle w:val="PlainText"/>
        <w:numPr>
          <w:ilvl w:val="0"/>
          <w:numId w:val="20"/>
        </w:numPr>
      </w:pPr>
      <w:r w:rsidRPr="00EE5E98">
        <w:t xml:space="preserve">Membership </w:t>
      </w:r>
      <w:r w:rsidRPr="00EE5E98">
        <w:rPr>
          <w:b/>
        </w:rPr>
        <w:t>subscription</w:t>
      </w:r>
      <w:r w:rsidR="00370AC8">
        <w:rPr>
          <w:b/>
        </w:rPr>
        <w:t>s</w:t>
      </w:r>
      <w:r w:rsidRPr="00EE5E98">
        <w:rPr>
          <w:b/>
        </w:rPr>
        <w:t xml:space="preserve"> based on organisation size</w:t>
      </w:r>
    </w:p>
    <w:p w14:paraId="13EA839A" w14:textId="1F5C5087" w:rsidR="00EE5E98" w:rsidRDefault="00EE5E98" w:rsidP="00EE5E98">
      <w:pPr>
        <w:pStyle w:val="PlainText"/>
        <w:numPr>
          <w:ilvl w:val="0"/>
          <w:numId w:val="20"/>
        </w:numPr>
      </w:pPr>
      <w:r>
        <w:lastRenderedPageBreak/>
        <w:t xml:space="preserve">Operates as a </w:t>
      </w:r>
      <w:r w:rsidRPr="00EE5E98">
        <w:rPr>
          <w:b/>
        </w:rPr>
        <w:t>Not</w:t>
      </w:r>
      <w:r w:rsidR="003B36EB">
        <w:rPr>
          <w:b/>
        </w:rPr>
        <w:t>-</w:t>
      </w:r>
      <w:r w:rsidRPr="00EE5E98">
        <w:rPr>
          <w:b/>
        </w:rPr>
        <w:t>for</w:t>
      </w:r>
      <w:r w:rsidR="003B36EB">
        <w:rPr>
          <w:b/>
        </w:rPr>
        <w:t>-</w:t>
      </w:r>
      <w:r w:rsidRPr="00EE5E98">
        <w:rPr>
          <w:b/>
        </w:rPr>
        <w:t>Profit</w:t>
      </w:r>
      <w:r>
        <w:t xml:space="preserve"> company with</w:t>
      </w:r>
      <w:r w:rsidR="00370AC8">
        <w:t xml:space="preserve"> an</w:t>
      </w:r>
      <w:r>
        <w:t xml:space="preserve"> Education and Research mission</w:t>
      </w:r>
    </w:p>
    <w:p w14:paraId="589C93D2" w14:textId="2E3C85D9" w:rsidR="00EE5E98" w:rsidRDefault="00EE5E98" w:rsidP="00EE5E98">
      <w:pPr>
        <w:pStyle w:val="PlainText"/>
        <w:numPr>
          <w:ilvl w:val="0"/>
          <w:numId w:val="20"/>
        </w:numPr>
      </w:pPr>
      <w:r>
        <w:t>Some Commonwealth investments are required at irregular intervals</w:t>
      </w:r>
      <w:r w:rsidR="00C87803">
        <w:t xml:space="preserve"> </w:t>
      </w:r>
    </w:p>
    <w:p w14:paraId="3D13F5A7" w14:textId="08B51DD4" w:rsidR="00A35D9A" w:rsidRDefault="00A35D9A" w:rsidP="00EE5E98">
      <w:pPr>
        <w:pStyle w:val="PlainText"/>
      </w:pPr>
    </w:p>
    <w:p w14:paraId="61EC0864" w14:textId="5219A677" w:rsidR="009633DD" w:rsidRDefault="00A35D9A" w:rsidP="000114E1">
      <w:pPr>
        <w:pStyle w:val="Heading1"/>
      </w:pPr>
      <w:r>
        <w:t>Long Term Investment Strategy</w:t>
      </w:r>
    </w:p>
    <w:p w14:paraId="19C4B08F" w14:textId="5F30A349" w:rsidR="00D66DF5" w:rsidRDefault="009633DD" w:rsidP="009633DD">
      <w:pPr>
        <w:ind w:left="993"/>
      </w:pPr>
      <w:r>
        <w:t xml:space="preserve">In 2003 as part of the Backing Australia’s Ability initiative (via NCRIS and its predecessors and successors) the Australian Government assisted AARNet, along with significant investment of its own funds, to acquire </w:t>
      </w:r>
      <w:r w:rsidR="00D66DF5">
        <w:t xml:space="preserve">long-term </w:t>
      </w:r>
      <w:r>
        <w:t xml:space="preserve">access to </w:t>
      </w:r>
      <w:r w:rsidR="00267DCF">
        <w:t>the “dark fibre” of an existing national commercial</w:t>
      </w:r>
      <w:r>
        <w:t xml:space="preserve"> network</w:t>
      </w:r>
      <w:r w:rsidR="00A35D9A">
        <w:rPr>
          <w:rStyle w:val="FootnoteReference"/>
        </w:rPr>
        <w:footnoteReference w:id="8"/>
      </w:r>
      <w:r w:rsidR="00267DCF">
        <w:t xml:space="preserve">. </w:t>
      </w:r>
      <w:r>
        <w:t xml:space="preserve"> </w:t>
      </w:r>
      <w:r w:rsidR="00370AC8">
        <w:t xml:space="preserve">In the same year, an arrangement was </w:t>
      </w:r>
      <w:r w:rsidR="00D66DF5">
        <w:t>concluded, again with</w:t>
      </w:r>
      <w:r w:rsidR="00D66DF5" w:rsidRPr="00D66DF5">
        <w:t xml:space="preserve"> </w:t>
      </w:r>
      <w:r w:rsidR="00D66DF5">
        <w:t xml:space="preserve">Australian Government support, </w:t>
      </w:r>
      <w:r w:rsidR="00370AC8">
        <w:t>to secure</w:t>
      </w:r>
      <w:r>
        <w:t xml:space="preserve"> </w:t>
      </w:r>
      <w:r w:rsidR="00370AC8">
        <w:t xml:space="preserve">international capacity </w:t>
      </w:r>
      <w:r w:rsidR="00C87803">
        <w:t xml:space="preserve">to the United States </w:t>
      </w:r>
      <w:r w:rsidR="00370AC8">
        <w:t>on a long-term basis</w:t>
      </w:r>
      <w:r w:rsidR="00D66DF5">
        <w:t xml:space="preserve"> with a commercial operator</w:t>
      </w:r>
      <w:r>
        <w:t xml:space="preserve">. </w:t>
      </w:r>
    </w:p>
    <w:p w14:paraId="4C032F06" w14:textId="77777777" w:rsidR="00D66DF5" w:rsidRDefault="00D66DF5" w:rsidP="009633DD">
      <w:pPr>
        <w:ind w:left="993"/>
      </w:pPr>
    </w:p>
    <w:p w14:paraId="1E9A5AEF" w14:textId="338A20B0" w:rsidR="00D66DF5" w:rsidRDefault="00D66DF5" w:rsidP="009633DD">
      <w:pPr>
        <w:ind w:left="993"/>
      </w:pPr>
      <w:r>
        <w:t>These were</w:t>
      </w:r>
      <w:r w:rsidR="009633DD">
        <w:t xml:space="preserve"> </w:t>
      </w:r>
      <w:r>
        <w:t xml:space="preserve">incredibly </w:t>
      </w:r>
      <w:r w:rsidR="009633DD">
        <w:t xml:space="preserve">valuable </w:t>
      </w:r>
      <w:r>
        <w:t xml:space="preserve">and timely investments in Australia’s digital research infrastructure and have enabled </w:t>
      </w:r>
      <w:r w:rsidR="009633DD">
        <w:t xml:space="preserve">AARNet to develop successive generations of new networking capability to meet the extreme demands of the Australian research sector. </w:t>
      </w:r>
    </w:p>
    <w:p w14:paraId="52C448B8" w14:textId="77777777" w:rsidR="00D66DF5" w:rsidRDefault="00D66DF5" w:rsidP="009633DD">
      <w:pPr>
        <w:ind w:left="993"/>
      </w:pPr>
    </w:p>
    <w:p w14:paraId="312FD4F8" w14:textId="169CBF5F" w:rsidR="00D66DF5" w:rsidRDefault="008F04C0" w:rsidP="009633DD">
      <w:pPr>
        <w:ind w:left="993"/>
      </w:pPr>
      <w:r>
        <w:t>However, b</w:t>
      </w:r>
      <w:r w:rsidR="00D66DF5">
        <w:t>oth arrangements have finite lifetimes</w:t>
      </w:r>
      <w:r w:rsidR="00E13429">
        <w:t>, which will come to end in the next decade.</w:t>
      </w:r>
      <w:r w:rsidR="00C87803">
        <w:t xml:space="preserve"> In addition, many of Australia’s future research partnerships are with Asian partners, and investment in network capacity into Asia will be required.</w:t>
      </w:r>
    </w:p>
    <w:p w14:paraId="000DADF6" w14:textId="77777777" w:rsidR="00D66DF5" w:rsidRDefault="00D66DF5" w:rsidP="009633DD">
      <w:pPr>
        <w:ind w:left="993"/>
      </w:pPr>
    </w:p>
    <w:p w14:paraId="506162D4" w14:textId="19BD3272" w:rsidR="008F04C0" w:rsidRDefault="009633DD" w:rsidP="009633DD">
      <w:pPr>
        <w:ind w:left="993"/>
      </w:pPr>
      <w:r>
        <w:t xml:space="preserve">The Australian Government also contributed to the development of </w:t>
      </w:r>
      <w:r w:rsidR="003B36EB">
        <w:t>State-</w:t>
      </w:r>
      <w:r>
        <w:t xml:space="preserve">based infrastructure in Victoria (creating VERNet) and in South Australia (creating SABRENet). Together with AARNet these networks are known as the </w:t>
      </w:r>
      <w:r w:rsidR="00D66DF5">
        <w:t xml:space="preserve">Australia </w:t>
      </w:r>
      <w:r>
        <w:t>R</w:t>
      </w:r>
      <w:r w:rsidR="00D66DF5">
        <w:t xml:space="preserve">esearch and </w:t>
      </w:r>
      <w:r>
        <w:t>E</w:t>
      </w:r>
      <w:r w:rsidR="00D66DF5">
        <w:t xml:space="preserve">ducation </w:t>
      </w:r>
      <w:r>
        <w:t>N</w:t>
      </w:r>
      <w:r w:rsidR="00D66DF5">
        <w:t>etwork (AREN)</w:t>
      </w:r>
      <w:r>
        <w:t xml:space="preserve"> and AARNet is the designated “operator” of the </w:t>
      </w:r>
      <w:r w:rsidR="00D66DF5">
        <w:t xml:space="preserve">national and international </w:t>
      </w:r>
      <w:r>
        <w:t xml:space="preserve">AREN. </w:t>
      </w:r>
    </w:p>
    <w:p w14:paraId="38F4C340" w14:textId="77777777" w:rsidR="008F04C0" w:rsidRDefault="008F04C0" w:rsidP="009633DD">
      <w:pPr>
        <w:ind w:left="993"/>
      </w:pPr>
    </w:p>
    <w:p w14:paraId="370ACCB4" w14:textId="0A44F8AA" w:rsidR="009633DD" w:rsidRDefault="00D66DF5" w:rsidP="009633DD">
      <w:pPr>
        <w:ind w:left="993"/>
      </w:pPr>
      <w:r>
        <w:t>Significantly, the business case for the AREN was articulated by the Commonwealth</w:t>
      </w:r>
      <w:r w:rsidR="008F04C0">
        <w:t xml:space="preserve"> as part of a long</w:t>
      </w:r>
      <w:r w:rsidR="003B36EB">
        <w:t>-</w:t>
      </w:r>
      <w:r w:rsidR="008F04C0">
        <w:t>term strategy for future investments to build out Australia’s NREN in 2002</w:t>
      </w:r>
      <w:r>
        <w:rPr>
          <w:rStyle w:val="FootnoteReference"/>
        </w:rPr>
        <w:footnoteReference w:id="9"/>
      </w:r>
      <w:r w:rsidR="008F04C0">
        <w:t xml:space="preserve">. This laid the policy groundwork to enable the early AREN investments to be made quickly and opportunistically, based on the commercial availability of infrastructure at extremely attractive prices. The return on this investment </w:t>
      </w:r>
      <w:r w:rsidR="00230ED7">
        <w:t>has</w:t>
      </w:r>
      <w:r w:rsidR="008F04C0">
        <w:t xml:space="preserve"> been immeasurable</w:t>
      </w:r>
      <w:r w:rsidR="00230ED7">
        <w:t xml:space="preserve">. </w:t>
      </w:r>
    </w:p>
    <w:p w14:paraId="66824EF3" w14:textId="77777777" w:rsidR="008F04C0" w:rsidRDefault="008F04C0" w:rsidP="009633DD">
      <w:pPr>
        <w:ind w:left="993"/>
      </w:pPr>
    </w:p>
    <w:p w14:paraId="3DAEB77F" w14:textId="77777777" w:rsidR="00230ED7" w:rsidRDefault="008F04C0" w:rsidP="009633DD">
      <w:pPr>
        <w:ind w:left="993"/>
      </w:pPr>
      <w:r>
        <w:t>AARNet strongly supports the Government’s objective to “develop a roadmap for long-term research infrastructure investment</w:t>
      </w:r>
      <w:r w:rsidR="00230ED7">
        <w:rPr>
          <w:rStyle w:val="FootnoteReference"/>
        </w:rPr>
        <w:footnoteReference w:id="10"/>
      </w:r>
      <w:r>
        <w:t>”</w:t>
      </w:r>
      <w:r w:rsidR="00230ED7">
        <w:t xml:space="preserve">. Further, we recommend that a strategy be put in place to ensure that the Commonwealth is able to respond to commercial opportunities for investment in digital infrastructure in a timely manner, particularly to support the AREN.  </w:t>
      </w:r>
    </w:p>
    <w:p w14:paraId="274FFF28" w14:textId="77777777" w:rsidR="00230ED7" w:rsidRDefault="00230ED7" w:rsidP="009633DD">
      <w:pPr>
        <w:ind w:left="993"/>
      </w:pPr>
    </w:p>
    <w:p w14:paraId="3BD1BF4E" w14:textId="24936F79" w:rsidR="00B1529F" w:rsidRDefault="00230ED7" w:rsidP="009633DD">
      <w:pPr>
        <w:ind w:left="993"/>
        <w:rPr>
          <w:b/>
        </w:rPr>
      </w:pPr>
      <w:r w:rsidRPr="00792702">
        <w:rPr>
          <w:b/>
        </w:rPr>
        <w:t>Australia’s NREN is a national asset and a critical factor in supporting research excellence, which in turn will boost the commercial returns from research.</w:t>
      </w:r>
    </w:p>
    <w:p w14:paraId="105381C5" w14:textId="77777777" w:rsidR="00B1529F" w:rsidRPr="00792702" w:rsidRDefault="00B1529F" w:rsidP="009633DD">
      <w:pPr>
        <w:ind w:left="993"/>
        <w:rPr>
          <w:b/>
        </w:rPr>
      </w:pPr>
    </w:p>
    <w:p w14:paraId="11EA4DD7" w14:textId="77777777" w:rsidR="00025A26" w:rsidRDefault="00025A26" w:rsidP="000114E1"/>
    <w:sectPr w:rsidR="00025A26" w:rsidSect="006949BC">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9C55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6D8C9" w14:textId="77777777" w:rsidR="0032409E" w:rsidRDefault="0032409E" w:rsidP="0073306D">
      <w:r>
        <w:separator/>
      </w:r>
    </w:p>
  </w:endnote>
  <w:endnote w:type="continuationSeparator" w:id="0">
    <w:p w14:paraId="134D1409" w14:textId="77777777" w:rsidR="0032409E" w:rsidRDefault="0032409E" w:rsidP="0073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12DFB" w14:textId="77777777" w:rsidR="00276887" w:rsidRDefault="00276887" w:rsidP="00A55C51">
    <w:pPr>
      <w:pStyle w:val="Footer"/>
      <w:jc w:val="center"/>
      <w:rPr>
        <w:lang w:val="en-US"/>
      </w:rPr>
    </w:pPr>
    <w:r>
      <w:rPr>
        <w:lang w:val="en-US"/>
      </w:rPr>
      <w:t xml:space="preserve">- page </w:t>
    </w:r>
    <w:r>
      <w:rPr>
        <w:lang w:val="en-US"/>
      </w:rPr>
      <w:fldChar w:fldCharType="begin"/>
    </w:r>
    <w:r>
      <w:rPr>
        <w:lang w:val="en-US"/>
      </w:rPr>
      <w:instrText xml:space="preserve"> PAGE   \* MERGEFORMAT </w:instrText>
    </w:r>
    <w:r>
      <w:rPr>
        <w:lang w:val="en-US"/>
      </w:rPr>
      <w:fldChar w:fldCharType="separate"/>
    </w:r>
    <w:r w:rsidR="003D152B">
      <w:rPr>
        <w:noProof/>
        <w:lang w:val="en-US"/>
      </w:rPr>
      <w:t>4</w:t>
    </w:r>
    <w:r>
      <w:rPr>
        <w:lang w:val="en-US"/>
      </w:rPr>
      <w:fldChar w:fldCharType="end"/>
    </w:r>
    <w:r>
      <w:rPr>
        <w:lang w:val="en-US"/>
      </w:rPr>
      <w:t xml:space="preserve"> -</w:t>
    </w:r>
  </w:p>
  <w:p w14:paraId="1DCD11E0" w14:textId="18553104" w:rsidR="00276887" w:rsidRDefault="00276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F9B4" w14:textId="7080AB8E" w:rsidR="00276887" w:rsidRDefault="00276887">
    <w:pPr>
      <w:pStyle w:val="Footer"/>
    </w:pPr>
    <w:r>
      <w:rPr>
        <w:noProof/>
        <w:lang w:eastAsia="en-AU"/>
      </w:rPr>
      <w:drawing>
        <wp:inline distT="0" distB="0" distL="0" distR="0" wp14:anchorId="134247C5" wp14:editId="0DDE1A1E">
          <wp:extent cx="5731510" cy="283538"/>
          <wp:effectExtent l="0" t="0" r="2540" b="2540"/>
          <wp:docPr id="2" name="Picture 1" descr="AARN40616_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N40616_letterhead_Footer"/>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5731510" cy="283538"/>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2DE5E" w14:textId="77777777" w:rsidR="0032409E" w:rsidRDefault="0032409E" w:rsidP="0073306D">
      <w:r>
        <w:separator/>
      </w:r>
    </w:p>
  </w:footnote>
  <w:footnote w:type="continuationSeparator" w:id="0">
    <w:p w14:paraId="60CA1693" w14:textId="77777777" w:rsidR="0032409E" w:rsidRDefault="0032409E" w:rsidP="0073306D">
      <w:r>
        <w:continuationSeparator/>
      </w:r>
    </w:p>
  </w:footnote>
  <w:footnote w:id="1">
    <w:p w14:paraId="283F1464" w14:textId="7FD96F74" w:rsidR="00276887" w:rsidRDefault="00276887" w:rsidP="003A0A83">
      <w:pPr>
        <w:pStyle w:val="FootnoteText"/>
      </w:pPr>
      <w:r>
        <w:rPr>
          <w:rStyle w:val="FootnoteReference"/>
        </w:rPr>
        <w:footnoteRef/>
      </w:r>
      <w:r>
        <w:t xml:space="preserve"> Boosting the commercial returns from research, Department of Education, Department of Industry, 2014</w:t>
      </w:r>
    </w:p>
  </w:footnote>
  <w:footnote w:id="2">
    <w:p w14:paraId="58ED8ED6" w14:textId="6DD47385" w:rsidR="00276887" w:rsidRDefault="00276887">
      <w:pPr>
        <w:pStyle w:val="FootnoteText"/>
      </w:pPr>
      <w:r>
        <w:rPr>
          <w:rStyle w:val="FootnoteReference"/>
        </w:rPr>
        <w:footnoteRef/>
      </w:r>
      <w:r>
        <w:t xml:space="preserve"> A Strategic Vision for UK e-Infrastructure, 2011</w:t>
      </w:r>
    </w:p>
  </w:footnote>
  <w:footnote w:id="3">
    <w:p w14:paraId="27F8DBF9" w14:textId="24386DC6" w:rsidR="00276887" w:rsidRDefault="00276887">
      <w:pPr>
        <w:pStyle w:val="FootnoteText"/>
      </w:pPr>
      <w:r>
        <w:rPr>
          <w:rStyle w:val="FootnoteReference"/>
        </w:rPr>
        <w:footnoteRef/>
      </w:r>
      <w:r>
        <w:t xml:space="preserve"> N</w:t>
      </w:r>
      <w:r w:rsidRPr="006C70D9">
        <w:t>ational</w:t>
      </w:r>
      <w:r>
        <w:t xml:space="preserve"> C</w:t>
      </w:r>
      <w:r w:rsidRPr="006C70D9">
        <w:t>ollaborative</w:t>
      </w:r>
      <w:r>
        <w:t xml:space="preserve"> R</w:t>
      </w:r>
      <w:r w:rsidRPr="006C70D9">
        <w:t>esearch</w:t>
      </w:r>
      <w:r>
        <w:t xml:space="preserve"> I</w:t>
      </w:r>
      <w:r w:rsidRPr="006C70D9">
        <w:t>nfrastructure</w:t>
      </w:r>
      <w:r>
        <w:t xml:space="preserve"> S</w:t>
      </w:r>
      <w:r w:rsidRPr="006C70D9">
        <w:t>trategic</w:t>
      </w:r>
      <w:r>
        <w:t xml:space="preserve"> Roadmap </w:t>
      </w:r>
      <w:r w:rsidRPr="006C70D9">
        <w:t>2011</w:t>
      </w:r>
      <w:r>
        <w:t>, Department of Innovation, Industry,  Science, Research</w:t>
      </w:r>
    </w:p>
  </w:footnote>
  <w:footnote w:id="4">
    <w:p w14:paraId="7AAF0D8E" w14:textId="4D9815D5" w:rsidR="00276887" w:rsidRDefault="00276887" w:rsidP="003A0A83">
      <w:pPr>
        <w:pStyle w:val="FootnoteText"/>
      </w:pPr>
      <w:r>
        <w:rPr>
          <w:rStyle w:val="FootnoteReference"/>
        </w:rPr>
        <w:footnoteRef/>
      </w:r>
      <w:r>
        <w:t xml:space="preserve"> </w:t>
      </w:r>
      <w:r w:rsidRPr="003A0A83">
        <w:t xml:space="preserve">2012 </w:t>
      </w:r>
      <w:r>
        <w:t>National Research Investment Plan, Department of Industry, Innovation, Science, Research and Tertiary</w:t>
      </w:r>
    </w:p>
    <w:p w14:paraId="4AFBA846" w14:textId="5E8A6997" w:rsidR="00276887" w:rsidRDefault="00276887" w:rsidP="003A0A83">
      <w:pPr>
        <w:pStyle w:val="FootnoteText"/>
      </w:pPr>
      <w:r>
        <w:t>Education, 2012</w:t>
      </w:r>
    </w:p>
  </w:footnote>
  <w:footnote w:id="5">
    <w:p w14:paraId="4561262C" w14:textId="4DECC320" w:rsidR="00276887" w:rsidRDefault="00276887">
      <w:pPr>
        <w:pStyle w:val="FootnoteText"/>
      </w:pPr>
      <w:r>
        <w:rPr>
          <w:rStyle w:val="FootnoteReference"/>
        </w:rPr>
        <w:footnoteRef/>
      </w:r>
      <w:r>
        <w:t xml:space="preserve"> Boosting the commercial returns from research, Department of Education, Department of Industry, 2014</w:t>
      </w:r>
    </w:p>
  </w:footnote>
  <w:footnote w:id="6">
    <w:p w14:paraId="73970616" w14:textId="7304DFD3" w:rsidR="00276887" w:rsidRDefault="00276887">
      <w:pPr>
        <w:pStyle w:val="FootnoteText"/>
      </w:pPr>
      <w:r>
        <w:rPr>
          <w:rStyle w:val="FootnoteReference"/>
        </w:rPr>
        <w:footnoteRef/>
      </w:r>
      <w:r>
        <w:t xml:space="preserve"> Massive Open Online Course (MOOC)</w:t>
      </w:r>
    </w:p>
  </w:footnote>
  <w:footnote w:id="7">
    <w:p w14:paraId="1377E573" w14:textId="73D22C4B" w:rsidR="00276887" w:rsidRDefault="00276887" w:rsidP="00BA32D0">
      <w:pPr>
        <w:pStyle w:val="FootnoteText"/>
      </w:pPr>
      <w:r>
        <w:rPr>
          <w:rStyle w:val="FootnoteReference"/>
        </w:rPr>
        <w:footnoteRef/>
      </w:r>
      <w:r>
        <w:t xml:space="preserve"> Science, Technology, Engineering and Mathematics in the National Interest: A Strategic Approach, Office of the Chief Scientist, 2013</w:t>
      </w:r>
    </w:p>
  </w:footnote>
  <w:footnote w:id="8">
    <w:p w14:paraId="118F96D6" w14:textId="241522F0" w:rsidR="00276887" w:rsidRDefault="00276887">
      <w:pPr>
        <w:pStyle w:val="FootnoteText"/>
      </w:pPr>
      <w:r>
        <w:rPr>
          <w:rStyle w:val="FootnoteReference"/>
        </w:rPr>
        <w:footnoteRef/>
      </w:r>
      <w:r>
        <w:t xml:space="preserve"> </w:t>
      </w:r>
      <w:hyperlink r:id="rId1" w:history="1">
        <w:r w:rsidRPr="00F71F44">
          <w:rPr>
            <w:rStyle w:val="Hyperlink"/>
          </w:rPr>
          <w:t>http://www.computerworld.com.au/mediareleases/5008/aarnet-acquires-nextgen-capacity-for-national-rese/</w:t>
        </w:r>
      </w:hyperlink>
      <w:r>
        <w:t xml:space="preserve"> </w:t>
      </w:r>
    </w:p>
  </w:footnote>
  <w:footnote w:id="9">
    <w:p w14:paraId="3E4E50E5" w14:textId="072E8469" w:rsidR="00276887" w:rsidRDefault="00276887">
      <w:pPr>
        <w:pStyle w:val="FootnoteText"/>
      </w:pPr>
      <w:r>
        <w:rPr>
          <w:rStyle w:val="FootnoteReference"/>
        </w:rPr>
        <w:footnoteRef/>
      </w:r>
      <w:r>
        <w:t xml:space="preserve"> </w:t>
      </w:r>
      <w:r w:rsidRPr="00D66DF5">
        <w:t>A Framework for an Australian Research and Education Network</w:t>
      </w:r>
      <w:r>
        <w:t>, Department of Science, Education and Training, 2002</w:t>
      </w:r>
    </w:p>
  </w:footnote>
  <w:footnote w:id="10">
    <w:p w14:paraId="1386930D" w14:textId="329E64A5" w:rsidR="00276887" w:rsidRDefault="00276887">
      <w:pPr>
        <w:pStyle w:val="FootnoteText"/>
      </w:pPr>
      <w:r>
        <w:rPr>
          <w:rStyle w:val="FootnoteReference"/>
        </w:rPr>
        <w:footnoteRef/>
      </w:r>
      <w:r>
        <w:t xml:space="preserve"> Boosting the commercial returns from research, Department of Education, Department of Industry,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4E764" w14:textId="2950E464" w:rsidR="00276887" w:rsidRDefault="00276887">
    <w:pPr>
      <w:pStyle w:val="Header"/>
    </w:pPr>
    <w:r>
      <w:rPr>
        <w:noProof/>
        <w:lang w:eastAsia="en-AU"/>
      </w:rPr>
      <w:drawing>
        <wp:anchor distT="0" distB="0" distL="114300" distR="114300" simplePos="0" relativeHeight="251661312" behindDoc="0" locked="0" layoutInCell="1" allowOverlap="1" wp14:anchorId="1F56A2D4" wp14:editId="7B23CC0A">
          <wp:simplePos x="0" y="0"/>
          <wp:positionH relativeFrom="column">
            <wp:posOffset>-495300</wp:posOffset>
          </wp:positionH>
          <wp:positionV relativeFrom="paragraph">
            <wp:posOffset>-305435</wp:posOffset>
          </wp:positionV>
          <wp:extent cx="6814820" cy="1152525"/>
          <wp:effectExtent l="0" t="0" r="5080" b="9525"/>
          <wp:wrapSquare wrapText="bothSides"/>
          <wp:docPr id="1" name="Picture 3" title="Letterhead of Australia's academic and research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3.png"/>
                  <pic:cNvPicPr/>
                </pic:nvPicPr>
                <pic:blipFill>
                  <a:blip r:embed="rId1" cstate="print">
                    <a:extLst>
                      <a:ext uri="{28A0092B-C50C-407E-A947-70E740481C1C}">
                        <a14:useLocalDpi xmlns:a14="http://schemas.microsoft.com/office/drawing/2010/main"/>
                      </a:ext>
                    </a:extLst>
                  </a:blip>
                  <a:stretch>
                    <a:fillRect/>
                  </a:stretch>
                </pic:blipFill>
                <pic:spPr>
                  <a:xfrm>
                    <a:off x="0" y="0"/>
                    <a:ext cx="6814820" cy="1152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869"/>
    <w:multiLevelType w:val="hybridMultilevel"/>
    <w:tmpl w:val="B9BE24F4"/>
    <w:lvl w:ilvl="0" w:tplc="820442E2">
      <w:start w:val="1"/>
      <w:numFmt w:val="bullet"/>
      <w:lvlText w:val="-"/>
      <w:lvlJc w:val="left"/>
      <w:pPr>
        <w:ind w:left="1800" w:hanging="360"/>
      </w:pPr>
      <w:rPr>
        <w:rFonts w:ascii="Calibri" w:eastAsiaTheme="minorHAnsi" w:hAnsi="Calibri" w:cstheme="minorBidi"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nsid w:val="03EB073A"/>
    <w:multiLevelType w:val="hybridMultilevel"/>
    <w:tmpl w:val="C8F4EEAC"/>
    <w:lvl w:ilvl="0" w:tplc="0C090011">
      <w:start w:val="1"/>
      <w:numFmt w:val="decimal"/>
      <w:lvlText w:val="%1)"/>
      <w:lvlJc w:val="left"/>
      <w:pPr>
        <w:ind w:left="5322" w:hanging="360"/>
      </w:pPr>
      <w:rPr>
        <w:rFonts w:hint="default"/>
      </w:rPr>
    </w:lvl>
    <w:lvl w:ilvl="1" w:tplc="0C090003" w:tentative="1">
      <w:start w:val="1"/>
      <w:numFmt w:val="bullet"/>
      <w:lvlText w:val="o"/>
      <w:lvlJc w:val="left"/>
      <w:pPr>
        <w:ind w:left="6042" w:hanging="360"/>
      </w:pPr>
      <w:rPr>
        <w:rFonts w:ascii="Courier New" w:hAnsi="Courier New" w:cs="Courier New" w:hint="default"/>
      </w:rPr>
    </w:lvl>
    <w:lvl w:ilvl="2" w:tplc="0C090005" w:tentative="1">
      <w:start w:val="1"/>
      <w:numFmt w:val="bullet"/>
      <w:lvlText w:val=""/>
      <w:lvlJc w:val="left"/>
      <w:pPr>
        <w:ind w:left="6762" w:hanging="360"/>
      </w:pPr>
      <w:rPr>
        <w:rFonts w:ascii="Wingdings" w:hAnsi="Wingdings" w:hint="default"/>
      </w:rPr>
    </w:lvl>
    <w:lvl w:ilvl="3" w:tplc="0C090001" w:tentative="1">
      <w:start w:val="1"/>
      <w:numFmt w:val="bullet"/>
      <w:lvlText w:val=""/>
      <w:lvlJc w:val="left"/>
      <w:pPr>
        <w:ind w:left="7482" w:hanging="360"/>
      </w:pPr>
      <w:rPr>
        <w:rFonts w:ascii="Symbol" w:hAnsi="Symbol" w:hint="default"/>
      </w:rPr>
    </w:lvl>
    <w:lvl w:ilvl="4" w:tplc="0C090003" w:tentative="1">
      <w:start w:val="1"/>
      <w:numFmt w:val="bullet"/>
      <w:lvlText w:val="o"/>
      <w:lvlJc w:val="left"/>
      <w:pPr>
        <w:ind w:left="8202" w:hanging="360"/>
      </w:pPr>
      <w:rPr>
        <w:rFonts w:ascii="Courier New" w:hAnsi="Courier New" w:cs="Courier New" w:hint="default"/>
      </w:rPr>
    </w:lvl>
    <w:lvl w:ilvl="5" w:tplc="0C090005" w:tentative="1">
      <w:start w:val="1"/>
      <w:numFmt w:val="bullet"/>
      <w:lvlText w:val=""/>
      <w:lvlJc w:val="left"/>
      <w:pPr>
        <w:ind w:left="8922" w:hanging="360"/>
      </w:pPr>
      <w:rPr>
        <w:rFonts w:ascii="Wingdings" w:hAnsi="Wingdings" w:hint="default"/>
      </w:rPr>
    </w:lvl>
    <w:lvl w:ilvl="6" w:tplc="0C090001" w:tentative="1">
      <w:start w:val="1"/>
      <w:numFmt w:val="bullet"/>
      <w:lvlText w:val=""/>
      <w:lvlJc w:val="left"/>
      <w:pPr>
        <w:ind w:left="9642" w:hanging="360"/>
      </w:pPr>
      <w:rPr>
        <w:rFonts w:ascii="Symbol" w:hAnsi="Symbol" w:hint="default"/>
      </w:rPr>
    </w:lvl>
    <w:lvl w:ilvl="7" w:tplc="0C090003" w:tentative="1">
      <w:start w:val="1"/>
      <w:numFmt w:val="bullet"/>
      <w:lvlText w:val="o"/>
      <w:lvlJc w:val="left"/>
      <w:pPr>
        <w:ind w:left="10362" w:hanging="360"/>
      </w:pPr>
      <w:rPr>
        <w:rFonts w:ascii="Courier New" w:hAnsi="Courier New" w:cs="Courier New" w:hint="default"/>
      </w:rPr>
    </w:lvl>
    <w:lvl w:ilvl="8" w:tplc="0C090005" w:tentative="1">
      <w:start w:val="1"/>
      <w:numFmt w:val="bullet"/>
      <w:lvlText w:val=""/>
      <w:lvlJc w:val="left"/>
      <w:pPr>
        <w:ind w:left="11082" w:hanging="360"/>
      </w:pPr>
      <w:rPr>
        <w:rFonts w:ascii="Wingdings" w:hAnsi="Wingdings" w:hint="default"/>
      </w:rPr>
    </w:lvl>
  </w:abstractNum>
  <w:abstractNum w:abstractNumId="2">
    <w:nsid w:val="056E75D0"/>
    <w:multiLevelType w:val="hybridMultilevel"/>
    <w:tmpl w:val="6DFA67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FA5F01"/>
    <w:multiLevelType w:val="hybridMultilevel"/>
    <w:tmpl w:val="F36E5E08"/>
    <w:lvl w:ilvl="0" w:tplc="B43AA950">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nsid w:val="0D8F6C6C"/>
    <w:multiLevelType w:val="hybridMultilevel"/>
    <w:tmpl w:val="6722E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976706"/>
    <w:multiLevelType w:val="hybridMultilevel"/>
    <w:tmpl w:val="9C748198"/>
    <w:lvl w:ilvl="0" w:tplc="EEF272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D7378E"/>
    <w:multiLevelType w:val="hybridMultilevel"/>
    <w:tmpl w:val="01B86B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497100"/>
    <w:multiLevelType w:val="hybridMultilevel"/>
    <w:tmpl w:val="CA62B3FC"/>
    <w:lvl w:ilvl="0" w:tplc="EEF272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0D75F7"/>
    <w:multiLevelType w:val="hybridMultilevel"/>
    <w:tmpl w:val="62C497A6"/>
    <w:lvl w:ilvl="0" w:tplc="32123EB0">
      <w:numFmt w:val="bullet"/>
      <w:lvlText w:val="-"/>
      <w:lvlJc w:val="left"/>
      <w:pPr>
        <w:ind w:left="6456"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9D165E2"/>
    <w:multiLevelType w:val="hybridMultilevel"/>
    <w:tmpl w:val="55587C62"/>
    <w:lvl w:ilvl="0" w:tplc="2AAA083C">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335570F3"/>
    <w:multiLevelType w:val="hybridMultilevel"/>
    <w:tmpl w:val="87949D48"/>
    <w:lvl w:ilvl="0" w:tplc="39AA9D0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39180D39"/>
    <w:multiLevelType w:val="hybridMultilevel"/>
    <w:tmpl w:val="8970F928"/>
    <w:lvl w:ilvl="0" w:tplc="39FCEA66">
      <w:start w:val="1"/>
      <w:numFmt w:val="lowerLetter"/>
      <w:lvlText w:val="%1)"/>
      <w:lvlJc w:val="left"/>
      <w:pPr>
        <w:ind w:left="1353" w:hanging="360"/>
      </w:pPr>
      <w:rPr>
        <w:rFonts w:hint="default"/>
        <w:b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39287B7C"/>
    <w:multiLevelType w:val="hybridMultilevel"/>
    <w:tmpl w:val="10F604D4"/>
    <w:lvl w:ilvl="0" w:tplc="B43AA950">
      <w:start w:val="1"/>
      <w:numFmt w:val="decimal"/>
      <w:lvlText w:val="%1."/>
      <w:lvlJc w:val="left"/>
      <w:pPr>
        <w:ind w:left="2346"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3">
    <w:nsid w:val="409E2116"/>
    <w:multiLevelType w:val="hybridMultilevel"/>
    <w:tmpl w:val="97425444"/>
    <w:lvl w:ilvl="0" w:tplc="117AEE7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464577CA"/>
    <w:multiLevelType w:val="hybridMultilevel"/>
    <w:tmpl w:val="45120EBC"/>
    <w:lvl w:ilvl="0" w:tplc="820442E2">
      <w:start w:val="1"/>
      <w:numFmt w:val="bullet"/>
      <w:lvlText w:val="-"/>
      <w:lvlJc w:val="left"/>
      <w:pPr>
        <w:ind w:left="1803" w:hanging="360"/>
      </w:pPr>
      <w:rPr>
        <w:rFonts w:ascii="Calibri" w:eastAsiaTheme="minorHAnsi" w:hAnsi="Calibri" w:cstheme="minorBidi" w:hint="default"/>
      </w:rPr>
    </w:lvl>
    <w:lvl w:ilvl="1" w:tplc="0C090003" w:tentative="1">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abstractNum w:abstractNumId="15">
    <w:nsid w:val="5817427A"/>
    <w:multiLevelType w:val="hybridMultilevel"/>
    <w:tmpl w:val="34BC6F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E1F19EF"/>
    <w:multiLevelType w:val="hybridMultilevel"/>
    <w:tmpl w:val="D70A3746"/>
    <w:lvl w:ilvl="0" w:tplc="27A2E070">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641C4723"/>
    <w:multiLevelType w:val="hybridMultilevel"/>
    <w:tmpl w:val="8BA22B2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8">
    <w:nsid w:val="772507F5"/>
    <w:multiLevelType w:val="hybridMultilevel"/>
    <w:tmpl w:val="F2C87F54"/>
    <w:lvl w:ilvl="0" w:tplc="32123EB0">
      <w:numFmt w:val="bullet"/>
      <w:lvlText w:val="-"/>
      <w:lvlJc w:val="left"/>
      <w:pPr>
        <w:ind w:left="360" w:hanging="360"/>
      </w:pPr>
      <w:rPr>
        <w:rFonts w:ascii="Calibri" w:eastAsia="Calibri"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nsid w:val="77751C7B"/>
    <w:multiLevelType w:val="hybridMultilevel"/>
    <w:tmpl w:val="B54257AC"/>
    <w:lvl w:ilvl="0" w:tplc="EEF272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F705262"/>
    <w:multiLevelType w:val="hybridMultilevel"/>
    <w:tmpl w:val="80281EE8"/>
    <w:lvl w:ilvl="0" w:tplc="EEF2721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4"/>
  </w:num>
  <w:num w:numId="4">
    <w:abstractNumId w:val="6"/>
  </w:num>
  <w:num w:numId="5">
    <w:abstractNumId w:val="1"/>
  </w:num>
  <w:num w:numId="6">
    <w:abstractNumId w:val="5"/>
  </w:num>
  <w:num w:numId="7">
    <w:abstractNumId w:val="7"/>
  </w:num>
  <w:num w:numId="8">
    <w:abstractNumId w:val="20"/>
  </w:num>
  <w:num w:numId="9">
    <w:abstractNumId w:val="19"/>
  </w:num>
  <w:num w:numId="10">
    <w:abstractNumId w:val="15"/>
  </w:num>
  <w:num w:numId="11">
    <w:abstractNumId w:val="2"/>
  </w:num>
  <w:num w:numId="12">
    <w:abstractNumId w:val="10"/>
  </w:num>
  <w:num w:numId="13">
    <w:abstractNumId w:val="9"/>
  </w:num>
  <w:num w:numId="14">
    <w:abstractNumId w:val="13"/>
  </w:num>
  <w:num w:numId="15">
    <w:abstractNumId w:val="11"/>
  </w:num>
  <w:num w:numId="16">
    <w:abstractNumId w:val="16"/>
  </w:num>
  <w:num w:numId="17">
    <w:abstractNumId w:val="3"/>
  </w:num>
  <w:num w:numId="18">
    <w:abstractNumId w:val="12"/>
  </w:num>
  <w:num w:numId="19">
    <w:abstractNumId w:val="17"/>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7B"/>
    <w:rsid w:val="000114E1"/>
    <w:rsid w:val="00021014"/>
    <w:rsid w:val="00024FB2"/>
    <w:rsid w:val="00025A26"/>
    <w:rsid w:val="00067CDB"/>
    <w:rsid w:val="00081B57"/>
    <w:rsid w:val="00092629"/>
    <w:rsid w:val="000C778D"/>
    <w:rsid w:val="000D6F37"/>
    <w:rsid w:val="000E1E7F"/>
    <w:rsid w:val="000E3C1C"/>
    <w:rsid w:val="000F6C82"/>
    <w:rsid w:val="0011548F"/>
    <w:rsid w:val="00116438"/>
    <w:rsid w:val="0016369E"/>
    <w:rsid w:val="001721D7"/>
    <w:rsid w:val="001A5B12"/>
    <w:rsid w:val="001A6D4B"/>
    <w:rsid w:val="001B0312"/>
    <w:rsid w:val="001B14C9"/>
    <w:rsid w:val="001B608A"/>
    <w:rsid w:val="001C3E47"/>
    <w:rsid w:val="001C75A4"/>
    <w:rsid w:val="002208CE"/>
    <w:rsid w:val="00230ED7"/>
    <w:rsid w:val="00267DCF"/>
    <w:rsid w:val="00276887"/>
    <w:rsid w:val="00286DB6"/>
    <w:rsid w:val="00290A1E"/>
    <w:rsid w:val="002B702A"/>
    <w:rsid w:val="002C0874"/>
    <w:rsid w:val="002C093D"/>
    <w:rsid w:val="002C141C"/>
    <w:rsid w:val="002C586A"/>
    <w:rsid w:val="003126D3"/>
    <w:rsid w:val="003234EC"/>
    <w:rsid w:val="0032409E"/>
    <w:rsid w:val="00370AC8"/>
    <w:rsid w:val="003900CA"/>
    <w:rsid w:val="003A0A83"/>
    <w:rsid w:val="003B1480"/>
    <w:rsid w:val="003B36EB"/>
    <w:rsid w:val="003D152B"/>
    <w:rsid w:val="003D1942"/>
    <w:rsid w:val="003E79D8"/>
    <w:rsid w:val="004076AB"/>
    <w:rsid w:val="00411CB9"/>
    <w:rsid w:val="004131E5"/>
    <w:rsid w:val="0042308D"/>
    <w:rsid w:val="004832CB"/>
    <w:rsid w:val="004A2D83"/>
    <w:rsid w:val="004B7F69"/>
    <w:rsid w:val="005033A5"/>
    <w:rsid w:val="005324B9"/>
    <w:rsid w:val="00553409"/>
    <w:rsid w:val="00560B31"/>
    <w:rsid w:val="005707F7"/>
    <w:rsid w:val="00581B7D"/>
    <w:rsid w:val="005A3A71"/>
    <w:rsid w:val="005B0479"/>
    <w:rsid w:val="005E583F"/>
    <w:rsid w:val="00630621"/>
    <w:rsid w:val="00640165"/>
    <w:rsid w:val="00645AAE"/>
    <w:rsid w:val="00667452"/>
    <w:rsid w:val="00676EB8"/>
    <w:rsid w:val="00677126"/>
    <w:rsid w:val="006863C4"/>
    <w:rsid w:val="006949BC"/>
    <w:rsid w:val="006A0B34"/>
    <w:rsid w:val="006B1334"/>
    <w:rsid w:val="006B7709"/>
    <w:rsid w:val="006C70D9"/>
    <w:rsid w:val="006E597B"/>
    <w:rsid w:val="00703EBF"/>
    <w:rsid w:val="00710563"/>
    <w:rsid w:val="007315F9"/>
    <w:rsid w:val="00732B37"/>
    <w:rsid w:val="0073306D"/>
    <w:rsid w:val="007378FF"/>
    <w:rsid w:val="00762D2F"/>
    <w:rsid w:val="00792702"/>
    <w:rsid w:val="007B26A9"/>
    <w:rsid w:val="007C1F34"/>
    <w:rsid w:val="007F46BA"/>
    <w:rsid w:val="00805B80"/>
    <w:rsid w:val="0084094F"/>
    <w:rsid w:val="0084608F"/>
    <w:rsid w:val="00854E97"/>
    <w:rsid w:val="00871899"/>
    <w:rsid w:val="00881D53"/>
    <w:rsid w:val="00895552"/>
    <w:rsid w:val="008B3D20"/>
    <w:rsid w:val="008C2C7A"/>
    <w:rsid w:val="008D6F62"/>
    <w:rsid w:val="008D70F6"/>
    <w:rsid w:val="008F04C0"/>
    <w:rsid w:val="008F688C"/>
    <w:rsid w:val="0091140B"/>
    <w:rsid w:val="009309A3"/>
    <w:rsid w:val="00940E0C"/>
    <w:rsid w:val="009633DD"/>
    <w:rsid w:val="009B7B8D"/>
    <w:rsid w:val="009E570C"/>
    <w:rsid w:val="009F7C1B"/>
    <w:rsid w:val="00A10DCD"/>
    <w:rsid w:val="00A175A4"/>
    <w:rsid w:val="00A35D9A"/>
    <w:rsid w:val="00A55C51"/>
    <w:rsid w:val="00A74B8B"/>
    <w:rsid w:val="00AB1EBA"/>
    <w:rsid w:val="00AB2FFF"/>
    <w:rsid w:val="00AC6178"/>
    <w:rsid w:val="00AD1592"/>
    <w:rsid w:val="00AD58F7"/>
    <w:rsid w:val="00AF1BCB"/>
    <w:rsid w:val="00B1529F"/>
    <w:rsid w:val="00B5586D"/>
    <w:rsid w:val="00B57E89"/>
    <w:rsid w:val="00B74125"/>
    <w:rsid w:val="00B93536"/>
    <w:rsid w:val="00BA0A11"/>
    <w:rsid w:val="00BA2875"/>
    <w:rsid w:val="00BA32D0"/>
    <w:rsid w:val="00C13D47"/>
    <w:rsid w:val="00C25E53"/>
    <w:rsid w:val="00C41ABD"/>
    <w:rsid w:val="00C45055"/>
    <w:rsid w:val="00C74B44"/>
    <w:rsid w:val="00C87803"/>
    <w:rsid w:val="00CA6381"/>
    <w:rsid w:val="00CD5BA0"/>
    <w:rsid w:val="00D66DF5"/>
    <w:rsid w:val="00DC3F52"/>
    <w:rsid w:val="00E13429"/>
    <w:rsid w:val="00E5037B"/>
    <w:rsid w:val="00E57078"/>
    <w:rsid w:val="00E67315"/>
    <w:rsid w:val="00E842D2"/>
    <w:rsid w:val="00E87C11"/>
    <w:rsid w:val="00E93A89"/>
    <w:rsid w:val="00EB58C4"/>
    <w:rsid w:val="00EC3C64"/>
    <w:rsid w:val="00EE5E98"/>
    <w:rsid w:val="00F94B45"/>
    <w:rsid w:val="00FC359B"/>
    <w:rsid w:val="00FC6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97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7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A5B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5B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148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7B"/>
    <w:pPr>
      <w:ind w:left="720"/>
    </w:pPr>
  </w:style>
  <w:style w:type="character" w:styleId="Hyperlink">
    <w:name w:val="Hyperlink"/>
    <w:basedOn w:val="DefaultParagraphFont"/>
    <w:uiPriority w:val="99"/>
    <w:unhideWhenUsed/>
    <w:rsid w:val="005324B9"/>
    <w:rPr>
      <w:color w:val="0563C1" w:themeColor="hyperlink"/>
      <w:u w:val="single"/>
    </w:rPr>
  </w:style>
  <w:style w:type="paragraph" w:styleId="PlainText">
    <w:name w:val="Plain Text"/>
    <w:basedOn w:val="Normal"/>
    <w:link w:val="PlainTextChar"/>
    <w:uiPriority w:val="99"/>
    <w:unhideWhenUsed/>
    <w:rsid w:val="005324B9"/>
    <w:rPr>
      <w:rFonts w:cstheme="minorBidi"/>
      <w:szCs w:val="21"/>
    </w:rPr>
  </w:style>
  <w:style w:type="character" w:customStyle="1" w:styleId="PlainTextChar">
    <w:name w:val="Plain Text Char"/>
    <w:basedOn w:val="DefaultParagraphFont"/>
    <w:link w:val="PlainText"/>
    <w:uiPriority w:val="99"/>
    <w:rsid w:val="005324B9"/>
    <w:rPr>
      <w:rFonts w:ascii="Calibri" w:hAnsi="Calibri"/>
      <w:szCs w:val="21"/>
    </w:rPr>
  </w:style>
  <w:style w:type="character" w:customStyle="1" w:styleId="Heading1Char">
    <w:name w:val="Heading 1 Char"/>
    <w:basedOn w:val="DefaultParagraphFont"/>
    <w:link w:val="Heading1"/>
    <w:uiPriority w:val="9"/>
    <w:rsid w:val="001A5B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5B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B1480"/>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73306D"/>
    <w:rPr>
      <w:sz w:val="20"/>
      <w:szCs w:val="20"/>
    </w:rPr>
  </w:style>
  <w:style w:type="character" w:customStyle="1" w:styleId="EndnoteTextChar">
    <w:name w:val="Endnote Text Char"/>
    <w:basedOn w:val="DefaultParagraphFont"/>
    <w:link w:val="EndnoteText"/>
    <w:uiPriority w:val="99"/>
    <w:semiHidden/>
    <w:rsid w:val="0073306D"/>
    <w:rPr>
      <w:rFonts w:ascii="Calibri" w:hAnsi="Calibri" w:cs="Times New Roman"/>
      <w:sz w:val="20"/>
      <w:szCs w:val="20"/>
    </w:rPr>
  </w:style>
  <w:style w:type="character" w:styleId="EndnoteReference">
    <w:name w:val="endnote reference"/>
    <w:basedOn w:val="DefaultParagraphFont"/>
    <w:uiPriority w:val="99"/>
    <w:semiHidden/>
    <w:unhideWhenUsed/>
    <w:rsid w:val="0073306D"/>
    <w:rPr>
      <w:vertAlign w:val="superscript"/>
    </w:rPr>
  </w:style>
  <w:style w:type="paragraph" w:styleId="FootnoteText">
    <w:name w:val="footnote text"/>
    <w:basedOn w:val="Normal"/>
    <w:link w:val="FootnoteTextChar"/>
    <w:uiPriority w:val="99"/>
    <w:semiHidden/>
    <w:unhideWhenUsed/>
    <w:rsid w:val="0073306D"/>
    <w:rPr>
      <w:sz w:val="20"/>
      <w:szCs w:val="20"/>
    </w:rPr>
  </w:style>
  <w:style w:type="character" w:customStyle="1" w:styleId="FootnoteTextChar">
    <w:name w:val="Footnote Text Char"/>
    <w:basedOn w:val="DefaultParagraphFont"/>
    <w:link w:val="FootnoteText"/>
    <w:uiPriority w:val="99"/>
    <w:semiHidden/>
    <w:rsid w:val="0073306D"/>
    <w:rPr>
      <w:rFonts w:ascii="Calibri" w:hAnsi="Calibri" w:cs="Times New Roman"/>
      <w:sz w:val="20"/>
      <w:szCs w:val="20"/>
    </w:rPr>
  </w:style>
  <w:style w:type="character" w:styleId="FootnoteReference">
    <w:name w:val="footnote reference"/>
    <w:basedOn w:val="DefaultParagraphFont"/>
    <w:uiPriority w:val="99"/>
    <w:semiHidden/>
    <w:unhideWhenUsed/>
    <w:rsid w:val="0073306D"/>
    <w:rPr>
      <w:vertAlign w:val="superscript"/>
    </w:rPr>
  </w:style>
  <w:style w:type="table" w:styleId="TableGrid">
    <w:name w:val="Table Grid"/>
    <w:basedOn w:val="TableNormal"/>
    <w:uiPriority w:val="39"/>
    <w:rsid w:val="0088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B31"/>
    <w:rPr>
      <w:sz w:val="16"/>
      <w:szCs w:val="16"/>
    </w:rPr>
  </w:style>
  <w:style w:type="paragraph" w:styleId="CommentText">
    <w:name w:val="annotation text"/>
    <w:basedOn w:val="Normal"/>
    <w:link w:val="CommentTextChar"/>
    <w:uiPriority w:val="99"/>
    <w:semiHidden/>
    <w:unhideWhenUsed/>
    <w:rsid w:val="00560B31"/>
    <w:rPr>
      <w:sz w:val="20"/>
      <w:szCs w:val="20"/>
    </w:rPr>
  </w:style>
  <w:style w:type="character" w:customStyle="1" w:styleId="CommentTextChar">
    <w:name w:val="Comment Text Char"/>
    <w:basedOn w:val="DefaultParagraphFont"/>
    <w:link w:val="CommentText"/>
    <w:uiPriority w:val="99"/>
    <w:semiHidden/>
    <w:rsid w:val="00560B3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0B31"/>
    <w:rPr>
      <w:b/>
      <w:bCs/>
    </w:rPr>
  </w:style>
  <w:style w:type="character" w:customStyle="1" w:styleId="CommentSubjectChar">
    <w:name w:val="Comment Subject Char"/>
    <w:basedOn w:val="CommentTextChar"/>
    <w:link w:val="CommentSubject"/>
    <w:uiPriority w:val="99"/>
    <w:semiHidden/>
    <w:rsid w:val="00560B31"/>
    <w:rPr>
      <w:rFonts w:ascii="Calibri" w:hAnsi="Calibri" w:cs="Times New Roman"/>
      <w:b/>
      <w:bCs/>
      <w:sz w:val="20"/>
      <w:szCs w:val="20"/>
    </w:rPr>
  </w:style>
  <w:style w:type="paragraph" w:styleId="BalloonText">
    <w:name w:val="Balloon Text"/>
    <w:basedOn w:val="Normal"/>
    <w:link w:val="BalloonTextChar"/>
    <w:uiPriority w:val="99"/>
    <w:semiHidden/>
    <w:unhideWhenUsed/>
    <w:rsid w:val="00560B31"/>
    <w:rPr>
      <w:rFonts w:ascii="Tahoma" w:hAnsi="Tahoma" w:cs="Tahoma"/>
      <w:sz w:val="16"/>
      <w:szCs w:val="16"/>
    </w:rPr>
  </w:style>
  <w:style w:type="character" w:customStyle="1" w:styleId="BalloonTextChar">
    <w:name w:val="Balloon Text Char"/>
    <w:basedOn w:val="DefaultParagraphFont"/>
    <w:link w:val="BalloonText"/>
    <w:uiPriority w:val="99"/>
    <w:semiHidden/>
    <w:rsid w:val="00560B31"/>
    <w:rPr>
      <w:rFonts w:ascii="Tahoma" w:hAnsi="Tahoma" w:cs="Tahoma"/>
      <w:sz w:val="16"/>
      <w:szCs w:val="16"/>
    </w:rPr>
  </w:style>
  <w:style w:type="paragraph" w:styleId="Header">
    <w:name w:val="header"/>
    <w:basedOn w:val="Normal"/>
    <w:link w:val="HeaderChar"/>
    <w:uiPriority w:val="99"/>
    <w:unhideWhenUsed/>
    <w:rsid w:val="00A55C51"/>
    <w:pPr>
      <w:tabs>
        <w:tab w:val="center" w:pos="4513"/>
        <w:tab w:val="right" w:pos="9026"/>
      </w:tabs>
    </w:pPr>
  </w:style>
  <w:style w:type="character" w:customStyle="1" w:styleId="HeaderChar">
    <w:name w:val="Header Char"/>
    <w:basedOn w:val="DefaultParagraphFont"/>
    <w:link w:val="Header"/>
    <w:uiPriority w:val="99"/>
    <w:rsid w:val="00A55C51"/>
    <w:rPr>
      <w:rFonts w:ascii="Calibri" w:hAnsi="Calibri" w:cs="Times New Roman"/>
    </w:rPr>
  </w:style>
  <w:style w:type="paragraph" w:styleId="Footer">
    <w:name w:val="footer"/>
    <w:basedOn w:val="Normal"/>
    <w:link w:val="FooterChar"/>
    <w:uiPriority w:val="99"/>
    <w:unhideWhenUsed/>
    <w:rsid w:val="00A55C51"/>
    <w:pPr>
      <w:tabs>
        <w:tab w:val="center" w:pos="4513"/>
        <w:tab w:val="right" w:pos="9026"/>
      </w:tabs>
    </w:pPr>
  </w:style>
  <w:style w:type="character" w:customStyle="1" w:styleId="FooterChar">
    <w:name w:val="Footer Char"/>
    <w:basedOn w:val="DefaultParagraphFont"/>
    <w:link w:val="Footer"/>
    <w:uiPriority w:val="99"/>
    <w:rsid w:val="00A55C51"/>
    <w:rPr>
      <w:rFonts w:ascii="Calibri" w:hAnsi="Calibri" w:cs="Times New Roman"/>
    </w:rPr>
  </w:style>
  <w:style w:type="paragraph" w:styleId="Title">
    <w:name w:val="Title"/>
    <w:basedOn w:val="Normal"/>
    <w:next w:val="Normal"/>
    <w:link w:val="TitleChar"/>
    <w:uiPriority w:val="10"/>
    <w:qFormat/>
    <w:rsid w:val="00A55C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C51"/>
    <w:rPr>
      <w:rFonts w:asciiTheme="majorHAnsi" w:eastAsiaTheme="majorEastAsia" w:hAnsiTheme="majorHAnsi" w:cstheme="majorBidi"/>
      <w:spacing w:val="-10"/>
      <w:kern w:val="28"/>
      <w:sz w:val="56"/>
      <w:szCs w:val="56"/>
    </w:rPr>
  </w:style>
  <w:style w:type="paragraph" w:styleId="Revision">
    <w:name w:val="Revision"/>
    <w:hidden/>
    <w:uiPriority w:val="99"/>
    <w:semiHidden/>
    <w:rsid w:val="00667452"/>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7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A5B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5B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148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7B"/>
    <w:pPr>
      <w:ind w:left="720"/>
    </w:pPr>
  </w:style>
  <w:style w:type="character" w:styleId="Hyperlink">
    <w:name w:val="Hyperlink"/>
    <w:basedOn w:val="DefaultParagraphFont"/>
    <w:uiPriority w:val="99"/>
    <w:unhideWhenUsed/>
    <w:rsid w:val="005324B9"/>
    <w:rPr>
      <w:color w:val="0563C1" w:themeColor="hyperlink"/>
      <w:u w:val="single"/>
    </w:rPr>
  </w:style>
  <w:style w:type="paragraph" w:styleId="PlainText">
    <w:name w:val="Plain Text"/>
    <w:basedOn w:val="Normal"/>
    <w:link w:val="PlainTextChar"/>
    <w:uiPriority w:val="99"/>
    <w:unhideWhenUsed/>
    <w:rsid w:val="005324B9"/>
    <w:rPr>
      <w:rFonts w:cstheme="minorBidi"/>
      <w:szCs w:val="21"/>
    </w:rPr>
  </w:style>
  <w:style w:type="character" w:customStyle="1" w:styleId="PlainTextChar">
    <w:name w:val="Plain Text Char"/>
    <w:basedOn w:val="DefaultParagraphFont"/>
    <w:link w:val="PlainText"/>
    <w:uiPriority w:val="99"/>
    <w:rsid w:val="005324B9"/>
    <w:rPr>
      <w:rFonts w:ascii="Calibri" w:hAnsi="Calibri"/>
      <w:szCs w:val="21"/>
    </w:rPr>
  </w:style>
  <w:style w:type="character" w:customStyle="1" w:styleId="Heading1Char">
    <w:name w:val="Heading 1 Char"/>
    <w:basedOn w:val="DefaultParagraphFont"/>
    <w:link w:val="Heading1"/>
    <w:uiPriority w:val="9"/>
    <w:rsid w:val="001A5B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5B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B1480"/>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73306D"/>
    <w:rPr>
      <w:sz w:val="20"/>
      <w:szCs w:val="20"/>
    </w:rPr>
  </w:style>
  <w:style w:type="character" w:customStyle="1" w:styleId="EndnoteTextChar">
    <w:name w:val="Endnote Text Char"/>
    <w:basedOn w:val="DefaultParagraphFont"/>
    <w:link w:val="EndnoteText"/>
    <w:uiPriority w:val="99"/>
    <w:semiHidden/>
    <w:rsid w:val="0073306D"/>
    <w:rPr>
      <w:rFonts w:ascii="Calibri" w:hAnsi="Calibri" w:cs="Times New Roman"/>
      <w:sz w:val="20"/>
      <w:szCs w:val="20"/>
    </w:rPr>
  </w:style>
  <w:style w:type="character" w:styleId="EndnoteReference">
    <w:name w:val="endnote reference"/>
    <w:basedOn w:val="DefaultParagraphFont"/>
    <w:uiPriority w:val="99"/>
    <w:semiHidden/>
    <w:unhideWhenUsed/>
    <w:rsid w:val="0073306D"/>
    <w:rPr>
      <w:vertAlign w:val="superscript"/>
    </w:rPr>
  </w:style>
  <w:style w:type="paragraph" w:styleId="FootnoteText">
    <w:name w:val="footnote text"/>
    <w:basedOn w:val="Normal"/>
    <w:link w:val="FootnoteTextChar"/>
    <w:uiPriority w:val="99"/>
    <w:semiHidden/>
    <w:unhideWhenUsed/>
    <w:rsid w:val="0073306D"/>
    <w:rPr>
      <w:sz w:val="20"/>
      <w:szCs w:val="20"/>
    </w:rPr>
  </w:style>
  <w:style w:type="character" w:customStyle="1" w:styleId="FootnoteTextChar">
    <w:name w:val="Footnote Text Char"/>
    <w:basedOn w:val="DefaultParagraphFont"/>
    <w:link w:val="FootnoteText"/>
    <w:uiPriority w:val="99"/>
    <w:semiHidden/>
    <w:rsid w:val="0073306D"/>
    <w:rPr>
      <w:rFonts w:ascii="Calibri" w:hAnsi="Calibri" w:cs="Times New Roman"/>
      <w:sz w:val="20"/>
      <w:szCs w:val="20"/>
    </w:rPr>
  </w:style>
  <w:style w:type="character" w:styleId="FootnoteReference">
    <w:name w:val="footnote reference"/>
    <w:basedOn w:val="DefaultParagraphFont"/>
    <w:uiPriority w:val="99"/>
    <w:semiHidden/>
    <w:unhideWhenUsed/>
    <w:rsid w:val="0073306D"/>
    <w:rPr>
      <w:vertAlign w:val="superscript"/>
    </w:rPr>
  </w:style>
  <w:style w:type="table" w:styleId="TableGrid">
    <w:name w:val="Table Grid"/>
    <w:basedOn w:val="TableNormal"/>
    <w:uiPriority w:val="39"/>
    <w:rsid w:val="0088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B31"/>
    <w:rPr>
      <w:sz w:val="16"/>
      <w:szCs w:val="16"/>
    </w:rPr>
  </w:style>
  <w:style w:type="paragraph" w:styleId="CommentText">
    <w:name w:val="annotation text"/>
    <w:basedOn w:val="Normal"/>
    <w:link w:val="CommentTextChar"/>
    <w:uiPriority w:val="99"/>
    <w:semiHidden/>
    <w:unhideWhenUsed/>
    <w:rsid w:val="00560B31"/>
    <w:rPr>
      <w:sz w:val="20"/>
      <w:szCs w:val="20"/>
    </w:rPr>
  </w:style>
  <w:style w:type="character" w:customStyle="1" w:styleId="CommentTextChar">
    <w:name w:val="Comment Text Char"/>
    <w:basedOn w:val="DefaultParagraphFont"/>
    <w:link w:val="CommentText"/>
    <w:uiPriority w:val="99"/>
    <w:semiHidden/>
    <w:rsid w:val="00560B3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0B31"/>
    <w:rPr>
      <w:b/>
      <w:bCs/>
    </w:rPr>
  </w:style>
  <w:style w:type="character" w:customStyle="1" w:styleId="CommentSubjectChar">
    <w:name w:val="Comment Subject Char"/>
    <w:basedOn w:val="CommentTextChar"/>
    <w:link w:val="CommentSubject"/>
    <w:uiPriority w:val="99"/>
    <w:semiHidden/>
    <w:rsid w:val="00560B31"/>
    <w:rPr>
      <w:rFonts w:ascii="Calibri" w:hAnsi="Calibri" w:cs="Times New Roman"/>
      <w:b/>
      <w:bCs/>
      <w:sz w:val="20"/>
      <w:szCs w:val="20"/>
    </w:rPr>
  </w:style>
  <w:style w:type="paragraph" w:styleId="BalloonText">
    <w:name w:val="Balloon Text"/>
    <w:basedOn w:val="Normal"/>
    <w:link w:val="BalloonTextChar"/>
    <w:uiPriority w:val="99"/>
    <w:semiHidden/>
    <w:unhideWhenUsed/>
    <w:rsid w:val="00560B31"/>
    <w:rPr>
      <w:rFonts w:ascii="Tahoma" w:hAnsi="Tahoma" w:cs="Tahoma"/>
      <w:sz w:val="16"/>
      <w:szCs w:val="16"/>
    </w:rPr>
  </w:style>
  <w:style w:type="character" w:customStyle="1" w:styleId="BalloonTextChar">
    <w:name w:val="Balloon Text Char"/>
    <w:basedOn w:val="DefaultParagraphFont"/>
    <w:link w:val="BalloonText"/>
    <w:uiPriority w:val="99"/>
    <w:semiHidden/>
    <w:rsid w:val="00560B31"/>
    <w:rPr>
      <w:rFonts w:ascii="Tahoma" w:hAnsi="Tahoma" w:cs="Tahoma"/>
      <w:sz w:val="16"/>
      <w:szCs w:val="16"/>
    </w:rPr>
  </w:style>
  <w:style w:type="paragraph" w:styleId="Header">
    <w:name w:val="header"/>
    <w:basedOn w:val="Normal"/>
    <w:link w:val="HeaderChar"/>
    <w:uiPriority w:val="99"/>
    <w:unhideWhenUsed/>
    <w:rsid w:val="00A55C51"/>
    <w:pPr>
      <w:tabs>
        <w:tab w:val="center" w:pos="4513"/>
        <w:tab w:val="right" w:pos="9026"/>
      </w:tabs>
    </w:pPr>
  </w:style>
  <w:style w:type="character" w:customStyle="1" w:styleId="HeaderChar">
    <w:name w:val="Header Char"/>
    <w:basedOn w:val="DefaultParagraphFont"/>
    <w:link w:val="Header"/>
    <w:uiPriority w:val="99"/>
    <w:rsid w:val="00A55C51"/>
    <w:rPr>
      <w:rFonts w:ascii="Calibri" w:hAnsi="Calibri" w:cs="Times New Roman"/>
    </w:rPr>
  </w:style>
  <w:style w:type="paragraph" w:styleId="Footer">
    <w:name w:val="footer"/>
    <w:basedOn w:val="Normal"/>
    <w:link w:val="FooterChar"/>
    <w:uiPriority w:val="99"/>
    <w:unhideWhenUsed/>
    <w:rsid w:val="00A55C51"/>
    <w:pPr>
      <w:tabs>
        <w:tab w:val="center" w:pos="4513"/>
        <w:tab w:val="right" w:pos="9026"/>
      </w:tabs>
    </w:pPr>
  </w:style>
  <w:style w:type="character" w:customStyle="1" w:styleId="FooterChar">
    <w:name w:val="Footer Char"/>
    <w:basedOn w:val="DefaultParagraphFont"/>
    <w:link w:val="Footer"/>
    <w:uiPriority w:val="99"/>
    <w:rsid w:val="00A55C51"/>
    <w:rPr>
      <w:rFonts w:ascii="Calibri" w:hAnsi="Calibri" w:cs="Times New Roman"/>
    </w:rPr>
  </w:style>
  <w:style w:type="paragraph" w:styleId="Title">
    <w:name w:val="Title"/>
    <w:basedOn w:val="Normal"/>
    <w:next w:val="Normal"/>
    <w:link w:val="TitleChar"/>
    <w:uiPriority w:val="10"/>
    <w:qFormat/>
    <w:rsid w:val="00A55C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C51"/>
    <w:rPr>
      <w:rFonts w:asciiTheme="majorHAnsi" w:eastAsiaTheme="majorEastAsia" w:hAnsiTheme="majorHAnsi" w:cstheme="majorBidi"/>
      <w:spacing w:val="-10"/>
      <w:kern w:val="28"/>
      <w:sz w:val="56"/>
      <w:szCs w:val="56"/>
    </w:rPr>
  </w:style>
  <w:style w:type="paragraph" w:styleId="Revision">
    <w:name w:val="Revision"/>
    <w:hidden/>
    <w:uiPriority w:val="99"/>
    <w:semiHidden/>
    <w:rsid w:val="00667452"/>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84898">
      <w:bodyDiv w:val="1"/>
      <w:marLeft w:val="0"/>
      <w:marRight w:val="0"/>
      <w:marTop w:val="0"/>
      <w:marBottom w:val="0"/>
      <w:divBdr>
        <w:top w:val="none" w:sz="0" w:space="0" w:color="auto"/>
        <w:left w:val="none" w:sz="0" w:space="0" w:color="auto"/>
        <w:bottom w:val="none" w:sz="0" w:space="0" w:color="auto"/>
        <w:right w:val="none" w:sz="0" w:space="0" w:color="auto"/>
      </w:divBdr>
      <w:divsChild>
        <w:div w:id="1279147700">
          <w:marLeft w:val="0"/>
          <w:marRight w:val="0"/>
          <w:marTop w:val="0"/>
          <w:marBottom w:val="0"/>
          <w:divBdr>
            <w:top w:val="none" w:sz="0" w:space="0" w:color="auto"/>
            <w:left w:val="none" w:sz="0" w:space="0" w:color="auto"/>
            <w:bottom w:val="none" w:sz="0" w:space="0" w:color="auto"/>
            <w:right w:val="none" w:sz="0" w:space="0" w:color="auto"/>
          </w:divBdr>
          <w:divsChild>
            <w:div w:id="2982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7950">
      <w:bodyDiv w:val="1"/>
      <w:marLeft w:val="0"/>
      <w:marRight w:val="0"/>
      <w:marTop w:val="0"/>
      <w:marBottom w:val="0"/>
      <w:divBdr>
        <w:top w:val="none" w:sz="0" w:space="0" w:color="auto"/>
        <w:left w:val="none" w:sz="0" w:space="0" w:color="auto"/>
        <w:bottom w:val="none" w:sz="0" w:space="0" w:color="auto"/>
        <w:right w:val="none" w:sz="0" w:space="0" w:color="auto"/>
      </w:divBdr>
      <w:divsChild>
        <w:div w:id="42752969">
          <w:marLeft w:val="0"/>
          <w:marRight w:val="0"/>
          <w:marTop w:val="0"/>
          <w:marBottom w:val="0"/>
          <w:divBdr>
            <w:top w:val="none" w:sz="0" w:space="0" w:color="auto"/>
            <w:left w:val="none" w:sz="0" w:space="0" w:color="auto"/>
            <w:bottom w:val="none" w:sz="0" w:space="0" w:color="auto"/>
            <w:right w:val="none" w:sz="0" w:space="0" w:color="auto"/>
          </w:divBdr>
          <w:divsChild>
            <w:div w:id="1210647879">
              <w:marLeft w:val="0"/>
              <w:marRight w:val="0"/>
              <w:marTop w:val="0"/>
              <w:marBottom w:val="0"/>
              <w:divBdr>
                <w:top w:val="none" w:sz="0" w:space="0" w:color="auto"/>
                <w:left w:val="none" w:sz="0" w:space="0" w:color="auto"/>
                <w:bottom w:val="none" w:sz="0" w:space="0" w:color="auto"/>
                <w:right w:val="none" w:sz="0" w:space="0" w:color="auto"/>
              </w:divBdr>
            </w:div>
            <w:div w:id="1846704296">
              <w:marLeft w:val="0"/>
              <w:marRight w:val="0"/>
              <w:marTop w:val="0"/>
              <w:marBottom w:val="0"/>
              <w:divBdr>
                <w:top w:val="none" w:sz="0" w:space="0" w:color="auto"/>
                <w:left w:val="none" w:sz="0" w:space="0" w:color="auto"/>
                <w:bottom w:val="none" w:sz="0" w:space="0" w:color="auto"/>
                <w:right w:val="none" w:sz="0" w:space="0" w:color="auto"/>
              </w:divBdr>
            </w:div>
            <w:div w:id="1969626865">
              <w:marLeft w:val="0"/>
              <w:marRight w:val="0"/>
              <w:marTop w:val="0"/>
              <w:marBottom w:val="0"/>
              <w:divBdr>
                <w:top w:val="none" w:sz="0" w:space="0" w:color="auto"/>
                <w:left w:val="none" w:sz="0" w:space="0" w:color="auto"/>
                <w:bottom w:val="none" w:sz="0" w:space="0" w:color="auto"/>
                <w:right w:val="none" w:sz="0" w:space="0" w:color="auto"/>
              </w:divBdr>
            </w:div>
            <w:div w:id="33772579">
              <w:marLeft w:val="0"/>
              <w:marRight w:val="0"/>
              <w:marTop w:val="0"/>
              <w:marBottom w:val="0"/>
              <w:divBdr>
                <w:top w:val="none" w:sz="0" w:space="0" w:color="auto"/>
                <w:left w:val="none" w:sz="0" w:space="0" w:color="auto"/>
                <w:bottom w:val="none" w:sz="0" w:space="0" w:color="auto"/>
                <w:right w:val="none" w:sz="0" w:space="0" w:color="auto"/>
              </w:divBdr>
            </w:div>
            <w:div w:id="1980305470">
              <w:marLeft w:val="0"/>
              <w:marRight w:val="0"/>
              <w:marTop w:val="0"/>
              <w:marBottom w:val="0"/>
              <w:divBdr>
                <w:top w:val="none" w:sz="0" w:space="0" w:color="auto"/>
                <w:left w:val="none" w:sz="0" w:space="0" w:color="auto"/>
                <w:bottom w:val="none" w:sz="0" w:space="0" w:color="auto"/>
                <w:right w:val="none" w:sz="0" w:space="0" w:color="auto"/>
              </w:divBdr>
            </w:div>
            <w:div w:id="936061317">
              <w:marLeft w:val="0"/>
              <w:marRight w:val="0"/>
              <w:marTop w:val="0"/>
              <w:marBottom w:val="0"/>
              <w:divBdr>
                <w:top w:val="none" w:sz="0" w:space="0" w:color="auto"/>
                <w:left w:val="none" w:sz="0" w:space="0" w:color="auto"/>
                <w:bottom w:val="none" w:sz="0" w:space="0" w:color="auto"/>
                <w:right w:val="none" w:sz="0" w:space="0" w:color="auto"/>
              </w:divBdr>
            </w:div>
            <w:div w:id="1826120196">
              <w:marLeft w:val="0"/>
              <w:marRight w:val="0"/>
              <w:marTop w:val="0"/>
              <w:marBottom w:val="0"/>
              <w:divBdr>
                <w:top w:val="none" w:sz="0" w:space="0" w:color="auto"/>
                <w:left w:val="none" w:sz="0" w:space="0" w:color="auto"/>
                <w:bottom w:val="none" w:sz="0" w:space="0" w:color="auto"/>
                <w:right w:val="none" w:sz="0" w:space="0" w:color="auto"/>
              </w:divBdr>
            </w:div>
            <w:div w:id="13164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2870">
      <w:bodyDiv w:val="1"/>
      <w:marLeft w:val="0"/>
      <w:marRight w:val="0"/>
      <w:marTop w:val="0"/>
      <w:marBottom w:val="0"/>
      <w:divBdr>
        <w:top w:val="none" w:sz="0" w:space="0" w:color="auto"/>
        <w:left w:val="none" w:sz="0" w:space="0" w:color="auto"/>
        <w:bottom w:val="none" w:sz="0" w:space="0" w:color="auto"/>
        <w:right w:val="none" w:sz="0" w:space="0" w:color="auto"/>
      </w:divBdr>
      <w:divsChild>
        <w:div w:id="1142431725">
          <w:marLeft w:val="547"/>
          <w:marRight w:val="0"/>
          <w:marTop w:val="0"/>
          <w:marBottom w:val="0"/>
          <w:divBdr>
            <w:top w:val="none" w:sz="0" w:space="0" w:color="auto"/>
            <w:left w:val="none" w:sz="0" w:space="0" w:color="auto"/>
            <w:bottom w:val="none" w:sz="0" w:space="0" w:color="auto"/>
            <w:right w:val="none" w:sz="0" w:space="0" w:color="auto"/>
          </w:divBdr>
        </w:div>
      </w:divsChild>
    </w:div>
    <w:div w:id="1725368116">
      <w:bodyDiv w:val="1"/>
      <w:marLeft w:val="0"/>
      <w:marRight w:val="0"/>
      <w:marTop w:val="0"/>
      <w:marBottom w:val="0"/>
      <w:divBdr>
        <w:top w:val="none" w:sz="0" w:space="0" w:color="auto"/>
        <w:left w:val="none" w:sz="0" w:space="0" w:color="auto"/>
        <w:bottom w:val="none" w:sz="0" w:space="0" w:color="auto"/>
        <w:right w:val="none" w:sz="0" w:space="0" w:color="auto"/>
      </w:divBdr>
    </w:div>
    <w:div w:id="1968848013">
      <w:bodyDiv w:val="1"/>
      <w:marLeft w:val="0"/>
      <w:marRight w:val="0"/>
      <w:marTop w:val="0"/>
      <w:marBottom w:val="0"/>
      <w:divBdr>
        <w:top w:val="none" w:sz="0" w:space="0" w:color="auto"/>
        <w:left w:val="none" w:sz="0" w:space="0" w:color="auto"/>
        <w:bottom w:val="none" w:sz="0" w:space="0" w:color="auto"/>
        <w:right w:val="none" w:sz="0" w:space="0" w:color="auto"/>
      </w:divBdr>
    </w:div>
    <w:div w:id="1979915344">
      <w:bodyDiv w:val="1"/>
      <w:marLeft w:val="0"/>
      <w:marRight w:val="0"/>
      <w:marTop w:val="0"/>
      <w:marBottom w:val="0"/>
      <w:divBdr>
        <w:top w:val="none" w:sz="0" w:space="0" w:color="auto"/>
        <w:left w:val="none" w:sz="0" w:space="0" w:color="auto"/>
        <w:bottom w:val="none" w:sz="0" w:space="0" w:color="auto"/>
        <w:right w:val="none" w:sz="0" w:space="0" w:color="auto"/>
      </w:divBdr>
      <w:divsChild>
        <w:div w:id="1884367367">
          <w:marLeft w:val="547"/>
          <w:marRight w:val="0"/>
          <w:marTop w:val="0"/>
          <w:marBottom w:val="0"/>
          <w:divBdr>
            <w:top w:val="none" w:sz="0" w:space="0" w:color="auto"/>
            <w:left w:val="none" w:sz="0" w:space="0" w:color="auto"/>
            <w:bottom w:val="none" w:sz="0" w:space="0" w:color="auto"/>
            <w:right w:val="none" w:sz="0" w:space="0" w:color="auto"/>
          </w:divBdr>
        </w:div>
      </w:divsChild>
    </w:div>
    <w:div w:id="2051151407">
      <w:bodyDiv w:val="1"/>
      <w:marLeft w:val="0"/>
      <w:marRight w:val="0"/>
      <w:marTop w:val="0"/>
      <w:marBottom w:val="0"/>
      <w:divBdr>
        <w:top w:val="none" w:sz="0" w:space="0" w:color="auto"/>
        <w:left w:val="none" w:sz="0" w:space="0" w:color="auto"/>
        <w:bottom w:val="none" w:sz="0" w:space="0" w:color="auto"/>
        <w:right w:val="none" w:sz="0" w:space="0" w:color="auto"/>
      </w:divBdr>
      <w:divsChild>
        <w:div w:id="12509650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omputerworld.com.au/mediareleases/5008/aarnet-acquires-nextgen-capacity-for-national-r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8417FD-C79B-499B-A657-B91379A4510E}"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AU"/>
        </a:p>
      </dgm:t>
    </dgm:pt>
    <dgm:pt modelId="{5E5D229B-597F-470A-A686-79A1145873D5}">
      <dgm:prSet phldrT="[Text]" custT="1"/>
      <dgm:spPr/>
      <dgm:t>
        <a:bodyPr/>
        <a:lstStyle/>
        <a:p>
          <a:r>
            <a:rPr lang="en-AU" sz="1000" b="1" dirty="0" smtClean="0"/>
            <a:t>REQUIRES: Research Excellence</a:t>
          </a:r>
          <a:endParaRPr lang="en-AU" sz="1000" b="1" dirty="0"/>
        </a:p>
      </dgm:t>
    </dgm:pt>
    <dgm:pt modelId="{E21660C9-963F-446D-A6D4-B4B2668CE161}" type="parTrans" cxnId="{154FFBBB-C8EB-435D-8B05-4216F44E3A2D}">
      <dgm:prSet/>
      <dgm:spPr/>
      <dgm:t>
        <a:bodyPr/>
        <a:lstStyle/>
        <a:p>
          <a:endParaRPr lang="en-AU" sz="1000" b="1"/>
        </a:p>
      </dgm:t>
    </dgm:pt>
    <dgm:pt modelId="{3CEBCC80-FB5A-4F5C-A239-E7C41CF284A5}" type="sibTrans" cxnId="{154FFBBB-C8EB-435D-8B05-4216F44E3A2D}">
      <dgm:prSet/>
      <dgm:spPr/>
      <dgm:t>
        <a:bodyPr/>
        <a:lstStyle/>
        <a:p>
          <a:endParaRPr lang="en-AU" sz="1000" b="1"/>
        </a:p>
      </dgm:t>
    </dgm:pt>
    <dgm:pt modelId="{591E650B-DF42-43F8-9157-D37086CC78ED}">
      <dgm:prSet phldrT="[Text]" custT="1"/>
      <dgm:spPr/>
      <dgm:t>
        <a:bodyPr/>
        <a:lstStyle/>
        <a:p>
          <a:r>
            <a:rPr lang="en-AU" sz="1000" b="1" dirty="0" smtClean="0"/>
            <a:t>Research Excellence</a:t>
          </a:r>
          <a:endParaRPr lang="en-AU" sz="1000" b="1" dirty="0"/>
        </a:p>
      </dgm:t>
    </dgm:pt>
    <dgm:pt modelId="{E81CC38A-AF5E-48D5-919A-65B4C4AFACB5}" type="parTrans" cxnId="{006A3EBC-CD1C-4CA6-9DE4-64C8451E36D9}">
      <dgm:prSet/>
      <dgm:spPr/>
      <dgm:t>
        <a:bodyPr/>
        <a:lstStyle/>
        <a:p>
          <a:endParaRPr lang="en-AU" sz="1000" b="1"/>
        </a:p>
      </dgm:t>
    </dgm:pt>
    <dgm:pt modelId="{402D197E-CE79-4DCE-BD27-C33671B6B19F}" type="sibTrans" cxnId="{006A3EBC-CD1C-4CA6-9DE4-64C8451E36D9}">
      <dgm:prSet/>
      <dgm:spPr/>
      <dgm:t>
        <a:bodyPr/>
        <a:lstStyle/>
        <a:p>
          <a:endParaRPr lang="en-AU" sz="1000" b="1"/>
        </a:p>
      </dgm:t>
    </dgm:pt>
    <dgm:pt modelId="{844242DC-B2FB-417D-9E55-167EE4770A84}">
      <dgm:prSet phldrT="[Text]" custT="1"/>
      <dgm:spPr/>
      <dgm:t>
        <a:bodyPr/>
        <a:lstStyle/>
        <a:p>
          <a:r>
            <a:rPr lang="en-AU" sz="1000" b="1" dirty="0" smtClean="0"/>
            <a:t>REQUIRES: Digitally Enabled Research Infrastructure</a:t>
          </a:r>
          <a:endParaRPr lang="en-AU" sz="1000" b="1" dirty="0"/>
        </a:p>
      </dgm:t>
    </dgm:pt>
    <dgm:pt modelId="{C1F5957E-E6B8-4606-90B9-919E623F574C}" type="parTrans" cxnId="{9639D61A-758C-4318-B877-E4ACDA8F4E49}">
      <dgm:prSet/>
      <dgm:spPr/>
      <dgm:t>
        <a:bodyPr/>
        <a:lstStyle/>
        <a:p>
          <a:endParaRPr lang="en-AU" sz="1000" b="1"/>
        </a:p>
      </dgm:t>
    </dgm:pt>
    <dgm:pt modelId="{6C53F2A8-AF22-4FB0-BFC1-372F5A25F5D7}" type="sibTrans" cxnId="{9639D61A-758C-4318-B877-E4ACDA8F4E49}">
      <dgm:prSet/>
      <dgm:spPr/>
      <dgm:t>
        <a:bodyPr/>
        <a:lstStyle/>
        <a:p>
          <a:endParaRPr lang="en-AU" sz="1000" b="1"/>
        </a:p>
      </dgm:t>
    </dgm:pt>
    <dgm:pt modelId="{EE03A803-41FF-464A-B96C-91CF5FAB6C28}">
      <dgm:prSet phldrT="[Text]" custT="1"/>
      <dgm:spPr/>
      <dgm:t>
        <a:bodyPr/>
        <a:lstStyle/>
        <a:p>
          <a:r>
            <a:rPr lang="en-AU" sz="1000" b="1" dirty="0" smtClean="0"/>
            <a:t>Digital Research Infrastructure</a:t>
          </a:r>
          <a:endParaRPr lang="en-AU" sz="1000" b="1" dirty="0"/>
        </a:p>
      </dgm:t>
    </dgm:pt>
    <dgm:pt modelId="{EFE9611B-A476-4F05-AAF6-D5E3F414AFFF}" type="parTrans" cxnId="{13861D00-AB43-4249-8095-576B58A696D1}">
      <dgm:prSet/>
      <dgm:spPr/>
      <dgm:t>
        <a:bodyPr/>
        <a:lstStyle/>
        <a:p>
          <a:endParaRPr lang="en-AU" sz="1000" b="1"/>
        </a:p>
      </dgm:t>
    </dgm:pt>
    <dgm:pt modelId="{B63D81A0-05F7-47EA-AE7B-1E29A3A6C5E5}" type="sibTrans" cxnId="{13861D00-AB43-4249-8095-576B58A696D1}">
      <dgm:prSet/>
      <dgm:spPr/>
      <dgm:t>
        <a:bodyPr/>
        <a:lstStyle/>
        <a:p>
          <a:endParaRPr lang="en-AU" sz="1000" b="1"/>
        </a:p>
      </dgm:t>
    </dgm:pt>
    <dgm:pt modelId="{1A7C53B3-FD07-4772-823B-FCC3DE73C056}">
      <dgm:prSet phldrT="[Text]" custT="1"/>
      <dgm:spPr/>
      <dgm:t>
        <a:bodyPr/>
        <a:lstStyle/>
        <a:p>
          <a:r>
            <a:rPr lang="en-AU" sz="1000" b="1" dirty="0" smtClean="0"/>
            <a:t>REQUIRES: National Research and Education Network</a:t>
          </a:r>
          <a:endParaRPr lang="en-AU" sz="1000" b="1" dirty="0"/>
        </a:p>
      </dgm:t>
    </dgm:pt>
    <dgm:pt modelId="{8A10FF13-45C4-47C8-B712-46A9EDAEEC94}" type="parTrans" cxnId="{BCFB228F-EF48-4008-8CB5-7A45584E5EFC}">
      <dgm:prSet/>
      <dgm:spPr/>
      <dgm:t>
        <a:bodyPr/>
        <a:lstStyle/>
        <a:p>
          <a:endParaRPr lang="en-AU" sz="1000" b="1"/>
        </a:p>
      </dgm:t>
    </dgm:pt>
    <dgm:pt modelId="{29970E27-D2ED-4328-8C9C-64B8ABA7479C}" type="sibTrans" cxnId="{BCFB228F-EF48-4008-8CB5-7A45584E5EFC}">
      <dgm:prSet/>
      <dgm:spPr/>
      <dgm:t>
        <a:bodyPr/>
        <a:lstStyle/>
        <a:p>
          <a:endParaRPr lang="en-AU" sz="1000" b="1"/>
        </a:p>
      </dgm:t>
    </dgm:pt>
    <dgm:pt modelId="{44067252-9DB8-499F-A0F6-4E12BB464CB3}">
      <dgm:prSet phldrT="[Text]" custT="1"/>
      <dgm:spPr/>
      <dgm:t>
        <a:bodyPr/>
        <a:lstStyle/>
        <a:p>
          <a:r>
            <a:rPr lang="en-AU" sz="1000" b="1" dirty="0" smtClean="0"/>
            <a:t>National Research and Education Network</a:t>
          </a:r>
          <a:endParaRPr lang="en-AU" sz="1000" b="1" dirty="0"/>
        </a:p>
      </dgm:t>
    </dgm:pt>
    <dgm:pt modelId="{798D5968-4D4D-482D-A4CC-6F282B1AF516}" type="parTrans" cxnId="{DF8D017A-4DC3-42CF-959F-B41720E8029D}">
      <dgm:prSet/>
      <dgm:spPr/>
      <dgm:t>
        <a:bodyPr/>
        <a:lstStyle/>
        <a:p>
          <a:endParaRPr lang="en-AU" sz="1000" b="1"/>
        </a:p>
      </dgm:t>
    </dgm:pt>
    <dgm:pt modelId="{C6215C60-527F-4A3B-9BF7-95774ABF68BF}" type="sibTrans" cxnId="{DF8D017A-4DC3-42CF-959F-B41720E8029D}">
      <dgm:prSet/>
      <dgm:spPr/>
      <dgm:t>
        <a:bodyPr/>
        <a:lstStyle/>
        <a:p>
          <a:endParaRPr lang="en-AU" sz="1000" b="1"/>
        </a:p>
      </dgm:t>
    </dgm:pt>
    <dgm:pt modelId="{0AA081B4-F701-4C32-9958-B04BD7E240F7}">
      <dgm:prSet phldrT="[Text]" custT="1"/>
      <dgm:spPr/>
      <dgm:t>
        <a:bodyPr/>
        <a:lstStyle/>
        <a:p>
          <a:r>
            <a:rPr lang="en-AU" sz="1000" b="1" dirty="0" smtClean="0"/>
            <a:t>REQUIRES: Long-term Investment Strategy</a:t>
          </a:r>
          <a:endParaRPr lang="en-AU" sz="1000" b="1" dirty="0"/>
        </a:p>
      </dgm:t>
    </dgm:pt>
    <dgm:pt modelId="{D35DF710-CCFE-4113-9C46-ACBA662C29B1}" type="parTrans" cxnId="{AC4193DF-FF41-4100-96BF-E8EADC54A72A}">
      <dgm:prSet/>
      <dgm:spPr/>
      <dgm:t>
        <a:bodyPr/>
        <a:lstStyle/>
        <a:p>
          <a:endParaRPr lang="en-AU" sz="1000" b="1"/>
        </a:p>
      </dgm:t>
    </dgm:pt>
    <dgm:pt modelId="{687BFF6F-BD1A-450F-93F3-9F6F3491E24A}" type="sibTrans" cxnId="{AC4193DF-FF41-4100-96BF-E8EADC54A72A}">
      <dgm:prSet/>
      <dgm:spPr/>
      <dgm:t>
        <a:bodyPr/>
        <a:lstStyle/>
        <a:p>
          <a:endParaRPr lang="en-AU" sz="1000" b="1"/>
        </a:p>
      </dgm:t>
    </dgm:pt>
    <dgm:pt modelId="{F1271B30-74CC-49DF-B9C2-871F2D0B532D}">
      <dgm:prSet phldrT="[Text]" custT="1"/>
      <dgm:spPr/>
      <dgm:t>
        <a:bodyPr/>
        <a:lstStyle/>
        <a:p>
          <a:r>
            <a:rPr lang="en-AU" sz="1000" b="1" dirty="0" smtClean="0"/>
            <a:t>Commercial Return</a:t>
          </a:r>
          <a:endParaRPr lang="en-AU" sz="1000" b="1" dirty="0"/>
        </a:p>
      </dgm:t>
      <dgm:extLst>
        <a:ext uri="{E40237B7-FDA0-4F09-8148-C483321AD2D9}">
          <dgm14:cNvPr xmlns:dgm14="http://schemas.microsoft.com/office/drawing/2010/diagram" id="0" name="" descr="- Commercial Return requires research excellence&#10;- Research excellence requires digitally enabled research infrastructure&#10;- Digital research infrastructure requires national research and education network&#10;- National research and education network requires long-term investment strategy&#10;" title="table of executive summary"/>
        </a:ext>
      </dgm:extLst>
    </dgm:pt>
    <dgm:pt modelId="{FF9D7000-CF71-432A-A6BC-14215D2A11D5}" type="sibTrans" cxnId="{7839F355-EA91-4790-A5CA-2D2DE500FF33}">
      <dgm:prSet/>
      <dgm:spPr/>
      <dgm:t>
        <a:bodyPr/>
        <a:lstStyle/>
        <a:p>
          <a:endParaRPr lang="en-AU" sz="1000" b="1"/>
        </a:p>
      </dgm:t>
    </dgm:pt>
    <dgm:pt modelId="{135237C2-8FDF-4CF8-B251-F97E32CCDD59}" type="parTrans" cxnId="{7839F355-EA91-4790-A5CA-2D2DE500FF33}">
      <dgm:prSet/>
      <dgm:spPr/>
      <dgm:t>
        <a:bodyPr/>
        <a:lstStyle/>
        <a:p>
          <a:endParaRPr lang="en-AU" sz="1000" b="1"/>
        </a:p>
      </dgm:t>
    </dgm:pt>
    <dgm:pt modelId="{B559408B-846B-412C-BF98-9E33415F1E4A}" type="pres">
      <dgm:prSet presAssocID="{D18417FD-C79B-499B-A657-B91379A4510E}" presName="Name0" presStyleCnt="0">
        <dgm:presLayoutVars>
          <dgm:dir/>
          <dgm:animLvl val="lvl"/>
          <dgm:resizeHandles val="exact"/>
        </dgm:presLayoutVars>
      </dgm:prSet>
      <dgm:spPr/>
      <dgm:t>
        <a:bodyPr/>
        <a:lstStyle/>
        <a:p>
          <a:endParaRPr lang="en-AU"/>
        </a:p>
      </dgm:t>
    </dgm:pt>
    <dgm:pt modelId="{F191EC83-3F07-4ADD-8F86-CC411DEE8F80}" type="pres">
      <dgm:prSet presAssocID="{44067252-9DB8-499F-A0F6-4E12BB464CB3}" presName="boxAndChildren" presStyleCnt="0"/>
      <dgm:spPr/>
    </dgm:pt>
    <dgm:pt modelId="{F41F84EF-AF66-4EDD-A369-FFBBE000E4F5}" type="pres">
      <dgm:prSet presAssocID="{44067252-9DB8-499F-A0F6-4E12BB464CB3}" presName="parentTextBox" presStyleLbl="node1" presStyleIdx="0" presStyleCnt="4"/>
      <dgm:spPr/>
      <dgm:t>
        <a:bodyPr/>
        <a:lstStyle/>
        <a:p>
          <a:endParaRPr lang="en-AU"/>
        </a:p>
      </dgm:t>
    </dgm:pt>
    <dgm:pt modelId="{C556FF20-2DC4-4809-88DC-80A43623E658}" type="pres">
      <dgm:prSet presAssocID="{44067252-9DB8-499F-A0F6-4E12BB464CB3}" presName="entireBox" presStyleLbl="node1" presStyleIdx="0" presStyleCnt="4"/>
      <dgm:spPr/>
      <dgm:t>
        <a:bodyPr/>
        <a:lstStyle/>
        <a:p>
          <a:endParaRPr lang="en-AU"/>
        </a:p>
      </dgm:t>
    </dgm:pt>
    <dgm:pt modelId="{A502A2E6-5C5E-44A3-9D1A-6BDB6CAFCC16}" type="pres">
      <dgm:prSet presAssocID="{44067252-9DB8-499F-A0F6-4E12BB464CB3}" presName="descendantBox" presStyleCnt="0"/>
      <dgm:spPr/>
    </dgm:pt>
    <dgm:pt modelId="{58D8AC6C-44CB-4F6C-9D98-EC88470D20D6}" type="pres">
      <dgm:prSet presAssocID="{0AA081B4-F701-4C32-9958-B04BD7E240F7}" presName="childTextBox" presStyleLbl="fgAccFollowNode1" presStyleIdx="0" presStyleCnt="4">
        <dgm:presLayoutVars>
          <dgm:bulletEnabled val="1"/>
        </dgm:presLayoutVars>
      </dgm:prSet>
      <dgm:spPr/>
      <dgm:t>
        <a:bodyPr/>
        <a:lstStyle/>
        <a:p>
          <a:endParaRPr lang="en-AU"/>
        </a:p>
      </dgm:t>
    </dgm:pt>
    <dgm:pt modelId="{0F3B6AFD-8D6F-48A8-BFAB-36210DACF84A}" type="pres">
      <dgm:prSet presAssocID="{B63D81A0-05F7-47EA-AE7B-1E29A3A6C5E5}" presName="sp" presStyleCnt="0"/>
      <dgm:spPr/>
    </dgm:pt>
    <dgm:pt modelId="{75B02435-DD50-450F-8EB9-F914508C755C}" type="pres">
      <dgm:prSet presAssocID="{EE03A803-41FF-464A-B96C-91CF5FAB6C28}" presName="arrowAndChildren" presStyleCnt="0"/>
      <dgm:spPr/>
    </dgm:pt>
    <dgm:pt modelId="{2BF66AA5-B80D-4B36-B7F0-F82807B03373}" type="pres">
      <dgm:prSet presAssocID="{EE03A803-41FF-464A-B96C-91CF5FAB6C28}" presName="parentTextArrow" presStyleLbl="node1" presStyleIdx="0" presStyleCnt="4"/>
      <dgm:spPr/>
      <dgm:t>
        <a:bodyPr/>
        <a:lstStyle/>
        <a:p>
          <a:endParaRPr lang="en-AU"/>
        </a:p>
      </dgm:t>
    </dgm:pt>
    <dgm:pt modelId="{53D94766-C45A-4802-962E-14E78D281AC8}" type="pres">
      <dgm:prSet presAssocID="{EE03A803-41FF-464A-B96C-91CF5FAB6C28}" presName="arrow" presStyleLbl="node1" presStyleIdx="1" presStyleCnt="4"/>
      <dgm:spPr/>
      <dgm:t>
        <a:bodyPr/>
        <a:lstStyle/>
        <a:p>
          <a:endParaRPr lang="en-AU"/>
        </a:p>
      </dgm:t>
    </dgm:pt>
    <dgm:pt modelId="{0E08A965-ED60-4DD6-89B5-58282FEFC485}" type="pres">
      <dgm:prSet presAssocID="{EE03A803-41FF-464A-B96C-91CF5FAB6C28}" presName="descendantArrow" presStyleCnt="0"/>
      <dgm:spPr/>
    </dgm:pt>
    <dgm:pt modelId="{B624D35F-6C3B-422C-85A1-669A7F88782B}" type="pres">
      <dgm:prSet presAssocID="{1A7C53B3-FD07-4772-823B-FCC3DE73C056}" presName="childTextArrow" presStyleLbl="fgAccFollowNode1" presStyleIdx="1" presStyleCnt="4">
        <dgm:presLayoutVars>
          <dgm:bulletEnabled val="1"/>
        </dgm:presLayoutVars>
      </dgm:prSet>
      <dgm:spPr/>
      <dgm:t>
        <a:bodyPr/>
        <a:lstStyle/>
        <a:p>
          <a:endParaRPr lang="en-AU"/>
        </a:p>
      </dgm:t>
    </dgm:pt>
    <dgm:pt modelId="{6A59904B-1F7F-43F6-9D7F-E64E8F3A98A2}" type="pres">
      <dgm:prSet presAssocID="{402D197E-CE79-4DCE-BD27-C33671B6B19F}" presName="sp" presStyleCnt="0"/>
      <dgm:spPr/>
    </dgm:pt>
    <dgm:pt modelId="{8059B69A-1EB0-4A19-94DD-C25AD604D6CF}" type="pres">
      <dgm:prSet presAssocID="{591E650B-DF42-43F8-9157-D37086CC78ED}" presName="arrowAndChildren" presStyleCnt="0"/>
      <dgm:spPr/>
    </dgm:pt>
    <dgm:pt modelId="{2A027809-9304-4DE5-951F-3FC6903B2A46}" type="pres">
      <dgm:prSet presAssocID="{591E650B-DF42-43F8-9157-D37086CC78ED}" presName="parentTextArrow" presStyleLbl="node1" presStyleIdx="1" presStyleCnt="4"/>
      <dgm:spPr/>
      <dgm:t>
        <a:bodyPr/>
        <a:lstStyle/>
        <a:p>
          <a:endParaRPr lang="en-AU"/>
        </a:p>
      </dgm:t>
    </dgm:pt>
    <dgm:pt modelId="{FD3442BD-B0BC-4E65-8C22-0ABDA55E6C74}" type="pres">
      <dgm:prSet presAssocID="{591E650B-DF42-43F8-9157-D37086CC78ED}" presName="arrow" presStyleLbl="node1" presStyleIdx="2" presStyleCnt="4"/>
      <dgm:spPr/>
      <dgm:t>
        <a:bodyPr/>
        <a:lstStyle/>
        <a:p>
          <a:endParaRPr lang="en-AU"/>
        </a:p>
      </dgm:t>
    </dgm:pt>
    <dgm:pt modelId="{301166A3-E64E-42CF-9222-E2511AF2DE74}" type="pres">
      <dgm:prSet presAssocID="{591E650B-DF42-43F8-9157-D37086CC78ED}" presName="descendantArrow" presStyleCnt="0"/>
      <dgm:spPr/>
    </dgm:pt>
    <dgm:pt modelId="{92716378-FE05-4F17-8658-346BF0D0D26C}" type="pres">
      <dgm:prSet presAssocID="{844242DC-B2FB-417D-9E55-167EE4770A84}" presName="childTextArrow" presStyleLbl="fgAccFollowNode1" presStyleIdx="2" presStyleCnt="4">
        <dgm:presLayoutVars>
          <dgm:bulletEnabled val="1"/>
        </dgm:presLayoutVars>
      </dgm:prSet>
      <dgm:spPr/>
      <dgm:t>
        <a:bodyPr/>
        <a:lstStyle/>
        <a:p>
          <a:endParaRPr lang="en-AU"/>
        </a:p>
      </dgm:t>
    </dgm:pt>
    <dgm:pt modelId="{6BFBF72A-1EB6-4616-8704-5FBD2AD49226}" type="pres">
      <dgm:prSet presAssocID="{FF9D7000-CF71-432A-A6BC-14215D2A11D5}" presName="sp" presStyleCnt="0"/>
      <dgm:spPr/>
    </dgm:pt>
    <dgm:pt modelId="{B64BA2BA-0BCC-4589-9CD7-6694A46EC16E}" type="pres">
      <dgm:prSet presAssocID="{F1271B30-74CC-49DF-B9C2-871F2D0B532D}" presName="arrowAndChildren" presStyleCnt="0"/>
      <dgm:spPr/>
    </dgm:pt>
    <dgm:pt modelId="{6BAD4887-5A3C-4F7A-B534-7A654391CDC2}" type="pres">
      <dgm:prSet presAssocID="{F1271B30-74CC-49DF-B9C2-871F2D0B532D}" presName="parentTextArrow" presStyleLbl="node1" presStyleIdx="2" presStyleCnt="4"/>
      <dgm:spPr/>
      <dgm:t>
        <a:bodyPr/>
        <a:lstStyle/>
        <a:p>
          <a:endParaRPr lang="en-AU"/>
        </a:p>
      </dgm:t>
    </dgm:pt>
    <dgm:pt modelId="{15D9120B-2C25-4345-9972-D4A73591B6B1}" type="pres">
      <dgm:prSet presAssocID="{F1271B30-74CC-49DF-B9C2-871F2D0B532D}" presName="arrow" presStyleLbl="node1" presStyleIdx="3" presStyleCnt="4"/>
      <dgm:spPr/>
      <dgm:t>
        <a:bodyPr/>
        <a:lstStyle/>
        <a:p>
          <a:endParaRPr lang="en-AU"/>
        </a:p>
      </dgm:t>
    </dgm:pt>
    <dgm:pt modelId="{E36E2A10-2EAD-4FD1-B13D-40515C187CD1}" type="pres">
      <dgm:prSet presAssocID="{F1271B30-74CC-49DF-B9C2-871F2D0B532D}" presName="descendantArrow" presStyleCnt="0"/>
      <dgm:spPr/>
    </dgm:pt>
    <dgm:pt modelId="{EF93CD5C-D822-431C-BE22-BAB70A5862DD}" type="pres">
      <dgm:prSet presAssocID="{5E5D229B-597F-470A-A686-79A1145873D5}" presName="childTextArrow" presStyleLbl="fgAccFollowNode1" presStyleIdx="3" presStyleCnt="4">
        <dgm:presLayoutVars>
          <dgm:bulletEnabled val="1"/>
        </dgm:presLayoutVars>
      </dgm:prSet>
      <dgm:spPr/>
      <dgm:t>
        <a:bodyPr/>
        <a:lstStyle/>
        <a:p>
          <a:endParaRPr lang="en-AU"/>
        </a:p>
      </dgm:t>
    </dgm:pt>
  </dgm:ptLst>
  <dgm:cxnLst>
    <dgm:cxn modelId="{AC8F67DA-EF4F-4A4C-B5D0-F4A6453A5126}" type="presOf" srcId="{0AA081B4-F701-4C32-9958-B04BD7E240F7}" destId="{58D8AC6C-44CB-4F6C-9D98-EC88470D20D6}" srcOrd="0" destOrd="0" presId="urn:microsoft.com/office/officeart/2005/8/layout/process4"/>
    <dgm:cxn modelId="{154FFBBB-C8EB-435D-8B05-4216F44E3A2D}" srcId="{F1271B30-74CC-49DF-B9C2-871F2D0B532D}" destId="{5E5D229B-597F-470A-A686-79A1145873D5}" srcOrd="0" destOrd="0" parTransId="{E21660C9-963F-446D-A6D4-B4B2668CE161}" sibTransId="{3CEBCC80-FB5A-4F5C-A239-E7C41CF284A5}"/>
    <dgm:cxn modelId="{1DD7490D-68DD-4325-A29D-7CF47F478BFF}" type="presOf" srcId="{5E5D229B-597F-470A-A686-79A1145873D5}" destId="{EF93CD5C-D822-431C-BE22-BAB70A5862DD}" srcOrd="0" destOrd="0" presId="urn:microsoft.com/office/officeart/2005/8/layout/process4"/>
    <dgm:cxn modelId="{D05728B5-19A0-4AD8-B838-2DA83B909BD2}" type="presOf" srcId="{44067252-9DB8-499F-A0F6-4E12BB464CB3}" destId="{F41F84EF-AF66-4EDD-A369-FFBBE000E4F5}" srcOrd="0" destOrd="0" presId="urn:microsoft.com/office/officeart/2005/8/layout/process4"/>
    <dgm:cxn modelId="{9F23F383-19F4-418B-95EA-91536CF4EF6E}" type="presOf" srcId="{F1271B30-74CC-49DF-B9C2-871F2D0B532D}" destId="{6BAD4887-5A3C-4F7A-B534-7A654391CDC2}" srcOrd="0" destOrd="0" presId="urn:microsoft.com/office/officeart/2005/8/layout/process4"/>
    <dgm:cxn modelId="{AC4193DF-FF41-4100-96BF-E8EADC54A72A}" srcId="{44067252-9DB8-499F-A0F6-4E12BB464CB3}" destId="{0AA081B4-F701-4C32-9958-B04BD7E240F7}" srcOrd="0" destOrd="0" parTransId="{D35DF710-CCFE-4113-9C46-ACBA662C29B1}" sibTransId="{687BFF6F-BD1A-450F-93F3-9F6F3491E24A}"/>
    <dgm:cxn modelId="{DF8D017A-4DC3-42CF-959F-B41720E8029D}" srcId="{D18417FD-C79B-499B-A657-B91379A4510E}" destId="{44067252-9DB8-499F-A0F6-4E12BB464CB3}" srcOrd="3" destOrd="0" parTransId="{798D5968-4D4D-482D-A4CC-6F282B1AF516}" sibTransId="{C6215C60-527F-4A3B-9BF7-95774ABF68BF}"/>
    <dgm:cxn modelId="{76F959BF-35D4-4D3F-A6D4-67DD7FBBD1EF}" type="presOf" srcId="{1A7C53B3-FD07-4772-823B-FCC3DE73C056}" destId="{B624D35F-6C3B-422C-85A1-669A7F88782B}" srcOrd="0" destOrd="0" presId="urn:microsoft.com/office/officeart/2005/8/layout/process4"/>
    <dgm:cxn modelId="{A223952A-043E-436B-B092-FF2D7C4F170E}" type="presOf" srcId="{44067252-9DB8-499F-A0F6-4E12BB464CB3}" destId="{C556FF20-2DC4-4809-88DC-80A43623E658}" srcOrd="1" destOrd="0" presId="urn:microsoft.com/office/officeart/2005/8/layout/process4"/>
    <dgm:cxn modelId="{8F875B01-16BD-491D-9230-22D67ABF1C4F}" type="presOf" srcId="{EE03A803-41FF-464A-B96C-91CF5FAB6C28}" destId="{53D94766-C45A-4802-962E-14E78D281AC8}" srcOrd="1" destOrd="0" presId="urn:microsoft.com/office/officeart/2005/8/layout/process4"/>
    <dgm:cxn modelId="{006A3EBC-CD1C-4CA6-9DE4-64C8451E36D9}" srcId="{D18417FD-C79B-499B-A657-B91379A4510E}" destId="{591E650B-DF42-43F8-9157-D37086CC78ED}" srcOrd="1" destOrd="0" parTransId="{E81CC38A-AF5E-48D5-919A-65B4C4AFACB5}" sibTransId="{402D197E-CE79-4DCE-BD27-C33671B6B19F}"/>
    <dgm:cxn modelId="{3076E60D-32D5-40FA-BFC3-6541A7CA8964}" type="presOf" srcId="{591E650B-DF42-43F8-9157-D37086CC78ED}" destId="{FD3442BD-B0BC-4E65-8C22-0ABDA55E6C74}" srcOrd="1" destOrd="0" presId="urn:microsoft.com/office/officeart/2005/8/layout/process4"/>
    <dgm:cxn modelId="{94FD9FC7-66B5-4ADB-A8B5-7B7E6503CA7B}" type="presOf" srcId="{F1271B30-74CC-49DF-B9C2-871F2D0B532D}" destId="{15D9120B-2C25-4345-9972-D4A73591B6B1}" srcOrd="1" destOrd="0" presId="urn:microsoft.com/office/officeart/2005/8/layout/process4"/>
    <dgm:cxn modelId="{2F85E591-7270-4118-9C28-D2DEABA7A400}" type="presOf" srcId="{D18417FD-C79B-499B-A657-B91379A4510E}" destId="{B559408B-846B-412C-BF98-9E33415F1E4A}" srcOrd="0" destOrd="0" presId="urn:microsoft.com/office/officeart/2005/8/layout/process4"/>
    <dgm:cxn modelId="{13861D00-AB43-4249-8095-576B58A696D1}" srcId="{D18417FD-C79B-499B-A657-B91379A4510E}" destId="{EE03A803-41FF-464A-B96C-91CF5FAB6C28}" srcOrd="2" destOrd="0" parTransId="{EFE9611B-A476-4F05-AAF6-D5E3F414AFFF}" sibTransId="{B63D81A0-05F7-47EA-AE7B-1E29A3A6C5E5}"/>
    <dgm:cxn modelId="{BCFB228F-EF48-4008-8CB5-7A45584E5EFC}" srcId="{EE03A803-41FF-464A-B96C-91CF5FAB6C28}" destId="{1A7C53B3-FD07-4772-823B-FCC3DE73C056}" srcOrd="0" destOrd="0" parTransId="{8A10FF13-45C4-47C8-B712-46A9EDAEEC94}" sibTransId="{29970E27-D2ED-4328-8C9C-64B8ABA7479C}"/>
    <dgm:cxn modelId="{7839F355-EA91-4790-A5CA-2D2DE500FF33}" srcId="{D18417FD-C79B-499B-A657-B91379A4510E}" destId="{F1271B30-74CC-49DF-B9C2-871F2D0B532D}" srcOrd="0" destOrd="0" parTransId="{135237C2-8FDF-4CF8-B251-F97E32CCDD59}" sibTransId="{FF9D7000-CF71-432A-A6BC-14215D2A11D5}"/>
    <dgm:cxn modelId="{DDE65A04-D4D8-42E6-AB0F-5C22A01EAC7F}" type="presOf" srcId="{844242DC-B2FB-417D-9E55-167EE4770A84}" destId="{92716378-FE05-4F17-8658-346BF0D0D26C}" srcOrd="0" destOrd="0" presId="urn:microsoft.com/office/officeart/2005/8/layout/process4"/>
    <dgm:cxn modelId="{4D48D65C-07B6-4F67-88A5-009057B0CBB5}" type="presOf" srcId="{EE03A803-41FF-464A-B96C-91CF5FAB6C28}" destId="{2BF66AA5-B80D-4B36-B7F0-F82807B03373}" srcOrd="0" destOrd="0" presId="urn:microsoft.com/office/officeart/2005/8/layout/process4"/>
    <dgm:cxn modelId="{9639D61A-758C-4318-B877-E4ACDA8F4E49}" srcId="{591E650B-DF42-43F8-9157-D37086CC78ED}" destId="{844242DC-B2FB-417D-9E55-167EE4770A84}" srcOrd="0" destOrd="0" parTransId="{C1F5957E-E6B8-4606-90B9-919E623F574C}" sibTransId="{6C53F2A8-AF22-4FB0-BFC1-372F5A25F5D7}"/>
    <dgm:cxn modelId="{2ED97D6D-29EA-4F08-9A9A-F765923CCF28}" type="presOf" srcId="{591E650B-DF42-43F8-9157-D37086CC78ED}" destId="{2A027809-9304-4DE5-951F-3FC6903B2A46}" srcOrd="0" destOrd="0" presId="urn:microsoft.com/office/officeart/2005/8/layout/process4"/>
    <dgm:cxn modelId="{997CE393-B323-4565-B540-761EF7E178E6}" type="presParOf" srcId="{B559408B-846B-412C-BF98-9E33415F1E4A}" destId="{F191EC83-3F07-4ADD-8F86-CC411DEE8F80}" srcOrd="0" destOrd="0" presId="urn:microsoft.com/office/officeart/2005/8/layout/process4"/>
    <dgm:cxn modelId="{ACFAE3CF-3854-4451-A6F5-F6DD5542111F}" type="presParOf" srcId="{F191EC83-3F07-4ADD-8F86-CC411DEE8F80}" destId="{F41F84EF-AF66-4EDD-A369-FFBBE000E4F5}" srcOrd="0" destOrd="0" presId="urn:microsoft.com/office/officeart/2005/8/layout/process4"/>
    <dgm:cxn modelId="{DDC98A7F-DC7B-4BB2-B3A6-21DD01F0D5CF}" type="presParOf" srcId="{F191EC83-3F07-4ADD-8F86-CC411DEE8F80}" destId="{C556FF20-2DC4-4809-88DC-80A43623E658}" srcOrd="1" destOrd="0" presId="urn:microsoft.com/office/officeart/2005/8/layout/process4"/>
    <dgm:cxn modelId="{4AC4CDC8-02E1-4927-BA67-82AA066E89C9}" type="presParOf" srcId="{F191EC83-3F07-4ADD-8F86-CC411DEE8F80}" destId="{A502A2E6-5C5E-44A3-9D1A-6BDB6CAFCC16}" srcOrd="2" destOrd="0" presId="urn:microsoft.com/office/officeart/2005/8/layout/process4"/>
    <dgm:cxn modelId="{7E55AB59-03B5-4ED7-8CAD-C6D1307576BE}" type="presParOf" srcId="{A502A2E6-5C5E-44A3-9D1A-6BDB6CAFCC16}" destId="{58D8AC6C-44CB-4F6C-9D98-EC88470D20D6}" srcOrd="0" destOrd="0" presId="urn:microsoft.com/office/officeart/2005/8/layout/process4"/>
    <dgm:cxn modelId="{3B7799A3-DC39-4E9D-852E-6018F100DE8B}" type="presParOf" srcId="{B559408B-846B-412C-BF98-9E33415F1E4A}" destId="{0F3B6AFD-8D6F-48A8-BFAB-36210DACF84A}" srcOrd="1" destOrd="0" presId="urn:microsoft.com/office/officeart/2005/8/layout/process4"/>
    <dgm:cxn modelId="{BB17489D-28F7-4181-B083-8AEC4ADF088E}" type="presParOf" srcId="{B559408B-846B-412C-BF98-9E33415F1E4A}" destId="{75B02435-DD50-450F-8EB9-F914508C755C}" srcOrd="2" destOrd="0" presId="urn:microsoft.com/office/officeart/2005/8/layout/process4"/>
    <dgm:cxn modelId="{D9C9B988-8AEC-4CE9-9477-0A047B409CCF}" type="presParOf" srcId="{75B02435-DD50-450F-8EB9-F914508C755C}" destId="{2BF66AA5-B80D-4B36-B7F0-F82807B03373}" srcOrd="0" destOrd="0" presId="urn:microsoft.com/office/officeart/2005/8/layout/process4"/>
    <dgm:cxn modelId="{D8EC19B8-AA59-4E15-A3A5-D0D868E2B632}" type="presParOf" srcId="{75B02435-DD50-450F-8EB9-F914508C755C}" destId="{53D94766-C45A-4802-962E-14E78D281AC8}" srcOrd="1" destOrd="0" presId="urn:microsoft.com/office/officeart/2005/8/layout/process4"/>
    <dgm:cxn modelId="{83420893-A73C-4BD4-9A71-9B246EA5613B}" type="presParOf" srcId="{75B02435-DD50-450F-8EB9-F914508C755C}" destId="{0E08A965-ED60-4DD6-89B5-58282FEFC485}" srcOrd="2" destOrd="0" presId="urn:microsoft.com/office/officeart/2005/8/layout/process4"/>
    <dgm:cxn modelId="{0C82B908-5FCE-42E0-B158-5C71AB55A712}" type="presParOf" srcId="{0E08A965-ED60-4DD6-89B5-58282FEFC485}" destId="{B624D35F-6C3B-422C-85A1-669A7F88782B}" srcOrd="0" destOrd="0" presId="urn:microsoft.com/office/officeart/2005/8/layout/process4"/>
    <dgm:cxn modelId="{E311A27A-B880-4300-8B66-78F155E90A72}" type="presParOf" srcId="{B559408B-846B-412C-BF98-9E33415F1E4A}" destId="{6A59904B-1F7F-43F6-9D7F-E64E8F3A98A2}" srcOrd="3" destOrd="0" presId="urn:microsoft.com/office/officeart/2005/8/layout/process4"/>
    <dgm:cxn modelId="{97B6B60A-5A7D-48F4-A594-AA5BF5F5BC84}" type="presParOf" srcId="{B559408B-846B-412C-BF98-9E33415F1E4A}" destId="{8059B69A-1EB0-4A19-94DD-C25AD604D6CF}" srcOrd="4" destOrd="0" presId="urn:microsoft.com/office/officeart/2005/8/layout/process4"/>
    <dgm:cxn modelId="{168036CD-5C54-4172-83DC-D0EECE9B2780}" type="presParOf" srcId="{8059B69A-1EB0-4A19-94DD-C25AD604D6CF}" destId="{2A027809-9304-4DE5-951F-3FC6903B2A46}" srcOrd="0" destOrd="0" presId="urn:microsoft.com/office/officeart/2005/8/layout/process4"/>
    <dgm:cxn modelId="{292E7CCF-B961-49B3-AA49-5C67F5704097}" type="presParOf" srcId="{8059B69A-1EB0-4A19-94DD-C25AD604D6CF}" destId="{FD3442BD-B0BC-4E65-8C22-0ABDA55E6C74}" srcOrd="1" destOrd="0" presId="urn:microsoft.com/office/officeart/2005/8/layout/process4"/>
    <dgm:cxn modelId="{65A3BBBA-993B-4266-9D9A-48E9DAAB2C91}" type="presParOf" srcId="{8059B69A-1EB0-4A19-94DD-C25AD604D6CF}" destId="{301166A3-E64E-42CF-9222-E2511AF2DE74}" srcOrd="2" destOrd="0" presId="urn:microsoft.com/office/officeart/2005/8/layout/process4"/>
    <dgm:cxn modelId="{29A72F17-6C0B-44C2-94AA-29BC90144BFF}" type="presParOf" srcId="{301166A3-E64E-42CF-9222-E2511AF2DE74}" destId="{92716378-FE05-4F17-8658-346BF0D0D26C}" srcOrd="0" destOrd="0" presId="urn:microsoft.com/office/officeart/2005/8/layout/process4"/>
    <dgm:cxn modelId="{A20EE535-C8FD-416B-86C0-EBB492B9C286}" type="presParOf" srcId="{B559408B-846B-412C-BF98-9E33415F1E4A}" destId="{6BFBF72A-1EB6-4616-8704-5FBD2AD49226}" srcOrd="5" destOrd="0" presId="urn:microsoft.com/office/officeart/2005/8/layout/process4"/>
    <dgm:cxn modelId="{E91D18A8-4AD4-47D8-A33F-3330FBF6B5A5}" type="presParOf" srcId="{B559408B-846B-412C-BF98-9E33415F1E4A}" destId="{B64BA2BA-0BCC-4589-9CD7-6694A46EC16E}" srcOrd="6" destOrd="0" presId="urn:microsoft.com/office/officeart/2005/8/layout/process4"/>
    <dgm:cxn modelId="{FE6AF2D7-F324-458C-81C8-9B44025D94B2}" type="presParOf" srcId="{B64BA2BA-0BCC-4589-9CD7-6694A46EC16E}" destId="{6BAD4887-5A3C-4F7A-B534-7A654391CDC2}" srcOrd="0" destOrd="0" presId="urn:microsoft.com/office/officeart/2005/8/layout/process4"/>
    <dgm:cxn modelId="{238812F1-437D-40F8-993D-2ED4AFA0F3BE}" type="presParOf" srcId="{B64BA2BA-0BCC-4589-9CD7-6694A46EC16E}" destId="{15D9120B-2C25-4345-9972-D4A73591B6B1}" srcOrd="1" destOrd="0" presId="urn:microsoft.com/office/officeart/2005/8/layout/process4"/>
    <dgm:cxn modelId="{4D7A3009-9F6F-45DB-8784-CBBA327E9380}" type="presParOf" srcId="{B64BA2BA-0BCC-4589-9CD7-6694A46EC16E}" destId="{E36E2A10-2EAD-4FD1-B13D-40515C187CD1}" srcOrd="2" destOrd="0" presId="urn:microsoft.com/office/officeart/2005/8/layout/process4"/>
    <dgm:cxn modelId="{DA554CFD-1A93-4CAA-82CA-1EE3552441C4}" type="presParOf" srcId="{E36E2A10-2EAD-4FD1-B13D-40515C187CD1}" destId="{EF93CD5C-D822-431C-BE22-BAB70A5862DD}"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56FF20-2DC4-4809-88DC-80A43623E658}">
      <dsp:nvSpPr>
        <dsp:cNvPr id="0" name=""/>
        <dsp:cNvSpPr/>
      </dsp:nvSpPr>
      <dsp:spPr>
        <a:xfrm>
          <a:off x="0" y="1875015"/>
          <a:ext cx="3016250" cy="4102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dirty="0" smtClean="0"/>
            <a:t>National Research and Education Network</a:t>
          </a:r>
          <a:endParaRPr lang="en-AU" sz="1000" b="1" kern="1200" dirty="0"/>
        </a:p>
      </dsp:txBody>
      <dsp:txXfrm>
        <a:off x="0" y="1875015"/>
        <a:ext cx="3016250" cy="221512"/>
      </dsp:txXfrm>
    </dsp:sp>
    <dsp:sp modelId="{58D8AC6C-44CB-4F6C-9D98-EC88470D20D6}">
      <dsp:nvSpPr>
        <dsp:cNvPr id="0" name=""/>
        <dsp:cNvSpPr/>
      </dsp:nvSpPr>
      <dsp:spPr>
        <a:xfrm>
          <a:off x="0" y="2088323"/>
          <a:ext cx="3016250" cy="18869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b="1" kern="1200" dirty="0" smtClean="0"/>
            <a:t>REQUIRES: Long-term Investment Strategy</a:t>
          </a:r>
          <a:endParaRPr lang="en-AU" sz="1000" b="1" kern="1200" dirty="0"/>
        </a:p>
      </dsp:txBody>
      <dsp:txXfrm>
        <a:off x="0" y="2088323"/>
        <a:ext cx="3016250" cy="188695"/>
      </dsp:txXfrm>
    </dsp:sp>
    <dsp:sp modelId="{53D94766-C45A-4802-962E-14E78D281AC8}">
      <dsp:nvSpPr>
        <dsp:cNvPr id="0" name=""/>
        <dsp:cNvSpPr/>
      </dsp:nvSpPr>
      <dsp:spPr>
        <a:xfrm rot="10800000">
          <a:off x="0" y="1250269"/>
          <a:ext cx="3016250" cy="630899"/>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dirty="0" smtClean="0"/>
            <a:t>Digital Research Infrastructure</a:t>
          </a:r>
          <a:endParaRPr lang="en-AU" sz="1000" b="1" kern="1200" dirty="0"/>
        </a:p>
      </dsp:txBody>
      <dsp:txXfrm rot="-10800000">
        <a:off x="0" y="1250269"/>
        <a:ext cx="3016250" cy="221445"/>
      </dsp:txXfrm>
    </dsp:sp>
    <dsp:sp modelId="{B624D35F-6C3B-422C-85A1-669A7F88782B}">
      <dsp:nvSpPr>
        <dsp:cNvPr id="0" name=""/>
        <dsp:cNvSpPr/>
      </dsp:nvSpPr>
      <dsp:spPr>
        <a:xfrm>
          <a:off x="0" y="1471714"/>
          <a:ext cx="3016250" cy="18863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b="1" kern="1200" dirty="0" smtClean="0"/>
            <a:t>REQUIRES: National Research and Education Network</a:t>
          </a:r>
          <a:endParaRPr lang="en-AU" sz="1000" b="1" kern="1200" dirty="0"/>
        </a:p>
      </dsp:txBody>
      <dsp:txXfrm>
        <a:off x="0" y="1471714"/>
        <a:ext cx="3016250" cy="188638"/>
      </dsp:txXfrm>
    </dsp:sp>
    <dsp:sp modelId="{FD3442BD-B0BC-4E65-8C22-0ABDA55E6C74}">
      <dsp:nvSpPr>
        <dsp:cNvPr id="0" name=""/>
        <dsp:cNvSpPr/>
      </dsp:nvSpPr>
      <dsp:spPr>
        <a:xfrm rot="10800000">
          <a:off x="0" y="625523"/>
          <a:ext cx="3016250" cy="630899"/>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dirty="0" smtClean="0"/>
            <a:t>Research Excellence</a:t>
          </a:r>
          <a:endParaRPr lang="en-AU" sz="1000" b="1" kern="1200" dirty="0"/>
        </a:p>
      </dsp:txBody>
      <dsp:txXfrm rot="-10800000">
        <a:off x="0" y="625523"/>
        <a:ext cx="3016250" cy="221445"/>
      </dsp:txXfrm>
    </dsp:sp>
    <dsp:sp modelId="{92716378-FE05-4F17-8658-346BF0D0D26C}">
      <dsp:nvSpPr>
        <dsp:cNvPr id="0" name=""/>
        <dsp:cNvSpPr/>
      </dsp:nvSpPr>
      <dsp:spPr>
        <a:xfrm>
          <a:off x="0" y="846968"/>
          <a:ext cx="3016250" cy="18863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b="1" kern="1200" dirty="0" smtClean="0"/>
            <a:t>REQUIRES: Digitally Enabled Research Infrastructure</a:t>
          </a:r>
          <a:endParaRPr lang="en-AU" sz="1000" b="1" kern="1200" dirty="0"/>
        </a:p>
      </dsp:txBody>
      <dsp:txXfrm>
        <a:off x="0" y="846968"/>
        <a:ext cx="3016250" cy="188638"/>
      </dsp:txXfrm>
    </dsp:sp>
    <dsp:sp modelId="{15D9120B-2C25-4345-9972-D4A73591B6B1}">
      <dsp:nvSpPr>
        <dsp:cNvPr id="0" name=""/>
        <dsp:cNvSpPr/>
      </dsp:nvSpPr>
      <dsp:spPr>
        <a:xfrm rot="10800000">
          <a:off x="0" y="777"/>
          <a:ext cx="3016250" cy="630899"/>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dirty="0" smtClean="0"/>
            <a:t>Commercial Return</a:t>
          </a:r>
          <a:endParaRPr lang="en-AU" sz="1000" b="1" kern="1200" dirty="0"/>
        </a:p>
      </dsp:txBody>
      <dsp:txXfrm rot="-10800000">
        <a:off x="0" y="777"/>
        <a:ext cx="3016250" cy="221445"/>
      </dsp:txXfrm>
    </dsp:sp>
    <dsp:sp modelId="{EF93CD5C-D822-431C-BE22-BAB70A5862DD}">
      <dsp:nvSpPr>
        <dsp:cNvPr id="0" name=""/>
        <dsp:cNvSpPr/>
      </dsp:nvSpPr>
      <dsp:spPr>
        <a:xfrm>
          <a:off x="0" y="222222"/>
          <a:ext cx="3016250" cy="18863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b="1" kern="1200" dirty="0" smtClean="0"/>
            <a:t>REQUIRES: Research Excellence</a:t>
          </a:r>
          <a:endParaRPr lang="en-AU" sz="1000" b="1" kern="1200" dirty="0"/>
        </a:p>
      </dsp:txBody>
      <dsp:txXfrm>
        <a:off x="0" y="222222"/>
        <a:ext cx="3016250" cy="1886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BCR1400064</SubmissionID>
    <OriginalFileName xmlns="ed110c73-9675-4a40-bedd-85eaf24174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BDBD-F1D9-4D52-A053-931F0D515B52}"/>
</file>

<file path=customXml/itemProps2.xml><?xml version="1.0" encoding="utf-8"?>
<ds:datastoreItem xmlns:ds="http://schemas.openxmlformats.org/officeDocument/2006/customXml" ds:itemID="{308DC8EE-92FB-46EA-8F39-0804C0DA3159}"/>
</file>

<file path=customXml/itemProps3.xml><?xml version="1.0" encoding="utf-8"?>
<ds:datastoreItem xmlns:ds="http://schemas.openxmlformats.org/officeDocument/2006/customXml" ds:itemID="{B94BEAAE-A8D6-4329-B36E-7651B29D35D3}"/>
</file>

<file path=customXml/itemProps4.xml><?xml version="1.0" encoding="utf-8"?>
<ds:datastoreItem xmlns:ds="http://schemas.openxmlformats.org/officeDocument/2006/customXml" ds:itemID="{76B18A5B-0F0E-413D-AFCA-0B2DA66B8E92}"/>
</file>

<file path=docProps/app.xml><?xml version="1.0" encoding="utf-8"?>
<Properties xmlns="http://schemas.openxmlformats.org/officeDocument/2006/extended-properties" xmlns:vt="http://schemas.openxmlformats.org/officeDocument/2006/docPropsVTypes">
  <Template>6F054652.dotm</Template>
  <TotalTime>0</TotalTime>
  <Pages>4</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AARNet</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Elford</dc:creator>
  <cp:lastModifiedBy>Drew Menzies-McVey</cp:lastModifiedBy>
  <cp:revision>2</cp:revision>
  <cp:lastPrinted>2015-02-23T04:22:00Z</cp:lastPrinted>
  <dcterms:created xsi:type="dcterms:W3CDTF">2015-02-23T04:23:00Z</dcterms:created>
  <dcterms:modified xsi:type="dcterms:W3CDTF">2015-02-23T04:23:00Z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