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8A27" w14:textId="77777777" w:rsidR="00F623A3" w:rsidRPr="000D1F5C" w:rsidRDefault="00F623A3" w:rsidP="00F623A3">
      <w:pPr>
        <w:jc w:val="right"/>
        <w:rPr>
          <w:rFonts w:ascii="Century Gothic" w:hAnsi="Century Gothic" w:cs="Arial"/>
          <w:color w:val="7F7F7F" w:themeColor="text1" w:themeTint="80"/>
          <w:sz w:val="24"/>
          <w:szCs w:val="24"/>
        </w:rPr>
      </w:pPr>
      <w:bookmarkStart w:id="0" w:name="_GoBack"/>
      <w:bookmarkEnd w:id="0"/>
    </w:p>
    <w:p w14:paraId="528F8A28" w14:textId="77777777" w:rsidR="00F623A3" w:rsidRPr="000D1F5C" w:rsidRDefault="00F623A3" w:rsidP="00F623A3">
      <w:pPr>
        <w:jc w:val="right"/>
        <w:rPr>
          <w:rFonts w:ascii="Century Gothic" w:hAnsi="Century Gothic" w:cs="Arial"/>
        </w:rPr>
      </w:pPr>
    </w:p>
    <w:p w14:paraId="528F8A2A" w14:textId="4C4272A3" w:rsidR="008711D9" w:rsidRDefault="00117972" w:rsidP="007819E2">
      <w:pPr>
        <w:pStyle w:val="Heading1"/>
      </w:pPr>
      <w:r>
        <w:t>Boosting the Commercial Returns from R</w:t>
      </w:r>
      <w:r w:rsidR="0080362F" w:rsidRPr="0080362F">
        <w:t>esearch</w:t>
      </w:r>
    </w:p>
    <w:p w14:paraId="528F8A2B" w14:textId="77777777" w:rsidR="0080362F" w:rsidRPr="008711D9" w:rsidRDefault="0080362F" w:rsidP="007819E2">
      <w:pPr>
        <w:pStyle w:val="Heading1"/>
      </w:pPr>
    </w:p>
    <w:p w14:paraId="528F8A2C" w14:textId="77777777" w:rsidR="008711D9" w:rsidRPr="008711D9" w:rsidRDefault="00D41AD0" w:rsidP="007819E2">
      <w:pPr>
        <w:pStyle w:val="Heading1"/>
      </w:pPr>
      <w:r>
        <w:t xml:space="preserve">- </w:t>
      </w:r>
      <w:r w:rsidR="0080362F">
        <w:t xml:space="preserve">Submission by Griffith University </w:t>
      </w:r>
      <w:r>
        <w:t>-</w:t>
      </w:r>
    </w:p>
    <w:p w14:paraId="528F8A2D" w14:textId="77777777" w:rsidR="00F623A3" w:rsidRPr="000D1F5C" w:rsidRDefault="00F623A3" w:rsidP="008711D9">
      <w:pPr>
        <w:jc w:val="center"/>
        <w:rPr>
          <w:rFonts w:ascii="Century Gothic" w:hAnsi="Century Gothic" w:cs="Arial"/>
          <w:color w:val="7F7F7F" w:themeColor="text1" w:themeTint="80"/>
          <w:sz w:val="24"/>
          <w:szCs w:val="24"/>
        </w:rPr>
      </w:pPr>
    </w:p>
    <w:p w14:paraId="528F8A2E" w14:textId="77777777" w:rsidR="00F623A3" w:rsidRPr="000D1F5C" w:rsidRDefault="00F623A3" w:rsidP="00F623A3">
      <w:pPr>
        <w:jc w:val="right"/>
        <w:rPr>
          <w:rFonts w:ascii="Century Gothic" w:hAnsi="Century Gothic" w:cs="Arial"/>
          <w:color w:val="7F7F7F" w:themeColor="text1" w:themeTint="80"/>
          <w:sz w:val="24"/>
          <w:szCs w:val="24"/>
        </w:rPr>
      </w:pPr>
    </w:p>
    <w:p w14:paraId="528F8A2F" w14:textId="77777777" w:rsidR="00F623A3" w:rsidRPr="000D1F5C" w:rsidRDefault="0080362F" w:rsidP="007819E2">
      <w:pPr>
        <w:pStyle w:val="Heading2"/>
      </w:pPr>
      <w:r>
        <w:t>Department of Education – Department of Industry</w:t>
      </w:r>
    </w:p>
    <w:p w14:paraId="528F8A30" w14:textId="77777777" w:rsidR="00F623A3" w:rsidRDefault="00F623A3" w:rsidP="0042791E">
      <w:pPr>
        <w:jc w:val="right"/>
        <w:rPr>
          <w:rFonts w:ascii="Century Gothic" w:hAnsi="Century Gothic" w:cs="Arial"/>
          <w:color w:val="7F7F7F" w:themeColor="text1" w:themeTint="80"/>
          <w:sz w:val="24"/>
          <w:szCs w:val="24"/>
        </w:rPr>
      </w:pPr>
      <w:r w:rsidRPr="000D1F5C">
        <w:rPr>
          <w:rFonts w:ascii="Century Gothic" w:hAnsi="Century Gothic" w:cs="Arial"/>
          <w:color w:val="7F7F7F" w:themeColor="text1" w:themeTint="80"/>
          <w:sz w:val="24"/>
          <w:szCs w:val="24"/>
        </w:rPr>
        <w:t xml:space="preserve"> </w:t>
      </w:r>
    </w:p>
    <w:p w14:paraId="528F8A31" w14:textId="77777777" w:rsidR="0042791E" w:rsidRDefault="0042791E" w:rsidP="0042791E">
      <w:pPr>
        <w:jc w:val="right"/>
        <w:rPr>
          <w:rFonts w:ascii="Century Gothic" w:hAnsi="Century Gothic" w:cs="Arial"/>
          <w:color w:val="7F7F7F" w:themeColor="text1" w:themeTint="80"/>
          <w:sz w:val="24"/>
          <w:szCs w:val="24"/>
        </w:rPr>
      </w:pPr>
    </w:p>
    <w:p w14:paraId="528F8A32" w14:textId="77777777" w:rsidR="002A66A3" w:rsidRPr="001E3F56" w:rsidRDefault="002A66A3" w:rsidP="002A66A3">
      <w:pPr>
        <w:jc w:val="right"/>
        <w:rPr>
          <w:rFonts w:ascii="Century Gothic" w:hAnsi="Century Gothic"/>
          <w:color w:val="FF0000"/>
          <w:sz w:val="48"/>
        </w:rPr>
      </w:pPr>
    </w:p>
    <w:p w14:paraId="528F8A33" w14:textId="77777777" w:rsidR="002A66A3" w:rsidRPr="001E3F56" w:rsidRDefault="002A66A3" w:rsidP="002A66A3">
      <w:pPr>
        <w:spacing w:line="240" w:lineRule="auto"/>
        <w:jc w:val="right"/>
        <w:rPr>
          <w:rFonts w:ascii="Century Gothic" w:hAnsi="Century Gothic"/>
          <w:sz w:val="48"/>
        </w:rPr>
      </w:pPr>
      <w:r w:rsidRPr="001E3F56">
        <w:rPr>
          <w:rFonts w:ascii="Century Gothic" w:hAnsi="Century Gothic"/>
          <w:noProof/>
          <w:color w:val="FF0000"/>
          <w:sz w:val="48"/>
          <w:lang w:eastAsia="en-AU"/>
        </w:rPr>
        <w:drawing>
          <wp:inline distT="0" distB="0" distL="0" distR="0" wp14:anchorId="528F8B20" wp14:editId="5297ACB9">
            <wp:extent cx="2526440" cy="912987"/>
            <wp:effectExtent l="0" t="0" r="7620" b="1905"/>
            <wp:docPr id="3" name="Picture 3" descr="G:\griffith-enterprise\e Marketing &amp; Promotion\GE Marketing Templates\03 GU logo &amp; promotional items\Other GU logo versions\01 Black &amp; red logo\black and red logo_cropped.jpg" title="Griffith university logo in black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iffith-enterprise\e Marketing &amp; Promotion\GE Marketing Templates\03 GU logo &amp; promotional items\Other GU logo versions\01 Black &amp; red logo\black and red logo_cropp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6440" cy="912987"/>
                    </a:xfrm>
                    <a:prstGeom prst="rect">
                      <a:avLst/>
                    </a:prstGeom>
                    <a:noFill/>
                    <a:ln>
                      <a:noFill/>
                    </a:ln>
                  </pic:spPr>
                </pic:pic>
              </a:graphicData>
            </a:graphic>
          </wp:inline>
        </w:drawing>
      </w:r>
    </w:p>
    <w:p w14:paraId="528F8A34" w14:textId="77777777" w:rsidR="002A66A3" w:rsidRPr="001E3F56" w:rsidRDefault="002A66A3" w:rsidP="002A66A3">
      <w:pPr>
        <w:spacing w:after="0" w:line="240" w:lineRule="exact"/>
        <w:jc w:val="right"/>
        <w:rPr>
          <w:rFonts w:ascii="Century Gothic" w:hAnsi="Century Gothic" w:cs="Arial"/>
          <w:sz w:val="28"/>
        </w:rPr>
      </w:pPr>
      <w:r w:rsidRPr="001E3F56">
        <w:rPr>
          <w:rFonts w:ascii="Century Gothic" w:hAnsi="Century Gothic" w:cs="Arial"/>
          <w:color w:val="FF0000"/>
          <w:sz w:val="28"/>
        </w:rPr>
        <w:t xml:space="preserve">Know </w:t>
      </w:r>
      <w:r w:rsidRPr="001E3F56">
        <w:rPr>
          <w:rFonts w:ascii="Century Gothic" w:hAnsi="Century Gothic" w:cs="Arial"/>
          <w:sz w:val="28"/>
        </w:rPr>
        <w:t xml:space="preserve">more. </w:t>
      </w:r>
      <w:r>
        <w:rPr>
          <w:rFonts w:ascii="Century Gothic" w:hAnsi="Century Gothic" w:cs="Arial"/>
          <w:color w:val="FF0000"/>
          <w:sz w:val="28"/>
        </w:rPr>
        <w:t>D</w:t>
      </w:r>
      <w:r w:rsidRPr="001E3F56">
        <w:rPr>
          <w:rFonts w:ascii="Century Gothic" w:hAnsi="Century Gothic" w:cs="Arial"/>
          <w:color w:val="FF0000"/>
          <w:sz w:val="28"/>
        </w:rPr>
        <w:t>o</w:t>
      </w:r>
      <w:r w:rsidRPr="001E3F56">
        <w:rPr>
          <w:rFonts w:ascii="Century Gothic" w:hAnsi="Century Gothic" w:cs="Arial"/>
          <w:sz w:val="28"/>
        </w:rPr>
        <w:t xml:space="preserve"> more.</w:t>
      </w:r>
    </w:p>
    <w:p w14:paraId="528F8A35" w14:textId="77777777" w:rsidR="002A66A3" w:rsidRPr="001E3F56" w:rsidRDefault="002A66A3" w:rsidP="002A66A3">
      <w:pPr>
        <w:spacing w:after="0" w:line="240" w:lineRule="exact"/>
        <w:jc w:val="right"/>
        <w:rPr>
          <w:rFonts w:ascii="Century Gothic" w:hAnsi="Century Gothic" w:cs="Arial"/>
          <w:sz w:val="28"/>
        </w:rPr>
      </w:pPr>
    </w:p>
    <w:p w14:paraId="528F8A36" w14:textId="77777777" w:rsidR="002A66A3" w:rsidRPr="001E3F56" w:rsidRDefault="002A66A3" w:rsidP="002A66A3">
      <w:pPr>
        <w:spacing w:after="0" w:line="240" w:lineRule="exact"/>
        <w:jc w:val="right"/>
        <w:rPr>
          <w:rFonts w:ascii="Century Gothic" w:hAnsi="Century Gothic" w:cs="Arial"/>
          <w:sz w:val="28"/>
        </w:rPr>
      </w:pPr>
    </w:p>
    <w:p w14:paraId="528F8A37" w14:textId="77777777" w:rsidR="002A66A3" w:rsidRPr="00636176" w:rsidRDefault="002A66A3" w:rsidP="002A66A3">
      <w:pPr>
        <w:spacing w:after="0" w:line="351" w:lineRule="atLeast"/>
        <w:ind w:left="192"/>
        <w:jc w:val="right"/>
        <w:textAlignment w:val="baseline"/>
        <w:rPr>
          <w:rFonts w:ascii="Century Gothic" w:eastAsia="Times New Roman" w:hAnsi="Century Gothic" w:cs="Arial"/>
          <w:color w:val="7F7F7F" w:themeColor="text1" w:themeTint="80"/>
          <w:sz w:val="24"/>
          <w:szCs w:val="24"/>
          <w:lang w:eastAsia="en-AU"/>
        </w:rPr>
      </w:pPr>
      <w:r w:rsidRPr="00636176">
        <w:rPr>
          <w:rFonts w:ascii="Century Gothic" w:eastAsia="Times New Roman" w:hAnsi="Century Gothic" w:cs="Arial"/>
          <w:color w:val="7F7F7F" w:themeColor="text1" w:themeTint="80"/>
          <w:sz w:val="24"/>
          <w:szCs w:val="24"/>
          <w:lang w:eastAsia="en-AU"/>
        </w:rPr>
        <w:t>Nathan campus Griffith University</w:t>
      </w:r>
      <w:r w:rsidRPr="00636176">
        <w:rPr>
          <w:rFonts w:ascii="Century Gothic" w:eastAsia="Times New Roman" w:hAnsi="Century Gothic" w:cs="Arial"/>
          <w:color w:val="7F7F7F" w:themeColor="text1" w:themeTint="80"/>
          <w:sz w:val="24"/>
          <w:szCs w:val="24"/>
          <w:lang w:eastAsia="en-AU"/>
        </w:rPr>
        <w:br/>
        <w:t>170 Kessels Road</w:t>
      </w:r>
      <w:r w:rsidRPr="00636176">
        <w:rPr>
          <w:rFonts w:ascii="Century Gothic" w:eastAsia="Times New Roman" w:hAnsi="Century Gothic" w:cs="Arial"/>
          <w:color w:val="7F7F7F" w:themeColor="text1" w:themeTint="80"/>
          <w:sz w:val="24"/>
          <w:szCs w:val="24"/>
          <w:lang w:eastAsia="en-AU"/>
        </w:rPr>
        <w:br/>
        <w:t xml:space="preserve">Nathan </w:t>
      </w:r>
    </w:p>
    <w:p w14:paraId="528F8A38" w14:textId="77777777" w:rsidR="002A66A3" w:rsidRPr="00636176" w:rsidRDefault="002A66A3" w:rsidP="002A66A3">
      <w:pPr>
        <w:spacing w:after="0" w:line="351" w:lineRule="atLeast"/>
        <w:ind w:left="192"/>
        <w:jc w:val="right"/>
        <w:textAlignment w:val="baseline"/>
        <w:rPr>
          <w:rFonts w:ascii="Century Gothic" w:eastAsia="Times New Roman" w:hAnsi="Century Gothic" w:cs="Arial"/>
          <w:color w:val="7F7F7F" w:themeColor="text1" w:themeTint="80"/>
          <w:sz w:val="24"/>
          <w:szCs w:val="24"/>
          <w:lang w:eastAsia="en-AU"/>
        </w:rPr>
      </w:pPr>
      <w:r w:rsidRPr="00636176">
        <w:rPr>
          <w:rFonts w:ascii="Century Gothic" w:eastAsia="Times New Roman" w:hAnsi="Century Gothic" w:cs="Arial"/>
          <w:color w:val="7F7F7F" w:themeColor="text1" w:themeTint="80"/>
          <w:sz w:val="24"/>
          <w:szCs w:val="24"/>
          <w:lang w:eastAsia="en-AU"/>
        </w:rPr>
        <w:t>QLD 4111</w:t>
      </w:r>
    </w:p>
    <w:p w14:paraId="528F8A39" w14:textId="77777777" w:rsidR="00F623A3" w:rsidRPr="000D1F5C" w:rsidRDefault="00F623A3" w:rsidP="00F623A3">
      <w:pPr>
        <w:jc w:val="right"/>
        <w:rPr>
          <w:rFonts w:ascii="Century Gothic" w:hAnsi="Century Gothic" w:cs="Arial"/>
          <w:color w:val="7F7F7F" w:themeColor="text1" w:themeTint="80"/>
          <w:sz w:val="24"/>
          <w:szCs w:val="24"/>
        </w:rPr>
      </w:pPr>
    </w:p>
    <w:p w14:paraId="528F8A3A" w14:textId="77777777" w:rsidR="009603B0" w:rsidRPr="000D1F5C" w:rsidRDefault="009603B0">
      <w:pPr>
        <w:rPr>
          <w:rFonts w:ascii="Century Gothic" w:hAnsi="Century Gothic" w:cs="Arial"/>
          <w:color w:val="FF0000"/>
          <w:sz w:val="72"/>
          <w:szCs w:val="72"/>
        </w:rPr>
        <w:sectPr w:rsidR="009603B0" w:rsidRPr="000D1F5C" w:rsidSect="0022453C">
          <w:footerReference w:type="default" r:id="rId13"/>
          <w:pgSz w:w="11906" w:h="16838"/>
          <w:pgMar w:top="1440" w:right="991" w:bottom="1440" w:left="1134" w:header="708" w:footer="708" w:gutter="0"/>
          <w:cols w:space="708"/>
          <w:docGrid w:linePitch="360"/>
        </w:sectPr>
      </w:pPr>
    </w:p>
    <w:p w14:paraId="528F8A3B" w14:textId="77777777" w:rsidR="00762371" w:rsidRPr="003F0A99" w:rsidRDefault="0028474F" w:rsidP="007819E2">
      <w:pPr>
        <w:pStyle w:val="Heading1"/>
      </w:pPr>
      <w:r w:rsidRPr="003F0A99">
        <w:lastRenderedPageBreak/>
        <w:t>Content</w:t>
      </w:r>
      <w:r w:rsidR="0077012A" w:rsidRPr="003F0A99">
        <w:t>s</w:t>
      </w:r>
    </w:p>
    <w:p w14:paraId="528F8A3C" w14:textId="77777777" w:rsidR="00762371" w:rsidRPr="003F0A99" w:rsidRDefault="001F2503" w:rsidP="007819E2">
      <w:pPr>
        <w:pStyle w:val="Heading2"/>
      </w:pPr>
      <w:r w:rsidRPr="003F0A99">
        <w:t>Introduction</w:t>
      </w:r>
    </w:p>
    <w:p w14:paraId="528F8A3D" w14:textId="77777777" w:rsidR="0077012A" w:rsidRPr="003F0A99" w:rsidRDefault="0077012A" w:rsidP="007819E2">
      <w:pPr>
        <w:pStyle w:val="Heading2"/>
      </w:pPr>
      <w:r w:rsidRPr="003F0A99">
        <w:t>Setting National Research Priorities</w:t>
      </w:r>
    </w:p>
    <w:p w14:paraId="528F8A3E" w14:textId="77777777" w:rsidR="0077012A" w:rsidRPr="003F0A99" w:rsidRDefault="0077012A" w:rsidP="007819E2">
      <w:pPr>
        <w:pStyle w:val="Heading2"/>
      </w:pPr>
      <w:r w:rsidRPr="003F0A99">
        <w:t>Fostering Collaboration between Industry and Higher Education Institutions</w:t>
      </w:r>
    </w:p>
    <w:p w14:paraId="528F8A3F" w14:textId="77777777" w:rsidR="0077012A" w:rsidRPr="003F0A99" w:rsidRDefault="0077012A" w:rsidP="007819E2">
      <w:pPr>
        <w:pStyle w:val="Heading2"/>
      </w:pPr>
      <w:r w:rsidRPr="003F0A99">
        <w:t>Entrepreneurship</w:t>
      </w:r>
    </w:p>
    <w:p w14:paraId="528F8A40" w14:textId="77777777" w:rsidR="0077012A" w:rsidRPr="003F0A99" w:rsidRDefault="0077012A" w:rsidP="007819E2">
      <w:pPr>
        <w:pStyle w:val="Heading2"/>
      </w:pPr>
      <w:r w:rsidRPr="003F0A99">
        <w:t>Incentivising Staff to commercialise</w:t>
      </w:r>
    </w:p>
    <w:p w14:paraId="528F8A41" w14:textId="77777777" w:rsidR="0077012A" w:rsidRPr="003F0A99" w:rsidRDefault="0077012A" w:rsidP="007819E2">
      <w:pPr>
        <w:pStyle w:val="Heading2"/>
      </w:pPr>
      <w:r w:rsidRPr="003F0A99">
        <w:t>Measurement of Outcomes</w:t>
      </w:r>
    </w:p>
    <w:p w14:paraId="528F8A44" w14:textId="2C34C570" w:rsidR="0046261A" w:rsidRPr="00552F65" w:rsidRDefault="0077012A" w:rsidP="00552F65">
      <w:pPr>
        <w:pStyle w:val="Heading2"/>
      </w:pPr>
      <w:r w:rsidRPr="003F0A99">
        <w:t>Capitalising on the Medical Research Future Fund</w:t>
      </w:r>
    </w:p>
    <w:p w14:paraId="528F8A45" w14:textId="77777777" w:rsidR="00235357" w:rsidRDefault="00235357" w:rsidP="007819E2">
      <w:pPr>
        <w:pStyle w:val="Heading1"/>
      </w:pPr>
      <w:r>
        <w:t>Contact</w:t>
      </w:r>
    </w:p>
    <w:p w14:paraId="528F8A47" w14:textId="7F871494" w:rsidR="00235357" w:rsidRDefault="00235357" w:rsidP="00235357">
      <w:pPr>
        <w:rPr>
          <w:rFonts w:ascii="Century Gothic" w:hAnsi="Century Gothic"/>
        </w:rPr>
      </w:pPr>
      <w:r>
        <w:rPr>
          <w:rFonts w:ascii="Century Gothic" w:hAnsi="Century Gothic"/>
        </w:rPr>
        <w:t xml:space="preserve">We </w:t>
      </w:r>
      <w:r w:rsidR="0042791E">
        <w:rPr>
          <w:rFonts w:ascii="Century Gothic" w:hAnsi="Century Gothic"/>
        </w:rPr>
        <w:t xml:space="preserve">kindly </w:t>
      </w:r>
      <w:r>
        <w:rPr>
          <w:rFonts w:ascii="Century Gothic" w:hAnsi="Century Gothic"/>
        </w:rPr>
        <w:t xml:space="preserve">ask </w:t>
      </w:r>
      <w:r w:rsidR="0042791E">
        <w:rPr>
          <w:rFonts w:ascii="Century Gothic" w:hAnsi="Century Gothic"/>
        </w:rPr>
        <w:t xml:space="preserve">the Department to </w:t>
      </w:r>
      <w:r>
        <w:rPr>
          <w:rFonts w:ascii="Century Gothic" w:hAnsi="Century Gothic"/>
        </w:rPr>
        <w:t xml:space="preserve">contact the </w:t>
      </w:r>
      <w:r w:rsidR="0042791E">
        <w:rPr>
          <w:rFonts w:ascii="Century Gothic" w:hAnsi="Century Gothic"/>
        </w:rPr>
        <w:t xml:space="preserve">Senior </w:t>
      </w:r>
      <w:r>
        <w:rPr>
          <w:rFonts w:ascii="Century Gothic" w:hAnsi="Century Gothic"/>
        </w:rPr>
        <w:t xml:space="preserve">Deputy </w:t>
      </w:r>
      <w:r w:rsidR="0042791E">
        <w:rPr>
          <w:rFonts w:ascii="Century Gothic" w:hAnsi="Century Gothic"/>
        </w:rPr>
        <w:t xml:space="preserve">Vice Chancellor of </w:t>
      </w:r>
      <w:r>
        <w:rPr>
          <w:rFonts w:ascii="Century Gothic" w:hAnsi="Century Gothic"/>
        </w:rPr>
        <w:t xml:space="preserve">Griffith </w:t>
      </w:r>
      <w:r w:rsidR="0042791E">
        <w:rPr>
          <w:rFonts w:ascii="Century Gothic" w:hAnsi="Century Gothic"/>
        </w:rPr>
        <w:t>University, Professor Ned Pankhurst,</w:t>
      </w:r>
      <w:r>
        <w:rPr>
          <w:rFonts w:ascii="Century Gothic" w:hAnsi="Century Gothic"/>
        </w:rPr>
        <w:t xml:space="preserve"> </w:t>
      </w:r>
      <w:r w:rsidR="0042791E">
        <w:rPr>
          <w:rFonts w:ascii="Century Gothic" w:hAnsi="Century Gothic"/>
        </w:rPr>
        <w:t>for any questions relating to</w:t>
      </w:r>
      <w:r>
        <w:rPr>
          <w:rFonts w:ascii="Century Gothic" w:hAnsi="Century Gothic"/>
        </w:rPr>
        <w:t xml:space="preserve"> Griffith University</w:t>
      </w:r>
      <w:r w:rsidR="0042791E">
        <w:rPr>
          <w:rFonts w:ascii="Century Gothic" w:hAnsi="Century Gothic"/>
        </w:rPr>
        <w:t>’s submission</w:t>
      </w:r>
      <w:r>
        <w:rPr>
          <w:rFonts w:ascii="Century Gothic" w:hAnsi="Century Gothic"/>
        </w:rPr>
        <w:t>.</w:t>
      </w:r>
    </w:p>
    <w:p w14:paraId="528F8A4F" w14:textId="77777777" w:rsidR="00235357" w:rsidRDefault="00235357" w:rsidP="00235357">
      <w:pPr>
        <w:rPr>
          <w:rFonts w:ascii="Century Gothic" w:hAnsi="Century Gothic"/>
        </w:rPr>
      </w:pPr>
    </w:p>
    <w:p w14:paraId="528F8A50" w14:textId="77777777" w:rsidR="00235357" w:rsidRDefault="00235357" w:rsidP="00235357">
      <w:pPr>
        <w:rPr>
          <w:rFonts w:ascii="Century Gothic" w:hAnsi="Century Gothic"/>
        </w:rPr>
        <w:sectPr w:rsidR="00235357" w:rsidSect="00531099">
          <w:pgSz w:w="11906" w:h="16838"/>
          <w:pgMar w:top="1440" w:right="1440" w:bottom="1440" w:left="1440" w:header="708" w:footer="708" w:gutter="0"/>
          <w:cols w:space="708"/>
          <w:docGrid w:linePitch="360"/>
        </w:sectPr>
      </w:pPr>
    </w:p>
    <w:p w14:paraId="528F8A51" w14:textId="77777777" w:rsidR="00762371" w:rsidRPr="003F0A99" w:rsidRDefault="00762371" w:rsidP="007819E2">
      <w:pPr>
        <w:pStyle w:val="Heading1"/>
      </w:pPr>
      <w:r w:rsidRPr="003F0A99">
        <w:lastRenderedPageBreak/>
        <w:t>Introduction</w:t>
      </w:r>
    </w:p>
    <w:p w14:paraId="528F8A52" w14:textId="77777777" w:rsidR="00674E31" w:rsidRDefault="00EF09F4" w:rsidP="00316DC4">
      <w:pPr>
        <w:jc w:val="both"/>
        <w:rPr>
          <w:rFonts w:ascii="Century Gothic" w:hAnsi="Century Gothic"/>
        </w:rPr>
      </w:pPr>
      <w:r>
        <w:rPr>
          <w:rFonts w:ascii="Century Gothic" w:hAnsi="Century Gothic"/>
        </w:rPr>
        <w:t xml:space="preserve">Translation of research outcomes into commercial outcomes is one of the cornerstones of Griffith University’s strategy to become </w:t>
      </w:r>
      <w:r w:rsidRPr="008F2525">
        <w:rPr>
          <w:rFonts w:ascii="Century Gothic" w:hAnsi="Century Gothic"/>
        </w:rPr>
        <w:t>one of the most influential universities in Australia and the Asia-Pacific region</w:t>
      </w:r>
      <w:r>
        <w:rPr>
          <w:rFonts w:ascii="Century Gothic" w:hAnsi="Century Gothic"/>
        </w:rPr>
        <w:t xml:space="preserve">.  </w:t>
      </w:r>
    </w:p>
    <w:p w14:paraId="528F8A53" w14:textId="77777777" w:rsidR="00EC5A5D" w:rsidRDefault="00EF09F4" w:rsidP="00316DC4">
      <w:pPr>
        <w:jc w:val="both"/>
        <w:rPr>
          <w:rFonts w:ascii="Century Gothic" w:hAnsi="Century Gothic"/>
        </w:rPr>
      </w:pPr>
      <w:r>
        <w:rPr>
          <w:rFonts w:ascii="Century Gothic" w:hAnsi="Century Gothic"/>
        </w:rPr>
        <w:t>Our mission “</w:t>
      </w:r>
      <w:r w:rsidRPr="008F2525">
        <w:rPr>
          <w:rFonts w:ascii="Century Gothic" w:hAnsi="Century Gothic"/>
        </w:rPr>
        <w:t>is to engage in outstanding scholarship that makes a major contribution to society and to produce ground</w:t>
      </w:r>
      <w:r w:rsidR="00EC5A5D">
        <w:rPr>
          <w:rFonts w:ascii="Century Gothic" w:hAnsi="Century Gothic"/>
        </w:rPr>
        <w:t>-</w:t>
      </w:r>
      <w:r w:rsidRPr="008F2525">
        <w:rPr>
          <w:rFonts w:ascii="Century Gothic" w:hAnsi="Century Gothic"/>
        </w:rPr>
        <w:t>breaking research</w:t>
      </w:r>
      <w:r>
        <w:rPr>
          <w:rFonts w:ascii="Century Gothic" w:hAnsi="Century Gothic"/>
        </w:rPr>
        <w:t>”.  The Griffith University Act 1998 incudes</w:t>
      </w:r>
      <w:r w:rsidR="00EC5A5D">
        <w:rPr>
          <w:rFonts w:ascii="Century Gothic" w:hAnsi="Century Gothic"/>
        </w:rPr>
        <w:t xml:space="preserve"> as functions of the University the </w:t>
      </w:r>
      <w:r w:rsidRPr="008F2525">
        <w:rPr>
          <w:rFonts w:ascii="Century Gothic" w:hAnsi="Century Gothic"/>
        </w:rPr>
        <w:t xml:space="preserve">application </w:t>
      </w:r>
      <w:r w:rsidR="00EC5A5D">
        <w:rPr>
          <w:rFonts w:ascii="Century Gothic" w:hAnsi="Century Gothic"/>
        </w:rPr>
        <w:t>and commercial exploitation of research outcomes with</w:t>
      </w:r>
      <w:r w:rsidRPr="008F2525">
        <w:rPr>
          <w:rFonts w:ascii="Century Gothic" w:hAnsi="Century Gothic"/>
        </w:rPr>
        <w:t xml:space="preserve"> government, indust</w:t>
      </w:r>
      <w:r w:rsidR="00EC5A5D">
        <w:rPr>
          <w:rFonts w:ascii="Century Gothic" w:hAnsi="Century Gothic"/>
        </w:rPr>
        <w:t>ry, and the broader community.</w:t>
      </w:r>
    </w:p>
    <w:p w14:paraId="528F8A54" w14:textId="77777777" w:rsidR="00674E31" w:rsidRDefault="00EF09F4" w:rsidP="00316DC4">
      <w:pPr>
        <w:jc w:val="both"/>
        <w:rPr>
          <w:rFonts w:ascii="Century Gothic" w:hAnsi="Century Gothic"/>
        </w:rPr>
      </w:pPr>
      <w:r>
        <w:rPr>
          <w:rFonts w:ascii="Century Gothic" w:hAnsi="Century Gothic"/>
        </w:rPr>
        <w:t xml:space="preserve">Griffith University has established </w:t>
      </w:r>
      <w:r w:rsidRPr="00132219">
        <w:rPr>
          <w:rFonts w:ascii="Century Gothic" w:hAnsi="Century Gothic"/>
          <w:i/>
        </w:rPr>
        <w:t>Griffith Enterprise</w:t>
      </w:r>
      <w:r>
        <w:rPr>
          <w:rFonts w:ascii="Century Gothic" w:hAnsi="Century Gothic"/>
        </w:rPr>
        <w:t xml:space="preserve">, </w:t>
      </w:r>
      <w:r w:rsidRPr="00A43B8F">
        <w:rPr>
          <w:rFonts w:ascii="Century Gothic" w:hAnsi="Century Gothic"/>
        </w:rPr>
        <w:t xml:space="preserve">the commercialisation and innovation office of </w:t>
      </w:r>
      <w:r>
        <w:rPr>
          <w:rFonts w:ascii="Century Gothic" w:hAnsi="Century Gothic"/>
        </w:rPr>
        <w:t xml:space="preserve">the University, with the aim of </w:t>
      </w:r>
      <w:r w:rsidRPr="00A43B8F">
        <w:rPr>
          <w:rFonts w:ascii="Century Gothic" w:hAnsi="Century Gothic"/>
        </w:rPr>
        <w:t>ensur</w:t>
      </w:r>
      <w:r>
        <w:rPr>
          <w:rFonts w:ascii="Century Gothic" w:hAnsi="Century Gothic"/>
        </w:rPr>
        <w:t>ing</w:t>
      </w:r>
      <w:r w:rsidRPr="00A43B8F">
        <w:rPr>
          <w:rFonts w:ascii="Century Gothic" w:hAnsi="Century Gothic"/>
        </w:rPr>
        <w:t xml:space="preserve"> that Griffith’s expertise, research capabilities, innovations and knowledge are utilised by government, industry, and the community.</w:t>
      </w:r>
      <w:r>
        <w:rPr>
          <w:rFonts w:ascii="Century Gothic" w:hAnsi="Century Gothic"/>
        </w:rPr>
        <w:t xml:space="preserve">  </w:t>
      </w:r>
    </w:p>
    <w:p w14:paraId="528F8A55" w14:textId="77777777" w:rsidR="00EF09F4" w:rsidRDefault="00EF09F4" w:rsidP="00316DC4">
      <w:pPr>
        <w:jc w:val="both"/>
        <w:rPr>
          <w:rFonts w:ascii="Century Gothic" w:hAnsi="Century Gothic"/>
        </w:rPr>
      </w:pPr>
      <w:r>
        <w:rPr>
          <w:rFonts w:ascii="Century Gothic" w:hAnsi="Century Gothic"/>
        </w:rPr>
        <w:t>This is achieved through consultancy and commercial research engagements</w:t>
      </w:r>
      <w:r w:rsidR="00E72A3D">
        <w:rPr>
          <w:rFonts w:ascii="Century Gothic" w:hAnsi="Century Gothic"/>
        </w:rPr>
        <w:t>, ensuring that</w:t>
      </w:r>
      <w:r>
        <w:rPr>
          <w:rFonts w:ascii="Century Gothic" w:hAnsi="Century Gothic"/>
        </w:rPr>
        <w:t xml:space="preserve"> industry </w:t>
      </w:r>
      <w:r w:rsidR="00E72A3D">
        <w:rPr>
          <w:rFonts w:ascii="Century Gothic" w:hAnsi="Century Gothic"/>
        </w:rPr>
        <w:t>and government partners</w:t>
      </w:r>
      <w:r>
        <w:rPr>
          <w:rFonts w:ascii="Century Gothic" w:hAnsi="Century Gothic"/>
        </w:rPr>
        <w:t xml:space="preserve"> access Griffith’s unique </w:t>
      </w:r>
      <w:r w:rsidR="002B3146">
        <w:rPr>
          <w:rFonts w:ascii="Century Gothic" w:hAnsi="Century Gothic"/>
        </w:rPr>
        <w:t xml:space="preserve">research </w:t>
      </w:r>
      <w:r>
        <w:rPr>
          <w:rFonts w:ascii="Century Gothic" w:hAnsi="Century Gothic"/>
        </w:rPr>
        <w:t xml:space="preserve">capabilities, facilities and know-how to conduct research and development that </w:t>
      </w:r>
      <w:r w:rsidR="00E72A3D">
        <w:rPr>
          <w:rFonts w:ascii="Century Gothic" w:hAnsi="Century Gothic"/>
        </w:rPr>
        <w:t xml:space="preserve">they </w:t>
      </w:r>
      <w:r>
        <w:rPr>
          <w:rFonts w:ascii="Century Gothic" w:hAnsi="Century Gothic"/>
        </w:rPr>
        <w:t>cannot perform in-hous</w:t>
      </w:r>
      <w:r w:rsidR="002B3146">
        <w:rPr>
          <w:rFonts w:ascii="Century Gothic" w:hAnsi="Century Gothic"/>
        </w:rPr>
        <w:t xml:space="preserve">e. </w:t>
      </w:r>
      <w:r>
        <w:rPr>
          <w:rFonts w:ascii="Century Gothic" w:hAnsi="Century Gothic"/>
        </w:rPr>
        <w:t xml:space="preserve"> </w:t>
      </w:r>
      <w:r w:rsidR="00E72A3D">
        <w:rPr>
          <w:rFonts w:ascii="Century Gothic" w:hAnsi="Century Gothic"/>
        </w:rPr>
        <w:t>Additionally</w:t>
      </w:r>
      <w:r>
        <w:rPr>
          <w:rFonts w:ascii="Century Gothic" w:hAnsi="Century Gothic"/>
        </w:rPr>
        <w:t>, Griffith transfers patented technologies and methods to industry through licensing arrangements with industry partners</w:t>
      </w:r>
      <w:r w:rsidR="00E72A3D">
        <w:rPr>
          <w:rFonts w:ascii="Century Gothic" w:hAnsi="Century Gothic"/>
        </w:rPr>
        <w:t>, and establishes ‘enterprises’ to ensure knowledge-based products and services are directly available to industry and government</w:t>
      </w:r>
      <w:r>
        <w:rPr>
          <w:rFonts w:ascii="Century Gothic" w:hAnsi="Century Gothic"/>
        </w:rPr>
        <w:t>.</w:t>
      </w:r>
    </w:p>
    <w:p w14:paraId="528F8A56" w14:textId="77777777" w:rsidR="00EF09F4" w:rsidRDefault="00EF09F4" w:rsidP="00316DC4">
      <w:pPr>
        <w:jc w:val="both"/>
        <w:rPr>
          <w:rFonts w:ascii="Century Gothic" w:hAnsi="Century Gothic"/>
        </w:rPr>
      </w:pPr>
      <w:r>
        <w:rPr>
          <w:rFonts w:ascii="Century Gothic" w:hAnsi="Century Gothic"/>
        </w:rPr>
        <w:t>Griffith University welcomes and supports the Government’s initiative to improve translation of research into commercial outcomes.</w:t>
      </w:r>
    </w:p>
    <w:p w14:paraId="528F8A57" w14:textId="77777777" w:rsidR="00235357" w:rsidRDefault="00235357" w:rsidP="00316DC4">
      <w:pPr>
        <w:jc w:val="both"/>
        <w:rPr>
          <w:rFonts w:ascii="Century Gothic" w:hAnsi="Century Gothic"/>
        </w:rPr>
      </w:pPr>
      <w:r>
        <w:rPr>
          <w:rFonts w:ascii="Century Gothic" w:hAnsi="Century Gothic"/>
        </w:rPr>
        <w:t>The Discussion Paper “</w:t>
      </w:r>
      <w:r w:rsidRPr="00520DEE">
        <w:rPr>
          <w:rFonts w:ascii="Century Gothic" w:hAnsi="Century Gothic"/>
        </w:rPr>
        <w:t>Boosting the Co</w:t>
      </w:r>
      <w:r>
        <w:rPr>
          <w:rFonts w:ascii="Century Gothic" w:hAnsi="Century Gothic"/>
        </w:rPr>
        <w:t xml:space="preserve">mmercial Returns from Research” recognises the strength of Australian higher education and research institutions in conducting world-class research and generating highly innovative outputs.  It also recognises the fact that Australia </w:t>
      </w:r>
      <w:r w:rsidR="00051B5B">
        <w:rPr>
          <w:rFonts w:ascii="Century Gothic" w:hAnsi="Century Gothic"/>
        </w:rPr>
        <w:t xml:space="preserve">needs to improve how innovation outputs are </w:t>
      </w:r>
      <w:r>
        <w:rPr>
          <w:rFonts w:ascii="Century Gothic" w:hAnsi="Century Gothic"/>
        </w:rPr>
        <w:t>translat</w:t>
      </w:r>
      <w:r w:rsidR="00051B5B">
        <w:rPr>
          <w:rFonts w:ascii="Century Gothic" w:hAnsi="Century Gothic"/>
        </w:rPr>
        <w:t>ed</w:t>
      </w:r>
      <w:r>
        <w:rPr>
          <w:rFonts w:ascii="Century Gothic" w:hAnsi="Century Gothic"/>
        </w:rPr>
        <w:t xml:space="preserve"> into commercial outcomes</w:t>
      </w:r>
      <w:r w:rsidR="00051B5B">
        <w:rPr>
          <w:rFonts w:ascii="Century Gothic" w:hAnsi="Century Gothic"/>
        </w:rPr>
        <w:t xml:space="preserve"> to ensure the Nation’s competitiveness is maintained</w:t>
      </w:r>
      <w:r>
        <w:rPr>
          <w:rFonts w:ascii="Century Gothic" w:hAnsi="Century Gothic"/>
        </w:rPr>
        <w:t>.</w:t>
      </w:r>
    </w:p>
    <w:p w14:paraId="528F8A58" w14:textId="77777777" w:rsidR="001602D1" w:rsidRDefault="00235357" w:rsidP="00316DC4">
      <w:pPr>
        <w:jc w:val="both"/>
        <w:rPr>
          <w:rFonts w:ascii="Century Gothic" w:hAnsi="Century Gothic"/>
        </w:rPr>
      </w:pPr>
      <w:r>
        <w:rPr>
          <w:rFonts w:ascii="Century Gothic" w:hAnsi="Century Gothic"/>
        </w:rPr>
        <w:t>In the following sections, Griffith University would like to comment on the Discussion Paper</w:t>
      </w:r>
      <w:r w:rsidR="001602D1">
        <w:rPr>
          <w:rFonts w:ascii="Century Gothic" w:hAnsi="Century Gothic"/>
        </w:rPr>
        <w:t xml:space="preserve"> “</w:t>
      </w:r>
      <w:r w:rsidR="001602D1" w:rsidRPr="00520DEE">
        <w:rPr>
          <w:rFonts w:ascii="Century Gothic" w:hAnsi="Century Gothic"/>
        </w:rPr>
        <w:t>Boosting the Co</w:t>
      </w:r>
      <w:r w:rsidR="001602D1">
        <w:rPr>
          <w:rFonts w:ascii="Century Gothic" w:hAnsi="Century Gothic"/>
        </w:rPr>
        <w:t>mmercial Returns from Research”</w:t>
      </w:r>
      <w:r>
        <w:rPr>
          <w:rFonts w:ascii="Century Gothic" w:hAnsi="Century Gothic"/>
        </w:rPr>
        <w:t>, and provide our view on the key assumptions, interpretations and proposed strategies to improve uptake of innovations fr</w:t>
      </w:r>
      <w:r w:rsidR="00E72A3D">
        <w:rPr>
          <w:rFonts w:ascii="Century Gothic" w:hAnsi="Century Gothic"/>
        </w:rPr>
        <w:t>o</w:t>
      </w:r>
      <w:r>
        <w:rPr>
          <w:rFonts w:ascii="Century Gothic" w:hAnsi="Century Gothic"/>
        </w:rPr>
        <w:t xml:space="preserve">m Australian research institutions by the Australian industry. </w:t>
      </w:r>
    </w:p>
    <w:p w14:paraId="528F8A59" w14:textId="77777777" w:rsidR="00674E31" w:rsidRDefault="00674E31" w:rsidP="00316DC4">
      <w:pPr>
        <w:spacing w:after="0"/>
        <w:jc w:val="both"/>
        <w:rPr>
          <w:rFonts w:ascii="Century Gothic" w:hAnsi="Century Gothic"/>
        </w:rPr>
      </w:pPr>
    </w:p>
    <w:p w14:paraId="528F8A5A" w14:textId="77777777" w:rsidR="001602D1" w:rsidRDefault="001602D1" w:rsidP="00316DC4">
      <w:pPr>
        <w:spacing w:after="0"/>
        <w:jc w:val="both"/>
        <w:rPr>
          <w:rFonts w:ascii="Century Gothic" w:hAnsi="Century Gothic"/>
        </w:rPr>
      </w:pPr>
      <w:r>
        <w:rPr>
          <w:rFonts w:ascii="Century Gothic" w:hAnsi="Century Gothic"/>
        </w:rPr>
        <w:t>Prof Ned Pankhurst</w:t>
      </w:r>
    </w:p>
    <w:p w14:paraId="528F8A5B" w14:textId="77777777" w:rsidR="001602D1" w:rsidRDefault="001602D1" w:rsidP="00316DC4">
      <w:pPr>
        <w:spacing w:after="0"/>
        <w:jc w:val="both"/>
        <w:rPr>
          <w:rFonts w:ascii="Century Gothic" w:hAnsi="Century Gothic"/>
        </w:rPr>
      </w:pPr>
      <w:r>
        <w:rPr>
          <w:rFonts w:ascii="Century Gothic" w:hAnsi="Century Gothic"/>
        </w:rPr>
        <w:t>Senior Deputy Vice chancellor</w:t>
      </w:r>
    </w:p>
    <w:p w14:paraId="528F8A5C" w14:textId="77777777" w:rsidR="00E0266C" w:rsidRDefault="001602D1" w:rsidP="00316DC4">
      <w:pPr>
        <w:spacing w:after="0"/>
        <w:jc w:val="both"/>
        <w:rPr>
          <w:rFonts w:ascii="Century Gothic" w:hAnsi="Century Gothic" w:cs="Arial"/>
          <w:color w:val="FF0000"/>
          <w:sz w:val="44"/>
        </w:rPr>
      </w:pPr>
      <w:r>
        <w:rPr>
          <w:rFonts w:ascii="Century Gothic" w:hAnsi="Century Gothic"/>
        </w:rPr>
        <w:t>Griffith University</w:t>
      </w:r>
      <w:r w:rsidR="00E0266C">
        <w:rPr>
          <w:rFonts w:ascii="Century Gothic" w:hAnsi="Century Gothic"/>
          <w:b/>
          <w:color w:val="FF0000"/>
          <w:sz w:val="44"/>
        </w:rPr>
        <w:br w:type="page"/>
      </w:r>
    </w:p>
    <w:p w14:paraId="528F8A5D" w14:textId="77777777" w:rsidR="00807D33" w:rsidRPr="00807D33" w:rsidRDefault="00AA0E08" w:rsidP="007819E2">
      <w:pPr>
        <w:pStyle w:val="Heading1"/>
      </w:pPr>
      <w:bookmarkStart w:id="1" w:name="_Toc275677379"/>
      <w:r>
        <w:lastRenderedPageBreak/>
        <w:t xml:space="preserve">Setting </w:t>
      </w:r>
      <w:r w:rsidR="00807D33" w:rsidRPr="00807D33">
        <w:t>National Research Priorities</w:t>
      </w:r>
    </w:p>
    <w:p w14:paraId="528F8A5E" w14:textId="77777777" w:rsidR="00807D33" w:rsidRDefault="00807D33" w:rsidP="00316DC4">
      <w:pPr>
        <w:pStyle w:val="sub-headingGE"/>
        <w:numPr>
          <w:ilvl w:val="0"/>
          <w:numId w:val="0"/>
        </w:numPr>
        <w:jc w:val="both"/>
        <w:outlineLvl w:val="9"/>
        <w:rPr>
          <w:rFonts w:ascii="Century Gothic" w:eastAsiaTheme="minorHAnsi" w:hAnsi="Century Gothic"/>
          <w:b w:val="0"/>
          <w:color w:val="FF0000"/>
          <w:sz w:val="44"/>
        </w:rPr>
      </w:pPr>
    </w:p>
    <w:p w14:paraId="528F8A5F" w14:textId="77777777" w:rsidR="009E12CE" w:rsidRDefault="00F704E6" w:rsidP="00316DC4">
      <w:pPr>
        <w:jc w:val="both"/>
        <w:rPr>
          <w:rFonts w:ascii="Century Gothic" w:hAnsi="Century Gothic"/>
        </w:rPr>
      </w:pPr>
      <w:r>
        <w:rPr>
          <w:rFonts w:ascii="Century Gothic" w:hAnsi="Century Gothic"/>
        </w:rPr>
        <w:t>Griffith University welcom</w:t>
      </w:r>
      <w:r w:rsidR="0090292A">
        <w:rPr>
          <w:rFonts w:ascii="Century Gothic" w:hAnsi="Century Gothic"/>
        </w:rPr>
        <w:t>es</w:t>
      </w:r>
      <w:r>
        <w:rPr>
          <w:rFonts w:ascii="Century Gothic" w:hAnsi="Century Gothic"/>
        </w:rPr>
        <w:t xml:space="preserve"> the concept of National Researc</w:t>
      </w:r>
      <w:r w:rsidR="00D904E7">
        <w:rPr>
          <w:rFonts w:ascii="Century Gothic" w:hAnsi="Century Gothic"/>
        </w:rPr>
        <w:t>h Priorities.  Such priorities c</w:t>
      </w:r>
      <w:r>
        <w:rPr>
          <w:rFonts w:ascii="Century Gothic" w:hAnsi="Century Gothic"/>
        </w:rPr>
        <w:t xml:space="preserve">ould strategically align academic and industry research with the research needs of </w:t>
      </w:r>
      <w:r w:rsidR="00845DEA">
        <w:rPr>
          <w:rFonts w:ascii="Century Gothic" w:hAnsi="Century Gothic"/>
        </w:rPr>
        <w:t>our</w:t>
      </w:r>
      <w:r>
        <w:rPr>
          <w:rFonts w:ascii="Century Gothic" w:hAnsi="Century Gothic"/>
        </w:rPr>
        <w:t xml:space="preserve"> Nation. </w:t>
      </w:r>
      <w:r w:rsidR="00674E31">
        <w:rPr>
          <w:rFonts w:ascii="Century Gothic" w:hAnsi="Century Gothic"/>
        </w:rPr>
        <w:t xml:space="preserve"> T</w:t>
      </w:r>
      <w:r>
        <w:rPr>
          <w:rFonts w:ascii="Century Gothic" w:hAnsi="Century Gothic"/>
        </w:rPr>
        <w:t>argeted investment</w:t>
      </w:r>
      <w:r w:rsidR="00051B5B">
        <w:rPr>
          <w:rFonts w:ascii="Century Gothic" w:hAnsi="Century Gothic"/>
        </w:rPr>
        <w:t xml:space="preserve"> that </w:t>
      </w:r>
      <w:r>
        <w:rPr>
          <w:rFonts w:ascii="Century Gothic" w:hAnsi="Century Gothic"/>
        </w:rPr>
        <w:t>enable</w:t>
      </w:r>
      <w:r w:rsidR="00051B5B">
        <w:rPr>
          <w:rFonts w:ascii="Century Gothic" w:hAnsi="Century Gothic"/>
        </w:rPr>
        <w:t>s</w:t>
      </w:r>
      <w:r>
        <w:rPr>
          <w:rFonts w:ascii="Century Gothic" w:hAnsi="Century Gothic"/>
        </w:rPr>
        <w:t xml:space="preserve"> research institutions and industry to address th</w:t>
      </w:r>
      <w:r w:rsidR="00D904E7">
        <w:rPr>
          <w:rFonts w:ascii="Century Gothic" w:hAnsi="Century Gothic"/>
        </w:rPr>
        <w:t>e National Research Priorities</w:t>
      </w:r>
      <w:r w:rsidR="00674E31">
        <w:rPr>
          <w:rFonts w:ascii="Century Gothic" w:hAnsi="Century Gothic"/>
        </w:rPr>
        <w:t xml:space="preserve"> will be critical</w:t>
      </w:r>
      <w:r w:rsidR="00D904E7">
        <w:rPr>
          <w:rFonts w:ascii="Century Gothic" w:hAnsi="Century Gothic"/>
        </w:rPr>
        <w:t>.</w:t>
      </w:r>
    </w:p>
    <w:p w14:paraId="528F8A60" w14:textId="77777777" w:rsidR="002E48D2" w:rsidRDefault="00051B5B" w:rsidP="00316DC4">
      <w:pPr>
        <w:jc w:val="both"/>
        <w:rPr>
          <w:rFonts w:ascii="Century Gothic" w:hAnsi="Century Gothic"/>
        </w:rPr>
      </w:pPr>
      <w:r>
        <w:rPr>
          <w:rFonts w:ascii="Century Gothic" w:hAnsi="Century Gothic"/>
        </w:rPr>
        <w:t>To truly boost the Nation’s competitiveness,</w:t>
      </w:r>
      <w:r w:rsidR="00F704E6">
        <w:rPr>
          <w:rFonts w:ascii="Century Gothic" w:hAnsi="Century Gothic"/>
        </w:rPr>
        <w:t xml:space="preserve"> </w:t>
      </w:r>
      <w:r>
        <w:rPr>
          <w:rFonts w:ascii="Century Gothic" w:hAnsi="Century Gothic"/>
        </w:rPr>
        <w:t xml:space="preserve">funds directed toward </w:t>
      </w:r>
      <w:r w:rsidR="00F704E6">
        <w:rPr>
          <w:rFonts w:ascii="Century Gothic" w:hAnsi="Century Gothic"/>
        </w:rPr>
        <w:t xml:space="preserve">the National Research Priorities </w:t>
      </w:r>
      <w:r w:rsidR="001848A3">
        <w:rPr>
          <w:rFonts w:ascii="Century Gothic" w:hAnsi="Century Gothic"/>
        </w:rPr>
        <w:t xml:space="preserve">should </w:t>
      </w:r>
      <w:r>
        <w:rPr>
          <w:rFonts w:ascii="Century Gothic" w:hAnsi="Century Gothic"/>
        </w:rPr>
        <w:t xml:space="preserve">ideally </w:t>
      </w:r>
      <w:r w:rsidR="00F704E6">
        <w:rPr>
          <w:rFonts w:ascii="Century Gothic" w:hAnsi="Century Gothic"/>
        </w:rPr>
        <w:t xml:space="preserve">be </w:t>
      </w:r>
      <w:r>
        <w:rPr>
          <w:rFonts w:ascii="Century Gothic" w:hAnsi="Century Gothic"/>
        </w:rPr>
        <w:t xml:space="preserve">additional to </w:t>
      </w:r>
      <w:r w:rsidR="00F704E6">
        <w:rPr>
          <w:rFonts w:ascii="Century Gothic" w:hAnsi="Century Gothic"/>
        </w:rPr>
        <w:t xml:space="preserve">the current research funding made available by the Federal Government.  </w:t>
      </w:r>
    </w:p>
    <w:p w14:paraId="528F8A61" w14:textId="77777777" w:rsidR="00F704E6" w:rsidRDefault="00051B5B" w:rsidP="00316DC4">
      <w:pPr>
        <w:jc w:val="both"/>
        <w:rPr>
          <w:rFonts w:ascii="Century Gothic" w:hAnsi="Century Gothic"/>
        </w:rPr>
      </w:pPr>
      <w:r>
        <w:rPr>
          <w:rFonts w:ascii="Century Gothic" w:hAnsi="Century Gothic"/>
        </w:rPr>
        <w:t xml:space="preserve">Any re-distribution of research funds </w:t>
      </w:r>
      <w:r w:rsidR="009A2099">
        <w:rPr>
          <w:rFonts w:ascii="Century Gothic" w:hAnsi="Century Gothic"/>
        </w:rPr>
        <w:t>with</w:t>
      </w:r>
      <w:r>
        <w:rPr>
          <w:rFonts w:ascii="Century Gothic" w:hAnsi="Century Gothic"/>
        </w:rPr>
        <w:t xml:space="preserve">in the existing funding envelop will </w:t>
      </w:r>
      <w:r w:rsidR="00F704E6">
        <w:rPr>
          <w:rFonts w:ascii="Century Gothic" w:hAnsi="Century Gothic"/>
        </w:rPr>
        <w:t xml:space="preserve">require careful consideration, as the associated </w:t>
      </w:r>
      <w:r w:rsidR="00D904E7">
        <w:rPr>
          <w:rFonts w:ascii="Century Gothic" w:hAnsi="Century Gothic"/>
        </w:rPr>
        <w:t xml:space="preserve">consequences and </w:t>
      </w:r>
      <w:r w:rsidR="00F704E6">
        <w:rPr>
          <w:rFonts w:ascii="Century Gothic" w:hAnsi="Century Gothic"/>
        </w:rPr>
        <w:t xml:space="preserve">risks </w:t>
      </w:r>
      <w:r w:rsidR="00D904E7">
        <w:rPr>
          <w:rFonts w:ascii="Century Gothic" w:hAnsi="Century Gothic"/>
        </w:rPr>
        <w:t>for the</w:t>
      </w:r>
      <w:r>
        <w:rPr>
          <w:rFonts w:ascii="Century Gothic" w:hAnsi="Century Gothic"/>
        </w:rPr>
        <w:t xml:space="preserve"> Australian </w:t>
      </w:r>
      <w:r w:rsidR="003F0A99">
        <w:rPr>
          <w:rFonts w:ascii="Century Gothic" w:hAnsi="Century Gothic"/>
        </w:rPr>
        <w:t xml:space="preserve">research and </w:t>
      </w:r>
      <w:r w:rsidR="00EC2ADE">
        <w:rPr>
          <w:rFonts w:ascii="Century Gothic" w:hAnsi="Century Gothic"/>
        </w:rPr>
        <w:t xml:space="preserve">innovation </w:t>
      </w:r>
      <w:r w:rsidR="00D904E7">
        <w:rPr>
          <w:rFonts w:ascii="Century Gothic" w:hAnsi="Century Gothic"/>
        </w:rPr>
        <w:t>ecosystem are high.</w:t>
      </w:r>
    </w:p>
    <w:p w14:paraId="528F8A62" w14:textId="77777777" w:rsidR="009E12CE" w:rsidRPr="00174555" w:rsidRDefault="009E12CE" w:rsidP="007819E2">
      <w:pPr>
        <w:pStyle w:val="Heading2"/>
      </w:pPr>
      <w:r w:rsidRPr="00174555">
        <w:t>Directing Funding</w:t>
      </w:r>
    </w:p>
    <w:p w14:paraId="528F8A63" w14:textId="77777777" w:rsidR="009E12CE" w:rsidRDefault="004B26F0" w:rsidP="00316DC4">
      <w:pPr>
        <w:jc w:val="both"/>
        <w:rPr>
          <w:rFonts w:ascii="Century Gothic" w:hAnsi="Century Gothic"/>
        </w:rPr>
      </w:pPr>
      <w:r>
        <w:rPr>
          <w:rFonts w:ascii="Century Gothic" w:hAnsi="Century Gothic"/>
        </w:rPr>
        <w:t>A</w:t>
      </w:r>
      <w:r w:rsidR="001848A3">
        <w:rPr>
          <w:rFonts w:ascii="Century Gothic" w:hAnsi="Century Gothic"/>
        </w:rPr>
        <w:t xml:space="preserve">n increasingly </w:t>
      </w:r>
      <w:r w:rsidR="009A2099">
        <w:rPr>
          <w:rFonts w:ascii="Century Gothic" w:hAnsi="Century Gothic"/>
        </w:rPr>
        <w:t>faster</w:t>
      </w:r>
      <w:r w:rsidR="00887B9C">
        <w:rPr>
          <w:rFonts w:ascii="Century Gothic" w:hAnsi="Century Gothic"/>
        </w:rPr>
        <w:t>-</w:t>
      </w:r>
      <w:r w:rsidR="009A2099">
        <w:rPr>
          <w:rFonts w:ascii="Century Gothic" w:hAnsi="Century Gothic"/>
        </w:rPr>
        <w:t>changing global environment</w:t>
      </w:r>
      <w:r>
        <w:rPr>
          <w:rFonts w:ascii="Century Gothic" w:hAnsi="Century Gothic"/>
        </w:rPr>
        <w:t xml:space="preserve"> means that any</w:t>
      </w:r>
      <w:r w:rsidR="009A2099">
        <w:rPr>
          <w:rFonts w:ascii="Century Gothic" w:hAnsi="Century Gothic"/>
        </w:rPr>
        <w:t xml:space="preserve"> National Research Priorities should </w:t>
      </w:r>
      <w:r>
        <w:rPr>
          <w:rFonts w:ascii="Century Gothic" w:hAnsi="Century Gothic"/>
        </w:rPr>
        <w:t>be a</w:t>
      </w:r>
      <w:r w:rsidR="009A2099">
        <w:rPr>
          <w:rFonts w:ascii="Century Gothic" w:hAnsi="Century Gothic"/>
        </w:rPr>
        <w:t xml:space="preserve"> ‘compass’ for research, </w:t>
      </w:r>
      <w:r>
        <w:rPr>
          <w:rFonts w:ascii="Century Gothic" w:hAnsi="Century Gothic"/>
        </w:rPr>
        <w:t>not the</w:t>
      </w:r>
      <w:r w:rsidR="009A2099">
        <w:rPr>
          <w:rFonts w:ascii="Century Gothic" w:hAnsi="Century Gothic"/>
        </w:rPr>
        <w:t xml:space="preserve"> ‘map’.  </w:t>
      </w:r>
    </w:p>
    <w:p w14:paraId="528F8A64" w14:textId="77777777" w:rsidR="009E12CE" w:rsidRDefault="009A2099" w:rsidP="00316DC4">
      <w:pPr>
        <w:jc w:val="both"/>
        <w:rPr>
          <w:rFonts w:ascii="Century Gothic" w:hAnsi="Century Gothic"/>
        </w:rPr>
      </w:pPr>
      <w:r>
        <w:rPr>
          <w:rFonts w:ascii="Century Gothic" w:hAnsi="Century Gothic"/>
        </w:rPr>
        <w:t>Australia needs be nimble and able to respond in short timeframe</w:t>
      </w:r>
      <w:r w:rsidR="002E48D2">
        <w:rPr>
          <w:rFonts w:ascii="Century Gothic" w:hAnsi="Century Gothic"/>
        </w:rPr>
        <w:t>s</w:t>
      </w:r>
      <w:r w:rsidR="004B26F0">
        <w:rPr>
          <w:rFonts w:ascii="Century Gothic" w:hAnsi="Century Gothic"/>
        </w:rPr>
        <w:t>.</w:t>
      </w:r>
      <w:r>
        <w:rPr>
          <w:rFonts w:ascii="Century Gothic" w:hAnsi="Century Gothic"/>
        </w:rPr>
        <w:t xml:space="preserve"> </w:t>
      </w:r>
      <w:r w:rsidR="004B26F0">
        <w:rPr>
          <w:rFonts w:ascii="Century Gothic" w:hAnsi="Century Gothic"/>
        </w:rPr>
        <w:t xml:space="preserve"> </w:t>
      </w:r>
    </w:p>
    <w:p w14:paraId="528F8A65" w14:textId="77777777" w:rsidR="009A2099" w:rsidRDefault="00887B9C" w:rsidP="00316DC4">
      <w:pPr>
        <w:jc w:val="both"/>
        <w:rPr>
          <w:rFonts w:ascii="Century Gothic" w:hAnsi="Century Gothic"/>
        </w:rPr>
      </w:pPr>
      <w:r>
        <w:rPr>
          <w:rFonts w:ascii="Century Gothic" w:hAnsi="Century Gothic"/>
        </w:rPr>
        <w:t>Flexible interpretation</w:t>
      </w:r>
      <w:r w:rsidR="009A2099">
        <w:rPr>
          <w:rFonts w:ascii="Century Gothic" w:hAnsi="Century Gothic"/>
        </w:rPr>
        <w:t xml:space="preserve"> of the National Priorities </w:t>
      </w:r>
      <w:r>
        <w:rPr>
          <w:rFonts w:ascii="Century Gothic" w:hAnsi="Century Gothic"/>
        </w:rPr>
        <w:t xml:space="preserve">will </w:t>
      </w:r>
      <w:r w:rsidR="002E48D2">
        <w:rPr>
          <w:rFonts w:ascii="Century Gothic" w:hAnsi="Century Gothic"/>
        </w:rPr>
        <w:t>therefore</w:t>
      </w:r>
      <w:r w:rsidR="009A2099">
        <w:rPr>
          <w:rFonts w:ascii="Century Gothic" w:hAnsi="Century Gothic"/>
        </w:rPr>
        <w:t xml:space="preserve"> be important</w:t>
      </w:r>
      <w:r w:rsidR="002E48D2">
        <w:rPr>
          <w:rFonts w:ascii="Century Gothic" w:hAnsi="Century Gothic"/>
        </w:rPr>
        <w:t xml:space="preserve">, recognising that </w:t>
      </w:r>
      <w:r w:rsidR="009A2099">
        <w:rPr>
          <w:rFonts w:ascii="Century Gothic" w:hAnsi="Century Gothic"/>
        </w:rPr>
        <w:t>this needs to be balanced with a strategic approach that drives industry transformation and long-term investment</w:t>
      </w:r>
      <w:r w:rsidR="00761A9F">
        <w:rPr>
          <w:rFonts w:ascii="Century Gothic" w:hAnsi="Century Gothic"/>
        </w:rPr>
        <w:t>.</w:t>
      </w:r>
    </w:p>
    <w:p w14:paraId="528F8A66" w14:textId="77777777" w:rsidR="009E12CE" w:rsidRPr="00174555" w:rsidRDefault="009E12CE" w:rsidP="007819E2">
      <w:pPr>
        <w:pStyle w:val="Heading2"/>
      </w:pPr>
      <w:r w:rsidRPr="00174555">
        <w:t>Industry-led Funding</w:t>
      </w:r>
    </w:p>
    <w:p w14:paraId="528F8A67" w14:textId="77777777" w:rsidR="00B04300" w:rsidRDefault="00B04300" w:rsidP="00316DC4">
      <w:pPr>
        <w:jc w:val="both"/>
        <w:rPr>
          <w:rFonts w:ascii="Century Gothic" w:hAnsi="Century Gothic"/>
        </w:rPr>
      </w:pPr>
      <w:r>
        <w:rPr>
          <w:rFonts w:ascii="Century Gothic" w:hAnsi="Century Gothic"/>
        </w:rPr>
        <w:t xml:space="preserve">The R&amp;D Tax incentive scheme plays an important role in any industry-led research, and </w:t>
      </w:r>
      <w:r w:rsidR="00E72A3D">
        <w:rPr>
          <w:rFonts w:ascii="Century Gothic" w:hAnsi="Century Gothic"/>
        </w:rPr>
        <w:t xml:space="preserve">Griffith welcomes its </w:t>
      </w:r>
      <w:r>
        <w:rPr>
          <w:rFonts w:ascii="Century Gothic" w:hAnsi="Century Gothic"/>
        </w:rPr>
        <w:t>continu</w:t>
      </w:r>
      <w:r w:rsidR="00E72A3D">
        <w:rPr>
          <w:rFonts w:ascii="Century Gothic" w:hAnsi="Century Gothic"/>
        </w:rPr>
        <w:t>ation</w:t>
      </w:r>
      <w:r w:rsidR="00887B9C">
        <w:rPr>
          <w:rFonts w:ascii="Century Gothic" w:hAnsi="Century Gothic"/>
        </w:rPr>
        <w:t xml:space="preserve"> but notes that its effectiveness would be improved if access by larger companies was once more supported</w:t>
      </w:r>
      <w:r>
        <w:rPr>
          <w:rFonts w:ascii="Century Gothic" w:hAnsi="Century Gothic"/>
        </w:rPr>
        <w:t>.</w:t>
      </w:r>
    </w:p>
    <w:p w14:paraId="528F8A68" w14:textId="77777777" w:rsidR="009E12CE" w:rsidRDefault="00E72A3D" w:rsidP="00316DC4">
      <w:pPr>
        <w:jc w:val="both"/>
        <w:rPr>
          <w:rFonts w:ascii="Century Gothic" w:hAnsi="Century Gothic"/>
        </w:rPr>
      </w:pPr>
      <w:r>
        <w:rPr>
          <w:rFonts w:ascii="Century Gothic" w:hAnsi="Century Gothic"/>
        </w:rPr>
        <w:t xml:space="preserve">This scheme could be supplemented by </w:t>
      </w:r>
      <w:r w:rsidR="00B04300">
        <w:rPr>
          <w:rFonts w:ascii="Century Gothic" w:hAnsi="Century Gothic"/>
        </w:rPr>
        <w:t>s</w:t>
      </w:r>
      <w:r w:rsidR="00F704E6">
        <w:rPr>
          <w:rFonts w:ascii="Century Gothic" w:hAnsi="Century Gothic"/>
        </w:rPr>
        <w:t>trategic</w:t>
      </w:r>
      <w:r w:rsidR="00761A9F">
        <w:rPr>
          <w:rFonts w:ascii="Century Gothic" w:hAnsi="Century Gothic"/>
        </w:rPr>
        <w:t xml:space="preserve"> industry</w:t>
      </w:r>
      <w:r w:rsidR="009A2099">
        <w:rPr>
          <w:rFonts w:ascii="Century Gothic" w:hAnsi="Century Gothic"/>
        </w:rPr>
        <w:t>-focused research</w:t>
      </w:r>
      <w:r w:rsidR="00F704E6">
        <w:rPr>
          <w:rFonts w:ascii="Century Gothic" w:hAnsi="Century Gothic"/>
        </w:rPr>
        <w:t xml:space="preserve"> funding</w:t>
      </w:r>
      <w:r>
        <w:rPr>
          <w:rFonts w:ascii="Century Gothic" w:hAnsi="Century Gothic"/>
        </w:rPr>
        <w:t>.  This funding</w:t>
      </w:r>
      <w:r w:rsidR="00F704E6">
        <w:rPr>
          <w:rFonts w:ascii="Century Gothic" w:hAnsi="Century Gothic"/>
        </w:rPr>
        <w:t xml:space="preserve"> </w:t>
      </w:r>
      <w:r w:rsidR="00EC2ADE">
        <w:rPr>
          <w:rFonts w:ascii="Century Gothic" w:hAnsi="Century Gothic"/>
        </w:rPr>
        <w:t>c</w:t>
      </w:r>
      <w:r w:rsidR="00051B5B">
        <w:rPr>
          <w:rFonts w:ascii="Century Gothic" w:hAnsi="Century Gothic"/>
        </w:rPr>
        <w:t xml:space="preserve">ould </w:t>
      </w:r>
      <w:r w:rsidR="00D904E7">
        <w:rPr>
          <w:rFonts w:ascii="Century Gothic" w:hAnsi="Century Gothic"/>
        </w:rPr>
        <w:t xml:space="preserve">preferentially </w:t>
      </w:r>
      <w:r w:rsidR="00F704E6">
        <w:rPr>
          <w:rFonts w:ascii="Century Gothic" w:hAnsi="Century Gothic"/>
        </w:rPr>
        <w:t xml:space="preserve">be awarded to industry entities </w:t>
      </w:r>
      <w:r w:rsidR="00761A9F">
        <w:rPr>
          <w:rFonts w:ascii="Century Gothic" w:hAnsi="Century Gothic"/>
        </w:rPr>
        <w:t>located</w:t>
      </w:r>
      <w:r w:rsidR="00F704E6">
        <w:rPr>
          <w:rFonts w:ascii="Century Gothic" w:hAnsi="Century Gothic"/>
        </w:rPr>
        <w:t xml:space="preserve"> in Australia as grant recipients and project leaders, under the conditions that at least one </w:t>
      </w:r>
      <w:r w:rsidR="00761A9F">
        <w:rPr>
          <w:rFonts w:ascii="Century Gothic" w:hAnsi="Century Gothic"/>
        </w:rPr>
        <w:t xml:space="preserve">Australian </w:t>
      </w:r>
      <w:r w:rsidR="00F704E6">
        <w:rPr>
          <w:rFonts w:ascii="Century Gothic" w:hAnsi="Century Gothic"/>
        </w:rPr>
        <w:t xml:space="preserve">research institution </w:t>
      </w:r>
      <w:r w:rsidR="00761A9F">
        <w:rPr>
          <w:rFonts w:ascii="Century Gothic" w:hAnsi="Century Gothic"/>
        </w:rPr>
        <w:t>is</w:t>
      </w:r>
      <w:r w:rsidR="00F704E6">
        <w:rPr>
          <w:rFonts w:ascii="Century Gothic" w:hAnsi="Century Gothic"/>
        </w:rPr>
        <w:t xml:space="preserve"> involved and funded through the grant.</w:t>
      </w:r>
    </w:p>
    <w:p w14:paraId="528F8A69" w14:textId="77777777" w:rsidR="0046124E" w:rsidRDefault="00F704E6" w:rsidP="00316DC4">
      <w:pPr>
        <w:jc w:val="both"/>
        <w:rPr>
          <w:rFonts w:ascii="Century Gothic" w:hAnsi="Century Gothic"/>
        </w:rPr>
      </w:pPr>
      <w:r>
        <w:rPr>
          <w:rFonts w:ascii="Century Gothic" w:hAnsi="Century Gothic"/>
        </w:rPr>
        <w:t>This would en</w:t>
      </w:r>
      <w:r w:rsidR="004B26F0">
        <w:rPr>
          <w:rFonts w:ascii="Century Gothic" w:hAnsi="Century Gothic"/>
        </w:rPr>
        <w:t>hance</w:t>
      </w:r>
      <w:r w:rsidR="00B04300">
        <w:rPr>
          <w:rFonts w:ascii="Century Gothic" w:hAnsi="Century Gothic"/>
        </w:rPr>
        <w:t xml:space="preserve"> collaboration between industry and Australian research institutes</w:t>
      </w:r>
      <w:r>
        <w:rPr>
          <w:rFonts w:ascii="Century Gothic" w:hAnsi="Century Gothic"/>
        </w:rPr>
        <w:t xml:space="preserve"> </w:t>
      </w:r>
      <w:r w:rsidR="00B04300">
        <w:rPr>
          <w:rFonts w:ascii="Century Gothic" w:hAnsi="Century Gothic"/>
        </w:rPr>
        <w:t xml:space="preserve">and </w:t>
      </w:r>
      <w:r w:rsidR="004B26F0">
        <w:rPr>
          <w:rFonts w:ascii="Century Gothic" w:hAnsi="Century Gothic"/>
        </w:rPr>
        <w:t xml:space="preserve">the </w:t>
      </w:r>
      <w:r>
        <w:rPr>
          <w:rFonts w:ascii="Century Gothic" w:hAnsi="Century Gothic"/>
        </w:rPr>
        <w:t xml:space="preserve">funding of projects that </w:t>
      </w:r>
      <w:r w:rsidR="007B4FB9">
        <w:rPr>
          <w:rFonts w:ascii="Century Gothic" w:hAnsi="Century Gothic"/>
        </w:rPr>
        <w:t>address</w:t>
      </w:r>
      <w:r>
        <w:rPr>
          <w:rFonts w:ascii="Century Gothic" w:hAnsi="Century Gothic"/>
        </w:rPr>
        <w:t xml:space="preserve"> unmet needs of Australian industry entities.</w:t>
      </w:r>
      <w:r w:rsidR="00AA6FC9">
        <w:rPr>
          <w:rFonts w:ascii="Century Gothic" w:hAnsi="Century Gothic"/>
        </w:rPr>
        <w:t xml:space="preserve">  </w:t>
      </w:r>
    </w:p>
    <w:p w14:paraId="528F8A6A" w14:textId="77777777" w:rsidR="0046124E" w:rsidRDefault="00AA6FC9" w:rsidP="00316DC4">
      <w:pPr>
        <w:jc w:val="both"/>
        <w:rPr>
          <w:rFonts w:ascii="Century Gothic" w:hAnsi="Century Gothic"/>
        </w:rPr>
      </w:pPr>
      <w:r>
        <w:rPr>
          <w:rFonts w:ascii="Century Gothic" w:hAnsi="Century Gothic"/>
        </w:rPr>
        <w:t>By seeking partners for joint grant applications, potentially long-term relationships could be seeded and forged.</w:t>
      </w:r>
    </w:p>
    <w:p w14:paraId="528F8A6B" w14:textId="77777777" w:rsidR="0046124E" w:rsidRDefault="0046124E" w:rsidP="00316DC4">
      <w:pPr>
        <w:jc w:val="both"/>
        <w:rPr>
          <w:rFonts w:ascii="Century Gothic" w:hAnsi="Century Gothic"/>
        </w:rPr>
      </w:pPr>
      <w:r>
        <w:rPr>
          <w:rFonts w:ascii="Century Gothic" w:hAnsi="Century Gothic"/>
        </w:rPr>
        <w:br w:type="page"/>
      </w:r>
    </w:p>
    <w:p w14:paraId="528F8A6C" w14:textId="77777777" w:rsidR="009E12CE" w:rsidRPr="00174555" w:rsidRDefault="003971B9" w:rsidP="007819E2">
      <w:pPr>
        <w:pStyle w:val="Heading2"/>
      </w:pPr>
      <w:r w:rsidRPr="00174555">
        <w:lastRenderedPageBreak/>
        <w:t>Curiosity-led Research</w:t>
      </w:r>
      <w:r w:rsidR="009E12CE" w:rsidRPr="00174555">
        <w:t xml:space="preserve"> Funding</w:t>
      </w:r>
    </w:p>
    <w:p w14:paraId="528F8A6D" w14:textId="77777777" w:rsidR="00EC2ADE" w:rsidRDefault="004105F1" w:rsidP="00316DC4">
      <w:pPr>
        <w:jc w:val="both"/>
        <w:rPr>
          <w:rFonts w:ascii="Century Gothic" w:hAnsi="Century Gothic"/>
        </w:rPr>
      </w:pPr>
      <w:r>
        <w:rPr>
          <w:rFonts w:ascii="Century Gothic" w:hAnsi="Century Gothic"/>
        </w:rPr>
        <w:t xml:space="preserve">To </w:t>
      </w:r>
      <w:r w:rsidR="00761A9F">
        <w:rPr>
          <w:rFonts w:ascii="Century Gothic" w:hAnsi="Century Gothic"/>
        </w:rPr>
        <w:t>ensure that the</w:t>
      </w:r>
      <w:r w:rsidR="009A2099">
        <w:rPr>
          <w:rFonts w:ascii="Century Gothic" w:hAnsi="Century Gothic"/>
        </w:rPr>
        <w:t xml:space="preserve"> Australia</w:t>
      </w:r>
      <w:r w:rsidR="00761A9F">
        <w:rPr>
          <w:rFonts w:ascii="Century Gothic" w:hAnsi="Century Gothic"/>
        </w:rPr>
        <w:t>n economy is able to compete in a</w:t>
      </w:r>
      <w:r w:rsidR="009A2099">
        <w:rPr>
          <w:rFonts w:ascii="Century Gothic" w:hAnsi="Century Gothic"/>
        </w:rPr>
        <w:t xml:space="preserve">n increasingly knowledge-based </w:t>
      </w:r>
      <w:r w:rsidR="00761A9F">
        <w:rPr>
          <w:rFonts w:ascii="Century Gothic" w:hAnsi="Century Gothic"/>
        </w:rPr>
        <w:t xml:space="preserve">global </w:t>
      </w:r>
      <w:r w:rsidR="009A2099">
        <w:rPr>
          <w:rFonts w:ascii="Century Gothic" w:hAnsi="Century Gothic"/>
        </w:rPr>
        <w:t>economy</w:t>
      </w:r>
      <w:r w:rsidR="00761A9F">
        <w:rPr>
          <w:rFonts w:ascii="Century Gothic" w:hAnsi="Century Gothic"/>
        </w:rPr>
        <w:t xml:space="preserve">, </w:t>
      </w:r>
      <w:r w:rsidR="00887B9C">
        <w:rPr>
          <w:rFonts w:ascii="Century Gothic" w:hAnsi="Century Gothic"/>
        </w:rPr>
        <w:t xml:space="preserve">continued </w:t>
      </w:r>
      <w:r w:rsidR="00761A9F">
        <w:rPr>
          <w:rFonts w:ascii="Century Gothic" w:hAnsi="Century Gothic"/>
        </w:rPr>
        <w:t xml:space="preserve">support for </w:t>
      </w:r>
      <w:r w:rsidR="00F704E6">
        <w:rPr>
          <w:rFonts w:ascii="Century Gothic" w:hAnsi="Century Gothic"/>
        </w:rPr>
        <w:t>high quality curiosity-driven research</w:t>
      </w:r>
      <w:r w:rsidR="00EC2ADE">
        <w:rPr>
          <w:rFonts w:ascii="Century Gothic" w:hAnsi="Century Gothic"/>
        </w:rPr>
        <w:t xml:space="preserve"> will be required</w:t>
      </w:r>
      <w:r w:rsidR="00F704E6">
        <w:rPr>
          <w:rFonts w:ascii="Century Gothic" w:hAnsi="Century Gothic"/>
        </w:rPr>
        <w:t>.</w:t>
      </w:r>
    </w:p>
    <w:p w14:paraId="528F8A6E" w14:textId="77777777" w:rsidR="002E48D2" w:rsidRDefault="002E48D2" w:rsidP="00316DC4">
      <w:pPr>
        <w:jc w:val="both"/>
        <w:rPr>
          <w:rFonts w:ascii="Century Gothic" w:hAnsi="Century Gothic"/>
        </w:rPr>
      </w:pPr>
      <w:r>
        <w:rPr>
          <w:rFonts w:ascii="Century Gothic" w:hAnsi="Century Gothic"/>
        </w:rPr>
        <w:t xml:space="preserve">Curiosity-driven research often underpins breakthrough invention.  For example, </w:t>
      </w:r>
      <w:r w:rsidR="00F704E6">
        <w:rPr>
          <w:rFonts w:ascii="Century Gothic" w:hAnsi="Century Gothic"/>
        </w:rPr>
        <w:t xml:space="preserve">curiosity-driven research led to outcomes such as </w:t>
      </w:r>
      <w:r w:rsidR="00F704E6" w:rsidRPr="00CA1E72">
        <w:rPr>
          <w:rFonts w:ascii="Century Gothic" w:hAnsi="Century Gothic"/>
        </w:rPr>
        <w:t>Barry Marshall</w:t>
      </w:r>
      <w:r w:rsidR="00F704E6">
        <w:rPr>
          <w:rFonts w:ascii="Century Gothic" w:hAnsi="Century Gothic"/>
        </w:rPr>
        <w:t xml:space="preserve"> and Robin Warren</w:t>
      </w:r>
      <w:r w:rsidR="00F704E6" w:rsidRPr="00CA1E72">
        <w:rPr>
          <w:rFonts w:ascii="Century Gothic" w:hAnsi="Century Gothic"/>
        </w:rPr>
        <w:t xml:space="preserve">’s </w:t>
      </w:r>
      <w:r w:rsidR="00F704E6">
        <w:rPr>
          <w:rFonts w:ascii="Century Gothic" w:hAnsi="Century Gothic"/>
        </w:rPr>
        <w:t>treatment for</w:t>
      </w:r>
      <w:r w:rsidR="007B4FB9">
        <w:rPr>
          <w:rFonts w:ascii="Century Gothic" w:hAnsi="Century Gothic"/>
        </w:rPr>
        <w:t xml:space="preserve"> </w:t>
      </w:r>
      <w:r w:rsidR="007B4FB9" w:rsidRPr="00132219">
        <w:rPr>
          <w:rFonts w:ascii="Century Gothic" w:hAnsi="Century Gothic"/>
          <w:i/>
        </w:rPr>
        <w:t>Helicobacter</w:t>
      </w:r>
      <w:r w:rsidR="007B4FB9">
        <w:rPr>
          <w:rFonts w:ascii="Century Gothic" w:hAnsi="Century Gothic"/>
        </w:rPr>
        <w:t xml:space="preserve">  (Nobel </w:t>
      </w:r>
      <w:r w:rsidR="00887B9C">
        <w:rPr>
          <w:rFonts w:ascii="Century Gothic" w:hAnsi="Century Gothic"/>
        </w:rPr>
        <w:t xml:space="preserve">Prize </w:t>
      </w:r>
      <w:r w:rsidR="007B4FB9">
        <w:rPr>
          <w:rFonts w:ascii="Century Gothic" w:hAnsi="Century Gothic"/>
        </w:rPr>
        <w:t>in Physiology 2005).</w:t>
      </w:r>
    </w:p>
    <w:p w14:paraId="528F8A6F" w14:textId="77777777" w:rsidR="00E54B06" w:rsidRDefault="002E48D2" w:rsidP="00316DC4">
      <w:pPr>
        <w:jc w:val="both"/>
        <w:rPr>
          <w:rFonts w:ascii="Century Gothic" w:hAnsi="Century Gothic"/>
        </w:rPr>
      </w:pPr>
      <w:r>
        <w:rPr>
          <w:rFonts w:ascii="Century Gothic" w:hAnsi="Century Gothic"/>
        </w:rPr>
        <w:t xml:space="preserve">Curiosity-led research </w:t>
      </w:r>
      <w:r w:rsidR="009E12CE">
        <w:rPr>
          <w:rFonts w:ascii="Century Gothic" w:hAnsi="Century Gothic"/>
        </w:rPr>
        <w:t xml:space="preserve">also </w:t>
      </w:r>
      <w:r>
        <w:rPr>
          <w:rFonts w:ascii="Century Gothic" w:hAnsi="Century Gothic"/>
        </w:rPr>
        <w:t xml:space="preserve">often underpins the </w:t>
      </w:r>
      <w:r w:rsidR="009E12CE">
        <w:rPr>
          <w:rFonts w:ascii="Century Gothic" w:hAnsi="Century Gothic"/>
        </w:rPr>
        <w:t xml:space="preserve">necessary </w:t>
      </w:r>
      <w:r>
        <w:rPr>
          <w:rFonts w:ascii="Century Gothic" w:hAnsi="Century Gothic"/>
        </w:rPr>
        <w:t xml:space="preserve">human, physical and intellectual assets required for </w:t>
      </w:r>
      <w:r w:rsidR="009E12CE">
        <w:rPr>
          <w:rFonts w:ascii="Century Gothic" w:hAnsi="Century Gothic"/>
        </w:rPr>
        <w:t xml:space="preserve">technology leadership and innovation.  </w:t>
      </w:r>
    </w:p>
    <w:p w14:paraId="528F8A70" w14:textId="77777777" w:rsidR="00F704E6" w:rsidRDefault="007B4FB9" w:rsidP="00316DC4">
      <w:pPr>
        <w:jc w:val="both"/>
        <w:rPr>
          <w:rFonts w:ascii="Century Gothic" w:hAnsi="Century Gothic"/>
        </w:rPr>
      </w:pPr>
      <w:r>
        <w:rPr>
          <w:rFonts w:ascii="Century Gothic" w:hAnsi="Century Gothic"/>
        </w:rPr>
        <w:t>A world</w:t>
      </w:r>
      <w:r w:rsidR="00F704E6">
        <w:rPr>
          <w:rFonts w:ascii="Century Gothic" w:hAnsi="Century Gothic"/>
        </w:rPr>
        <w:t xml:space="preserve">wide leading example is the German Max-Planck Society, </w:t>
      </w:r>
      <w:r w:rsidR="0090292A">
        <w:rPr>
          <w:rFonts w:ascii="Century Gothic" w:hAnsi="Century Gothic"/>
        </w:rPr>
        <w:t xml:space="preserve">which </w:t>
      </w:r>
      <w:r w:rsidR="00F704E6">
        <w:rPr>
          <w:rFonts w:ascii="Century Gothic" w:hAnsi="Century Gothic"/>
        </w:rPr>
        <w:t>is constantly delivering highly commercial outcomes fr</w:t>
      </w:r>
      <w:r w:rsidR="0090292A">
        <w:rPr>
          <w:rFonts w:ascii="Century Gothic" w:hAnsi="Century Gothic"/>
        </w:rPr>
        <w:t>o</w:t>
      </w:r>
      <w:r w:rsidR="00F704E6">
        <w:rPr>
          <w:rFonts w:ascii="Century Gothic" w:hAnsi="Century Gothic"/>
        </w:rPr>
        <w:t xml:space="preserve">m curiosity-driven research through its commercialisation company Max-Planck-Innovation.  Since 1970, Max Planck </w:t>
      </w:r>
      <w:r>
        <w:rPr>
          <w:rFonts w:ascii="Century Gothic" w:hAnsi="Century Gothic"/>
        </w:rPr>
        <w:t xml:space="preserve">Innovation </w:t>
      </w:r>
      <w:r w:rsidR="00F704E6">
        <w:rPr>
          <w:rFonts w:ascii="Century Gothic" w:hAnsi="Century Gothic"/>
        </w:rPr>
        <w:t>has concluded more than 1,800 commercialisation agreements, started 90 companies and received more than Euro 230 million in licensing revenues.</w:t>
      </w:r>
    </w:p>
    <w:p w14:paraId="528F8A71" w14:textId="77777777" w:rsidR="009E12CE" w:rsidRPr="00174555" w:rsidRDefault="009E12CE" w:rsidP="007819E2">
      <w:pPr>
        <w:pStyle w:val="Heading2"/>
      </w:pPr>
      <w:r w:rsidRPr="00174555">
        <w:t>Multi-disciplinary Approach</w:t>
      </w:r>
    </w:p>
    <w:p w14:paraId="528F8A72" w14:textId="77777777" w:rsidR="009E12CE" w:rsidRDefault="00EC2ADE" w:rsidP="00316DC4">
      <w:pPr>
        <w:jc w:val="both"/>
        <w:rPr>
          <w:rFonts w:ascii="Century Gothic" w:hAnsi="Century Gothic"/>
        </w:rPr>
      </w:pPr>
      <w:r>
        <w:rPr>
          <w:rFonts w:ascii="Century Gothic" w:hAnsi="Century Gothic"/>
        </w:rPr>
        <w:t>Any market-based innovation in a modern economy requires blending ‘STEM’-</w:t>
      </w:r>
      <w:r w:rsidR="001848A3">
        <w:rPr>
          <w:rFonts w:ascii="Century Gothic" w:hAnsi="Century Gothic"/>
        </w:rPr>
        <w:t xml:space="preserve"> </w:t>
      </w:r>
      <w:r>
        <w:rPr>
          <w:rFonts w:ascii="Century Gothic" w:hAnsi="Century Gothic"/>
        </w:rPr>
        <w:t xml:space="preserve">based skills with </w:t>
      </w:r>
      <w:r w:rsidR="001848A3">
        <w:rPr>
          <w:rFonts w:ascii="Century Gothic" w:hAnsi="Century Gothic"/>
        </w:rPr>
        <w:t xml:space="preserve">the disciplines embodied in the humanities, arts, and social sciences </w:t>
      </w:r>
      <w:r w:rsidR="004B26F0">
        <w:rPr>
          <w:rFonts w:ascii="Century Gothic" w:hAnsi="Century Gothic"/>
        </w:rPr>
        <w:t xml:space="preserve">(‘HASS’) </w:t>
      </w:r>
      <w:r w:rsidR="001848A3">
        <w:rPr>
          <w:rFonts w:ascii="Century Gothic" w:hAnsi="Century Gothic"/>
        </w:rPr>
        <w:t>– such as market research, customer-led design, international business</w:t>
      </w:r>
      <w:r w:rsidR="002E48D2">
        <w:rPr>
          <w:rFonts w:ascii="Century Gothic" w:hAnsi="Century Gothic"/>
        </w:rPr>
        <w:t xml:space="preserve">, </w:t>
      </w:r>
      <w:r w:rsidR="00E54B06">
        <w:rPr>
          <w:rFonts w:ascii="Century Gothic" w:hAnsi="Century Gothic"/>
        </w:rPr>
        <w:t xml:space="preserve">social marketing, </w:t>
      </w:r>
      <w:r w:rsidR="001848A3">
        <w:rPr>
          <w:rFonts w:ascii="Century Gothic" w:hAnsi="Century Gothic"/>
        </w:rPr>
        <w:t>languages</w:t>
      </w:r>
      <w:r w:rsidR="002E48D2">
        <w:rPr>
          <w:rFonts w:ascii="Century Gothic" w:hAnsi="Century Gothic"/>
        </w:rPr>
        <w:t xml:space="preserve"> and so on</w:t>
      </w:r>
      <w:r w:rsidR="001848A3">
        <w:rPr>
          <w:rFonts w:ascii="Century Gothic" w:hAnsi="Century Gothic"/>
        </w:rPr>
        <w:t xml:space="preserve">.  </w:t>
      </w:r>
    </w:p>
    <w:p w14:paraId="528F8A73" w14:textId="77777777" w:rsidR="00674E31" w:rsidRDefault="001848A3" w:rsidP="00316DC4">
      <w:pPr>
        <w:jc w:val="both"/>
        <w:rPr>
          <w:rFonts w:ascii="Century Gothic" w:hAnsi="Century Gothic"/>
        </w:rPr>
      </w:pPr>
      <w:r>
        <w:rPr>
          <w:rFonts w:ascii="Century Gothic" w:hAnsi="Century Gothic"/>
        </w:rPr>
        <w:t xml:space="preserve">The disciplines are complementary, </w:t>
      </w:r>
      <w:r w:rsidR="004B26F0">
        <w:rPr>
          <w:rFonts w:ascii="Century Gothic" w:hAnsi="Century Gothic"/>
        </w:rPr>
        <w:t xml:space="preserve">rather than substitutes.  Foregoing one stream for another could lessen rather than enhance </w:t>
      </w:r>
      <w:r w:rsidR="009E12CE">
        <w:rPr>
          <w:rFonts w:ascii="Century Gothic" w:hAnsi="Century Gothic"/>
        </w:rPr>
        <w:t>new to market innovation</w:t>
      </w:r>
      <w:r w:rsidR="00B04300">
        <w:rPr>
          <w:rFonts w:ascii="Century Gothic" w:hAnsi="Century Gothic"/>
        </w:rPr>
        <w:t>, economic development and competitiveness</w:t>
      </w:r>
      <w:r w:rsidR="004B26F0">
        <w:rPr>
          <w:rFonts w:ascii="Century Gothic" w:hAnsi="Century Gothic"/>
        </w:rPr>
        <w:t>.</w:t>
      </w:r>
      <w:r w:rsidR="002E48D2">
        <w:rPr>
          <w:rFonts w:ascii="Century Gothic" w:hAnsi="Century Gothic"/>
        </w:rPr>
        <w:t xml:space="preserve">  </w:t>
      </w:r>
    </w:p>
    <w:p w14:paraId="528F8A74" w14:textId="77777777" w:rsidR="009E12CE" w:rsidRDefault="002E48D2" w:rsidP="00316DC4">
      <w:pPr>
        <w:jc w:val="both"/>
        <w:rPr>
          <w:rFonts w:ascii="Century Gothic" w:hAnsi="Century Gothic"/>
        </w:rPr>
      </w:pPr>
      <w:r>
        <w:rPr>
          <w:rFonts w:ascii="Century Gothic" w:hAnsi="Century Gothic"/>
        </w:rPr>
        <w:t xml:space="preserve">Accordingly, any funding allocations by the government fundamentally need to </w:t>
      </w:r>
      <w:r w:rsidR="00E54B06">
        <w:rPr>
          <w:rFonts w:ascii="Century Gothic" w:hAnsi="Century Gothic"/>
        </w:rPr>
        <w:t>consider</w:t>
      </w:r>
      <w:r>
        <w:rPr>
          <w:rFonts w:ascii="Century Gothic" w:hAnsi="Century Gothic"/>
        </w:rPr>
        <w:t xml:space="preserve"> both</w:t>
      </w:r>
      <w:r w:rsidR="00B04300">
        <w:rPr>
          <w:rFonts w:ascii="Century Gothic" w:hAnsi="Century Gothic"/>
        </w:rPr>
        <w:t xml:space="preserve"> STEM and HASS</w:t>
      </w:r>
      <w:r>
        <w:rPr>
          <w:rFonts w:ascii="Century Gothic" w:hAnsi="Century Gothic"/>
        </w:rPr>
        <w:t xml:space="preserve"> streams.</w:t>
      </w:r>
    </w:p>
    <w:p w14:paraId="528F8A75" w14:textId="77777777" w:rsidR="00845DEA" w:rsidRDefault="00845DEA">
      <w:pPr>
        <w:rPr>
          <w:rFonts w:ascii="Century Gothic" w:hAnsi="Century Gothic" w:cs="Arial"/>
          <w:color w:val="FF0000"/>
          <w:sz w:val="44"/>
        </w:rPr>
      </w:pPr>
      <w:r>
        <w:rPr>
          <w:rFonts w:ascii="Century Gothic" w:hAnsi="Century Gothic"/>
          <w:b/>
          <w:color w:val="FF0000"/>
          <w:sz w:val="44"/>
        </w:rPr>
        <w:br w:type="page"/>
      </w:r>
    </w:p>
    <w:p w14:paraId="528F8A76" w14:textId="77777777" w:rsidR="00807D33" w:rsidRPr="00807D33" w:rsidRDefault="00AA0E08" w:rsidP="007819E2">
      <w:pPr>
        <w:pStyle w:val="Heading1"/>
      </w:pPr>
      <w:r>
        <w:lastRenderedPageBreak/>
        <w:t xml:space="preserve">Fostering </w:t>
      </w:r>
      <w:r w:rsidR="00807D33" w:rsidRPr="00807D33">
        <w:t>Collaboration between Industry and Higher Education Institutions</w:t>
      </w:r>
    </w:p>
    <w:p w14:paraId="528F8A77" w14:textId="77777777" w:rsidR="00807D33" w:rsidRDefault="00807D33" w:rsidP="00316DC4">
      <w:pPr>
        <w:jc w:val="both"/>
        <w:rPr>
          <w:rFonts w:ascii="Century Gothic" w:hAnsi="Century Gothic"/>
        </w:rPr>
      </w:pPr>
    </w:p>
    <w:p w14:paraId="528F8A78" w14:textId="77777777" w:rsidR="00AA0E08" w:rsidRDefault="00AA0E08" w:rsidP="00316DC4">
      <w:pPr>
        <w:jc w:val="both"/>
        <w:rPr>
          <w:rFonts w:ascii="Century Gothic" w:hAnsi="Century Gothic"/>
        </w:rPr>
      </w:pPr>
      <w:r>
        <w:rPr>
          <w:rFonts w:ascii="Century Gothic" w:hAnsi="Century Gothic"/>
        </w:rPr>
        <w:t>Based on an OECD study</w:t>
      </w:r>
      <w:r>
        <w:rPr>
          <w:rStyle w:val="FootnoteReference"/>
          <w:rFonts w:ascii="Century Gothic" w:hAnsi="Century Gothic"/>
        </w:rPr>
        <w:footnoteReference w:id="1"/>
      </w:r>
      <w:r>
        <w:rPr>
          <w:rFonts w:ascii="Century Gothic" w:hAnsi="Century Gothic"/>
        </w:rPr>
        <w:t>, Australia performs poorly when looking at collaborations between industry (both large entities and SMEs)</w:t>
      </w:r>
      <w:r w:rsidR="009548A9">
        <w:rPr>
          <w:rFonts w:ascii="Century Gothic" w:hAnsi="Century Gothic"/>
        </w:rPr>
        <w:t>,</w:t>
      </w:r>
      <w:r>
        <w:rPr>
          <w:rFonts w:ascii="Century Gothic" w:hAnsi="Century Gothic"/>
        </w:rPr>
        <w:t xml:space="preserve"> and the higher education and public research institutions.  The Discussion Paper also lists a number of other criteria, where Australia underperforms compared to its OECD peers, including the proportion of researchers working in business, number of publications co-authored by industry and the research sector, and new-to-the-world innovations.</w:t>
      </w:r>
    </w:p>
    <w:p w14:paraId="528F8A79" w14:textId="77777777" w:rsidR="00AA0E08" w:rsidRPr="00520DEE" w:rsidRDefault="00AA0E08" w:rsidP="00316DC4">
      <w:pPr>
        <w:jc w:val="both"/>
        <w:rPr>
          <w:rFonts w:ascii="Century Gothic" w:hAnsi="Century Gothic"/>
        </w:rPr>
      </w:pPr>
      <w:r>
        <w:rPr>
          <w:rFonts w:ascii="Century Gothic" w:hAnsi="Century Gothic"/>
        </w:rPr>
        <w:t xml:space="preserve">However, Australia is </w:t>
      </w:r>
      <w:r w:rsidR="0046124E">
        <w:rPr>
          <w:rFonts w:ascii="Century Gothic" w:hAnsi="Century Gothic"/>
        </w:rPr>
        <w:t xml:space="preserve">arguably </w:t>
      </w:r>
      <w:r>
        <w:rPr>
          <w:rFonts w:ascii="Century Gothic" w:hAnsi="Century Gothic"/>
        </w:rPr>
        <w:t xml:space="preserve">performing exceptionally well when adapting or modifying </w:t>
      </w:r>
      <w:r w:rsidR="006B676B">
        <w:rPr>
          <w:rFonts w:ascii="Century Gothic" w:hAnsi="Century Gothic"/>
        </w:rPr>
        <w:t>new</w:t>
      </w:r>
      <w:r>
        <w:rPr>
          <w:rFonts w:ascii="Century Gothic" w:hAnsi="Century Gothic"/>
        </w:rPr>
        <w:t xml:space="preserve"> innovations</w:t>
      </w:r>
      <w:r w:rsidR="006B676B">
        <w:rPr>
          <w:rFonts w:ascii="Century Gothic" w:hAnsi="Century Gothic"/>
        </w:rPr>
        <w:t xml:space="preserve"> developed by others</w:t>
      </w:r>
      <w:r>
        <w:rPr>
          <w:rFonts w:ascii="Century Gothic" w:hAnsi="Century Gothic"/>
        </w:rPr>
        <w:t>, which is a strong indication that generally Australian industry is technol</w:t>
      </w:r>
      <w:r w:rsidR="006B676B">
        <w:rPr>
          <w:rFonts w:ascii="Century Gothic" w:hAnsi="Century Gothic"/>
        </w:rPr>
        <w:t>ogy-savy and open to innovation</w:t>
      </w:r>
      <w:r>
        <w:rPr>
          <w:rFonts w:ascii="Century Gothic" w:hAnsi="Century Gothic"/>
        </w:rPr>
        <w:t>.</w:t>
      </w:r>
    </w:p>
    <w:p w14:paraId="528F8A7A" w14:textId="77777777" w:rsidR="00AA0E08" w:rsidRDefault="00AA0E08" w:rsidP="00316DC4">
      <w:pPr>
        <w:jc w:val="both"/>
        <w:rPr>
          <w:rFonts w:ascii="Century Gothic" w:hAnsi="Century Gothic"/>
        </w:rPr>
      </w:pPr>
      <w:r>
        <w:rPr>
          <w:rFonts w:ascii="Century Gothic" w:hAnsi="Century Gothic"/>
        </w:rPr>
        <w:t xml:space="preserve">Griffith University </w:t>
      </w:r>
      <w:r w:rsidR="00FB2745">
        <w:rPr>
          <w:rFonts w:ascii="Century Gothic" w:hAnsi="Century Gothic"/>
        </w:rPr>
        <w:t>welcomes</w:t>
      </w:r>
      <w:r>
        <w:rPr>
          <w:rFonts w:ascii="Century Gothic" w:hAnsi="Century Gothic"/>
        </w:rPr>
        <w:t xml:space="preserve"> the </w:t>
      </w:r>
      <w:r w:rsidR="00A016C1">
        <w:rPr>
          <w:rFonts w:ascii="Century Gothic" w:hAnsi="Century Gothic"/>
        </w:rPr>
        <w:t>Government</w:t>
      </w:r>
      <w:r w:rsidR="004B26F0">
        <w:rPr>
          <w:rFonts w:ascii="Century Gothic" w:hAnsi="Century Gothic"/>
        </w:rPr>
        <w:t>’</w:t>
      </w:r>
      <w:r w:rsidR="00A016C1">
        <w:rPr>
          <w:rFonts w:ascii="Century Gothic" w:hAnsi="Century Gothic"/>
        </w:rPr>
        <w:t xml:space="preserve">s commitment to establish strong incentives for higher education institutions and their academic staff to collaborate with industry and to translate research outcomes into Industry.  </w:t>
      </w:r>
    </w:p>
    <w:p w14:paraId="528F8A7B" w14:textId="77777777" w:rsidR="00A016C1" w:rsidRPr="00FB2745" w:rsidRDefault="00A016C1" w:rsidP="00316DC4">
      <w:pPr>
        <w:jc w:val="both"/>
        <w:rPr>
          <w:rFonts w:ascii="Century Gothic" w:hAnsi="Century Gothic"/>
        </w:rPr>
      </w:pPr>
      <w:r w:rsidRPr="00FB2745">
        <w:rPr>
          <w:rFonts w:ascii="Century Gothic" w:hAnsi="Century Gothic"/>
        </w:rPr>
        <w:t xml:space="preserve">We support </w:t>
      </w:r>
      <w:r w:rsidR="007C14DB">
        <w:rPr>
          <w:rFonts w:ascii="Century Gothic" w:hAnsi="Century Gothic"/>
        </w:rPr>
        <w:t>developing and implementing a</w:t>
      </w:r>
      <w:r w:rsidR="00FB2745">
        <w:rPr>
          <w:rFonts w:ascii="Century Gothic" w:hAnsi="Century Gothic"/>
        </w:rPr>
        <w:t xml:space="preserve"> strategy </w:t>
      </w:r>
      <w:r w:rsidR="00FB2745" w:rsidRPr="00FB2745">
        <w:rPr>
          <w:rFonts w:ascii="Century Gothic" w:hAnsi="Century Gothic"/>
        </w:rPr>
        <w:t>to target three main issues:</w:t>
      </w:r>
    </w:p>
    <w:p w14:paraId="528F8A7C" w14:textId="77777777" w:rsidR="00FB2745" w:rsidRPr="00FB2745" w:rsidRDefault="00FB2745" w:rsidP="00316DC4">
      <w:pPr>
        <w:pStyle w:val="ListParagraph"/>
        <w:numPr>
          <w:ilvl w:val="0"/>
          <w:numId w:val="41"/>
        </w:numPr>
        <w:contextualSpacing w:val="0"/>
        <w:jc w:val="both"/>
        <w:rPr>
          <w:rFonts w:ascii="Century Gothic" w:hAnsi="Century Gothic"/>
        </w:rPr>
      </w:pPr>
      <w:r w:rsidRPr="00FB2745">
        <w:rPr>
          <w:rFonts w:ascii="Century Gothic" w:hAnsi="Century Gothic"/>
        </w:rPr>
        <w:t>Creating stronger incentives for research-industry collaboration</w:t>
      </w:r>
      <w:r>
        <w:rPr>
          <w:rFonts w:ascii="Century Gothic" w:hAnsi="Century Gothic"/>
        </w:rPr>
        <w:t>;</w:t>
      </w:r>
    </w:p>
    <w:p w14:paraId="528F8A7D" w14:textId="77777777" w:rsidR="00FB2745" w:rsidRPr="00FB2745" w:rsidRDefault="00FB2745" w:rsidP="00316DC4">
      <w:pPr>
        <w:pStyle w:val="ListParagraph"/>
        <w:numPr>
          <w:ilvl w:val="0"/>
          <w:numId w:val="41"/>
        </w:numPr>
        <w:contextualSpacing w:val="0"/>
        <w:jc w:val="both"/>
        <w:rPr>
          <w:rFonts w:ascii="Century Gothic" w:hAnsi="Century Gothic"/>
        </w:rPr>
      </w:pPr>
      <w:r w:rsidRPr="00FB2745">
        <w:rPr>
          <w:rFonts w:ascii="Century Gothic" w:hAnsi="Century Gothic"/>
        </w:rPr>
        <w:t>Supporting research infrastructure</w:t>
      </w:r>
      <w:r>
        <w:rPr>
          <w:rFonts w:ascii="Century Gothic" w:hAnsi="Century Gothic"/>
        </w:rPr>
        <w:t>; and,</w:t>
      </w:r>
    </w:p>
    <w:p w14:paraId="528F8A7E" w14:textId="77777777" w:rsidR="00FB2745" w:rsidRPr="00FB2745" w:rsidRDefault="00FB2745" w:rsidP="00316DC4">
      <w:pPr>
        <w:pStyle w:val="ListParagraph"/>
        <w:numPr>
          <w:ilvl w:val="0"/>
          <w:numId w:val="41"/>
        </w:numPr>
        <w:spacing w:after="360"/>
        <w:ind w:left="714" w:hanging="357"/>
        <w:contextualSpacing w:val="0"/>
        <w:jc w:val="both"/>
        <w:rPr>
          <w:rFonts w:ascii="Century Gothic" w:hAnsi="Century Gothic"/>
        </w:rPr>
      </w:pPr>
      <w:r w:rsidRPr="00FB2745">
        <w:rPr>
          <w:rFonts w:ascii="Century Gothic" w:hAnsi="Century Gothic"/>
        </w:rPr>
        <w:t>Providing better access to research</w:t>
      </w:r>
      <w:r>
        <w:rPr>
          <w:rFonts w:ascii="Century Gothic" w:hAnsi="Century Gothic"/>
        </w:rPr>
        <w:t>.</w:t>
      </w:r>
    </w:p>
    <w:p w14:paraId="528F8A7F" w14:textId="77777777" w:rsidR="00F34A26" w:rsidRPr="00174555" w:rsidRDefault="00FB2745" w:rsidP="007819E2">
      <w:pPr>
        <w:pStyle w:val="Heading2"/>
      </w:pPr>
      <w:r w:rsidRPr="00174555">
        <w:t xml:space="preserve">Creating stronger incentives for </w:t>
      </w:r>
      <w:r w:rsidR="007C14DB" w:rsidRPr="00174555">
        <w:t>research-industry collaboration</w:t>
      </w:r>
    </w:p>
    <w:p w14:paraId="528F8A80" w14:textId="77777777" w:rsidR="003E0533" w:rsidRDefault="00F34A26" w:rsidP="00316DC4">
      <w:pPr>
        <w:jc w:val="both"/>
        <w:rPr>
          <w:rFonts w:ascii="Century Gothic" w:hAnsi="Century Gothic"/>
        </w:rPr>
      </w:pPr>
      <w:r w:rsidRPr="00F34A26">
        <w:rPr>
          <w:rFonts w:ascii="Century Gothic" w:hAnsi="Century Gothic"/>
        </w:rPr>
        <w:t>Researchers</w:t>
      </w:r>
      <w:r w:rsidR="00E73F78">
        <w:rPr>
          <w:rFonts w:ascii="Century Gothic" w:hAnsi="Century Gothic"/>
        </w:rPr>
        <w:t xml:space="preserve"> in academic institutions</w:t>
      </w:r>
      <w:r w:rsidRPr="00F34A26">
        <w:rPr>
          <w:rFonts w:ascii="Century Gothic" w:hAnsi="Century Gothic"/>
        </w:rPr>
        <w:t xml:space="preserve"> </w:t>
      </w:r>
      <w:r w:rsidR="003E0533">
        <w:rPr>
          <w:rFonts w:ascii="Century Gothic" w:hAnsi="Century Gothic"/>
        </w:rPr>
        <w:t xml:space="preserve">require </w:t>
      </w:r>
      <w:r w:rsidRPr="00F34A26">
        <w:rPr>
          <w:rFonts w:ascii="Century Gothic" w:hAnsi="Century Gothic"/>
        </w:rPr>
        <w:t>research funding and recognition of their achievements.</w:t>
      </w:r>
      <w:r>
        <w:rPr>
          <w:rFonts w:ascii="Century Gothic" w:hAnsi="Century Gothic"/>
        </w:rPr>
        <w:t xml:space="preserve">  </w:t>
      </w:r>
    </w:p>
    <w:p w14:paraId="528F8A81" w14:textId="77777777" w:rsidR="00E73F78" w:rsidRDefault="00E73F78" w:rsidP="00316DC4">
      <w:pPr>
        <w:jc w:val="both"/>
        <w:rPr>
          <w:rFonts w:ascii="Century Gothic" w:hAnsi="Century Gothic"/>
        </w:rPr>
      </w:pPr>
      <w:r>
        <w:rPr>
          <w:rFonts w:ascii="Century Gothic" w:hAnsi="Century Gothic"/>
        </w:rPr>
        <w:t xml:space="preserve">If the government specifically funds </w:t>
      </w:r>
      <w:r w:rsidRPr="00E73F78">
        <w:rPr>
          <w:rFonts w:ascii="Century Gothic" w:hAnsi="Century Gothic"/>
        </w:rPr>
        <w:t xml:space="preserve">research-industry collaboration and </w:t>
      </w:r>
      <w:r>
        <w:rPr>
          <w:rFonts w:ascii="Century Gothic" w:hAnsi="Century Gothic"/>
        </w:rPr>
        <w:t xml:space="preserve">Universities and the Government recognise successful </w:t>
      </w:r>
      <w:r w:rsidRPr="00E73F78">
        <w:rPr>
          <w:rFonts w:ascii="Century Gothic" w:hAnsi="Century Gothic"/>
        </w:rPr>
        <w:t>research-industry collaborations for individual and institutional performance and access to further funding</w:t>
      </w:r>
      <w:r>
        <w:rPr>
          <w:rFonts w:ascii="Century Gothic" w:hAnsi="Century Gothic"/>
        </w:rPr>
        <w:t>, researchers will actively seek to engage with industry to conduct collaborative research.</w:t>
      </w:r>
    </w:p>
    <w:p w14:paraId="528F8A82" w14:textId="77777777" w:rsidR="00E73F78" w:rsidRPr="00BB5757" w:rsidRDefault="00E73F78" w:rsidP="007819E2">
      <w:pPr>
        <w:pStyle w:val="Heading3"/>
      </w:pPr>
      <w:r w:rsidRPr="00BB5757">
        <w:t>Research Funding</w:t>
      </w:r>
    </w:p>
    <w:p w14:paraId="528F8A83" w14:textId="77777777" w:rsidR="00B04300" w:rsidRDefault="00272935" w:rsidP="00316DC4">
      <w:pPr>
        <w:jc w:val="both"/>
        <w:rPr>
          <w:rFonts w:ascii="Century Gothic" w:hAnsi="Century Gothic"/>
        </w:rPr>
      </w:pPr>
      <w:r>
        <w:rPr>
          <w:rFonts w:ascii="Century Gothic" w:hAnsi="Century Gothic"/>
        </w:rPr>
        <w:t>Appropriate</w:t>
      </w:r>
      <w:r w:rsidRPr="00F34A26">
        <w:rPr>
          <w:rFonts w:ascii="Century Gothic" w:hAnsi="Century Gothic"/>
        </w:rPr>
        <w:t xml:space="preserve"> recog</w:t>
      </w:r>
      <w:r>
        <w:rPr>
          <w:rFonts w:ascii="Century Gothic" w:hAnsi="Century Gothic"/>
        </w:rPr>
        <w:t>nition of</w:t>
      </w:r>
      <w:r w:rsidRPr="00F34A26">
        <w:rPr>
          <w:rFonts w:ascii="Century Gothic" w:hAnsi="Century Gothic"/>
        </w:rPr>
        <w:t xml:space="preserve"> experience</w:t>
      </w:r>
      <w:r w:rsidRPr="00272935">
        <w:rPr>
          <w:rFonts w:ascii="Century Gothic" w:hAnsi="Century Gothic"/>
        </w:rPr>
        <w:t xml:space="preserve"> </w:t>
      </w:r>
      <w:r>
        <w:rPr>
          <w:rFonts w:ascii="Century Gothic" w:hAnsi="Century Gothic"/>
        </w:rPr>
        <w:t>in re</w:t>
      </w:r>
      <w:r w:rsidR="004435D3">
        <w:rPr>
          <w:rFonts w:ascii="Century Gothic" w:hAnsi="Century Gothic"/>
        </w:rPr>
        <w:t>search-industry collaboration for</w:t>
      </w:r>
      <w:r>
        <w:rPr>
          <w:rFonts w:ascii="Century Gothic" w:hAnsi="Century Gothic"/>
        </w:rPr>
        <w:t xml:space="preserve"> the award of funding </w:t>
      </w:r>
      <w:r w:rsidR="006A6088">
        <w:rPr>
          <w:rFonts w:ascii="Century Gothic" w:hAnsi="Century Gothic"/>
        </w:rPr>
        <w:t xml:space="preserve">would strongly incentivise research staff to engage in such </w:t>
      </w:r>
      <w:r w:rsidR="00674E31">
        <w:rPr>
          <w:rFonts w:ascii="Century Gothic" w:hAnsi="Century Gothic"/>
        </w:rPr>
        <w:t>activity</w:t>
      </w:r>
      <w:r w:rsidR="006A6088">
        <w:rPr>
          <w:rFonts w:ascii="Century Gothic" w:hAnsi="Century Gothic"/>
        </w:rPr>
        <w:t xml:space="preserve">.  </w:t>
      </w:r>
    </w:p>
    <w:p w14:paraId="528F8A84" w14:textId="77777777" w:rsidR="008A7122" w:rsidRDefault="00E649EC" w:rsidP="00316DC4">
      <w:pPr>
        <w:tabs>
          <w:tab w:val="left" w:pos="284"/>
        </w:tabs>
        <w:jc w:val="both"/>
        <w:rPr>
          <w:rFonts w:ascii="Century Gothic" w:hAnsi="Century Gothic"/>
        </w:rPr>
      </w:pPr>
      <w:r>
        <w:rPr>
          <w:rFonts w:ascii="Century Gothic" w:hAnsi="Century Gothic"/>
        </w:rPr>
        <w:t xml:space="preserve">Both, the ARC linkage scheme and the CRC scheme </w:t>
      </w:r>
      <w:r w:rsidR="00EF0AD5">
        <w:rPr>
          <w:rFonts w:ascii="Century Gothic" w:hAnsi="Century Gothic"/>
        </w:rPr>
        <w:t xml:space="preserve">currently </w:t>
      </w:r>
      <w:r>
        <w:rPr>
          <w:rFonts w:ascii="Century Gothic" w:hAnsi="Century Gothic"/>
        </w:rPr>
        <w:t>award fundin</w:t>
      </w:r>
      <w:r w:rsidR="004435D3">
        <w:rPr>
          <w:rFonts w:ascii="Century Gothic" w:hAnsi="Century Gothic"/>
        </w:rPr>
        <w:t>g to projects of relevance for industry.  ARC linkage projects typically focus on narrow</w:t>
      </w:r>
      <w:r w:rsidR="009548A9">
        <w:rPr>
          <w:rFonts w:ascii="Century Gothic" w:hAnsi="Century Gothic"/>
        </w:rPr>
        <w:t>er</w:t>
      </w:r>
      <w:r w:rsidR="004435D3">
        <w:rPr>
          <w:rFonts w:ascii="Century Gothic" w:hAnsi="Century Gothic"/>
        </w:rPr>
        <w:t xml:space="preserve"> outcome</w:t>
      </w:r>
      <w:r w:rsidR="009548A9">
        <w:rPr>
          <w:rFonts w:ascii="Century Gothic" w:hAnsi="Century Gothic"/>
        </w:rPr>
        <w:t>s</w:t>
      </w:r>
      <w:r w:rsidR="004435D3">
        <w:rPr>
          <w:rFonts w:ascii="Century Gothic" w:hAnsi="Century Gothic"/>
        </w:rPr>
        <w:t xml:space="preserve"> and have a small number of collaborating entities, while the CRC scheme typically targets </w:t>
      </w:r>
      <w:r>
        <w:rPr>
          <w:rFonts w:ascii="Century Gothic" w:hAnsi="Century Gothic"/>
        </w:rPr>
        <w:t xml:space="preserve">a field of research, where success requires the collaboration of a large number of contributors from </w:t>
      </w:r>
      <w:r w:rsidR="004435D3">
        <w:rPr>
          <w:rFonts w:ascii="Century Gothic" w:hAnsi="Century Gothic"/>
        </w:rPr>
        <w:t>academia and industry.</w:t>
      </w:r>
      <w:r w:rsidR="00E72A3D">
        <w:rPr>
          <w:rFonts w:ascii="Century Gothic" w:hAnsi="Century Gothic"/>
        </w:rPr>
        <w:t xml:space="preserve">  Both </w:t>
      </w:r>
      <w:r w:rsidR="00EF0AD5">
        <w:rPr>
          <w:rFonts w:ascii="Century Gothic" w:hAnsi="Century Gothic"/>
        </w:rPr>
        <w:t>program</w:t>
      </w:r>
      <w:r w:rsidR="00E72A3D">
        <w:rPr>
          <w:rFonts w:ascii="Century Gothic" w:hAnsi="Century Gothic"/>
        </w:rPr>
        <w:t xml:space="preserve">s contribute to research-industry collaboration, and </w:t>
      </w:r>
      <w:r w:rsidR="00F94107">
        <w:rPr>
          <w:rFonts w:ascii="Century Gothic" w:hAnsi="Century Gothic"/>
        </w:rPr>
        <w:t xml:space="preserve">should continue, </w:t>
      </w:r>
      <w:r w:rsidR="009548A9">
        <w:rPr>
          <w:rFonts w:ascii="Century Gothic" w:hAnsi="Century Gothic"/>
        </w:rPr>
        <w:t xml:space="preserve">but </w:t>
      </w:r>
      <w:r w:rsidR="00F94107">
        <w:rPr>
          <w:rFonts w:ascii="Century Gothic" w:hAnsi="Century Gothic"/>
        </w:rPr>
        <w:t xml:space="preserve">recognising </w:t>
      </w:r>
      <w:r w:rsidR="00F94107">
        <w:rPr>
          <w:rFonts w:ascii="Century Gothic" w:hAnsi="Century Gothic"/>
        </w:rPr>
        <w:lastRenderedPageBreak/>
        <w:t xml:space="preserve">that improved effectiveness and efficiencies for each </w:t>
      </w:r>
      <w:r w:rsidR="00EF0AD5">
        <w:rPr>
          <w:rFonts w:ascii="Century Gothic" w:hAnsi="Century Gothic"/>
        </w:rPr>
        <w:t>program</w:t>
      </w:r>
      <w:r w:rsidR="00F94107">
        <w:rPr>
          <w:rFonts w:ascii="Century Gothic" w:hAnsi="Century Gothic"/>
        </w:rPr>
        <w:t xml:space="preserve"> should </w:t>
      </w:r>
      <w:r w:rsidR="009548A9">
        <w:rPr>
          <w:rFonts w:ascii="Century Gothic" w:hAnsi="Century Gothic"/>
        </w:rPr>
        <w:t xml:space="preserve">continue to </w:t>
      </w:r>
      <w:r w:rsidR="00F94107">
        <w:rPr>
          <w:rFonts w:ascii="Century Gothic" w:hAnsi="Century Gothic"/>
        </w:rPr>
        <w:t>be sought.</w:t>
      </w:r>
    </w:p>
    <w:p w14:paraId="528F8A85" w14:textId="77777777" w:rsidR="00272935" w:rsidRDefault="00EF0AD5" w:rsidP="00316DC4">
      <w:pPr>
        <w:tabs>
          <w:tab w:val="left" w:pos="284"/>
        </w:tabs>
        <w:jc w:val="both"/>
        <w:rPr>
          <w:rFonts w:ascii="Century Gothic" w:hAnsi="Century Gothic"/>
        </w:rPr>
      </w:pPr>
      <w:r>
        <w:rPr>
          <w:rFonts w:ascii="Century Gothic" w:hAnsi="Century Gothic"/>
        </w:rPr>
        <w:t xml:space="preserve">To supplement these programs, </w:t>
      </w:r>
      <w:r w:rsidR="00E649EC">
        <w:rPr>
          <w:rFonts w:ascii="Century Gothic" w:hAnsi="Century Gothic"/>
        </w:rPr>
        <w:t>Government could consider establishing related competitive grant schemes</w:t>
      </w:r>
      <w:r w:rsidR="008A7122">
        <w:rPr>
          <w:rFonts w:ascii="Century Gothic" w:hAnsi="Century Gothic"/>
        </w:rPr>
        <w:t xml:space="preserve"> that </w:t>
      </w:r>
      <w:r w:rsidR="000236B4">
        <w:rPr>
          <w:rFonts w:ascii="Century Gothic" w:hAnsi="Century Gothic"/>
        </w:rPr>
        <w:t xml:space="preserve">specifically </w:t>
      </w:r>
      <w:r w:rsidR="005755B2">
        <w:rPr>
          <w:rFonts w:ascii="Century Gothic" w:hAnsi="Century Gothic"/>
        </w:rPr>
        <w:t>address</w:t>
      </w:r>
      <w:r w:rsidR="00C126D9">
        <w:rPr>
          <w:rFonts w:ascii="Century Gothic" w:hAnsi="Century Gothic"/>
        </w:rPr>
        <w:t xml:space="preserve"> the unmet needs of the Australian industry</w:t>
      </w:r>
      <w:r w:rsidR="004435D3">
        <w:rPr>
          <w:rFonts w:ascii="Century Gothic" w:hAnsi="Century Gothic"/>
        </w:rPr>
        <w:t xml:space="preserve"> and </w:t>
      </w:r>
      <w:r w:rsidR="009548A9">
        <w:rPr>
          <w:rFonts w:ascii="Century Gothic" w:hAnsi="Century Gothic"/>
        </w:rPr>
        <w:t xml:space="preserve">that </w:t>
      </w:r>
      <w:r w:rsidR="004435D3">
        <w:rPr>
          <w:rFonts w:ascii="Century Gothic" w:hAnsi="Century Gothic"/>
        </w:rPr>
        <w:t>are aligned with the National Research Priorities</w:t>
      </w:r>
      <w:r w:rsidR="00C126D9">
        <w:rPr>
          <w:rFonts w:ascii="Century Gothic" w:hAnsi="Century Gothic"/>
        </w:rPr>
        <w:t xml:space="preserve">.  A key success factor could be </w:t>
      </w:r>
      <w:r w:rsidR="000236B4">
        <w:rPr>
          <w:rFonts w:ascii="Century Gothic" w:hAnsi="Century Gothic"/>
        </w:rPr>
        <w:t xml:space="preserve">a </w:t>
      </w:r>
      <w:r w:rsidR="004435D3">
        <w:rPr>
          <w:rFonts w:ascii="Century Gothic" w:hAnsi="Century Gothic"/>
        </w:rPr>
        <w:t>modified</w:t>
      </w:r>
      <w:r w:rsidR="000236B4">
        <w:rPr>
          <w:rFonts w:ascii="Century Gothic" w:hAnsi="Century Gothic"/>
        </w:rPr>
        <w:t xml:space="preserve"> award mechanism:  </w:t>
      </w:r>
      <w:r w:rsidR="004435D3">
        <w:rPr>
          <w:rFonts w:ascii="Century Gothic" w:hAnsi="Century Gothic"/>
        </w:rPr>
        <w:t xml:space="preserve">Instead of the academic partner being the driver of the process and being the primary awardee of the grants, the process </w:t>
      </w:r>
      <w:r w:rsidR="000759F4">
        <w:rPr>
          <w:rFonts w:ascii="Century Gothic" w:hAnsi="Century Gothic"/>
        </w:rPr>
        <w:t xml:space="preserve">could </w:t>
      </w:r>
      <w:r w:rsidR="004435D3">
        <w:rPr>
          <w:rFonts w:ascii="Century Gothic" w:hAnsi="Century Gothic"/>
        </w:rPr>
        <w:t xml:space="preserve">be driven by industry </w:t>
      </w:r>
      <w:r w:rsidR="00C126D9" w:rsidRPr="00C126D9">
        <w:rPr>
          <w:rFonts w:ascii="Century Gothic" w:hAnsi="Century Gothic"/>
        </w:rPr>
        <w:t>entities</w:t>
      </w:r>
      <w:r w:rsidR="004435D3">
        <w:rPr>
          <w:rFonts w:ascii="Century Gothic" w:hAnsi="Century Gothic"/>
        </w:rPr>
        <w:t xml:space="preserve">, </w:t>
      </w:r>
      <w:r w:rsidR="0053028B">
        <w:rPr>
          <w:rFonts w:ascii="Century Gothic" w:hAnsi="Century Gothic"/>
        </w:rPr>
        <w:t>which</w:t>
      </w:r>
      <w:r w:rsidR="004435D3">
        <w:rPr>
          <w:rFonts w:ascii="Century Gothic" w:hAnsi="Century Gothic"/>
        </w:rPr>
        <w:t xml:space="preserve"> need to engage with academic partners to be eligible for the grants. </w:t>
      </w:r>
      <w:r w:rsidR="00B04300">
        <w:rPr>
          <w:rFonts w:ascii="Century Gothic" w:hAnsi="Century Gothic"/>
        </w:rPr>
        <w:t xml:space="preserve"> </w:t>
      </w:r>
      <w:r w:rsidR="004435D3">
        <w:rPr>
          <w:rFonts w:ascii="Century Gothic" w:hAnsi="Century Gothic"/>
        </w:rPr>
        <w:t xml:space="preserve">This model would </w:t>
      </w:r>
      <w:r w:rsidR="00B04300">
        <w:rPr>
          <w:rFonts w:ascii="Century Gothic" w:hAnsi="Century Gothic"/>
        </w:rPr>
        <w:t xml:space="preserve">enhance the likelihood </w:t>
      </w:r>
      <w:r w:rsidR="004435D3">
        <w:rPr>
          <w:rFonts w:ascii="Century Gothic" w:hAnsi="Century Gothic"/>
        </w:rPr>
        <w:t xml:space="preserve">that </w:t>
      </w:r>
      <w:r w:rsidR="00B04300">
        <w:rPr>
          <w:rFonts w:ascii="Century Gothic" w:hAnsi="Century Gothic"/>
        </w:rPr>
        <w:t xml:space="preserve">research </w:t>
      </w:r>
      <w:r w:rsidR="004435D3">
        <w:rPr>
          <w:rFonts w:ascii="Century Gothic" w:hAnsi="Century Gothic"/>
        </w:rPr>
        <w:t xml:space="preserve">projects focus on unmet needs of the Australian industry.  It has </w:t>
      </w:r>
      <w:r w:rsidR="00C126D9" w:rsidRPr="00C126D9">
        <w:rPr>
          <w:rFonts w:ascii="Century Gothic" w:hAnsi="Century Gothic"/>
        </w:rPr>
        <w:t xml:space="preserve">been successfully utilised in Germany for more than 3 decades </w:t>
      </w:r>
      <w:r w:rsidR="00C126D9">
        <w:rPr>
          <w:rFonts w:ascii="Century Gothic" w:hAnsi="Century Gothic"/>
        </w:rPr>
        <w:t>and ensured that</w:t>
      </w:r>
      <w:r w:rsidR="004435D3">
        <w:rPr>
          <w:rFonts w:ascii="Century Gothic" w:hAnsi="Century Gothic"/>
        </w:rPr>
        <w:t xml:space="preserve"> the Government supports </w:t>
      </w:r>
      <w:r w:rsidR="00C126D9">
        <w:rPr>
          <w:rFonts w:ascii="Century Gothic" w:hAnsi="Century Gothic"/>
        </w:rPr>
        <w:t>projects of interest for industry</w:t>
      </w:r>
      <w:r w:rsidR="000236B4">
        <w:rPr>
          <w:rFonts w:ascii="Century Gothic" w:hAnsi="Century Gothic"/>
        </w:rPr>
        <w:t xml:space="preserve"> and industry and </w:t>
      </w:r>
      <w:r w:rsidR="004435D3">
        <w:rPr>
          <w:rFonts w:ascii="Century Gothic" w:hAnsi="Century Gothic"/>
        </w:rPr>
        <w:t>academia conduct collaborative</w:t>
      </w:r>
      <w:r w:rsidR="000236B4">
        <w:rPr>
          <w:rFonts w:ascii="Century Gothic" w:hAnsi="Century Gothic"/>
        </w:rPr>
        <w:t xml:space="preserve"> R&amp;D</w:t>
      </w:r>
      <w:r w:rsidR="00C126D9">
        <w:rPr>
          <w:rFonts w:ascii="Century Gothic" w:hAnsi="Century Gothic"/>
        </w:rPr>
        <w:t xml:space="preserve">. </w:t>
      </w:r>
    </w:p>
    <w:p w14:paraId="528F8A86" w14:textId="77777777" w:rsidR="00E649EC" w:rsidRPr="00BB5757" w:rsidRDefault="00F40FC8" w:rsidP="007819E2">
      <w:pPr>
        <w:pStyle w:val="Heading3"/>
      </w:pPr>
      <w:r w:rsidRPr="00BB5757">
        <w:t>Block Grants</w:t>
      </w:r>
    </w:p>
    <w:p w14:paraId="528F8A87" w14:textId="77777777" w:rsidR="00F40FC8" w:rsidRDefault="00535AE2" w:rsidP="00316DC4">
      <w:pPr>
        <w:jc w:val="both"/>
        <w:rPr>
          <w:rFonts w:ascii="Century Gothic" w:hAnsi="Century Gothic"/>
        </w:rPr>
      </w:pPr>
      <w:r>
        <w:rPr>
          <w:rFonts w:ascii="Century Gothic" w:hAnsi="Century Gothic"/>
        </w:rPr>
        <w:t>Griffith University supported the replacement of the Institutional Grants Scheme</w:t>
      </w:r>
      <w:r w:rsidR="00292BE4">
        <w:rPr>
          <w:rFonts w:ascii="Century Gothic" w:hAnsi="Century Gothic"/>
        </w:rPr>
        <w:t xml:space="preserve"> (IGS) with the J</w:t>
      </w:r>
      <w:r>
        <w:rPr>
          <w:rFonts w:ascii="Century Gothic" w:hAnsi="Century Gothic"/>
        </w:rPr>
        <w:t>oint Research Engagement (JRE) program</w:t>
      </w:r>
      <w:r w:rsidRPr="00535AE2">
        <w:t xml:space="preserve"> </w:t>
      </w:r>
      <w:r w:rsidRPr="00535AE2">
        <w:rPr>
          <w:rFonts w:ascii="Century Gothic" w:hAnsi="Century Gothic"/>
        </w:rPr>
        <w:t>from 2010</w:t>
      </w:r>
      <w:r>
        <w:rPr>
          <w:rFonts w:ascii="Century Gothic" w:hAnsi="Century Gothic"/>
        </w:rPr>
        <w:t>.  T</w:t>
      </w:r>
      <w:r w:rsidR="00292BE4">
        <w:rPr>
          <w:rFonts w:ascii="Century Gothic" w:hAnsi="Century Gothic"/>
        </w:rPr>
        <w:t xml:space="preserve">his </w:t>
      </w:r>
      <w:r>
        <w:rPr>
          <w:rFonts w:ascii="Century Gothic" w:hAnsi="Century Gothic"/>
        </w:rPr>
        <w:t>place</w:t>
      </w:r>
      <w:r w:rsidR="00292BE4">
        <w:rPr>
          <w:rFonts w:ascii="Century Gothic" w:hAnsi="Century Gothic"/>
        </w:rPr>
        <w:t>d</w:t>
      </w:r>
      <w:r>
        <w:rPr>
          <w:rFonts w:ascii="Century Gothic" w:hAnsi="Century Gothic"/>
        </w:rPr>
        <w:t xml:space="preserve"> greater emphasis on end-user research by providing additional incentive to support collaboration with commerce and industry, the public sector and community partners. The JRE </w:t>
      </w:r>
      <w:r w:rsidR="00292BE4">
        <w:rPr>
          <w:rFonts w:ascii="Century Gothic" w:hAnsi="Century Gothic"/>
        </w:rPr>
        <w:t xml:space="preserve">program, which included the </w:t>
      </w:r>
      <w:r w:rsidR="00292BE4" w:rsidRPr="00292BE4">
        <w:rPr>
          <w:rFonts w:ascii="Century Gothic" w:hAnsi="Century Gothic"/>
        </w:rPr>
        <w:t xml:space="preserve">removal of ACG funding from the </w:t>
      </w:r>
      <w:r w:rsidR="00292BE4">
        <w:rPr>
          <w:rFonts w:ascii="Century Gothic" w:hAnsi="Century Gothic"/>
        </w:rPr>
        <w:t xml:space="preserve">funding </w:t>
      </w:r>
      <w:r>
        <w:rPr>
          <w:rFonts w:ascii="Century Gothic" w:hAnsi="Century Gothic"/>
        </w:rPr>
        <w:t>formula</w:t>
      </w:r>
      <w:r w:rsidR="00292BE4">
        <w:rPr>
          <w:rFonts w:ascii="Century Gothic" w:hAnsi="Century Gothic"/>
        </w:rPr>
        <w:t>,</w:t>
      </w:r>
      <w:r>
        <w:rPr>
          <w:rFonts w:ascii="Century Gothic" w:hAnsi="Century Gothic"/>
        </w:rPr>
        <w:t xml:space="preserve"> </w:t>
      </w:r>
      <w:r w:rsidR="00292BE4">
        <w:rPr>
          <w:rFonts w:ascii="Century Gothic" w:hAnsi="Century Gothic"/>
        </w:rPr>
        <w:t>led to an immediate redistribution</w:t>
      </w:r>
      <w:r>
        <w:rPr>
          <w:rFonts w:ascii="Century Gothic" w:hAnsi="Century Gothic"/>
        </w:rPr>
        <w:t xml:space="preserve"> of block funding to universities that earn a higher proportion of their research income from Category 2, 3 and 4 sources. </w:t>
      </w:r>
      <w:r w:rsidR="00292BE4">
        <w:rPr>
          <w:rFonts w:ascii="Century Gothic" w:hAnsi="Century Gothic"/>
        </w:rPr>
        <w:t>Four years on, Griffith remains supportive of the policy intent of rewarding university-industry collaboration</w:t>
      </w:r>
      <w:r w:rsidR="002A3559">
        <w:rPr>
          <w:rFonts w:ascii="Century Gothic" w:hAnsi="Century Gothic"/>
        </w:rPr>
        <w:t xml:space="preserve"> and takes the view that JRE achieves this.</w:t>
      </w:r>
      <w:r w:rsidR="00292BE4">
        <w:rPr>
          <w:rFonts w:ascii="Century Gothic" w:hAnsi="Century Gothic"/>
        </w:rPr>
        <w:t xml:space="preserve"> </w:t>
      </w:r>
      <w:r w:rsidR="002A3559">
        <w:rPr>
          <w:rFonts w:ascii="Century Gothic" w:hAnsi="Century Gothic"/>
        </w:rPr>
        <w:t xml:space="preserve">The University is not confident that </w:t>
      </w:r>
      <w:r w:rsidR="00292BE4">
        <w:rPr>
          <w:rFonts w:ascii="Century Gothic" w:hAnsi="Century Gothic"/>
        </w:rPr>
        <w:t xml:space="preserve">this can be </w:t>
      </w:r>
      <w:r w:rsidR="002A3559">
        <w:rPr>
          <w:rFonts w:ascii="Century Gothic" w:hAnsi="Century Gothic"/>
        </w:rPr>
        <w:t>further improved</w:t>
      </w:r>
      <w:r w:rsidR="00292BE4">
        <w:rPr>
          <w:rFonts w:ascii="Century Gothic" w:hAnsi="Century Gothic"/>
        </w:rPr>
        <w:t xml:space="preserve"> through the </w:t>
      </w:r>
      <w:r w:rsidR="002A3559">
        <w:rPr>
          <w:rFonts w:ascii="Century Gothic" w:hAnsi="Century Gothic"/>
        </w:rPr>
        <w:t xml:space="preserve">current </w:t>
      </w:r>
      <w:r w:rsidR="00292BE4">
        <w:rPr>
          <w:rFonts w:ascii="Century Gothic" w:hAnsi="Century Gothic"/>
        </w:rPr>
        <w:t xml:space="preserve">research block funding mechanisms. </w:t>
      </w:r>
      <w:r w:rsidR="002A3559">
        <w:rPr>
          <w:rFonts w:ascii="Century Gothic" w:hAnsi="Century Gothic"/>
        </w:rPr>
        <w:t xml:space="preserve">If the Government wants to achieve </w:t>
      </w:r>
      <w:r w:rsidR="002035BC">
        <w:rPr>
          <w:rFonts w:ascii="Century Gothic" w:hAnsi="Century Gothic"/>
        </w:rPr>
        <w:t xml:space="preserve">even </w:t>
      </w:r>
      <w:r w:rsidR="002A3559">
        <w:rPr>
          <w:rFonts w:ascii="Century Gothic" w:hAnsi="Century Gothic"/>
        </w:rPr>
        <w:t xml:space="preserve">greater collaboration and mobility with industry then the programs and incentives need to </w:t>
      </w:r>
      <w:r w:rsidR="002035BC">
        <w:rPr>
          <w:rFonts w:ascii="Century Gothic" w:hAnsi="Century Gothic"/>
        </w:rPr>
        <w:t>be much more direct, rather than through the block grant mechanisms which often reward institutions several years after the initial collaboration occurred.</w:t>
      </w:r>
    </w:p>
    <w:p w14:paraId="528F8A88" w14:textId="77777777" w:rsidR="00F34A26" w:rsidRPr="00BB5757" w:rsidRDefault="00E73F78" w:rsidP="007819E2">
      <w:pPr>
        <w:pStyle w:val="Heading3"/>
      </w:pPr>
      <w:r w:rsidRPr="00BB5757">
        <w:t>Recognition of research-industry collaboration</w:t>
      </w:r>
    </w:p>
    <w:p w14:paraId="528F8A89" w14:textId="77777777" w:rsidR="00E73F78" w:rsidRDefault="00E73F78" w:rsidP="00316DC4">
      <w:pPr>
        <w:jc w:val="both"/>
        <w:rPr>
          <w:rFonts w:ascii="Century Gothic" w:hAnsi="Century Gothic"/>
        </w:rPr>
      </w:pPr>
      <w:r>
        <w:rPr>
          <w:rFonts w:ascii="Century Gothic" w:hAnsi="Century Gothic"/>
        </w:rPr>
        <w:t>Griffith University reward</w:t>
      </w:r>
      <w:r w:rsidR="0046124E">
        <w:rPr>
          <w:rFonts w:ascii="Century Gothic" w:hAnsi="Century Gothic"/>
        </w:rPr>
        <w:t>s</w:t>
      </w:r>
      <w:r>
        <w:rPr>
          <w:rFonts w:ascii="Century Gothic" w:hAnsi="Century Gothic"/>
        </w:rPr>
        <w:t xml:space="preserve"> performance in </w:t>
      </w:r>
      <w:r w:rsidRPr="00E73F78">
        <w:rPr>
          <w:rFonts w:ascii="Century Gothic" w:hAnsi="Century Gothic"/>
        </w:rPr>
        <w:t>research-industry collaboration</w:t>
      </w:r>
      <w:r w:rsidR="00272935">
        <w:rPr>
          <w:rFonts w:ascii="Century Gothic" w:hAnsi="Century Gothic"/>
        </w:rPr>
        <w:t xml:space="preserve">, through </w:t>
      </w:r>
      <w:r w:rsidR="000759F4">
        <w:rPr>
          <w:rFonts w:ascii="Century Gothic" w:hAnsi="Century Gothic"/>
        </w:rPr>
        <w:t xml:space="preserve">recognition and </w:t>
      </w:r>
      <w:r w:rsidR="00272935">
        <w:rPr>
          <w:rFonts w:ascii="Century Gothic" w:hAnsi="Century Gothic"/>
        </w:rPr>
        <w:t>promotion</w:t>
      </w:r>
      <w:r w:rsidR="0046124E">
        <w:rPr>
          <w:rFonts w:ascii="Century Gothic" w:hAnsi="Century Gothic"/>
        </w:rPr>
        <w:t>.  Both are critical to enhancing the likelihood of such collaborations</w:t>
      </w:r>
      <w:r w:rsidR="000759F4">
        <w:rPr>
          <w:rFonts w:ascii="Century Gothic" w:hAnsi="Century Gothic"/>
        </w:rPr>
        <w:t>.</w:t>
      </w:r>
    </w:p>
    <w:p w14:paraId="528F8A8A" w14:textId="77777777" w:rsidR="00E73F78" w:rsidRDefault="00E73F78" w:rsidP="00316DC4">
      <w:pPr>
        <w:jc w:val="both"/>
        <w:rPr>
          <w:rFonts w:ascii="Century Gothic" w:hAnsi="Century Gothic"/>
        </w:rPr>
      </w:pPr>
      <w:r>
        <w:rPr>
          <w:rFonts w:ascii="Century Gothic" w:hAnsi="Century Gothic"/>
        </w:rPr>
        <w:t>We encourage the Government and the Australian funding bodies to recognise commercialisation activities as equivalent to scholarly success, especially when considering funding for applied research.</w:t>
      </w:r>
    </w:p>
    <w:p w14:paraId="528F8A8B" w14:textId="77777777" w:rsidR="00F40FC8" w:rsidRDefault="00F40FC8" w:rsidP="00316DC4">
      <w:pPr>
        <w:spacing w:after="360"/>
        <w:jc w:val="both"/>
        <w:rPr>
          <w:rFonts w:ascii="Century Gothic" w:hAnsi="Century Gothic"/>
        </w:rPr>
      </w:pPr>
      <w:r>
        <w:rPr>
          <w:rFonts w:ascii="Century Gothic" w:hAnsi="Century Gothic"/>
        </w:rPr>
        <w:t>The</w:t>
      </w:r>
      <w:r w:rsidR="00272935">
        <w:rPr>
          <w:rFonts w:ascii="Century Gothic" w:hAnsi="Century Gothic"/>
        </w:rPr>
        <w:t xml:space="preserve"> section</w:t>
      </w:r>
      <w:r w:rsidR="00291C99">
        <w:rPr>
          <w:rFonts w:ascii="Century Gothic" w:hAnsi="Century Gothic"/>
        </w:rPr>
        <w:t xml:space="preserve"> </w:t>
      </w:r>
      <w:r w:rsidR="00272935">
        <w:rPr>
          <w:rFonts w:ascii="Century Gothic" w:hAnsi="Century Gothic"/>
        </w:rPr>
        <w:t>“</w:t>
      </w:r>
      <w:r w:rsidR="00272935" w:rsidRPr="00272935">
        <w:rPr>
          <w:rFonts w:ascii="Century Gothic" w:hAnsi="Century Gothic"/>
        </w:rPr>
        <w:t>Measurement of Outcomes</w:t>
      </w:r>
      <w:r>
        <w:rPr>
          <w:rFonts w:ascii="Century Gothic" w:hAnsi="Century Gothic"/>
        </w:rPr>
        <w:t>“ (</w:t>
      </w:r>
      <w:r w:rsidR="00291C99">
        <w:rPr>
          <w:rFonts w:ascii="Century Gothic" w:hAnsi="Century Gothic"/>
        </w:rPr>
        <w:t>subsequently</w:t>
      </w:r>
      <w:r>
        <w:rPr>
          <w:rFonts w:ascii="Century Gothic" w:hAnsi="Century Gothic"/>
        </w:rPr>
        <w:t xml:space="preserve">) </w:t>
      </w:r>
      <w:r w:rsidR="00291C99">
        <w:rPr>
          <w:rFonts w:ascii="Century Gothic" w:hAnsi="Century Gothic"/>
        </w:rPr>
        <w:t xml:space="preserve">provides </w:t>
      </w:r>
      <w:r>
        <w:rPr>
          <w:rFonts w:ascii="Century Gothic" w:hAnsi="Century Gothic"/>
        </w:rPr>
        <w:t>further reflect</w:t>
      </w:r>
      <w:r w:rsidR="00291C99">
        <w:rPr>
          <w:rFonts w:ascii="Century Gothic" w:hAnsi="Century Gothic"/>
        </w:rPr>
        <w:t>ion</w:t>
      </w:r>
      <w:r w:rsidR="00272935">
        <w:rPr>
          <w:rFonts w:ascii="Century Gothic" w:hAnsi="Century Gothic"/>
        </w:rPr>
        <w:t xml:space="preserve"> on this topic.</w:t>
      </w:r>
    </w:p>
    <w:p w14:paraId="528F8A8C" w14:textId="77777777" w:rsidR="00063E3E" w:rsidRDefault="00063E3E" w:rsidP="00316DC4">
      <w:pPr>
        <w:spacing w:before="200"/>
        <w:jc w:val="both"/>
        <w:rPr>
          <w:rFonts w:ascii="Century Gothic" w:hAnsi="Century Gothic"/>
          <w:color w:val="FF0000"/>
          <w:sz w:val="24"/>
          <w:szCs w:val="24"/>
        </w:rPr>
      </w:pPr>
    </w:p>
    <w:p w14:paraId="528F8A8D" w14:textId="77777777" w:rsidR="00FB2745" w:rsidRPr="00174555" w:rsidRDefault="00FB2745" w:rsidP="007819E2">
      <w:pPr>
        <w:pStyle w:val="Heading2"/>
      </w:pPr>
      <w:r w:rsidRPr="00174555">
        <w:lastRenderedPageBreak/>
        <w:t>Supporti</w:t>
      </w:r>
      <w:r w:rsidR="007C14DB" w:rsidRPr="00174555">
        <w:t>ng research infrastructure</w:t>
      </w:r>
    </w:p>
    <w:p w14:paraId="528F8A8E" w14:textId="77777777" w:rsidR="007C14DB" w:rsidRDefault="007C14DB" w:rsidP="00316DC4">
      <w:pPr>
        <w:jc w:val="both"/>
        <w:rPr>
          <w:rFonts w:ascii="Century Gothic" w:hAnsi="Century Gothic"/>
        </w:rPr>
      </w:pPr>
      <w:r>
        <w:rPr>
          <w:rFonts w:ascii="Century Gothic" w:hAnsi="Century Gothic"/>
        </w:rPr>
        <w:t>Griffith University is strongly committed to NCRIS, through C</w:t>
      </w:r>
      <w:r w:rsidR="00BD69F0">
        <w:rPr>
          <w:rFonts w:ascii="Century Gothic" w:hAnsi="Century Gothic"/>
        </w:rPr>
        <w:t>ompounds Australia</w:t>
      </w:r>
      <w:r w:rsidR="00032919">
        <w:rPr>
          <w:rFonts w:ascii="Century Gothic" w:hAnsi="Century Gothic"/>
        </w:rPr>
        <w:t>,</w:t>
      </w:r>
      <w:r w:rsidR="00BD69F0">
        <w:rPr>
          <w:rFonts w:ascii="Century Gothic" w:hAnsi="Century Gothic"/>
        </w:rPr>
        <w:t xml:space="preserve"> and the ANFF</w:t>
      </w:r>
      <w:r>
        <w:rPr>
          <w:rFonts w:ascii="Century Gothic" w:hAnsi="Century Gothic"/>
        </w:rPr>
        <w:t xml:space="preserve">. </w:t>
      </w:r>
    </w:p>
    <w:p w14:paraId="528F8A8F" w14:textId="77777777" w:rsidR="008F3903" w:rsidRDefault="007C14DB" w:rsidP="00316DC4">
      <w:pPr>
        <w:jc w:val="both"/>
        <w:rPr>
          <w:rFonts w:ascii="Century Gothic" w:hAnsi="Century Gothic"/>
        </w:rPr>
      </w:pPr>
      <w:r>
        <w:rPr>
          <w:rFonts w:ascii="Century Gothic" w:hAnsi="Century Gothic"/>
        </w:rPr>
        <w:t>The University has unique research infrastructure that it regularly makes available to industry, either through utilising the infrastructure for commercial research projects sponsored by industry or researchers fr</w:t>
      </w:r>
      <w:r w:rsidR="001B341E">
        <w:rPr>
          <w:rFonts w:ascii="Century Gothic" w:hAnsi="Century Gothic"/>
        </w:rPr>
        <w:t>o</w:t>
      </w:r>
      <w:r>
        <w:rPr>
          <w:rFonts w:ascii="Century Gothic" w:hAnsi="Century Gothic"/>
        </w:rPr>
        <w:t xml:space="preserve">m industry working at Griffith’s premises. </w:t>
      </w:r>
    </w:p>
    <w:p w14:paraId="528F8A90" w14:textId="77777777" w:rsidR="007C14DB" w:rsidRDefault="007C14DB" w:rsidP="00316DC4">
      <w:pPr>
        <w:jc w:val="both"/>
        <w:rPr>
          <w:rFonts w:ascii="Century Gothic" w:hAnsi="Century Gothic"/>
        </w:rPr>
      </w:pPr>
      <w:r>
        <w:rPr>
          <w:rFonts w:ascii="Century Gothic" w:hAnsi="Century Gothic"/>
        </w:rPr>
        <w:t>Examples include the Queensland Microtechnology Facility, the Eskitis Institute</w:t>
      </w:r>
      <w:r w:rsidR="00BD69F0">
        <w:rPr>
          <w:rFonts w:ascii="Century Gothic" w:hAnsi="Century Gothic"/>
        </w:rPr>
        <w:t>, the Institute for Glycomics and the clinical trial facilities at Griffith’s Gold Coast campus.</w:t>
      </w:r>
    </w:p>
    <w:p w14:paraId="528F8A91" w14:textId="77777777" w:rsidR="00FB2745" w:rsidRDefault="00BD69F0" w:rsidP="00316DC4">
      <w:pPr>
        <w:jc w:val="both"/>
        <w:rPr>
          <w:rFonts w:ascii="Century Gothic" w:hAnsi="Century Gothic"/>
        </w:rPr>
      </w:pPr>
      <w:r>
        <w:rPr>
          <w:rFonts w:ascii="Century Gothic" w:hAnsi="Century Gothic"/>
        </w:rPr>
        <w:t>We welcome the Government</w:t>
      </w:r>
      <w:r w:rsidR="007F6A69">
        <w:rPr>
          <w:rFonts w:ascii="Century Gothic" w:hAnsi="Century Gothic"/>
        </w:rPr>
        <w:t>’</w:t>
      </w:r>
      <w:r>
        <w:rPr>
          <w:rFonts w:ascii="Century Gothic" w:hAnsi="Century Gothic"/>
        </w:rPr>
        <w:t xml:space="preserve">s commitment to develop a roadmap for long-term research infrastructure investment and </w:t>
      </w:r>
      <w:r w:rsidR="001B341E">
        <w:rPr>
          <w:rFonts w:ascii="Century Gothic" w:hAnsi="Century Gothic"/>
        </w:rPr>
        <w:t>will</w:t>
      </w:r>
      <w:r>
        <w:rPr>
          <w:rFonts w:ascii="Century Gothic" w:hAnsi="Century Gothic"/>
        </w:rPr>
        <w:t xml:space="preserve"> contribute to the respective consultations.</w:t>
      </w:r>
    </w:p>
    <w:p w14:paraId="528F8A92" w14:textId="77777777" w:rsidR="00FB2745" w:rsidRPr="00174555" w:rsidRDefault="00FB2745" w:rsidP="007819E2">
      <w:pPr>
        <w:pStyle w:val="Heading2"/>
      </w:pPr>
      <w:r w:rsidRPr="00174555">
        <w:t>Prov</w:t>
      </w:r>
      <w:r w:rsidR="007C14DB" w:rsidRPr="00174555">
        <w:t>iding better access to research</w:t>
      </w:r>
    </w:p>
    <w:p w14:paraId="528F8A93" w14:textId="77777777" w:rsidR="007211C5" w:rsidRDefault="007211C5" w:rsidP="00316DC4">
      <w:pPr>
        <w:jc w:val="both"/>
        <w:rPr>
          <w:rFonts w:ascii="Century Gothic" w:hAnsi="Century Gothic"/>
        </w:rPr>
      </w:pPr>
      <w:r>
        <w:rPr>
          <w:rFonts w:ascii="Century Gothic" w:hAnsi="Century Gothic"/>
        </w:rPr>
        <w:t xml:space="preserve">Griffith University actively supports the dissemination of knowledge and IP. </w:t>
      </w:r>
    </w:p>
    <w:p w14:paraId="528F8A94" w14:textId="77777777" w:rsidR="007211C5" w:rsidRDefault="00CC5681" w:rsidP="00316DC4">
      <w:pPr>
        <w:jc w:val="both"/>
        <w:rPr>
          <w:rFonts w:ascii="Century Gothic" w:hAnsi="Century Gothic"/>
        </w:rPr>
      </w:pPr>
      <w:r w:rsidRPr="00291C99">
        <w:rPr>
          <w:rFonts w:ascii="Century Gothic" w:hAnsi="Century Gothic"/>
          <w:i/>
        </w:rPr>
        <w:t>Griffith Enterprise</w:t>
      </w:r>
      <w:r>
        <w:rPr>
          <w:rFonts w:ascii="Century Gothic" w:hAnsi="Century Gothic"/>
        </w:rPr>
        <w:t>, the University’s Commercialisation and Innovation Office, actively markets research capability and IP to industry, with the aim of meaningful engagement and further development driven by the needs of our industry partners.</w:t>
      </w:r>
      <w:r w:rsidR="007211C5">
        <w:rPr>
          <w:rFonts w:ascii="Century Gothic" w:hAnsi="Century Gothic"/>
        </w:rPr>
        <w:t xml:space="preserve">  </w:t>
      </w:r>
    </w:p>
    <w:p w14:paraId="528F8A95" w14:textId="77777777" w:rsidR="00CC5681" w:rsidRDefault="007211C5" w:rsidP="00316DC4">
      <w:pPr>
        <w:jc w:val="both"/>
        <w:rPr>
          <w:rFonts w:ascii="Century Gothic" w:hAnsi="Century Gothic"/>
        </w:rPr>
      </w:pPr>
      <w:r>
        <w:rPr>
          <w:rFonts w:ascii="Century Gothic" w:hAnsi="Century Gothic"/>
        </w:rPr>
        <w:t xml:space="preserve">It also enhances </w:t>
      </w:r>
      <w:r w:rsidR="00EF0AD5">
        <w:rPr>
          <w:rFonts w:ascii="Century Gothic" w:hAnsi="Century Gothic"/>
        </w:rPr>
        <w:t xml:space="preserve">access to evidence-based </w:t>
      </w:r>
      <w:r>
        <w:rPr>
          <w:rFonts w:ascii="Century Gothic" w:hAnsi="Century Gothic"/>
        </w:rPr>
        <w:t>knowledge</w:t>
      </w:r>
      <w:r w:rsidR="00EF0AD5">
        <w:rPr>
          <w:rFonts w:ascii="Century Gothic" w:hAnsi="Century Gothic"/>
        </w:rPr>
        <w:t xml:space="preserve"> </w:t>
      </w:r>
      <w:r>
        <w:rPr>
          <w:rFonts w:ascii="Century Gothic" w:hAnsi="Century Gothic"/>
        </w:rPr>
        <w:t>through the establishment of ‘enterprises’ that provide knowledge-based products and services directly to industry, government and community.</w:t>
      </w:r>
    </w:p>
    <w:p w14:paraId="528F8A96" w14:textId="77777777" w:rsidR="00CC5681" w:rsidRPr="00BB5757" w:rsidRDefault="004F664E" w:rsidP="00316DC4">
      <w:pPr>
        <w:jc w:val="both"/>
        <w:rPr>
          <w:rFonts w:ascii="Century Gothic" w:hAnsi="Century Gothic"/>
        </w:rPr>
      </w:pPr>
      <w:r>
        <w:rPr>
          <w:rFonts w:ascii="Century Gothic" w:hAnsi="Century Gothic"/>
        </w:rPr>
        <w:t xml:space="preserve">However, there are several nation-wide initiatives that </w:t>
      </w:r>
      <w:r w:rsidR="00183D9D">
        <w:rPr>
          <w:rFonts w:ascii="Century Gothic" w:hAnsi="Century Gothic"/>
        </w:rPr>
        <w:t>c</w:t>
      </w:r>
      <w:r>
        <w:rPr>
          <w:rFonts w:ascii="Century Gothic" w:hAnsi="Century Gothic"/>
        </w:rPr>
        <w:t xml:space="preserve">ould be considered </w:t>
      </w:r>
      <w:r w:rsidR="007211C5">
        <w:rPr>
          <w:rFonts w:ascii="Century Gothic" w:hAnsi="Century Gothic"/>
        </w:rPr>
        <w:t xml:space="preserve">by Government </w:t>
      </w:r>
      <w:r>
        <w:rPr>
          <w:rFonts w:ascii="Century Gothic" w:hAnsi="Century Gothic"/>
        </w:rPr>
        <w:t>to further enhance access by industry to research at higher education institutes.</w:t>
      </w:r>
    </w:p>
    <w:p w14:paraId="528F8A97" w14:textId="77777777" w:rsidR="00F11B9B" w:rsidRPr="00BB5757" w:rsidRDefault="00F11B9B" w:rsidP="007819E2">
      <w:pPr>
        <w:pStyle w:val="Heading3"/>
      </w:pPr>
      <w:r w:rsidRPr="00BB5757">
        <w:t>Strengthening IP Guidelines for Researchers</w:t>
      </w:r>
    </w:p>
    <w:p w14:paraId="528F8A98" w14:textId="77777777" w:rsidR="00202231" w:rsidRDefault="00202231" w:rsidP="00316DC4">
      <w:pPr>
        <w:jc w:val="both"/>
        <w:rPr>
          <w:rFonts w:ascii="Century Gothic" w:hAnsi="Century Gothic"/>
        </w:rPr>
      </w:pPr>
      <w:r>
        <w:rPr>
          <w:rFonts w:ascii="Century Gothic" w:hAnsi="Century Gothic"/>
        </w:rPr>
        <w:t xml:space="preserve">A clear and consistent approach to </w:t>
      </w:r>
      <w:r w:rsidRPr="00E00DF8">
        <w:rPr>
          <w:rFonts w:ascii="Century Gothic" w:hAnsi="Century Gothic"/>
        </w:rPr>
        <w:t>ownership of intellectual property (“</w:t>
      </w:r>
      <w:r>
        <w:rPr>
          <w:rFonts w:ascii="Century Gothic" w:hAnsi="Century Gothic"/>
        </w:rPr>
        <w:t>IP”) from government funded research project</w:t>
      </w:r>
      <w:r w:rsidR="00F94107">
        <w:rPr>
          <w:rFonts w:ascii="Century Gothic" w:hAnsi="Century Gothic"/>
        </w:rPr>
        <w:t>s</w:t>
      </w:r>
      <w:r>
        <w:rPr>
          <w:rFonts w:ascii="Century Gothic" w:hAnsi="Century Gothic"/>
        </w:rPr>
        <w:t xml:space="preserve"> would be welcomed.  </w:t>
      </w:r>
    </w:p>
    <w:p w14:paraId="528F8A99" w14:textId="77777777" w:rsidR="00F94107" w:rsidRDefault="00202231" w:rsidP="00316DC4">
      <w:pPr>
        <w:jc w:val="both"/>
        <w:rPr>
          <w:rFonts w:ascii="Century Gothic" w:hAnsi="Century Gothic"/>
        </w:rPr>
      </w:pPr>
      <w:r>
        <w:rPr>
          <w:rFonts w:ascii="Century Gothic" w:hAnsi="Century Gothic"/>
        </w:rPr>
        <w:t xml:space="preserve">Universities can only successfully protect, develop and commercialise IP, if they have unambiguous title to the IP developed by research staff.  </w:t>
      </w:r>
      <w:r w:rsidR="002A4175">
        <w:rPr>
          <w:rFonts w:ascii="Century Gothic" w:hAnsi="Century Gothic"/>
        </w:rPr>
        <w:t xml:space="preserve">Industry will only collaborate with higher education institutes if </w:t>
      </w:r>
      <w:r w:rsidR="00AA4307">
        <w:rPr>
          <w:rFonts w:ascii="Century Gothic" w:hAnsi="Century Gothic"/>
        </w:rPr>
        <w:t>they have certainty regarding</w:t>
      </w:r>
      <w:r w:rsidR="002A4175">
        <w:rPr>
          <w:rFonts w:ascii="Century Gothic" w:hAnsi="Century Gothic"/>
        </w:rPr>
        <w:t xml:space="preserve"> </w:t>
      </w:r>
      <w:r w:rsidR="00AA4307">
        <w:rPr>
          <w:rFonts w:ascii="Century Gothic" w:hAnsi="Century Gothic"/>
        </w:rPr>
        <w:t xml:space="preserve">intellectual property rights </w:t>
      </w:r>
      <w:r w:rsidR="008F3903">
        <w:rPr>
          <w:rFonts w:ascii="Century Gothic" w:hAnsi="Century Gothic"/>
        </w:rPr>
        <w:t xml:space="preserve">associated with </w:t>
      </w:r>
      <w:r w:rsidR="00AA4307">
        <w:rPr>
          <w:rFonts w:ascii="Century Gothic" w:hAnsi="Century Gothic"/>
        </w:rPr>
        <w:t xml:space="preserve">any </w:t>
      </w:r>
      <w:r w:rsidR="004F664E">
        <w:rPr>
          <w:rFonts w:ascii="Century Gothic" w:hAnsi="Century Gothic"/>
        </w:rPr>
        <w:t>collaboration</w:t>
      </w:r>
      <w:r w:rsidR="00AA4307">
        <w:rPr>
          <w:rFonts w:ascii="Century Gothic" w:hAnsi="Century Gothic"/>
        </w:rPr>
        <w:t>.</w:t>
      </w:r>
    </w:p>
    <w:p w14:paraId="528F8A9A" w14:textId="77777777" w:rsidR="00F94107" w:rsidRDefault="00202231" w:rsidP="00316DC4">
      <w:pPr>
        <w:jc w:val="both"/>
        <w:rPr>
          <w:rFonts w:ascii="Century Gothic" w:hAnsi="Century Gothic"/>
        </w:rPr>
      </w:pPr>
      <w:r>
        <w:rPr>
          <w:rFonts w:ascii="Century Gothic" w:hAnsi="Century Gothic"/>
        </w:rPr>
        <w:t xml:space="preserve">5 years after the decision </w:t>
      </w:r>
      <w:r w:rsidRPr="0028475A">
        <w:rPr>
          <w:rFonts w:ascii="Century Gothic" w:hAnsi="Century Gothic"/>
        </w:rPr>
        <w:t>of the Full Federal Court in</w:t>
      </w:r>
      <w:r>
        <w:rPr>
          <w:rFonts w:ascii="Century Gothic" w:hAnsi="Century Gothic"/>
        </w:rPr>
        <w:t xml:space="preserve"> the “</w:t>
      </w:r>
      <w:r w:rsidRPr="00A256C2">
        <w:rPr>
          <w:rFonts w:ascii="Century Gothic" w:hAnsi="Century Gothic"/>
          <w:u w:val="single"/>
        </w:rPr>
        <w:t>University of Western Australia v Gray</w:t>
      </w:r>
      <w:r>
        <w:rPr>
          <w:rFonts w:ascii="Century Gothic" w:hAnsi="Century Gothic"/>
        </w:rPr>
        <w:t>” case, there is still no</w:t>
      </w:r>
      <w:r w:rsidR="00291C99">
        <w:rPr>
          <w:rFonts w:ascii="Century Gothic" w:hAnsi="Century Gothic"/>
        </w:rPr>
        <w:t>t a</w:t>
      </w:r>
      <w:r>
        <w:rPr>
          <w:rFonts w:ascii="Century Gothic" w:hAnsi="Century Gothic"/>
        </w:rPr>
        <w:t xml:space="preserve"> unified approach to ownership of IP developed by University staff and students.</w:t>
      </w:r>
      <w:r w:rsidRPr="0028475A">
        <w:rPr>
          <w:rFonts w:ascii="Century Gothic" w:hAnsi="Century Gothic"/>
        </w:rPr>
        <w:t xml:space="preserve"> </w:t>
      </w:r>
      <w:r>
        <w:rPr>
          <w:rFonts w:ascii="Century Gothic" w:hAnsi="Century Gothic"/>
        </w:rPr>
        <w:t xml:space="preserve"> </w:t>
      </w:r>
    </w:p>
    <w:p w14:paraId="528F8A9B" w14:textId="77777777" w:rsidR="00F94107" w:rsidRDefault="00202231" w:rsidP="00316DC4">
      <w:pPr>
        <w:jc w:val="both"/>
        <w:rPr>
          <w:rFonts w:ascii="Century Gothic" w:hAnsi="Century Gothic"/>
        </w:rPr>
      </w:pPr>
      <w:r>
        <w:rPr>
          <w:rFonts w:ascii="Century Gothic" w:hAnsi="Century Gothic"/>
        </w:rPr>
        <w:t>This issue can be solved by strengthening the position of the ARC / NHMRC “</w:t>
      </w:r>
      <w:r w:rsidRPr="00AE4672">
        <w:rPr>
          <w:rFonts w:ascii="Century Gothic" w:hAnsi="Century Gothic"/>
        </w:rPr>
        <w:t>National Principles of Intellectual Property Management for Publicly Funded Research</w:t>
      </w:r>
      <w:r>
        <w:rPr>
          <w:rFonts w:ascii="Century Gothic" w:hAnsi="Century Gothic"/>
        </w:rPr>
        <w:t xml:space="preserve">”, which warrants ownership of IP from public funded projects by the research institution.  </w:t>
      </w:r>
    </w:p>
    <w:p w14:paraId="528F8A9C" w14:textId="77777777" w:rsidR="00F94107" w:rsidRDefault="00AA4307" w:rsidP="00316DC4">
      <w:pPr>
        <w:jc w:val="both"/>
        <w:rPr>
          <w:rFonts w:ascii="Century Gothic" w:hAnsi="Century Gothic"/>
        </w:rPr>
      </w:pPr>
      <w:r>
        <w:rPr>
          <w:rFonts w:ascii="Century Gothic" w:hAnsi="Century Gothic"/>
        </w:rPr>
        <w:t>A</w:t>
      </w:r>
      <w:r w:rsidR="00202231">
        <w:rPr>
          <w:rFonts w:ascii="Century Gothic" w:hAnsi="Century Gothic"/>
        </w:rPr>
        <w:t xml:space="preserve">mending Section 15 of the Patents Act 1990 to ensure that all IP developed by an employee is owned by the employer, would </w:t>
      </w:r>
      <w:r>
        <w:rPr>
          <w:rFonts w:ascii="Century Gothic" w:hAnsi="Century Gothic"/>
        </w:rPr>
        <w:t xml:space="preserve">also </w:t>
      </w:r>
      <w:r w:rsidR="00202231">
        <w:rPr>
          <w:rFonts w:ascii="Century Gothic" w:hAnsi="Century Gothic"/>
        </w:rPr>
        <w:t xml:space="preserve">clarify ownership and be consistent with the Copyright Act 1968.  </w:t>
      </w:r>
    </w:p>
    <w:p w14:paraId="528F8A9D" w14:textId="77777777" w:rsidR="00063E3E" w:rsidRDefault="004F664E" w:rsidP="00316DC4">
      <w:pPr>
        <w:jc w:val="both"/>
        <w:rPr>
          <w:rFonts w:ascii="Century Gothic" w:hAnsi="Century Gothic"/>
        </w:rPr>
      </w:pPr>
      <w:r>
        <w:rPr>
          <w:rFonts w:ascii="Century Gothic" w:hAnsi="Century Gothic"/>
        </w:rPr>
        <w:lastRenderedPageBreak/>
        <w:t xml:space="preserve">The benefits of this approach were exemplified by </w:t>
      </w:r>
      <w:r w:rsidR="00202231">
        <w:rPr>
          <w:rFonts w:ascii="Century Gothic" w:hAnsi="Century Gothic"/>
        </w:rPr>
        <w:t>Germany</w:t>
      </w:r>
      <w:r>
        <w:rPr>
          <w:rFonts w:ascii="Century Gothic" w:hAnsi="Century Gothic"/>
        </w:rPr>
        <w:t>’s</w:t>
      </w:r>
      <w:r w:rsidR="00202231">
        <w:rPr>
          <w:rFonts w:ascii="Century Gothic" w:hAnsi="Century Gothic"/>
        </w:rPr>
        <w:t xml:space="preserve"> deci</w:t>
      </w:r>
      <w:r>
        <w:rPr>
          <w:rFonts w:ascii="Century Gothic" w:hAnsi="Century Gothic"/>
        </w:rPr>
        <w:t>sion</w:t>
      </w:r>
      <w:r w:rsidR="00202231">
        <w:rPr>
          <w:rFonts w:ascii="Century Gothic" w:hAnsi="Century Gothic"/>
        </w:rPr>
        <w:t xml:space="preserve"> in 2001 to abolish the so-called “Professor’s Privilege” </w:t>
      </w:r>
      <w:r>
        <w:rPr>
          <w:rFonts w:ascii="Century Gothic" w:hAnsi="Century Gothic"/>
        </w:rPr>
        <w:t xml:space="preserve">and </w:t>
      </w:r>
      <w:r w:rsidR="00202231">
        <w:rPr>
          <w:rFonts w:ascii="Century Gothic" w:hAnsi="Century Gothic"/>
        </w:rPr>
        <w:t xml:space="preserve">grant ownership of IP developed by Professors and other research staff to the German Universities (the employers).  </w:t>
      </w:r>
      <w:r>
        <w:rPr>
          <w:rFonts w:ascii="Century Gothic" w:hAnsi="Century Gothic"/>
        </w:rPr>
        <w:t>The period since that initiative has seen</w:t>
      </w:r>
      <w:r w:rsidR="00202231">
        <w:rPr>
          <w:rFonts w:ascii="Century Gothic" w:hAnsi="Century Gothic"/>
        </w:rPr>
        <w:t xml:space="preserve"> </w:t>
      </w:r>
      <w:r w:rsidR="00AA4307">
        <w:rPr>
          <w:rFonts w:ascii="Century Gothic" w:hAnsi="Century Gothic"/>
        </w:rPr>
        <w:t xml:space="preserve">significant </w:t>
      </w:r>
      <w:r w:rsidR="00202231">
        <w:rPr>
          <w:rFonts w:ascii="Century Gothic" w:hAnsi="Century Gothic"/>
        </w:rPr>
        <w:t xml:space="preserve">strengthening of </w:t>
      </w:r>
      <w:r>
        <w:rPr>
          <w:rFonts w:ascii="Century Gothic" w:hAnsi="Century Gothic"/>
        </w:rPr>
        <w:t xml:space="preserve">German </w:t>
      </w:r>
      <w:r w:rsidR="00202231">
        <w:rPr>
          <w:rFonts w:ascii="Century Gothic" w:hAnsi="Century Gothic"/>
        </w:rPr>
        <w:t>Universities’ commercialisation activities.</w:t>
      </w:r>
    </w:p>
    <w:p w14:paraId="528F8A9E" w14:textId="77777777" w:rsidR="001B341E" w:rsidRPr="00BB5757" w:rsidRDefault="00202231" w:rsidP="007819E2">
      <w:pPr>
        <w:pStyle w:val="Heading3"/>
      </w:pPr>
      <w:r w:rsidRPr="00BB5757">
        <w:t>Nation-wide Portal</w:t>
      </w:r>
    </w:p>
    <w:p w14:paraId="528F8A9F" w14:textId="77777777" w:rsidR="006B676B" w:rsidRDefault="00FB2745" w:rsidP="00316DC4">
      <w:pPr>
        <w:jc w:val="both"/>
        <w:rPr>
          <w:rFonts w:ascii="Century Gothic" w:hAnsi="Century Gothic"/>
        </w:rPr>
      </w:pPr>
      <w:r w:rsidRPr="00E00DF8">
        <w:rPr>
          <w:rFonts w:ascii="Century Gothic" w:hAnsi="Century Gothic"/>
        </w:rPr>
        <w:t xml:space="preserve">Businesses </w:t>
      </w:r>
      <w:r w:rsidR="003B2210" w:rsidRPr="00E00DF8">
        <w:rPr>
          <w:rFonts w:ascii="Century Gothic" w:hAnsi="Century Gothic"/>
        </w:rPr>
        <w:t xml:space="preserve">can </w:t>
      </w:r>
      <w:r w:rsidRPr="00E00DF8">
        <w:rPr>
          <w:rFonts w:ascii="Century Gothic" w:hAnsi="Century Gothic"/>
        </w:rPr>
        <w:t>struggl</w:t>
      </w:r>
      <w:r w:rsidR="003B2210" w:rsidRPr="00E00DF8">
        <w:rPr>
          <w:rFonts w:ascii="Century Gothic" w:hAnsi="Century Gothic"/>
        </w:rPr>
        <w:t>e</w:t>
      </w:r>
      <w:r w:rsidRPr="00E00DF8">
        <w:rPr>
          <w:rFonts w:ascii="Century Gothic" w:hAnsi="Century Gothic"/>
        </w:rPr>
        <w:t xml:space="preserve"> to identify potential research partners.</w:t>
      </w:r>
      <w:r>
        <w:rPr>
          <w:rFonts w:ascii="Century Gothic" w:hAnsi="Century Gothic"/>
        </w:rPr>
        <w:t xml:space="preserve">  </w:t>
      </w:r>
      <w:r w:rsidR="006B676B">
        <w:rPr>
          <w:rFonts w:ascii="Century Gothic" w:hAnsi="Century Gothic"/>
        </w:rPr>
        <w:t xml:space="preserve">Similarly, University engagement and commercialisation offices do not have </w:t>
      </w:r>
      <w:r w:rsidR="004F664E">
        <w:rPr>
          <w:rFonts w:ascii="Century Gothic" w:hAnsi="Century Gothic"/>
        </w:rPr>
        <w:t>sufficient r</w:t>
      </w:r>
      <w:r w:rsidR="006B676B">
        <w:rPr>
          <w:rFonts w:ascii="Century Gothic" w:hAnsi="Century Gothic"/>
        </w:rPr>
        <w:t xml:space="preserve">esources to identify </w:t>
      </w:r>
      <w:r w:rsidR="00296DD7">
        <w:rPr>
          <w:rFonts w:ascii="Century Gothic" w:hAnsi="Century Gothic"/>
        </w:rPr>
        <w:t xml:space="preserve">the plethora of </w:t>
      </w:r>
      <w:r w:rsidR="006B676B">
        <w:rPr>
          <w:rFonts w:ascii="Century Gothic" w:hAnsi="Century Gothic"/>
        </w:rPr>
        <w:t xml:space="preserve">potential partners. </w:t>
      </w:r>
      <w:r w:rsidR="00E87F42">
        <w:rPr>
          <w:rFonts w:ascii="Century Gothic" w:hAnsi="Century Gothic"/>
        </w:rPr>
        <w:t xml:space="preserve"> While all partners in the innovation process wish to collaborate, </w:t>
      </w:r>
      <w:r w:rsidR="007B0854">
        <w:rPr>
          <w:rFonts w:ascii="Century Gothic" w:hAnsi="Century Gothic"/>
        </w:rPr>
        <w:t xml:space="preserve">the search costs associated with identifying and </w:t>
      </w:r>
      <w:r w:rsidR="00E87F42">
        <w:rPr>
          <w:rFonts w:ascii="Century Gothic" w:hAnsi="Century Gothic"/>
        </w:rPr>
        <w:t xml:space="preserve">“matching” </w:t>
      </w:r>
      <w:r w:rsidR="007B0854">
        <w:rPr>
          <w:rFonts w:ascii="Century Gothic" w:hAnsi="Century Gothic"/>
        </w:rPr>
        <w:t xml:space="preserve">are </w:t>
      </w:r>
      <w:r w:rsidR="004F664E">
        <w:rPr>
          <w:rFonts w:ascii="Century Gothic" w:hAnsi="Century Gothic"/>
        </w:rPr>
        <w:t xml:space="preserve">very </w:t>
      </w:r>
      <w:r w:rsidR="007B0854">
        <w:rPr>
          <w:rFonts w:ascii="Century Gothic" w:hAnsi="Century Gothic"/>
        </w:rPr>
        <w:t>high</w:t>
      </w:r>
      <w:r w:rsidR="00E87F42">
        <w:rPr>
          <w:rFonts w:ascii="Century Gothic" w:hAnsi="Century Gothic"/>
        </w:rPr>
        <w:t>.</w:t>
      </w:r>
    </w:p>
    <w:p w14:paraId="528F8AA0" w14:textId="77777777" w:rsidR="00FB2745" w:rsidRDefault="00FB2745" w:rsidP="00316DC4">
      <w:pPr>
        <w:jc w:val="both"/>
        <w:rPr>
          <w:rFonts w:ascii="Century Gothic" w:hAnsi="Century Gothic"/>
        </w:rPr>
      </w:pPr>
      <w:r>
        <w:rPr>
          <w:rFonts w:ascii="Century Gothic" w:hAnsi="Century Gothic"/>
        </w:rPr>
        <w:t>A Nation-wide portal that enable</w:t>
      </w:r>
      <w:r w:rsidR="004F664E">
        <w:rPr>
          <w:rFonts w:ascii="Century Gothic" w:hAnsi="Century Gothic"/>
        </w:rPr>
        <w:t>s</w:t>
      </w:r>
      <w:r>
        <w:rPr>
          <w:rFonts w:ascii="Century Gothic" w:hAnsi="Century Gothic"/>
        </w:rPr>
        <w:t xml:space="preserve"> </w:t>
      </w:r>
      <w:r w:rsidR="006B676B">
        <w:rPr>
          <w:rFonts w:ascii="Century Gothic" w:hAnsi="Century Gothic"/>
        </w:rPr>
        <w:t xml:space="preserve">matching of University </w:t>
      </w:r>
      <w:r>
        <w:rPr>
          <w:rFonts w:ascii="Century Gothic" w:hAnsi="Century Gothic"/>
        </w:rPr>
        <w:t xml:space="preserve">research and development capabilities, equipment and facilities </w:t>
      </w:r>
      <w:r w:rsidR="006B676B">
        <w:rPr>
          <w:rFonts w:ascii="Century Gothic" w:hAnsi="Century Gothic"/>
        </w:rPr>
        <w:t>with the unmet needs of industry</w:t>
      </w:r>
      <w:r w:rsidR="004F664E">
        <w:rPr>
          <w:rFonts w:ascii="Century Gothic" w:hAnsi="Century Gothic"/>
        </w:rPr>
        <w:t>,</w:t>
      </w:r>
      <w:r w:rsidR="006B676B">
        <w:rPr>
          <w:rFonts w:ascii="Century Gothic" w:hAnsi="Century Gothic"/>
        </w:rPr>
        <w:t xml:space="preserve"> </w:t>
      </w:r>
      <w:r>
        <w:rPr>
          <w:rFonts w:ascii="Century Gothic" w:hAnsi="Century Gothic"/>
        </w:rPr>
        <w:t xml:space="preserve">would </w:t>
      </w:r>
      <w:r w:rsidR="004F664E">
        <w:rPr>
          <w:rFonts w:ascii="Century Gothic" w:hAnsi="Century Gothic"/>
        </w:rPr>
        <w:t xml:space="preserve">reduce ‘search costs’ and therefore have the potential to </w:t>
      </w:r>
      <w:r w:rsidR="007F6A69">
        <w:rPr>
          <w:rFonts w:ascii="Century Gothic" w:hAnsi="Century Gothic"/>
        </w:rPr>
        <w:t>facilitate</w:t>
      </w:r>
      <w:r>
        <w:rPr>
          <w:rFonts w:ascii="Century Gothic" w:hAnsi="Century Gothic"/>
        </w:rPr>
        <w:t xml:space="preserve"> </w:t>
      </w:r>
      <w:r w:rsidR="00E87F42">
        <w:rPr>
          <w:rFonts w:ascii="Century Gothic" w:hAnsi="Century Gothic"/>
        </w:rPr>
        <w:t>collaborative research and develo</w:t>
      </w:r>
      <w:r>
        <w:rPr>
          <w:rFonts w:ascii="Century Gothic" w:hAnsi="Century Gothic"/>
        </w:rPr>
        <w:t>pment activities.</w:t>
      </w:r>
    </w:p>
    <w:p w14:paraId="528F8AA1" w14:textId="77777777" w:rsidR="003971B9" w:rsidRDefault="00296DD7" w:rsidP="00316DC4">
      <w:pPr>
        <w:jc w:val="both"/>
        <w:rPr>
          <w:rFonts w:ascii="Century Gothic" w:hAnsi="Century Gothic"/>
        </w:rPr>
      </w:pPr>
      <w:r>
        <w:rPr>
          <w:rFonts w:ascii="Century Gothic" w:hAnsi="Century Gothic"/>
        </w:rPr>
        <w:t xml:space="preserve">To enhance visibility of Griffith’s IP, </w:t>
      </w:r>
      <w:r w:rsidRPr="00291C99">
        <w:rPr>
          <w:rFonts w:ascii="Century Gothic" w:hAnsi="Century Gothic"/>
          <w:i/>
        </w:rPr>
        <w:t>Griffith Enterprise</w:t>
      </w:r>
      <w:r>
        <w:rPr>
          <w:rFonts w:ascii="Century Gothic" w:hAnsi="Century Gothic"/>
        </w:rPr>
        <w:t xml:space="preserve"> utilis</w:t>
      </w:r>
      <w:r w:rsidR="00183D9D">
        <w:rPr>
          <w:rFonts w:ascii="Century Gothic" w:hAnsi="Century Gothic"/>
        </w:rPr>
        <w:t>es</w:t>
      </w:r>
      <w:r>
        <w:rPr>
          <w:rFonts w:ascii="Century Gothic" w:hAnsi="Century Gothic"/>
        </w:rPr>
        <w:t xml:space="preserve"> its website</w:t>
      </w:r>
      <w:r>
        <w:rPr>
          <w:rStyle w:val="FootnoteReference"/>
          <w:rFonts w:ascii="Century Gothic" w:hAnsi="Century Gothic"/>
        </w:rPr>
        <w:footnoteReference w:id="2"/>
      </w:r>
      <w:r>
        <w:rPr>
          <w:rFonts w:ascii="Century Gothic" w:hAnsi="Century Gothic"/>
        </w:rPr>
        <w:t xml:space="preserve"> and iBridge</w:t>
      </w:r>
      <w:r>
        <w:rPr>
          <w:rStyle w:val="FootnoteReference"/>
          <w:rFonts w:ascii="Century Gothic" w:hAnsi="Century Gothic"/>
        </w:rPr>
        <w:footnoteReference w:id="3"/>
      </w:r>
      <w:r>
        <w:rPr>
          <w:rFonts w:ascii="Century Gothic" w:hAnsi="Century Gothic"/>
        </w:rPr>
        <w:t>, a US-based platform for sharing of ideas, research and knowledge.  Various other international platforms exist</w:t>
      </w:r>
      <w:r w:rsidR="00991A69">
        <w:rPr>
          <w:rFonts w:ascii="Century Gothic" w:hAnsi="Century Gothic"/>
        </w:rPr>
        <w:t xml:space="preserve"> that</w:t>
      </w:r>
      <w:r w:rsidR="00AA4307">
        <w:rPr>
          <w:rFonts w:ascii="Century Gothic" w:hAnsi="Century Gothic"/>
        </w:rPr>
        <w:t xml:space="preserve"> also may warrant consideration</w:t>
      </w:r>
      <w:r>
        <w:rPr>
          <w:rFonts w:ascii="Century Gothic" w:hAnsi="Century Gothic"/>
        </w:rPr>
        <w:t>.</w:t>
      </w:r>
    </w:p>
    <w:p w14:paraId="528F8AA2" w14:textId="77777777" w:rsidR="00202231" w:rsidRPr="00BB5757" w:rsidRDefault="00202231" w:rsidP="007819E2">
      <w:pPr>
        <w:pStyle w:val="Heading3"/>
      </w:pPr>
      <w:r w:rsidRPr="00BB5757">
        <w:t>Open Access</w:t>
      </w:r>
    </w:p>
    <w:p w14:paraId="528F8AA3" w14:textId="77777777" w:rsidR="003971B9" w:rsidRDefault="00FB2745" w:rsidP="00316DC4">
      <w:pPr>
        <w:jc w:val="both"/>
        <w:rPr>
          <w:rFonts w:ascii="Century Gothic" w:hAnsi="Century Gothic"/>
        </w:rPr>
      </w:pPr>
      <w:r>
        <w:rPr>
          <w:rFonts w:ascii="Century Gothic" w:hAnsi="Century Gothic"/>
        </w:rPr>
        <w:t xml:space="preserve">The NHMRC and the ARC have already mandated </w:t>
      </w:r>
      <w:r w:rsidRPr="00D3513B">
        <w:rPr>
          <w:rFonts w:ascii="Century Gothic" w:hAnsi="Century Gothic"/>
        </w:rPr>
        <w:t>open access to published research outcomes</w:t>
      </w:r>
      <w:r>
        <w:rPr>
          <w:rFonts w:ascii="Century Gothic" w:hAnsi="Century Gothic"/>
        </w:rPr>
        <w:t xml:space="preserve"> from NHMRC and ARC grants through their </w:t>
      </w:r>
      <w:r w:rsidRPr="00C616F7">
        <w:rPr>
          <w:rFonts w:ascii="Century Gothic" w:hAnsi="Century Gothic"/>
        </w:rPr>
        <w:t>Polic</w:t>
      </w:r>
      <w:r>
        <w:rPr>
          <w:rFonts w:ascii="Century Gothic" w:hAnsi="Century Gothic"/>
        </w:rPr>
        <w:t>ies</w:t>
      </w:r>
      <w:r w:rsidRPr="00C616F7">
        <w:rPr>
          <w:rFonts w:ascii="Century Gothic" w:hAnsi="Century Gothic"/>
        </w:rPr>
        <w:t xml:space="preserve"> on the </w:t>
      </w:r>
      <w:r>
        <w:rPr>
          <w:rFonts w:ascii="Century Gothic" w:hAnsi="Century Gothic"/>
        </w:rPr>
        <w:t>“</w:t>
      </w:r>
      <w:r w:rsidRPr="00C616F7">
        <w:rPr>
          <w:rFonts w:ascii="Century Gothic" w:hAnsi="Century Gothic"/>
        </w:rPr>
        <w:t>Dissemination of Research Findings</w:t>
      </w:r>
      <w:r>
        <w:rPr>
          <w:rFonts w:ascii="Century Gothic" w:hAnsi="Century Gothic"/>
        </w:rPr>
        <w:t xml:space="preserve">” (NHMRC) and “Open Access Policy” (ARC).  Universities make student’s </w:t>
      </w:r>
      <w:r w:rsidR="008076F2">
        <w:rPr>
          <w:rFonts w:ascii="Century Gothic" w:hAnsi="Century Gothic"/>
        </w:rPr>
        <w:t xml:space="preserve">theses </w:t>
      </w:r>
      <w:r>
        <w:rPr>
          <w:rFonts w:ascii="Century Gothic" w:hAnsi="Century Gothic"/>
        </w:rPr>
        <w:t xml:space="preserve">available through their libraries and open access depositories.  </w:t>
      </w:r>
    </w:p>
    <w:p w14:paraId="528F8AA4" w14:textId="77777777" w:rsidR="00183D9D" w:rsidRDefault="00FB2745" w:rsidP="00316DC4">
      <w:pPr>
        <w:jc w:val="both"/>
        <w:rPr>
          <w:rFonts w:ascii="Century Gothic" w:hAnsi="Century Gothic"/>
        </w:rPr>
      </w:pPr>
      <w:r>
        <w:rPr>
          <w:rFonts w:ascii="Century Gothic" w:hAnsi="Century Gothic"/>
        </w:rPr>
        <w:t>Griffith University support</w:t>
      </w:r>
      <w:r w:rsidR="003B2210">
        <w:rPr>
          <w:rFonts w:ascii="Century Gothic" w:hAnsi="Century Gothic"/>
        </w:rPr>
        <w:t>s</w:t>
      </w:r>
      <w:r>
        <w:rPr>
          <w:rFonts w:ascii="Century Gothic" w:hAnsi="Century Gothic"/>
        </w:rPr>
        <w:t xml:space="preserve"> appropriate open access to research publications and educational resources</w:t>
      </w:r>
      <w:r>
        <w:rPr>
          <w:rStyle w:val="FootnoteReference"/>
          <w:rFonts w:ascii="Century Gothic" w:hAnsi="Century Gothic"/>
        </w:rPr>
        <w:footnoteReference w:id="4"/>
      </w:r>
      <w:r w:rsidR="00194EB2">
        <w:rPr>
          <w:rFonts w:ascii="Century Gothic" w:hAnsi="Century Gothic"/>
        </w:rPr>
        <w:t xml:space="preserve"> within a framework that also supports commercialisation.</w:t>
      </w:r>
      <w:r>
        <w:rPr>
          <w:rFonts w:ascii="Century Gothic" w:hAnsi="Century Gothic"/>
        </w:rPr>
        <w:t xml:space="preserve">  </w:t>
      </w:r>
      <w:r w:rsidR="00194EB2">
        <w:rPr>
          <w:rFonts w:ascii="Century Gothic" w:hAnsi="Century Gothic"/>
        </w:rPr>
        <w:t xml:space="preserve">In a very short timeframe from </w:t>
      </w:r>
      <w:r w:rsidR="00991A69">
        <w:rPr>
          <w:rFonts w:ascii="Century Gothic" w:hAnsi="Century Gothic"/>
        </w:rPr>
        <w:t xml:space="preserve">internal </w:t>
      </w:r>
      <w:r w:rsidR="00194EB2">
        <w:rPr>
          <w:rFonts w:ascii="Century Gothic" w:hAnsi="Century Gothic"/>
        </w:rPr>
        <w:t xml:space="preserve">disclosure, new IP created by staff </w:t>
      </w:r>
      <w:r w:rsidR="008076F2">
        <w:rPr>
          <w:rFonts w:ascii="Century Gothic" w:hAnsi="Century Gothic"/>
        </w:rPr>
        <w:t xml:space="preserve">at Griffith </w:t>
      </w:r>
      <w:r w:rsidR="00194EB2">
        <w:rPr>
          <w:rFonts w:ascii="Century Gothic" w:hAnsi="Century Gothic"/>
        </w:rPr>
        <w:t>is assessed and - if appropriate – protected.  That allows staff to publish the respective innovation, without any substantial delay.</w:t>
      </w:r>
    </w:p>
    <w:p w14:paraId="528F8AA5" w14:textId="77777777" w:rsidR="003971B9" w:rsidRDefault="00FB2745" w:rsidP="00316DC4">
      <w:pPr>
        <w:jc w:val="both"/>
        <w:rPr>
          <w:rFonts w:ascii="Century Gothic" w:hAnsi="Century Gothic"/>
        </w:rPr>
      </w:pPr>
      <w:r>
        <w:rPr>
          <w:rFonts w:ascii="Century Gothic" w:hAnsi="Century Gothic"/>
        </w:rPr>
        <w:t xml:space="preserve">However, there are several issues that </w:t>
      </w:r>
      <w:r w:rsidR="003B2210">
        <w:rPr>
          <w:rFonts w:ascii="Century Gothic" w:hAnsi="Century Gothic"/>
        </w:rPr>
        <w:t xml:space="preserve">require </w:t>
      </w:r>
      <w:r w:rsidR="00183D9D">
        <w:rPr>
          <w:rFonts w:ascii="Century Gothic" w:hAnsi="Century Gothic"/>
        </w:rPr>
        <w:t xml:space="preserve">further </w:t>
      </w:r>
      <w:r>
        <w:rPr>
          <w:rFonts w:ascii="Century Gothic" w:hAnsi="Century Gothic"/>
        </w:rPr>
        <w:t xml:space="preserve">careful consideration.  </w:t>
      </w:r>
    </w:p>
    <w:p w14:paraId="528F8AA6" w14:textId="77777777" w:rsidR="003971B9" w:rsidRDefault="00FB2745" w:rsidP="00316DC4">
      <w:pPr>
        <w:jc w:val="both"/>
        <w:rPr>
          <w:rFonts w:ascii="Century Gothic" w:hAnsi="Century Gothic"/>
        </w:rPr>
      </w:pPr>
      <w:r>
        <w:rPr>
          <w:rFonts w:ascii="Century Gothic" w:hAnsi="Century Gothic"/>
        </w:rPr>
        <w:t>Most international publishers hold copyright on any manuscripts published in their journals.  This can be mitigated by depositi</w:t>
      </w:r>
      <w:r w:rsidR="00E87F42">
        <w:rPr>
          <w:rFonts w:ascii="Century Gothic" w:hAnsi="Century Gothic"/>
        </w:rPr>
        <w:t>o</w:t>
      </w:r>
      <w:r>
        <w:rPr>
          <w:rFonts w:ascii="Century Gothic" w:hAnsi="Century Gothic"/>
        </w:rPr>
        <w:t>n</w:t>
      </w:r>
      <w:r w:rsidR="00E87F42">
        <w:rPr>
          <w:rFonts w:ascii="Century Gothic" w:hAnsi="Century Gothic"/>
        </w:rPr>
        <w:t xml:space="preserve"> of</w:t>
      </w:r>
      <w:r>
        <w:rPr>
          <w:rFonts w:ascii="Century Gothic" w:hAnsi="Century Gothic"/>
        </w:rPr>
        <w:t xml:space="preserve"> earlier versions of manuscripts in open access depositories.</w:t>
      </w:r>
    </w:p>
    <w:p w14:paraId="528F8AA7" w14:textId="77777777" w:rsidR="00183D9D" w:rsidRDefault="00FB2745" w:rsidP="00316DC4">
      <w:pPr>
        <w:jc w:val="both"/>
        <w:rPr>
          <w:rFonts w:ascii="Century Gothic" w:hAnsi="Century Gothic"/>
        </w:rPr>
      </w:pPr>
      <w:r>
        <w:rPr>
          <w:rFonts w:ascii="Century Gothic" w:hAnsi="Century Gothic"/>
        </w:rPr>
        <w:t>Another challenge for universities</w:t>
      </w:r>
      <w:r w:rsidR="00615269">
        <w:rPr>
          <w:rFonts w:ascii="Century Gothic" w:hAnsi="Century Gothic"/>
        </w:rPr>
        <w:t xml:space="preserve"> publishing in open access journals</w:t>
      </w:r>
      <w:r>
        <w:rPr>
          <w:rFonts w:ascii="Century Gothic" w:hAnsi="Century Gothic"/>
        </w:rPr>
        <w:t xml:space="preserve"> is the “Excellence in Research for Australia” (ERA) framework, </w:t>
      </w:r>
      <w:r w:rsidR="00E87F42">
        <w:rPr>
          <w:rFonts w:ascii="Century Gothic" w:hAnsi="Century Gothic"/>
        </w:rPr>
        <w:t>which</w:t>
      </w:r>
      <w:r>
        <w:rPr>
          <w:rFonts w:ascii="Century Gothic" w:hAnsi="Century Gothic"/>
        </w:rPr>
        <w:t xml:space="preserve"> is based on publications</w:t>
      </w:r>
      <w:r w:rsidR="00615269">
        <w:rPr>
          <w:rFonts w:ascii="Century Gothic" w:hAnsi="Century Gothic"/>
        </w:rPr>
        <w:t xml:space="preserve"> and citations</w:t>
      </w:r>
      <w:r>
        <w:rPr>
          <w:rFonts w:ascii="Century Gothic" w:hAnsi="Century Gothic"/>
        </w:rPr>
        <w:t xml:space="preserve"> in leading (</w:t>
      </w:r>
      <w:r w:rsidR="00E87F42">
        <w:rPr>
          <w:rFonts w:ascii="Century Gothic" w:hAnsi="Century Gothic"/>
        </w:rPr>
        <w:t>mostly non</w:t>
      </w:r>
      <w:r w:rsidR="00945D5B">
        <w:rPr>
          <w:rFonts w:ascii="Century Gothic" w:hAnsi="Century Gothic"/>
        </w:rPr>
        <w:t>-</w:t>
      </w:r>
      <w:r>
        <w:rPr>
          <w:rFonts w:ascii="Century Gothic" w:hAnsi="Century Gothic"/>
        </w:rPr>
        <w:t xml:space="preserve">open access) journals.  </w:t>
      </w:r>
    </w:p>
    <w:p w14:paraId="528F8AA8" w14:textId="77777777" w:rsidR="00291C99" w:rsidRDefault="00FB2745" w:rsidP="00316DC4">
      <w:pPr>
        <w:jc w:val="both"/>
        <w:rPr>
          <w:rFonts w:ascii="Century Gothic" w:hAnsi="Century Gothic"/>
        </w:rPr>
      </w:pPr>
      <w:r>
        <w:rPr>
          <w:rFonts w:ascii="Century Gothic" w:hAnsi="Century Gothic"/>
        </w:rPr>
        <w:lastRenderedPageBreak/>
        <w:t xml:space="preserve">So far, Universities cannot </w:t>
      </w:r>
      <w:r w:rsidR="00E87F42">
        <w:rPr>
          <w:rFonts w:ascii="Century Gothic" w:hAnsi="Century Gothic"/>
        </w:rPr>
        <w:t xml:space="preserve">preferentially </w:t>
      </w:r>
      <w:r>
        <w:rPr>
          <w:rFonts w:ascii="Century Gothic" w:hAnsi="Century Gothic"/>
        </w:rPr>
        <w:t>publish in open access journals without risking their ERA rankings.</w:t>
      </w:r>
      <w:r w:rsidR="008F3903">
        <w:rPr>
          <w:rFonts w:ascii="Century Gothic" w:hAnsi="Century Gothic"/>
        </w:rPr>
        <w:t xml:space="preserve">  </w:t>
      </w:r>
    </w:p>
    <w:p w14:paraId="528F8AA9" w14:textId="77777777" w:rsidR="002B4BCC" w:rsidRDefault="00FB2745" w:rsidP="00316DC4">
      <w:pPr>
        <w:jc w:val="both"/>
        <w:rPr>
          <w:rFonts w:ascii="Century Gothic" w:hAnsi="Century Gothic"/>
        </w:rPr>
      </w:pPr>
      <w:r>
        <w:rPr>
          <w:rFonts w:ascii="Century Gothic" w:hAnsi="Century Gothic"/>
        </w:rPr>
        <w:t>Accordingly, a broad national policy approach to the assessment of research quality is require</w:t>
      </w:r>
      <w:r w:rsidR="00E87F42">
        <w:rPr>
          <w:rFonts w:ascii="Century Gothic" w:hAnsi="Century Gothic"/>
        </w:rPr>
        <w:t>d to enable more publications i</w:t>
      </w:r>
      <w:r>
        <w:rPr>
          <w:rFonts w:ascii="Century Gothic" w:hAnsi="Century Gothic"/>
        </w:rPr>
        <w:t>n open access journals.</w:t>
      </w:r>
    </w:p>
    <w:p w14:paraId="528F8AAA" w14:textId="77777777" w:rsidR="00296DD7" w:rsidRPr="00BB5757" w:rsidRDefault="00296DD7" w:rsidP="007819E2">
      <w:pPr>
        <w:pStyle w:val="Heading3"/>
      </w:pPr>
      <w:r w:rsidRPr="00BB5757">
        <w:t>Improve Commercialisation Knowledge</w:t>
      </w:r>
    </w:p>
    <w:p w14:paraId="528F8AAB" w14:textId="77777777" w:rsidR="00183D9D" w:rsidRDefault="00BD69F0" w:rsidP="00316DC4">
      <w:pPr>
        <w:jc w:val="both"/>
        <w:rPr>
          <w:rFonts w:ascii="Century Gothic" w:hAnsi="Century Gothic"/>
        </w:rPr>
      </w:pPr>
      <w:r>
        <w:rPr>
          <w:rFonts w:ascii="Century Gothic" w:hAnsi="Century Gothic"/>
        </w:rPr>
        <w:t xml:space="preserve">Through </w:t>
      </w:r>
      <w:r w:rsidR="00991A69">
        <w:rPr>
          <w:rFonts w:ascii="Century Gothic" w:hAnsi="Century Gothic"/>
        </w:rPr>
        <w:t>specialised</w:t>
      </w:r>
      <w:r w:rsidR="00C8380A">
        <w:rPr>
          <w:rFonts w:ascii="Century Gothic" w:hAnsi="Century Gothic"/>
        </w:rPr>
        <w:t xml:space="preserve"> organisations</w:t>
      </w:r>
      <w:r>
        <w:rPr>
          <w:rFonts w:ascii="Century Gothic" w:hAnsi="Century Gothic"/>
        </w:rPr>
        <w:t xml:space="preserve"> such as Knowledge Commercialisation Australasia</w:t>
      </w:r>
      <w:r w:rsidR="00C8380A">
        <w:rPr>
          <w:rFonts w:ascii="Century Gothic" w:hAnsi="Century Gothic"/>
        </w:rPr>
        <w:t xml:space="preserve"> and </w:t>
      </w:r>
      <w:r>
        <w:rPr>
          <w:rFonts w:ascii="Century Gothic" w:hAnsi="Century Gothic"/>
        </w:rPr>
        <w:t>the Licensing Executive Society Australia New Zealand</w:t>
      </w:r>
      <w:r w:rsidR="00C8380A">
        <w:rPr>
          <w:rFonts w:ascii="Century Gothic" w:hAnsi="Century Gothic"/>
        </w:rPr>
        <w:t xml:space="preserve">, Universities are training their </w:t>
      </w:r>
      <w:r w:rsidR="00C8380A" w:rsidRPr="00E00DF8">
        <w:rPr>
          <w:rFonts w:ascii="Century Gothic" w:hAnsi="Century Gothic"/>
        </w:rPr>
        <w:t>commercialisation workforce</w:t>
      </w:r>
      <w:r w:rsidR="00C8380A">
        <w:rPr>
          <w:rFonts w:ascii="Century Gothic" w:hAnsi="Century Gothic"/>
        </w:rPr>
        <w:t xml:space="preserve">.  </w:t>
      </w:r>
    </w:p>
    <w:p w14:paraId="528F8AAC" w14:textId="77777777" w:rsidR="003971B9" w:rsidRDefault="00C8380A" w:rsidP="00316DC4">
      <w:pPr>
        <w:jc w:val="both"/>
        <w:rPr>
          <w:rFonts w:ascii="Century Gothic" w:hAnsi="Century Gothic"/>
        </w:rPr>
      </w:pPr>
      <w:r>
        <w:rPr>
          <w:rFonts w:ascii="Century Gothic" w:hAnsi="Century Gothic"/>
        </w:rPr>
        <w:t xml:space="preserve">However, it is challenging for many commercialisation offices and entities to attract and retain highly skilled and experienced staff.  </w:t>
      </w:r>
    </w:p>
    <w:p w14:paraId="528F8AAD" w14:textId="77777777" w:rsidR="00FB2745" w:rsidRDefault="00C8380A" w:rsidP="00316DC4">
      <w:pPr>
        <w:jc w:val="both"/>
        <w:rPr>
          <w:rFonts w:ascii="Century Gothic" w:hAnsi="Century Gothic"/>
        </w:rPr>
      </w:pPr>
      <w:r>
        <w:rPr>
          <w:rFonts w:ascii="Century Gothic" w:hAnsi="Century Gothic"/>
        </w:rPr>
        <w:t xml:space="preserve">Griffith University would welcome a Government initiative to support </w:t>
      </w:r>
      <w:r w:rsidR="00183D9D">
        <w:rPr>
          <w:rFonts w:ascii="Century Gothic" w:hAnsi="Century Gothic"/>
        </w:rPr>
        <w:t xml:space="preserve">commercialisation </w:t>
      </w:r>
      <w:r>
        <w:rPr>
          <w:rFonts w:ascii="Century Gothic" w:hAnsi="Century Gothic"/>
        </w:rPr>
        <w:t xml:space="preserve">offices with </w:t>
      </w:r>
      <w:r w:rsidR="00CC5681">
        <w:rPr>
          <w:rFonts w:ascii="Century Gothic" w:hAnsi="Century Gothic"/>
        </w:rPr>
        <w:t>direct</w:t>
      </w:r>
      <w:r>
        <w:rPr>
          <w:rFonts w:ascii="Century Gothic" w:hAnsi="Century Gothic"/>
        </w:rPr>
        <w:t xml:space="preserve"> funding, including proof–of-concept </w:t>
      </w:r>
      <w:r w:rsidR="00FE48DC">
        <w:rPr>
          <w:rFonts w:ascii="Century Gothic" w:hAnsi="Century Gothic"/>
        </w:rPr>
        <w:t>funds that</w:t>
      </w:r>
      <w:r>
        <w:rPr>
          <w:rFonts w:ascii="Century Gothic" w:hAnsi="Century Gothic"/>
        </w:rPr>
        <w:t xml:space="preserve"> allow them to attract the best staff and to develop opportunities to a stage, where industry would be interested in collaborating and partnering.</w:t>
      </w:r>
    </w:p>
    <w:p w14:paraId="528F8AAE" w14:textId="77777777" w:rsidR="00E2098F" w:rsidRPr="00BB5757" w:rsidRDefault="00296DD7" w:rsidP="007819E2">
      <w:pPr>
        <w:pStyle w:val="Heading3"/>
      </w:pPr>
      <w:r w:rsidRPr="00BB5757">
        <w:t>Collaborating with SMEs</w:t>
      </w:r>
    </w:p>
    <w:p w14:paraId="528F8AAF" w14:textId="77777777" w:rsidR="00202231" w:rsidRDefault="00202231" w:rsidP="00316DC4">
      <w:pPr>
        <w:jc w:val="both"/>
        <w:rPr>
          <w:rFonts w:ascii="Century Gothic" w:hAnsi="Century Gothic"/>
        </w:rPr>
      </w:pPr>
      <w:r>
        <w:rPr>
          <w:rFonts w:ascii="Century Gothic" w:hAnsi="Century Gothic"/>
        </w:rPr>
        <w:t xml:space="preserve">AusIndustry’s “Research </w:t>
      </w:r>
      <w:r w:rsidRPr="001602D1">
        <w:rPr>
          <w:rFonts w:ascii="Century Gothic" w:hAnsi="Century Gothic"/>
        </w:rPr>
        <w:t>Connections</w:t>
      </w:r>
      <w:r>
        <w:rPr>
          <w:rFonts w:ascii="Century Gothic" w:hAnsi="Century Gothic"/>
        </w:rPr>
        <w:t>” program</w:t>
      </w:r>
      <w:r w:rsidRPr="001602D1">
        <w:rPr>
          <w:rFonts w:ascii="Century Gothic" w:hAnsi="Century Gothic"/>
        </w:rPr>
        <w:t xml:space="preserve"> recognises that </w:t>
      </w:r>
      <w:r>
        <w:rPr>
          <w:rFonts w:ascii="Century Gothic" w:hAnsi="Century Gothic"/>
        </w:rPr>
        <w:t xml:space="preserve">a mix between support in identifying SME’s knowledge gaps, facilitation of connections to research providers and </w:t>
      </w:r>
      <w:r w:rsidRPr="001602D1">
        <w:rPr>
          <w:rFonts w:ascii="Century Gothic" w:hAnsi="Century Gothic"/>
        </w:rPr>
        <w:t>funding support</w:t>
      </w:r>
      <w:r>
        <w:rPr>
          <w:rFonts w:ascii="Century Gothic" w:hAnsi="Century Gothic"/>
        </w:rPr>
        <w:t xml:space="preserve"> is required to entice SMEs to become more research active.  It recognises that the majority of SME’s have flagged a lack of funds as the main reason why they do not create innovations</w:t>
      </w:r>
      <w:r>
        <w:rPr>
          <w:rStyle w:val="FootnoteReference"/>
          <w:rFonts w:ascii="Century Gothic" w:hAnsi="Century Gothic"/>
        </w:rPr>
        <w:footnoteReference w:id="5"/>
      </w:r>
      <w:r>
        <w:rPr>
          <w:rFonts w:ascii="Century Gothic" w:hAnsi="Century Gothic"/>
        </w:rPr>
        <w:t>.</w:t>
      </w:r>
    </w:p>
    <w:p w14:paraId="528F8AB0" w14:textId="77777777" w:rsidR="00296DD7" w:rsidRDefault="00991A69" w:rsidP="00316DC4">
      <w:pPr>
        <w:jc w:val="both"/>
        <w:rPr>
          <w:rFonts w:ascii="Century Gothic" w:hAnsi="Century Gothic"/>
        </w:rPr>
      </w:pPr>
      <w:r>
        <w:rPr>
          <w:rFonts w:ascii="Century Gothic" w:hAnsi="Century Gothic"/>
        </w:rPr>
        <w:t>There are acute b</w:t>
      </w:r>
      <w:r w:rsidR="00296DD7">
        <w:rPr>
          <w:rFonts w:ascii="Century Gothic" w:hAnsi="Century Gothic"/>
        </w:rPr>
        <w:t xml:space="preserve">arriers inhibiting collaboration between </w:t>
      </w:r>
      <w:r w:rsidR="00183D9D">
        <w:rPr>
          <w:rFonts w:ascii="Century Gothic" w:hAnsi="Century Gothic"/>
        </w:rPr>
        <w:t>higher education</w:t>
      </w:r>
      <w:r w:rsidR="00296DD7">
        <w:rPr>
          <w:rFonts w:ascii="Century Gothic" w:hAnsi="Century Gothic"/>
        </w:rPr>
        <w:t xml:space="preserve"> institutes and SMEs</w:t>
      </w:r>
      <w:r>
        <w:rPr>
          <w:rFonts w:ascii="Century Gothic" w:hAnsi="Century Gothic"/>
        </w:rPr>
        <w:t>.  These include</w:t>
      </w:r>
      <w:r w:rsidR="00296DD7">
        <w:rPr>
          <w:rFonts w:ascii="Century Gothic" w:hAnsi="Century Gothic"/>
        </w:rPr>
        <w:t>:</w:t>
      </w:r>
    </w:p>
    <w:p w14:paraId="528F8AB1" w14:textId="77777777" w:rsidR="00296DD7" w:rsidRDefault="00AE6821" w:rsidP="00316DC4">
      <w:pPr>
        <w:pStyle w:val="ListParagraph"/>
        <w:numPr>
          <w:ilvl w:val="0"/>
          <w:numId w:val="44"/>
        </w:numPr>
        <w:spacing w:before="120"/>
        <w:contextualSpacing w:val="0"/>
        <w:jc w:val="both"/>
        <w:rPr>
          <w:rFonts w:ascii="Century Gothic" w:eastAsiaTheme="minorHAnsi" w:hAnsi="Century Gothic"/>
        </w:rPr>
      </w:pPr>
      <w:r>
        <w:rPr>
          <w:rFonts w:ascii="Century Gothic" w:eastAsiaTheme="minorHAnsi" w:hAnsi="Century Gothic"/>
        </w:rPr>
        <w:t xml:space="preserve">high </w:t>
      </w:r>
      <w:r w:rsidR="00296DD7">
        <w:rPr>
          <w:rFonts w:ascii="Century Gothic" w:eastAsiaTheme="minorHAnsi" w:hAnsi="Century Gothic"/>
        </w:rPr>
        <w:t>search costs</w:t>
      </w:r>
      <w:r w:rsidR="00B93DB2">
        <w:rPr>
          <w:rFonts w:ascii="Century Gothic" w:eastAsiaTheme="minorHAnsi" w:hAnsi="Century Gothic"/>
        </w:rPr>
        <w:t xml:space="preserve"> associated with matching potential solutions to </w:t>
      </w:r>
      <w:r w:rsidR="00991A69">
        <w:rPr>
          <w:rFonts w:ascii="Century Gothic" w:eastAsiaTheme="minorHAnsi" w:hAnsi="Century Gothic"/>
        </w:rPr>
        <w:t xml:space="preserve">SME </w:t>
      </w:r>
      <w:r w:rsidR="00B93DB2">
        <w:rPr>
          <w:rFonts w:ascii="Century Gothic" w:eastAsiaTheme="minorHAnsi" w:hAnsi="Century Gothic"/>
        </w:rPr>
        <w:t xml:space="preserve">customer needs.  These costs </w:t>
      </w:r>
      <w:r w:rsidR="00296DD7">
        <w:rPr>
          <w:rFonts w:ascii="Century Gothic" w:eastAsiaTheme="minorHAnsi" w:hAnsi="Century Gothic"/>
        </w:rPr>
        <w:t xml:space="preserve">could be </w:t>
      </w:r>
      <w:r w:rsidR="00B93DB2">
        <w:rPr>
          <w:rFonts w:ascii="Century Gothic" w:eastAsiaTheme="minorHAnsi" w:hAnsi="Century Gothic"/>
        </w:rPr>
        <w:t>reduced</w:t>
      </w:r>
      <w:r w:rsidR="00296DD7">
        <w:rPr>
          <w:rFonts w:ascii="Century Gothic" w:eastAsiaTheme="minorHAnsi" w:hAnsi="Century Gothic"/>
        </w:rPr>
        <w:t xml:space="preserve"> through the Nation-wide Portal (above)</w:t>
      </w:r>
      <w:r w:rsidR="00991A69">
        <w:rPr>
          <w:rFonts w:ascii="Century Gothic" w:eastAsiaTheme="minorHAnsi" w:hAnsi="Century Gothic"/>
        </w:rPr>
        <w:t>.</w:t>
      </w:r>
    </w:p>
    <w:p w14:paraId="528F8AB2" w14:textId="77777777" w:rsidR="00202231" w:rsidRDefault="00202231" w:rsidP="00316DC4">
      <w:pPr>
        <w:pStyle w:val="ListParagraph"/>
        <w:numPr>
          <w:ilvl w:val="0"/>
          <w:numId w:val="44"/>
        </w:numPr>
        <w:spacing w:before="120"/>
        <w:contextualSpacing w:val="0"/>
        <w:jc w:val="both"/>
        <w:rPr>
          <w:rFonts w:ascii="Century Gothic" w:eastAsiaTheme="minorHAnsi" w:hAnsi="Century Gothic"/>
        </w:rPr>
      </w:pPr>
      <w:r>
        <w:rPr>
          <w:rFonts w:ascii="Century Gothic" w:eastAsiaTheme="minorHAnsi" w:hAnsi="Century Gothic"/>
        </w:rPr>
        <w:t>transaction costs associated with securing mutually favourable intellectual property rights a</w:t>
      </w:r>
      <w:r w:rsidR="00B93DB2">
        <w:rPr>
          <w:rFonts w:ascii="Century Gothic" w:eastAsiaTheme="minorHAnsi" w:hAnsi="Century Gothic"/>
        </w:rPr>
        <w:t>nd benefit sharing arrangements</w:t>
      </w:r>
      <w:r w:rsidR="00991A69">
        <w:rPr>
          <w:rFonts w:ascii="Century Gothic" w:eastAsiaTheme="minorHAnsi" w:hAnsi="Century Gothic"/>
        </w:rPr>
        <w:t xml:space="preserve"> (relative to the size and nature of potential collaborations)</w:t>
      </w:r>
      <w:r w:rsidR="00B93DB2">
        <w:rPr>
          <w:rFonts w:ascii="Century Gothic" w:eastAsiaTheme="minorHAnsi" w:hAnsi="Century Gothic"/>
        </w:rPr>
        <w:t xml:space="preserve">.  </w:t>
      </w:r>
      <w:r w:rsidR="00096FCB">
        <w:rPr>
          <w:rFonts w:ascii="Century Gothic" w:eastAsiaTheme="minorHAnsi" w:hAnsi="Century Gothic"/>
        </w:rPr>
        <w:t>Many of t</w:t>
      </w:r>
      <w:r w:rsidR="00B93DB2">
        <w:rPr>
          <w:rFonts w:ascii="Century Gothic" w:eastAsiaTheme="minorHAnsi" w:hAnsi="Century Gothic"/>
        </w:rPr>
        <w:t xml:space="preserve">he measures </w:t>
      </w:r>
      <w:r w:rsidR="00365143">
        <w:rPr>
          <w:rFonts w:ascii="Century Gothic" w:eastAsiaTheme="minorHAnsi" w:hAnsi="Century Gothic"/>
        </w:rPr>
        <w:t>outlined</w:t>
      </w:r>
      <w:r w:rsidR="00096FCB">
        <w:rPr>
          <w:rFonts w:ascii="Century Gothic" w:eastAsiaTheme="minorHAnsi" w:hAnsi="Century Gothic"/>
        </w:rPr>
        <w:t xml:space="preserve"> herein</w:t>
      </w:r>
      <w:r w:rsidR="00B93DB2">
        <w:rPr>
          <w:rFonts w:ascii="Century Gothic" w:eastAsiaTheme="minorHAnsi" w:hAnsi="Century Gothic"/>
        </w:rPr>
        <w:t xml:space="preserve"> could also reduce these costs</w:t>
      </w:r>
      <w:r w:rsidR="00991A69">
        <w:rPr>
          <w:rFonts w:ascii="Century Gothic" w:eastAsiaTheme="minorHAnsi" w:hAnsi="Century Gothic"/>
        </w:rPr>
        <w:t>.</w:t>
      </w:r>
    </w:p>
    <w:p w14:paraId="528F8AB3" w14:textId="77777777" w:rsidR="00202231" w:rsidRDefault="00202231" w:rsidP="00316DC4">
      <w:pPr>
        <w:pStyle w:val="ListParagraph"/>
        <w:numPr>
          <w:ilvl w:val="0"/>
          <w:numId w:val="44"/>
        </w:numPr>
        <w:spacing w:before="120"/>
        <w:contextualSpacing w:val="0"/>
        <w:jc w:val="both"/>
        <w:rPr>
          <w:rFonts w:ascii="Century Gothic" w:eastAsiaTheme="minorHAnsi" w:hAnsi="Century Gothic"/>
        </w:rPr>
      </w:pPr>
      <w:r>
        <w:rPr>
          <w:rFonts w:ascii="Century Gothic" w:eastAsiaTheme="minorHAnsi" w:hAnsi="Century Gothic"/>
        </w:rPr>
        <w:t xml:space="preserve">the required investment by </w:t>
      </w:r>
      <w:r w:rsidR="00B93DB2">
        <w:rPr>
          <w:rFonts w:ascii="Century Gothic" w:eastAsiaTheme="minorHAnsi" w:hAnsi="Century Gothic"/>
        </w:rPr>
        <w:t>SMEs</w:t>
      </w:r>
      <w:r>
        <w:rPr>
          <w:rFonts w:ascii="Century Gothic" w:eastAsiaTheme="minorHAnsi" w:hAnsi="Century Gothic"/>
        </w:rPr>
        <w:t xml:space="preserve"> relative to available funds, risks and </w:t>
      </w:r>
      <w:r w:rsidR="007F6A69">
        <w:rPr>
          <w:rFonts w:ascii="Century Gothic" w:eastAsiaTheme="minorHAnsi" w:hAnsi="Century Gothic"/>
        </w:rPr>
        <w:t xml:space="preserve">expected </w:t>
      </w:r>
      <w:r>
        <w:rPr>
          <w:rFonts w:ascii="Century Gothic" w:eastAsiaTheme="minorHAnsi" w:hAnsi="Century Gothic"/>
        </w:rPr>
        <w:t>returns</w:t>
      </w:r>
      <w:r w:rsidR="00183D9D">
        <w:rPr>
          <w:rFonts w:ascii="Century Gothic" w:eastAsiaTheme="minorHAnsi" w:hAnsi="Century Gothic"/>
        </w:rPr>
        <w:t xml:space="preserve">. </w:t>
      </w:r>
      <w:r w:rsidR="00B93DB2">
        <w:rPr>
          <w:rFonts w:ascii="Century Gothic" w:eastAsiaTheme="minorHAnsi" w:hAnsi="Century Gothic"/>
        </w:rPr>
        <w:t xml:space="preserve"> </w:t>
      </w:r>
      <w:r w:rsidR="00183D9D">
        <w:rPr>
          <w:rFonts w:ascii="Century Gothic" w:eastAsiaTheme="minorHAnsi" w:hAnsi="Century Gothic"/>
        </w:rPr>
        <w:t xml:space="preserve">Various </w:t>
      </w:r>
      <w:r w:rsidR="003971B9">
        <w:rPr>
          <w:rFonts w:ascii="Century Gothic" w:eastAsiaTheme="minorHAnsi" w:hAnsi="Century Gothic"/>
        </w:rPr>
        <w:t xml:space="preserve">Government </w:t>
      </w:r>
      <w:r w:rsidR="00B93DB2">
        <w:rPr>
          <w:rFonts w:ascii="Century Gothic" w:eastAsiaTheme="minorHAnsi" w:hAnsi="Century Gothic"/>
        </w:rPr>
        <w:t xml:space="preserve">funding incentive programs </w:t>
      </w:r>
      <w:r w:rsidR="00183D9D">
        <w:rPr>
          <w:rFonts w:ascii="Century Gothic" w:eastAsiaTheme="minorHAnsi" w:hAnsi="Century Gothic"/>
        </w:rPr>
        <w:t xml:space="preserve">exist, but </w:t>
      </w:r>
      <w:r w:rsidR="007F6A69">
        <w:rPr>
          <w:rFonts w:ascii="Century Gothic" w:eastAsiaTheme="minorHAnsi" w:hAnsi="Century Gothic"/>
        </w:rPr>
        <w:t>would</w:t>
      </w:r>
      <w:r w:rsidR="00096FCB">
        <w:rPr>
          <w:rFonts w:ascii="Century Gothic" w:eastAsiaTheme="minorHAnsi" w:hAnsi="Century Gothic"/>
        </w:rPr>
        <w:t xml:space="preserve"> </w:t>
      </w:r>
      <w:r w:rsidR="00B93DB2">
        <w:rPr>
          <w:rFonts w:ascii="Century Gothic" w:eastAsiaTheme="minorHAnsi" w:hAnsi="Century Gothic"/>
        </w:rPr>
        <w:t xml:space="preserve">need to be </w:t>
      </w:r>
      <w:r w:rsidR="00096FCB">
        <w:rPr>
          <w:rFonts w:ascii="Century Gothic" w:eastAsiaTheme="minorHAnsi" w:hAnsi="Century Gothic"/>
        </w:rPr>
        <w:t xml:space="preserve">further </w:t>
      </w:r>
      <w:r w:rsidR="00B93DB2">
        <w:rPr>
          <w:rFonts w:ascii="Century Gothic" w:eastAsiaTheme="minorHAnsi" w:hAnsi="Century Gothic"/>
        </w:rPr>
        <w:t xml:space="preserve">explored to </w:t>
      </w:r>
      <w:r w:rsidR="00096FCB">
        <w:rPr>
          <w:rFonts w:ascii="Century Gothic" w:eastAsiaTheme="minorHAnsi" w:hAnsi="Century Gothic"/>
        </w:rPr>
        <w:t>enhance collaborative activity</w:t>
      </w:r>
      <w:r w:rsidR="007F6A69">
        <w:rPr>
          <w:rFonts w:ascii="Century Gothic" w:eastAsiaTheme="minorHAnsi" w:hAnsi="Century Gothic"/>
        </w:rPr>
        <w:t xml:space="preserve"> in this sector</w:t>
      </w:r>
      <w:r w:rsidR="00B93DB2">
        <w:rPr>
          <w:rFonts w:ascii="Century Gothic" w:eastAsiaTheme="minorHAnsi" w:hAnsi="Century Gothic"/>
        </w:rPr>
        <w:t>.</w:t>
      </w:r>
    </w:p>
    <w:p w14:paraId="528F8AB4" w14:textId="77777777" w:rsidR="00202231" w:rsidRDefault="00202231" w:rsidP="00174555">
      <w:pPr>
        <w:spacing w:after="0"/>
        <w:jc w:val="both"/>
        <w:rPr>
          <w:rFonts w:ascii="Century Gothic" w:hAnsi="Century Gothic"/>
        </w:rPr>
      </w:pPr>
    </w:p>
    <w:p w14:paraId="528F8AB5" w14:textId="77777777" w:rsidR="007211C5" w:rsidRDefault="00183D9D" w:rsidP="00F704E6">
      <w:pPr>
        <w:jc w:val="both"/>
        <w:rPr>
          <w:rFonts w:ascii="Century Gothic" w:hAnsi="Century Gothic"/>
        </w:rPr>
      </w:pPr>
      <w:r>
        <w:rPr>
          <w:rFonts w:ascii="Century Gothic" w:hAnsi="Century Gothic"/>
        </w:rPr>
        <w:t>Griffith University i</w:t>
      </w:r>
      <w:r w:rsidR="00194EB2">
        <w:rPr>
          <w:rFonts w:ascii="Century Gothic" w:hAnsi="Century Gothic"/>
        </w:rPr>
        <w:t xml:space="preserve">s meeting many of these challenges through its ‘enterprise’ strategy.  Here, the University establishes internal business units for the purpose of making knowledge-based products and services directly available to industry and government customers.  </w:t>
      </w:r>
    </w:p>
    <w:p w14:paraId="528F8AB6" w14:textId="77777777" w:rsidR="00183D9D" w:rsidRDefault="00194EB2" w:rsidP="00F704E6">
      <w:pPr>
        <w:jc w:val="both"/>
        <w:rPr>
          <w:rFonts w:ascii="Century Gothic" w:hAnsi="Century Gothic"/>
        </w:rPr>
      </w:pPr>
      <w:r>
        <w:rPr>
          <w:rFonts w:ascii="Century Gothic" w:hAnsi="Century Gothic"/>
        </w:rPr>
        <w:lastRenderedPageBreak/>
        <w:t>In the SME space for example, the University’s Asia-Pacific Centre for Franchising Excellence</w:t>
      </w:r>
      <w:r w:rsidR="00C875EE">
        <w:rPr>
          <w:rStyle w:val="FootnoteReference"/>
          <w:rFonts w:ascii="Century Gothic" w:hAnsi="Century Gothic"/>
        </w:rPr>
        <w:footnoteReference w:id="6"/>
      </w:r>
      <w:r>
        <w:rPr>
          <w:rFonts w:ascii="Century Gothic" w:hAnsi="Century Gothic"/>
        </w:rPr>
        <w:t xml:space="preserve">, established to assist franchise businesses make better business decisions, provides </w:t>
      </w:r>
      <w:r w:rsidR="007211C5">
        <w:rPr>
          <w:rFonts w:ascii="Century Gothic" w:hAnsi="Century Gothic"/>
        </w:rPr>
        <w:t xml:space="preserve">to the franchise sector </w:t>
      </w:r>
      <w:r>
        <w:rPr>
          <w:rFonts w:ascii="Century Gothic" w:hAnsi="Century Gothic"/>
        </w:rPr>
        <w:t>independent research-based knowledge (through for example</w:t>
      </w:r>
      <w:r w:rsidR="007211C5">
        <w:rPr>
          <w:rFonts w:ascii="Century Gothic" w:hAnsi="Century Gothic"/>
        </w:rPr>
        <w:t>,</w:t>
      </w:r>
      <w:r>
        <w:rPr>
          <w:rFonts w:ascii="Century Gothic" w:hAnsi="Century Gothic"/>
        </w:rPr>
        <w:t xml:space="preserve"> newsletters, blogs, </w:t>
      </w:r>
      <w:r w:rsidR="00AE6821">
        <w:rPr>
          <w:rFonts w:ascii="Century Gothic" w:hAnsi="Century Gothic"/>
        </w:rPr>
        <w:t>webinars</w:t>
      </w:r>
      <w:r w:rsidR="00FE48DC">
        <w:rPr>
          <w:rFonts w:ascii="Century Gothic" w:hAnsi="Century Gothic"/>
        </w:rPr>
        <w:t xml:space="preserve"> and e-products</w:t>
      </w:r>
      <w:r>
        <w:rPr>
          <w:rFonts w:ascii="Century Gothic" w:hAnsi="Century Gothic"/>
        </w:rPr>
        <w:t xml:space="preserve">) and </w:t>
      </w:r>
      <w:r w:rsidR="00991A69">
        <w:rPr>
          <w:rFonts w:ascii="Century Gothic" w:hAnsi="Century Gothic"/>
        </w:rPr>
        <w:t>education</w:t>
      </w:r>
      <w:r>
        <w:rPr>
          <w:rFonts w:ascii="Century Gothic" w:hAnsi="Century Gothic"/>
        </w:rPr>
        <w:t xml:space="preserve"> (through </w:t>
      </w:r>
      <w:r w:rsidR="007211C5">
        <w:rPr>
          <w:rFonts w:ascii="Century Gothic" w:hAnsi="Century Gothic"/>
        </w:rPr>
        <w:t xml:space="preserve">for example, </w:t>
      </w:r>
      <w:r>
        <w:rPr>
          <w:rFonts w:ascii="Century Gothic" w:hAnsi="Century Gothic"/>
        </w:rPr>
        <w:t xml:space="preserve">courses, workshops, seminars, events and e-classes). </w:t>
      </w:r>
    </w:p>
    <w:p w14:paraId="528F8AB7" w14:textId="77777777" w:rsidR="00F704E6" w:rsidRPr="00BB5757" w:rsidRDefault="00F704E6" w:rsidP="007819E2">
      <w:pPr>
        <w:pStyle w:val="Heading3"/>
      </w:pPr>
      <w:r w:rsidRPr="00BB5757">
        <w:t xml:space="preserve">IP </w:t>
      </w:r>
      <w:r w:rsidR="00E54B06">
        <w:t>T</w:t>
      </w:r>
      <w:r w:rsidRPr="00BB5757">
        <w:t xml:space="preserve">ool </w:t>
      </w:r>
      <w:r w:rsidR="00E54B06">
        <w:t>K</w:t>
      </w:r>
      <w:r w:rsidRPr="00BB5757">
        <w:t>it</w:t>
      </w:r>
    </w:p>
    <w:p w14:paraId="528F8AB8" w14:textId="77777777" w:rsidR="003A6159" w:rsidRDefault="00A3489D" w:rsidP="00316DC4">
      <w:pPr>
        <w:jc w:val="both"/>
        <w:rPr>
          <w:rFonts w:ascii="Century Gothic" w:hAnsi="Century Gothic"/>
        </w:rPr>
      </w:pPr>
      <w:r>
        <w:rPr>
          <w:rFonts w:ascii="Century Gothic" w:hAnsi="Century Gothic"/>
        </w:rPr>
        <w:t xml:space="preserve">Based on a proposal by the Chief Scientist and the </w:t>
      </w:r>
      <w:r w:rsidRPr="003A6159">
        <w:rPr>
          <w:rFonts w:ascii="Century Gothic" w:hAnsi="Century Gothic"/>
        </w:rPr>
        <w:t>Advisory Council on Intellectual Property (ACIP), the IP T</w:t>
      </w:r>
      <w:r w:rsidR="0080639C" w:rsidRPr="003A6159">
        <w:rPr>
          <w:rFonts w:ascii="Century Gothic" w:hAnsi="Century Gothic"/>
        </w:rPr>
        <w:t xml:space="preserve">oolkit </w:t>
      </w:r>
      <w:r>
        <w:rPr>
          <w:rFonts w:ascii="Century Gothic" w:hAnsi="Century Gothic"/>
        </w:rPr>
        <w:t xml:space="preserve">aims to </w:t>
      </w:r>
      <w:r w:rsidR="0080639C" w:rsidRPr="003A6159">
        <w:rPr>
          <w:rFonts w:ascii="Century Gothic" w:hAnsi="Century Gothic"/>
        </w:rPr>
        <w:t>assist universities, publicly funded</w:t>
      </w:r>
      <w:r w:rsidR="00DD303D" w:rsidRPr="00DD303D">
        <w:rPr>
          <w:rFonts w:ascii="Century Gothic" w:hAnsi="Century Gothic"/>
        </w:rPr>
        <w:t xml:space="preserve"> research organisations </w:t>
      </w:r>
      <w:r w:rsidR="0080639C" w:rsidRPr="003A6159">
        <w:rPr>
          <w:rFonts w:ascii="Century Gothic" w:hAnsi="Century Gothic"/>
        </w:rPr>
        <w:t xml:space="preserve">and industry parties, including </w:t>
      </w:r>
      <w:r w:rsidR="007F6A69">
        <w:rPr>
          <w:rFonts w:ascii="Century Gothic" w:hAnsi="Century Gothic"/>
        </w:rPr>
        <w:t>SMEs</w:t>
      </w:r>
      <w:r w:rsidR="0080639C" w:rsidRPr="003A6159">
        <w:rPr>
          <w:rFonts w:ascii="Century Gothic" w:hAnsi="Century Gothic"/>
        </w:rPr>
        <w:t xml:space="preserve">, </w:t>
      </w:r>
      <w:r>
        <w:rPr>
          <w:rFonts w:ascii="Century Gothic" w:hAnsi="Century Gothic"/>
        </w:rPr>
        <w:t xml:space="preserve">to </w:t>
      </w:r>
      <w:r w:rsidR="004442B9">
        <w:rPr>
          <w:rFonts w:ascii="Century Gothic" w:hAnsi="Century Gothic"/>
        </w:rPr>
        <w:t xml:space="preserve">more </w:t>
      </w:r>
      <w:r>
        <w:rPr>
          <w:rFonts w:ascii="Century Gothic" w:hAnsi="Century Gothic"/>
        </w:rPr>
        <w:t>easi</w:t>
      </w:r>
      <w:r w:rsidR="004442B9">
        <w:rPr>
          <w:rFonts w:ascii="Century Gothic" w:hAnsi="Century Gothic"/>
        </w:rPr>
        <w:t>ly</w:t>
      </w:r>
      <w:r>
        <w:rPr>
          <w:rFonts w:ascii="Century Gothic" w:hAnsi="Century Gothic"/>
        </w:rPr>
        <w:t xml:space="preserve"> enter into appropriate collaboration agreements.  </w:t>
      </w:r>
    </w:p>
    <w:p w14:paraId="528F8AB9" w14:textId="77777777" w:rsidR="003A6159" w:rsidRDefault="00A3489D" w:rsidP="00316DC4">
      <w:pPr>
        <w:jc w:val="both"/>
        <w:rPr>
          <w:rFonts w:ascii="Century Gothic" w:hAnsi="Century Gothic"/>
        </w:rPr>
      </w:pPr>
      <w:r>
        <w:rPr>
          <w:rFonts w:ascii="Century Gothic" w:hAnsi="Century Gothic"/>
        </w:rPr>
        <w:t xml:space="preserve">Griffith University has contributed to the May 2014 consultation conducted by the Department of Industry.  </w:t>
      </w:r>
    </w:p>
    <w:p w14:paraId="528F8ABA" w14:textId="77777777" w:rsidR="007211C5" w:rsidRDefault="00A3489D" w:rsidP="00316DC4">
      <w:pPr>
        <w:jc w:val="both"/>
        <w:rPr>
          <w:rFonts w:ascii="Century Gothic" w:hAnsi="Century Gothic"/>
        </w:rPr>
      </w:pPr>
      <w:r>
        <w:rPr>
          <w:rFonts w:ascii="Century Gothic" w:hAnsi="Century Gothic"/>
        </w:rPr>
        <w:t>The University</w:t>
      </w:r>
      <w:r w:rsidR="00F77B73">
        <w:rPr>
          <w:rFonts w:ascii="Century Gothic" w:hAnsi="Century Gothic"/>
        </w:rPr>
        <w:t xml:space="preserve"> </w:t>
      </w:r>
      <w:r w:rsidR="00365143">
        <w:rPr>
          <w:rFonts w:ascii="Century Gothic" w:hAnsi="Century Gothic"/>
        </w:rPr>
        <w:t xml:space="preserve">considers </w:t>
      </w:r>
      <w:r w:rsidR="00F77B73">
        <w:rPr>
          <w:rFonts w:ascii="Century Gothic" w:hAnsi="Century Gothic"/>
        </w:rPr>
        <w:t xml:space="preserve">that a set of appropriate templates could successfully set expectations of the partners and thus would assist to </w:t>
      </w:r>
      <w:r w:rsidR="00DD303D">
        <w:rPr>
          <w:rFonts w:ascii="Century Gothic" w:hAnsi="Century Gothic"/>
        </w:rPr>
        <w:t xml:space="preserve">easier </w:t>
      </w:r>
      <w:r w:rsidR="00F77B73">
        <w:rPr>
          <w:rFonts w:ascii="Century Gothic" w:hAnsi="Century Gothic"/>
        </w:rPr>
        <w:t xml:space="preserve">establish appropriate terms for </w:t>
      </w:r>
      <w:r w:rsidR="003A6159">
        <w:rPr>
          <w:rFonts w:ascii="Century Gothic" w:hAnsi="Century Gothic"/>
        </w:rPr>
        <w:t xml:space="preserve">R&amp;D </w:t>
      </w:r>
      <w:r w:rsidR="00F77B73">
        <w:rPr>
          <w:rFonts w:ascii="Century Gothic" w:hAnsi="Century Gothic"/>
        </w:rPr>
        <w:t>collaboration</w:t>
      </w:r>
      <w:r w:rsidR="003A6159">
        <w:rPr>
          <w:rFonts w:ascii="Century Gothic" w:hAnsi="Century Gothic"/>
        </w:rPr>
        <w:t xml:space="preserve">s </w:t>
      </w:r>
      <w:r w:rsidR="00F77B73">
        <w:rPr>
          <w:rFonts w:ascii="Century Gothic" w:hAnsi="Century Gothic"/>
        </w:rPr>
        <w:t>and commercialisation of IP</w:t>
      </w:r>
      <w:r w:rsidR="00DC5C4D">
        <w:rPr>
          <w:rFonts w:ascii="Century Gothic" w:hAnsi="Century Gothic"/>
        </w:rPr>
        <w:t xml:space="preserve"> created in </w:t>
      </w:r>
      <w:r w:rsidR="003A6159">
        <w:rPr>
          <w:rFonts w:ascii="Century Gothic" w:hAnsi="Century Gothic"/>
        </w:rPr>
        <w:t xml:space="preserve">these </w:t>
      </w:r>
      <w:r w:rsidR="00DC5C4D">
        <w:rPr>
          <w:rFonts w:ascii="Century Gothic" w:hAnsi="Century Gothic"/>
        </w:rPr>
        <w:t>collaborations</w:t>
      </w:r>
      <w:r w:rsidR="00F77B73">
        <w:rPr>
          <w:rFonts w:ascii="Century Gothic" w:hAnsi="Century Gothic"/>
        </w:rPr>
        <w:t xml:space="preserve">. </w:t>
      </w:r>
      <w:r w:rsidR="00DC5C4D">
        <w:rPr>
          <w:rFonts w:ascii="Century Gothic" w:hAnsi="Century Gothic"/>
        </w:rPr>
        <w:t xml:space="preserve"> </w:t>
      </w:r>
    </w:p>
    <w:p w14:paraId="528F8ABB" w14:textId="77777777" w:rsidR="00A3489D" w:rsidRDefault="00032919" w:rsidP="00316DC4">
      <w:pPr>
        <w:jc w:val="both"/>
        <w:rPr>
          <w:rFonts w:ascii="Century Gothic" w:hAnsi="Century Gothic"/>
        </w:rPr>
      </w:pPr>
      <w:r>
        <w:rPr>
          <w:rFonts w:ascii="Century Gothic" w:hAnsi="Century Gothic"/>
        </w:rPr>
        <w:t>The experience with the</w:t>
      </w:r>
      <w:r w:rsidR="00C875EE">
        <w:rPr>
          <w:rFonts w:ascii="Century Gothic" w:hAnsi="Century Gothic"/>
        </w:rPr>
        <w:t xml:space="preserve"> Lambert Toolkit</w:t>
      </w:r>
      <w:r w:rsidR="00763CA6">
        <w:rPr>
          <w:rStyle w:val="FootnoteReference"/>
          <w:rFonts w:ascii="Century Gothic" w:hAnsi="Century Gothic"/>
        </w:rPr>
        <w:footnoteReference w:id="7"/>
      </w:r>
      <w:r w:rsidR="00C875EE">
        <w:rPr>
          <w:rFonts w:ascii="Century Gothic" w:hAnsi="Century Gothic"/>
        </w:rPr>
        <w:t xml:space="preserve"> </w:t>
      </w:r>
      <w:r>
        <w:rPr>
          <w:rFonts w:ascii="Century Gothic" w:hAnsi="Century Gothic"/>
        </w:rPr>
        <w:t>in the United Kingdom has demonstrated that while the template proposals are rarely utilised “as is”, they are very helpful in defining a minimum consensus between the negotiating parties.</w:t>
      </w:r>
    </w:p>
    <w:p w14:paraId="528F8ABC" w14:textId="77777777" w:rsidR="00AE6821" w:rsidRPr="00C34DB5" w:rsidRDefault="00AE6821" w:rsidP="007819E2">
      <w:pPr>
        <w:pStyle w:val="Heading3"/>
      </w:pPr>
      <w:r w:rsidRPr="00C34DB5">
        <w:t>Easy Access IP</w:t>
      </w:r>
    </w:p>
    <w:p w14:paraId="528F8ABD" w14:textId="77777777" w:rsidR="00FE48DC" w:rsidRDefault="00FE48DC" w:rsidP="00316DC4">
      <w:pPr>
        <w:jc w:val="both"/>
        <w:rPr>
          <w:rFonts w:ascii="Century Gothic" w:hAnsi="Century Gothic"/>
        </w:rPr>
      </w:pPr>
      <w:r>
        <w:rPr>
          <w:rFonts w:ascii="Century Gothic" w:hAnsi="Century Gothic"/>
        </w:rPr>
        <w:t>Several Universities have adopted, or are considering the adoption of the Easy Access IP approach to facilitate better access to research.  Under this approach, IP is offered to industry to develop for free, with simplified one-page agreements replacing complicated licensing negotiations.</w:t>
      </w:r>
    </w:p>
    <w:p w14:paraId="528F8ABE" w14:textId="77777777" w:rsidR="00FE48DC" w:rsidRDefault="00C34DB5" w:rsidP="00316DC4">
      <w:pPr>
        <w:jc w:val="both"/>
        <w:rPr>
          <w:rFonts w:ascii="Century Gothic" w:hAnsi="Century Gothic"/>
        </w:rPr>
      </w:pPr>
      <w:r w:rsidRPr="00C34DB5">
        <w:rPr>
          <w:rFonts w:ascii="Century Gothic" w:hAnsi="Century Gothic"/>
        </w:rPr>
        <w:t>The Easy Access</w:t>
      </w:r>
      <w:r>
        <w:rPr>
          <w:rFonts w:ascii="Century Gothic" w:hAnsi="Century Gothic"/>
        </w:rPr>
        <w:t xml:space="preserve"> IP model</w:t>
      </w:r>
      <w:r w:rsidRPr="00C34DB5">
        <w:rPr>
          <w:rFonts w:ascii="Century Gothic" w:hAnsi="Century Gothic"/>
        </w:rPr>
        <w:t xml:space="preserve"> </w:t>
      </w:r>
      <w:r>
        <w:rPr>
          <w:rFonts w:ascii="Century Gothic" w:hAnsi="Century Gothic"/>
        </w:rPr>
        <w:t>may be</w:t>
      </w:r>
      <w:r w:rsidRPr="00C34DB5">
        <w:rPr>
          <w:rFonts w:ascii="Century Gothic" w:hAnsi="Century Gothic"/>
        </w:rPr>
        <w:t xml:space="preserve"> attractive for Universities that have a large IP</w:t>
      </w:r>
      <w:r>
        <w:rPr>
          <w:rFonts w:ascii="Century Gothic" w:hAnsi="Century Gothic"/>
        </w:rPr>
        <w:t xml:space="preserve"> </w:t>
      </w:r>
      <w:r w:rsidRPr="00C34DB5">
        <w:rPr>
          <w:rFonts w:ascii="Century Gothic" w:hAnsi="Century Gothic"/>
        </w:rPr>
        <w:t xml:space="preserve">portfolio, especially an extensive and expensive patent portfolio, and </w:t>
      </w:r>
      <w:r w:rsidR="0042193B">
        <w:rPr>
          <w:rFonts w:ascii="Century Gothic" w:hAnsi="Century Gothic"/>
        </w:rPr>
        <w:t xml:space="preserve">that </w:t>
      </w:r>
      <w:r w:rsidRPr="00C34DB5">
        <w:rPr>
          <w:rFonts w:ascii="Century Gothic" w:hAnsi="Century Gothic"/>
        </w:rPr>
        <w:t>are limited by</w:t>
      </w:r>
      <w:r>
        <w:rPr>
          <w:rFonts w:ascii="Century Gothic" w:hAnsi="Century Gothic"/>
        </w:rPr>
        <w:t xml:space="preserve"> </w:t>
      </w:r>
      <w:r w:rsidRPr="00C34DB5">
        <w:rPr>
          <w:rFonts w:ascii="Century Gothic" w:hAnsi="Century Gothic"/>
        </w:rPr>
        <w:t>their resources to proactively manage and commercialise the portfolio.</w:t>
      </w:r>
    </w:p>
    <w:p w14:paraId="528F8ABF" w14:textId="77777777" w:rsidR="00FE48DC" w:rsidRDefault="00FE48DC" w:rsidP="00316DC4">
      <w:pPr>
        <w:jc w:val="both"/>
        <w:rPr>
          <w:rFonts w:ascii="Century Gothic" w:hAnsi="Century Gothic"/>
        </w:rPr>
      </w:pPr>
      <w:r>
        <w:rPr>
          <w:rFonts w:ascii="Century Gothic" w:hAnsi="Century Gothic"/>
        </w:rPr>
        <w:br w:type="page"/>
      </w:r>
    </w:p>
    <w:p w14:paraId="528F8AC0" w14:textId="77777777" w:rsidR="00870CF3" w:rsidRDefault="0042193B" w:rsidP="00316DC4">
      <w:pPr>
        <w:jc w:val="both"/>
        <w:rPr>
          <w:rFonts w:ascii="Century Gothic" w:hAnsi="Century Gothic"/>
        </w:rPr>
      </w:pPr>
      <w:r>
        <w:rPr>
          <w:rFonts w:ascii="Century Gothic" w:hAnsi="Century Gothic"/>
        </w:rPr>
        <w:lastRenderedPageBreak/>
        <w:t xml:space="preserve">It is our view that </w:t>
      </w:r>
      <w:r w:rsidR="00C34DB5" w:rsidRPr="00C34DB5">
        <w:rPr>
          <w:rFonts w:ascii="Century Gothic" w:hAnsi="Century Gothic"/>
        </w:rPr>
        <w:t xml:space="preserve">Universities </w:t>
      </w:r>
      <w:r w:rsidR="00870CF3">
        <w:rPr>
          <w:rFonts w:ascii="Century Gothic" w:hAnsi="Century Gothic"/>
        </w:rPr>
        <w:t>should not</w:t>
      </w:r>
      <w:r>
        <w:rPr>
          <w:rFonts w:ascii="Century Gothic" w:hAnsi="Century Gothic"/>
        </w:rPr>
        <w:t xml:space="preserve"> accumulate </w:t>
      </w:r>
      <w:r w:rsidR="00C34DB5" w:rsidRPr="00C34DB5">
        <w:rPr>
          <w:rFonts w:ascii="Century Gothic" w:hAnsi="Century Gothic"/>
        </w:rPr>
        <w:t>a massive, non-commercialised IP portfolio</w:t>
      </w:r>
      <w:r w:rsidR="00870CF3">
        <w:rPr>
          <w:rFonts w:ascii="Century Gothic" w:hAnsi="Century Gothic"/>
        </w:rPr>
        <w:t>.  Universities that have done so have pursued a</w:t>
      </w:r>
      <w:r w:rsidR="00C34DB5" w:rsidRPr="00C34DB5">
        <w:rPr>
          <w:rFonts w:ascii="Century Gothic" w:hAnsi="Century Gothic"/>
        </w:rPr>
        <w:t xml:space="preserve"> long</w:t>
      </w:r>
      <w:r w:rsidR="00C34DB5">
        <w:rPr>
          <w:rFonts w:ascii="Century Gothic" w:hAnsi="Century Gothic"/>
        </w:rPr>
        <w:t xml:space="preserve"> </w:t>
      </w:r>
      <w:r w:rsidR="00C34DB5" w:rsidRPr="00C34DB5">
        <w:rPr>
          <w:rFonts w:ascii="Century Gothic" w:hAnsi="Century Gothic"/>
        </w:rPr>
        <w:t>on</w:t>
      </w:r>
      <w:r w:rsidR="00C34DB5">
        <w:rPr>
          <w:rFonts w:ascii="Century Gothic" w:hAnsi="Century Gothic"/>
        </w:rPr>
        <w:t>-</w:t>
      </w:r>
      <w:r w:rsidR="00C34DB5" w:rsidRPr="00C34DB5">
        <w:rPr>
          <w:rFonts w:ascii="Century Gothic" w:hAnsi="Century Gothic"/>
        </w:rPr>
        <w:t>going</w:t>
      </w:r>
      <w:r w:rsidR="00C34DB5">
        <w:rPr>
          <w:rFonts w:ascii="Century Gothic" w:hAnsi="Century Gothic"/>
        </w:rPr>
        <w:t xml:space="preserve"> </w:t>
      </w:r>
      <w:r w:rsidR="00C34DB5" w:rsidRPr="00C34DB5">
        <w:rPr>
          <w:rFonts w:ascii="Century Gothic" w:hAnsi="Century Gothic"/>
        </w:rPr>
        <w:t xml:space="preserve">process that has allowed the </w:t>
      </w:r>
      <w:r w:rsidR="00C34DB5">
        <w:rPr>
          <w:rFonts w:ascii="Century Gothic" w:hAnsi="Century Gothic"/>
        </w:rPr>
        <w:t>accumulation</w:t>
      </w:r>
      <w:r w:rsidR="00C34DB5" w:rsidRPr="00C34DB5">
        <w:rPr>
          <w:rFonts w:ascii="Century Gothic" w:hAnsi="Century Gothic"/>
        </w:rPr>
        <w:t xml:space="preserve"> of </w:t>
      </w:r>
      <w:r w:rsidR="00C34DB5">
        <w:rPr>
          <w:rFonts w:ascii="Century Gothic" w:hAnsi="Century Gothic"/>
        </w:rPr>
        <w:t xml:space="preserve">such </w:t>
      </w:r>
      <w:r w:rsidR="00C34DB5" w:rsidRPr="00C34DB5">
        <w:rPr>
          <w:rFonts w:ascii="Century Gothic" w:hAnsi="Century Gothic"/>
        </w:rPr>
        <w:t>IP portfolios, without</w:t>
      </w:r>
      <w:r w:rsidR="00C34DB5">
        <w:rPr>
          <w:rFonts w:ascii="Century Gothic" w:hAnsi="Century Gothic"/>
        </w:rPr>
        <w:t xml:space="preserve"> sufficient</w:t>
      </w:r>
      <w:r w:rsidR="00C34DB5" w:rsidRPr="00C34DB5">
        <w:rPr>
          <w:rFonts w:ascii="Century Gothic" w:hAnsi="Century Gothic"/>
        </w:rPr>
        <w:t xml:space="preserve"> resources to manage and commercialise the IP. </w:t>
      </w:r>
      <w:r w:rsidR="00C34DB5">
        <w:rPr>
          <w:rFonts w:ascii="Century Gothic" w:hAnsi="Century Gothic"/>
        </w:rPr>
        <w:t xml:space="preserve"> </w:t>
      </w:r>
    </w:p>
    <w:p w14:paraId="528F8AC1" w14:textId="77777777" w:rsidR="00945D5B" w:rsidRDefault="00C34DB5" w:rsidP="00316DC4">
      <w:pPr>
        <w:jc w:val="both"/>
        <w:rPr>
          <w:rFonts w:ascii="Century Gothic" w:hAnsi="Century Gothic"/>
        </w:rPr>
      </w:pPr>
      <w:r w:rsidRPr="00C34DB5">
        <w:rPr>
          <w:rFonts w:ascii="Century Gothic" w:hAnsi="Century Gothic"/>
        </w:rPr>
        <w:t xml:space="preserve">Easy Access IP </w:t>
      </w:r>
      <w:r w:rsidR="0042193B">
        <w:rPr>
          <w:rFonts w:ascii="Century Gothic" w:hAnsi="Century Gothic"/>
        </w:rPr>
        <w:t xml:space="preserve">approach may </w:t>
      </w:r>
      <w:r>
        <w:rPr>
          <w:rFonts w:ascii="Century Gothic" w:hAnsi="Century Gothic"/>
        </w:rPr>
        <w:t xml:space="preserve">provide a </w:t>
      </w:r>
      <w:r w:rsidRPr="00C34DB5">
        <w:rPr>
          <w:rFonts w:ascii="Century Gothic" w:hAnsi="Century Gothic"/>
        </w:rPr>
        <w:t>means to</w:t>
      </w:r>
      <w:r>
        <w:rPr>
          <w:rFonts w:ascii="Century Gothic" w:hAnsi="Century Gothic"/>
        </w:rPr>
        <w:t xml:space="preserve"> </w:t>
      </w:r>
      <w:r w:rsidRPr="00C34DB5">
        <w:rPr>
          <w:rFonts w:ascii="Century Gothic" w:hAnsi="Century Gothic"/>
        </w:rPr>
        <w:t xml:space="preserve">solve </w:t>
      </w:r>
      <w:r w:rsidR="00FE48DC">
        <w:rPr>
          <w:rFonts w:ascii="Century Gothic" w:hAnsi="Century Gothic"/>
        </w:rPr>
        <w:t>the ‘symptom’ (</w:t>
      </w:r>
      <w:r w:rsidR="00870CF3">
        <w:rPr>
          <w:rFonts w:ascii="Century Gothic" w:hAnsi="Century Gothic"/>
        </w:rPr>
        <w:t xml:space="preserve">i.e. the accumulation of </w:t>
      </w:r>
      <w:r w:rsidR="00FE48DC">
        <w:rPr>
          <w:rFonts w:ascii="Century Gothic" w:hAnsi="Century Gothic"/>
        </w:rPr>
        <w:t>a massive non-commercialised IP portfolio)</w:t>
      </w:r>
      <w:r w:rsidR="00870CF3">
        <w:rPr>
          <w:rFonts w:ascii="Century Gothic" w:hAnsi="Century Gothic"/>
        </w:rPr>
        <w:t>.  However the approach does not address the fundamental issue</w:t>
      </w:r>
      <w:r w:rsidRPr="00C34DB5">
        <w:rPr>
          <w:rFonts w:ascii="Century Gothic" w:hAnsi="Century Gothic"/>
        </w:rPr>
        <w:t xml:space="preserve">. </w:t>
      </w:r>
      <w:r w:rsidR="00870CF3">
        <w:rPr>
          <w:rFonts w:ascii="Century Gothic" w:hAnsi="Century Gothic"/>
        </w:rPr>
        <w:t xml:space="preserve">  Patents are commercial tools, and should be pursued only as part of a commercialisation strategy and investment decision (to gain a return on investment).</w:t>
      </w:r>
    </w:p>
    <w:p w14:paraId="528F8AC2" w14:textId="77777777" w:rsidR="00945D5B" w:rsidRDefault="00AE6821" w:rsidP="00316DC4">
      <w:pPr>
        <w:jc w:val="both"/>
        <w:rPr>
          <w:rFonts w:ascii="Century Gothic" w:hAnsi="Century Gothic"/>
        </w:rPr>
      </w:pPr>
      <w:r w:rsidRPr="00AE6821">
        <w:rPr>
          <w:rFonts w:ascii="Century Gothic" w:hAnsi="Century Gothic"/>
        </w:rPr>
        <w:t>Griffith University</w:t>
      </w:r>
      <w:r w:rsidR="00C34DB5">
        <w:rPr>
          <w:rFonts w:ascii="Century Gothic" w:hAnsi="Century Gothic"/>
        </w:rPr>
        <w:t>’s approach is to</w:t>
      </w:r>
      <w:r w:rsidRPr="00AE6821">
        <w:rPr>
          <w:rFonts w:ascii="Century Gothic" w:hAnsi="Century Gothic"/>
        </w:rPr>
        <w:t xml:space="preserve"> </w:t>
      </w:r>
      <w:r w:rsidR="0042193B">
        <w:rPr>
          <w:rFonts w:ascii="Century Gothic" w:hAnsi="Century Gothic"/>
        </w:rPr>
        <w:t xml:space="preserve">actively manage its IP portfolio.  </w:t>
      </w:r>
      <w:r w:rsidR="00945D5B">
        <w:rPr>
          <w:rFonts w:ascii="Century Gothic" w:hAnsi="Century Gothic"/>
        </w:rPr>
        <w:t>The University</w:t>
      </w:r>
      <w:r w:rsidR="0042193B">
        <w:rPr>
          <w:rFonts w:ascii="Century Gothic" w:hAnsi="Century Gothic"/>
        </w:rPr>
        <w:t xml:space="preserve"> </w:t>
      </w:r>
      <w:r w:rsidRPr="00AE6821">
        <w:rPr>
          <w:rFonts w:ascii="Century Gothic" w:hAnsi="Century Gothic"/>
        </w:rPr>
        <w:t>only protect</w:t>
      </w:r>
      <w:r w:rsidR="00945D5B">
        <w:rPr>
          <w:rFonts w:ascii="Century Gothic" w:hAnsi="Century Gothic"/>
        </w:rPr>
        <w:t>s</w:t>
      </w:r>
      <w:r w:rsidRPr="00AE6821">
        <w:rPr>
          <w:rFonts w:ascii="Century Gothic" w:hAnsi="Century Gothic"/>
        </w:rPr>
        <w:t xml:space="preserve"> IP that has sufficient potential commercial value or </w:t>
      </w:r>
      <w:r w:rsidR="0042193B">
        <w:rPr>
          <w:rFonts w:ascii="Century Gothic" w:hAnsi="Century Gothic"/>
        </w:rPr>
        <w:t xml:space="preserve">that </w:t>
      </w:r>
      <w:r w:rsidRPr="00AE6821">
        <w:rPr>
          <w:rFonts w:ascii="Century Gothic" w:hAnsi="Century Gothic"/>
        </w:rPr>
        <w:t>is</w:t>
      </w:r>
      <w:r>
        <w:rPr>
          <w:rFonts w:ascii="Century Gothic" w:hAnsi="Century Gothic"/>
        </w:rPr>
        <w:t xml:space="preserve"> </w:t>
      </w:r>
      <w:r w:rsidRPr="00AE6821">
        <w:rPr>
          <w:rFonts w:ascii="Century Gothic" w:hAnsi="Century Gothic"/>
        </w:rPr>
        <w:t xml:space="preserve">highly strategic (“core”) for the University. </w:t>
      </w:r>
      <w:r>
        <w:rPr>
          <w:rFonts w:ascii="Century Gothic" w:hAnsi="Century Gothic"/>
        </w:rPr>
        <w:t xml:space="preserve"> </w:t>
      </w:r>
      <w:r w:rsidR="00945D5B">
        <w:rPr>
          <w:rFonts w:ascii="Century Gothic" w:hAnsi="Century Gothic"/>
        </w:rPr>
        <w:t>Griffith University</w:t>
      </w:r>
      <w:r w:rsidR="00945D5B" w:rsidRPr="00AE6821">
        <w:rPr>
          <w:rFonts w:ascii="Century Gothic" w:hAnsi="Century Gothic"/>
        </w:rPr>
        <w:t xml:space="preserve"> does not protect IP that can be commercialised without protection.</w:t>
      </w:r>
      <w:r w:rsidR="00945D5B">
        <w:rPr>
          <w:rFonts w:ascii="Century Gothic" w:hAnsi="Century Gothic"/>
        </w:rPr>
        <w:t xml:space="preserve">  </w:t>
      </w:r>
    </w:p>
    <w:p w14:paraId="528F8AC3" w14:textId="77777777" w:rsidR="00C34DB5" w:rsidRDefault="0042193B" w:rsidP="00316DC4">
      <w:pPr>
        <w:jc w:val="both"/>
        <w:rPr>
          <w:rFonts w:ascii="Century Gothic" w:hAnsi="Century Gothic"/>
        </w:rPr>
      </w:pPr>
      <w:r>
        <w:rPr>
          <w:rFonts w:ascii="Century Gothic" w:hAnsi="Century Gothic"/>
        </w:rPr>
        <w:t>This enables the University to</w:t>
      </w:r>
      <w:r w:rsidR="00C34DB5">
        <w:rPr>
          <w:rFonts w:ascii="Century Gothic" w:hAnsi="Century Gothic"/>
        </w:rPr>
        <w:t xml:space="preserve"> focus resources on a</w:t>
      </w:r>
      <w:r w:rsidR="00C34DB5" w:rsidRPr="00AE6821">
        <w:rPr>
          <w:rFonts w:ascii="Century Gothic" w:hAnsi="Century Gothic"/>
        </w:rPr>
        <w:t xml:space="preserve"> highly commercial and strategic IP</w:t>
      </w:r>
      <w:r w:rsidR="00C34DB5">
        <w:rPr>
          <w:rFonts w:ascii="Century Gothic" w:hAnsi="Century Gothic"/>
        </w:rPr>
        <w:t xml:space="preserve"> </w:t>
      </w:r>
      <w:r w:rsidR="00C34DB5" w:rsidRPr="00AE6821">
        <w:rPr>
          <w:rFonts w:ascii="Century Gothic" w:hAnsi="Century Gothic"/>
        </w:rPr>
        <w:t>portfolio</w:t>
      </w:r>
      <w:r w:rsidR="00C34DB5">
        <w:rPr>
          <w:rFonts w:ascii="Century Gothic" w:hAnsi="Century Gothic"/>
        </w:rPr>
        <w:t xml:space="preserve">, </w:t>
      </w:r>
      <w:r>
        <w:rPr>
          <w:rFonts w:ascii="Century Gothic" w:hAnsi="Century Gothic"/>
        </w:rPr>
        <w:t>and</w:t>
      </w:r>
      <w:r w:rsidR="00C34DB5">
        <w:rPr>
          <w:rFonts w:ascii="Century Gothic" w:hAnsi="Century Gothic"/>
        </w:rPr>
        <w:t xml:space="preserve"> allows </w:t>
      </w:r>
      <w:r w:rsidR="00C34DB5" w:rsidRPr="00AE6821">
        <w:rPr>
          <w:rFonts w:ascii="Century Gothic" w:hAnsi="Century Gothic"/>
        </w:rPr>
        <w:t>a proactive and very effective management of the IP portfolio</w:t>
      </w:r>
      <w:r>
        <w:rPr>
          <w:rFonts w:ascii="Century Gothic" w:hAnsi="Century Gothic"/>
        </w:rPr>
        <w:t xml:space="preserve"> together with</w:t>
      </w:r>
      <w:r w:rsidR="00C34DB5" w:rsidRPr="00AE6821">
        <w:rPr>
          <w:rFonts w:ascii="Century Gothic" w:hAnsi="Century Gothic"/>
        </w:rPr>
        <w:t xml:space="preserve"> tight control of the respective budget.</w:t>
      </w:r>
      <w:r w:rsidR="00C34DB5">
        <w:rPr>
          <w:rFonts w:ascii="Century Gothic" w:hAnsi="Century Gothic"/>
        </w:rPr>
        <w:t xml:space="preserve">  </w:t>
      </w:r>
    </w:p>
    <w:p w14:paraId="528F8AC4" w14:textId="77777777" w:rsidR="00AE6821" w:rsidRDefault="00AE6821" w:rsidP="00316DC4">
      <w:pPr>
        <w:jc w:val="both"/>
        <w:rPr>
          <w:rFonts w:ascii="Century Gothic" w:hAnsi="Century Gothic"/>
        </w:rPr>
      </w:pPr>
      <w:r w:rsidRPr="00AE6821">
        <w:rPr>
          <w:rFonts w:ascii="Century Gothic" w:hAnsi="Century Gothic"/>
        </w:rPr>
        <w:t>In many fields, innovations do not require early stage patent protection, as any</w:t>
      </w:r>
      <w:r w:rsidR="00C34DB5">
        <w:rPr>
          <w:rFonts w:ascii="Century Gothic" w:hAnsi="Century Gothic"/>
        </w:rPr>
        <w:t xml:space="preserve"> </w:t>
      </w:r>
      <w:r w:rsidRPr="00AE6821">
        <w:rPr>
          <w:rFonts w:ascii="Century Gothic" w:hAnsi="Century Gothic"/>
        </w:rPr>
        <w:t>company that wants to develop and market the innovation, needs to build their</w:t>
      </w:r>
      <w:r w:rsidR="00C34DB5">
        <w:rPr>
          <w:rFonts w:ascii="Century Gothic" w:hAnsi="Century Gothic"/>
        </w:rPr>
        <w:t xml:space="preserve"> </w:t>
      </w:r>
      <w:r w:rsidRPr="00AE6821">
        <w:rPr>
          <w:rFonts w:ascii="Century Gothic" w:hAnsi="Century Gothic"/>
        </w:rPr>
        <w:t>own strong and highly valuable IP portfolio, which is still possible at a later stage of</w:t>
      </w:r>
      <w:r w:rsidR="00C34DB5">
        <w:rPr>
          <w:rFonts w:ascii="Century Gothic" w:hAnsi="Century Gothic"/>
        </w:rPr>
        <w:t xml:space="preserve"> </w:t>
      </w:r>
      <w:r w:rsidRPr="00AE6821">
        <w:rPr>
          <w:rFonts w:ascii="Century Gothic" w:hAnsi="Century Gothic"/>
        </w:rPr>
        <w:t xml:space="preserve">product development. </w:t>
      </w:r>
      <w:r w:rsidR="00945D5B">
        <w:rPr>
          <w:rFonts w:ascii="Century Gothic" w:hAnsi="Century Gothic"/>
        </w:rPr>
        <w:t xml:space="preserve"> </w:t>
      </w:r>
      <w:r w:rsidRPr="00AE6821">
        <w:rPr>
          <w:rFonts w:ascii="Century Gothic" w:hAnsi="Century Gothic"/>
        </w:rPr>
        <w:t>The same is true for IP provided under the Easy Access IP</w:t>
      </w:r>
      <w:r w:rsidR="00C34DB5">
        <w:rPr>
          <w:rFonts w:ascii="Century Gothic" w:hAnsi="Century Gothic"/>
        </w:rPr>
        <w:t xml:space="preserve"> </w:t>
      </w:r>
      <w:r w:rsidRPr="00AE6821">
        <w:rPr>
          <w:rFonts w:ascii="Century Gothic" w:hAnsi="Century Gothic"/>
        </w:rPr>
        <w:t>approach</w:t>
      </w:r>
      <w:r w:rsidR="00316DC4">
        <w:rPr>
          <w:rFonts w:ascii="Century Gothic" w:hAnsi="Century Gothic"/>
        </w:rPr>
        <w:t xml:space="preserve">. </w:t>
      </w:r>
      <w:r w:rsidRPr="00AE6821">
        <w:rPr>
          <w:rFonts w:ascii="Century Gothic" w:hAnsi="Century Gothic"/>
        </w:rPr>
        <w:t xml:space="preserve"> It is by definition early-stage and less valuable, and requires substantial</w:t>
      </w:r>
      <w:r w:rsidR="00C34DB5">
        <w:rPr>
          <w:rFonts w:ascii="Century Gothic" w:hAnsi="Century Gothic"/>
        </w:rPr>
        <w:t xml:space="preserve"> </w:t>
      </w:r>
      <w:r w:rsidRPr="00AE6821">
        <w:rPr>
          <w:rFonts w:ascii="Century Gothic" w:hAnsi="Century Gothic"/>
        </w:rPr>
        <w:t>further R&amp;D – which will create new IP, on top of the licensed Easy Access IP.</w:t>
      </w:r>
    </w:p>
    <w:p w14:paraId="528F8AC5" w14:textId="77777777" w:rsidR="00945D5B" w:rsidRPr="00AE6821" w:rsidRDefault="00945D5B" w:rsidP="00316DC4">
      <w:pPr>
        <w:jc w:val="both"/>
        <w:rPr>
          <w:rFonts w:ascii="Century Gothic" w:hAnsi="Century Gothic"/>
        </w:rPr>
      </w:pPr>
      <w:r w:rsidRPr="00AE6821">
        <w:rPr>
          <w:rFonts w:ascii="Century Gothic" w:hAnsi="Century Gothic"/>
        </w:rPr>
        <w:t xml:space="preserve">Griffith </w:t>
      </w:r>
      <w:r>
        <w:rPr>
          <w:rFonts w:ascii="Century Gothic" w:hAnsi="Century Gothic"/>
        </w:rPr>
        <w:t xml:space="preserve">University </w:t>
      </w:r>
      <w:r w:rsidRPr="00AE6821">
        <w:rPr>
          <w:rFonts w:ascii="Century Gothic" w:hAnsi="Century Gothic"/>
        </w:rPr>
        <w:t>makes early-stage and less valuable IP immediately available to industry and the public, by</w:t>
      </w:r>
      <w:r>
        <w:rPr>
          <w:rFonts w:ascii="Century Gothic" w:hAnsi="Century Gothic"/>
        </w:rPr>
        <w:t xml:space="preserve"> </w:t>
      </w:r>
      <w:r w:rsidRPr="00AE6821">
        <w:rPr>
          <w:rFonts w:ascii="Century Gothic" w:hAnsi="Century Gothic"/>
        </w:rPr>
        <w:t xml:space="preserve">publishing. </w:t>
      </w:r>
      <w:r>
        <w:rPr>
          <w:rFonts w:ascii="Century Gothic" w:hAnsi="Century Gothic"/>
        </w:rPr>
        <w:t xml:space="preserve"> </w:t>
      </w:r>
      <w:r w:rsidRPr="00AE6821">
        <w:rPr>
          <w:rFonts w:ascii="Century Gothic" w:hAnsi="Century Gothic"/>
        </w:rPr>
        <w:t>This allows free use of the IP for everyone</w:t>
      </w:r>
      <w:r>
        <w:rPr>
          <w:rFonts w:ascii="Century Gothic" w:hAnsi="Century Gothic"/>
        </w:rPr>
        <w:t xml:space="preserve"> and</w:t>
      </w:r>
      <w:r w:rsidRPr="00AE6821">
        <w:rPr>
          <w:rFonts w:ascii="Century Gothic" w:hAnsi="Century Gothic"/>
        </w:rPr>
        <w:t xml:space="preserve"> strongly supports</w:t>
      </w:r>
      <w:r>
        <w:rPr>
          <w:rFonts w:ascii="Century Gothic" w:hAnsi="Century Gothic"/>
        </w:rPr>
        <w:t xml:space="preserve"> </w:t>
      </w:r>
      <w:r w:rsidRPr="00AE6821">
        <w:rPr>
          <w:rFonts w:ascii="Century Gothic" w:hAnsi="Century Gothic"/>
        </w:rPr>
        <w:t xml:space="preserve">and furthers innovation. </w:t>
      </w:r>
      <w:r>
        <w:rPr>
          <w:rFonts w:ascii="Century Gothic" w:hAnsi="Century Gothic"/>
        </w:rPr>
        <w:t xml:space="preserve"> T</w:t>
      </w:r>
      <w:r w:rsidRPr="00AE6821">
        <w:rPr>
          <w:rFonts w:ascii="Century Gothic" w:hAnsi="Century Gothic"/>
        </w:rPr>
        <w:t>hrough publications, Griffith researchers build track</w:t>
      </w:r>
      <w:r>
        <w:rPr>
          <w:rFonts w:ascii="Century Gothic" w:hAnsi="Century Gothic"/>
        </w:rPr>
        <w:t xml:space="preserve"> </w:t>
      </w:r>
      <w:r w:rsidRPr="00AE6821">
        <w:rPr>
          <w:rFonts w:ascii="Century Gothic" w:hAnsi="Century Gothic"/>
        </w:rPr>
        <w:t xml:space="preserve">record in their field. </w:t>
      </w:r>
      <w:r w:rsidR="00316DC4">
        <w:rPr>
          <w:rFonts w:ascii="Century Gothic" w:hAnsi="Century Gothic"/>
        </w:rPr>
        <w:t xml:space="preserve"> </w:t>
      </w:r>
      <w:r w:rsidRPr="00AE6821">
        <w:rPr>
          <w:rFonts w:ascii="Century Gothic" w:hAnsi="Century Gothic"/>
        </w:rPr>
        <w:t>Publications are utilised as an engagement tool, rather than</w:t>
      </w:r>
      <w:r>
        <w:rPr>
          <w:rFonts w:ascii="Century Gothic" w:hAnsi="Century Gothic"/>
        </w:rPr>
        <w:t xml:space="preserve"> </w:t>
      </w:r>
      <w:r w:rsidRPr="00AE6821">
        <w:rPr>
          <w:rFonts w:ascii="Century Gothic" w:hAnsi="Century Gothic"/>
        </w:rPr>
        <w:t>costly non-commercial patent applications.</w:t>
      </w:r>
    </w:p>
    <w:p w14:paraId="528F8AC6" w14:textId="77777777" w:rsidR="00945D5B" w:rsidRDefault="00945D5B" w:rsidP="00AE6821">
      <w:pPr>
        <w:rPr>
          <w:rFonts w:ascii="Century Gothic" w:hAnsi="Century Gothic"/>
        </w:rPr>
      </w:pPr>
    </w:p>
    <w:p w14:paraId="528F8AC7" w14:textId="77777777" w:rsidR="00945D5B" w:rsidRDefault="00945D5B" w:rsidP="00AE6821">
      <w:pPr>
        <w:rPr>
          <w:rFonts w:ascii="Century Gothic" w:hAnsi="Century Gothic"/>
        </w:rPr>
      </w:pPr>
    </w:p>
    <w:p w14:paraId="528F8AC8" w14:textId="77777777" w:rsidR="00945D5B" w:rsidRDefault="00945D5B" w:rsidP="00AE6821">
      <w:pPr>
        <w:rPr>
          <w:rFonts w:ascii="Century Gothic" w:hAnsi="Century Gothic"/>
        </w:rPr>
      </w:pPr>
    </w:p>
    <w:p w14:paraId="528F8AC9" w14:textId="77777777" w:rsidR="00AE6821" w:rsidRDefault="00AE6821" w:rsidP="003A6159">
      <w:pPr>
        <w:rPr>
          <w:rFonts w:ascii="Century Gothic" w:hAnsi="Century Gothic"/>
        </w:rPr>
      </w:pPr>
    </w:p>
    <w:p w14:paraId="528F8ACA" w14:textId="77777777" w:rsidR="00AE6821" w:rsidRDefault="00AE6821" w:rsidP="003A6159">
      <w:pPr>
        <w:rPr>
          <w:rFonts w:ascii="Century Gothic" w:hAnsi="Century Gothic"/>
        </w:rPr>
      </w:pPr>
    </w:p>
    <w:p w14:paraId="528F8ACB" w14:textId="77777777" w:rsidR="00845DEA" w:rsidRPr="007C14DB" w:rsidRDefault="00845DEA" w:rsidP="007C14DB">
      <w:pPr>
        <w:rPr>
          <w:rFonts w:ascii="Century Gothic" w:hAnsi="Century Gothic" w:cs="Arial"/>
          <w:color w:val="FF0000"/>
          <w:sz w:val="44"/>
        </w:rPr>
      </w:pPr>
      <w:r w:rsidRPr="007C14DB">
        <w:rPr>
          <w:rFonts w:ascii="Century Gothic" w:hAnsi="Century Gothic" w:cs="Arial"/>
          <w:color w:val="FF0000"/>
          <w:sz w:val="44"/>
        </w:rPr>
        <w:br w:type="page"/>
      </w:r>
    </w:p>
    <w:p w14:paraId="528F8ACC" w14:textId="77777777" w:rsidR="00807D33" w:rsidRPr="00807D33" w:rsidRDefault="00807D33" w:rsidP="007819E2">
      <w:pPr>
        <w:pStyle w:val="Heading1"/>
      </w:pPr>
      <w:r>
        <w:lastRenderedPageBreak/>
        <w:t>E</w:t>
      </w:r>
      <w:r w:rsidRPr="00807D33">
        <w:t>ntrepreneurship</w:t>
      </w:r>
    </w:p>
    <w:p w14:paraId="528F8ACD" w14:textId="77777777" w:rsidR="00C276B0" w:rsidRDefault="00C276B0" w:rsidP="00520DEE">
      <w:pPr>
        <w:jc w:val="both"/>
        <w:rPr>
          <w:rFonts w:ascii="Century Gothic" w:hAnsi="Century Gothic"/>
        </w:rPr>
      </w:pPr>
      <w:r>
        <w:rPr>
          <w:rFonts w:ascii="Century Gothic" w:hAnsi="Century Gothic"/>
        </w:rPr>
        <w:t>Universities have an extraordinary potential to enhance economic growth.  They have a role to play from local SME support and supply chain creation to primary technology leadership and breakthrough invention.</w:t>
      </w:r>
    </w:p>
    <w:p w14:paraId="528F8ACE" w14:textId="77777777" w:rsidR="005B1729" w:rsidRPr="00174555" w:rsidRDefault="005B1729" w:rsidP="007819E2">
      <w:pPr>
        <w:pStyle w:val="Heading2"/>
      </w:pPr>
      <w:r w:rsidRPr="00174555">
        <w:t>Early-stage Funding Gap</w:t>
      </w:r>
    </w:p>
    <w:p w14:paraId="528F8ACF" w14:textId="77777777" w:rsidR="00C17A2B" w:rsidRDefault="00082FCB" w:rsidP="00520DEE">
      <w:pPr>
        <w:jc w:val="both"/>
        <w:rPr>
          <w:rFonts w:ascii="Century Gothic" w:hAnsi="Century Gothic"/>
        </w:rPr>
      </w:pPr>
      <w:r>
        <w:rPr>
          <w:rFonts w:ascii="Century Gothic" w:hAnsi="Century Gothic"/>
        </w:rPr>
        <w:t xml:space="preserve">Meaningful early-stage funding is core to advancing new-to-market or radical innovation.  </w:t>
      </w:r>
      <w:r w:rsidR="007C1EBB">
        <w:rPr>
          <w:rFonts w:ascii="Century Gothic" w:hAnsi="Century Gothic"/>
        </w:rPr>
        <w:t>However, as t</w:t>
      </w:r>
      <w:r w:rsidR="00EE1747">
        <w:rPr>
          <w:rFonts w:ascii="Century Gothic" w:hAnsi="Century Gothic"/>
        </w:rPr>
        <w:t xml:space="preserve">he </w:t>
      </w:r>
      <w:r w:rsidR="00365143">
        <w:rPr>
          <w:rFonts w:ascii="Century Gothic" w:hAnsi="Century Gothic"/>
        </w:rPr>
        <w:t>Discussion P</w:t>
      </w:r>
      <w:r w:rsidR="00EE1747">
        <w:rPr>
          <w:rFonts w:ascii="Century Gothic" w:hAnsi="Century Gothic"/>
        </w:rPr>
        <w:t>aper rightly identifies</w:t>
      </w:r>
      <w:r w:rsidR="007C1EBB">
        <w:rPr>
          <w:rFonts w:ascii="Century Gothic" w:hAnsi="Century Gothic"/>
        </w:rPr>
        <w:t>, the</w:t>
      </w:r>
      <w:r w:rsidR="00EE1747">
        <w:rPr>
          <w:rFonts w:ascii="Century Gothic" w:hAnsi="Century Gothic"/>
        </w:rPr>
        <w:t xml:space="preserve"> absence of meaningful early-stage funding in Australia </w:t>
      </w:r>
      <w:r w:rsidR="007C1EBB">
        <w:rPr>
          <w:rFonts w:ascii="Century Gothic" w:hAnsi="Century Gothic"/>
        </w:rPr>
        <w:t>i</w:t>
      </w:r>
      <w:r w:rsidR="00EE1747">
        <w:rPr>
          <w:rFonts w:ascii="Century Gothic" w:hAnsi="Century Gothic"/>
        </w:rPr>
        <w:t xml:space="preserve">s a major barrier to </w:t>
      </w:r>
      <w:r w:rsidR="00C17A2B">
        <w:rPr>
          <w:rFonts w:ascii="Century Gothic" w:hAnsi="Century Gothic"/>
        </w:rPr>
        <w:t>commercialisation and new business formation</w:t>
      </w:r>
      <w:r w:rsidR="001872A2">
        <w:rPr>
          <w:rFonts w:ascii="Century Gothic" w:hAnsi="Century Gothic"/>
        </w:rPr>
        <w:t xml:space="preserve"> and growth</w:t>
      </w:r>
      <w:r w:rsidR="00C17A2B">
        <w:rPr>
          <w:rFonts w:ascii="Century Gothic" w:hAnsi="Century Gothic"/>
        </w:rPr>
        <w:t xml:space="preserve">.  </w:t>
      </w:r>
    </w:p>
    <w:p w14:paraId="528F8AD0" w14:textId="77777777" w:rsidR="00096FCB" w:rsidRDefault="000B32E6" w:rsidP="00520DEE">
      <w:pPr>
        <w:jc w:val="both"/>
        <w:rPr>
          <w:rFonts w:ascii="Century Gothic" w:hAnsi="Century Gothic"/>
        </w:rPr>
      </w:pPr>
      <w:r>
        <w:rPr>
          <w:rFonts w:ascii="Century Gothic" w:hAnsi="Century Gothic"/>
        </w:rPr>
        <w:t>Whilst there is no shortage of capital in Australia, major difficulties lie in the efficiency of the capital markets</w:t>
      </w:r>
      <w:r w:rsidR="004442B9">
        <w:rPr>
          <w:rFonts w:ascii="Century Gothic" w:hAnsi="Century Gothic"/>
        </w:rPr>
        <w:t>’</w:t>
      </w:r>
      <w:r w:rsidR="00316DC4">
        <w:rPr>
          <w:rFonts w:ascii="Century Gothic" w:hAnsi="Century Gothic"/>
        </w:rPr>
        <w:t xml:space="preserve"> </w:t>
      </w:r>
      <w:r>
        <w:rPr>
          <w:rFonts w:ascii="Century Gothic" w:hAnsi="Century Gothic"/>
        </w:rPr>
        <w:t xml:space="preserve">allocation processes and the ability </w:t>
      </w:r>
      <w:r w:rsidR="00445EC2">
        <w:rPr>
          <w:rFonts w:ascii="Century Gothic" w:hAnsi="Century Gothic"/>
        </w:rPr>
        <w:t>to deal with risk, uncertaint</w:t>
      </w:r>
      <w:r w:rsidR="00082FCB">
        <w:rPr>
          <w:rFonts w:ascii="Century Gothic" w:hAnsi="Century Gothic"/>
        </w:rPr>
        <w:t>y</w:t>
      </w:r>
      <w:r w:rsidR="00445EC2">
        <w:rPr>
          <w:rFonts w:ascii="Century Gothic" w:hAnsi="Century Gothic"/>
        </w:rPr>
        <w:t>, high cost and regulatory impediments incurred when investing in new-to-market or radical innovation opportunities.  These market ‘failures’ necessitate the need for Government to assist, if new-to</w:t>
      </w:r>
      <w:r w:rsidR="003F3294">
        <w:rPr>
          <w:rFonts w:ascii="Century Gothic" w:hAnsi="Century Gothic"/>
        </w:rPr>
        <w:t>-market or radical innovation is to emerge from an Australian base.</w:t>
      </w:r>
    </w:p>
    <w:p w14:paraId="528F8AD1" w14:textId="77777777" w:rsidR="003034F2" w:rsidRDefault="003034F2" w:rsidP="00520DEE">
      <w:pPr>
        <w:jc w:val="both"/>
        <w:rPr>
          <w:rFonts w:ascii="Century Gothic" w:hAnsi="Century Gothic"/>
        </w:rPr>
      </w:pPr>
      <w:r>
        <w:rPr>
          <w:rFonts w:ascii="Century Gothic" w:hAnsi="Century Gothic"/>
        </w:rPr>
        <w:t>Whilst there are many</w:t>
      </w:r>
      <w:r w:rsidR="003F3294">
        <w:rPr>
          <w:rFonts w:ascii="Century Gothic" w:hAnsi="Century Gothic"/>
        </w:rPr>
        <w:t xml:space="preserve"> </w:t>
      </w:r>
      <w:r w:rsidR="00E1388C">
        <w:rPr>
          <w:rFonts w:ascii="Century Gothic" w:hAnsi="Century Gothic"/>
        </w:rPr>
        <w:t xml:space="preserve">innovations </w:t>
      </w:r>
      <w:r w:rsidR="003F3294">
        <w:rPr>
          <w:rFonts w:ascii="Century Gothic" w:hAnsi="Century Gothic"/>
        </w:rPr>
        <w:t>emanating from Public Research Institutes and Universities in Australia</w:t>
      </w:r>
      <w:r>
        <w:rPr>
          <w:rFonts w:ascii="Century Gothic" w:hAnsi="Century Gothic"/>
        </w:rPr>
        <w:t xml:space="preserve">, </w:t>
      </w:r>
      <w:r w:rsidR="003F3294">
        <w:rPr>
          <w:rFonts w:ascii="Century Gothic" w:hAnsi="Century Gothic"/>
        </w:rPr>
        <w:t xml:space="preserve">the absence of meaningful </w:t>
      </w:r>
      <w:r w:rsidR="00E1388C">
        <w:rPr>
          <w:rFonts w:ascii="Century Gothic" w:hAnsi="Century Gothic"/>
        </w:rPr>
        <w:t>early-stage funding</w:t>
      </w:r>
      <w:r>
        <w:rPr>
          <w:rFonts w:ascii="Century Gothic" w:hAnsi="Century Gothic"/>
        </w:rPr>
        <w:t xml:space="preserve"> means they </w:t>
      </w:r>
      <w:r w:rsidR="00E1388C">
        <w:rPr>
          <w:rFonts w:ascii="Century Gothic" w:hAnsi="Century Gothic"/>
        </w:rPr>
        <w:t xml:space="preserve">cannot be advanced to a stage where they are commercially attractive – either to industry partners or investors.  </w:t>
      </w:r>
    </w:p>
    <w:p w14:paraId="528F8AD2" w14:textId="77777777" w:rsidR="00096FCB" w:rsidRDefault="00E1388C" w:rsidP="00520DEE">
      <w:pPr>
        <w:jc w:val="both"/>
        <w:rPr>
          <w:rFonts w:ascii="Century Gothic" w:hAnsi="Century Gothic"/>
        </w:rPr>
      </w:pPr>
      <w:r>
        <w:rPr>
          <w:rFonts w:ascii="Century Gothic" w:hAnsi="Century Gothic"/>
        </w:rPr>
        <w:t>This seriously impairs ‘</w:t>
      </w:r>
      <w:r w:rsidR="00543557">
        <w:rPr>
          <w:rFonts w:ascii="Century Gothic" w:hAnsi="Century Gothic"/>
        </w:rPr>
        <w:t xml:space="preserve">commercial </w:t>
      </w:r>
      <w:r>
        <w:rPr>
          <w:rFonts w:ascii="Century Gothic" w:hAnsi="Century Gothic"/>
        </w:rPr>
        <w:t>deal</w:t>
      </w:r>
      <w:r w:rsidR="009F48E0">
        <w:rPr>
          <w:rFonts w:ascii="Century Gothic" w:hAnsi="Century Gothic"/>
        </w:rPr>
        <w:t xml:space="preserve"> </w:t>
      </w:r>
      <w:r>
        <w:rPr>
          <w:rFonts w:ascii="Century Gothic" w:hAnsi="Century Gothic"/>
        </w:rPr>
        <w:t xml:space="preserve">flow’ and therefore impairs both industry collaboration and </w:t>
      </w:r>
      <w:r w:rsidR="00543557">
        <w:rPr>
          <w:rFonts w:ascii="Century Gothic" w:hAnsi="Century Gothic"/>
        </w:rPr>
        <w:t>the attraction of investors to seed and early-stage venture capital investment.</w:t>
      </w:r>
    </w:p>
    <w:p w14:paraId="528F8AD3" w14:textId="77777777" w:rsidR="00096FCB" w:rsidRDefault="00543557" w:rsidP="00520DEE">
      <w:pPr>
        <w:jc w:val="both"/>
        <w:rPr>
          <w:rFonts w:ascii="Century Gothic" w:hAnsi="Century Gothic"/>
        </w:rPr>
      </w:pPr>
      <w:r>
        <w:rPr>
          <w:rFonts w:ascii="Century Gothic" w:hAnsi="Century Gothic"/>
        </w:rPr>
        <w:t xml:space="preserve">As </w:t>
      </w:r>
      <w:r w:rsidR="009F48E0">
        <w:rPr>
          <w:rFonts w:ascii="Century Gothic" w:hAnsi="Century Gothic"/>
        </w:rPr>
        <w:t>‘</w:t>
      </w:r>
      <w:r>
        <w:rPr>
          <w:rFonts w:ascii="Century Gothic" w:hAnsi="Century Gothic"/>
        </w:rPr>
        <w:t>commercial deal</w:t>
      </w:r>
      <w:r w:rsidR="009F48E0">
        <w:rPr>
          <w:rFonts w:ascii="Century Gothic" w:hAnsi="Century Gothic"/>
        </w:rPr>
        <w:t xml:space="preserve"> </w:t>
      </w:r>
      <w:r>
        <w:rPr>
          <w:rFonts w:ascii="Century Gothic" w:hAnsi="Century Gothic"/>
        </w:rPr>
        <w:t>flow</w:t>
      </w:r>
      <w:r w:rsidR="009F48E0">
        <w:rPr>
          <w:rFonts w:ascii="Century Gothic" w:hAnsi="Century Gothic"/>
        </w:rPr>
        <w:t>’</w:t>
      </w:r>
      <w:r>
        <w:rPr>
          <w:rFonts w:ascii="Century Gothic" w:hAnsi="Century Gothic"/>
        </w:rPr>
        <w:t xml:space="preserve"> </w:t>
      </w:r>
      <w:r w:rsidRPr="00251032">
        <w:rPr>
          <w:rFonts w:ascii="Century Gothic" w:hAnsi="Century Gothic"/>
          <w:i/>
        </w:rPr>
        <w:t>leads</w:t>
      </w:r>
      <w:r>
        <w:rPr>
          <w:rFonts w:ascii="Century Gothic" w:hAnsi="Century Gothic"/>
        </w:rPr>
        <w:t xml:space="preserve"> </w:t>
      </w:r>
      <w:r w:rsidR="00CC629C">
        <w:rPr>
          <w:rFonts w:ascii="Century Gothic" w:hAnsi="Century Gothic"/>
        </w:rPr>
        <w:t xml:space="preserve">industry </w:t>
      </w:r>
      <w:r>
        <w:rPr>
          <w:rFonts w:ascii="Century Gothic" w:hAnsi="Century Gothic"/>
        </w:rPr>
        <w:t xml:space="preserve">collaboration and investment, </w:t>
      </w:r>
      <w:r w:rsidR="009F48E0">
        <w:rPr>
          <w:rFonts w:ascii="Century Gothic" w:hAnsi="Century Gothic"/>
        </w:rPr>
        <w:t xml:space="preserve">the </w:t>
      </w:r>
      <w:r w:rsidR="00CC629C">
        <w:rPr>
          <w:rFonts w:ascii="Century Gothic" w:hAnsi="Century Gothic"/>
        </w:rPr>
        <w:t xml:space="preserve">early-stage funding gap must </w:t>
      </w:r>
      <w:r w:rsidR="00CC629C" w:rsidRPr="00251032">
        <w:rPr>
          <w:rFonts w:ascii="Century Gothic" w:hAnsi="Century Gothic"/>
          <w:i/>
        </w:rPr>
        <w:t>first</w:t>
      </w:r>
      <w:r w:rsidR="00CC629C">
        <w:rPr>
          <w:rFonts w:ascii="Century Gothic" w:hAnsi="Century Gothic"/>
        </w:rPr>
        <w:t xml:space="preserve"> be addressed.</w:t>
      </w:r>
    </w:p>
    <w:p w14:paraId="528F8AD4" w14:textId="77777777" w:rsidR="00CC629C" w:rsidRDefault="00CC629C" w:rsidP="00520DEE">
      <w:pPr>
        <w:jc w:val="both"/>
        <w:rPr>
          <w:rFonts w:ascii="Century Gothic" w:hAnsi="Century Gothic"/>
        </w:rPr>
      </w:pPr>
      <w:r>
        <w:rPr>
          <w:rFonts w:ascii="Century Gothic" w:hAnsi="Century Gothic"/>
        </w:rPr>
        <w:t xml:space="preserve">At Griffith University, </w:t>
      </w:r>
      <w:r w:rsidRPr="00132219">
        <w:rPr>
          <w:rFonts w:ascii="Century Gothic" w:hAnsi="Century Gothic"/>
          <w:i/>
        </w:rPr>
        <w:t>Griffith Enterprise</w:t>
      </w:r>
      <w:r>
        <w:rPr>
          <w:rFonts w:ascii="Century Gothic" w:hAnsi="Century Gothic"/>
        </w:rPr>
        <w:t xml:space="preserve"> (its commercialisation and innovation office) manages </w:t>
      </w:r>
      <w:r w:rsidR="002B1C23">
        <w:rPr>
          <w:rFonts w:ascii="Century Gothic" w:hAnsi="Century Gothic"/>
        </w:rPr>
        <w:t xml:space="preserve">a </w:t>
      </w:r>
      <w:r>
        <w:rPr>
          <w:rFonts w:ascii="Century Gothic" w:hAnsi="Century Gothic"/>
        </w:rPr>
        <w:t>proof-of-concept fund</w:t>
      </w:r>
      <w:r w:rsidR="002B1C23">
        <w:rPr>
          <w:rFonts w:ascii="Century Gothic" w:hAnsi="Century Gothic"/>
        </w:rPr>
        <w:t xml:space="preserve">.  The proof-of-concept fund has provided the essential funding to advance several opportunities and </w:t>
      </w:r>
      <w:r w:rsidR="003034F2">
        <w:rPr>
          <w:rFonts w:ascii="Century Gothic" w:hAnsi="Century Gothic"/>
        </w:rPr>
        <w:t xml:space="preserve">to </w:t>
      </w:r>
      <w:r w:rsidR="002B1C23">
        <w:rPr>
          <w:rFonts w:ascii="Century Gothic" w:hAnsi="Century Gothic"/>
        </w:rPr>
        <w:t xml:space="preserve">attract </w:t>
      </w:r>
      <w:r w:rsidR="003034F2">
        <w:rPr>
          <w:rFonts w:ascii="Century Gothic" w:hAnsi="Century Gothic"/>
        </w:rPr>
        <w:t xml:space="preserve">global </w:t>
      </w:r>
      <w:r w:rsidR="002B1C23">
        <w:rPr>
          <w:rFonts w:ascii="Century Gothic" w:hAnsi="Century Gothic"/>
        </w:rPr>
        <w:t xml:space="preserve">industry partners. </w:t>
      </w:r>
      <w:r w:rsidR="007211C5">
        <w:rPr>
          <w:rFonts w:ascii="Century Gothic" w:hAnsi="Century Gothic"/>
        </w:rPr>
        <w:t xml:space="preserve"> </w:t>
      </w:r>
      <w:r w:rsidR="002B1C23">
        <w:rPr>
          <w:rFonts w:ascii="Century Gothic" w:hAnsi="Century Gothic"/>
        </w:rPr>
        <w:t xml:space="preserve">However, </w:t>
      </w:r>
      <w:r w:rsidR="00676B22">
        <w:rPr>
          <w:rFonts w:ascii="Century Gothic" w:hAnsi="Century Gothic"/>
        </w:rPr>
        <w:t xml:space="preserve">the available opportunities grossly outweigh </w:t>
      </w:r>
      <w:r w:rsidR="001872A2">
        <w:rPr>
          <w:rFonts w:ascii="Century Gothic" w:hAnsi="Century Gothic"/>
        </w:rPr>
        <w:t>discretionary</w:t>
      </w:r>
      <w:r w:rsidR="00676B22">
        <w:rPr>
          <w:rFonts w:ascii="Century Gothic" w:hAnsi="Century Gothic"/>
        </w:rPr>
        <w:t xml:space="preserve"> capital.</w:t>
      </w:r>
    </w:p>
    <w:p w14:paraId="528F8AD5" w14:textId="77777777" w:rsidR="003034F2" w:rsidRDefault="00676B22" w:rsidP="00520DEE">
      <w:pPr>
        <w:jc w:val="both"/>
        <w:rPr>
          <w:rFonts w:ascii="Century Gothic" w:hAnsi="Century Gothic"/>
        </w:rPr>
      </w:pPr>
      <w:r>
        <w:rPr>
          <w:rFonts w:ascii="Century Gothic" w:hAnsi="Century Gothic"/>
        </w:rPr>
        <w:t xml:space="preserve">This phenomenon is not unique to Griffith University and indeed not unique </w:t>
      </w:r>
      <w:r w:rsidR="00ED5A5D">
        <w:rPr>
          <w:rFonts w:ascii="Century Gothic" w:hAnsi="Century Gothic"/>
        </w:rPr>
        <w:t xml:space="preserve">to </w:t>
      </w:r>
      <w:r>
        <w:rPr>
          <w:rFonts w:ascii="Century Gothic" w:hAnsi="Century Gothic"/>
        </w:rPr>
        <w:t xml:space="preserve">Australia.  </w:t>
      </w:r>
    </w:p>
    <w:p w14:paraId="528F8AD6" w14:textId="77777777" w:rsidR="006C7373" w:rsidRDefault="00ED5A5D" w:rsidP="00520DEE">
      <w:pPr>
        <w:jc w:val="both"/>
        <w:rPr>
          <w:rFonts w:ascii="Century Gothic" w:hAnsi="Century Gothic"/>
        </w:rPr>
      </w:pPr>
      <w:r>
        <w:rPr>
          <w:rFonts w:ascii="Century Gothic" w:hAnsi="Century Gothic"/>
        </w:rPr>
        <w:t xml:space="preserve">Many foreign jurisdictions have recognised this, </w:t>
      </w:r>
      <w:r w:rsidR="00926484">
        <w:rPr>
          <w:rFonts w:ascii="Century Gothic" w:hAnsi="Century Gothic"/>
        </w:rPr>
        <w:t xml:space="preserve">and </w:t>
      </w:r>
      <w:r w:rsidR="005B1729">
        <w:rPr>
          <w:rFonts w:ascii="Century Gothic" w:hAnsi="Century Gothic"/>
        </w:rPr>
        <w:t xml:space="preserve">faced with </w:t>
      </w:r>
      <w:r w:rsidR="00926484">
        <w:rPr>
          <w:rFonts w:ascii="Century Gothic" w:hAnsi="Century Gothic"/>
        </w:rPr>
        <w:t>an ever</w:t>
      </w:r>
      <w:r w:rsidR="00A4487F">
        <w:rPr>
          <w:rFonts w:ascii="Century Gothic" w:hAnsi="Century Gothic"/>
        </w:rPr>
        <w:t>-</w:t>
      </w:r>
      <w:r w:rsidR="00926484">
        <w:rPr>
          <w:rFonts w:ascii="Century Gothic" w:hAnsi="Century Gothic"/>
        </w:rPr>
        <w:t>increasing need to innovate</w:t>
      </w:r>
      <w:r w:rsidR="005B1729">
        <w:rPr>
          <w:rFonts w:ascii="Century Gothic" w:hAnsi="Century Gothic"/>
        </w:rPr>
        <w:t xml:space="preserve"> to remain competitive in a global marketplace</w:t>
      </w:r>
      <w:r w:rsidR="00926484">
        <w:rPr>
          <w:rFonts w:ascii="Century Gothic" w:hAnsi="Century Gothic"/>
        </w:rPr>
        <w:t xml:space="preserve">, </w:t>
      </w:r>
      <w:r>
        <w:rPr>
          <w:rFonts w:ascii="Century Gothic" w:hAnsi="Century Gothic"/>
        </w:rPr>
        <w:t>directly addr</w:t>
      </w:r>
      <w:r w:rsidR="007C1EBB">
        <w:rPr>
          <w:rFonts w:ascii="Century Gothic" w:hAnsi="Century Gothic"/>
        </w:rPr>
        <w:t xml:space="preserve">ess the issue through </w:t>
      </w:r>
      <w:r w:rsidR="005B1729">
        <w:rPr>
          <w:rFonts w:ascii="Century Gothic" w:hAnsi="Century Gothic"/>
        </w:rPr>
        <w:t>the provision of</w:t>
      </w:r>
      <w:r w:rsidR="00926484">
        <w:rPr>
          <w:rFonts w:ascii="Century Gothic" w:hAnsi="Century Gothic"/>
        </w:rPr>
        <w:t xml:space="preserve"> significant </w:t>
      </w:r>
      <w:r w:rsidR="007211C5">
        <w:rPr>
          <w:rFonts w:ascii="Century Gothic" w:hAnsi="Century Gothic"/>
        </w:rPr>
        <w:t>direct funding for proof-of-concept and early-stage investment.</w:t>
      </w:r>
    </w:p>
    <w:p w14:paraId="528F8AD7" w14:textId="77777777" w:rsidR="004442B9" w:rsidRDefault="004442B9" w:rsidP="00520DEE">
      <w:pPr>
        <w:jc w:val="both"/>
        <w:rPr>
          <w:rFonts w:ascii="Century Gothic" w:hAnsi="Century Gothic"/>
        </w:rPr>
      </w:pPr>
    </w:p>
    <w:p w14:paraId="528F8AD8" w14:textId="77777777" w:rsidR="00CC629C" w:rsidRDefault="003034F2" w:rsidP="00520DEE">
      <w:pPr>
        <w:jc w:val="both"/>
        <w:rPr>
          <w:rFonts w:ascii="Century Gothic" w:hAnsi="Century Gothic"/>
        </w:rPr>
      </w:pPr>
      <w:r>
        <w:rPr>
          <w:rFonts w:ascii="Century Gothic" w:hAnsi="Century Gothic"/>
        </w:rPr>
        <w:t>For Australia to compete for innovative and entrepreneurial business and activities, and</w:t>
      </w:r>
      <w:r w:rsidR="006C7373">
        <w:rPr>
          <w:rFonts w:ascii="Century Gothic" w:hAnsi="Century Gothic"/>
        </w:rPr>
        <w:t xml:space="preserve"> </w:t>
      </w:r>
      <w:r>
        <w:rPr>
          <w:rFonts w:ascii="Century Gothic" w:hAnsi="Century Gothic"/>
        </w:rPr>
        <w:t xml:space="preserve">for </w:t>
      </w:r>
      <w:r w:rsidR="006C7373">
        <w:rPr>
          <w:rFonts w:ascii="Century Gothic" w:hAnsi="Century Gothic"/>
        </w:rPr>
        <w:t>the policy</w:t>
      </w:r>
      <w:r w:rsidR="005B1729">
        <w:rPr>
          <w:rFonts w:ascii="Century Gothic" w:hAnsi="Century Gothic"/>
        </w:rPr>
        <w:t xml:space="preserve"> objective</w:t>
      </w:r>
      <w:r w:rsidR="00A4487F">
        <w:rPr>
          <w:rFonts w:ascii="Century Gothic" w:hAnsi="Century Gothic"/>
        </w:rPr>
        <w:t>s</w:t>
      </w:r>
      <w:r w:rsidR="006C7373">
        <w:rPr>
          <w:rFonts w:ascii="Century Gothic" w:hAnsi="Century Gothic"/>
        </w:rPr>
        <w:t xml:space="preserve"> detailed in the </w:t>
      </w:r>
      <w:r>
        <w:rPr>
          <w:rFonts w:ascii="Century Gothic" w:hAnsi="Century Gothic"/>
        </w:rPr>
        <w:t>Discussion Paper</w:t>
      </w:r>
      <w:r w:rsidR="006C7373">
        <w:rPr>
          <w:rFonts w:ascii="Century Gothic" w:hAnsi="Century Gothic"/>
        </w:rPr>
        <w:t xml:space="preserve"> to be achieved,</w:t>
      </w:r>
      <w:r>
        <w:rPr>
          <w:rFonts w:ascii="Century Gothic" w:hAnsi="Century Gothic"/>
        </w:rPr>
        <w:t xml:space="preserve"> </w:t>
      </w:r>
      <w:r w:rsidR="006C7373">
        <w:rPr>
          <w:rFonts w:ascii="Century Gothic" w:hAnsi="Century Gothic"/>
        </w:rPr>
        <w:t xml:space="preserve">a </w:t>
      </w:r>
      <w:r>
        <w:rPr>
          <w:rFonts w:ascii="Century Gothic" w:hAnsi="Century Gothic"/>
        </w:rPr>
        <w:lastRenderedPageBreak/>
        <w:t xml:space="preserve">similar </w:t>
      </w:r>
      <w:r w:rsidR="006C7373">
        <w:rPr>
          <w:rFonts w:ascii="Century Gothic" w:hAnsi="Century Gothic"/>
        </w:rPr>
        <w:t xml:space="preserve">substantial commitment of </w:t>
      </w:r>
      <w:r w:rsidR="001872A2">
        <w:rPr>
          <w:rFonts w:ascii="Century Gothic" w:hAnsi="Century Gothic"/>
        </w:rPr>
        <w:t xml:space="preserve">direct </w:t>
      </w:r>
      <w:r w:rsidR="006C7373">
        <w:rPr>
          <w:rFonts w:ascii="Century Gothic" w:hAnsi="Century Gothic"/>
        </w:rPr>
        <w:t>funding to help scientists commercialise their ideas</w:t>
      </w:r>
      <w:r w:rsidR="001872A2">
        <w:rPr>
          <w:rFonts w:ascii="Century Gothic" w:hAnsi="Century Gothic"/>
        </w:rPr>
        <w:t xml:space="preserve"> is </w:t>
      </w:r>
      <w:r w:rsidR="007211C5">
        <w:rPr>
          <w:rFonts w:ascii="Century Gothic" w:hAnsi="Century Gothic"/>
        </w:rPr>
        <w:t xml:space="preserve">first </w:t>
      </w:r>
      <w:r w:rsidR="001872A2">
        <w:rPr>
          <w:rFonts w:ascii="Century Gothic" w:hAnsi="Century Gothic"/>
        </w:rPr>
        <w:t>required</w:t>
      </w:r>
      <w:r w:rsidR="006C7373">
        <w:rPr>
          <w:rFonts w:ascii="Century Gothic" w:hAnsi="Century Gothic"/>
        </w:rPr>
        <w:t>.</w:t>
      </w:r>
      <w:r w:rsidR="005B1729">
        <w:rPr>
          <w:rFonts w:ascii="Century Gothic" w:hAnsi="Century Gothic"/>
        </w:rPr>
        <w:t xml:space="preserve">  </w:t>
      </w:r>
    </w:p>
    <w:p w14:paraId="528F8AD9" w14:textId="77777777" w:rsidR="00926484" w:rsidRDefault="00517C3B" w:rsidP="007819E2">
      <w:pPr>
        <w:pStyle w:val="Heading2"/>
      </w:pPr>
      <w:r w:rsidRPr="00174555">
        <w:t>Other ways Universities Assist</w:t>
      </w:r>
      <w:r w:rsidR="00CC16BC" w:rsidRPr="00174555">
        <w:t xml:space="preserve"> In This Space</w:t>
      </w:r>
    </w:p>
    <w:p w14:paraId="528F8ADA" w14:textId="77777777" w:rsidR="000A45D2" w:rsidRPr="00E24B73" w:rsidRDefault="000A45D2" w:rsidP="00174555">
      <w:pPr>
        <w:spacing w:before="200"/>
        <w:jc w:val="both"/>
        <w:rPr>
          <w:rFonts w:ascii="Century Gothic" w:hAnsi="Century Gothic"/>
        </w:rPr>
      </w:pPr>
      <w:r>
        <w:rPr>
          <w:rFonts w:ascii="Century Gothic" w:hAnsi="Century Gothic"/>
        </w:rPr>
        <w:t>Universities can play an important role in supporting entrepreneurship.</w:t>
      </w:r>
    </w:p>
    <w:p w14:paraId="528F8ADB" w14:textId="77777777" w:rsidR="00174555" w:rsidRPr="00174555" w:rsidRDefault="00174555" w:rsidP="007819E2">
      <w:pPr>
        <w:pStyle w:val="Heading3"/>
      </w:pPr>
      <w:r w:rsidRPr="00174555">
        <w:t>Education</w:t>
      </w:r>
    </w:p>
    <w:p w14:paraId="528F8ADC" w14:textId="77777777" w:rsidR="00926484" w:rsidRDefault="00517C3B" w:rsidP="00520DEE">
      <w:pPr>
        <w:jc w:val="both"/>
        <w:rPr>
          <w:rFonts w:ascii="Century Gothic" w:hAnsi="Century Gothic"/>
        </w:rPr>
      </w:pPr>
      <w:r>
        <w:rPr>
          <w:rFonts w:ascii="Century Gothic" w:hAnsi="Century Gothic"/>
        </w:rPr>
        <w:t xml:space="preserve">Griffith is committed to building the local entrepreneurial skill base, and is implementing </w:t>
      </w:r>
      <w:r w:rsidR="00F65BDC">
        <w:rPr>
          <w:rFonts w:ascii="Century Gothic" w:hAnsi="Century Gothic"/>
        </w:rPr>
        <w:t xml:space="preserve">entrepreneurial education, both through formal degree and </w:t>
      </w:r>
      <w:r w:rsidR="0049389E">
        <w:rPr>
          <w:rFonts w:ascii="Century Gothic" w:hAnsi="Century Gothic"/>
        </w:rPr>
        <w:t xml:space="preserve">also through </w:t>
      </w:r>
      <w:r w:rsidR="0049389E" w:rsidRPr="00316DC4">
        <w:rPr>
          <w:rFonts w:ascii="Century Gothic" w:hAnsi="Century Gothic"/>
          <w:i/>
        </w:rPr>
        <w:t>Griffith Enterprise’s</w:t>
      </w:r>
      <w:r w:rsidR="0049389E">
        <w:rPr>
          <w:rFonts w:ascii="Century Gothic" w:hAnsi="Century Gothic"/>
        </w:rPr>
        <w:t xml:space="preserve"> Commercial Knowledge Programs</w:t>
      </w:r>
      <w:r w:rsidR="004D7544">
        <w:rPr>
          <w:rFonts w:ascii="Century Gothic" w:hAnsi="Century Gothic"/>
        </w:rPr>
        <w:t xml:space="preserve"> (focused </w:t>
      </w:r>
      <w:r w:rsidR="003971B9">
        <w:rPr>
          <w:rFonts w:ascii="Century Gothic" w:hAnsi="Century Gothic"/>
        </w:rPr>
        <w:t xml:space="preserve">mainly </w:t>
      </w:r>
      <w:r w:rsidR="004D7544">
        <w:rPr>
          <w:rFonts w:ascii="Century Gothic" w:hAnsi="Century Gothic"/>
        </w:rPr>
        <w:t>on staff and PhD students)</w:t>
      </w:r>
      <w:r w:rsidR="0049389E">
        <w:rPr>
          <w:rFonts w:ascii="Century Gothic" w:hAnsi="Century Gothic"/>
        </w:rPr>
        <w:t>.</w:t>
      </w:r>
    </w:p>
    <w:p w14:paraId="528F8ADD" w14:textId="77777777" w:rsidR="000A45D2" w:rsidRDefault="000A45D2" w:rsidP="000A45D2">
      <w:pPr>
        <w:jc w:val="both"/>
        <w:rPr>
          <w:rFonts w:ascii="Century Gothic" w:hAnsi="Century Gothic"/>
        </w:rPr>
      </w:pPr>
      <w:r>
        <w:rPr>
          <w:rFonts w:ascii="Century Gothic" w:hAnsi="Century Gothic"/>
        </w:rPr>
        <w:t>Griffith further assists in up-skilling its students through its Industry Affiliates Program – which has allowed more than 1,200 final-year students to complete an industry placement and project as part of their studies.  Griffith also aims to include work integrated learning experiences in all of its degree programs and courses</w:t>
      </w:r>
      <w:r>
        <w:rPr>
          <w:rStyle w:val="FootnoteReference"/>
          <w:rFonts w:ascii="Century Gothic" w:hAnsi="Century Gothic"/>
        </w:rPr>
        <w:footnoteReference w:id="8"/>
      </w:r>
      <w:r>
        <w:rPr>
          <w:rFonts w:ascii="Century Gothic" w:hAnsi="Century Gothic"/>
        </w:rPr>
        <w:t xml:space="preserve">.  </w:t>
      </w:r>
    </w:p>
    <w:p w14:paraId="528F8ADE" w14:textId="77777777" w:rsidR="00174555" w:rsidRPr="00E24B73" w:rsidRDefault="00174555" w:rsidP="007819E2">
      <w:pPr>
        <w:pStyle w:val="Heading3"/>
      </w:pPr>
      <w:r w:rsidRPr="00E24B73">
        <w:t>Student Enterprises</w:t>
      </w:r>
    </w:p>
    <w:p w14:paraId="528F8ADF" w14:textId="77777777" w:rsidR="00A4487F" w:rsidRDefault="0049389E" w:rsidP="00520DEE">
      <w:pPr>
        <w:jc w:val="both"/>
        <w:rPr>
          <w:rFonts w:ascii="Century Gothic" w:hAnsi="Century Gothic"/>
        </w:rPr>
      </w:pPr>
      <w:r>
        <w:rPr>
          <w:rFonts w:ascii="Century Gothic" w:hAnsi="Century Gothic"/>
        </w:rPr>
        <w:t xml:space="preserve">Griffith </w:t>
      </w:r>
      <w:r w:rsidR="001872A2">
        <w:rPr>
          <w:rFonts w:ascii="Century Gothic" w:hAnsi="Century Gothic"/>
        </w:rPr>
        <w:t xml:space="preserve">has </w:t>
      </w:r>
      <w:r>
        <w:rPr>
          <w:rFonts w:ascii="Century Gothic" w:hAnsi="Century Gothic"/>
        </w:rPr>
        <w:t>establis</w:t>
      </w:r>
      <w:r w:rsidR="001872A2">
        <w:rPr>
          <w:rFonts w:ascii="Century Gothic" w:hAnsi="Century Gothic"/>
        </w:rPr>
        <w:t>hed</w:t>
      </w:r>
      <w:r>
        <w:rPr>
          <w:rFonts w:ascii="Century Gothic" w:hAnsi="Century Gothic"/>
        </w:rPr>
        <w:t xml:space="preserve"> ‘Student Enterprises</w:t>
      </w:r>
      <w:r w:rsidR="004D7544">
        <w:rPr>
          <w:rFonts w:ascii="Century Gothic" w:hAnsi="Century Gothic"/>
        </w:rPr>
        <w:t>’</w:t>
      </w:r>
      <w:r>
        <w:rPr>
          <w:rFonts w:ascii="Century Gothic" w:hAnsi="Century Gothic"/>
        </w:rPr>
        <w:t>, which immerse students in the process of innovati</w:t>
      </w:r>
      <w:r w:rsidR="001872A2">
        <w:rPr>
          <w:rFonts w:ascii="Century Gothic" w:hAnsi="Century Gothic"/>
        </w:rPr>
        <w:t>on</w:t>
      </w:r>
      <w:r>
        <w:rPr>
          <w:rFonts w:ascii="Century Gothic" w:hAnsi="Century Gothic"/>
        </w:rPr>
        <w:t xml:space="preserve"> and entrepreneur</w:t>
      </w:r>
      <w:r w:rsidR="001872A2">
        <w:rPr>
          <w:rFonts w:ascii="Century Gothic" w:hAnsi="Century Gothic"/>
        </w:rPr>
        <w:t>ship</w:t>
      </w:r>
      <w:r>
        <w:rPr>
          <w:rFonts w:ascii="Century Gothic" w:hAnsi="Century Gothic"/>
        </w:rPr>
        <w:t xml:space="preserve">.  Student Enterprises are student centric and course embedded.  </w:t>
      </w:r>
      <w:r w:rsidR="00705BDE">
        <w:rPr>
          <w:rFonts w:ascii="Century Gothic" w:hAnsi="Century Gothic"/>
        </w:rPr>
        <w:t>T</w:t>
      </w:r>
      <w:r>
        <w:rPr>
          <w:rFonts w:ascii="Century Gothic" w:hAnsi="Century Gothic"/>
        </w:rPr>
        <w:t xml:space="preserve">heir focus is </w:t>
      </w:r>
      <w:r w:rsidR="004D7544">
        <w:rPr>
          <w:rFonts w:ascii="Century Gothic" w:hAnsi="Century Gothic"/>
        </w:rPr>
        <w:t xml:space="preserve">on </w:t>
      </w:r>
      <w:r w:rsidR="00A4487F">
        <w:rPr>
          <w:rFonts w:ascii="Century Gothic" w:hAnsi="Century Gothic"/>
        </w:rPr>
        <w:t>helping</w:t>
      </w:r>
      <w:r w:rsidR="004D7544">
        <w:rPr>
          <w:rFonts w:ascii="Century Gothic" w:hAnsi="Century Gothic"/>
        </w:rPr>
        <w:t xml:space="preserve"> students to create new product, build networks of relevance, take product</w:t>
      </w:r>
      <w:r w:rsidR="00A4487F">
        <w:rPr>
          <w:rFonts w:ascii="Century Gothic" w:hAnsi="Century Gothic"/>
        </w:rPr>
        <w:t>s</w:t>
      </w:r>
      <w:r w:rsidR="004D7544">
        <w:rPr>
          <w:rFonts w:ascii="Century Gothic" w:hAnsi="Century Gothic"/>
        </w:rPr>
        <w:t xml:space="preserve"> to market, develop skills</w:t>
      </w:r>
      <w:r w:rsidR="00A4487F">
        <w:rPr>
          <w:rFonts w:ascii="Century Gothic" w:hAnsi="Century Gothic"/>
        </w:rPr>
        <w:t>,</w:t>
      </w:r>
      <w:r w:rsidR="004D7544">
        <w:rPr>
          <w:rFonts w:ascii="Century Gothic" w:hAnsi="Century Gothic"/>
        </w:rPr>
        <w:t xml:space="preserve"> grow experience</w:t>
      </w:r>
      <w:r w:rsidR="00A4487F">
        <w:rPr>
          <w:rFonts w:ascii="Century Gothic" w:hAnsi="Century Gothic"/>
        </w:rPr>
        <w:t xml:space="preserve">, build portfolios and track records, </w:t>
      </w:r>
      <w:r w:rsidR="00B94CE7">
        <w:rPr>
          <w:rFonts w:ascii="Century Gothic" w:hAnsi="Century Gothic"/>
        </w:rPr>
        <w:t xml:space="preserve">which </w:t>
      </w:r>
      <w:r w:rsidR="00A4487F">
        <w:rPr>
          <w:rFonts w:ascii="Century Gothic" w:hAnsi="Century Gothic"/>
        </w:rPr>
        <w:t>together kick start</w:t>
      </w:r>
      <w:r w:rsidR="00B94CE7">
        <w:rPr>
          <w:rFonts w:ascii="Century Gothic" w:hAnsi="Century Gothic"/>
        </w:rPr>
        <w:t xml:space="preserve"> </w:t>
      </w:r>
      <w:r w:rsidR="00A4487F">
        <w:rPr>
          <w:rFonts w:ascii="Century Gothic" w:hAnsi="Century Gothic"/>
        </w:rPr>
        <w:t>their careers</w:t>
      </w:r>
      <w:r w:rsidR="004D7544">
        <w:rPr>
          <w:rFonts w:ascii="Century Gothic" w:hAnsi="Century Gothic"/>
        </w:rPr>
        <w:t xml:space="preserve">.  </w:t>
      </w:r>
    </w:p>
    <w:p w14:paraId="528F8AE0" w14:textId="77777777" w:rsidR="00A4487F" w:rsidRDefault="00A4487F" w:rsidP="00520DEE">
      <w:pPr>
        <w:jc w:val="both"/>
        <w:rPr>
          <w:rFonts w:ascii="Century Gothic" w:hAnsi="Century Gothic"/>
        </w:rPr>
      </w:pPr>
      <w:r>
        <w:rPr>
          <w:rFonts w:ascii="Century Gothic" w:hAnsi="Century Gothic"/>
        </w:rPr>
        <w:t xml:space="preserve">For example, Griffith’s </w:t>
      </w:r>
      <w:r w:rsidRPr="00132219">
        <w:rPr>
          <w:rFonts w:ascii="Century Gothic" w:hAnsi="Century Gothic"/>
          <w:i/>
        </w:rPr>
        <w:t>Seed</w:t>
      </w:r>
      <w:r>
        <w:rPr>
          <w:rFonts w:ascii="Century Gothic" w:hAnsi="Century Gothic"/>
        </w:rPr>
        <w:t xml:space="preserve"> Project </w:t>
      </w:r>
      <w:r w:rsidR="001872A2">
        <w:rPr>
          <w:rFonts w:ascii="Century Gothic" w:hAnsi="Century Gothic"/>
        </w:rPr>
        <w:t>is focused on creating the next generation of music entrepreneurs.  E</w:t>
      </w:r>
      <w:r w:rsidR="00B94CE7">
        <w:rPr>
          <w:rFonts w:ascii="Century Gothic" w:hAnsi="Century Gothic"/>
        </w:rPr>
        <w:t>ach year students from music, art, film, and multi-media compile an album of peer-assessed student music, undertake a concert series</w:t>
      </w:r>
      <w:r w:rsidR="001872A2">
        <w:rPr>
          <w:rFonts w:ascii="Century Gothic" w:hAnsi="Century Gothic"/>
        </w:rPr>
        <w:t>,</w:t>
      </w:r>
      <w:r w:rsidR="00B94CE7">
        <w:rPr>
          <w:rFonts w:ascii="Century Gothic" w:hAnsi="Century Gothic"/>
        </w:rPr>
        <w:t xml:space="preserve"> collaborate with industry</w:t>
      </w:r>
      <w:r w:rsidR="001872A2">
        <w:rPr>
          <w:rFonts w:ascii="Century Gothic" w:hAnsi="Century Gothic"/>
        </w:rPr>
        <w:t>, and sell product through various digital platforms</w:t>
      </w:r>
      <w:r w:rsidR="00B94CE7">
        <w:rPr>
          <w:rFonts w:ascii="Century Gothic" w:hAnsi="Century Gothic"/>
        </w:rPr>
        <w:t>.</w:t>
      </w:r>
    </w:p>
    <w:p w14:paraId="528F8AE1" w14:textId="77777777" w:rsidR="0049389E" w:rsidRDefault="00A4487F" w:rsidP="00520DEE">
      <w:pPr>
        <w:jc w:val="both"/>
        <w:rPr>
          <w:rFonts w:ascii="Century Gothic" w:hAnsi="Century Gothic"/>
        </w:rPr>
      </w:pPr>
      <w:r>
        <w:rPr>
          <w:rFonts w:ascii="Century Gothic" w:hAnsi="Century Gothic"/>
        </w:rPr>
        <w:t>Student Enterprises also complement work integrated learning programs at Griffith (internships with industry) and entrepreneurship education courses and workshops.</w:t>
      </w:r>
    </w:p>
    <w:p w14:paraId="528F8AE2" w14:textId="77777777" w:rsidR="00174555" w:rsidRPr="00E24B73" w:rsidRDefault="00174555" w:rsidP="007819E2">
      <w:pPr>
        <w:pStyle w:val="Heading3"/>
      </w:pPr>
      <w:r w:rsidRPr="00E24B73">
        <w:t>Enterprises and Enterprising Activities</w:t>
      </w:r>
    </w:p>
    <w:p w14:paraId="528F8AE3" w14:textId="77777777" w:rsidR="00023402" w:rsidRDefault="00082FCB" w:rsidP="00520DEE">
      <w:pPr>
        <w:jc w:val="both"/>
        <w:rPr>
          <w:rFonts w:ascii="Century Gothic" w:hAnsi="Century Gothic"/>
        </w:rPr>
      </w:pPr>
      <w:r>
        <w:rPr>
          <w:rFonts w:ascii="Century Gothic" w:hAnsi="Century Gothic"/>
        </w:rPr>
        <w:t xml:space="preserve">As previously stated, </w:t>
      </w:r>
      <w:r w:rsidR="00F35645">
        <w:rPr>
          <w:rFonts w:ascii="Century Gothic" w:hAnsi="Century Gothic"/>
        </w:rPr>
        <w:t xml:space="preserve">Griffith University is also implementing a much broader model of commercialisation; </w:t>
      </w:r>
      <w:r w:rsidR="00CC16BC">
        <w:rPr>
          <w:rFonts w:ascii="Century Gothic" w:hAnsi="Century Gothic"/>
        </w:rPr>
        <w:t>which includes</w:t>
      </w:r>
      <w:r w:rsidR="00F35645">
        <w:rPr>
          <w:rFonts w:ascii="Century Gothic" w:hAnsi="Century Gothic"/>
        </w:rPr>
        <w:t xml:space="preserve"> </w:t>
      </w:r>
      <w:r w:rsidR="003034F2">
        <w:rPr>
          <w:rFonts w:ascii="Century Gothic" w:hAnsi="Century Gothic"/>
        </w:rPr>
        <w:t>‘e</w:t>
      </w:r>
      <w:r w:rsidR="00F35645">
        <w:rPr>
          <w:rFonts w:ascii="Century Gothic" w:hAnsi="Century Gothic"/>
        </w:rPr>
        <w:t>nterprises</w:t>
      </w:r>
      <w:r w:rsidR="003034F2">
        <w:rPr>
          <w:rFonts w:ascii="Century Gothic" w:hAnsi="Century Gothic"/>
        </w:rPr>
        <w:t>’</w:t>
      </w:r>
      <w:r w:rsidR="00F35645">
        <w:rPr>
          <w:rFonts w:ascii="Century Gothic" w:hAnsi="Century Gothic"/>
        </w:rPr>
        <w:t xml:space="preserve"> (or </w:t>
      </w:r>
      <w:r w:rsidR="00BC023A">
        <w:rPr>
          <w:rFonts w:ascii="Century Gothic" w:hAnsi="Century Gothic"/>
        </w:rPr>
        <w:t>new ‘</w:t>
      </w:r>
      <w:r w:rsidR="00F35645">
        <w:rPr>
          <w:rFonts w:ascii="Century Gothic" w:hAnsi="Century Gothic"/>
        </w:rPr>
        <w:t>internal</w:t>
      </w:r>
      <w:r w:rsidR="00BC023A">
        <w:rPr>
          <w:rFonts w:ascii="Century Gothic" w:hAnsi="Century Gothic"/>
        </w:rPr>
        <w:t>’</w:t>
      </w:r>
      <w:r w:rsidR="00F35645">
        <w:rPr>
          <w:rFonts w:ascii="Century Gothic" w:hAnsi="Century Gothic"/>
        </w:rPr>
        <w:t xml:space="preserve"> ventures) that support th</w:t>
      </w:r>
      <w:r w:rsidR="00BC023A">
        <w:rPr>
          <w:rFonts w:ascii="Century Gothic" w:hAnsi="Century Gothic"/>
        </w:rPr>
        <w:t xml:space="preserve">e direct delivery of </w:t>
      </w:r>
      <w:r>
        <w:rPr>
          <w:rFonts w:ascii="Century Gothic" w:hAnsi="Century Gothic"/>
        </w:rPr>
        <w:t xml:space="preserve">products and </w:t>
      </w:r>
      <w:r w:rsidR="00BC023A">
        <w:rPr>
          <w:rFonts w:ascii="Century Gothic" w:hAnsi="Century Gothic"/>
        </w:rPr>
        <w:t xml:space="preserve">services </w:t>
      </w:r>
      <w:r w:rsidR="00F35645">
        <w:rPr>
          <w:rFonts w:ascii="Century Gothic" w:hAnsi="Century Gothic"/>
        </w:rPr>
        <w:t xml:space="preserve">to </w:t>
      </w:r>
      <w:r w:rsidR="00CC16BC">
        <w:rPr>
          <w:rFonts w:ascii="Century Gothic" w:hAnsi="Century Gothic"/>
        </w:rPr>
        <w:t>industry</w:t>
      </w:r>
      <w:r w:rsidR="00F35645">
        <w:rPr>
          <w:rFonts w:ascii="Century Gothic" w:hAnsi="Century Gothic"/>
        </w:rPr>
        <w:t xml:space="preserve">. </w:t>
      </w:r>
      <w:r w:rsidR="00CC16BC">
        <w:rPr>
          <w:rFonts w:ascii="Century Gothic" w:hAnsi="Century Gothic"/>
        </w:rPr>
        <w:t xml:space="preserve"> </w:t>
      </w:r>
      <w:r>
        <w:rPr>
          <w:rFonts w:ascii="Century Gothic" w:hAnsi="Century Gothic"/>
        </w:rPr>
        <w:t>Enterprises by their very nature immerse staff in entrepreneurial activity whilst driving an o</w:t>
      </w:r>
      <w:r w:rsidR="00BC023A">
        <w:rPr>
          <w:rFonts w:ascii="Century Gothic" w:hAnsi="Century Gothic"/>
        </w:rPr>
        <w:t>verarching goal to ensure that knowledge created at Griffith is made available and put to use by industry, government and community.</w:t>
      </w:r>
    </w:p>
    <w:p w14:paraId="528F8AE4" w14:textId="77777777" w:rsidR="00845DEA" w:rsidRPr="00E24B73" w:rsidRDefault="00845DEA" w:rsidP="00E24B73">
      <w:pPr>
        <w:jc w:val="both"/>
        <w:rPr>
          <w:rFonts w:ascii="Century Gothic" w:hAnsi="Century Gothic"/>
        </w:rPr>
      </w:pPr>
    </w:p>
    <w:p w14:paraId="3AC431F9" w14:textId="77777777" w:rsidR="00552F65" w:rsidRDefault="00552F65" w:rsidP="007819E2">
      <w:pPr>
        <w:pStyle w:val="Heading1"/>
      </w:pPr>
    </w:p>
    <w:p w14:paraId="528F8AE5" w14:textId="77777777" w:rsidR="00807D33" w:rsidRPr="00807D33" w:rsidRDefault="00807D33" w:rsidP="007819E2">
      <w:pPr>
        <w:pStyle w:val="Heading1"/>
      </w:pPr>
      <w:r>
        <w:t>Incentivising Staff to com</w:t>
      </w:r>
      <w:r w:rsidRPr="00807D33">
        <w:t>m</w:t>
      </w:r>
      <w:r>
        <w:t>e</w:t>
      </w:r>
      <w:r w:rsidRPr="00807D33">
        <w:t>rcialise</w:t>
      </w:r>
    </w:p>
    <w:p w14:paraId="528F8AE7" w14:textId="77777777" w:rsidR="00FC3E04" w:rsidRDefault="003034F2" w:rsidP="00520DEE">
      <w:pPr>
        <w:jc w:val="both"/>
        <w:rPr>
          <w:rFonts w:ascii="Century Gothic" w:hAnsi="Century Gothic"/>
        </w:rPr>
      </w:pPr>
      <w:r>
        <w:rPr>
          <w:rFonts w:ascii="Century Gothic" w:hAnsi="Century Gothic"/>
        </w:rPr>
        <w:t>Griffith University considers that i</w:t>
      </w:r>
      <w:r w:rsidR="00FC3E04">
        <w:rPr>
          <w:rFonts w:ascii="Century Gothic" w:hAnsi="Century Gothic"/>
        </w:rPr>
        <w:t>ncentives are a key tool to entice research staff to develop products and services that could be commercialised.</w:t>
      </w:r>
    </w:p>
    <w:p w14:paraId="528F8AE8" w14:textId="77777777" w:rsidR="00FC3E04" w:rsidRDefault="00FC3E04" w:rsidP="00520DEE">
      <w:pPr>
        <w:jc w:val="both"/>
        <w:rPr>
          <w:rFonts w:ascii="Century Gothic" w:hAnsi="Century Gothic"/>
        </w:rPr>
      </w:pPr>
      <w:r>
        <w:rPr>
          <w:rFonts w:ascii="Century Gothic" w:hAnsi="Century Gothic"/>
        </w:rPr>
        <w:t>Griffith University provide</w:t>
      </w:r>
      <w:r w:rsidR="002B3570">
        <w:rPr>
          <w:rFonts w:ascii="Century Gothic" w:hAnsi="Century Gothic"/>
        </w:rPr>
        <w:t>s</w:t>
      </w:r>
      <w:r>
        <w:rPr>
          <w:rFonts w:ascii="Century Gothic" w:hAnsi="Century Gothic"/>
        </w:rPr>
        <w:t xml:space="preserve"> a number of incentives to </w:t>
      </w:r>
      <w:r w:rsidR="00845DEA">
        <w:rPr>
          <w:rFonts w:ascii="Century Gothic" w:hAnsi="Century Gothic"/>
        </w:rPr>
        <w:t xml:space="preserve">entice staff to </w:t>
      </w:r>
      <w:r>
        <w:rPr>
          <w:rFonts w:ascii="Century Gothic" w:hAnsi="Century Gothic"/>
        </w:rPr>
        <w:t>conduct consultancy and commercial</w:t>
      </w:r>
      <w:r w:rsidR="00636DA8">
        <w:rPr>
          <w:rFonts w:ascii="Century Gothic" w:hAnsi="Century Gothic"/>
        </w:rPr>
        <w:t xml:space="preserve"> research</w:t>
      </w:r>
      <w:r>
        <w:rPr>
          <w:rFonts w:ascii="Century Gothic" w:hAnsi="Century Gothic"/>
        </w:rPr>
        <w:t xml:space="preserve"> and to consider IP protection and commercialisation of research outcomes, including</w:t>
      </w:r>
      <w:r w:rsidR="002B3570">
        <w:rPr>
          <w:rFonts w:ascii="Century Gothic" w:hAnsi="Century Gothic"/>
        </w:rPr>
        <w:t>:</w:t>
      </w:r>
    </w:p>
    <w:p w14:paraId="528F8AE9" w14:textId="77777777" w:rsidR="00FC3E04" w:rsidRPr="005C7323" w:rsidRDefault="00636DA8" w:rsidP="005C7323">
      <w:pPr>
        <w:pStyle w:val="ListParagraph"/>
        <w:numPr>
          <w:ilvl w:val="0"/>
          <w:numId w:val="41"/>
        </w:numPr>
        <w:contextualSpacing w:val="0"/>
        <w:rPr>
          <w:rFonts w:ascii="Century Gothic" w:hAnsi="Century Gothic"/>
        </w:rPr>
      </w:pPr>
      <w:r>
        <w:rPr>
          <w:rFonts w:ascii="Century Gothic" w:hAnsi="Century Gothic"/>
        </w:rPr>
        <w:t xml:space="preserve">an </w:t>
      </w:r>
      <w:r w:rsidR="00FC3E04" w:rsidRPr="005C7323">
        <w:rPr>
          <w:rFonts w:ascii="Century Gothic" w:hAnsi="Century Gothic"/>
        </w:rPr>
        <w:t xml:space="preserve">appropriate </w:t>
      </w:r>
      <w:r w:rsidR="006D77F3">
        <w:rPr>
          <w:rFonts w:ascii="Century Gothic" w:hAnsi="Century Gothic"/>
        </w:rPr>
        <w:t xml:space="preserve">commercialisation </w:t>
      </w:r>
      <w:r w:rsidR="00FC3E04" w:rsidRPr="005C7323">
        <w:rPr>
          <w:rFonts w:ascii="Century Gothic" w:hAnsi="Century Gothic"/>
        </w:rPr>
        <w:t>policy framework</w:t>
      </w:r>
      <w:r w:rsidR="008448BE">
        <w:rPr>
          <w:rStyle w:val="FootnoteReference"/>
          <w:rFonts w:ascii="Century Gothic" w:hAnsi="Century Gothic"/>
        </w:rPr>
        <w:footnoteReference w:id="9"/>
      </w:r>
      <w:r w:rsidR="005C7323">
        <w:rPr>
          <w:rFonts w:ascii="Century Gothic" w:hAnsi="Century Gothic"/>
        </w:rPr>
        <w:t>;</w:t>
      </w:r>
    </w:p>
    <w:p w14:paraId="528F8AEA" w14:textId="77777777" w:rsidR="00FC3E04" w:rsidRPr="005C7323" w:rsidRDefault="00FC3E04" w:rsidP="005C7323">
      <w:pPr>
        <w:pStyle w:val="ListParagraph"/>
        <w:numPr>
          <w:ilvl w:val="0"/>
          <w:numId w:val="41"/>
        </w:numPr>
        <w:contextualSpacing w:val="0"/>
        <w:rPr>
          <w:rFonts w:ascii="Century Gothic" w:hAnsi="Century Gothic"/>
        </w:rPr>
      </w:pPr>
      <w:r w:rsidRPr="005C7323">
        <w:rPr>
          <w:rFonts w:ascii="Century Gothic" w:hAnsi="Century Gothic"/>
        </w:rPr>
        <w:t xml:space="preserve">establishment and ongoing support of </w:t>
      </w:r>
      <w:r w:rsidRPr="004661C1">
        <w:rPr>
          <w:rFonts w:ascii="Century Gothic" w:hAnsi="Century Gothic"/>
          <w:i/>
        </w:rPr>
        <w:t>Grif</w:t>
      </w:r>
      <w:r w:rsidR="005C7323" w:rsidRPr="004661C1">
        <w:rPr>
          <w:rFonts w:ascii="Century Gothic" w:hAnsi="Century Gothic"/>
          <w:i/>
        </w:rPr>
        <w:t>fith Enterpr</w:t>
      </w:r>
      <w:r w:rsidRPr="004661C1">
        <w:rPr>
          <w:rFonts w:ascii="Century Gothic" w:hAnsi="Century Gothic"/>
          <w:i/>
        </w:rPr>
        <w:t>i</w:t>
      </w:r>
      <w:r w:rsidR="005C7323" w:rsidRPr="004661C1">
        <w:rPr>
          <w:rFonts w:ascii="Century Gothic" w:hAnsi="Century Gothic"/>
          <w:i/>
        </w:rPr>
        <w:t>s</w:t>
      </w:r>
      <w:r w:rsidRPr="004661C1">
        <w:rPr>
          <w:rFonts w:ascii="Century Gothic" w:hAnsi="Century Gothic"/>
          <w:i/>
        </w:rPr>
        <w:t>e</w:t>
      </w:r>
      <w:r w:rsidRPr="005C7323">
        <w:rPr>
          <w:rFonts w:ascii="Century Gothic" w:hAnsi="Century Gothic"/>
        </w:rPr>
        <w:t xml:space="preserve"> as a dedicate</w:t>
      </w:r>
      <w:r w:rsidR="005C7323">
        <w:rPr>
          <w:rFonts w:ascii="Century Gothic" w:hAnsi="Century Gothic"/>
        </w:rPr>
        <w:t>d U</w:t>
      </w:r>
      <w:r w:rsidR="005C7323" w:rsidRPr="005C7323">
        <w:rPr>
          <w:rFonts w:ascii="Century Gothic" w:hAnsi="Century Gothic"/>
        </w:rPr>
        <w:t>niversity office t</w:t>
      </w:r>
      <w:r w:rsidR="00845DEA">
        <w:rPr>
          <w:rFonts w:ascii="Century Gothic" w:hAnsi="Century Gothic"/>
        </w:rPr>
        <w:t>hat</w:t>
      </w:r>
      <w:r w:rsidR="005C7323" w:rsidRPr="005C7323">
        <w:rPr>
          <w:rFonts w:ascii="Century Gothic" w:hAnsi="Century Gothic"/>
        </w:rPr>
        <w:t xml:space="preserve"> support</w:t>
      </w:r>
      <w:r w:rsidR="00845DEA">
        <w:rPr>
          <w:rFonts w:ascii="Century Gothic" w:hAnsi="Century Gothic"/>
        </w:rPr>
        <w:t>s</w:t>
      </w:r>
      <w:r w:rsidR="005C7323" w:rsidRPr="005C7323">
        <w:rPr>
          <w:rFonts w:ascii="Century Gothic" w:hAnsi="Century Gothic"/>
        </w:rPr>
        <w:t xml:space="preserve"> </w:t>
      </w:r>
      <w:r w:rsidRPr="005C7323">
        <w:rPr>
          <w:rFonts w:ascii="Century Gothic" w:hAnsi="Century Gothic"/>
        </w:rPr>
        <w:t xml:space="preserve">staff in </w:t>
      </w:r>
      <w:r w:rsidR="00636DA8">
        <w:rPr>
          <w:rFonts w:ascii="Century Gothic" w:hAnsi="Century Gothic"/>
        </w:rPr>
        <w:t xml:space="preserve">all </w:t>
      </w:r>
      <w:r w:rsidRPr="005C7323">
        <w:rPr>
          <w:rFonts w:ascii="Century Gothic" w:hAnsi="Century Gothic"/>
        </w:rPr>
        <w:t>commercialisation activities, including cons</w:t>
      </w:r>
      <w:r w:rsidR="005C7323">
        <w:rPr>
          <w:rFonts w:ascii="Century Gothic" w:hAnsi="Century Gothic"/>
        </w:rPr>
        <w:t>ultancy and commercial research;</w:t>
      </w:r>
    </w:p>
    <w:p w14:paraId="528F8AEB" w14:textId="77777777" w:rsidR="005C7323" w:rsidRPr="005C7323" w:rsidRDefault="005C7323" w:rsidP="005C7323">
      <w:pPr>
        <w:pStyle w:val="ListParagraph"/>
        <w:numPr>
          <w:ilvl w:val="0"/>
          <w:numId w:val="41"/>
        </w:numPr>
        <w:contextualSpacing w:val="0"/>
        <w:rPr>
          <w:rFonts w:ascii="Century Gothic" w:hAnsi="Century Gothic"/>
        </w:rPr>
      </w:pPr>
      <w:r>
        <w:rPr>
          <w:rFonts w:ascii="Century Gothic" w:hAnsi="Century Gothic"/>
        </w:rPr>
        <w:t xml:space="preserve">awarding surplus from </w:t>
      </w:r>
      <w:r w:rsidRPr="005C7323">
        <w:rPr>
          <w:rFonts w:ascii="Century Gothic" w:hAnsi="Century Gothic"/>
        </w:rPr>
        <w:t>consultancy and commercial research</w:t>
      </w:r>
      <w:r>
        <w:rPr>
          <w:rFonts w:ascii="Century Gothic" w:hAnsi="Century Gothic"/>
        </w:rPr>
        <w:t xml:space="preserve"> projects to </w:t>
      </w:r>
      <w:r w:rsidRPr="005C7323">
        <w:rPr>
          <w:rFonts w:ascii="Century Gothic" w:hAnsi="Century Gothic"/>
        </w:rPr>
        <w:t>staff</w:t>
      </w:r>
      <w:r w:rsidR="00BC023A">
        <w:rPr>
          <w:rFonts w:ascii="Century Gothic" w:hAnsi="Century Gothic"/>
        </w:rPr>
        <w:t xml:space="preserve"> as direct reward or to advance further research</w:t>
      </w:r>
      <w:r w:rsidRPr="005C7323">
        <w:rPr>
          <w:rFonts w:ascii="Century Gothic" w:hAnsi="Century Gothic"/>
        </w:rPr>
        <w:t>;</w:t>
      </w:r>
    </w:p>
    <w:p w14:paraId="528F8AEC" w14:textId="77777777" w:rsidR="005C7323" w:rsidRDefault="00845DEA" w:rsidP="005C7323">
      <w:pPr>
        <w:pStyle w:val="ListParagraph"/>
        <w:numPr>
          <w:ilvl w:val="0"/>
          <w:numId w:val="41"/>
        </w:numPr>
        <w:contextualSpacing w:val="0"/>
        <w:rPr>
          <w:rFonts w:ascii="Century Gothic" w:hAnsi="Century Gothic"/>
        </w:rPr>
      </w:pPr>
      <w:r>
        <w:rPr>
          <w:rFonts w:ascii="Century Gothic" w:hAnsi="Century Gothic"/>
        </w:rPr>
        <w:t xml:space="preserve">the </w:t>
      </w:r>
      <w:r w:rsidR="00BC023A">
        <w:rPr>
          <w:rFonts w:ascii="Century Gothic" w:hAnsi="Century Gothic"/>
        </w:rPr>
        <w:t>University’s investment in</w:t>
      </w:r>
      <w:r>
        <w:rPr>
          <w:rFonts w:ascii="Century Gothic" w:hAnsi="Century Gothic"/>
        </w:rPr>
        <w:t xml:space="preserve"> </w:t>
      </w:r>
      <w:r w:rsidR="005C7323">
        <w:rPr>
          <w:rFonts w:ascii="Century Gothic" w:hAnsi="Century Gothic"/>
        </w:rPr>
        <w:t>IP protection and prosecution; and,</w:t>
      </w:r>
    </w:p>
    <w:p w14:paraId="528F8AED" w14:textId="77777777" w:rsidR="005C7323" w:rsidRPr="005C7323" w:rsidRDefault="005C7323" w:rsidP="005C7323">
      <w:pPr>
        <w:pStyle w:val="ListParagraph"/>
        <w:numPr>
          <w:ilvl w:val="0"/>
          <w:numId w:val="41"/>
        </w:numPr>
        <w:contextualSpacing w:val="0"/>
        <w:rPr>
          <w:rFonts w:ascii="Century Gothic" w:hAnsi="Century Gothic"/>
        </w:rPr>
      </w:pPr>
      <w:r w:rsidRPr="005C7323">
        <w:rPr>
          <w:rFonts w:ascii="Century Gothic" w:hAnsi="Century Gothic"/>
        </w:rPr>
        <w:t xml:space="preserve">sharing 50% (70% for artists) of commercialisation net income </w:t>
      </w:r>
      <w:r w:rsidR="00845DEA" w:rsidRPr="005C7323">
        <w:rPr>
          <w:rFonts w:ascii="Century Gothic" w:hAnsi="Century Gothic"/>
        </w:rPr>
        <w:t xml:space="preserve">with creators of IP </w:t>
      </w:r>
      <w:r w:rsidRPr="005C7323">
        <w:rPr>
          <w:rFonts w:ascii="Century Gothic" w:hAnsi="Century Gothic"/>
        </w:rPr>
        <w:t xml:space="preserve">(gross </w:t>
      </w:r>
      <w:r w:rsidR="00845DEA">
        <w:rPr>
          <w:rFonts w:ascii="Century Gothic" w:hAnsi="Century Gothic"/>
        </w:rPr>
        <w:t xml:space="preserve">commercialisation revenues </w:t>
      </w:r>
      <w:r w:rsidRPr="005C7323">
        <w:rPr>
          <w:rFonts w:ascii="Century Gothic" w:hAnsi="Century Gothic"/>
        </w:rPr>
        <w:t>less IP</w:t>
      </w:r>
      <w:r>
        <w:rPr>
          <w:rFonts w:ascii="Century Gothic" w:hAnsi="Century Gothic"/>
        </w:rPr>
        <w:t xml:space="preserve"> protection cos</w:t>
      </w:r>
      <w:r w:rsidRPr="005C7323">
        <w:rPr>
          <w:rFonts w:ascii="Century Gothic" w:hAnsi="Century Gothic"/>
        </w:rPr>
        <w:t>t)</w:t>
      </w:r>
      <w:r>
        <w:rPr>
          <w:rFonts w:ascii="Century Gothic" w:hAnsi="Century Gothic"/>
        </w:rPr>
        <w:t>.</w:t>
      </w:r>
    </w:p>
    <w:p w14:paraId="528F8AEE" w14:textId="77777777" w:rsidR="00845DEA" w:rsidRDefault="0038663B" w:rsidP="00520DEE">
      <w:pPr>
        <w:jc w:val="both"/>
        <w:rPr>
          <w:rFonts w:ascii="Century Gothic" w:hAnsi="Century Gothic"/>
        </w:rPr>
      </w:pPr>
      <w:r>
        <w:rPr>
          <w:rFonts w:ascii="Century Gothic" w:hAnsi="Century Gothic"/>
        </w:rPr>
        <w:t>The University also recognis</w:t>
      </w:r>
      <w:r w:rsidR="00BC023A">
        <w:rPr>
          <w:rFonts w:ascii="Century Gothic" w:hAnsi="Century Gothic"/>
        </w:rPr>
        <w:t>es</w:t>
      </w:r>
      <w:r>
        <w:rPr>
          <w:rFonts w:ascii="Century Gothic" w:hAnsi="Century Gothic"/>
        </w:rPr>
        <w:t xml:space="preserve"> commercialisation activity when promoting staff and assessing publication outcomes.</w:t>
      </w:r>
    </w:p>
    <w:p w14:paraId="528F8AEF" w14:textId="77777777" w:rsidR="00F34A26" w:rsidRDefault="00F34A26" w:rsidP="00520DEE">
      <w:pPr>
        <w:jc w:val="both"/>
        <w:rPr>
          <w:rFonts w:ascii="Century Gothic" w:hAnsi="Century Gothic"/>
        </w:rPr>
      </w:pPr>
      <w:r>
        <w:rPr>
          <w:rFonts w:ascii="Century Gothic" w:hAnsi="Century Gothic"/>
        </w:rPr>
        <w:t xml:space="preserve">As a direct measure </w:t>
      </w:r>
      <w:r w:rsidR="000F66AB">
        <w:rPr>
          <w:rFonts w:ascii="Century Gothic" w:hAnsi="Century Gothic"/>
        </w:rPr>
        <w:t xml:space="preserve">of these </w:t>
      </w:r>
      <w:r>
        <w:rPr>
          <w:rFonts w:ascii="Century Gothic" w:hAnsi="Century Gothic"/>
        </w:rPr>
        <w:t xml:space="preserve">strategic </w:t>
      </w:r>
      <w:r w:rsidR="000F66AB">
        <w:rPr>
          <w:rFonts w:ascii="Century Gothic" w:hAnsi="Century Gothic"/>
        </w:rPr>
        <w:t xml:space="preserve">initiatives, </w:t>
      </w:r>
      <w:r w:rsidR="00BC023A">
        <w:rPr>
          <w:rFonts w:ascii="Century Gothic" w:hAnsi="Century Gothic"/>
        </w:rPr>
        <w:t xml:space="preserve">around </w:t>
      </w:r>
      <w:r w:rsidR="000F66AB" w:rsidRPr="00251032">
        <w:rPr>
          <w:rFonts w:ascii="Century Gothic" w:hAnsi="Century Gothic"/>
        </w:rPr>
        <w:t>30%</w:t>
      </w:r>
      <w:r w:rsidR="000F66AB">
        <w:rPr>
          <w:rFonts w:ascii="Century Gothic" w:hAnsi="Century Gothic"/>
        </w:rPr>
        <w:t xml:space="preserve"> of Griffith academic staff </w:t>
      </w:r>
      <w:r w:rsidR="00705BDE">
        <w:rPr>
          <w:rFonts w:ascii="Century Gothic" w:hAnsi="Century Gothic"/>
        </w:rPr>
        <w:t>have been</w:t>
      </w:r>
      <w:r w:rsidR="000F66AB">
        <w:rPr>
          <w:rFonts w:ascii="Century Gothic" w:hAnsi="Century Gothic"/>
        </w:rPr>
        <w:t xml:space="preserve"> involved in commercialisation activities</w:t>
      </w:r>
      <w:r w:rsidR="006D77F3">
        <w:rPr>
          <w:rFonts w:ascii="Century Gothic" w:hAnsi="Century Gothic"/>
        </w:rPr>
        <w:t xml:space="preserve"> since </w:t>
      </w:r>
      <w:r w:rsidR="006D77F3" w:rsidRPr="004661C1">
        <w:rPr>
          <w:rFonts w:ascii="Century Gothic" w:hAnsi="Century Gothic"/>
          <w:i/>
        </w:rPr>
        <w:t>Griffith Enterprise’s</w:t>
      </w:r>
      <w:r w:rsidR="006D77F3">
        <w:rPr>
          <w:rFonts w:ascii="Century Gothic" w:hAnsi="Century Gothic"/>
        </w:rPr>
        <w:t xml:space="preserve"> establishment</w:t>
      </w:r>
      <w:r w:rsidR="000F66AB">
        <w:rPr>
          <w:rFonts w:ascii="Century Gothic" w:hAnsi="Century Gothic"/>
        </w:rPr>
        <w:t>.</w:t>
      </w:r>
    </w:p>
    <w:p w14:paraId="528F8AF1" w14:textId="13BDEB9C" w:rsidR="00845DEA" w:rsidRPr="00552F65" w:rsidRDefault="008448BE" w:rsidP="00552F65">
      <w:pPr>
        <w:jc w:val="both"/>
        <w:rPr>
          <w:rFonts w:ascii="Century Gothic" w:hAnsi="Century Gothic"/>
        </w:rPr>
      </w:pPr>
      <w:r>
        <w:rPr>
          <w:rFonts w:ascii="Century Gothic" w:hAnsi="Century Gothic"/>
        </w:rPr>
        <w:t>Accordingly, w</w:t>
      </w:r>
      <w:r w:rsidR="0038663B">
        <w:rPr>
          <w:rFonts w:ascii="Century Gothic" w:hAnsi="Century Gothic"/>
        </w:rPr>
        <w:t xml:space="preserve">e encourage the Government </w:t>
      </w:r>
      <w:r w:rsidR="00037204">
        <w:rPr>
          <w:rFonts w:ascii="Century Gothic" w:hAnsi="Century Gothic"/>
        </w:rPr>
        <w:t xml:space="preserve">and the Australian funding bodies </w:t>
      </w:r>
      <w:r w:rsidR="0038663B">
        <w:rPr>
          <w:rFonts w:ascii="Century Gothic" w:hAnsi="Century Gothic"/>
        </w:rPr>
        <w:t xml:space="preserve">to </w:t>
      </w:r>
      <w:r w:rsidR="00037204">
        <w:rPr>
          <w:rFonts w:ascii="Century Gothic" w:hAnsi="Century Gothic"/>
        </w:rPr>
        <w:t>recognise commercialisation activities as equivalent to scholarly success, especially when considering funding for applied research.</w:t>
      </w:r>
      <w:r w:rsidR="00845DEA">
        <w:rPr>
          <w:rFonts w:ascii="Century Gothic" w:hAnsi="Century Gothic"/>
          <w:b/>
          <w:color w:val="FF0000"/>
          <w:sz w:val="44"/>
        </w:rPr>
        <w:br w:type="page"/>
      </w:r>
    </w:p>
    <w:p w14:paraId="78048474" w14:textId="605A4C9A" w:rsidR="00552F65" w:rsidRPr="00552F65" w:rsidRDefault="004A3E55" w:rsidP="00552F65">
      <w:pPr>
        <w:pStyle w:val="Heading1"/>
      </w:pPr>
      <w:r>
        <w:lastRenderedPageBreak/>
        <w:t>Measurement of O</w:t>
      </w:r>
      <w:r w:rsidR="00F704E6" w:rsidRPr="00F704E6">
        <w:t>utcomes</w:t>
      </w:r>
    </w:p>
    <w:p w14:paraId="528F8AF4" w14:textId="77777777" w:rsidR="00674E31" w:rsidRDefault="00674E31" w:rsidP="0044213D">
      <w:pPr>
        <w:jc w:val="both"/>
        <w:rPr>
          <w:rFonts w:ascii="Century Gothic" w:hAnsi="Century Gothic"/>
        </w:rPr>
      </w:pPr>
      <w:r>
        <w:rPr>
          <w:rFonts w:ascii="Century Gothic" w:hAnsi="Century Gothic"/>
        </w:rPr>
        <w:t xml:space="preserve">Currently, research success is mainly recognised by Government through the Excellence in Research for Australia (ERA) initiative.  The Higher Education Research Data Collection (HERDC) process recognises research-industry collaboration.  </w:t>
      </w:r>
    </w:p>
    <w:p w14:paraId="528F8AF5" w14:textId="77777777" w:rsidR="008448BE" w:rsidRDefault="00536AEC" w:rsidP="0044213D">
      <w:pPr>
        <w:jc w:val="both"/>
        <w:rPr>
          <w:rFonts w:ascii="Century Gothic" w:hAnsi="Century Gothic"/>
        </w:rPr>
      </w:pPr>
      <w:r>
        <w:rPr>
          <w:rFonts w:ascii="Century Gothic" w:hAnsi="Century Gothic"/>
        </w:rPr>
        <w:t xml:space="preserve">The Government is currently </w:t>
      </w:r>
      <w:r w:rsidR="00803A86">
        <w:rPr>
          <w:rFonts w:ascii="Century Gothic" w:hAnsi="Century Gothic"/>
        </w:rPr>
        <w:t>utilising the HERDC process to assess</w:t>
      </w:r>
      <w:r>
        <w:rPr>
          <w:rFonts w:ascii="Century Gothic" w:hAnsi="Century Gothic"/>
        </w:rPr>
        <w:t xml:space="preserve"> </w:t>
      </w:r>
      <w:r w:rsidR="00803A86">
        <w:rPr>
          <w:rFonts w:ascii="Century Gothic" w:hAnsi="Century Gothic"/>
        </w:rPr>
        <w:t xml:space="preserve">a University’s </w:t>
      </w:r>
      <w:r>
        <w:rPr>
          <w:rFonts w:ascii="Century Gothic" w:hAnsi="Century Gothic"/>
        </w:rPr>
        <w:t xml:space="preserve">success in collaborating with industry and </w:t>
      </w:r>
      <w:r w:rsidR="00803A86">
        <w:rPr>
          <w:rFonts w:ascii="Century Gothic" w:hAnsi="Century Gothic"/>
        </w:rPr>
        <w:t xml:space="preserve">in its </w:t>
      </w:r>
      <w:r>
        <w:rPr>
          <w:rFonts w:ascii="Century Gothic" w:hAnsi="Century Gothic"/>
        </w:rPr>
        <w:t xml:space="preserve">commercialisation activities.  The categories </w:t>
      </w:r>
      <w:r w:rsidRPr="00536AEC">
        <w:rPr>
          <w:rFonts w:ascii="Century Gothic" w:hAnsi="Century Gothic"/>
        </w:rPr>
        <w:t xml:space="preserve">2 - Other Public Sector Research Income, 3 - Industry and Other Research Income and 4 - Co-operative Research Centres (CRCs) already recognise </w:t>
      </w:r>
      <w:r>
        <w:rPr>
          <w:rFonts w:ascii="Century Gothic" w:hAnsi="Century Gothic"/>
        </w:rPr>
        <w:t>en</w:t>
      </w:r>
      <w:r w:rsidR="00803A86">
        <w:rPr>
          <w:rFonts w:ascii="Century Gothic" w:hAnsi="Century Gothic"/>
        </w:rPr>
        <w:t>g</w:t>
      </w:r>
      <w:r>
        <w:rPr>
          <w:rFonts w:ascii="Century Gothic" w:hAnsi="Century Gothic"/>
        </w:rPr>
        <w:t xml:space="preserve">agement, </w:t>
      </w:r>
      <w:r w:rsidR="00803A86">
        <w:rPr>
          <w:rFonts w:ascii="Century Gothic" w:hAnsi="Century Gothic"/>
        </w:rPr>
        <w:t xml:space="preserve">joint research activity and commercialisation success.  </w:t>
      </w:r>
    </w:p>
    <w:p w14:paraId="528F8AF6" w14:textId="77777777" w:rsidR="009F6D7C" w:rsidRDefault="00803A86" w:rsidP="0044213D">
      <w:pPr>
        <w:jc w:val="both"/>
        <w:rPr>
          <w:rFonts w:ascii="Century Gothic" w:hAnsi="Century Gothic"/>
        </w:rPr>
      </w:pPr>
      <w:r>
        <w:rPr>
          <w:rFonts w:ascii="Century Gothic" w:hAnsi="Century Gothic"/>
        </w:rPr>
        <w:t>Howe</w:t>
      </w:r>
      <w:r w:rsidR="009F6D7C">
        <w:rPr>
          <w:rFonts w:ascii="Century Gothic" w:hAnsi="Century Gothic"/>
        </w:rPr>
        <w:t>ver, these measures solely focu</w:t>
      </w:r>
      <w:r>
        <w:rPr>
          <w:rFonts w:ascii="Century Gothic" w:hAnsi="Century Gothic"/>
        </w:rPr>
        <w:t xml:space="preserve">s on </w:t>
      </w:r>
      <w:r w:rsidR="009F6D7C">
        <w:rPr>
          <w:rFonts w:ascii="Century Gothic" w:hAnsi="Century Gothic"/>
        </w:rPr>
        <w:t>income and do not fully reflect the extent and success of research commercialisation activities.</w:t>
      </w:r>
    </w:p>
    <w:p w14:paraId="528F8AF7" w14:textId="77777777" w:rsidR="003971B9" w:rsidRPr="00174555" w:rsidRDefault="003971B9" w:rsidP="007819E2">
      <w:pPr>
        <w:pStyle w:val="Heading2"/>
      </w:pPr>
      <w:r w:rsidRPr="00174555">
        <w:t>Engagement and Collaboration</w:t>
      </w:r>
    </w:p>
    <w:p w14:paraId="528F8AF8" w14:textId="77777777" w:rsidR="003971B9" w:rsidRDefault="009F6D7C" w:rsidP="0044213D">
      <w:pPr>
        <w:jc w:val="both"/>
        <w:rPr>
          <w:rFonts w:ascii="Century Gothic" w:hAnsi="Century Gothic"/>
        </w:rPr>
      </w:pPr>
      <w:r w:rsidRPr="009E1725">
        <w:rPr>
          <w:rFonts w:ascii="Century Gothic" w:hAnsi="Century Gothic"/>
        </w:rPr>
        <w:t>Engagement and collaboration</w:t>
      </w:r>
      <w:r w:rsidRPr="003971B9">
        <w:rPr>
          <w:rFonts w:ascii="Century Gothic" w:hAnsi="Century Gothic"/>
        </w:rPr>
        <w:t xml:space="preserve"> are</w:t>
      </w:r>
      <w:r>
        <w:rPr>
          <w:rFonts w:ascii="Century Gothic" w:hAnsi="Century Gothic"/>
        </w:rPr>
        <w:t xml:space="preserve"> keys for the successful translation of research outcomes.  Therefore, the Government should consider additional measures, e.g. the number and percentage of academic staff engaged in industry collaborations and commercialisation activities.</w:t>
      </w:r>
    </w:p>
    <w:p w14:paraId="528F8AF9" w14:textId="77777777" w:rsidR="00536AEC" w:rsidRPr="00174555" w:rsidRDefault="003971B9" w:rsidP="007819E2">
      <w:pPr>
        <w:pStyle w:val="Heading2"/>
      </w:pPr>
      <w:r w:rsidRPr="00174555">
        <w:t>IP Protection</w:t>
      </w:r>
    </w:p>
    <w:p w14:paraId="528F8AFA" w14:textId="77777777" w:rsidR="003971B9" w:rsidRDefault="009F6D7C" w:rsidP="0044213D">
      <w:pPr>
        <w:jc w:val="both"/>
        <w:rPr>
          <w:rFonts w:ascii="Century Gothic" w:hAnsi="Century Gothic"/>
        </w:rPr>
      </w:pPr>
      <w:r w:rsidRPr="009E1725">
        <w:rPr>
          <w:rFonts w:ascii="Century Gothic" w:hAnsi="Century Gothic"/>
        </w:rPr>
        <w:t>Protection of intellectual property</w:t>
      </w:r>
      <w:r w:rsidRPr="003971B9">
        <w:rPr>
          <w:rFonts w:ascii="Century Gothic" w:hAnsi="Century Gothic"/>
        </w:rPr>
        <w:t xml:space="preserve"> is an important factor for the translation of</w:t>
      </w:r>
      <w:r>
        <w:rPr>
          <w:rFonts w:ascii="Century Gothic" w:hAnsi="Century Gothic"/>
        </w:rPr>
        <w:t xml:space="preserve"> research outcomes, where the industry requires strong IP protection for successful commercialisation of a technology.  </w:t>
      </w:r>
    </w:p>
    <w:p w14:paraId="528F8AFB" w14:textId="77777777" w:rsidR="003971B9" w:rsidRDefault="009F6D7C" w:rsidP="0044213D">
      <w:pPr>
        <w:jc w:val="both"/>
        <w:rPr>
          <w:rFonts w:ascii="Century Gothic" w:hAnsi="Century Gothic"/>
        </w:rPr>
      </w:pPr>
      <w:r>
        <w:rPr>
          <w:rFonts w:ascii="Century Gothic" w:hAnsi="Century Gothic"/>
        </w:rPr>
        <w:t>However, the number of patent applications filed and prosecuted, or granted patents</w:t>
      </w:r>
      <w:r w:rsidR="008448BE">
        <w:rPr>
          <w:rFonts w:ascii="Century Gothic" w:hAnsi="Century Gothic"/>
        </w:rPr>
        <w:t>,</w:t>
      </w:r>
      <w:r>
        <w:rPr>
          <w:rFonts w:ascii="Century Gothic" w:hAnsi="Century Gothic"/>
        </w:rPr>
        <w:t xml:space="preserve"> do not reflect such success. </w:t>
      </w:r>
      <w:r w:rsidR="007611FC">
        <w:rPr>
          <w:rFonts w:ascii="Century Gothic" w:hAnsi="Century Gothic"/>
        </w:rPr>
        <w:t xml:space="preserve"> </w:t>
      </w:r>
    </w:p>
    <w:p w14:paraId="528F8AFC" w14:textId="77777777" w:rsidR="003971B9" w:rsidRDefault="009F6D7C" w:rsidP="0044213D">
      <w:pPr>
        <w:jc w:val="both"/>
        <w:rPr>
          <w:rFonts w:ascii="Century Gothic" w:hAnsi="Century Gothic"/>
        </w:rPr>
      </w:pPr>
      <w:r>
        <w:rPr>
          <w:rFonts w:ascii="Century Gothic" w:hAnsi="Century Gothic"/>
        </w:rPr>
        <w:t xml:space="preserve">Patents </w:t>
      </w:r>
      <w:r w:rsidR="000A45D2">
        <w:rPr>
          <w:rFonts w:ascii="Century Gothic" w:hAnsi="Century Gothic"/>
        </w:rPr>
        <w:t xml:space="preserve">involve </w:t>
      </w:r>
      <w:r w:rsidR="007611FC">
        <w:rPr>
          <w:rFonts w:ascii="Century Gothic" w:hAnsi="Century Gothic"/>
        </w:rPr>
        <w:t>an investment decision</w:t>
      </w:r>
      <w:r w:rsidR="008448BE">
        <w:rPr>
          <w:rFonts w:ascii="Century Gothic" w:hAnsi="Century Gothic"/>
        </w:rPr>
        <w:t>:</w:t>
      </w:r>
      <w:r w:rsidR="007611FC">
        <w:rPr>
          <w:rFonts w:ascii="Century Gothic" w:hAnsi="Century Gothic"/>
        </w:rPr>
        <w:t xml:space="preserve"> </w:t>
      </w:r>
      <w:r w:rsidR="008448BE">
        <w:rPr>
          <w:rFonts w:ascii="Century Gothic" w:hAnsi="Century Gothic"/>
        </w:rPr>
        <w:t xml:space="preserve"> T</w:t>
      </w:r>
      <w:r w:rsidR="007611FC">
        <w:rPr>
          <w:rFonts w:ascii="Century Gothic" w:hAnsi="Century Gothic"/>
        </w:rPr>
        <w:t xml:space="preserve">hey are </w:t>
      </w:r>
      <w:r>
        <w:rPr>
          <w:rFonts w:ascii="Century Gothic" w:hAnsi="Century Gothic"/>
        </w:rPr>
        <w:t xml:space="preserve">commercial tools that </w:t>
      </w:r>
      <w:r w:rsidR="007B2DD6">
        <w:rPr>
          <w:rFonts w:ascii="Century Gothic" w:hAnsi="Century Gothic"/>
        </w:rPr>
        <w:t xml:space="preserve">require significant investment, </w:t>
      </w:r>
      <w:r>
        <w:rPr>
          <w:rFonts w:ascii="Century Gothic" w:hAnsi="Century Gothic"/>
        </w:rPr>
        <w:t>and should not be filed for the sake of filing, but only for the pu</w:t>
      </w:r>
      <w:r w:rsidR="008D2E5F">
        <w:rPr>
          <w:rFonts w:ascii="Century Gothic" w:hAnsi="Century Gothic"/>
        </w:rPr>
        <w:t xml:space="preserve">rpose of </w:t>
      </w:r>
      <w:r w:rsidR="00961CD5">
        <w:rPr>
          <w:rFonts w:ascii="Century Gothic" w:hAnsi="Century Gothic"/>
        </w:rPr>
        <w:t xml:space="preserve">supporting </w:t>
      </w:r>
      <w:r w:rsidR="000A45D2">
        <w:rPr>
          <w:rFonts w:ascii="Century Gothic" w:hAnsi="Century Gothic"/>
        </w:rPr>
        <w:t xml:space="preserve">commercialisation and associated </w:t>
      </w:r>
      <w:r w:rsidR="007611FC">
        <w:rPr>
          <w:rFonts w:ascii="Century Gothic" w:hAnsi="Century Gothic"/>
        </w:rPr>
        <w:t>return o</w:t>
      </w:r>
      <w:r w:rsidR="00961CD5">
        <w:rPr>
          <w:rFonts w:ascii="Century Gothic" w:hAnsi="Century Gothic"/>
        </w:rPr>
        <w:t>n</w:t>
      </w:r>
      <w:r w:rsidR="007611FC">
        <w:rPr>
          <w:rFonts w:ascii="Century Gothic" w:hAnsi="Century Gothic"/>
        </w:rPr>
        <w:t xml:space="preserve"> investment</w:t>
      </w:r>
      <w:r w:rsidR="008D2E5F">
        <w:rPr>
          <w:rFonts w:ascii="Century Gothic" w:hAnsi="Century Gothic"/>
        </w:rPr>
        <w:t xml:space="preserve">.  </w:t>
      </w:r>
    </w:p>
    <w:p w14:paraId="528F8AFD" w14:textId="77777777" w:rsidR="003971B9" w:rsidRDefault="009F6D7C" w:rsidP="0044213D">
      <w:pPr>
        <w:jc w:val="both"/>
        <w:rPr>
          <w:rFonts w:ascii="Century Gothic" w:hAnsi="Century Gothic"/>
        </w:rPr>
      </w:pPr>
      <w:r>
        <w:rPr>
          <w:rFonts w:ascii="Century Gothic" w:hAnsi="Century Gothic"/>
        </w:rPr>
        <w:t>Uni</w:t>
      </w:r>
      <w:r w:rsidR="008D2E5F">
        <w:rPr>
          <w:rFonts w:ascii="Century Gothic" w:hAnsi="Century Gothic"/>
        </w:rPr>
        <w:t>versities usually d</w:t>
      </w:r>
      <w:r>
        <w:rPr>
          <w:rFonts w:ascii="Century Gothic" w:hAnsi="Century Gothic"/>
        </w:rPr>
        <w:t>o not produce and sell products that are protected by patents</w:t>
      </w:r>
      <w:r w:rsidR="0044213D">
        <w:rPr>
          <w:rFonts w:ascii="Century Gothic" w:hAnsi="Century Gothic"/>
        </w:rPr>
        <w:t>;</w:t>
      </w:r>
      <w:r w:rsidR="008448BE">
        <w:rPr>
          <w:rFonts w:ascii="Century Gothic" w:hAnsi="Century Gothic"/>
        </w:rPr>
        <w:t xml:space="preserve"> industry partners do</w:t>
      </w:r>
      <w:r w:rsidR="008D2E5F">
        <w:rPr>
          <w:rFonts w:ascii="Century Gothic" w:hAnsi="Century Gothic"/>
        </w:rPr>
        <w:t xml:space="preserve">.  Accordingly, </w:t>
      </w:r>
      <w:r w:rsidR="008448BE">
        <w:rPr>
          <w:rFonts w:ascii="Century Gothic" w:hAnsi="Century Gothic"/>
        </w:rPr>
        <w:t xml:space="preserve">the driver behind filing </w:t>
      </w:r>
      <w:r w:rsidR="008D2E5F">
        <w:rPr>
          <w:rFonts w:ascii="Century Gothic" w:hAnsi="Century Gothic"/>
        </w:rPr>
        <w:t>patents should</w:t>
      </w:r>
      <w:r>
        <w:rPr>
          <w:rFonts w:ascii="Century Gothic" w:hAnsi="Century Gothic"/>
        </w:rPr>
        <w:t xml:space="preserve"> </w:t>
      </w:r>
      <w:r w:rsidR="008448BE">
        <w:rPr>
          <w:rFonts w:ascii="Century Gothic" w:hAnsi="Century Gothic"/>
        </w:rPr>
        <w:t>be</w:t>
      </w:r>
      <w:r>
        <w:rPr>
          <w:rFonts w:ascii="Century Gothic" w:hAnsi="Century Gothic"/>
        </w:rPr>
        <w:t xml:space="preserve"> to enable </w:t>
      </w:r>
      <w:r w:rsidR="008D2E5F">
        <w:rPr>
          <w:rFonts w:ascii="Century Gothic" w:hAnsi="Century Gothic"/>
        </w:rPr>
        <w:t>a</w:t>
      </w:r>
      <w:r w:rsidR="008448BE">
        <w:rPr>
          <w:rFonts w:ascii="Century Gothic" w:hAnsi="Century Gothic"/>
        </w:rPr>
        <w:t>n industry partner (</w:t>
      </w:r>
      <w:r w:rsidR="008D2E5F">
        <w:rPr>
          <w:rFonts w:ascii="Century Gothic" w:hAnsi="Century Gothic"/>
        </w:rPr>
        <w:t>licensee</w:t>
      </w:r>
      <w:r w:rsidR="008448BE">
        <w:rPr>
          <w:rFonts w:ascii="Century Gothic" w:hAnsi="Century Gothic"/>
        </w:rPr>
        <w:t>)</w:t>
      </w:r>
      <w:r w:rsidR="008D2E5F">
        <w:rPr>
          <w:rFonts w:ascii="Century Gothic" w:hAnsi="Century Gothic"/>
        </w:rPr>
        <w:t xml:space="preserve"> to protect, develop, manufactur</w:t>
      </w:r>
      <w:r w:rsidR="00493CF9">
        <w:rPr>
          <w:rFonts w:ascii="Century Gothic" w:hAnsi="Century Gothic"/>
        </w:rPr>
        <w:t>e</w:t>
      </w:r>
      <w:r w:rsidR="008D2E5F">
        <w:rPr>
          <w:rFonts w:ascii="Century Gothic" w:hAnsi="Century Gothic"/>
        </w:rPr>
        <w:t xml:space="preserve"> and </w:t>
      </w:r>
      <w:r w:rsidR="00961CD5">
        <w:rPr>
          <w:rFonts w:ascii="Century Gothic" w:hAnsi="Century Gothic"/>
        </w:rPr>
        <w:t xml:space="preserve">sell </w:t>
      </w:r>
      <w:r w:rsidR="008D2E5F">
        <w:rPr>
          <w:rFonts w:ascii="Century Gothic" w:hAnsi="Century Gothic"/>
        </w:rPr>
        <w:t>innovative products or provide innovative services.</w:t>
      </w:r>
    </w:p>
    <w:p w14:paraId="528F8AFE" w14:textId="77777777" w:rsidR="008D2E5F" w:rsidRDefault="007611FC" w:rsidP="0044213D">
      <w:pPr>
        <w:jc w:val="both"/>
        <w:rPr>
          <w:rFonts w:ascii="Century Gothic" w:hAnsi="Century Gothic"/>
        </w:rPr>
      </w:pPr>
      <w:r>
        <w:rPr>
          <w:rFonts w:ascii="Century Gothic" w:hAnsi="Century Gothic"/>
        </w:rPr>
        <w:t>Experience in Europe has shown that a KPI on the number of patents filed simply multiplies filing of non-commercially valuable patents (Germany and Spain).</w:t>
      </w:r>
    </w:p>
    <w:p w14:paraId="528F8B00" w14:textId="22A809EB" w:rsidR="00E54B06" w:rsidRPr="00552F65" w:rsidRDefault="007611FC" w:rsidP="00552F65">
      <w:pPr>
        <w:jc w:val="both"/>
        <w:rPr>
          <w:rFonts w:ascii="Century Gothic" w:hAnsi="Century Gothic"/>
        </w:rPr>
      </w:pPr>
      <w:r>
        <w:rPr>
          <w:rFonts w:ascii="Century Gothic" w:hAnsi="Century Gothic"/>
        </w:rPr>
        <w:t>A better measure relating to patents and other IP rights is the percentage of patents / IP rights that have been commercialised vs. non-commercialised patents.</w:t>
      </w:r>
    </w:p>
    <w:p w14:paraId="528F8B01" w14:textId="77777777" w:rsidR="003971B9" w:rsidRPr="00174555" w:rsidRDefault="008448BE" w:rsidP="007819E2">
      <w:pPr>
        <w:pStyle w:val="Heading2"/>
      </w:pPr>
      <w:r w:rsidRPr="00174555">
        <w:t>Recognising the Full Extent of</w:t>
      </w:r>
      <w:r w:rsidR="003971B9" w:rsidRPr="00174555">
        <w:t xml:space="preserve"> Impact</w:t>
      </w:r>
    </w:p>
    <w:p w14:paraId="528F8B02" w14:textId="77777777" w:rsidR="00EA6A76" w:rsidRDefault="007611FC" w:rsidP="0044213D">
      <w:pPr>
        <w:jc w:val="both"/>
        <w:rPr>
          <w:rFonts w:ascii="Century Gothic" w:hAnsi="Century Gothic"/>
        </w:rPr>
      </w:pPr>
      <w:r>
        <w:rPr>
          <w:rFonts w:ascii="Century Gothic" w:hAnsi="Century Gothic"/>
        </w:rPr>
        <w:t xml:space="preserve">Another measure for translation of research into outcomes valuable for Australia is </w:t>
      </w:r>
      <w:r w:rsidR="008448BE">
        <w:rPr>
          <w:rFonts w:ascii="Century Gothic" w:hAnsi="Century Gothic"/>
        </w:rPr>
        <w:t>‘</w:t>
      </w:r>
      <w:r w:rsidRPr="009E1725">
        <w:rPr>
          <w:rFonts w:ascii="Century Gothic" w:hAnsi="Century Gothic"/>
        </w:rPr>
        <w:t>Impact</w:t>
      </w:r>
      <w:r w:rsidR="008448BE">
        <w:rPr>
          <w:rFonts w:ascii="Century Gothic" w:hAnsi="Century Gothic"/>
        </w:rPr>
        <w:t>’</w:t>
      </w:r>
      <w:r>
        <w:rPr>
          <w:rFonts w:ascii="Century Gothic" w:hAnsi="Century Gothic"/>
        </w:rPr>
        <w:t xml:space="preserve">.  </w:t>
      </w:r>
    </w:p>
    <w:p w14:paraId="528F8B03" w14:textId="77777777" w:rsidR="003971B9" w:rsidRDefault="007611FC" w:rsidP="0044213D">
      <w:pPr>
        <w:jc w:val="both"/>
        <w:rPr>
          <w:rFonts w:ascii="Century Gothic" w:hAnsi="Century Gothic"/>
        </w:rPr>
      </w:pPr>
      <w:r>
        <w:rPr>
          <w:rFonts w:ascii="Century Gothic" w:hAnsi="Century Gothic"/>
        </w:rPr>
        <w:lastRenderedPageBreak/>
        <w:t>The A</w:t>
      </w:r>
      <w:r w:rsidR="00415750">
        <w:rPr>
          <w:rFonts w:ascii="Century Gothic" w:hAnsi="Century Gothic"/>
        </w:rPr>
        <w:t>RC</w:t>
      </w:r>
      <w:r>
        <w:rPr>
          <w:rFonts w:ascii="Century Gothic" w:hAnsi="Century Gothic"/>
        </w:rPr>
        <w:t xml:space="preserve"> has defined </w:t>
      </w:r>
      <w:r w:rsidR="00415750">
        <w:rPr>
          <w:rFonts w:ascii="Century Gothic" w:hAnsi="Century Gothic"/>
        </w:rPr>
        <w:t xml:space="preserve">“Impact” as “… </w:t>
      </w:r>
      <w:r w:rsidR="00415750" w:rsidRPr="00415750">
        <w:rPr>
          <w:rFonts w:ascii="Century Gothic" w:hAnsi="Century Gothic"/>
          <w:i/>
        </w:rPr>
        <w:t>the demonstrable contribution that research makes to the economy, society, culture, national security, public policy or services, health, the environment, or quality of life, beyond contributions to academia</w:t>
      </w:r>
      <w:r w:rsidR="00415750" w:rsidRPr="00415750">
        <w:rPr>
          <w:rFonts w:ascii="Century Gothic" w:hAnsi="Century Gothic"/>
        </w:rPr>
        <w:t>.”</w:t>
      </w:r>
      <w:r w:rsidR="00415750">
        <w:rPr>
          <w:rFonts w:ascii="Century Gothic" w:hAnsi="Century Gothic"/>
        </w:rPr>
        <w:t xml:space="preserve">  </w:t>
      </w:r>
    </w:p>
    <w:p w14:paraId="528F8B04" w14:textId="77777777" w:rsidR="003971B9" w:rsidRDefault="00415750" w:rsidP="0044213D">
      <w:pPr>
        <w:jc w:val="both"/>
        <w:rPr>
          <w:rFonts w:ascii="Century Gothic" w:hAnsi="Century Gothic"/>
        </w:rPr>
      </w:pPr>
      <w:r>
        <w:rPr>
          <w:rFonts w:ascii="Century Gothic" w:hAnsi="Century Gothic"/>
        </w:rPr>
        <w:t>Impact provides a much broader performance measure th</w:t>
      </w:r>
      <w:r w:rsidR="00961CD5">
        <w:rPr>
          <w:rFonts w:ascii="Century Gothic" w:hAnsi="Century Gothic"/>
        </w:rPr>
        <w:t>a</w:t>
      </w:r>
      <w:r>
        <w:rPr>
          <w:rFonts w:ascii="Century Gothic" w:hAnsi="Century Gothic"/>
        </w:rPr>
        <w:t>n commercialisation income</w:t>
      </w:r>
      <w:r w:rsidR="00493CF9">
        <w:rPr>
          <w:rFonts w:ascii="Century Gothic" w:hAnsi="Century Gothic"/>
        </w:rPr>
        <w:t>.  It</w:t>
      </w:r>
      <w:r>
        <w:rPr>
          <w:rFonts w:ascii="Century Gothic" w:hAnsi="Century Gothic"/>
        </w:rPr>
        <w:t xml:space="preserve"> also recognis</w:t>
      </w:r>
      <w:r w:rsidR="00493CF9">
        <w:rPr>
          <w:rFonts w:ascii="Century Gothic" w:hAnsi="Century Gothic"/>
        </w:rPr>
        <w:t>es</w:t>
      </w:r>
      <w:r>
        <w:rPr>
          <w:rFonts w:ascii="Century Gothic" w:hAnsi="Century Gothic"/>
        </w:rPr>
        <w:t xml:space="preserve"> translation that </w:t>
      </w:r>
      <w:r w:rsidR="00EA6A76">
        <w:rPr>
          <w:rFonts w:ascii="Century Gothic" w:hAnsi="Century Gothic"/>
        </w:rPr>
        <w:t xml:space="preserve">may have </w:t>
      </w:r>
      <w:r>
        <w:rPr>
          <w:rFonts w:ascii="Century Gothic" w:hAnsi="Century Gothic"/>
        </w:rPr>
        <w:t>no commercial benefit for the University</w:t>
      </w:r>
      <w:r w:rsidR="00493CF9">
        <w:rPr>
          <w:rFonts w:ascii="Century Gothic" w:hAnsi="Century Gothic"/>
        </w:rPr>
        <w:t xml:space="preserve">, but </w:t>
      </w:r>
      <w:r w:rsidR="00EA6A76">
        <w:rPr>
          <w:rFonts w:ascii="Century Gothic" w:hAnsi="Century Gothic"/>
        </w:rPr>
        <w:t xml:space="preserve">significant </w:t>
      </w:r>
      <w:r w:rsidR="00493CF9">
        <w:rPr>
          <w:rFonts w:ascii="Century Gothic" w:hAnsi="Century Gothic"/>
        </w:rPr>
        <w:t>benefit to the community</w:t>
      </w:r>
      <w:r>
        <w:rPr>
          <w:rFonts w:ascii="Century Gothic" w:hAnsi="Century Gothic"/>
        </w:rPr>
        <w:t xml:space="preserve">.  </w:t>
      </w:r>
    </w:p>
    <w:p w14:paraId="528F8B05" w14:textId="77777777" w:rsidR="00415750" w:rsidRPr="00415750" w:rsidRDefault="00EA6A76" w:rsidP="0044213D">
      <w:pPr>
        <w:jc w:val="both"/>
        <w:rPr>
          <w:rFonts w:ascii="Century Gothic" w:hAnsi="Century Gothic"/>
        </w:rPr>
      </w:pPr>
      <w:r>
        <w:rPr>
          <w:rFonts w:ascii="Century Gothic" w:hAnsi="Century Gothic"/>
        </w:rPr>
        <w:t xml:space="preserve">To better determine </w:t>
      </w:r>
      <w:r w:rsidR="0079514B">
        <w:rPr>
          <w:rFonts w:ascii="Century Gothic" w:hAnsi="Century Gothic"/>
        </w:rPr>
        <w:t xml:space="preserve">and illustrate </w:t>
      </w:r>
      <w:r>
        <w:rPr>
          <w:rFonts w:ascii="Century Gothic" w:hAnsi="Century Gothic"/>
        </w:rPr>
        <w:t xml:space="preserve">the benefits higher education institutes deliver to Australia, </w:t>
      </w:r>
      <w:r w:rsidR="00415750">
        <w:rPr>
          <w:rFonts w:ascii="Century Gothic" w:hAnsi="Century Gothic"/>
        </w:rPr>
        <w:t xml:space="preserve">Griffith </w:t>
      </w:r>
      <w:r>
        <w:rPr>
          <w:rFonts w:ascii="Century Gothic" w:hAnsi="Century Gothic"/>
        </w:rPr>
        <w:t xml:space="preserve">University </w:t>
      </w:r>
      <w:r w:rsidR="00415750">
        <w:rPr>
          <w:rFonts w:ascii="Century Gothic" w:hAnsi="Century Gothic"/>
        </w:rPr>
        <w:t xml:space="preserve">proposes to include non-monetary benefits </w:t>
      </w:r>
      <w:r>
        <w:rPr>
          <w:rFonts w:ascii="Century Gothic" w:hAnsi="Century Gothic"/>
        </w:rPr>
        <w:t xml:space="preserve">as well as monetary-benefits, </w:t>
      </w:r>
      <w:r w:rsidR="00415750">
        <w:rPr>
          <w:rFonts w:ascii="Century Gothic" w:hAnsi="Century Gothic"/>
        </w:rPr>
        <w:t>and categorise these in three ‘Orders of Impact’:</w:t>
      </w:r>
    </w:p>
    <w:p w14:paraId="528F8B06" w14:textId="77777777" w:rsidR="00415750" w:rsidRPr="00415750" w:rsidRDefault="00415750" w:rsidP="0044213D">
      <w:pPr>
        <w:pStyle w:val="ListParagraph"/>
        <w:numPr>
          <w:ilvl w:val="0"/>
          <w:numId w:val="41"/>
        </w:numPr>
        <w:contextualSpacing w:val="0"/>
        <w:jc w:val="both"/>
        <w:rPr>
          <w:rFonts w:ascii="Century Gothic" w:hAnsi="Century Gothic"/>
        </w:rPr>
      </w:pPr>
      <w:r w:rsidRPr="00415750">
        <w:rPr>
          <w:rFonts w:ascii="Century Gothic" w:hAnsi="Century Gothic"/>
        </w:rPr>
        <w:t>First order impact</w:t>
      </w:r>
      <w:r>
        <w:rPr>
          <w:rFonts w:ascii="Century Gothic" w:hAnsi="Century Gothic"/>
        </w:rPr>
        <w:t xml:space="preserve"> </w:t>
      </w:r>
      <w:r w:rsidRPr="00415750">
        <w:rPr>
          <w:rFonts w:ascii="Century Gothic" w:hAnsi="Century Gothic"/>
        </w:rPr>
        <w:t>(tangible research outcomes)</w:t>
      </w:r>
    </w:p>
    <w:p w14:paraId="528F8B07" w14:textId="77777777" w:rsidR="00415750" w:rsidRPr="00415750" w:rsidRDefault="00415750" w:rsidP="0044213D">
      <w:pPr>
        <w:pStyle w:val="ListParagraph"/>
        <w:contextualSpacing w:val="0"/>
        <w:jc w:val="both"/>
        <w:rPr>
          <w:rFonts w:ascii="Century Gothic" w:hAnsi="Century Gothic"/>
        </w:rPr>
      </w:pPr>
      <w:r w:rsidRPr="00415750">
        <w:rPr>
          <w:rFonts w:ascii="Century Gothic" w:hAnsi="Century Gothic"/>
        </w:rPr>
        <w:t>(e.g. a vaccine candidate; an educational program; a public health intervention program; a new electronic system)</w:t>
      </w:r>
    </w:p>
    <w:p w14:paraId="528F8B08" w14:textId="77777777" w:rsidR="00415750" w:rsidRPr="00415750" w:rsidRDefault="00415750" w:rsidP="0044213D">
      <w:pPr>
        <w:pStyle w:val="ListParagraph"/>
        <w:numPr>
          <w:ilvl w:val="0"/>
          <w:numId w:val="41"/>
        </w:numPr>
        <w:contextualSpacing w:val="0"/>
        <w:jc w:val="both"/>
        <w:rPr>
          <w:rFonts w:ascii="Century Gothic" w:hAnsi="Century Gothic"/>
        </w:rPr>
      </w:pPr>
      <w:r w:rsidRPr="00415750">
        <w:rPr>
          <w:rFonts w:ascii="Century Gothic" w:hAnsi="Century Gothic"/>
        </w:rPr>
        <w:t>Second order impact</w:t>
      </w:r>
      <w:r>
        <w:rPr>
          <w:rFonts w:ascii="Century Gothic" w:hAnsi="Century Gothic"/>
        </w:rPr>
        <w:t xml:space="preserve"> </w:t>
      </w:r>
      <w:r w:rsidRPr="00415750">
        <w:rPr>
          <w:rFonts w:ascii="Century Gothic" w:hAnsi="Century Gothic"/>
        </w:rPr>
        <w:t>(delivery of product or service to the community)</w:t>
      </w:r>
    </w:p>
    <w:p w14:paraId="528F8B09" w14:textId="77777777" w:rsidR="00415750" w:rsidRPr="00415750" w:rsidRDefault="00415750" w:rsidP="0044213D">
      <w:pPr>
        <w:pStyle w:val="ListParagraph"/>
        <w:contextualSpacing w:val="0"/>
        <w:jc w:val="both"/>
        <w:rPr>
          <w:rFonts w:ascii="Century Gothic" w:hAnsi="Century Gothic"/>
        </w:rPr>
      </w:pPr>
      <w:r w:rsidRPr="00415750">
        <w:rPr>
          <w:rFonts w:ascii="Century Gothic" w:hAnsi="Century Gothic"/>
        </w:rPr>
        <w:t>(e.g</w:t>
      </w:r>
      <w:r w:rsidR="000A45D2">
        <w:rPr>
          <w:rFonts w:ascii="Century Gothic" w:hAnsi="Century Gothic"/>
        </w:rPr>
        <w:t>.</w:t>
      </w:r>
      <w:r w:rsidRPr="00415750">
        <w:rPr>
          <w:rFonts w:ascii="Century Gothic" w:hAnsi="Century Gothic"/>
        </w:rPr>
        <w:t xml:space="preserve"> number of vaccinations; number of schools implementing the program; delivery through therapists to families in need; products utilising </w:t>
      </w:r>
      <w:r w:rsidR="00493CF9">
        <w:rPr>
          <w:rFonts w:ascii="Century Gothic" w:hAnsi="Century Gothic"/>
        </w:rPr>
        <w:t xml:space="preserve">the </w:t>
      </w:r>
      <w:r w:rsidRPr="00415750">
        <w:rPr>
          <w:rFonts w:ascii="Century Gothic" w:hAnsi="Century Gothic"/>
        </w:rPr>
        <w:t>new electronic system)</w:t>
      </w:r>
    </w:p>
    <w:p w14:paraId="528F8B0A" w14:textId="77777777" w:rsidR="00415750" w:rsidRPr="00415750" w:rsidRDefault="00415750" w:rsidP="0044213D">
      <w:pPr>
        <w:pStyle w:val="ListParagraph"/>
        <w:numPr>
          <w:ilvl w:val="0"/>
          <w:numId w:val="41"/>
        </w:numPr>
        <w:contextualSpacing w:val="0"/>
        <w:jc w:val="both"/>
        <w:rPr>
          <w:rFonts w:ascii="Century Gothic" w:hAnsi="Century Gothic"/>
        </w:rPr>
      </w:pPr>
      <w:r>
        <w:rPr>
          <w:rFonts w:ascii="Century Gothic" w:hAnsi="Century Gothic"/>
        </w:rPr>
        <w:t xml:space="preserve">Third order impact </w:t>
      </w:r>
      <w:r w:rsidRPr="00415750">
        <w:rPr>
          <w:rFonts w:ascii="Century Gothic" w:hAnsi="Century Gothic"/>
        </w:rPr>
        <w:t>(impact on people using the product or having received the service)</w:t>
      </w:r>
    </w:p>
    <w:p w14:paraId="528F8B0B" w14:textId="77777777" w:rsidR="00415750" w:rsidRDefault="00415750" w:rsidP="0044213D">
      <w:pPr>
        <w:pStyle w:val="ListParagraph"/>
        <w:contextualSpacing w:val="0"/>
        <w:jc w:val="both"/>
        <w:rPr>
          <w:rFonts w:ascii="Century Gothic" w:hAnsi="Century Gothic"/>
        </w:rPr>
      </w:pPr>
      <w:r w:rsidRPr="00415750">
        <w:rPr>
          <w:rFonts w:ascii="Century Gothic" w:hAnsi="Century Gothic"/>
        </w:rPr>
        <w:t xml:space="preserve">(e.g. reduction in incidents </w:t>
      </w:r>
      <w:r>
        <w:rPr>
          <w:rFonts w:ascii="Century Gothic" w:hAnsi="Century Gothic"/>
        </w:rPr>
        <w:t xml:space="preserve">of disease </w:t>
      </w:r>
      <w:r w:rsidRPr="00415750">
        <w:rPr>
          <w:rFonts w:ascii="Century Gothic" w:hAnsi="Century Gothic"/>
        </w:rPr>
        <w:t>and costs and improved quality of life; improvement in literacy and numeracy skills; reduction in need for intervention and associated costs and improved quality of life; reduction in e-waste and associated costs)</w:t>
      </w:r>
      <w:r w:rsidR="00961CD5">
        <w:rPr>
          <w:rFonts w:ascii="Century Gothic" w:hAnsi="Century Gothic"/>
        </w:rPr>
        <w:t>.</w:t>
      </w:r>
    </w:p>
    <w:p w14:paraId="528F8B0C" w14:textId="77777777" w:rsidR="00961CD5" w:rsidRPr="00415750" w:rsidRDefault="00961CD5" w:rsidP="0044213D">
      <w:pPr>
        <w:pStyle w:val="ListParagraph"/>
        <w:contextualSpacing w:val="0"/>
        <w:jc w:val="both"/>
        <w:rPr>
          <w:rFonts w:ascii="Century Gothic" w:hAnsi="Century Gothic"/>
        </w:rPr>
      </w:pPr>
      <w:r>
        <w:rPr>
          <w:rFonts w:ascii="Century Gothic" w:hAnsi="Century Gothic"/>
        </w:rPr>
        <w:t>‘</w:t>
      </w:r>
      <w:r w:rsidR="005C03DE">
        <w:rPr>
          <w:rFonts w:ascii="Century Gothic" w:hAnsi="Century Gothic"/>
        </w:rPr>
        <w:t>T</w:t>
      </w:r>
      <w:r>
        <w:rPr>
          <w:rFonts w:ascii="Century Gothic" w:hAnsi="Century Gothic"/>
        </w:rPr>
        <w:t xml:space="preserve">hird order impact’ </w:t>
      </w:r>
      <w:r w:rsidR="005C03DE">
        <w:rPr>
          <w:rFonts w:ascii="Century Gothic" w:hAnsi="Century Gothic"/>
        </w:rPr>
        <w:t xml:space="preserve">is </w:t>
      </w:r>
      <w:r w:rsidR="00493CF9">
        <w:rPr>
          <w:rFonts w:ascii="Century Gothic" w:hAnsi="Century Gothic"/>
        </w:rPr>
        <w:t xml:space="preserve">typically </w:t>
      </w:r>
      <w:r w:rsidR="005C03DE">
        <w:rPr>
          <w:rFonts w:ascii="Century Gothic" w:hAnsi="Century Gothic"/>
        </w:rPr>
        <w:t>where</w:t>
      </w:r>
      <w:r>
        <w:rPr>
          <w:rFonts w:ascii="Century Gothic" w:hAnsi="Century Gothic"/>
        </w:rPr>
        <w:t xml:space="preserve"> significant returns on the public’s investment in research are </w:t>
      </w:r>
      <w:r w:rsidR="005C03DE">
        <w:rPr>
          <w:rFonts w:ascii="Century Gothic" w:hAnsi="Century Gothic"/>
        </w:rPr>
        <w:t>manifest</w:t>
      </w:r>
      <w:r>
        <w:rPr>
          <w:rFonts w:ascii="Century Gothic" w:hAnsi="Century Gothic"/>
        </w:rPr>
        <w:t>.</w:t>
      </w:r>
    </w:p>
    <w:p w14:paraId="528F8B0D" w14:textId="77777777" w:rsidR="003971B9" w:rsidRDefault="009148C4" w:rsidP="0044213D">
      <w:pPr>
        <w:jc w:val="both"/>
        <w:rPr>
          <w:rFonts w:ascii="Century Gothic" w:hAnsi="Century Gothic"/>
        </w:rPr>
      </w:pPr>
      <w:r>
        <w:rPr>
          <w:rFonts w:ascii="Century Gothic" w:hAnsi="Century Gothic"/>
        </w:rPr>
        <w:t>“</w:t>
      </w:r>
      <w:r w:rsidR="00961CD5">
        <w:rPr>
          <w:rFonts w:ascii="Century Gothic" w:hAnsi="Century Gothic"/>
        </w:rPr>
        <w:t>I</w:t>
      </w:r>
      <w:r>
        <w:rPr>
          <w:rFonts w:ascii="Century Gothic" w:hAnsi="Century Gothic"/>
        </w:rPr>
        <w:t xml:space="preserve">mpact” also should include change of legislation and professional practice. </w:t>
      </w:r>
    </w:p>
    <w:p w14:paraId="528F8B0E" w14:textId="77777777" w:rsidR="000A45D2" w:rsidRDefault="00415750" w:rsidP="0044213D">
      <w:pPr>
        <w:jc w:val="both"/>
        <w:rPr>
          <w:rFonts w:ascii="Century Gothic" w:hAnsi="Century Gothic"/>
        </w:rPr>
      </w:pPr>
      <w:r>
        <w:rPr>
          <w:rFonts w:ascii="Century Gothic" w:hAnsi="Century Gothic"/>
        </w:rPr>
        <w:t xml:space="preserve">The United Kingdom, through the </w:t>
      </w:r>
      <w:r w:rsidRPr="00415750">
        <w:rPr>
          <w:rFonts w:ascii="Century Gothic" w:hAnsi="Century Gothic"/>
        </w:rPr>
        <w:t>Research Excellence Framework</w:t>
      </w:r>
      <w:r>
        <w:rPr>
          <w:rFonts w:ascii="Century Gothic" w:hAnsi="Century Gothic"/>
        </w:rPr>
        <w:t xml:space="preserve"> </w:t>
      </w:r>
      <w:r w:rsidRPr="00415750">
        <w:rPr>
          <w:rFonts w:ascii="Century Gothic" w:hAnsi="Century Gothic"/>
        </w:rPr>
        <w:t>(REF)</w:t>
      </w:r>
      <w:r>
        <w:rPr>
          <w:rFonts w:ascii="Century Gothic" w:hAnsi="Century Gothic"/>
        </w:rPr>
        <w:t xml:space="preserve">, is utilising Impact to allocate </w:t>
      </w:r>
      <w:r w:rsidR="00845DEA">
        <w:rPr>
          <w:rFonts w:ascii="Century Gothic" w:hAnsi="Century Gothic"/>
        </w:rPr>
        <w:t xml:space="preserve">a portion of block </w:t>
      </w:r>
      <w:r>
        <w:rPr>
          <w:rFonts w:ascii="Century Gothic" w:hAnsi="Century Gothic"/>
        </w:rPr>
        <w:t>funding to Un</w:t>
      </w:r>
      <w:r w:rsidR="009148C4">
        <w:rPr>
          <w:rFonts w:ascii="Century Gothic" w:hAnsi="Century Gothic"/>
        </w:rPr>
        <w:t>i</w:t>
      </w:r>
      <w:r>
        <w:rPr>
          <w:rFonts w:ascii="Century Gothic" w:hAnsi="Century Gothic"/>
        </w:rPr>
        <w:t>versities.</w:t>
      </w:r>
      <w:r w:rsidR="00493CF9">
        <w:rPr>
          <w:rFonts w:ascii="Century Gothic" w:hAnsi="Century Gothic"/>
        </w:rPr>
        <w:t xml:space="preserve">  </w:t>
      </w:r>
    </w:p>
    <w:p w14:paraId="528F8B0F" w14:textId="77777777" w:rsidR="00415750" w:rsidRPr="00415750" w:rsidRDefault="00493CF9" w:rsidP="0044213D">
      <w:pPr>
        <w:jc w:val="both"/>
        <w:rPr>
          <w:rFonts w:ascii="Century Gothic" w:hAnsi="Century Gothic"/>
        </w:rPr>
      </w:pPr>
      <w:r>
        <w:rPr>
          <w:rFonts w:ascii="Century Gothic" w:hAnsi="Century Gothic"/>
        </w:rPr>
        <w:t>Griffith University considers that a similar approach in Australia should be considered to ensure the fi</w:t>
      </w:r>
      <w:r w:rsidR="003971B9">
        <w:rPr>
          <w:rFonts w:ascii="Century Gothic" w:hAnsi="Century Gothic"/>
        </w:rPr>
        <w:t>r</w:t>
      </w:r>
      <w:r>
        <w:rPr>
          <w:rFonts w:ascii="Century Gothic" w:hAnsi="Century Gothic"/>
        </w:rPr>
        <w:t xml:space="preserve">st, second and third-order benefits delivered to the community by the University </w:t>
      </w:r>
      <w:r w:rsidR="0079514B">
        <w:rPr>
          <w:rFonts w:ascii="Century Gothic" w:hAnsi="Century Gothic"/>
        </w:rPr>
        <w:t>can</w:t>
      </w:r>
      <w:r w:rsidR="003971B9">
        <w:rPr>
          <w:rFonts w:ascii="Century Gothic" w:hAnsi="Century Gothic"/>
        </w:rPr>
        <w:t xml:space="preserve"> be </w:t>
      </w:r>
      <w:r>
        <w:rPr>
          <w:rFonts w:ascii="Century Gothic" w:hAnsi="Century Gothic"/>
        </w:rPr>
        <w:t>further enhanced.</w:t>
      </w:r>
    </w:p>
    <w:p w14:paraId="528F8B10" w14:textId="77777777" w:rsidR="00EF186C" w:rsidRDefault="00EF186C" w:rsidP="0085764E">
      <w:pPr>
        <w:pStyle w:val="Letters-smallitalic"/>
      </w:pPr>
    </w:p>
    <w:p w14:paraId="528F8B11" w14:textId="77777777" w:rsidR="00845DEA" w:rsidRDefault="00845DEA">
      <w:pPr>
        <w:rPr>
          <w:rFonts w:ascii="Century Gothic" w:hAnsi="Century Gothic" w:cs="Arial"/>
          <w:color w:val="FF0000"/>
          <w:sz w:val="44"/>
        </w:rPr>
      </w:pPr>
      <w:r>
        <w:rPr>
          <w:rFonts w:ascii="Century Gothic" w:hAnsi="Century Gothic"/>
          <w:b/>
          <w:color w:val="FF0000"/>
          <w:sz w:val="44"/>
        </w:rPr>
        <w:br w:type="page"/>
      </w:r>
    </w:p>
    <w:p w14:paraId="528F8B13" w14:textId="23914607" w:rsidR="00845DEA" w:rsidRPr="00552F65" w:rsidRDefault="00F704E6" w:rsidP="00552F65">
      <w:pPr>
        <w:pStyle w:val="Heading1"/>
      </w:pPr>
      <w:r w:rsidRPr="00F704E6">
        <w:lastRenderedPageBreak/>
        <w:t>Capitalising on the Medical Research Future Fund</w:t>
      </w:r>
    </w:p>
    <w:p w14:paraId="528F8B14" w14:textId="77777777" w:rsidR="00845DEA" w:rsidRDefault="00845DEA" w:rsidP="00845DEA">
      <w:pPr>
        <w:jc w:val="both"/>
        <w:rPr>
          <w:rFonts w:ascii="Century Gothic" w:hAnsi="Century Gothic"/>
        </w:rPr>
      </w:pPr>
      <w:r>
        <w:rPr>
          <w:rFonts w:ascii="Century Gothic" w:hAnsi="Century Gothic"/>
        </w:rPr>
        <w:t xml:space="preserve">The </w:t>
      </w:r>
      <w:r w:rsidR="0085764E" w:rsidRPr="00845DEA">
        <w:rPr>
          <w:rFonts w:ascii="Century Gothic" w:hAnsi="Century Gothic"/>
        </w:rPr>
        <w:t xml:space="preserve">new Medical Research Future Fund </w:t>
      </w:r>
      <w:r>
        <w:rPr>
          <w:rFonts w:ascii="Century Gothic" w:hAnsi="Century Gothic"/>
        </w:rPr>
        <w:t>would enable the Government to fund new initiatives in the Life Sciences and broader Health field.</w:t>
      </w:r>
    </w:p>
    <w:p w14:paraId="528F8B15" w14:textId="77777777" w:rsidR="00845DEA" w:rsidRDefault="0079514B" w:rsidP="00845DEA">
      <w:pPr>
        <w:jc w:val="both"/>
        <w:rPr>
          <w:rFonts w:ascii="Century Gothic" w:hAnsi="Century Gothic"/>
        </w:rPr>
      </w:pPr>
      <w:r>
        <w:rPr>
          <w:rFonts w:ascii="Century Gothic" w:hAnsi="Century Gothic"/>
        </w:rPr>
        <w:t>Griffith University considers that a</w:t>
      </w:r>
      <w:r w:rsidR="00845DEA">
        <w:rPr>
          <w:rFonts w:ascii="Century Gothic" w:hAnsi="Century Gothic"/>
        </w:rPr>
        <w:t xml:space="preserve"> </w:t>
      </w:r>
      <w:r>
        <w:rPr>
          <w:rFonts w:ascii="Century Gothic" w:hAnsi="Century Gothic"/>
        </w:rPr>
        <w:t>significant portion of any future f</w:t>
      </w:r>
      <w:r w:rsidR="00845DEA">
        <w:rPr>
          <w:rFonts w:ascii="Century Gothic" w:hAnsi="Century Gothic"/>
        </w:rPr>
        <w:t>und</w:t>
      </w:r>
      <w:r>
        <w:rPr>
          <w:rFonts w:ascii="Century Gothic" w:hAnsi="Century Gothic"/>
        </w:rPr>
        <w:t>ing</w:t>
      </w:r>
      <w:r w:rsidR="00845DEA">
        <w:rPr>
          <w:rFonts w:ascii="Century Gothic" w:hAnsi="Century Gothic"/>
        </w:rPr>
        <w:t xml:space="preserve"> should support collaboration between Universities and hospitals, to enhance collaborative translational projects.  </w:t>
      </w:r>
    </w:p>
    <w:p w14:paraId="528F8B16" w14:textId="77777777" w:rsidR="00564306" w:rsidRDefault="00845DEA" w:rsidP="00845DEA">
      <w:pPr>
        <w:jc w:val="both"/>
        <w:rPr>
          <w:rFonts w:ascii="Century Gothic" w:hAnsi="Century Gothic"/>
        </w:rPr>
      </w:pPr>
      <w:r>
        <w:rPr>
          <w:rFonts w:ascii="Century Gothic" w:hAnsi="Century Gothic"/>
        </w:rPr>
        <w:t xml:space="preserve">Clinical research should have high priority, including research into health service innovation and delivery of allied health services.  </w:t>
      </w:r>
    </w:p>
    <w:p w14:paraId="528F8B17" w14:textId="77777777" w:rsidR="0079514B" w:rsidRDefault="00845DEA" w:rsidP="00845DEA">
      <w:pPr>
        <w:jc w:val="both"/>
        <w:rPr>
          <w:rFonts w:ascii="Century Gothic" w:hAnsi="Century Gothic"/>
        </w:rPr>
      </w:pPr>
      <w:r>
        <w:rPr>
          <w:rFonts w:ascii="Century Gothic" w:hAnsi="Century Gothic"/>
        </w:rPr>
        <w:t xml:space="preserve">There is also ample opportunity for funding of industry-led development projects </w:t>
      </w:r>
      <w:r w:rsidR="0079514B">
        <w:rPr>
          <w:rFonts w:ascii="Century Gothic" w:hAnsi="Century Gothic"/>
        </w:rPr>
        <w:t>focused on:</w:t>
      </w:r>
    </w:p>
    <w:p w14:paraId="528F8B18" w14:textId="77777777" w:rsidR="000A45D2" w:rsidRPr="00E24B73" w:rsidRDefault="000A45D2" w:rsidP="009E1725">
      <w:pPr>
        <w:pStyle w:val="ListParagraph"/>
        <w:numPr>
          <w:ilvl w:val="0"/>
          <w:numId w:val="41"/>
        </w:numPr>
        <w:spacing w:before="120"/>
        <w:ind w:left="714" w:hanging="357"/>
        <w:contextualSpacing w:val="0"/>
        <w:jc w:val="both"/>
        <w:rPr>
          <w:rFonts w:ascii="Century Gothic" w:hAnsi="Century Gothic"/>
        </w:rPr>
      </w:pPr>
      <w:r w:rsidRPr="000A45D2">
        <w:rPr>
          <w:rFonts w:ascii="Century Gothic" w:hAnsi="Century Gothic"/>
        </w:rPr>
        <w:t>Tr</w:t>
      </w:r>
      <w:r>
        <w:rPr>
          <w:rFonts w:ascii="Century Gothic" w:hAnsi="Century Gothic"/>
        </w:rPr>
        <w:t>eatment of disease (e.g. new effective and affordable drugs)</w:t>
      </w:r>
    </w:p>
    <w:p w14:paraId="528F8B19" w14:textId="77777777" w:rsidR="0079514B" w:rsidRPr="0079514B" w:rsidRDefault="0079514B" w:rsidP="009E1725">
      <w:pPr>
        <w:pStyle w:val="ListParagraph"/>
        <w:numPr>
          <w:ilvl w:val="0"/>
          <w:numId w:val="41"/>
        </w:numPr>
        <w:spacing w:before="120"/>
        <w:ind w:left="714" w:hanging="357"/>
        <w:contextualSpacing w:val="0"/>
        <w:jc w:val="both"/>
        <w:rPr>
          <w:rFonts w:ascii="Century Gothic" w:hAnsi="Century Gothic"/>
        </w:rPr>
      </w:pPr>
      <w:r w:rsidRPr="0079514B">
        <w:rPr>
          <w:rFonts w:ascii="Century Gothic" w:eastAsiaTheme="minorHAnsi" w:hAnsi="Century Gothic"/>
        </w:rPr>
        <w:t xml:space="preserve">Early detection of disease (e.g. </w:t>
      </w:r>
      <w:r w:rsidR="00845DEA" w:rsidRPr="009E1725">
        <w:rPr>
          <w:rFonts w:ascii="Century Gothic" w:eastAsiaTheme="minorHAnsi" w:hAnsi="Century Gothic"/>
        </w:rPr>
        <w:t>diagnostics</w:t>
      </w:r>
      <w:r w:rsidRPr="0079514B">
        <w:rPr>
          <w:rFonts w:ascii="Century Gothic" w:eastAsiaTheme="minorHAnsi" w:hAnsi="Century Gothic"/>
        </w:rPr>
        <w:t>)</w:t>
      </w:r>
    </w:p>
    <w:p w14:paraId="528F8B1A" w14:textId="77777777" w:rsidR="0079514B" w:rsidRPr="0079514B" w:rsidRDefault="0079514B" w:rsidP="009E1725">
      <w:pPr>
        <w:pStyle w:val="ListParagraph"/>
        <w:numPr>
          <w:ilvl w:val="0"/>
          <w:numId w:val="41"/>
        </w:numPr>
        <w:spacing w:before="120"/>
        <w:ind w:left="714" w:hanging="357"/>
        <w:contextualSpacing w:val="0"/>
        <w:jc w:val="both"/>
        <w:rPr>
          <w:rFonts w:ascii="Century Gothic" w:hAnsi="Century Gothic"/>
        </w:rPr>
      </w:pPr>
      <w:r w:rsidRPr="0079514B">
        <w:rPr>
          <w:rFonts w:ascii="Century Gothic" w:eastAsiaTheme="minorHAnsi" w:hAnsi="Century Gothic"/>
        </w:rPr>
        <w:t>Prevention of disease (e.g. vaccines, healthy-living programs and associated social marketing campaigns to improve effectiveness of delivery)</w:t>
      </w:r>
    </w:p>
    <w:p w14:paraId="528F8B1C" w14:textId="439DC877" w:rsidR="00807D33" w:rsidRPr="00552F65" w:rsidRDefault="0079514B" w:rsidP="00520DEE">
      <w:pPr>
        <w:pStyle w:val="ListParagraph"/>
        <w:numPr>
          <w:ilvl w:val="0"/>
          <w:numId w:val="41"/>
        </w:numPr>
        <w:spacing w:before="120"/>
        <w:ind w:left="714" w:hanging="357"/>
        <w:contextualSpacing w:val="0"/>
        <w:jc w:val="both"/>
        <w:rPr>
          <w:rFonts w:ascii="Century Gothic" w:hAnsi="Century Gothic"/>
        </w:rPr>
      </w:pPr>
      <w:r w:rsidRPr="0079514B">
        <w:rPr>
          <w:rFonts w:ascii="Century Gothic" w:eastAsiaTheme="minorHAnsi" w:hAnsi="Century Gothic"/>
        </w:rPr>
        <w:t xml:space="preserve">Better delivery (e.g. </w:t>
      </w:r>
      <w:r w:rsidR="00845DEA" w:rsidRPr="009E1725">
        <w:rPr>
          <w:rFonts w:ascii="Century Gothic" w:eastAsiaTheme="minorHAnsi" w:hAnsi="Century Gothic"/>
        </w:rPr>
        <w:t>medical devices</w:t>
      </w:r>
      <w:r w:rsidRPr="0079514B">
        <w:rPr>
          <w:rFonts w:ascii="Century Gothic" w:eastAsiaTheme="minorHAnsi" w:hAnsi="Century Gothic"/>
        </w:rPr>
        <w:t xml:space="preserve"> and patient management</w:t>
      </w:r>
      <w:r>
        <w:rPr>
          <w:rFonts w:ascii="Century Gothic" w:hAnsi="Century Gothic"/>
        </w:rPr>
        <w:t xml:space="preserve"> </w:t>
      </w:r>
      <w:r w:rsidRPr="00E24B73">
        <w:rPr>
          <w:rFonts w:ascii="Century Gothic" w:hAnsi="Century Gothic"/>
        </w:rPr>
        <w:t>systems)</w:t>
      </w:r>
      <w:r w:rsidR="00845DEA" w:rsidRPr="00E24B73">
        <w:rPr>
          <w:rFonts w:ascii="Century Gothic" w:hAnsi="Century Gothic"/>
        </w:rPr>
        <w:t>.</w:t>
      </w:r>
      <w:bookmarkEnd w:id="1"/>
    </w:p>
    <w:p w14:paraId="528F8B1D" w14:textId="77777777" w:rsidR="00564306" w:rsidRDefault="00564306" w:rsidP="00564306">
      <w:pPr>
        <w:jc w:val="both"/>
        <w:rPr>
          <w:rFonts w:ascii="Century Gothic" w:hAnsi="Century Gothic"/>
        </w:rPr>
      </w:pPr>
      <w:r>
        <w:rPr>
          <w:rFonts w:ascii="Century Gothic" w:hAnsi="Century Gothic"/>
        </w:rPr>
        <w:t>It is through a broad and holistic approach to solving health challenges that the Government can expect significant first, second and most importantly, third order Impact (refer previous section).</w:t>
      </w:r>
    </w:p>
    <w:p w14:paraId="528F8B1E" w14:textId="77777777" w:rsidR="00564306" w:rsidRDefault="00564306" w:rsidP="00520DEE">
      <w:pPr>
        <w:jc w:val="both"/>
        <w:rPr>
          <w:rFonts w:ascii="Century Gothic" w:hAnsi="Century Gothic"/>
        </w:rPr>
      </w:pPr>
    </w:p>
    <w:p w14:paraId="528F8B1F" w14:textId="77777777" w:rsidR="00564306" w:rsidRPr="00520DEE" w:rsidRDefault="00564306" w:rsidP="00520DEE">
      <w:pPr>
        <w:jc w:val="both"/>
        <w:rPr>
          <w:rFonts w:ascii="Century Gothic" w:hAnsi="Century Gothic"/>
        </w:rPr>
      </w:pPr>
    </w:p>
    <w:sectPr w:rsidR="00564306" w:rsidRPr="00520DEE" w:rsidSect="0053109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8B24" w14:textId="77777777" w:rsidR="00B012BA" w:rsidRDefault="00B012BA" w:rsidP="00195CE8">
      <w:pPr>
        <w:spacing w:after="0" w:line="240" w:lineRule="auto"/>
      </w:pPr>
      <w:r>
        <w:separator/>
      </w:r>
    </w:p>
  </w:endnote>
  <w:endnote w:type="continuationSeparator" w:id="0">
    <w:p w14:paraId="528F8B25" w14:textId="77777777" w:rsidR="00B012BA" w:rsidRDefault="00B012BA" w:rsidP="0019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RockwellSt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FF0000"/>
        <w:sz w:val="16"/>
      </w:rPr>
      <w:id w:val="254482422"/>
      <w:docPartObj>
        <w:docPartGallery w:val="Page Numbers (Bottom of Page)"/>
        <w:docPartUnique/>
      </w:docPartObj>
    </w:sdtPr>
    <w:sdtEndPr/>
    <w:sdtContent>
      <w:p w14:paraId="528F8B26" w14:textId="77777777" w:rsidR="004105F1" w:rsidRPr="0010435D" w:rsidRDefault="004105F1">
        <w:pPr>
          <w:pStyle w:val="Footer"/>
          <w:jc w:val="right"/>
          <w:rPr>
            <w:rFonts w:ascii="Century Gothic" w:hAnsi="Century Gothic"/>
            <w:color w:val="FF0000"/>
            <w:sz w:val="16"/>
          </w:rPr>
        </w:pPr>
        <w:r w:rsidRPr="0010435D">
          <w:rPr>
            <w:rFonts w:ascii="Century Gothic" w:hAnsi="Century Gothic"/>
            <w:color w:val="FF0000"/>
            <w:sz w:val="16"/>
          </w:rPr>
          <w:fldChar w:fldCharType="begin"/>
        </w:r>
        <w:r w:rsidRPr="0010435D">
          <w:rPr>
            <w:rFonts w:ascii="Century Gothic" w:hAnsi="Century Gothic"/>
            <w:color w:val="FF0000"/>
            <w:sz w:val="16"/>
          </w:rPr>
          <w:instrText xml:space="preserve"> PAGE   \* MERGEFORMAT </w:instrText>
        </w:r>
        <w:r w:rsidRPr="0010435D">
          <w:rPr>
            <w:rFonts w:ascii="Century Gothic" w:hAnsi="Century Gothic"/>
            <w:color w:val="FF0000"/>
            <w:sz w:val="16"/>
          </w:rPr>
          <w:fldChar w:fldCharType="separate"/>
        </w:r>
        <w:r w:rsidR="00EA334D">
          <w:rPr>
            <w:rFonts w:ascii="Century Gothic" w:hAnsi="Century Gothic"/>
            <w:noProof/>
            <w:color w:val="FF0000"/>
            <w:sz w:val="16"/>
          </w:rPr>
          <w:t>1</w:t>
        </w:r>
        <w:r w:rsidRPr="0010435D">
          <w:rPr>
            <w:rFonts w:ascii="Century Gothic" w:hAnsi="Century Gothic"/>
            <w:color w:val="FF0000"/>
            <w:sz w:val="16"/>
          </w:rPr>
          <w:fldChar w:fldCharType="end"/>
        </w:r>
      </w:p>
    </w:sdtContent>
  </w:sdt>
  <w:p w14:paraId="528F8B27" w14:textId="77777777" w:rsidR="004105F1" w:rsidRDefault="00410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FF0000"/>
        <w:sz w:val="16"/>
      </w:rPr>
      <w:id w:val="-917641440"/>
      <w:docPartObj>
        <w:docPartGallery w:val="Page Numbers (Bottom of Page)"/>
        <w:docPartUnique/>
      </w:docPartObj>
    </w:sdtPr>
    <w:sdtEndPr/>
    <w:sdtContent>
      <w:p w14:paraId="528F8B28" w14:textId="77777777" w:rsidR="004105F1" w:rsidRPr="0010435D" w:rsidRDefault="004105F1">
        <w:pPr>
          <w:pStyle w:val="Footer"/>
          <w:jc w:val="right"/>
          <w:rPr>
            <w:rFonts w:ascii="Century Gothic" w:hAnsi="Century Gothic"/>
            <w:color w:val="FF0000"/>
            <w:sz w:val="16"/>
          </w:rPr>
        </w:pPr>
        <w:r w:rsidRPr="0010435D">
          <w:rPr>
            <w:rFonts w:ascii="Century Gothic" w:hAnsi="Century Gothic"/>
            <w:color w:val="FF0000"/>
            <w:sz w:val="16"/>
          </w:rPr>
          <w:fldChar w:fldCharType="begin"/>
        </w:r>
        <w:r w:rsidRPr="0010435D">
          <w:rPr>
            <w:rFonts w:ascii="Century Gothic" w:hAnsi="Century Gothic"/>
            <w:color w:val="FF0000"/>
            <w:sz w:val="16"/>
          </w:rPr>
          <w:instrText xml:space="preserve"> PAGE   \* MERGEFORMAT </w:instrText>
        </w:r>
        <w:r w:rsidRPr="0010435D">
          <w:rPr>
            <w:rFonts w:ascii="Century Gothic" w:hAnsi="Century Gothic"/>
            <w:color w:val="FF0000"/>
            <w:sz w:val="16"/>
          </w:rPr>
          <w:fldChar w:fldCharType="separate"/>
        </w:r>
        <w:r w:rsidR="00EA334D">
          <w:rPr>
            <w:rFonts w:ascii="Century Gothic" w:hAnsi="Century Gothic"/>
            <w:noProof/>
            <w:color w:val="FF0000"/>
            <w:sz w:val="16"/>
          </w:rPr>
          <w:t>18</w:t>
        </w:r>
        <w:r w:rsidRPr="0010435D">
          <w:rPr>
            <w:rFonts w:ascii="Century Gothic" w:hAnsi="Century Gothic"/>
            <w:color w:val="FF0000"/>
            <w:sz w:val="16"/>
          </w:rPr>
          <w:fldChar w:fldCharType="end"/>
        </w:r>
      </w:p>
    </w:sdtContent>
  </w:sdt>
  <w:p w14:paraId="528F8B29" w14:textId="77777777" w:rsidR="004105F1" w:rsidRPr="0065101B" w:rsidRDefault="004105F1">
    <w:pPr>
      <w:pStyle w:val="Foo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F8B22" w14:textId="77777777" w:rsidR="00B012BA" w:rsidRDefault="00B012BA" w:rsidP="00195CE8">
      <w:pPr>
        <w:spacing w:after="0" w:line="240" w:lineRule="auto"/>
      </w:pPr>
      <w:r>
        <w:separator/>
      </w:r>
    </w:p>
  </w:footnote>
  <w:footnote w:type="continuationSeparator" w:id="0">
    <w:p w14:paraId="528F8B23" w14:textId="77777777" w:rsidR="00B012BA" w:rsidRDefault="00B012BA" w:rsidP="00195CE8">
      <w:pPr>
        <w:spacing w:after="0" w:line="240" w:lineRule="auto"/>
      </w:pPr>
      <w:r>
        <w:continuationSeparator/>
      </w:r>
    </w:p>
  </w:footnote>
  <w:footnote w:id="1">
    <w:p w14:paraId="528F8B2A" w14:textId="77777777" w:rsidR="004105F1" w:rsidRPr="00D35A61" w:rsidRDefault="004105F1" w:rsidP="00AA0E08">
      <w:pPr>
        <w:pStyle w:val="FootnoteText"/>
        <w:rPr>
          <w:sz w:val="20"/>
          <w:szCs w:val="20"/>
          <w:lang w:val="en-US"/>
        </w:rPr>
      </w:pPr>
      <w:r w:rsidRPr="00D35A61">
        <w:rPr>
          <w:rStyle w:val="FootnoteReference"/>
          <w:sz w:val="20"/>
          <w:szCs w:val="20"/>
        </w:rPr>
        <w:footnoteRef/>
      </w:r>
      <w:r w:rsidRPr="00D35A61">
        <w:rPr>
          <w:sz w:val="20"/>
          <w:szCs w:val="20"/>
        </w:rPr>
        <w:t xml:space="preserve"> </w:t>
      </w:r>
      <w:r w:rsidRPr="00D35A61">
        <w:rPr>
          <w:sz w:val="20"/>
          <w:szCs w:val="20"/>
          <w:lang w:val="en-US"/>
        </w:rPr>
        <w:t>Eurostat (CIS-2010)</w:t>
      </w:r>
    </w:p>
  </w:footnote>
  <w:footnote w:id="2">
    <w:p w14:paraId="528F8B2B" w14:textId="77777777" w:rsidR="004105F1" w:rsidRPr="00E2098F" w:rsidRDefault="004105F1" w:rsidP="00296DD7">
      <w:pPr>
        <w:pStyle w:val="FootnoteText"/>
        <w:rPr>
          <w:lang w:val="en-US"/>
        </w:rPr>
      </w:pPr>
      <w:r>
        <w:rPr>
          <w:rStyle w:val="FootnoteReference"/>
        </w:rPr>
        <w:footnoteRef/>
      </w:r>
      <w:r>
        <w:t xml:space="preserve"> </w:t>
      </w:r>
      <w:r w:rsidRPr="00E2098F">
        <w:rPr>
          <w:sz w:val="18"/>
          <w:szCs w:val="18"/>
        </w:rPr>
        <w:t>http://www.griffith.edu.au/griffith-enterprise</w:t>
      </w:r>
    </w:p>
  </w:footnote>
  <w:footnote w:id="3">
    <w:p w14:paraId="528F8B2C" w14:textId="77777777" w:rsidR="004105F1" w:rsidRPr="00E2098F" w:rsidRDefault="004105F1" w:rsidP="00296DD7">
      <w:pPr>
        <w:pStyle w:val="FootnoteText"/>
        <w:rPr>
          <w:lang w:val="en-US"/>
        </w:rPr>
      </w:pPr>
      <w:r>
        <w:rPr>
          <w:rStyle w:val="FootnoteReference"/>
        </w:rPr>
        <w:footnoteRef/>
      </w:r>
      <w:r>
        <w:t xml:space="preserve"> </w:t>
      </w:r>
      <w:r w:rsidRPr="00E2098F">
        <w:rPr>
          <w:sz w:val="18"/>
          <w:szCs w:val="18"/>
        </w:rPr>
        <w:t>http://www.ibridgenetwork.org/</w:t>
      </w:r>
    </w:p>
  </w:footnote>
  <w:footnote w:id="4">
    <w:p w14:paraId="528F8B2D" w14:textId="77777777" w:rsidR="004105F1" w:rsidRPr="00153ADC" w:rsidRDefault="004105F1" w:rsidP="00FB2745">
      <w:pPr>
        <w:pStyle w:val="FootnoteText"/>
        <w:rPr>
          <w:sz w:val="20"/>
          <w:szCs w:val="20"/>
          <w:lang w:val="en-US"/>
        </w:rPr>
      </w:pPr>
      <w:r w:rsidRPr="00153ADC">
        <w:rPr>
          <w:rStyle w:val="FootnoteReference"/>
          <w:sz w:val="20"/>
          <w:szCs w:val="20"/>
        </w:rPr>
        <w:footnoteRef/>
      </w:r>
      <w:r w:rsidRPr="00153ADC">
        <w:rPr>
          <w:sz w:val="20"/>
          <w:szCs w:val="20"/>
        </w:rPr>
        <w:t xml:space="preserve"> </w:t>
      </w:r>
      <w:r w:rsidRPr="00BB5757">
        <w:rPr>
          <w:sz w:val="18"/>
          <w:szCs w:val="18"/>
        </w:rPr>
        <w:t>http://www.griffith.edu.au/library/open-access</w:t>
      </w:r>
    </w:p>
  </w:footnote>
  <w:footnote w:id="5">
    <w:p w14:paraId="528F8B2E" w14:textId="77777777" w:rsidR="004105F1" w:rsidRPr="00174555" w:rsidRDefault="004105F1" w:rsidP="00202231">
      <w:pPr>
        <w:pStyle w:val="FootnoteText"/>
        <w:rPr>
          <w:sz w:val="18"/>
          <w:szCs w:val="18"/>
          <w:lang w:val="en-US"/>
        </w:rPr>
      </w:pPr>
      <w:r w:rsidRPr="00174555">
        <w:rPr>
          <w:rStyle w:val="FootnoteReference"/>
          <w:sz w:val="18"/>
          <w:szCs w:val="18"/>
        </w:rPr>
        <w:footnoteRef/>
      </w:r>
      <w:r w:rsidRPr="00174555">
        <w:rPr>
          <w:sz w:val="18"/>
          <w:szCs w:val="18"/>
        </w:rPr>
        <w:t xml:space="preserve"> </w:t>
      </w:r>
      <w:r w:rsidR="004442B9">
        <w:rPr>
          <w:sz w:val="18"/>
          <w:szCs w:val="18"/>
        </w:rPr>
        <w:t>“</w:t>
      </w:r>
      <w:r w:rsidR="004442B9" w:rsidRPr="00174555">
        <w:rPr>
          <w:sz w:val="18"/>
          <w:szCs w:val="18"/>
          <w:lang w:val="en-US"/>
        </w:rPr>
        <w:t>Australian Small Business</w:t>
      </w:r>
      <w:r w:rsidR="004442B9">
        <w:rPr>
          <w:sz w:val="18"/>
          <w:szCs w:val="18"/>
          <w:lang w:val="en-US"/>
        </w:rPr>
        <w:t xml:space="preserve"> -</w:t>
      </w:r>
      <w:r w:rsidR="004442B9" w:rsidRPr="004442B9">
        <w:rPr>
          <w:sz w:val="18"/>
          <w:szCs w:val="18"/>
          <w:lang w:val="en-US"/>
        </w:rPr>
        <w:t xml:space="preserve"> </w:t>
      </w:r>
      <w:r w:rsidR="004442B9" w:rsidRPr="003251C3">
        <w:rPr>
          <w:sz w:val="18"/>
          <w:szCs w:val="18"/>
          <w:lang w:val="en-US"/>
        </w:rPr>
        <w:t>Key Statistics</w:t>
      </w:r>
      <w:r w:rsidR="004442B9">
        <w:rPr>
          <w:sz w:val="18"/>
          <w:szCs w:val="18"/>
          <w:lang w:val="en-US"/>
        </w:rPr>
        <w:t>”</w:t>
      </w:r>
      <w:r w:rsidR="004442B9" w:rsidRPr="00174555">
        <w:rPr>
          <w:sz w:val="18"/>
          <w:szCs w:val="18"/>
          <w:lang w:val="en-US"/>
        </w:rPr>
        <w:t xml:space="preserve">, </w:t>
      </w:r>
      <w:r w:rsidR="004442B9">
        <w:rPr>
          <w:sz w:val="18"/>
          <w:szCs w:val="18"/>
          <w:lang w:val="en-US"/>
        </w:rPr>
        <w:t>Australian Government Department of Innovation Industry, Science and Research, Industry Policy and Economic Analysis Branch (2011)</w:t>
      </w:r>
    </w:p>
  </w:footnote>
  <w:footnote w:id="6">
    <w:p w14:paraId="528F8B2F" w14:textId="77777777" w:rsidR="00C875EE" w:rsidRPr="00763CA6" w:rsidRDefault="00C875EE">
      <w:pPr>
        <w:pStyle w:val="FootnoteText"/>
        <w:rPr>
          <w:rFonts w:ascii="Century Gothic" w:hAnsi="Century Gothic"/>
          <w:sz w:val="16"/>
          <w:szCs w:val="16"/>
        </w:rPr>
      </w:pPr>
      <w:r w:rsidRPr="00763CA6">
        <w:rPr>
          <w:rStyle w:val="FootnoteReference"/>
          <w:rFonts w:ascii="Century Gothic" w:hAnsi="Century Gothic"/>
          <w:sz w:val="16"/>
          <w:szCs w:val="16"/>
        </w:rPr>
        <w:footnoteRef/>
      </w:r>
      <w:r w:rsidRPr="00763CA6">
        <w:rPr>
          <w:rFonts w:ascii="Century Gothic" w:hAnsi="Century Gothic"/>
          <w:sz w:val="16"/>
          <w:szCs w:val="16"/>
        </w:rPr>
        <w:t xml:space="preserve"> </w:t>
      </w:r>
      <w:r w:rsidRPr="00763CA6">
        <w:rPr>
          <w:rFonts w:ascii="Century Gothic" w:hAnsi="Century Gothic" w:cs="Arial"/>
          <w:sz w:val="16"/>
          <w:szCs w:val="16"/>
          <w:shd w:val="clear" w:color="auto" w:fill="FFFFFF"/>
        </w:rPr>
        <w:t>www.</w:t>
      </w:r>
      <w:r w:rsidRPr="00763CA6">
        <w:rPr>
          <w:rFonts w:ascii="Century Gothic" w:hAnsi="Century Gothic" w:cs="Arial"/>
          <w:b/>
          <w:bCs/>
          <w:sz w:val="16"/>
          <w:szCs w:val="16"/>
          <w:shd w:val="clear" w:color="auto" w:fill="FFFFFF"/>
        </w:rPr>
        <w:t>franchise</w:t>
      </w:r>
      <w:r w:rsidRPr="00763CA6">
        <w:rPr>
          <w:rFonts w:ascii="Century Gothic" w:hAnsi="Century Gothic" w:cs="Arial"/>
          <w:sz w:val="16"/>
          <w:szCs w:val="16"/>
          <w:shd w:val="clear" w:color="auto" w:fill="FFFFFF"/>
        </w:rPr>
        <w:t>.edu.au/</w:t>
      </w:r>
    </w:p>
  </w:footnote>
  <w:footnote w:id="7">
    <w:p w14:paraId="528F8B30" w14:textId="77777777" w:rsidR="00763CA6" w:rsidRDefault="00763CA6">
      <w:pPr>
        <w:pStyle w:val="FootnoteText"/>
      </w:pPr>
      <w:r w:rsidRPr="00763CA6">
        <w:rPr>
          <w:rStyle w:val="FootnoteReference"/>
          <w:rFonts w:ascii="Century Gothic" w:hAnsi="Century Gothic"/>
          <w:sz w:val="16"/>
          <w:szCs w:val="16"/>
        </w:rPr>
        <w:footnoteRef/>
      </w:r>
      <w:r w:rsidRPr="00763CA6">
        <w:rPr>
          <w:rStyle w:val="FootnoteReference"/>
          <w:rFonts w:ascii="Century Gothic" w:hAnsi="Century Gothic"/>
          <w:sz w:val="16"/>
          <w:szCs w:val="16"/>
        </w:rPr>
        <w:t xml:space="preserve"> </w:t>
      </w:r>
      <w:hyperlink r:id="rId1" w:history="1">
        <w:r w:rsidRPr="00763CA6">
          <w:rPr>
            <w:rStyle w:val="FootnoteReference"/>
            <w:rFonts w:ascii="Century Gothic" w:hAnsi="Century Gothic"/>
            <w:sz w:val="16"/>
            <w:szCs w:val="16"/>
            <w:vertAlign w:val="baseline"/>
          </w:rPr>
          <w:t>http://www.ipo.gov.uk/</w:t>
        </w:r>
        <w:r w:rsidRPr="00763CA6">
          <w:rPr>
            <w:rStyle w:val="FootnoteReference"/>
            <w:rFonts w:ascii="Century Gothic" w:hAnsi="Century Gothic"/>
            <w:b/>
            <w:sz w:val="16"/>
            <w:szCs w:val="16"/>
            <w:vertAlign w:val="baseline"/>
          </w:rPr>
          <w:t>lambert</w:t>
        </w:r>
      </w:hyperlink>
    </w:p>
  </w:footnote>
  <w:footnote w:id="8">
    <w:p w14:paraId="528F8B31" w14:textId="77777777" w:rsidR="000A45D2" w:rsidRPr="00E24B73" w:rsidRDefault="000A45D2">
      <w:pPr>
        <w:pStyle w:val="FootnoteText"/>
        <w:rPr>
          <w:sz w:val="18"/>
          <w:szCs w:val="18"/>
        </w:rPr>
      </w:pPr>
      <w:r w:rsidRPr="00E24B73">
        <w:rPr>
          <w:rStyle w:val="FootnoteReference"/>
          <w:sz w:val="18"/>
          <w:szCs w:val="18"/>
        </w:rPr>
        <w:footnoteRef/>
      </w:r>
      <w:r w:rsidRPr="00E24B73">
        <w:rPr>
          <w:sz w:val="18"/>
          <w:szCs w:val="18"/>
        </w:rPr>
        <w:t xml:space="preserve"> http://www.griffith.edu.au/learning-teaching/teaching-and-learning/work-integrated-learning</w:t>
      </w:r>
    </w:p>
  </w:footnote>
  <w:footnote w:id="9">
    <w:p w14:paraId="528F8B32" w14:textId="77777777" w:rsidR="004105F1" w:rsidRPr="009E1725" w:rsidRDefault="004105F1">
      <w:pPr>
        <w:pStyle w:val="FootnoteText"/>
        <w:rPr>
          <w:sz w:val="16"/>
          <w:szCs w:val="16"/>
          <w:lang w:val="en-US"/>
        </w:rPr>
      </w:pPr>
      <w:r>
        <w:rPr>
          <w:rStyle w:val="FootnoteReference"/>
        </w:rPr>
        <w:footnoteRef/>
      </w:r>
      <w:r>
        <w:t xml:space="preserve"> </w:t>
      </w:r>
      <w:r w:rsidRPr="009E1725">
        <w:rPr>
          <w:rFonts w:ascii="Century Gothic" w:hAnsi="Century Gothic"/>
          <w:sz w:val="16"/>
          <w:szCs w:val="16"/>
        </w:rPr>
        <w:t>Before commercialising IP, Griffith University and the creators enter a Commercialisation Agreement that includes assignment of the IP to the University, and details how Griffith Enterprise will commercialise the IP, how the creators will be involved in the commercialisation process and what the University will provide to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D53"/>
    <w:multiLevelType w:val="multilevel"/>
    <w:tmpl w:val="BF96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85DB4"/>
    <w:multiLevelType w:val="hybridMultilevel"/>
    <w:tmpl w:val="4D4237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E81FAD"/>
    <w:multiLevelType w:val="multilevel"/>
    <w:tmpl w:val="C63A5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34E6E"/>
    <w:multiLevelType w:val="hybridMultilevel"/>
    <w:tmpl w:val="5F887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B82AF8"/>
    <w:multiLevelType w:val="multilevel"/>
    <w:tmpl w:val="734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C0507"/>
    <w:multiLevelType w:val="hybridMultilevel"/>
    <w:tmpl w:val="2D488A0C"/>
    <w:lvl w:ilvl="0" w:tplc="570A8AFA">
      <w:start w:val="1"/>
      <w:numFmt w:val="bullet"/>
      <w:lvlText w:val="•"/>
      <w:lvlJc w:val="left"/>
      <w:pPr>
        <w:tabs>
          <w:tab w:val="num" w:pos="720"/>
        </w:tabs>
        <w:ind w:left="720" w:hanging="360"/>
      </w:pPr>
      <w:rPr>
        <w:rFonts w:ascii="Arial" w:hAnsi="Arial" w:hint="default"/>
      </w:rPr>
    </w:lvl>
    <w:lvl w:ilvl="1" w:tplc="3ED84E5A" w:tentative="1">
      <w:start w:val="1"/>
      <w:numFmt w:val="bullet"/>
      <w:lvlText w:val="•"/>
      <w:lvlJc w:val="left"/>
      <w:pPr>
        <w:tabs>
          <w:tab w:val="num" w:pos="1440"/>
        </w:tabs>
        <w:ind w:left="1440" w:hanging="360"/>
      </w:pPr>
      <w:rPr>
        <w:rFonts w:ascii="Arial" w:hAnsi="Arial" w:hint="default"/>
      </w:rPr>
    </w:lvl>
    <w:lvl w:ilvl="2" w:tplc="492A4ADC" w:tentative="1">
      <w:start w:val="1"/>
      <w:numFmt w:val="bullet"/>
      <w:lvlText w:val="•"/>
      <w:lvlJc w:val="left"/>
      <w:pPr>
        <w:tabs>
          <w:tab w:val="num" w:pos="2160"/>
        </w:tabs>
        <w:ind w:left="2160" w:hanging="360"/>
      </w:pPr>
      <w:rPr>
        <w:rFonts w:ascii="Arial" w:hAnsi="Arial" w:hint="default"/>
      </w:rPr>
    </w:lvl>
    <w:lvl w:ilvl="3" w:tplc="2A9ACE3E" w:tentative="1">
      <w:start w:val="1"/>
      <w:numFmt w:val="bullet"/>
      <w:lvlText w:val="•"/>
      <w:lvlJc w:val="left"/>
      <w:pPr>
        <w:tabs>
          <w:tab w:val="num" w:pos="2880"/>
        </w:tabs>
        <w:ind w:left="2880" w:hanging="360"/>
      </w:pPr>
      <w:rPr>
        <w:rFonts w:ascii="Arial" w:hAnsi="Arial" w:hint="default"/>
      </w:rPr>
    </w:lvl>
    <w:lvl w:ilvl="4" w:tplc="DFC2AEE4" w:tentative="1">
      <w:start w:val="1"/>
      <w:numFmt w:val="bullet"/>
      <w:lvlText w:val="•"/>
      <w:lvlJc w:val="left"/>
      <w:pPr>
        <w:tabs>
          <w:tab w:val="num" w:pos="3600"/>
        </w:tabs>
        <w:ind w:left="3600" w:hanging="360"/>
      </w:pPr>
      <w:rPr>
        <w:rFonts w:ascii="Arial" w:hAnsi="Arial" w:hint="default"/>
      </w:rPr>
    </w:lvl>
    <w:lvl w:ilvl="5" w:tplc="F58225FE" w:tentative="1">
      <w:start w:val="1"/>
      <w:numFmt w:val="bullet"/>
      <w:lvlText w:val="•"/>
      <w:lvlJc w:val="left"/>
      <w:pPr>
        <w:tabs>
          <w:tab w:val="num" w:pos="4320"/>
        </w:tabs>
        <w:ind w:left="4320" w:hanging="360"/>
      </w:pPr>
      <w:rPr>
        <w:rFonts w:ascii="Arial" w:hAnsi="Arial" w:hint="default"/>
      </w:rPr>
    </w:lvl>
    <w:lvl w:ilvl="6" w:tplc="0CA6BC02" w:tentative="1">
      <w:start w:val="1"/>
      <w:numFmt w:val="bullet"/>
      <w:lvlText w:val="•"/>
      <w:lvlJc w:val="left"/>
      <w:pPr>
        <w:tabs>
          <w:tab w:val="num" w:pos="5040"/>
        </w:tabs>
        <w:ind w:left="5040" w:hanging="360"/>
      </w:pPr>
      <w:rPr>
        <w:rFonts w:ascii="Arial" w:hAnsi="Arial" w:hint="default"/>
      </w:rPr>
    </w:lvl>
    <w:lvl w:ilvl="7" w:tplc="2C484B8E" w:tentative="1">
      <w:start w:val="1"/>
      <w:numFmt w:val="bullet"/>
      <w:lvlText w:val="•"/>
      <w:lvlJc w:val="left"/>
      <w:pPr>
        <w:tabs>
          <w:tab w:val="num" w:pos="5760"/>
        </w:tabs>
        <w:ind w:left="5760" w:hanging="360"/>
      </w:pPr>
      <w:rPr>
        <w:rFonts w:ascii="Arial" w:hAnsi="Arial" w:hint="default"/>
      </w:rPr>
    </w:lvl>
    <w:lvl w:ilvl="8" w:tplc="F426F65C" w:tentative="1">
      <w:start w:val="1"/>
      <w:numFmt w:val="bullet"/>
      <w:lvlText w:val="•"/>
      <w:lvlJc w:val="left"/>
      <w:pPr>
        <w:tabs>
          <w:tab w:val="num" w:pos="6480"/>
        </w:tabs>
        <w:ind w:left="6480" w:hanging="360"/>
      </w:pPr>
      <w:rPr>
        <w:rFonts w:ascii="Arial" w:hAnsi="Arial" w:hint="default"/>
      </w:rPr>
    </w:lvl>
  </w:abstractNum>
  <w:abstractNum w:abstractNumId="6">
    <w:nsid w:val="1E1F4B48"/>
    <w:multiLevelType w:val="multilevel"/>
    <w:tmpl w:val="A9F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5735D"/>
    <w:multiLevelType w:val="hybridMultilevel"/>
    <w:tmpl w:val="07CC9BE8"/>
    <w:lvl w:ilvl="0" w:tplc="A98E4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C69F2"/>
    <w:multiLevelType w:val="hybridMultilevel"/>
    <w:tmpl w:val="7166F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A20E48"/>
    <w:multiLevelType w:val="hybridMultilevel"/>
    <w:tmpl w:val="97646EAC"/>
    <w:lvl w:ilvl="0" w:tplc="AC1A16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E35BF"/>
    <w:multiLevelType w:val="multilevel"/>
    <w:tmpl w:val="2B76D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517E3"/>
    <w:multiLevelType w:val="hybridMultilevel"/>
    <w:tmpl w:val="3842A4F8"/>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nsid w:val="36C42D47"/>
    <w:multiLevelType w:val="hybridMultilevel"/>
    <w:tmpl w:val="EEBAFFBC"/>
    <w:lvl w:ilvl="0" w:tplc="584241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587AF6"/>
    <w:multiLevelType w:val="hybridMultilevel"/>
    <w:tmpl w:val="0E7C0E2A"/>
    <w:lvl w:ilvl="0" w:tplc="A98E40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525CD"/>
    <w:multiLevelType w:val="hybridMultilevel"/>
    <w:tmpl w:val="ABCA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E41"/>
    <w:multiLevelType w:val="hybridMultilevel"/>
    <w:tmpl w:val="583A171C"/>
    <w:lvl w:ilvl="0" w:tplc="CE508E7E">
      <w:start w:val="1"/>
      <w:numFmt w:val="bullet"/>
      <w:pStyle w:val="Bullets"/>
      <w:lvlText w:val=""/>
      <w:lvlJc w:val="left"/>
      <w:pPr>
        <w:ind w:left="644" w:hanging="360"/>
      </w:pPr>
      <w:rPr>
        <w:rFonts w:ascii="Symbol" w:hAnsi="Symbol" w:hint="default"/>
        <w:b/>
        <w:bCs/>
        <w:i w:val="0"/>
        <w:iCs w:val="0"/>
        <w:color w:val="005677"/>
        <w:sz w:val="24"/>
        <w:szCs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nsid w:val="46D87D01"/>
    <w:multiLevelType w:val="hybridMultilevel"/>
    <w:tmpl w:val="C66C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4406A"/>
    <w:multiLevelType w:val="multilevel"/>
    <w:tmpl w:val="DAA2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325F2D"/>
    <w:multiLevelType w:val="multilevel"/>
    <w:tmpl w:val="2BEA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909DE"/>
    <w:multiLevelType w:val="multilevel"/>
    <w:tmpl w:val="700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592D3E"/>
    <w:multiLevelType w:val="hybridMultilevel"/>
    <w:tmpl w:val="9B6E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D2570"/>
    <w:multiLevelType w:val="hybridMultilevel"/>
    <w:tmpl w:val="DF123A72"/>
    <w:lvl w:ilvl="0" w:tplc="F16ED216">
      <w:start w:val="1"/>
      <w:numFmt w:val="bullet"/>
      <w:lvlText w:val=""/>
      <w:lvlJc w:val="left"/>
      <w:pPr>
        <w:tabs>
          <w:tab w:val="num" w:pos="720"/>
        </w:tabs>
        <w:ind w:left="720" w:hanging="360"/>
      </w:pPr>
      <w:rPr>
        <w:rFonts w:ascii="Wingdings" w:hAnsi="Wingdings" w:hint="default"/>
        <w:w w:val="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B297214"/>
    <w:multiLevelType w:val="hybridMultilevel"/>
    <w:tmpl w:val="958C9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27525A"/>
    <w:multiLevelType w:val="multilevel"/>
    <w:tmpl w:val="ABCAF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8DE57B6"/>
    <w:multiLevelType w:val="multilevel"/>
    <w:tmpl w:val="3B2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81BB3"/>
    <w:multiLevelType w:val="hybridMultilevel"/>
    <w:tmpl w:val="C10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544FE"/>
    <w:multiLevelType w:val="hybridMultilevel"/>
    <w:tmpl w:val="A11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39486C"/>
    <w:multiLevelType w:val="multilevel"/>
    <w:tmpl w:val="485C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5F6E82"/>
    <w:multiLevelType w:val="multilevel"/>
    <w:tmpl w:val="3572B95C"/>
    <w:lvl w:ilvl="0">
      <w:start w:val="1"/>
      <w:numFmt w:val="decimal"/>
      <w:pStyle w:val="HeadingGE"/>
      <w:lvlText w:val="%1.0"/>
      <w:lvlJc w:val="left"/>
      <w:pPr>
        <w:tabs>
          <w:tab w:val="num" w:pos="360"/>
        </w:tabs>
        <w:ind w:left="360" w:hanging="360"/>
      </w:pPr>
      <w:rPr>
        <w:rFonts w:hint="default"/>
      </w:rPr>
    </w:lvl>
    <w:lvl w:ilvl="1">
      <w:numFmt w:val="decimal"/>
      <w:pStyle w:val="sub-headingGE"/>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28"/>
  </w:num>
  <w:num w:numId="3">
    <w:abstractNumId w:val="21"/>
  </w:num>
  <w:num w:numId="4">
    <w:abstractNumId w:val="11"/>
  </w:num>
  <w:num w:numId="5">
    <w:abstractNumId w:val="28"/>
  </w:num>
  <w:num w:numId="6">
    <w:abstractNumId w:val="20"/>
  </w:num>
  <w:num w:numId="7">
    <w:abstractNumId w:val="16"/>
  </w:num>
  <w:num w:numId="8">
    <w:abstractNumId w:val="14"/>
  </w:num>
  <w:num w:numId="9">
    <w:abstractNumId w:val="23"/>
  </w:num>
  <w:num w:numId="10">
    <w:abstractNumId w:val="7"/>
  </w:num>
  <w:num w:numId="11">
    <w:abstractNumId w:val="13"/>
  </w:num>
  <w:num w:numId="12">
    <w:abstractNumId w:val="28"/>
  </w:num>
  <w:num w:numId="13">
    <w:abstractNumId w:val="28"/>
  </w:num>
  <w:num w:numId="14">
    <w:abstractNumId w:val="28"/>
  </w:num>
  <w:num w:numId="15">
    <w:abstractNumId w:val="28"/>
  </w:num>
  <w:num w:numId="16">
    <w:abstractNumId w:val="28"/>
  </w:num>
  <w:num w:numId="17">
    <w:abstractNumId w:val="0"/>
  </w:num>
  <w:num w:numId="18">
    <w:abstractNumId w:val="17"/>
  </w:num>
  <w:num w:numId="19">
    <w:abstractNumId w:val="4"/>
  </w:num>
  <w:num w:numId="20">
    <w:abstractNumId w:val="24"/>
  </w:num>
  <w:num w:numId="21">
    <w:abstractNumId w:val="19"/>
  </w:num>
  <w:num w:numId="22">
    <w:abstractNumId w:val="6"/>
  </w:num>
  <w:num w:numId="23">
    <w:abstractNumId w:val="28"/>
  </w:num>
  <w:num w:numId="24">
    <w:abstractNumId w:val="3"/>
  </w:num>
  <w:num w:numId="25">
    <w:abstractNumId w:val="1"/>
  </w:num>
  <w:num w:numId="26">
    <w:abstractNumId w:val="18"/>
  </w:num>
  <w:num w:numId="27">
    <w:abstractNumId w:val="28"/>
  </w:num>
  <w:num w:numId="28">
    <w:abstractNumId w:val="5"/>
  </w:num>
  <w:num w:numId="29">
    <w:abstractNumId w:val="28"/>
  </w:num>
  <w:num w:numId="30">
    <w:abstractNumId w:val="27"/>
  </w:num>
  <w:num w:numId="31">
    <w:abstractNumId w:val="15"/>
  </w:num>
  <w:num w:numId="32">
    <w:abstractNumId w:val="12"/>
  </w:num>
  <w:num w:numId="33">
    <w:abstractNumId w:val="10"/>
  </w:num>
  <w:num w:numId="34">
    <w:abstractNumId w:val="28"/>
  </w:num>
  <w:num w:numId="35">
    <w:abstractNumId w:val="28"/>
  </w:num>
  <w:num w:numId="36">
    <w:abstractNumId w:val="28"/>
  </w:num>
  <w:num w:numId="37">
    <w:abstractNumId w:val="28"/>
  </w:num>
  <w:num w:numId="38">
    <w:abstractNumId w:val="25"/>
  </w:num>
  <w:num w:numId="39">
    <w:abstractNumId w:val="28"/>
  </w:num>
  <w:num w:numId="40">
    <w:abstractNumId w:val="28"/>
  </w:num>
  <w:num w:numId="41">
    <w:abstractNumId w:val="26"/>
  </w:num>
  <w:num w:numId="42">
    <w:abstractNumId w:val="9"/>
  </w:num>
  <w:num w:numId="43">
    <w:abstractNumId w:val="2"/>
  </w:num>
  <w:num w:numId="44">
    <w:abstractNumId w:val="22"/>
  </w:num>
  <w:num w:numId="4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0241">
      <o:colormru v:ext="edit" colors="#ffddd5,#ffd8d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F6"/>
    <w:rsid w:val="000004EC"/>
    <w:rsid w:val="0000122F"/>
    <w:rsid w:val="00023402"/>
    <w:rsid w:val="000236B4"/>
    <w:rsid w:val="00032919"/>
    <w:rsid w:val="0003432F"/>
    <w:rsid w:val="00037204"/>
    <w:rsid w:val="00045237"/>
    <w:rsid w:val="00045388"/>
    <w:rsid w:val="00051B5B"/>
    <w:rsid w:val="000528AC"/>
    <w:rsid w:val="0005348F"/>
    <w:rsid w:val="00057DCE"/>
    <w:rsid w:val="00057EE1"/>
    <w:rsid w:val="000600FD"/>
    <w:rsid w:val="00062025"/>
    <w:rsid w:val="00063E3E"/>
    <w:rsid w:val="000649B2"/>
    <w:rsid w:val="000659D4"/>
    <w:rsid w:val="00070179"/>
    <w:rsid w:val="000759F4"/>
    <w:rsid w:val="00082FCB"/>
    <w:rsid w:val="00091E30"/>
    <w:rsid w:val="000959BF"/>
    <w:rsid w:val="00096FCB"/>
    <w:rsid w:val="000A04D0"/>
    <w:rsid w:val="000A45D2"/>
    <w:rsid w:val="000A4722"/>
    <w:rsid w:val="000A4C47"/>
    <w:rsid w:val="000A76DF"/>
    <w:rsid w:val="000B03FC"/>
    <w:rsid w:val="000B0C04"/>
    <w:rsid w:val="000B1B25"/>
    <w:rsid w:val="000B32E6"/>
    <w:rsid w:val="000B35A2"/>
    <w:rsid w:val="000C4B46"/>
    <w:rsid w:val="000C792B"/>
    <w:rsid w:val="000D1F5C"/>
    <w:rsid w:val="000D3050"/>
    <w:rsid w:val="000D410B"/>
    <w:rsid w:val="000D4353"/>
    <w:rsid w:val="000E331D"/>
    <w:rsid w:val="000E4D2D"/>
    <w:rsid w:val="000E7190"/>
    <w:rsid w:val="000F026B"/>
    <w:rsid w:val="000F08F4"/>
    <w:rsid w:val="000F2E6B"/>
    <w:rsid w:val="000F55BD"/>
    <w:rsid w:val="000F66AB"/>
    <w:rsid w:val="00103CD1"/>
    <w:rsid w:val="0010435D"/>
    <w:rsid w:val="0010770A"/>
    <w:rsid w:val="001171A9"/>
    <w:rsid w:val="00117972"/>
    <w:rsid w:val="00124A2D"/>
    <w:rsid w:val="00126949"/>
    <w:rsid w:val="00131BF5"/>
    <w:rsid w:val="00132219"/>
    <w:rsid w:val="00132407"/>
    <w:rsid w:val="0014350C"/>
    <w:rsid w:val="00153ADC"/>
    <w:rsid w:val="00156E8E"/>
    <w:rsid w:val="001602D1"/>
    <w:rsid w:val="00174023"/>
    <w:rsid w:val="00174555"/>
    <w:rsid w:val="001768CA"/>
    <w:rsid w:val="00183D9D"/>
    <w:rsid w:val="001848A3"/>
    <w:rsid w:val="00186587"/>
    <w:rsid w:val="001872A2"/>
    <w:rsid w:val="001901E7"/>
    <w:rsid w:val="00192422"/>
    <w:rsid w:val="00194EB2"/>
    <w:rsid w:val="00195CE8"/>
    <w:rsid w:val="001A1D24"/>
    <w:rsid w:val="001A428E"/>
    <w:rsid w:val="001A7F34"/>
    <w:rsid w:val="001B341E"/>
    <w:rsid w:val="001B6AF6"/>
    <w:rsid w:val="001C101E"/>
    <w:rsid w:val="001D430D"/>
    <w:rsid w:val="001D4AAA"/>
    <w:rsid w:val="001E3F56"/>
    <w:rsid w:val="001F08A4"/>
    <w:rsid w:val="001F2503"/>
    <w:rsid w:val="001F7789"/>
    <w:rsid w:val="00202231"/>
    <w:rsid w:val="002035BC"/>
    <w:rsid w:val="00204698"/>
    <w:rsid w:val="0021431A"/>
    <w:rsid w:val="0022453C"/>
    <w:rsid w:val="00227B09"/>
    <w:rsid w:val="00230012"/>
    <w:rsid w:val="002304B9"/>
    <w:rsid w:val="00235357"/>
    <w:rsid w:val="00235C18"/>
    <w:rsid w:val="002457ED"/>
    <w:rsid w:val="002458AA"/>
    <w:rsid w:val="00251032"/>
    <w:rsid w:val="0025190B"/>
    <w:rsid w:val="002620B3"/>
    <w:rsid w:val="002646B6"/>
    <w:rsid w:val="00271304"/>
    <w:rsid w:val="00272935"/>
    <w:rsid w:val="00274BEB"/>
    <w:rsid w:val="002777C9"/>
    <w:rsid w:val="00282631"/>
    <w:rsid w:val="0028474F"/>
    <w:rsid w:val="0028475A"/>
    <w:rsid w:val="00290B49"/>
    <w:rsid w:val="00291C99"/>
    <w:rsid w:val="00292BE4"/>
    <w:rsid w:val="00296DD7"/>
    <w:rsid w:val="002A2BCE"/>
    <w:rsid w:val="002A3007"/>
    <w:rsid w:val="002A3559"/>
    <w:rsid w:val="002A4175"/>
    <w:rsid w:val="002A66A3"/>
    <w:rsid w:val="002A7F66"/>
    <w:rsid w:val="002B1C23"/>
    <w:rsid w:val="002B3146"/>
    <w:rsid w:val="002B3570"/>
    <w:rsid w:val="002B4BCC"/>
    <w:rsid w:val="002B50D2"/>
    <w:rsid w:val="002B61F0"/>
    <w:rsid w:val="002B7F8A"/>
    <w:rsid w:val="002C390F"/>
    <w:rsid w:val="002E4156"/>
    <w:rsid w:val="002E48D2"/>
    <w:rsid w:val="002E53F1"/>
    <w:rsid w:val="002F22DF"/>
    <w:rsid w:val="002F23FC"/>
    <w:rsid w:val="002F58F2"/>
    <w:rsid w:val="00301BA2"/>
    <w:rsid w:val="003034F2"/>
    <w:rsid w:val="00306F0E"/>
    <w:rsid w:val="00316DC4"/>
    <w:rsid w:val="003214A8"/>
    <w:rsid w:val="00321CAE"/>
    <w:rsid w:val="003318F8"/>
    <w:rsid w:val="003442E6"/>
    <w:rsid w:val="00347619"/>
    <w:rsid w:val="00360C71"/>
    <w:rsid w:val="00365143"/>
    <w:rsid w:val="00370635"/>
    <w:rsid w:val="0038663B"/>
    <w:rsid w:val="00386754"/>
    <w:rsid w:val="00393080"/>
    <w:rsid w:val="003967B4"/>
    <w:rsid w:val="003971B9"/>
    <w:rsid w:val="003A3770"/>
    <w:rsid w:val="003A6159"/>
    <w:rsid w:val="003A645D"/>
    <w:rsid w:val="003B1A26"/>
    <w:rsid w:val="003B2210"/>
    <w:rsid w:val="003B5111"/>
    <w:rsid w:val="003C3DDB"/>
    <w:rsid w:val="003D5130"/>
    <w:rsid w:val="003E0533"/>
    <w:rsid w:val="003F0A99"/>
    <w:rsid w:val="003F3294"/>
    <w:rsid w:val="003F48E4"/>
    <w:rsid w:val="003F78E3"/>
    <w:rsid w:val="0040359B"/>
    <w:rsid w:val="004105F1"/>
    <w:rsid w:val="0041447C"/>
    <w:rsid w:val="00415750"/>
    <w:rsid w:val="0042193B"/>
    <w:rsid w:val="004242C5"/>
    <w:rsid w:val="00426ACB"/>
    <w:rsid w:val="0042791E"/>
    <w:rsid w:val="00432EF1"/>
    <w:rsid w:val="0044213D"/>
    <w:rsid w:val="004423A9"/>
    <w:rsid w:val="004435D3"/>
    <w:rsid w:val="004442B9"/>
    <w:rsid w:val="00445EC2"/>
    <w:rsid w:val="00446E49"/>
    <w:rsid w:val="00447FC3"/>
    <w:rsid w:val="00456698"/>
    <w:rsid w:val="0046124E"/>
    <w:rsid w:val="00461C13"/>
    <w:rsid w:val="0046261A"/>
    <w:rsid w:val="00462749"/>
    <w:rsid w:val="004661C1"/>
    <w:rsid w:val="00474FFC"/>
    <w:rsid w:val="004773A0"/>
    <w:rsid w:val="00480C81"/>
    <w:rsid w:val="00483279"/>
    <w:rsid w:val="004837A5"/>
    <w:rsid w:val="00484FDB"/>
    <w:rsid w:val="00485182"/>
    <w:rsid w:val="00492E5A"/>
    <w:rsid w:val="0049389E"/>
    <w:rsid w:val="00493CF9"/>
    <w:rsid w:val="004A1E3E"/>
    <w:rsid w:val="004A307B"/>
    <w:rsid w:val="004A3E55"/>
    <w:rsid w:val="004A5BB4"/>
    <w:rsid w:val="004B0729"/>
    <w:rsid w:val="004B26F0"/>
    <w:rsid w:val="004B5105"/>
    <w:rsid w:val="004C0466"/>
    <w:rsid w:val="004D0797"/>
    <w:rsid w:val="004D491B"/>
    <w:rsid w:val="004D7544"/>
    <w:rsid w:val="004E0D3F"/>
    <w:rsid w:val="004F664E"/>
    <w:rsid w:val="0051225C"/>
    <w:rsid w:val="005150AA"/>
    <w:rsid w:val="00515264"/>
    <w:rsid w:val="005166FA"/>
    <w:rsid w:val="00517C3B"/>
    <w:rsid w:val="00520DEE"/>
    <w:rsid w:val="0053028B"/>
    <w:rsid w:val="00531099"/>
    <w:rsid w:val="00535AE2"/>
    <w:rsid w:val="00536AEC"/>
    <w:rsid w:val="00541CD5"/>
    <w:rsid w:val="00543557"/>
    <w:rsid w:val="005502F1"/>
    <w:rsid w:val="00552F65"/>
    <w:rsid w:val="00563B2D"/>
    <w:rsid w:val="00564306"/>
    <w:rsid w:val="00565BD9"/>
    <w:rsid w:val="00570F1E"/>
    <w:rsid w:val="005755B2"/>
    <w:rsid w:val="0057788B"/>
    <w:rsid w:val="00596EA2"/>
    <w:rsid w:val="005A02B7"/>
    <w:rsid w:val="005A0477"/>
    <w:rsid w:val="005A0522"/>
    <w:rsid w:val="005A54B7"/>
    <w:rsid w:val="005A5AF9"/>
    <w:rsid w:val="005A6D0F"/>
    <w:rsid w:val="005B1729"/>
    <w:rsid w:val="005B64E3"/>
    <w:rsid w:val="005C03DE"/>
    <w:rsid w:val="005C7323"/>
    <w:rsid w:val="005E6EE4"/>
    <w:rsid w:val="005E7248"/>
    <w:rsid w:val="005F7E81"/>
    <w:rsid w:val="006061B4"/>
    <w:rsid w:val="006121C9"/>
    <w:rsid w:val="00615269"/>
    <w:rsid w:val="00617C64"/>
    <w:rsid w:val="00621A39"/>
    <w:rsid w:val="00622F0A"/>
    <w:rsid w:val="0062610B"/>
    <w:rsid w:val="00630D71"/>
    <w:rsid w:val="00630E7D"/>
    <w:rsid w:val="006353F5"/>
    <w:rsid w:val="00636176"/>
    <w:rsid w:val="00636DA8"/>
    <w:rsid w:val="0065101B"/>
    <w:rsid w:val="00661410"/>
    <w:rsid w:val="006615FA"/>
    <w:rsid w:val="00661E2D"/>
    <w:rsid w:val="006630A7"/>
    <w:rsid w:val="0067468D"/>
    <w:rsid w:val="00674E31"/>
    <w:rsid w:val="00676B22"/>
    <w:rsid w:val="00684859"/>
    <w:rsid w:val="006A6088"/>
    <w:rsid w:val="006A6592"/>
    <w:rsid w:val="006B1759"/>
    <w:rsid w:val="006B1BB3"/>
    <w:rsid w:val="006B5AA9"/>
    <w:rsid w:val="006B676B"/>
    <w:rsid w:val="006C0437"/>
    <w:rsid w:val="006C4A2B"/>
    <w:rsid w:val="006C66F8"/>
    <w:rsid w:val="006C7007"/>
    <w:rsid w:val="006C7373"/>
    <w:rsid w:val="006D0DF9"/>
    <w:rsid w:val="006D6CAB"/>
    <w:rsid w:val="006D77F3"/>
    <w:rsid w:val="006E0995"/>
    <w:rsid w:val="006E1BE7"/>
    <w:rsid w:val="006E1C5D"/>
    <w:rsid w:val="006E68F2"/>
    <w:rsid w:val="006F5F86"/>
    <w:rsid w:val="006F716E"/>
    <w:rsid w:val="00705BDE"/>
    <w:rsid w:val="0071263A"/>
    <w:rsid w:val="007211C5"/>
    <w:rsid w:val="00732508"/>
    <w:rsid w:val="00737007"/>
    <w:rsid w:val="00740049"/>
    <w:rsid w:val="00740626"/>
    <w:rsid w:val="00740A2B"/>
    <w:rsid w:val="00746656"/>
    <w:rsid w:val="007611FC"/>
    <w:rsid w:val="00761A9F"/>
    <w:rsid w:val="00762371"/>
    <w:rsid w:val="00763CA6"/>
    <w:rsid w:val="0076597D"/>
    <w:rsid w:val="0077012A"/>
    <w:rsid w:val="00774B5B"/>
    <w:rsid w:val="007762EA"/>
    <w:rsid w:val="007819E2"/>
    <w:rsid w:val="00783AF4"/>
    <w:rsid w:val="00790FDF"/>
    <w:rsid w:val="00794B52"/>
    <w:rsid w:val="0079514B"/>
    <w:rsid w:val="00795389"/>
    <w:rsid w:val="007B0854"/>
    <w:rsid w:val="007B2DD6"/>
    <w:rsid w:val="007B4FB9"/>
    <w:rsid w:val="007B7294"/>
    <w:rsid w:val="007C0D23"/>
    <w:rsid w:val="007C14DB"/>
    <w:rsid w:val="007C1E75"/>
    <w:rsid w:val="007C1EBB"/>
    <w:rsid w:val="007D1BEB"/>
    <w:rsid w:val="007E3DFA"/>
    <w:rsid w:val="007F1274"/>
    <w:rsid w:val="007F1E32"/>
    <w:rsid w:val="007F1E9E"/>
    <w:rsid w:val="007F6A69"/>
    <w:rsid w:val="0080362F"/>
    <w:rsid w:val="00803A86"/>
    <w:rsid w:val="008041DE"/>
    <w:rsid w:val="0080639C"/>
    <w:rsid w:val="008076F2"/>
    <w:rsid w:val="00807D33"/>
    <w:rsid w:val="008204C5"/>
    <w:rsid w:val="00830C18"/>
    <w:rsid w:val="008329D0"/>
    <w:rsid w:val="0083306D"/>
    <w:rsid w:val="00835571"/>
    <w:rsid w:val="00836932"/>
    <w:rsid w:val="00841238"/>
    <w:rsid w:val="008448BE"/>
    <w:rsid w:val="00845DEA"/>
    <w:rsid w:val="008566B0"/>
    <w:rsid w:val="00856FE4"/>
    <w:rsid w:val="0085764E"/>
    <w:rsid w:val="00857C51"/>
    <w:rsid w:val="00864B2D"/>
    <w:rsid w:val="008657DB"/>
    <w:rsid w:val="00870962"/>
    <w:rsid w:val="00870CF3"/>
    <w:rsid w:val="008711D9"/>
    <w:rsid w:val="00872C57"/>
    <w:rsid w:val="00882EF1"/>
    <w:rsid w:val="00887A66"/>
    <w:rsid w:val="00887B9C"/>
    <w:rsid w:val="0089260D"/>
    <w:rsid w:val="008A2894"/>
    <w:rsid w:val="008A7122"/>
    <w:rsid w:val="008B7BF4"/>
    <w:rsid w:val="008C5167"/>
    <w:rsid w:val="008D2E5F"/>
    <w:rsid w:val="008E6A43"/>
    <w:rsid w:val="008F2525"/>
    <w:rsid w:val="008F3903"/>
    <w:rsid w:val="0090292A"/>
    <w:rsid w:val="00904258"/>
    <w:rsid w:val="00904813"/>
    <w:rsid w:val="009148C4"/>
    <w:rsid w:val="00914D3E"/>
    <w:rsid w:val="009156EC"/>
    <w:rsid w:val="00917010"/>
    <w:rsid w:val="0092127C"/>
    <w:rsid w:val="0092419D"/>
    <w:rsid w:val="00926484"/>
    <w:rsid w:val="0093074B"/>
    <w:rsid w:val="00935CFD"/>
    <w:rsid w:val="00942963"/>
    <w:rsid w:val="00945D5B"/>
    <w:rsid w:val="009548A9"/>
    <w:rsid w:val="00954ED7"/>
    <w:rsid w:val="00957BAF"/>
    <w:rsid w:val="009603B0"/>
    <w:rsid w:val="00961509"/>
    <w:rsid w:val="00961CD5"/>
    <w:rsid w:val="00962AF5"/>
    <w:rsid w:val="00963272"/>
    <w:rsid w:val="00963705"/>
    <w:rsid w:val="00964804"/>
    <w:rsid w:val="00964A9F"/>
    <w:rsid w:val="00973A37"/>
    <w:rsid w:val="00975127"/>
    <w:rsid w:val="00991A69"/>
    <w:rsid w:val="009A2099"/>
    <w:rsid w:val="009B038B"/>
    <w:rsid w:val="009C0DE5"/>
    <w:rsid w:val="009D0A1F"/>
    <w:rsid w:val="009D18FC"/>
    <w:rsid w:val="009E12CE"/>
    <w:rsid w:val="009E1725"/>
    <w:rsid w:val="009E3749"/>
    <w:rsid w:val="009E633C"/>
    <w:rsid w:val="009F48E0"/>
    <w:rsid w:val="009F5837"/>
    <w:rsid w:val="009F6D7C"/>
    <w:rsid w:val="00A016C1"/>
    <w:rsid w:val="00A0442C"/>
    <w:rsid w:val="00A04F27"/>
    <w:rsid w:val="00A06EF3"/>
    <w:rsid w:val="00A23241"/>
    <w:rsid w:val="00A248E4"/>
    <w:rsid w:val="00A25CA3"/>
    <w:rsid w:val="00A3489D"/>
    <w:rsid w:val="00A34B43"/>
    <w:rsid w:val="00A36894"/>
    <w:rsid w:val="00A378E9"/>
    <w:rsid w:val="00A43B8F"/>
    <w:rsid w:val="00A4487F"/>
    <w:rsid w:val="00A66682"/>
    <w:rsid w:val="00A709C0"/>
    <w:rsid w:val="00A86454"/>
    <w:rsid w:val="00AA0E08"/>
    <w:rsid w:val="00AA17AC"/>
    <w:rsid w:val="00AA4307"/>
    <w:rsid w:val="00AA5FEC"/>
    <w:rsid w:val="00AA6FC9"/>
    <w:rsid w:val="00AB14AF"/>
    <w:rsid w:val="00AC19D8"/>
    <w:rsid w:val="00AC1C5D"/>
    <w:rsid w:val="00AC5718"/>
    <w:rsid w:val="00AD008A"/>
    <w:rsid w:val="00AD09ED"/>
    <w:rsid w:val="00AE4672"/>
    <w:rsid w:val="00AE6821"/>
    <w:rsid w:val="00AF57C4"/>
    <w:rsid w:val="00AF5F42"/>
    <w:rsid w:val="00B012BA"/>
    <w:rsid w:val="00B02064"/>
    <w:rsid w:val="00B04300"/>
    <w:rsid w:val="00B26348"/>
    <w:rsid w:val="00B31F87"/>
    <w:rsid w:val="00B353B7"/>
    <w:rsid w:val="00B626E2"/>
    <w:rsid w:val="00B72409"/>
    <w:rsid w:val="00B837CE"/>
    <w:rsid w:val="00B84B9E"/>
    <w:rsid w:val="00B93DB2"/>
    <w:rsid w:val="00B94CE7"/>
    <w:rsid w:val="00BA5486"/>
    <w:rsid w:val="00BA68F0"/>
    <w:rsid w:val="00BB1436"/>
    <w:rsid w:val="00BB5757"/>
    <w:rsid w:val="00BC023A"/>
    <w:rsid w:val="00BC6B84"/>
    <w:rsid w:val="00BC6DDE"/>
    <w:rsid w:val="00BD69F0"/>
    <w:rsid w:val="00BE6C60"/>
    <w:rsid w:val="00BE768A"/>
    <w:rsid w:val="00BE7DDF"/>
    <w:rsid w:val="00C01645"/>
    <w:rsid w:val="00C03042"/>
    <w:rsid w:val="00C126D9"/>
    <w:rsid w:val="00C16226"/>
    <w:rsid w:val="00C17A2B"/>
    <w:rsid w:val="00C26BBB"/>
    <w:rsid w:val="00C276B0"/>
    <w:rsid w:val="00C34020"/>
    <w:rsid w:val="00C34DB5"/>
    <w:rsid w:val="00C34E2E"/>
    <w:rsid w:val="00C51057"/>
    <w:rsid w:val="00C60388"/>
    <w:rsid w:val="00C616F7"/>
    <w:rsid w:val="00C744D6"/>
    <w:rsid w:val="00C8380A"/>
    <w:rsid w:val="00C875EE"/>
    <w:rsid w:val="00C9378F"/>
    <w:rsid w:val="00C93EEA"/>
    <w:rsid w:val="00C942EA"/>
    <w:rsid w:val="00CA1E72"/>
    <w:rsid w:val="00CC05A3"/>
    <w:rsid w:val="00CC16BC"/>
    <w:rsid w:val="00CC1B54"/>
    <w:rsid w:val="00CC3BB3"/>
    <w:rsid w:val="00CC5681"/>
    <w:rsid w:val="00CC629C"/>
    <w:rsid w:val="00CC6C20"/>
    <w:rsid w:val="00CC786C"/>
    <w:rsid w:val="00CC7973"/>
    <w:rsid w:val="00CD00D1"/>
    <w:rsid w:val="00CD11D8"/>
    <w:rsid w:val="00CE0BD4"/>
    <w:rsid w:val="00CE3017"/>
    <w:rsid w:val="00CF026C"/>
    <w:rsid w:val="00CF253D"/>
    <w:rsid w:val="00D06107"/>
    <w:rsid w:val="00D10763"/>
    <w:rsid w:val="00D161D4"/>
    <w:rsid w:val="00D23504"/>
    <w:rsid w:val="00D23990"/>
    <w:rsid w:val="00D27E20"/>
    <w:rsid w:val="00D3233C"/>
    <w:rsid w:val="00D3513B"/>
    <w:rsid w:val="00D35A61"/>
    <w:rsid w:val="00D37E64"/>
    <w:rsid w:val="00D41AD0"/>
    <w:rsid w:val="00D51056"/>
    <w:rsid w:val="00D516AA"/>
    <w:rsid w:val="00D54A74"/>
    <w:rsid w:val="00D57844"/>
    <w:rsid w:val="00D609DD"/>
    <w:rsid w:val="00D66267"/>
    <w:rsid w:val="00D806A8"/>
    <w:rsid w:val="00D84997"/>
    <w:rsid w:val="00D904E7"/>
    <w:rsid w:val="00D913CF"/>
    <w:rsid w:val="00DA6DD8"/>
    <w:rsid w:val="00DB1439"/>
    <w:rsid w:val="00DC5C4D"/>
    <w:rsid w:val="00DD303D"/>
    <w:rsid w:val="00DE0482"/>
    <w:rsid w:val="00DF5C8C"/>
    <w:rsid w:val="00E00DF8"/>
    <w:rsid w:val="00E0266C"/>
    <w:rsid w:val="00E1388C"/>
    <w:rsid w:val="00E2098F"/>
    <w:rsid w:val="00E24B73"/>
    <w:rsid w:val="00E4326F"/>
    <w:rsid w:val="00E51EDA"/>
    <w:rsid w:val="00E528D3"/>
    <w:rsid w:val="00E54B06"/>
    <w:rsid w:val="00E57870"/>
    <w:rsid w:val="00E62342"/>
    <w:rsid w:val="00E649EC"/>
    <w:rsid w:val="00E71C45"/>
    <w:rsid w:val="00E72A3D"/>
    <w:rsid w:val="00E73F78"/>
    <w:rsid w:val="00E7533C"/>
    <w:rsid w:val="00E82EC2"/>
    <w:rsid w:val="00E86110"/>
    <w:rsid w:val="00E87F42"/>
    <w:rsid w:val="00E96240"/>
    <w:rsid w:val="00E97C0F"/>
    <w:rsid w:val="00EA1CC3"/>
    <w:rsid w:val="00EA24B4"/>
    <w:rsid w:val="00EA334D"/>
    <w:rsid w:val="00EA6A76"/>
    <w:rsid w:val="00EC2ADE"/>
    <w:rsid w:val="00EC5A5D"/>
    <w:rsid w:val="00ED3C66"/>
    <w:rsid w:val="00ED5A5D"/>
    <w:rsid w:val="00EE1747"/>
    <w:rsid w:val="00EE2B3D"/>
    <w:rsid w:val="00EF09F4"/>
    <w:rsid w:val="00EF0AD5"/>
    <w:rsid w:val="00EF1501"/>
    <w:rsid w:val="00EF186C"/>
    <w:rsid w:val="00EF38A8"/>
    <w:rsid w:val="00EF43C8"/>
    <w:rsid w:val="00EF5750"/>
    <w:rsid w:val="00EF6446"/>
    <w:rsid w:val="00F11B9B"/>
    <w:rsid w:val="00F34A26"/>
    <w:rsid w:val="00F35645"/>
    <w:rsid w:val="00F35E49"/>
    <w:rsid w:val="00F37A33"/>
    <w:rsid w:val="00F37FB5"/>
    <w:rsid w:val="00F40EA0"/>
    <w:rsid w:val="00F40FC8"/>
    <w:rsid w:val="00F45071"/>
    <w:rsid w:val="00F45B1B"/>
    <w:rsid w:val="00F5222D"/>
    <w:rsid w:val="00F54B74"/>
    <w:rsid w:val="00F623A3"/>
    <w:rsid w:val="00F64FA2"/>
    <w:rsid w:val="00F656D6"/>
    <w:rsid w:val="00F65BDC"/>
    <w:rsid w:val="00F704E6"/>
    <w:rsid w:val="00F77B73"/>
    <w:rsid w:val="00F83A2D"/>
    <w:rsid w:val="00F911AD"/>
    <w:rsid w:val="00F94107"/>
    <w:rsid w:val="00FA1346"/>
    <w:rsid w:val="00FA2B4E"/>
    <w:rsid w:val="00FA68BF"/>
    <w:rsid w:val="00FB2745"/>
    <w:rsid w:val="00FB30B4"/>
    <w:rsid w:val="00FB6294"/>
    <w:rsid w:val="00FC16F2"/>
    <w:rsid w:val="00FC3E04"/>
    <w:rsid w:val="00FD3326"/>
    <w:rsid w:val="00FD4425"/>
    <w:rsid w:val="00FD5617"/>
    <w:rsid w:val="00FE48DC"/>
    <w:rsid w:val="00FE4BB1"/>
    <w:rsid w:val="00FE5B73"/>
    <w:rsid w:val="00FE795E"/>
    <w:rsid w:val="00FE7C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ffddd5,#ffd8d5"/>
    </o:shapedefaults>
    <o:shapelayout v:ext="edit">
      <o:idmap v:ext="edit" data="1"/>
    </o:shapelayout>
  </w:shapeDefaults>
  <w:decimalSymbol w:val="."/>
  <w:listSeparator w:val=","/>
  <w14:docId w14:val="528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65"/>
  </w:style>
  <w:style w:type="paragraph" w:styleId="Heading1">
    <w:name w:val="heading 1"/>
    <w:basedOn w:val="Normal"/>
    <w:next w:val="Normal"/>
    <w:link w:val="Heading1Char"/>
    <w:uiPriority w:val="9"/>
    <w:qFormat/>
    <w:rsid w:val="00552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2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F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2F6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2F6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2F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2F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2F6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52F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 list"/>
    <w:basedOn w:val="Normal"/>
    <w:link w:val="ListParagraphChar"/>
    <w:uiPriority w:val="34"/>
    <w:qFormat/>
    <w:rsid w:val="00552F65"/>
    <w:pPr>
      <w:ind w:left="720"/>
      <w:contextualSpacing/>
    </w:pPr>
  </w:style>
  <w:style w:type="paragraph" w:customStyle="1" w:styleId="HeadingGE">
    <w:name w:val="Heading GE"/>
    <w:basedOn w:val="Normal"/>
    <w:link w:val="HeadingGEChar"/>
    <w:uiPriority w:val="99"/>
    <w:rsid w:val="009E3749"/>
    <w:pPr>
      <w:numPr>
        <w:numId w:val="1"/>
      </w:numPr>
      <w:spacing w:after="0" w:line="240" w:lineRule="auto"/>
      <w:outlineLvl w:val="0"/>
    </w:pPr>
    <w:rPr>
      <w:rFonts w:ascii="Arial" w:eastAsia="Times New Roman" w:hAnsi="Arial" w:cs="Arial"/>
      <w:b/>
      <w:color w:val="808080"/>
      <w:sz w:val="28"/>
      <w:szCs w:val="28"/>
    </w:rPr>
  </w:style>
  <w:style w:type="paragraph" w:customStyle="1" w:styleId="sub-headingGE">
    <w:name w:val="sub-heading GE"/>
    <w:basedOn w:val="Normal"/>
    <w:link w:val="sub-headingGEChar"/>
    <w:uiPriority w:val="99"/>
    <w:rsid w:val="009E3749"/>
    <w:pPr>
      <w:numPr>
        <w:ilvl w:val="1"/>
        <w:numId w:val="1"/>
      </w:numPr>
      <w:spacing w:after="0" w:line="240" w:lineRule="auto"/>
      <w:outlineLvl w:val="1"/>
    </w:pPr>
    <w:rPr>
      <w:rFonts w:ascii="Arial" w:eastAsia="Times New Roman" w:hAnsi="Arial" w:cs="Arial"/>
      <w:b/>
    </w:rPr>
  </w:style>
  <w:style w:type="character" w:customStyle="1" w:styleId="sub-headingGEChar">
    <w:name w:val="sub-heading GE Char"/>
    <w:basedOn w:val="DefaultParagraphFont"/>
    <w:link w:val="sub-headingGE"/>
    <w:uiPriority w:val="99"/>
    <w:rsid w:val="009E3749"/>
    <w:rPr>
      <w:rFonts w:ascii="Arial" w:eastAsia="Times New Roman" w:hAnsi="Arial" w:cs="Arial"/>
      <w:b/>
    </w:rPr>
  </w:style>
  <w:style w:type="paragraph" w:styleId="NormalWeb">
    <w:name w:val="Normal (Web)"/>
    <w:basedOn w:val="Normal"/>
    <w:uiPriority w:val="99"/>
    <w:rsid w:val="00E52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E528D3"/>
    <w:rPr>
      <w:color w:val="0000FF"/>
      <w:u w:val="single"/>
    </w:rPr>
  </w:style>
  <w:style w:type="table" w:styleId="TableGrid">
    <w:name w:val="Table Grid"/>
    <w:basedOn w:val="TableNormal"/>
    <w:uiPriority w:val="59"/>
    <w:rsid w:val="00235C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18"/>
    <w:rPr>
      <w:rFonts w:ascii="Tahoma" w:hAnsi="Tahoma" w:cs="Tahoma"/>
      <w:sz w:val="16"/>
      <w:szCs w:val="16"/>
    </w:rPr>
  </w:style>
  <w:style w:type="paragraph" w:styleId="Header">
    <w:name w:val="header"/>
    <w:basedOn w:val="Normal"/>
    <w:link w:val="HeaderChar"/>
    <w:uiPriority w:val="99"/>
    <w:unhideWhenUsed/>
    <w:rsid w:val="0019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E8"/>
  </w:style>
  <w:style w:type="paragraph" w:styleId="Footer">
    <w:name w:val="footer"/>
    <w:basedOn w:val="Normal"/>
    <w:link w:val="FooterChar"/>
    <w:uiPriority w:val="99"/>
    <w:unhideWhenUsed/>
    <w:rsid w:val="0019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E8"/>
  </w:style>
  <w:style w:type="character" w:customStyle="1" w:styleId="Heading4Char">
    <w:name w:val="Heading 4 Char"/>
    <w:basedOn w:val="DefaultParagraphFont"/>
    <w:link w:val="Heading4"/>
    <w:uiPriority w:val="9"/>
    <w:rsid w:val="00552F65"/>
    <w:rPr>
      <w:rFonts w:asciiTheme="majorHAnsi" w:eastAsiaTheme="majorEastAsia" w:hAnsiTheme="majorHAnsi" w:cstheme="majorBidi"/>
      <w:b/>
      <w:bCs/>
      <w:i/>
      <w:iCs/>
      <w:color w:val="4F81BD" w:themeColor="accent1"/>
    </w:rPr>
  </w:style>
  <w:style w:type="character" w:customStyle="1" w:styleId="HeadingGEChar">
    <w:name w:val="Heading GE Char"/>
    <w:basedOn w:val="DefaultParagraphFont"/>
    <w:link w:val="HeadingGE"/>
    <w:uiPriority w:val="99"/>
    <w:rsid w:val="003B1A26"/>
    <w:rPr>
      <w:rFonts w:ascii="Arial" w:eastAsia="Times New Roman" w:hAnsi="Arial" w:cs="Arial"/>
      <w:b/>
      <w:color w:val="808080"/>
      <w:sz w:val="28"/>
      <w:szCs w:val="28"/>
    </w:rPr>
  </w:style>
  <w:style w:type="character" w:styleId="PageNumber">
    <w:name w:val="page number"/>
    <w:basedOn w:val="DefaultParagraphFont"/>
    <w:rsid w:val="00A86454"/>
  </w:style>
  <w:style w:type="paragraph" w:customStyle="1" w:styleId="Default">
    <w:name w:val="Default"/>
    <w:rsid w:val="00B84B9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street-address">
    <w:name w:val="street-address"/>
    <w:basedOn w:val="DefaultParagraphFont"/>
    <w:rsid w:val="0005348F"/>
  </w:style>
  <w:style w:type="table" w:styleId="LightShading-Accent2">
    <w:name w:val="Light Shading Accent 2"/>
    <w:basedOn w:val="TableNormal"/>
    <w:uiPriority w:val="60"/>
    <w:rsid w:val="009648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96480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648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2Char">
    <w:name w:val="Heading 2 Char"/>
    <w:basedOn w:val="DefaultParagraphFont"/>
    <w:link w:val="Heading2"/>
    <w:uiPriority w:val="9"/>
    <w:rsid w:val="00552F6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A3007"/>
  </w:style>
  <w:style w:type="paragraph" w:customStyle="1" w:styleId="smallerquote">
    <w:name w:val="smaller quote"/>
    <w:basedOn w:val="Normal"/>
    <w:uiPriority w:val="99"/>
    <w:rsid w:val="00D41AD0"/>
    <w:pPr>
      <w:widowControl w:val="0"/>
      <w:suppressAutoHyphens/>
      <w:autoSpaceDE w:val="0"/>
      <w:autoSpaceDN w:val="0"/>
      <w:adjustRightInd w:val="0"/>
      <w:spacing w:after="0" w:line="300" w:lineRule="atLeast"/>
      <w:textAlignment w:val="center"/>
    </w:pPr>
    <w:rPr>
      <w:rFonts w:ascii="RockwellStd" w:eastAsia="Times New Roman" w:hAnsi="RockwellStd" w:cs="RockwellStd"/>
      <w:color w:val="989898"/>
      <w:spacing w:val="16"/>
      <w:sz w:val="26"/>
      <w:szCs w:val="26"/>
      <w:lang w:val="en-US" w:eastAsia="en-AU"/>
    </w:rPr>
  </w:style>
  <w:style w:type="character" w:customStyle="1" w:styleId="red">
    <w:name w:val="red"/>
    <w:uiPriority w:val="99"/>
    <w:rsid w:val="00D41AD0"/>
    <w:rPr>
      <w:color w:val="FF0000"/>
    </w:rPr>
  </w:style>
  <w:style w:type="character" w:styleId="Emphasis">
    <w:name w:val="Emphasis"/>
    <w:basedOn w:val="DefaultParagraphFont"/>
    <w:uiPriority w:val="20"/>
    <w:qFormat/>
    <w:rsid w:val="00552F65"/>
    <w:rPr>
      <w:i/>
      <w:iCs/>
    </w:rPr>
  </w:style>
  <w:style w:type="character" w:customStyle="1" w:styleId="Heading3Char">
    <w:name w:val="Heading 3 Char"/>
    <w:basedOn w:val="DefaultParagraphFont"/>
    <w:link w:val="Heading3"/>
    <w:uiPriority w:val="9"/>
    <w:rsid w:val="00552F6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52F65"/>
    <w:rPr>
      <w:rFonts w:asciiTheme="majorHAnsi" w:eastAsiaTheme="majorEastAsia" w:hAnsiTheme="majorHAnsi" w:cstheme="majorBidi"/>
      <w:color w:val="243F60" w:themeColor="accent1" w:themeShade="7F"/>
    </w:rPr>
  </w:style>
  <w:style w:type="character" w:customStyle="1" w:styleId="role">
    <w:name w:val="role"/>
    <w:basedOn w:val="DefaultParagraphFont"/>
    <w:rsid w:val="00484FDB"/>
  </w:style>
  <w:style w:type="paragraph" w:customStyle="1" w:styleId="disclosure-logo">
    <w:name w:val="disclosure-logo"/>
    <w:basedOn w:val="Normal"/>
    <w:rsid w:val="00484FDB"/>
    <w:pPr>
      <w:spacing w:before="100" w:beforeAutospacing="1" w:after="100" w:afterAutospacing="1" w:line="240" w:lineRule="auto"/>
    </w:pPr>
    <w:rPr>
      <w:rFonts w:ascii="Times" w:hAnsi="Times"/>
      <w:sz w:val="20"/>
      <w:szCs w:val="20"/>
    </w:rPr>
  </w:style>
  <w:style w:type="character" w:customStyle="1" w:styleId="action">
    <w:name w:val="action"/>
    <w:basedOn w:val="DefaultParagraphFont"/>
    <w:rsid w:val="00484FDB"/>
  </w:style>
  <w:style w:type="character" w:customStyle="1" w:styleId="name">
    <w:name w:val="name"/>
    <w:basedOn w:val="DefaultParagraphFont"/>
    <w:rsid w:val="00484FDB"/>
  </w:style>
  <w:style w:type="character" w:customStyle="1" w:styleId="location">
    <w:name w:val="location"/>
    <w:basedOn w:val="DefaultParagraphFont"/>
    <w:rsid w:val="00484FDB"/>
  </w:style>
  <w:style w:type="character" w:customStyle="1" w:styleId="source">
    <w:name w:val="source"/>
    <w:basedOn w:val="DefaultParagraphFont"/>
    <w:rsid w:val="00484FDB"/>
  </w:style>
  <w:style w:type="character" w:styleId="Strong">
    <w:name w:val="Strong"/>
    <w:basedOn w:val="DefaultParagraphFont"/>
    <w:uiPriority w:val="22"/>
    <w:qFormat/>
    <w:rsid w:val="00552F65"/>
    <w:rPr>
      <w:b/>
      <w:bCs/>
    </w:rPr>
  </w:style>
  <w:style w:type="paragraph" w:styleId="FootnoteText">
    <w:name w:val="footnote text"/>
    <w:basedOn w:val="Normal"/>
    <w:link w:val="FootnoteTextChar"/>
    <w:unhideWhenUsed/>
    <w:rsid w:val="008F2525"/>
    <w:pPr>
      <w:spacing w:after="0" w:line="240" w:lineRule="auto"/>
    </w:pPr>
    <w:rPr>
      <w:sz w:val="24"/>
      <w:szCs w:val="24"/>
    </w:rPr>
  </w:style>
  <w:style w:type="character" w:customStyle="1" w:styleId="FootnoteTextChar">
    <w:name w:val="Footnote Text Char"/>
    <w:basedOn w:val="DefaultParagraphFont"/>
    <w:link w:val="FootnoteText"/>
    <w:rsid w:val="008F2525"/>
    <w:rPr>
      <w:sz w:val="24"/>
      <w:szCs w:val="24"/>
    </w:rPr>
  </w:style>
  <w:style w:type="character" w:styleId="FootnoteReference">
    <w:name w:val="footnote reference"/>
    <w:basedOn w:val="DefaultParagraphFont"/>
    <w:unhideWhenUsed/>
    <w:rsid w:val="008F2525"/>
    <w:rPr>
      <w:vertAlign w:val="superscript"/>
    </w:rPr>
  </w:style>
  <w:style w:type="character" w:customStyle="1" w:styleId="Heading1Char">
    <w:name w:val="Heading 1 Char"/>
    <w:basedOn w:val="DefaultParagraphFont"/>
    <w:link w:val="Heading1"/>
    <w:uiPriority w:val="9"/>
    <w:rsid w:val="00552F65"/>
    <w:rPr>
      <w:rFonts w:asciiTheme="majorHAnsi" w:eastAsiaTheme="majorEastAsia" w:hAnsiTheme="majorHAnsi" w:cstheme="majorBidi"/>
      <w:b/>
      <w:bCs/>
      <w:color w:val="365F91" w:themeColor="accent1" w:themeShade="BF"/>
      <w:sz w:val="28"/>
      <w:szCs w:val="28"/>
    </w:rPr>
  </w:style>
  <w:style w:type="paragraph" w:customStyle="1" w:styleId="Bullets">
    <w:name w:val="Bullets"/>
    <w:basedOn w:val="Normal"/>
    <w:autoRedefine/>
    <w:rsid w:val="006E1BE7"/>
    <w:pPr>
      <w:numPr>
        <w:numId w:val="31"/>
      </w:numPr>
      <w:spacing w:after="0" w:line="281" w:lineRule="auto"/>
      <w:ind w:left="641" w:hanging="357"/>
    </w:pPr>
    <w:rPr>
      <w:rFonts w:ascii="Arial" w:eastAsia="MS Mincho" w:hAnsi="Arial" w:cs="Times New Roman"/>
      <w:sz w:val="24"/>
      <w:lang w:val="en-US"/>
    </w:rPr>
  </w:style>
  <w:style w:type="table" w:styleId="TableClassic3">
    <w:name w:val="Table Classic 3"/>
    <w:basedOn w:val="TableNormal"/>
    <w:rsid w:val="006E1BE7"/>
    <w:pPr>
      <w:spacing w:after="0" w:line="300" w:lineRule="auto"/>
    </w:pPr>
    <w:rPr>
      <w:rFonts w:ascii="Arial" w:eastAsia="Times New Roman" w:hAnsi="Arial" w:cs="Times New Roman"/>
      <w:color w:val="000080"/>
    </w:rPr>
    <w:tblPr>
      <w:tblBorders>
        <w:top w:val="single" w:sz="4" w:space="0" w:color="005677"/>
        <w:bottom w:val="single" w:sz="4" w:space="0" w:color="005677"/>
        <w:insideH w:val="single" w:sz="4" w:space="0" w:color="005677"/>
      </w:tblBorders>
    </w:tblPr>
    <w:tcPr>
      <w:shd w:val="clear" w:color="C0C0C0" w:fill="auto"/>
    </w:tcPr>
    <w:tblStylePr w:type="firstRow">
      <w:pPr>
        <w:jc w:val="left"/>
      </w:pPr>
      <w:rPr>
        <w:rFonts w:ascii="Arial" w:hAnsi="Arial"/>
        <w:b/>
        <w:bCs/>
        <w:i w:val="0"/>
        <w:iCs/>
        <w:color w:val="FFFFFF" w:themeColor="background1"/>
        <w:sz w:val="22"/>
      </w:rPr>
      <w:tblPr/>
      <w:tcPr>
        <w:shd w:val="clear" w:color="C0C0C0" w:fill="1F497D" w:themeFill="text2"/>
        <w:vAlign w:val="center"/>
      </w:tcPr>
    </w:tblStylePr>
    <w:tblStylePr w:type="lastRow">
      <w:rPr>
        <w:rFonts w:ascii="Arial" w:hAnsi="Arial"/>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customStyle="1" w:styleId="Letters-smallitalic">
    <w:name w:val="Letters - small italic"/>
    <w:basedOn w:val="ListParagraph"/>
    <w:rsid w:val="006E1BE7"/>
    <w:pPr>
      <w:spacing w:before="240" w:after="120"/>
      <w:ind w:left="357" w:hanging="357"/>
    </w:pPr>
    <w:rPr>
      <w:rFonts w:ascii="Arial" w:hAnsi="Arial"/>
      <w:i/>
      <w:color w:val="4F81BD" w:themeColor="accent1"/>
      <w:lang w:eastAsia="en-AU"/>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6E1BE7"/>
  </w:style>
  <w:style w:type="character" w:styleId="CommentReference">
    <w:name w:val="annotation reference"/>
    <w:basedOn w:val="DefaultParagraphFont"/>
    <w:rsid w:val="006E1BE7"/>
    <w:rPr>
      <w:sz w:val="16"/>
      <w:szCs w:val="16"/>
    </w:rPr>
  </w:style>
  <w:style w:type="paragraph" w:styleId="CommentText">
    <w:name w:val="annotation text"/>
    <w:basedOn w:val="Normal"/>
    <w:link w:val="CommentTextChar"/>
    <w:rsid w:val="006E1BE7"/>
    <w:pPr>
      <w:spacing w:line="240" w:lineRule="auto"/>
    </w:pPr>
    <w:rPr>
      <w:rFonts w:ascii="Times New Roman" w:eastAsia="Calibri" w:hAnsi="Times New Roman" w:cs="Times New Roman"/>
      <w:sz w:val="20"/>
      <w:szCs w:val="20"/>
      <w:lang w:eastAsia="en-AU"/>
    </w:rPr>
  </w:style>
  <w:style w:type="character" w:customStyle="1" w:styleId="CommentTextChar">
    <w:name w:val="Comment Text Char"/>
    <w:basedOn w:val="DefaultParagraphFont"/>
    <w:link w:val="CommentText"/>
    <w:rsid w:val="006E1BE7"/>
    <w:rPr>
      <w:rFonts w:ascii="Times New Roman" w:eastAsia="Calibri"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B314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3146"/>
    <w:rPr>
      <w:rFonts w:ascii="Times New Roman" w:eastAsia="Calibri" w:hAnsi="Times New Roman" w:cs="Times New Roman"/>
      <w:b/>
      <w:bCs/>
      <w:sz w:val="20"/>
      <w:szCs w:val="20"/>
      <w:lang w:eastAsia="en-AU"/>
    </w:rPr>
  </w:style>
  <w:style w:type="paragraph" w:customStyle="1" w:styleId="BodyText1">
    <w:name w:val="Body Text 1"/>
    <w:basedOn w:val="Normal"/>
    <w:uiPriority w:val="99"/>
    <w:rsid w:val="00415750"/>
    <w:pPr>
      <w:tabs>
        <w:tab w:val="left" w:pos="9360"/>
      </w:tabs>
      <w:spacing w:after="0" w:line="260" w:lineRule="exact"/>
      <w:ind w:left="902" w:right="1639"/>
    </w:pPr>
    <w:rPr>
      <w:rFonts w:ascii="Arial" w:eastAsia="Times New Roman" w:hAnsi="Arial" w:cs="Times New Roman"/>
      <w:sz w:val="20"/>
      <w:szCs w:val="24"/>
      <w:lang w:val="en-US"/>
    </w:rPr>
  </w:style>
  <w:style w:type="paragraph" w:styleId="Revision">
    <w:name w:val="Revision"/>
    <w:hidden/>
    <w:uiPriority w:val="99"/>
    <w:semiHidden/>
    <w:rsid w:val="004442B9"/>
    <w:pPr>
      <w:spacing w:after="0" w:line="240" w:lineRule="auto"/>
    </w:pPr>
  </w:style>
  <w:style w:type="character" w:customStyle="1" w:styleId="Heading6Char">
    <w:name w:val="Heading 6 Char"/>
    <w:basedOn w:val="DefaultParagraphFont"/>
    <w:link w:val="Heading6"/>
    <w:uiPriority w:val="9"/>
    <w:semiHidden/>
    <w:rsid w:val="00552F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2F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2F6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52F6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52F65"/>
    <w:pPr>
      <w:spacing w:line="240" w:lineRule="auto"/>
    </w:pPr>
    <w:rPr>
      <w:b/>
      <w:bCs/>
      <w:color w:val="4F81BD" w:themeColor="accent1"/>
      <w:sz w:val="18"/>
      <w:szCs w:val="18"/>
    </w:rPr>
  </w:style>
  <w:style w:type="paragraph" w:styleId="Title">
    <w:name w:val="Title"/>
    <w:basedOn w:val="Normal"/>
    <w:next w:val="Normal"/>
    <w:link w:val="TitleChar"/>
    <w:uiPriority w:val="10"/>
    <w:qFormat/>
    <w:rsid w:val="00552F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F6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2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2F6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52F65"/>
    <w:pPr>
      <w:spacing w:after="0" w:line="240" w:lineRule="auto"/>
    </w:pPr>
  </w:style>
  <w:style w:type="paragraph" w:styleId="Quote">
    <w:name w:val="Quote"/>
    <w:basedOn w:val="Normal"/>
    <w:next w:val="Normal"/>
    <w:link w:val="QuoteChar"/>
    <w:uiPriority w:val="29"/>
    <w:qFormat/>
    <w:rsid w:val="00552F65"/>
    <w:rPr>
      <w:i/>
      <w:iCs/>
      <w:color w:val="000000" w:themeColor="text1"/>
    </w:rPr>
  </w:style>
  <w:style w:type="character" w:customStyle="1" w:styleId="QuoteChar">
    <w:name w:val="Quote Char"/>
    <w:basedOn w:val="DefaultParagraphFont"/>
    <w:link w:val="Quote"/>
    <w:uiPriority w:val="29"/>
    <w:rsid w:val="00552F65"/>
    <w:rPr>
      <w:i/>
      <w:iCs/>
      <w:color w:val="000000" w:themeColor="text1"/>
    </w:rPr>
  </w:style>
  <w:style w:type="paragraph" w:styleId="IntenseQuote">
    <w:name w:val="Intense Quote"/>
    <w:basedOn w:val="Normal"/>
    <w:next w:val="Normal"/>
    <w:link w:val="IntenseQuoteChar"/>
    <w:uiPriority w:val="30"/>
    <w:qFormat/>
    <w:rsid w:val="00552F6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2F65"/>
    <w:rPr>
      <w:b/>
      <w:bCs/>
      <w:i/>
      <w:iCs/>
      <w:color w:val="4F81BD" w:themeColor="accent1"/>
    </w:rPr>
  </w:style>
  <w:style w:type="character" w:styleId="SubtleEmphasis">
    <w:name w:val="Subtle Emphasis"/>
    <w:basedOn w:val="DefaultParagraphFont"/>
    <w:uiPriority w:val="19"/>
    <w:qFormat/>
    <w:rsid w:val="00552F65"/>
    <w:rPr>
      <w:i/>
      <w:iCs/>
      <w:color w:val="808080" w:themeColor="text1" w:themeTint="7F"/>
    </w:rPr>
  </w:style>
  <w:style w:type="character" w:styleId="IntenseEmphasis">
    <w:name w:val="Intense Emphasis"/>
    <w:basedOn w:val="DefaultParagraphFont"/>
    <w:uiPriority w:val="21"/>
    <w:qFormat/>
    <w:rsid w:val="00552F65"/>
    <w:rPr>
      <w:b/>
      <w:bCs/>
      <w:i/>
      <w:iCs/>
      <w:color w:val="4F81BD" w:themeColor="accent1"/>
    </w:rPr>
  </w:style>
  <w:style w:type="character" w:styleId="SubtleReference">
    <w:name w:val="Subtle Reference"/>
    <w:basedOn w:val="DefaultParagraphFont"/>
    <w:uiPriority w:val="31"/>
    <w:qFormat/>
    <w:rsid w:val="00552F65"/>
    <w:rPr>
      <w:smallCaps/>
      <w:color w:val="C0504D" w:themeColor="accent2"/>
      <w:u w:val="single"/>
    </w:rPr>
  </w:style>
  <w:style w:type="character" w:styleId="IntenseReference">
    <w:name w:val="Intense Reference"/>
    <w:basedOn w:val="DefaultParagraphFont"/>
    <w:uiPriority w:val="32"/>
    <w:qFormat/>
    <w:rsid w:val="00552F65"/>
    <w:rPr>
      <w:b/>
      <w:bCs/>
      <w:smallCaps/>
      <w:color w:val="C0504D" w:themeColor="accent2"/>
      <w:spacing w:val="5"/>
      <w:u w:val="single"/>
    </w:rPr>
  </w:style>
  <w:style w:type="character" w:styleId="BookTitle">
    <w:name w:val="Book Title"/>
    <w:basedOn w:val="DefaultParagraphFont"/>
    <w:uiPriority w:val="33"/>
    <w:qFormat/>
    <w:rsid w:val="00552F65"/>
    <w:rPr>
      <w:b/>
      <w:bCs/>
      <w:smallCaps/>
      <w:spacing w:val="5"/>
    </w:rPr>
  </w:style>
  <w:style w:type="paragraph" w:styleId="TOCHeading">
    <w:name w:val="TOC Heading"/>
    <w:basedOn w:val="Heading1"/>
    <w:next w:val="Normal"/>
    <w:uiPriority w:val="39"/>
    <w:semiHidden/>
    <w:unhideWhenUsed/>
    <w:qFormat/>
    <w:rsid w:val="00552F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65"/>
  </w:style>
  <w:style w:type="paragraph" w:styleId="Heading1">
    <w:name w:val="heading 1"/>
    <w:basedOn w:val="Normal"/>
    <w:next w:val="Normal"/>
    <w:link w:val="Heading1Char"/>
    <w:uiPriority w:val="9"/>
    <w:qFormat/>
    <w:rsid w:val="00552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2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F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2F6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2F6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2F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2F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2F6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52F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 list"/>
    <w:basedOn w:val="Normal"/>
    <w:link w:val="ListParagraphChar"/>
    <w:uiPriority w:val="34"/>
    <w:qFormat/>
    <w:rsid w:val="00552F65"/>
    <w:pPr>
      <w:ind w:left="720"/>
      <w:contextualSpacing/>
    </w:pPr>
  </w:style>
  <w:style w:type="paragraph" w:customStyle="1" w:styleId="HeadingGE">
    <w:name w:val="Heading GE"/>
    <w:basedOn w:val="Normal"/>
    <w:link w:val="HeadingGEChar"/>
    <w:uiPriority w:val="99"/>
    <w:rsid w:val="009E3749"/>
    <w:pPr>
      <w:numPr>
        <w:numId w:val="1"/>
      </w:numPr>
      <w:spacing w:after="0" w:line="240" w:lineRule="auto"/>
      <w:outlineLvl w:val="0"/>
    </w:pPr>
    <w:rPr>
      <w:rFonts w:ascii="Arial" w:eastAsia="Times New Roman" w:hAnsi="Arial" w:cs="Arial"/>
      <w:b/>
      <w:color w:val="808080"/>
      <w:sz w:val="28"/>
      <w:szCs w:val="28"/>
    </w:rPr>
  </w:style>
  <w:style w:type="paragraph" w:customStyle="1" w:styleId="sub-headingGE">
    <w:name w:val="sub-heading GE"/>
    <w:basedOn w:val="Normal"/>
    <w:link w:val="sub-headingGEChar"/>
    <w:uiPriority w:val="99"/>
    <w:rsid w:val="009E3749"/>
    <w:pPr>
      <w:numPr>
        <w:ilvl w:val="1"/>
        <w:numId w:val="1"/>
      </w:numPr>
      <w:spacing w:after="0" w:line="240" w:lineRule="auto"/>
      <w:outlineLvl w:val="1"/>
    </w:pPr>
    <w:rPr>
      <w:rFonts w:ascii="Arial" w:eastAsia="Times New Roman" w:hAnsi="Arial" w:cs="Arial"/>
      <w:b/>
    </w:rPr>
  </w:style>
  <w:style w:type="character" w:customStyle="1" w:styleId="sub-headingGEChar">
    <w:name w:val="sub-heading GE Char"/>
    <w:basedOn w:val="DefaultParagraphFont"/>
    <w:link w:val="sub-headingGE"/>
    <w:uiPriority w:val="99"/>
    <w:rsid w:val="009E3749"/>
    <w:rPr>
      <w:rFonts w:ascii="Arial" w:eastAsia="Times New Roman" w:hAnsi="Arial" w:cs="Arial"/>
      <w:b/>
    </w:rPr>
  </w:style>
  <w:style w:type="paragraph" w:styleId="NormalWeb">
    <w:name w:val="Normal (Web)"/>
    <w:basedOn w:val="Normal"/>
    <w:uiPriority w:val="99"/>
    <w:rsid w:val="00E52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E528D3"/>
    <w:rPr>
      <w:color w:val="0000FF"/>
      <w:u w:val="single"/>
    </w:rPr>
  </w:style>
  <w:style w:type="table" w:styleId="TableGrid">
    <w:name w:val="Table Grid"/>
    <w:basedOn w:val="TableNormal"/>
    <w:uiPriority w:val="59"/>
    <w:rsid w:val="00235C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18"/>
    <w:rPr>
      <w:rFonts w:ascii="Tahoma" w:hAnsi="Tahoma" w:cs="Tahoma"/>
      <w:sz w:val="16"/>
      <w:szCs w:val="16"/>
    </w:rPr>
  </w:style>
  <w:style w:type="paragraph" w:styleId="Header">
    <w:name w:val="header"/>
    <w:basedOn w:val="Normal"/>
    <w:link w:val="HeaderChar"/>
    <w:uiPriority w:val="99"/>
    <w:unhideWhenUsed/>
    <w:rsid w:val="0019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E8"/>
  </w:style>
  <w:style w:type="paragraph" w:styleId="Footer">
    <w:name w:val="footer"/>
    <w:basedOn w:val="Normal"/>
    <w:link w:val="FooterChar"/>
    <w:uiPriority w:val="99"/>
    <w:unhideWhenUsed/>
    <w:rsid w:val="0019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E8"/>
  </w:style>
  <w:style w:type="character" w:customStyle="1" w:styleId="Heading4Char">
    <w:name w:val="Heading 4 Char"/>
    <w:basedOn w:val="DefaultParagraphFont"/>
    <w:link w:val="Heading4"/>
    <w:uiPriority w:val="9"/>
    <w:rsid w:val="00552F65"/>
    <w:rPr>
      <w:rFonts w:asciiTheme="majorHAnsi" w:eastAsiaTheme="majorEastAsia" w:hAnsiTheme="majorHAnsi" w:cstheme="majorBidi"/>
      <w:b/>
      <w:bCs/>
      <w:i/>
      <w:iCs/>
      <w:color w:val="4F81BD" w:themeColor="accent1"/>
    </w:rPr>
  </w:style>
  <w:style w:type="character" w:customStyle="1" w:styleId="HeadingGEChar">
    <w:name w:val="Heading GE Char"/>
    <w:basedOn w:val="DefaultParagraphFont"/>
    <w:link w:val="HeadingGE"/>
    <w:uiPriority w:val="99"/>
    <w:rsid w:val="003B1A26"/>
    <w:rPr>
      <w:rFonts w:ascii="Arial" w:eastAsia="Times New Roman" w:hAnsi="Arial" w:cs="Arial"/>
      <w:b/>
      <w:color w:val="808080"/>
      <w:sz w:val="28"/>
      <w:szCs w:val="28"/>
    </w:rPr>
  </w:style>
  <w:style w:type="character" w:styleId="PageNumber">
    <w:name w:val="page number"/>
    <w:basedOn w:val="DefaultParagraphFont"/>
    <w:rsid w:val="00A86454"/>
  </w:style>
  <w:style w:type="paragraph" w:customStyle="1" w:styleId="Default">
    <w:name w:val="Default"/>
    <w:rsid w:val="00B84B9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street-address">
    <w:name w:val="street-address"/>
    <w:basedOn w:val="DefaultParagraphFont"/>
    <w:rsid w:val="0005348F"/>
  </w:style>
  <w:style w:type="table" w:styleId="LightShading-Accent2">
    <w:name w:val="Light Shading Accent 2"/>
    <w:basedOn w:val="TableNormal"/>
    <w:uiPriority w:val="60"/>
    <w:rsid w:val="009648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96480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648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2Char">
    <w:name w:val="Heading 2 Char"/>
    <w:basedOn w:val="DefaultParagraphFont"/>
    <w:link w:val="Heading2"/>
    <w:uiPriority w:val="9"/>
    <w:rsid w:val="00552F6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A3007"/>
  </w:style>
  <w:style w:type="paragraph" w:customStyle="1" w:styleId="smallerquote">
    <w:name w:val="smaller quote"/>
    <w:basedOn w:val="Normal"/>
    <w:uiPriority w:val="99"/>
    <w:rsid w:val="00D41AD0"/>
    <w:pPr>
      <w:widowControl w:val="0"/>
      <w:suppressAutoHyphens/>
      <w:autoSpaceDE w:val="0"/>
      <w:autoSpaceDN w:val="0"/>
      <w:adjustRightInd w:val="0"/>
      <w:spacing w:after="0" w:line="300" w:lineRule="atLeast"/>
      <w:textAlignment w:val="center"/>
    </w:pPr>
    <w:rPr>
      <w:rFonts w:ascii="RockwellStd" w:eastAsia="Times New Roman" w:hAnsi="RockwellStd" w:cs="RockwellStd"/>
      <w:color w:val="989898"/>
      <w:spacing w:val="16"/>
      <w:sz w:val="26"/>
      <w:szCs w:val="26"/>
      <w:lang w:val="en-US" w:eastAsia="en-AU"/>
    </w:rPr>
  </w:style>
  <w:style w:type="character" w:customStyle="1" w:styleId="red">
    <w:name w:val="red"/>
    <w:uiPriority w:val="99"/>
    <w:rsid w:val="00D41AD0"/>
    <w:rPr>
      <w:color w:val="FF0000"/>
    </w:rPr>
  </w:style>
  <w:style w:type="character" w:styleId="Emphasis">
    <w:name w:val="Emphasis"/>
    <w:basedOn w:val="DefaultParagraphFont"/>
    <w:uiPriority w:val="20"/>
    <w:qFormat/>
    <w:rsid w:val="00552F65"/>
    <w:rPr>
      <w:i/>
      <w:iCs/>
    </w:rPr>
  </w:style>
  <w:style w:type="character" w:customStyle="1" w:styleId="Heading3Char">
    <w:name w:val="Heading 3 Char"/>
    <w:basedOn w:val="DefaultParagraphFont"/>
    <w:link w:val="Heading3"/>
    <w:uiPriority w:val="9"/>
    <w:rsid w:val="00552F6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52F65"/>
    <w:rPr>
      <w:rFonts w:asciiTheme="majorHAnsi" w:eastAsiaTheme="majorEastAsia" w:hAnsiTheme="majorHAnsi" w:cstheme="majorBidi"/>
      <w:color w:val="243F60" w:themeColor="accent1" w:themeShade="7F"/>
    </w:rPr>
  </w:style>
  <w:style w:type="character" w:customStyle="1" w:styleId="role">
    <w:name w:val="role"/>
    <w:basedOn w:val="DefaultParagraphFont"/>
    <w:rsid w:val="00484FDB"/>
  </w:style>
  <w:style w:type="paragraph" w:customStyle="1" w:styleId="disclosure-logo">
    <w:name w:val="disclosure-logo"/>
    <w:basedOn w:val="Normal"/>
    <w:rsid w:val="00484FDB"/>
    <w:pPr>
      <w:spacing w:before="100" w:beforeAutospacing="1" w:after="100" w:afterAutospacing="1" w:line="240" w:lineRule="auto"/>
    </w:pPr>
    <w:rPr>
      <w:rFonts w:ascii="Times" w:hAnsi="Times"/>
      <w:sz w:val="20"/>
      <w:szCs w:val="20"/>
    </w:rPr>
  </w:style>
  <w:style w:type="character" w:customStyle="1" w:styleId="action">
    <w:name w:val="action"/>
    <w:basedOn w:val="DefaultParagraphFont"/>
    <w:rsid w:val="00484FDB"/>
  </w:style>
  <w:style w:type="character" w:customStyle="1" w:styleId="name">
    <w:name w:val="name"/>
    <w:basedOn w:val="DefaultParagraphFont"/>
    <w:rsid w:val="00484FDB"/>
  </w:style>
  <w:style w:type="character" w:customStyle="1" w:styleId="location">
    <w:name w:val="location"/>
    <w:basedOn w:val="DefaultParagraphFont"/>
    <w:rsid w:val="00484FDB"/>
  </w:style>
  <w:style w:type="character" w:customStyle="1" w:styleId="source">
    <w:name w:val="source"/>
    <w:basedOn w:val="DefaultParagraphFont"/>
    <w:rsid w:val="00484FDB"/>
  </w:style>
  <w:style w:type="character" w:styleId="Strong">
    <w:name w:val="Strong"/>
    <w:basedOn w:val="DefaultParagraphFont"/>
    <w:uiPriority w:val="22"/>
    <w:qFormat/>
    <w:rsid w:val="00552F65"/>
    <w:rPr>
      <w:b/>
      <w:bCs/>
    </w:rPr>
  </w:style>
  <w:style w:type="paragraph" w:styleId="FootnoteText">
    <w:name w:val="footnote text"/>
    <w:basedOn w:val="Normal"/>
    <w:link w:val="FootnoteTextChar"/>
    <w:unhideWhenUsed/>
    <w:rsid w:val="008F2525"/>
    <w:pPr>
      <w:spacing w:after="0" w:line="240" w:lineRule="auto"/>
    </w:pPr>
    <w:rPr>
      <w:sz w:val="24"/>
      <w:szCs w:val="24"/>
    </w:rPr>
  </w:style>
  <w:style w:type="character" w:customStyle="1" w:styleId="FootnoteTextChar">
    <w:name w:val="Footnote Text Char"/>
    <w:basedOn w:val="DefaultParagraphFont"/>
    <w:link w:val="FootnoteText"/>
    <w:rsid w:val="008F2525"/>
    <w:rPr>
      <w:sz w:val="24"/>
      <w:szCs w:val="24"/>
    </w:rPr>
  </w:style>
  <w:style w:type="character" w:styleId="FootnoteReference">
    <w:name w:val="footnote reference"/>
    <w:basedOn w:val="DefaultParagraphFont"/>
    <w:unhideWhenUsed/>
    <w:rsid w:val="008F2525"/>
    <w:rPr>
      <w:vertAlign w:val="superscript"/>
    </w:rPr>
  </w:style>
  <w:style w:type="character" w:customStyle="1" w:styleId="Heading1Char">
    <w:name w:val="Heading 1 Char"/>
    <w:basedOn w:val="DefaultParagraphFont"/>
    <w:link w:val="Heading1"/>
    <w:uiPriority w:val="9"/>
    <w:rsid w:val="00552F65"/>
    <w:rPr>
      <w:rFonts w:asciiTheme="majorHAnsi" w:eastAsiaTheme="majorEastAsia" w:hAnsiTheme="majorHAnsi" w:cstheme="majorBidi"/>
      <w:b/>
      <w:bCs/>
      <w:color w:val="365F91" w:themeColor="accent1" w:themeShade="BF"/>
      <w:sz w:val="28"/>
      <w:szCs w:val="28"/>
    </w:rPr>
  </w:style>
  <w:style w:type="paragraph" w:customStyle="1" w:styleId="Bullets">
    <w:name w:val="Bullets"/>
    <w:basedOn w:val="Normal"/>
    <w:autoRedefine/>
    <w:rsid w:val="006E1BE7"/>
    <w:pPr>
      <w:numPr>
        <w:numId w:val="31"/>
      </w:numPr>
      <w:spacing w:after="0" w:line="281" w:lineRule="auto"/>
      <w:ind w:left="641" w:hanging="357"/>
    </w:pPr>
    <w:rPr>
      <w:rFonts w:ascii="Arial" w:eastAsia="MS Mincho" w:hAnsi="Arial" w:cs="Times New Roman"/>
      <w:sz w:val="24"/>
      <w:lang w:val="en-US"/>
    </w:rPr>
  </w:style>
  <w:style w:type="table" w:styleId="TableClassic3">
    <w:name w:val="Table Classic 3"/>
    <w:basedOn w:val="TableNormal"/>
    <w:rsid w:val="006E1BE7"/>
    <w:pPr>
      <w:spacing w:after="0" w:line="300" w:lineRule="auto"/>
    </w:pPr>
    <w:rPr>
      <w:rFonts w:ascii="Arial" w:eastAsia="Times New Roman" w:hAnsi="Arial" w:cs="Times New Roman"/>
      <w:color w:val="000080"/>
    </w:rPr>
    <w:tblPr>
      <w:tblBorders>
        <w:top w:val="single" w:sz="4" w:space="0" w:color="005677"/>
        <w:bottom w:val="single" w:sz="4" w:space="0" w:color="005677"/>
        <w:insideH w:val="single" w:sz="4" w:space="0" w:color="005677"/>
      </w:tblBorders>
    </w:tblPr>
    <w:tcPr>
      <w:shd w:val="clear" w:color="C0C0C0" w:fill="auto"/>
    </w:tcPr>
    <w:tblStylePr w:type="firstRow">
      <w:pPr>
        <w:jc w:val="left"/>
      </w:pPr>
      <w:rPr>
        <w:rFonts w:ascii="Arial" w:hAnsi="Arial"/>
        <w:b/>
        <w:bCs/>
        <w:i w:val="0"/>
        <w:iCs/>
        <w:color w:val="FFFFFF" w:themeColor="background1"/>
        <w:sz w:val="22"/>
      </w:rPr>
      <w:tblPr/>
      <w:tcPr>
        <w:shd w:val="clear" w:color="C0C0C0" w:fill="1F497D" w:themeFill="text2"/>
        <w:vAlign w:val="center"/>
      </w:tcPr>
    </w:tblStylePr>
    <w:tblStylePr w:type="lastRow">
      <w:rPr>
        <w:rFonts w:ascii="Arial" w:hAnsi="Arial"/>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customStyle="1" w:styleId="Letters-smallitalic">
    <w:name w:val="Letters - small italic"/>
    <w:basedOn w:val="ListParagraph"/>
    <w:rsid w:val="006E1BE7"/>
    <w:pPr>
      <w:spacing w:before="240" w:after="120"/>
      <w:ind w:left="357" w:hanging="357"/>
    </w:pPr>
    <w:rPr>
      <w:rFonts w:ascii="Arial" w:hAnsi="Arial"/>
      <w:i/>
      <w:color w:val="4F81BD" w:themeColor="accent1"/>
      <w:lang w:eastAsia="en-AU"/>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6E1BE7"/>
  </w:style>
  <w:style w:type="character" w:styleId="CommentReference">
    <w:name w:val="annotation reference"/>
    <w:basedOn w:val="DefaultParagraphFont"/>
    <w:rsid w:val="006E1BE7"/>
    <w:rPr>
      <w:sz w:val="16"/>
      <w:szCs w:val="16"/>
    </w:rPr>
  </w:style>
  <w:style w:type="paragraph" w:styleId="CommentText">
    <w:name w:val="annotation text"/>
    <w:basedOn w:val="Normal"/>
    <w:link w:val="CommentTextChar"/>
    <w:rsid w:val="006E1BE7"/>
    <w:pPr>
      <w:spacing w:line="240" w:lineRule="auto"/>
    </w:pPr>
    <w:rPr>
      <w:rFonts w:ascii="Times New Roman" w:eastAsia="Calibri" w:hAnsi="Times New Roman" w:cs="Times New Roman"/>
      <w:sz w:val="20"/>
      <w:szCs w:val="20"/>
      <w:lang w:eastAsia="en-AU"/>
    </w:rPr>
  </w:style>
  <w:style w:type="character" w:customStyle="1" w:styleId="CommentTextChar">
    <w:name w:val="Comment Text Char"/>
    <w:basedOn w:val="DefaultParagraphFont"/>
    <w:link w:val="CommentText"/>
    <w:rsid w:val="006E1BE7"/>
    <w:rPr>
      <w:rFonts w:ascii="Times New Roman" w:eastAsia="Calibri"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B314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3146"/>
    <w:rPr>
      <w:rFonts w:ascii="Times New Roman" w:eastAsia="Calibri" w:hAnsi="Times New Roman" w:cs="Times New Roman"/>
      <w:b/>
      <w:bCs/>
      <w:sz w:val="20"/>
      <w:szCs w:val="20"/>
      <w:lang w:eastAsia="en-AU"/>
    </w:rPr>
  </w:style>
  <w:style w:type="paragraph" w:customStyle="1" w:styleId="BodyText1">
    <w:name w:val="Body Text 1"/>
    <w:basedOn w:val="Normal"/>
    <w:uiPriority w:val="99"/>
    <w:rsid w:val="00415750"/>
    <w:pPr>
      <w:tabs>
        <w:tab w:val="left" w:pos="9360"/>
      </w:tabs>
      <w:spacing w:after="0" w:line="260" w:lineRule="exact"/>
      <w:ind w:left="902" w:right="1639"/>
    </w:pPr>
    <w:rPr>
      <w:rFonts w:ascii="Arial" w:eastAsia="Times New Roman" w:hAnsi="Arial" w:cs="Times New Roman"/>
      <w:sz w:val="20"/>
      <w:szCs w:val="24"/>
      <w:lang w:val="en-US"/>
    </w:rPr>
  </w:style>
  <w:style w:type="paragraph" w:styleId="Revision">
    <w:name w:val="Revision"/>
    <w:hidden/>
    <w:uiPriority w:val="99"/>
    <w:semiHidden/>
    <w:rsid w:val="004442B9"/>
    <w:pPr>
      <w:spacing w:after="0" w:line="240" w:lineRule="auto"/>
    </w:pPr>
  </w:style>
  <w:style w:type="character" w:customStyle="1" w:styleId="Heading6Char">
    <w:name w:val="Heading 6 Char"/>
    <w:basedOn w:val="DefaultParagraphFont"/>
    <w:link w:val="Heading6"/>
    <w:uiPriority w:val="9"/>
    <w:semiHidden/>
    <w:rsid w:val="00552F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2F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2F6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52F6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52F65"/>
    <w:pPr>
      <w:spacing w:line="240" w:lineRule="auto"/>
    </w:pPr>
    <w:rPr>
      <w:b/>
      <w:bCs/>
      <w:color w:val="4F81BD" w:themeColor="accent1"/>
      <w:sz w:val="18"/>
      <w:szCs w:val="18"/>
    </w:rPr>
  </w:style>
  <w:style w:type="paragraph" w:styleId="Title">
    <w:name w:val="Title"/>
    <w:basedOn w:val="Normal"/>
    <w:next w:val="Normal"/>
    <w:link w:val="TitleChar"/>
    <w:uiPriority w:val="10"/>
    <w:qFormat/>
    <w:rsid w:val="00552F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F6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2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2F6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52F65"/>
    <w:pPr>
      <w:spacing w:after="0" w:line="240" w:lineRule="auto"/>
    </w:pPr>
  </w:style>
  <w:style w:type="paragraph" w:styleId="Quote">
    <w:name w:val="Quote"/>
    <w:basedOn w:val="Normal"/>
    <w:next w:val="Normal"/>
    <w:link w:val="QuoteChar"/>
    <w:uiPriority w:val="29"/>
    <w:qFormat/>
    <w:rsid w:val="00552F65"/>
    <w:rPr>
      <w:i/>
      <w:iCs/>
      <w:color w:val="000000" w:themeColor="text1"/>
    </w:rPr>
  </w:style>
  <w:style w:type="character" w:customStyle="1" w:styleId="QuoteChar">
    <w:name w:val="Quote Char"/>
    <w:basedOn w:val="DefaultParagraphFont"/>
    <w:link w:val="Quote"/>
    <w:uiPriority w:val="29"/>
    <w:rsid w:val="00552F65"/>
    <w:rPr>
      <w:i/>
      <w:iCs/>
      <w:color w:val="000000" w:themeColor="text1"/>
    </w:rPr>
  </w:style>
  <w:style w:type="paragraph" w:styleId="IntenseQuote">
    <w:name w:val="Intense Quote"/>
    <w:basedOn w:val="Normal"/>
    <w:next w:val="Normal"/>
    <w:link w:val="IntenseQuoteChar"/>
    <w:uiPriority w:val="30"/>
    <w:qFormat/>
    <w:rsid w:val="00552F6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2F65"/>
    <w:rPr>
      <w:b/>
      <w:bCs/>
      <w:i/>
      <w:iCs/>
      <w:color w:val="4F81BD" w:themeColor="accent1"/>
    </w:rPr>
  </w:style>
  <w:style w:type="character" w:styleId="SubtleEmphasis">
    <w:name w:val="Subtle Emphasis"/>
    <w:basedOn w:val="DefaultParagraphFont"/>
    <w:uiPriority w:val="19"/>
    <w:qFormat/>
    <w:rsid w:val="00552F65"/>
    <w:rPr>
      <w:i/>
      <w:iCs/>
      <w:color w:val="808080" w:themeColor="text1" w:themeTint="7F"/>
    </w:rPr>
  </w:style>
  <w:style w:type="character" w:styleId="IntenseEmphasis">
    <w:name w:val="Intense Emphasis"/>
    <w:basedOn w:val="DefaultParagraphFont"/>
    <w:uiPriority w:val="21"/>
    <w:qFormat/>
    <w:rsid w:val="00552F65"/>
    <w:rPr>
      <w:b/>
      <w:bCs/>
      <w:i/>
      <w:iCs/>
      <w:color w:val="4F81BD" w:themeColor="accent1"/>
    </w:rPr>
  </w:style>
  <w:style w:type="character" w:styleId="SubtleReference">
    <w:name w:val="Subtle Reference"/>
    <w:basedOn w:val="DefaultParagraphFont"/>
    <w:uiPriority w:val="31"/>
    <w:qFormat/>
    <w:rsid w:val="00552F65"/>
    <w:rPr>
      <w:smallCaps/>
      <w:color w:val="C0504D" w:themeColor="accent2"/>
      <w:u w:val="single"/>
    </w:rPr>
  </w:style>
  <w:style w:type="character" w:styleId="IntenseReference">
    <w:name w:val="Intense Reference"/>
    <w:basedOn w:val="DefaultParagraphFont"/>
    <w:uiPriority w:val="32"/>
    <w:qFormat/>
    <w:rsid w:val="00552F65"/>
    <w:rPr>
      <w:b/>
      <w:bCs/>
      <w:smallCaps/>
      <w:color w:val="C0504D" w:themeColor="accent2"/>
      <w:spacing w:val="5"/>
      <w:u w:val="single"/>
    </w:rPr>
  </w:style>
  <w:style w:type="character" w:styleId="BookTitle">
    <w:name w:val="Book Title"/>
    <w:basedOn w:val="DefaultParagraphFont"/>
    <w:uiPriority w:val="33"/>
    <w:qFormat/>
    <w:rsid w:val="00552F65"/>
    <w:rPr>
      <w:b/>
      <w:bCs/>
      <w:smallCaps/>
      <w:spacing w:val="5"/>
    </w:rPr>
  </w:style>
  <w:style w:type="paragraph" w:styleId="TOCHeading">
    <w:name w:val="TOC Heading"/>
    <w:basedOn w:val="Heading1"/>
    <w:next w:val="Normal"/>
    <w:uiPriority w:val="39"/>
    <w:semiHidden/>
    <w:unhideWhenUsed/>
    <w:qFormat/>
    <w:rsid w:val="00552F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9930">
      <w:bodyDiv w:val="1"/>
      <w:marLeft w:val="0"/>
      <w:marRight w:val="0"/>
      <w:marTop w:val="0"/>
      <w:marBottom w:val="0"/>
      <w:divBdr>
        <w:top w:val="none" w:sz="0" w:space="0" w:color="auto"/>
        <w:left w:val="none" w:sz="0" w:space="0" w:color="auto"/>
        <w:bottom w:val="none" w:sz="0" w:space="0" w:color="auto"/>
        <w:right w:val="none" w:sz="0" w:space="0" w:color="auto"/>
      </w:divBdr>
    </w:div>
    <w:div w:id="158883536">
      <w:bodyDiv w:val="1"/>
      <w:marLeft w:val="0"/>
      <w:marRight w:val="0"/>
      <w:marTop w:val="0"/>
      <w:marBottom w:val="0"/>
      <w:divBdr>
        <w:top w:val="none" w:sz="0" w:space="0" w:color="auto"/>
        <w:left w:val="none" w:sz="0" w:space="0" w:color="auto"/>
        <w:bottom w:val="none" w:sz="0" w:space="0" w:color="auto"/>
        <w:right w:val="none" w:sz="0" w:space="0" w:color="auto"/>
      </w:divBdr>
    </w:div>
    <w:div w:id="195512474">
      <w:bodyDiv w:val="1"/>
      <w:marLeft w:val="0"/>
      <w:marRight w:val="0"/>
      <w:marTop w:val="0"/>
      <w:marBottom w:val="0"/>
      <w:divBdr>
        <w:top w:val="none" w:sz="0" w:space="0" w:color="auto"/>
        <w:left w:val="none" w:sz="0" w:space="0" w:color="auto"/>
        <w:bottom w:val="none" w:sz="0" w:space="0" w:color="auto"/>
        <w:right w:val="none" w:sz="0" w:space="0" w:color="auto"/>
      </w:divBdr>
    </w:div>
    <w:div w:id="202258186">
      <w:bodyDiv w:val="1"/>
      <w:marLeft w:val="0"/>
      <w:marRight w:val="0"/>
      <w:marTop w:val="0"/>
      <w:marBottom w:val="0"/>
      <w:divBdr>
        <w:top w:val="none" w:sz="0" w:space="0" w:color="auto"/>
        <w:left w:val="none" w:sz="0" w:space="0" w:color="auto"/>
        <w:bottom w:val="none" w:sz="0" w:space="0" w:color="auto"/>
        <w:right w:val="none" w:sz="0" w:space="0" w:color="auto"/>
      </w:divBdr>
    </w:div>
    <w:div w:id="211616644">
      <w:bodyDiv w:val="1"/>
      <w:marLeft w:val="0"/>
      <w:marRight w:val="0"/>
      <w:marTop w:val="0"/>
      <w:marBottom w:val="0"/>
      <w:divBdr>
        <w:top w:val="none" w:sz="0" w:space="0" w:color="auto"/>
        <w:left w:val="none" w:sz="0" w:space="0" w:color="auto"/>
        <w:bottom w:val="none" w:sz="0" w:space="0" w:color="auto"/>
        <w:right w:val="none" w:sz="0" w:space="0" w:color="auto"/>
      </w:divBdr>
    </w:div>
    <w:div w:id="245040170">
      <w:bodyDiv w:val="1"/>
      <w:marLeft w:val="0"/>
      <w:marRight w:val="0"/>
      <w:marTop w:val="0"/>
      <w:marBottom w:val="0"/>
      <w:divBdr>
        <w:top w:val="none" w:sz="0" w:space="0" w:color="auto"/>
        <w:left w:val="none" w:sz="0" w:space="0" w:color="auto"/>
        <w:bottom w:val="none" w:sz="0" w:space="0" w:color="auto"/>
        <w:right w:val="none" w:sz="0" w:space="0" w:color="auto"/>
      </w:divBdr>
    </w:div>
    <w:div w:id="313337606">
      <w:bodyDiv w:val="1"/>
      <w:marLeft w:val="0"/>
      <w:marRight w:val="0"/>
      <w:marTop w:val="0"/>
      <w:marBottom w:val="0"/>
      <w:divBdr>
        <w:top w:val="none" w:sz="0" w:space="0" w:color="auto"/>
        <w:left w:val="none" w:sz="0" w:space="0" w:color="auto"/>
        <w:bottom w:val="none" w:sz="0" w:space="0" w:color="auto"/>
        <w:right w:val="none" w:sz="0" w:space="0" w:color="auto"/>
      </w:divBdr>
    </w:div>
    <w:div w:id="460264964">
      <w:bodyDiv w:val="1"/>
      <w:marLeft w:val="0"/>
      <w:marRight w:val="0"/>
      <w:marTop w:val="0"/>
      <w:marBottom w:val="0"/>
      <w:divBdr>
        <w:top w:val="none" w:sz="0" w:space="0" w:color="auto"/>
        <w:left w:val="none" w:sz="0" w:space="0" w:color="auto"/>
        <w:bottom w:val="none" w:sz="0" w:space="0" w:color="auto"/>
        <w:right w:val="none" w:sz="0" w:space="0" w:color="auto"/>
      </w:divBdr>
      <w:divsChild>
        <w:div w:id="1212839912">
          <w:marLeft w:val="432"/>
          <w:marRight w:val="0"/>
          <w:marTop w:val="0"/>
          <w:marBottom w:val="0"/>
          <w:divBdr>
            <w:top w:val="none" w:sz="0" w:space="0" w:color="auto"/>
            <w:left w:val="none" w:sz="0" w:space="0" w:color="auto"/>
            <w:bottom w:val="none" w:sz="0" w:space="0" w:color="auto"/>
            <w:right w:val="none" w:sz="0" w:space="0" w:color="auto"/>
          </w:divBdr>
        </w:div>
      </w:divsChild>
    </w:div>
    <w:div w:id="514467354">
      <w:bodyDiv w:val="1"/>
      <w:marLeft w:val="0"/>
      <w:marRight w:val="0"/>
      <w:marTop w:val="0"/>
      <w:marBottom w:val="0"/>
      <w:divBdr>
        <w:top w:val="none" w:sz="0" w:space="0" w:color="auto"/>
        <w:left w:val="none" w:sz="0" w:space="0" w:color="auto"/>
        <w:bottom w:val="none" w:sz="0" w:space="0" w:color="auto"/>
        <w:right w:val="none" w:sz="0" w:space="0" w:color="auto"/>
      </w:divBdr>
    </w:div>
    <w:div w:id="565267511">
      <w:bodyDiv w:val="1"/>
      <w:marLeft w:val="0"/>
      <w:marRight w:val="0"/>
      <w:marTop w:val="0"/>
      <w:marBottom w:val="0"/>
      <w:divBdr>
        <w:top w:val="none" w:sz="0" w:space="0" w:color="auto"/>
        <w:left w:val="none" w:sz="0" w:space="0" w:color="auto"/>
        <w:bottom w:val="none" w:sz="0" w:space="0" w:color="auto"/>
        <w:right w:val="none" w:sz="0" w:space="0" w:color="auto"/>
      </w:divBdr>
    </w:div>
    <w:div w:id="565991025">
      <w:bodyDiv w:val="1"/>
      <w:marLeft w:val="0"/>
      <w:marRight w:val="0"/>
      <w:marTop w:val="0"/>
      <w:marBottom w:val="0"/>
      <w:divBdr>
        <w:top w:val="none" w:sz="0" w:space="0" w:color="auto"/>
        <w:left w:val="none" w:sz="0" w:space="0" w:color="auto"/>
        <w:bottom w:val="none" w:sz="0" w:space="0" w:color="auto"/>
        <w:right w:val="none" w:sz="0" w:space="0" w:color="auto"/>
      </w:divBdr>
    </w:div>
    <w:div w:id="662464970">
      <w:bodyDiv w:val="1"/>
      <w:marLeft w:val="0"/>
      <w:marRight w:val="0"/>
      <w:marTop w:val="0"/>
      <w:marBottom w:val="0"/>
      <w:divBdr>
        <w:top w:val="none" w:sz="0" w:space="0" w:color="auto"/>
        <w:left w:val="none" w:sz="0" w:space="0" w:color="auto"/>
        <w:bottom w:val="none" w:sz="0" w:space="0" w:color="auto"/>
        <w:right w:val="none" w:sz="0" w:space="0" w:color="auto"/>
      </w:divBdr>
    </w:div>
    <w:div w:id="694428572">
      <w:bodyDiv w:val="1"/>
      <w:marLeft w:val="0"/>
      <w:marRight w:val="0"/>
      <w:marTop w:val="0"/>
      <w:marBottom w:val="0"/>
      <w:divBdr>
        <w:top w:val="none" w:sz="0" w:space="0" w:color="auto"/>
        <w:left w:val="none" w:sz="0" w:space="0" w:color="auto"/>
        <w:bottom w:val="none" w:sz="0" w:space="0" w:color="auto"/>
        <w:right w:val="none" w:sz="0" w:space="0" w:color="auto"/>
      </w:divBdr>
    </w:div>
    <w:div w:id="727219390">
      <w:bodyDiv w:val="1"/>
      <w:marLeft w:val="0"/>
      <w:marRight w:val="0"/>
      <w:marTop w:val="0"/>
      <w:marBottom w:val="0"/>
      <w:divBdr>
        <w:top w:val="none" w:sz="0" w:space="0" w:color="auto"/>
        <w:left w:val="none" w:sz="0" w:space="0" w:color="auto"/>
        <w:bottom w:val="none" w:sz="0" w:space="0" w:color="auto"/>
        <w:right w:val="none" w:sz="0" w:space="0" w:color="auto"/>
      </w:divBdr>
    </w:div>
    <w:div w:id="764305770">
      <w:bodyDiv w:val="1"/>
      <w:marLeft w:val="0"/>
      <w:marRight w:val="0"/>
      <w:marTop w:val="0"/>
      <w:marBottom w:val="0"/>
      <w:divBdr>
        <w:top w:val="none" w:sz="0" w:space="0" w:color="auto"/>
        <w:left w:val="none" w:sz="0" w:space="0" w:color="auto"/>
        <w:bottom w:val="none" w:sz="0" w:space="0" w:color="auto"/>
        <w:right w:val="none" w:sz="0" w:space="0" w:color="auto"/>
      </w:divBdr>
    </w:div>
    <w:div w:id="769470784">
      <w:bodyDiv w:val="1"/>
      <w:marLeft w:val="0"/>
      <w:marRight w:val="0"/>
      <w:marTop w:val="0"/>
      <w:marBottom w:val="0"/>
      <w:divBdr>
        <w:top w:val="none" w:sz="0" w:space="0" w:color="auto"/>
        <w:left w:val="none" w:sz="0" w:space="0" w:color="auto"/>
        <w:bottom w:val="none" w:sz="0" w:space="0" w:color="auto"/>
        <w:right w:val="none" w:sz="0" w:space="0" w:color="auto"/>
      </w:divBdr>
    </w:div>
    <w:div w:id="785659413">
      <w:bodyDiv w:val="1"/>
      <w:marLeft w:val="0"/>
      <w:marRight w:val="0"/>
      <w:marTop w:val="0"/>
      <w:marBottom w:val="0"/>
      <w:divBdr>
        <w:top w:val="none" w:sz="0" w:space="0" w:color="auto"/>
        <w:left w:val="none" w:sz="0" w:space="0" w:color="auto"/>
        <w:bottom w:val="none" w:sz="0" w:space="0" w:color="auto"/>
        <w:right w:val="none" w:sz="0" w:space="0" w:color="auto"/>
      </w:divBdr>
    </w:div>
    <w:div w:id="921253221">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1000622018">
      <w:bodyDiv w:val="1"/>
      <w:marLeft w:val="0"/>
      <w:marRight w:val="0"/>
      <w:marTop w:val="0"/>
      <w:marBottom w:val="0"/>
      <w:divBdr>
        <w:top w:val="none" w:sz="0" w:space="0" w:color="auto"/>
        <w:left w:val="none" w:sz="0" w:space="0" w:color="auto"/>
        <w:bottom w:val="none" w:sz="0" w:space="0" w:color="auto"/>
        <w:right w:val="none" w:sz="0" w:space="0" w:color="auto"/>
      </w:divBdr>
    </w:div>
    <w:div w:id="1077945063">
      <w:bodyDiv w:val="1"/>
      <w:marLeft w:val="0"/>
      <w:marRight w:val="0"/>
      <w:marTop w:val="0"/>
      <w:marBottom w:val="0"/>
      <w:divBdr>
        <w:top w:val="none" w:sz="0" w:space="0" w:color="auto"/>
        <w:left w:val="none" w:sz="0" w:space="0" w:color="auto"/>
        <w:bottom w:val="none" w:sz="0" w:space="0" w:color="auto"/>
        <w:right w:val="none" w:sz="0" w:space="0" w:color="auto"/>
      </w:divBdr>
    </w:div>
    <w:div w:id="1078332538">
      <w:bodyDiv w:val="1"/>
      <w:marLeft w:val="0"/>
      <w:marRight w:val="0"/>
      <w:marTop w:val="0"/>
      <w:marBottom w:val="0"/>
      <w:divBdr>
        <w:top w:val="none" w:sz="0" w:space="0" w:color="auto"/>
        <w:left w:val="none" w:sz="0" w:space="0" w:color="auto"/>
        <w:bottom w:val="none" w:sz="0" w:space="0" w:color="auto"/>
        <w:right w:val="none" w:sz="0" w:space="0" w:color="auto"/>
      </w:divBdr>
    </w:div>
    <w:div w:id="1128474707">
      <w:bodyDiv w:val="1"/>
      <w:marLeft w:val="0"/>
      <w:marRight w:val="0"/>
      <w:marTop w:val="0"/>
      <w:marBottom w:val="0"/>
      <w:divBdr>
        <w:top w:val="none" w:sz="0" w:space="0" w:color="auto"/>
        <w:left w:val="none" w:sz="0" w:space="0" w:color="auto"/>
        <w:bottom w:val="none" w:sz="0" w:space="0" w:color="auto"/>
        <w:right w:val="none" w:sz="0" w:space="0" w:color="auto"/>
      </w:divBdr>
    </w:div>
    <w:div w:id="1201094685">
      <w:bodyDiv w:val="1"/>
      <w:marLeft w:val="0"/>
      <w:marRight w:val="0"/>
      <w:marTop w:val="0"/>
      <w:marBottom w:val="0"/>
      <w:divBdr>
        <w:top w:val="none" w:sz="0" w:space="0" w:color="auto"/>
        <w:left w:val="none" w:sz="0" w:space="0" w:color="auto"/>
        <w:bottom w:val="none" w:sz="0" w:space="0" w:color="auto"/>
        <w:right w:val="none" w:sz="0" w:space="0" w:color="auto"/>
      </w:divBdr>
    </w:div>
    <w:div w:id="1211115844">
      <w:bodyDiv w:val="1"/>
      <w:marLeft w:val="0"/>
      <w:marRight w:val="0"/>
      <w:marTop w:val="0"/>
      <w:marBottom w:val="0"/>
      <w:divBdr>
        <w:top w:val="none" w:sz="0" w:space="0" w:color="auto"/>
        <w:left w:val="none" w:sz="0" w:space="0" w:color="auto"/>
        <w:bottom w:val="none" w:sz="0" w:space="0" w:color="auto"/>
        <w:right w:val="none" w:sz="0" w:space="0" w:color="auto"/>
      </w:divBdr>
    </w:div>
    <w:div w:id="1264418665">
      <w:bodyDiv w:val="1"/>
      <w:marLeft w:val="0"/>
      <w:marRight w:val="0"/>
      <w:marTop w:val="0"/>
      <w:marBottom w:val="0"/>
      <w:divBdr>
        <w:top w:val="none" w:sz="0" w:space="0" w:color="auto"/>
        <w:left w:val="none" w:sz="0" w:space="0" w:color="auto"/>
        <w:bottom w:val="none" w:sz="0" w:space="0" w:color="auto"/>
        <w:right w:val="none" w:sz="0" w:space="0" w:color="auto"/>
      </w:divBdr>
    </w:div>
    <w:div w:id="1311448468">
      <w:bodyDiv w:val="1"/>
      <w:marLeft w:val="0"/>
      <w:marRight w:val="0"/>
      <w:marTop w:val="0"/>
      <w:marBottom w:val="0"/>
      <w:divBdr>
        <w:top w:val="none" w:sz="0" w:space="0" w:color="auto"/>
        <w:left w:val="none" w:sz="0" w:space="0" w:color="auto"/>
        <w:bottom w:val="none" w:sz="0" w:space="0" w:color="auto"/>
        <w:right w:val="none" w:sz="0" w:space="0" w:color="auto"/>
      </w:divBdr>
      <w:divsChild>
        <w:div w:id="1869249924">
          <w:marLeft w:val="0"/>
          <w:marRight w:val="0"/>
          <w:marTop w:val="0"/>
          <w:marBottom w:val="0"/>
          <w:divBdr>
            <w:top w:val="none" w:sz="0" w:space="0" w:color="auto"/>
            <w:left w:val="none" w:sz="0" w:space="0" w:color="auto"/>
            <w:bottom w:val="none" w:sz="0" w:space="0" w:color="auto"/>
            <w:right w:val="none" w:sz="0" w:space="0" w:color="auto"/>
          </w:divBdr>
          <w:divsChild>
            <w:div w:id="1181121778">
              <w:marLeft w:val="0"/>
              <w:marRight w:val="300"/>
              <w:marTop w:val="0"/>
              <w:marBottom w:val="0"/>
              <w:divBdr>
                <w:top w:val="none" w:sz="0" w:space="0" w:color="auto"/>
                <w:left w:val="none" w:sz="0" w:space="0" w:color="auto"/>
                <w:bottom w:val="none" w:sz="0" w:space="0" w:color="auto"/>
                <w:right w:val="none" w:sz="0" w:space="0" w:color="auto"/>
              </w:divBdr>
              <w:divsChild>
                <w:div w:id="413741735">
                  <w:marLeft w:val="0"/>
                  <w:marRight w:val="0"/>
                  <w:marTop w:val="0"/>
                  <w:marBottom w:val="0"/>
                  <w:divBdr>
                    <w:top w:val="none" w:sz="0" w:space="0" w:color="auto"/>
                    <w:left w:val="none" w:sz="0" w:space="0" w:color="auto"/>
                    <w:bottom w:val="none" w:sz="0" w:space="0" w:color="auto"/>
                    <w:right w:val="none" w:sz="0" w:space="0" w:color="auto"/>
                  </w:divBdr>
                  <w:divsChild>
                    <w:div w:id="245648273">
                      <w:marLeft w:val="0"/>
                      <w:marRight w:val="300"/>
                      <w:marTop w:val="270"/>
                      <w:marBottom w:val="540"/>
                      <w:divBdr>
                        <w:top w:val="none" w:sz="0" w:space="0" w:color="auto"/>
                        <w:left w:val="none" w:sz="0" w:space="0" w:color="auto"/>
                        <w:bottom w:val="none" w:sz="0" w:space="0" w:color="auto"/>
                        <w:right w:val="none" w:sz="0" w:space="0" w:color="auto"/>
                      </w:divBdr>
                    </w:div>
                  </w:divsChild>
                </w:div>
              </w:divsChild>
            </w:div>
          </w:divsChild>
        </w:div>
      </w:divsChild>
    </w:div>
    <w:div w:id="1362240622">
      <w:bodyDiv w:val="1"/>
      <w:marLeft w:val="0"/>
      <w:marRight w:val="0"/>
      <w:marTop w:val="0"/>
      <w:marBottom w:val="0"/>
      <w:divBdr>
        <w:top w:val="none" w:sz="0" w:space="0" w:color="auto"/>
        <w:left w:val="none" w:sz="0" w:space="0" w:color="auto"/>
        <w:bottom w:val="none" w:sz="0" w:space="0" w:color="auto"/>
        <w:right w:val="none" w:sz="0" w:space="0" w:color="auto"/>
      </w:divBdr>
    </w:div>
    <w:div w:id="1362976077">
      <w:bodyDiv w:val="1"/>
      <w:marLeft w:val="0"/>
      <w:marRight w:val="0"/>
      <w:marTop w:val="0"/>
      <w:marBottom w:val="0"/>
      <w:divBdr>
        <w:top w:val="none" w:sz="0" w:space="0" w:color="auto"/>
        <w:left w:val="none" w:sz="0" w:space="0" w:color="auto"/>
        <w:bottom w:val="none" w:sz="0" w:space="0" w:color="auto"/>
        <w:right w:val="none" w:sz="0" w:space="0" w:color="auto"/>
      </w:divBdr>
    </w:div>
    <w:div w:id="1409115031">
      <w:bodyDiv w:val="1"/>
      <w:marLeft w:val="0"/>
      <w:marRight w:val="0"/>
      <w:marTop w:val="0"/>
      <w:marBottom w:val="0"/>
      <w:divBdr>
        <w:top w:val="none" w:sz="0" w:space="0" w:color="auto"/>
        <w:left w:val="none" w:sz="0" w:space="0" w:color="auto"/>
        <w:bottom w:val="none" w:sz="0" w:space="0" w:color="auto"/>
        <w:right w:val="none" w:sz="0" w:space="0" w:color="auto"/>
      </w:divBdr>
    </w:div>
    <w:div w:id="1523783127">
      <w:bodyDiv w:val="1"/>
      <w:marLeft w:val="0"/>
      <w:marRight w:val="0"/>
      <w:marTop w:val="0"/>
      <w:marBottom w:val="0"/>
      <w:divBdr>
        <w:top w:val="none" w:sz="0" w:space="0" w:color="auto"/>
        <w:left w:val="none" w:sz="0" w:space="0" w:color="auto"/>
        <w:bottom w:val="none" w:sz="0" w:space="0" w:color="auto"/>
        <w:right w:val="none" w:sz="0" w:space="0" w:color="auto"/>
      </w:divBdr>
    </w:div>
    <w:div w:id="1560703099">
      <w:bodyDiv w:val="1"/>
      <w:marLeft w:val="0"/>
      <w:marRight w:val="0"/>
      <w:marTop w:val="0"/>
      <w:marBottom w:val="0"/>
      <w:divBdr>
        <w:top w:val="none" w:sz="0" w:space="0" w:color="auto"/>
        <w:left w:val="none" w:sz="0" w:space="0" w:color="auto"/>
        <w:bottom w:val="none" w:sz="0" w:space="0" w:color="auto"/>
        <w:right w:val="none" w:sz="0" w:space="0" w:color="auto"/>
      </w:divBdr>
    </w:div>
    <w:div w:id="1630895066">
      <w:bodyDiv w:val="1"/>
      <w:marLeft w:val="0"/>
      <w:marRight w:val="0"/>
      <w:marTop w:val="0"/>
      <w:marBottom w:val="0"/>
      <w:divBdr>
        <w:top w:val="none" w:sz="0" w:space="0" w:color="auto"/>
        <w:left w:val="none" w:sz="0" w:space="0" w:color="auto"/>
        <w:bottom w:val="none" w:sz="0" w:space="0" w:color="auto"/>
        <w:right w:val="none" w:sz="0" w:space="0" w:color="auto"/>
      </w:divBdr>
    </w:div>
    <w:div w:id="1749837691">
      <w:bodyDiv w:val="1"/>
      <w:marLeft w:val="0"/>
      <w:marRight w:val="0"/>
      <w:marTop w:val="0"/>
      <w:marBottom w:val="0"/>
      <w:divBdr>
        <w:top w:val="none" w:sz="0" w:space="0" w:color="auto"/>
        <w:left w:val="none" w:sz="0" w:space="0" w:color="auto"/>
        <w:bottom w:val="none" w:sz="0" w:space="0" w:color="auto"/>
        <w:right w:val="none" w:sz="0" w:space="0" w:color="auto"/>
      </w:divBdr>
    </w:div>
    <w:div w:id="1770394981">
      <w:bodyDiv w:val="1"/>
      <w:marLeft w:val="0"/>
      <w:marRight w:val="0"/>
      <w:marTop w:val="0"/>
      <w:marBottom w:val="0"/>
      <w:divBdr>
        <w:top w:val="none" w:sz="0" w:space="0" w:color="auto"/>
        <w:left w:val="none" w:sz="0" w:space="0" w:color="auto"/>
        <w:bottom w:val="none" w:sz="0" w:space="0" w:color="auto"/>
        <w:right w:val="none" w:sz="0" w:space="0" w:color="auto"/>
      </w:divBdr>
    </w:div>
    <w:div w:id="1824852983">
      <w:bodyDiv w:val="1"/>
      <w:marLeft w:val="0"/>
      <w:marRight w:val="0"/>
      <w:marTop w:val="0"/>
      <w:marBottom w:val="0"/>
      <w:divBdr>
        <w:top w:val="none" w:sz="0" w:space="0" w:color="auto"/>
        <w:left w:val="none" w:sz="0" w:space="0" w:color="auto"/>
        <w:bottom w:val="none" w:sz="0" w:space="0" w:color="auto"/>
        <w:right w:val="none" w:sz="0" w:space="0" w:color="auto"/>
      </w:divBdr>
    </w:div>
    <w:div w:id="1860506136">
      <w:bodyDiv w:val="1"/>
      <w:marLeft w:val="0"/>
      <w:marRight w:val="0"/>
      <w:marTop w:val="0"/>
      <w:marBottom w:val="0"/>
      <w:divBdr>
        <w:top w:val="none" w:sz="0" w:space="0" w:color="auto"/>
        <w:left w:val="none" w:sz="0" w:space="0" w:color="auto"/>
        <w:bottom w:val="none" w:sz="0" w:space="0" w:color="auto"/>
        <w:right w:val="none" w:sz="0" w:space="0" w:color="auto"/>
      </w:divBdr>
    </w:div>
    <w:div w:id="1932271005">
      <w:bodyDiv w:val="1"/>
      <w:marLeft w:val="0"/>
      <w:marRight w:val="0"/>
      <w:marTop w:val="0"/>
      <w:marBottom w:val="0"/>
      <w:divBdr>
        <w:top w:val="none" w:sz="0" w:space="0" w:color="auto"/>
        <w:left w:val="none" w:sz="0" w:space="0" w:color="auto"/>
        <w:bottom w:val="none" w:sz="0" w:space="0" w:color="auto"/>
        <w:right w:val="none" w:sz="0" w:space="0" w:color="auto"/>
      </w:divBdr>
    </w:div>
    <w:div w:id="1940872149">
      <w:bodyDiv w:val="1"/>
      <w:marLeft w:val="0"/>
      <w:marRight w:val="0"/>
      <w:marTop w:val="0"/>
      <w:marBottom w:val="0"/>
      <w:divBdr>
        <w:top w:val="none" w:sz="0" w:space="0" w:color="auto"/>
        <w:left w:val="none" w:sz="0" w:space="0" w:color="auto"/>
        <w:bottom w:val="none" w:sz="0" w:space="0" w:color="auto"/>
        <w:right w:val="none" w:sz="0" w:space="0" w:color="auto"/>
      </w:divBdr>
    </w:div>
    <w:div w:id="2045249560">
      <w:bodyDiv w:val="1"/>
      <w:marLeft w:val="0"/>
      <w:marRight w:val="0"/>
      <w:marTop w:val="0"/>
      <w:marBottom w:val="0"/>
      <w:divBdr>
        <w:top w:val="none" w:sz="0" w:space="0" w:color="auto"/>
        <w:left w:val="none" w:sz="0" w:space="0" w:color="auto"/>
        <w:bottom w:val="none" w:sz="0" w:space="0" w:color="auto"/>
        <w:right w:val="none" w:sz="0" w:space="0" w:color="auto"/>
      </w:divBdr>
    </w:div>
    <w:div w:id="2078094070">
      <w:bodyDiv w:val="1"/>
      <w:marLeft w:val="0"/>
      <w:marRight w:val="0"/>
      <w:marTop w:val="0"/>
      <w:marBottom w:val="0"/>
      <w:divBdr>
        <w:top w:val="none" w:sz="0" w:space="0" w:color="auto"/>
        <w:left w:val="none" w:sz="0" w:space="0" w:color="auto"/>
        <w:bottom w:val="none" w:sz="0" w:space="0" w:color="auto"/>
        <w:right w:val="none" w:sz="0" w:space="0" w:color="auto"/>
      </w:divBdr>
    </w:div>
    <w:div w:id="21062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po.gov.uk/lamb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Hidden</DocumentVisibility>
    <ApproverNotes xmlns="ed110c73-9675-4a40-bedd-85eaf2417466" xsi:nil="true"/>
    <DocumentStatus xmlns="ed110c73-9675-4a40-bedd-85eaf2417466">Submitted</DocumentStatus>
    <DocumentType xmlns="ed110c73-9675-4a40-bedd-85eaf2417466">SubmissionDoc</DocumentType>
    <SubmissionID xmlns="ed110c73-9675-4a40-bedd-85eaf2417466">BCR1400021</SubmissionID>
    <OriginalFileName xmlns="ed110c73-9675-4a40-bedd-85eaf2417466">Griffith University Response - Boosting the Commercial Returns from Research (28 Nov 2014).docx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D801-9C2E-4761-96AC-03291B9C9FE9}"/>
</file>

<file path=customXml/itemProps2.xml><?xml version="1.0" encoding="utf-8"?>
<ds:datastoreItem xmlns:ds="http://schemas.openxmlformats.org/officeDocument/2006/customXml" ds:itemID="{1946A2E3-4081-4918-9619-4E1B07540020}"/>
</file>

<file path=customXml/itemProps3.xml><?xml version="1.0" encoding="utf-8"?>
<ds:datastoreItem xmlns:ds="http://schemas.openxmlformats.org/officeDocument/2006/customXml" ds:itemID="{7CA1D4CB-A88A-44C7-ADA4-AEF6963185A7}"/>
</file>

<file path=customXml/itemProps4.xml><?xml version="1.0" encoding="utf-8"?>
<ds:datastoreItem xmlns:ds="http://schemas.openxmlformats.org/officeDocument/2006/customXml" ds:itemID="{0832B8A6-1430-4CCF-99DE-4B1D61D24149}"/>
</file>

<file path=docProps/app.xml><?xml version="1.0" encoding="utf-8"?>
<Properties xmlns="http://schemas.openxmlformats.org/officeDocument/2006/extended-properties" xmlns:vt="http://schemas.openxmlformats.org/officeDocument/2006/docPropsVTypes">
  <Template>9CADF367.dotm</Template>
  <TotalTime>0</TotalTime>
  <Pages>18</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2_Boosting_the_commercial_return_GriffithUniversity_27112014_BCR1400021.docx</vt:lpstr>
    </vt:vector>
  </TitlesOfParts>
  <Company>Griffith University</Company>
  <LinksUpToDate>false</LinksUpToDate>
  <CharactersWithSpaces>34697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2_Boosting_the_commercial_return_GriffithUniversity_27112014_BCR1400021.docx</dc:title>
  <dc:creator>Lambrina Coca</dc:creator>
  <cp:lastModifiedBy>Joyce Hotchkis</cp:lastModifiedBy>
  <cp:revision>2</cp:revision>
  <cp:lastPrinted>2014-11-26T06:24:00Z</cp:lastPrinted>
  <dcterms:created xsi:type="dcterms:W3CDTF">2015-02-25T04:58:00Z</dcterms:created>
  <dcterms:modified xsi:type="dcterms:W3CDTF">2015-02-25T04:58:00Z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