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81A56" w14:textId="507FA0A4" w:rsidR="001414F3" w:rsidRDefault="00FC6BCD" w:rsidP="00130923">
      <w:pPr>
        <w:pStyle w:val="BodyText"/>
      </w:pPr>
      <w:bookmarkStart w:id="0" w:name="_GoBack"/>
      <w:bookmarkEnd w:id="0"/>
      <w:r>
        <w:rPr>
          <w:noProof/>
        </w:rPr>
        <w:drawing>
          <wp:inline distT="0" distB="0" distL="0" distR="0" wp14:anchorId="4B42A0AC" wp14:editId="561AD24E">
            <wp:extent cx="2331725" cy="716281"/>
            <wp:effectExtent l="0" t="0" r="0" b="7620"/>
            <wp:docPr id="2" name="Picture 2" descr="Australian Government,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t Education, Skills and Employment_Inline_Rev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FFA">
        <w:rPr>
          <w:noProof/>
        </w:rPr>
        <w:drawing>
          <wp:anchor distT="0" distB="0" distL="114300" distR="114300" simplePos="0" relativeHeight="251659264" behindDoc="1" locked="1" layoutInCell="1" allowOverlap="1" wp14:anchorId="23B9CBB3" wp14:editId="2C5A99C4">
            <wp:simplePos x="0" y="0"/>
            <wp:positionH relativeFrom="page">
              <wp:posOffset>-198120</wp:posOffset>
            </wp:positionH>
            <wp:positionV relativeFrom="page">
              <wp:posOffset>-716280</wp:posOffset>
            </wp:positionV>
            <wp:extent cx="7810500" cy="11414760"/>
            <wp:effectExtent l="0" t="0" r="0" b="0"/>
            <wp:wrapNone/>
            <wp:docPr id="7" name="Picture 7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141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73B38" w14:textId="408C0DF7" w:rsidR="001414F3" w:rsidRPr="004542D7" w:rsidRDefault="001414F3" w:rsidP="00F80CFC">
      <w:pPr>
        <w:pStyle w:val="Subtitle"/>
        <w:ind w:left="1276" w:right="-22"/>
        <w:rPr>
          <w:color w:val="FF0000"/>
          <w:sz w:val="120"/>
          <w:szCs w:val="120"/>
        </w:rPr>
      </w:pPr>
    </w:p>
    <w:p w14:paraId="2097B55A" w14:textId="31207B9D" w:rsidR="00BA282D" w:rsidRPr="00FC6BCD" w:rsidRDefault="00FF623C" w:rsidP="00BA4D57">
      <w:pPr>
        <w:pStyle w:val="Title"/>
        <w:ind w:left="1276" w:right="-23"/>
        <w:rPr>
          <w:color w:val="F2F2F2" w:themeColor="background1" w:themeShade="F2"/>
        </w:rPr>
      </w:pPr>
      <w:sdt>
        <w:sdtPr>
          <w:rPr>
            <w:color w:val="F2F2F2" w:themeColor="background1" w:themeShade="F2"/>
          </w:rPr>
          <w:alias w:val="Title"/>
          <w:tag w:val=""/>
          <w:id w:val="-19171197"/>
          <w:placeholder>
            <w:docPart w:val="A03ECCC0788B4E4FAFA4CA7B61887B2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302" w:rsidRPr="00FC6BCD">
            <w:rPr>
              <w:color w:val="F2F2F2" w:themeColor="background1" w:themeShade="F2"/>
            </w:rPr>
            <w:t>Finance 2018:</w:t>
          </w:r>
        </w:sdtContent>
      </w:sdt>
      <w:r w:rsidR="0096472D" w:rsidRPr="00FC6BCD">
        <w:rPr>
          <w:color w:val="F2F2F2" w:themeColor="background1" w:themeShade="F2"/>
        </w:rPr>
        <w:t xml:space="preserve"> Financial Reports of Higher Education Providers</w:t>
      </w:r>
    </w:p>
    <w:p w14:paraId="7CD34FDB" w14:textId="18757150" w:rsidR="00BA282D" w:rsidRPr="00FC6BCD" w:rsidRDefault="0096472D" w:rsidP="0096472D">
      <w:pPr>
        <w:pStyle w:val="Subtitle"/>
        <w:spacing w:line="240" w:lineRule="auto"/>
        <w:ind w:left="1276" w:right="-22"/>
        <w:rPr>
          <w:color w:val="E9A913" w:themeColor="background2"/>
        </w:rPr>
      </w:pPr>
      <w:r w:rsidRPr="00FC6BCD">
        <w:rPr>
          <w:color w:val="E9A913" w:themeColor="background2"/>
        </w:rPr>
        <w:t>Supporting Information</w:t>
      </w:r>
    </w:p>
    <w:p w14:paraId="51AB7BC5" w14:textId="61734C14" w:rsidR="00F47193" w:rsidRPr="0096472D" w:rsidRDefault="00F47193" w:rsidP="00F47193">
      <w:pPr>
        <w:rPr>
          <w:sz w:val="500"/>
          <w:szCs w:val="500"/>
        </w:rPr>
      </w:pPr>
    </w:p>
    <w:p w14:paraId="0EF0094D" w14:textId="6D4D25D2" w:rsidR="00130923" w:rsidRPr="00F567F1" w:rsidRDefault="00F567F1" w:rsidP="00F567F1">
      <w:pPr>
        <w:rPr>
          <w:b/>
          <w:bCs/>
          <w:i/>
          <w:iCs/>
          <w:color w:val="FFFFFF" w:themeColor="background1"/>
          <w:spacing w:val="10"/>
        </w:rPr>
        <w:sectPr w:rsidR="00130923" w:rsidRPr="00F567F1" w:rsidSect="00AD09E4">
          <w:headerReference w:type="default" r:id="rId13"/>
          <w:footerReference w:type="default" r:id="rId14"/>
          <w:pgSz w:w="11906" w:h="16838"/>
          <w:pgMar w:top="1418" w:right="1558" w:bottom="567" w:left="1440" w:header="708" w:footer="283" w:gutter="0"/>
          <w:cols w:space="708"/>
          <w:docGrid w:linePitch="360"/>
        </w:sectPr>
      </w:pPr>
      <w:r>
        <w:rPr>
          <w:rStyle w:val="Emphasis"/>
          <w:color w:val="FFFFFF" w:themeColor="background1"/>
        </w:rPr>
        <w:br w:type="page"/>
      </w:r>
    </w:p>
    <w:p w14:paraId="4201FDF8" w14:textId="41956252" w:rsidR="00130923" w:rsidRPr="008E4DA0" w:rsidRDefault="00130923" w:rsidP="007D58FB"/>
    <w:p w14:paraId="6178FCF7" w14:textId="49DB60A6" w:rsidR="00130923" w:rsidRPr="007D58FB" w:rsidRDefault="002F5011" w:rsidP="007D58FB">
      <w:pPr>
        <w:rPr>
          <w:szCs w:val="20"/>
        </w:rPr>
      </w:pPr>
      <w:r>
        <w:rPr>
          <w:szCs w:val="20"/>
        </w:rPr>
        <w:t xml:space="preserve">ISSN  </w:t>
      </w:r>
      <w:r w:rsidRPr="00FF20C8">
        <w:rPr>
          <w:szCs w:val="20"/>
        </w:rPr>
        <w:t>2209-9654</w:t>
      </w:r>
      <w:r w:rsidR="00DC3052" w:rsidRPr="001D2C41">
        <w:rPr>
          <w:szCs w:val="20"/>
        </w:rPr>
        <w:t xml:space="preserve"> </w:t>
      </w:r>
      <w:r w:rsidR="00DC3052">
        <w:rPr>
          <w:szCs w:val="20"/>
          <w:highlight w:val="yellow"/>
        </w:rPr>
        <w:br/>
      </w:r>
    </w:p>
    <w:p w14:paraId="798D82D1" w14:textId="77777777" w:rsidR="00130923" w:rsidRDefault="00130923" w:rsidP="00130923">
      <w:pPr>
        <w:pStyle w:val="numberedpara"/>
        <w:numPr>
          <w:ilvl w:val="0"/>
          <w:numId w:val="0"/>
        </w:numPr>
        <w:tabs>
          <w:tab w:val="left" w:pos="72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DDC50C2" wp14:editId="0036BB30">
            <wp:extent cx="847725" cy="285750"/>
            <wp:effectExtent l="0" t="0" r="9525" b="0"/>
            <wp:docPr id="4" name="Picture 1" descr="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5B5E.C6C8499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08C21" w14:textId="77777777" w:rsidR="00130923" w:rsidRPr="000462F1" w:rsidRDefault="00130923" w:rsidP="007D58FB">
      <w:r w:rsidRPr="000462F1">
        <w:t xml:space="preserve">With the exception of the Commonwealth Coat of Arms, the Department’s logo, any material protected by a trade mark and where otherwise noted all material presented in this document is provided under a </w:t>
      </w:r>
      <w:hyperlink r:id="rId17" w:history="1">
        <w:r w:rsidR="00C84E0C" w:rsidRPr="004164A2">
          <w:rPr>
            <w:rStyle w:val="Hyperlink"/>
          </w:rPr>
          <w:t>Creative Commons Attribution 4.0 International</w:t>
        </w:r>
      </w:hyperlink>
      <w:r w:rsidR="007D58FB">
        <w:t xml:space="preserve"> </w:t>
      </w:r>
      <w:r w:rsidRPr="000462F1">
        <w:t>(</w:t>
      </w:r>
      <w:r w:rsidRPr="00EC78E7">
        <w:t>http://creativecommons.org/licenses/by/3.0/au/</w:t>
      </w:r>
      <w:r w:rsidRPr="000462F1">
        <w:t xml:space="preserve">) licence. </w:t>
      </w:r>
    </w:p>
    <w:p w14:paraId="756C9FBB" w14:textId="77777777" w:rsidR="00130923" w:rsidRPr="000462F1" w:rsidRDefault="00130923" w:rsidP="007D58FB">
      <w:r w:rsidRPr="000462F1">
        <w:t xml:space="preserve">The details of the relevant licence conditions are available on the Creative Commons website (accessible using the links provided) as is the full legal code for the </w:t>
      </w:r>
      <w:hyperlink r:id="rId18" w:history="1">
        <w:r w:rsidR="00C84E0C" w:rsidRPr="004164A2">
          <w:rPr>
            <w:rStyle w:val="Hyperlink"/>
          </w:rPr>
          <w:t>CC BY 4.0 International</w:t>
        </w:r>
      </w:hyperlink>
      <w:r w:rsidRPr="000462F1">
        <w:t xml:space="preserve"> (</w:t>
      </w:r>
      <w:r w:rsidRPr="00EC78E7">
        <w:t>http://creativecommons.org/licenses/by/</w:t>
      </w:r>
      <w:r w:rsidR="00C84E0C">
        <w:t>4</w:t>
      </w:r>
      <w:r w:rsidRPr="00EC78E7">
        <w:t>.0</w:t>
      </w:r>
      <w:r w:rsidR="00C84E0C">
        <w:t>/</w:t>
      </w:r>
      <w:r w:rsidRPr="00EC78E7">
        <w:t>legalcode</w:t>
      </w:r>
      <w:r w:rsidRPr="000462F1">
        <w:t xml:space="preserve">). </w:t>
      </w:r>
    </w:p>
    <w:p w14:paraId="6338CFA7" w14:textId="0B471008" w:rsidR="00130923" w:rsidRDefault="00130923" w:rsidP="007D58FB">
      <w:r w:rsidRPr="000462F1">
        <w:t>The document must be attributed as the</w:t>
      </w:r>
      <w:r w:rsidR="005B4AEB">
        <w:t xml:space="preserve"> Finance 201</w:t>
      </w:r>
      <w:r w:rsidR="00120E56">
        <w:t>8</w:t>
      </w:r>
      <w:r w:rsidR="005B4AEB">
        <w:t>: Financial Reports of Higher Education Providers</w:t>
      </w:r>
      <w:r>
        <w:t>.</w:t>
      </w:r>
    </w:p>
    <w:p w14:paraId="15832A4A" w14:textId="77777777" w:rsidR="00130923" w:rsidRDefault="00130923" w:rsidP="00130923">
      <w:pPr>
        <w:pStyle w:val="numberedpara"/>
        <w:numPr>
          <w:ilvl w:val="0"/>
          <w:numId w:val="0"/>
        </w:numPr>
        <w:tabs>
          <w:tab w:val="left" w:pos="720"/>
        </w:tabs>
        <w:spacing w:before="120" w:after="120"/>
        <w:rPr>
          <w:sz w:val="20"/>
          <w:szCs w:val="20"/>
        </w:rPr>
        <w:sectPr w:rsidR="00130923" w:rsidSect="007D58FB">
          <w:type w:val="continuous"/>
          <w:pgSz w:w="11906" w:h="16838"/>
          <w:pgMar w:top="10348" w:right="1440" w:bottom="1440" w:left="1440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bidi="ar-SA"/>
        </w:rPr>
        <w:id w:val="-13926347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FA0C95" w14:textId="18C99CE6" w:rsidR="00EF4A38" w:rsidRDefault="00EF4A38" w:rsidP="005B0DBA">
          <w:pPr>
            <w:pStyle w:val="TOCHeading"/>
            <w:tabs>
              <w:tab w:val="right" w:pos="9746"/>
            </w:tabs>
          </w:pPr>
          <w:r>
            <w:t>Contents</w:t>
          </w:r>
          <w:r w:rsidR="005B0DBA">
            <w:tab/>
          </w:r>
        </w:p>
        <w:p w14:paraId="46C0ED3D" w14:textId="5E00019C" w:rsidR="00E04302" w:rsidRDefault="00EF4A38">
          <w:pPr>
            <w:pStyle w:val="TOC1"/>
            <w:tabs>
              <w:tab w:val="left" w:pos="440"/>
              <w:tab w:val="right" w:leader="dot" w:pos="9736"/>
            </w:tabs>
            <w:rPr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188545" w:history="1">
            <w:r w:rsidR="00E04302" w:rsidRPr="00455633">
              <w:rPr>
                <w:rStyle w:val="Hyperlink"/>
                <w:noProof/>
              </w:rPr>
              <w:t>1.</w:t>
            </w:r>
            <w:r w:rsidR="00E04302">
              <w:rPr>
                <w:noProof/>
                <w:lang w:eastAsia="en-AU"/>
              </w:rPr>
              <w:tab/>
            </w:r>
            <w:r w:rsidR="00E04302" w:rsidRPr="00455633">
              <w:rPr>
                <w:rStyle w:val="Hyperlink"/>
                <w:noProof/>
              </w:rPr>
              <w:t>Introduction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_Toc26188545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4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725A1247" w14:textId="58415C95" w:rsidR="00E04302" w:rsidRDefault="00FF623C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26188546" w:history="1">
            <w:r w:rsidR="00E04302" w:rsidRPr="00455633">
              <w:rPr>
                <w:rStyle w:val="Hyperlink"/>
                <w:noProof/>
              </w:rPr>
              <w:t>1.1 What is in the publication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_Toc26188546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4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047C14D3" w14:textId="609889C3" w:rsidR="00E04302" w:rsidRDefault="00FF623C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26188547" w:history="1">
            <w:r w:rsidR="00E04302" w:rsidRPr="00455633">
              <w:rPr>
                <w:rStyle w:val="Hyperlink"/>
                <w:noProof/>
              </w:rPr>
              <w:t>1.2 The data reported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_Toc26188547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4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27378CD7" w14:textId="5ACC0B4F" w:rsidR="00E04302" w:rsidRDefault="00FF623C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26188548" w:history="1">
            <w:r w:rsidR="00E04302" w:rsidRPr="00455633">
              <w:rPr>
                <w:rStyle w:val="Hyperlink"/>
                <w:noProof/>
              </w:rPr>
              <w:t>1.3 Conventions followed in representing the data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_Toc26188548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4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1922D1B3" w14:textId="492FD141" w:rsidR="00E04302" w:rsidRDefault="00FF623C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26188549" w:history="1">
            <w:r w:rsidR="00E04302" w:rsidRPr="00455633">
              <w:rPr>
                <w:rStyle w:val="Hyperlink"/>
                <w:noProof/>
              </w:rPr>
              <w:t>1.4 Significant items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_Toc26188549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4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67D37F57" w14:textId="1F8285FF" w:rsidR="00E04302" w:rsidRDefault="00FF623C">
          <w:pPr>
            <w:pStyle w:val="TOC3"/>
            <w:tabs>
              <w:tab w:val="right" w:leader="dot" w:pos="9736"/>
            </w:tabs>
            <w:rPr>
              <w:noProof/>
              <w:lang w:eastAsia="en-AU"/>
            </w:rPr>
          </w:pPr>
          <w:hyperlink w:anchor="_Toc26188550" w:history="1">
            <w:r w:rsidR="00E04302" w:rsidRPr="00455633">
              <w:rPr>
                <w:rStyle w:val="Hyperlink"/>
                <w:noProof/>
              </w:rPr>
              <w:t>1.4.1 Property, Plant and Equipment - Infrastructure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_Toc26188550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4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37C9191A" w14:textId="02B8D910" w:rsidR="00E04302" w:rsidRDefault="00FF623C">
          <w:pPr>
            <w:pStyle w:val="TOC3"/>
            <w:tabs>
              <w:tab w:val="right" w:leader="dot" w:pos="9736"/>
            </w:tabs>
            <w:rPr>
              <w:noProof/>
              <w:lang w:eastAsia="en-AU"/>
            </w:rPr>
          </w:pPr>
          <w:hyperlink w:anchor="_Toc26188551" w:history="1">
            <w:r w:rsidR="00E04302" w:rsidRPr="00455633">
              <w:rPr>
                <w:rStyle w:val="Hyperlink"/>
                <w:noProof/>
              </w:rPr>
              <w:t>1.4.2 Defined Benefit Obligations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_Toc26188551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5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38D4D4E2" w14:textId="1C1F4343" w:rsidR="00E04302" w:rsidRDefault="00FF623C">
          <w:pPr>
            <w:pStyle w:val="TOC3"/>
            <w:tabs>
              <w:tab w:val="right" w:leader="dot" w:pos="9736"/>
            </w:tabs>
            <w:rPr>
              <w:noProof/>
              <w:lang w:eastAsia="en-AU"/>
            </w:rPr>
          </w:pPr>
          <w:hyperlink w:anchor="_Toc26188552" w:history="1">
            <w:r w:rsidR="00E04302" w:rsidRPr="00455633">
              <w:rPr>
                <w:rStyle w:val="Hyperlink"/>
                <w:noProof/>
              </w:rPr>
              <w:t>1.4.3 Retrospective Application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_Toc26188552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5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57F7C528" w14:textId="215FADF1" w:rsidR="00E04302" w:rsidRDefault="00FF623C">
          <w:pPr>
            <w:pStyle w:val="TOC3"/>
            <w:tabs>
              <w:tab w:val="right" w:leader="dot" w:pos="9736"/>
            </w:tabs>
            <w:rPr>
              <w:noProof/>
              <w:lang w:eastAsia="en-AU"/>
            </w:rPr>
          </w:pPr>
          <w:hyperlink w:anchor="_Toc26188553" w:history="1">
            <w:r w:rsidR="00E04302" w:rsidRPr="00455633">
              <w:rPr>
                <w:rStyle w:val="Hyperlink"/>
                <w:noProof/>
              </w:rPr>
              <w:t>1.4.4 AASB9 Financial Instruments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_Toc26188553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5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57536E50" w14:textId="76E20FC7" w:rsidR="00E04302" w:rsidRDefault="00FF623C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26188554" w:history="1">
            <w:r w:rsidR="00E04302" w:rsidRPr="00455633">
              <w:rPr>
                <w:rStyle w:val="Hyperlink"/>
                <w:noProof/>
              </w:rPr>
              <w:t>1.5 Getting access to more data or data in electronic form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_Toc26188554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5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36BBEAA6" w14:textId="1715F550" w:rsidR="00E04302" w:rsidRDefault="00FF623C">
          <w:pPr>
            <w:pStyle w:val="TOC1"/>
            <w:tabs>
              <w:tab w:val="left" w:pos="440"/>
              <w:tab w:val="right" w:leader="dot" w:pos="9736"/>
            </w:tabs>
            <w:rPr>
              <w:noProof/>
              <w:lang w:eastAsia="en-AU"/>
            </w:rPr>
          </w:pPr>
          <w:hyperlink w:anchor="_Toc26188555" w:history="1">
            <w:r w:rsidR="00E04302" w:rsidRPr="00455633">
              <w:rPr>
                <w:rStyle w:val="Hyperlink"/>
                <w:rFonts w:eastAsia="Batang"/>
                <w:noProof/>
              </w:rPr>
              <w:t>2.</w:t>
            </w:r>
            <w:r w:rsidR="00E04302">
              <w:rPr>
                <w:noProof/>
                <w:lang w:eastAsia="en-AU"/>
              </w:rPr>
              <w:tab/>
            </w:r>
            <w:r w:rsidR="00E04302" w:rsidRPr="00455633">
              <w:rPr>
                <w:rStyle w:val="Hyperlink"/>
                <w:rFonts w:eastAsia="Batang"/>
                <w:noProof/>
              </w:rPr>
              <w:t>HEPs Included in this Publication</w:t>
            </w:r>
            <w:r w:rsidR="00E04302">
              <w:rPr>
                <w:noProof/>
                <w:webHidden/>
              </w:rPr>
              <w:tab/>
            </w:r>
            <w:r w:rsidR="00E04302">
              <w:rPr>
                <w:noProof/>
                <w:webHidden/>
              </w:rPr>
              <w:fldChar w:fldCharType="begin"/>
            </w:r>
            <w:r w:rsidR="00E04302">
              <w:rPr>
                <w:noProof/>
                <w:webHidden/>
              </w:rPr>
              <w:instrText xml:space="preserve"> PAGEREF _Toc26188555 \h </w:instrText>
            </w:r>
            <w:r w:rsidR="00E04302">
              <w:rPr>
                <w:noProof/>
                <w:webHidden/>
              </w:rPr>
            </w:r>
            <w:r w:rsidR="00E04302">
              <w:rPr>
                <w:noProof/>
                <w:webHidden/>
              </w:rPr>
              <w:fldChar w:fldCharType="separate"/>
            </w:r>
            <w:r w:rsidR="00C833F2">
              <w:rPr>
                <w:noProof/>
                <w:webHidden/>
              </w:rPr>
              <w:t>6</w:t>
            </w:r>
            <w:r w:rsidR="00E04302">
              <w:rPr>
                <w:noProof/>
                <w:webHidden/>
              </w:rPr>
              <w:fldChar w:fldCharType="end"/>
            </w:r>
          </w:hyperlink>
        </w:p>
        <w:p w14:paraId="37B4EEAC" w14:textId="3844E98F" w:rsidR="00EF4A38" w:rsidRDefault="00EF4A38">
          <w:r>
            <w:rPr>
              <w:b/>
              <w:bCs/>
              <w:noProof/>
            </w:rPr>
            <w:fldChar w:fldCharType="end"/>
          </w:r>
        </w:p>
      </w:sdtContent>
    </w:sdt>
    <w:p w14:paraId="3335023E" w14:textId="77777777" w:rsidR="005646E2" w:rsidRDefault="005646E2">
      <w:pPr>
        <w:rPr>
          <w:rFonts w:ascii="Calibri" w:eastAsiaTheme="majorEastAsia" w:hAnsi="Calibri" w:cstheme="majorBidi"/>
          <w:b/>
          <w:color w:val="522761"/>
          <w:spacing w:val="5"/>
          <w:sz w:val="52"/>
          <w:szCs w:val="52"/>
        </w:rPr>
      </w:pPr>
      <w:r>
        <w:rPr>
          <w:sz w:val="52"/>
        </w:rPr>
        <w:br w:type="page"/>
      </w:r>
    </w:p>
    <w:sdt>
      <w:sdtPr>
        <w:rPr>
          <w:sz w:val="52"/>
        </w:rPr>
        <w:alias w:val="Title"/>
        <w:tag w:val=""/>
        <w:id w:val="-508135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3A3E27D" w14:textId="39EA70D2" w:rsidR="00C10C19" w:rsidRPr="00481F02" w:rsidRDefault="00E04302" w:rsidP="00AC65DA">
          <w:pPr>
            <w:pStyle w:val="Title"/>
            <w:rPr>
              <w:sz w:val="52"/>
            </w:rPr>
          </w:pPr>
          <w:r>
            <w:rPr>
              <w:sz w:val="52"/>
            </w:rPr>
            <w:t>Finance 2018:</w:t>
          </w:r>
        </w:p>
      </w:sdtContent>
    </w:sdt>
    <w:p w14:paraId="11348059" w14:textId="77777777" w:rsidR="00F868C5" w:rsidRDefault="00F868C5" w:rsidP="00871929">
      <w:pPr>
        <w:pStyle w:val="Heading1"/>
        <w:numPr>
          <w:ilvl w:val="0"/>
          <w:numId w:val="21"/>
        </w:numPr>
      </w:pPr>
      <w:bookmarkStart w:id="1" w:name="_Toc26188545"/>
      <w:r>
        <w:t>Introduction</w:t>
      </w:r>
      <w:bookmarkEnd w:id="1"/>
    </w:p>
    <w:p w14:paraId="262C8CE2" w14:textId="77777777" w:rsidR="00F868C5" w:rsidRDefault="00F868C5" w:rsidP="00F868C5">
      <w:pPr>
        <w:pStyle w:val="Heading2"/>
      </w:pPr>
      <w:bookmarkStart w:id="2" w:name="_Toc26188546"/>
      <w:r>
        <w:t>1.1 What is in the publication</w:t>
      </w:r>
      <w:bookmarkEnd w:id="2"/>
    </w:p>
    <w:p w14:paraId="16257692" w14:textId="228BB56B" w:rsidR="00F868C5" w:rsidRDefault="00281065" w:rsidP="00E04302">
      <w:r>
        <w:t xml:space="preserve">The Finance 2018 </w:t>
      </w:r>
      <w:r w:rsidR="00F868C5" w:rsidRPr="0040075B">
        <w:t xml:space="preserve">publication contains </w:t>
      </w:r>
      <w:r w:rsidR="002B37E4">
        <w:t xml:space="preserve">the </w:t>
      </w:r>
      <w:r w:rsidR="00F868C5" w:rsidRPr="0040075B">
        <w:t>a</w:t>
      </w:r>
      <w:r>
        <w:t>djusted financial statements of the</w:t>
      </w:r>
      <w:r w:rsidR="00F868C5" w:rsidRPr="0040075B">
        <w:t xml:space="preserve"> high</w:t>
      </w:r>
      <w:r>
        <w:t>er education providers (HEPs)</w:t>
      </w:r>
      <w:r w:rsidR="00F868C5" w:rsidRPr="0040075B">
        <w:t xml:space="preserve"> listed in</w:t>
      </w:r>
      <w:r w:rsidR="00F868C5">
        <w:t xml:space="preserve"> Table A of</w:t>
      </w:r>
      <w:r w:rsidR="00F868C5" w:rsidRPr="0040075B">
        <w:t xml:space="preserve"> the </w:t>
      </w:r>
      <w:r w:rsidR="00F868C5" w:rsidRPr="0040075B">
        <w:rPr>
          <w:i/>
        </w:rPr>
        <w:t>Higher Education Support Act 2003</w:t>
      </w:r>
      <w:r w:rsidR="00F868C5" w:rsidRPr="0040075B">
        <w:t xml:space="preserve"> and the Univ</w:t>
      </w:r>
      <w:r w:rsidR="00F868C5">
        <w:t xml:space="preserve">ersity of Notre Dame Australia, </w:t>
      </w:r>
      <w:r w:rsidR="00F868C5" w:rsidRPr="0040075B">
        <w:t>which is listed in Table B of the A</w:t>
      </w:r>
      <w:r w:rsidR="00F868C5">
        <w:t xml:space="preserve">ct, </w:t>
      </w:r>
      <w:r w:rsidR="00F868C5" w:rsidRPr="0040075B">
        <w:t xml:space="preserve">for the </w:t>
      </w:r>
      <w:r w:rsidR="00F868C5">
        <w:t>201</w:t>
      </w:r>
      <w:r w:rsidR="00120E56">
        <w:t>8</w:t>
      </w:r>
      <w:r w:rsidR="00F868C5" w:rsidRPr="0040075B">
        <w:t xml:space="preserve"> reporting period. The data was extracted from</w:t>
      </w:r>
      <w:r w:rsidR="00920C92">
        <w:t xml:space="preserve"> the</w:t>
      </w:r>
      <w:r w:rsidR="006C0838">
        <w:t xml:space="preserve"> </w:t>
      </w:r>
      <w:r w:rsidR="00F868C5" w:rsidRPr="0040075B">
        <w:t xml:space="preserve">audited financial statements </w:t>
      </w:r>
      <w:r w:rsidR="00920C92">
        <w:t>of the</w:t>
      </w:r>
      <w:r w:rsidR="004A1932">
        <w:t>se</w:t>
      </w:r>
      <w:r w:rsidR="00920C92">
        <w:t xml:space="preserve"> 39 HEPs as</w:t>
      </w:r>
      <w:r w:rsidR="00F868C5" w:rsidRPr="0040075B">
        <w:t xml:space="preserve"> provided</w:t>
      </w:r>
      <w:r w:rsidR="004A1932">
        <w:t xml:space="preserve"> to the D</w:t>
      </w:r>
      <w:r>
        <w:t>epartment</w:t>
      </w:r>
      <w:r w:rsidR="004A1932">
        <w:t xml:space="preserve"> of Education</w:t>
      </w:r>
      <w:r w:rsidR="00F868C5" w:rsidRPr="0040075B">
        <w:t xml:space="preserve">. The adjusted financial statements are presented in a format similar to that outlined in the </w:t>
      </w:r>
      <w:r w:rsidR="00F868C5">
        <w:t>d</w:t>
      </w:r>
      <w:r w:rsidR="00F868C5" w:rsidRPr="0040075B">
        <w:t xml:space="preserve">epartment’s </w:t>
      </w:r>
      <w:r w:rsidR="00F868C5" w:rsidRPr="0040075B">
        <w:rPr>
          <w:i/>
        </w:rPr>
        <w:t xml:space="preserve">Financial Statement Guidelines for Australian Higher Education Providers for the </w:t>
      </w:r>
      <w:r w:rsidR="00F868C5">
        <w:rPr>
          <w:i/>
        </w:rPr>
        <w:t>201</w:t>
      </w:r>
      <w:r w:rsidR="00120E56">
        <w:rPr>
          <w:i/>
        </w:rPr>
        <w:t>8</w:t>
      </w:r>
      <w:r w:rsidR="00F868C5" w:rsidRPr="0040075B">
        <w:rPr>
          <w:i/>
        </w:rPr>
        <w:t xml:space="preserve"> Reporting Period</w:t>
      </w:r>
      <w:r w:rsidR="00F868C5">
        <w:rPr>
          <w:i/>
        </w:rPr>
        <w:t xml:space="preserve"> </w:t>
      </w:r>
      <w:r w:rsidR="00F868C5">
        <w:t>(Guidelines)</w:t>
      </w:r>
      <w:r w:rsidR="00F868C5" w:rsidRPr="0040075B">
        <w:t>.</w:t>
      </w:r>
    </w:p>
    <w:p w14:paraId="39EE7DD0" w14:textId="14A6B586" w:rsidR="003E6CED" w:rsidRPr="00E04302" w:rsidRDefault="003E6CED" w:rsidP="00E04302">
      <w:r>
        <w:t xml:space="preserve">The </w:t>
      </w:r>
      <w:r w:rsidR="004A1932">
        <w:t>Finance 2018</w:t>
      </w:r>
      <w:r>
        <w:t xml:space="preserve"> </w:t>
      </w:r>
      <w:r w:rsidR="0042521C">
        <w:t>publication</w:t>
      </w:r>
      <w:r w:rsidR="00E04302">
        <w:t xml:space="preserve"> is available in </w:t>
      </w:r>
      <w:r>
        <w:t>table format on the department’s website</w:t>
      </w:r>
      <w:r w:rsidR="00281065">
        <w:t xml:space="preserve">. </w:t>
      </w:r>
      <w:r w:rsidR="0042521C">
        <w:t>The department has also developed a</w:t>
      </w:r>
      <w:r>
        <w:t xml:space="preserve"> data dashboard as an interactive visualisation tool</w:t>
      </w:r>
      <w:r w:rsidR="00E842B4">
        <w:t xml:space="preserve"> to </w:t>
      </w:r>
      <w:r w:rsidR="00281065">
        <w:t xml:space="preserve">provide </w:t>
      </w:r>
      <w:r w:rsidR="005154D9">
        <w:t xml:space="preserve">an </w:t>
      </w:r>
      <w:r w:rsidR="00281065">
        <w:t xml:space="preserve">additional option for </w:t>
      </w:r>
      <w:r w:rsidR="00E842B4">
        <w:t>view</w:t>
      </w:r>
      <w:r w:rsidR="00281065">
        <w:t>ing</w:t>
      </w:r>
      <w:r w:rsidR="00E842B4">
        <w:t xml:space="preserve"> the data.</w:t>
      </w:r>
      <w:r w:rsidR="004A1932">
        <w:t xml:space="preserve"> Th</w:t>
      </w:r>
      <w:r w:rsidR="00E04302">
        <w:t>e</w:t>
      </w:r>
      <w:r w:rsidR="004A1932">
        <w:t xml:space="preserve"> dashboard includes </w:t>
      </w:r>
      <w:r w:rsidR="00E04302">
        <w:t>charts</w:t>
      </w:r>
      <w:r w:rsidR="004A1932">
        <w:t xml:space="preserve"> and graphs with historical data dating back to 2011.</w:t>
      </w:r>
      <w:r w:rsidR="00E04302">
        <w:t xml:space="preserve"> Both the </w:t>
      </w:r>
      <w:r w:rsidR="0042521C">
        <w:t xml:space="preserve">tables and the dashboard are available at </w:t>
      </w:r>
      <w:hyperlink r:id="rId19" w:history="1">
        <w:r w:rsidR="00E04302" w:rsidRPr="002406EF">
          <w:rPr>
            <w:rStyle w:val="Hyperlink"/>
          </w:rPr>
          <w:t>http://www.education.gov.au/finance-publication</w:t>
        </w:r>
      </w:hyperlink>
      <w:r w:rsidR="00E04302" w:rsidRPr="00E04302">
        <w:rPr>
          <w:rStyle w:val="Hyperlink"/>
          <w:color w:val="auto"/>
          <w:u w:val="none"/>
        </w:rPr>
        <w:t>.</w:t>
      </w:r>
    </w:p>
    <w:p w14:paraId="53F083D0" w14:textId="2B58AAC0" w:rsidR="00A7170F" w:rsidRPr="0040075B" w:rsidRDefault="005B0DBA" w:rsidP="00A7170F">
      <w:pPr>
        <w:pStyle w:val="Heading2"/>
      </w:pPr>
      <w:bookmarkStart w:id="3" w:name="_Toc404081725"/>
      <w:bookmarkStart w:id="4" w:name="_Toc496014606"/>
      <w:bookmarkStart w:id="5" w:name="_Toc26188547"/>
      <w:r>
        <w:t>1.2</w:t>
      </w:r>
      <w:r w:rsidR="00A7170F" w:rsidRPr="0040075B">
        <w:t xml:space="preserve"> The data reported</w:t>
      </w:r>
      <w:bookmarkEnd w:id="3"/>
      <w:bookmarkEnd w:id="4"/>
      <w:bookmarkEnd w:id="5"/>
    </w:p>
    <w:p w14:paraId="39E15C05" w14:textId="77777777" w:rsidR="00A7170F" w:rsidRPr="0040075B" w:rsidRDefault="00A7170F" w:rsidP="00A7170F">
      <w:r w:rsidRPr="0040075B">
        <w:t xml:space="preserve">Each year HEPs are required to prepare </w:t>
      </w:r>
      <w:r>
        <w:t>a</w:t>
      </w:r>
      <w:r w:rsidRPr="0040075B">
        <w:t xml:space="preserve">nnual </w:t>
      </w:r>
      <w:r>
        <w:t>f</w:t>
      </w:r>
      <w:r w:rsidRPr="0040075B">
        <w:t xml:space="preserve">inancial </w:t>
      </w:r>
      <w:r>
        <w:t>s</w:t>
      </w:r>
      <w:r w:rsidRPr="0040075B">
        <w:t>tatements in accordance with the specifications in the</w:t>
      </w:r>
      <w:r>
        <w:t xml:space="preserve"> Guidelines</w:t>
      </w:r>
      <w:r w:rsidRPr="0040075B">
        <w:t xml:space="preserve"> for the relevant reporting period. These </w:t>
      </w:r>
      <w:r>
        <w:t>a</w:t>
      </w:r>
      <w:r w:rsidRPr="0040075B">
        <w:t xml:space="preserve">nnual </w:t>
      </w:r>
      <w:r>
        <w:t>f</w:t>
      </w:r>
      <w:r w:rsidRPr="0040075B">
        <w:t xml:space="preserve">inancial </w:t>
      </w:r>
      <w:r>
        <w:t>s</w:t>
      </w:r>
      <w:r w:rsidRPr="0040075B">
        <w:t xml:space="preserve">tatements are intended to meet the financial reporting requirements of the Australian Government and </w:t>
      </w:r>
      <w:r>
        <w:t>s</w:t>
      </w:r>
      <w:r w:rsidRPr="0040075B">
        <w:t>tate</w:t>
      </w:r>
      <w:r>
        <w:t xml:space="preserve"> and t</w:t>
      </w:r>
      <w:r w:rsidRPr="0040075B">
        <w:t>erritory agencies.</w:t>
      </w:r>
    </w:p>
    <w:p w14:paraId="69901C60" w14:textId="62340FCB" w:rsidR="00A7170F" w:rsidRPr="0040075B" w:rsidRDefault="00A7170F" w:rsidP="00A7170F">
      <w:r w:rsidRPr="0040075B">
        <w:t>T</w:t>
      </w:r>
      <w:r w:rsidR="006C0838">
        <w:t>he department has prepared t</w:t>
      </w:r>
      <w:r w:rsidRPr="0040075B">
        <w:t xml:space="preserve">his publication from </w:t>
      </w:r>
      <w:r w:rsidR="004A1932">
        <w:t>the</w:t>
      </w:r>
      <w:r w:rsidRPr="0040075B">
        <w:t xml:space="preserve"> audited </w:t>
      </w:r>
      <w:r>
        <w:t>a</w:t>
      </w:r>
      <w:r w:rsidRPr="0040075B">
        <w:t xml:space="preserve">nnual </w:t>
      </w:r>
      <w:r>
        <w:t>f</w:t>
      </w:r>
      <w:r w:rsidRPr="0040075B">
        <w:t xml:space="preserve">inancial </w:t>
      </w:r>
      <w:r>
        <w:t>s</w:t>
      </w:r>
      <w:r w:rsidR="006C0838">
        <w:t>tatements</w:t>
      </w:r>
      <w:r w:rsidR="004A1932">
        <w:t xml:space="preserve"> of each HEP</w:t>
      </w:r>
      <w:r w:rsidR="006C0838">
        <w:t>.</w:t>
      </w:r>
      <w:r w:rsidRPr="0040075B">
        <w:t xml:space="preserve"> </w:t>
      </w:r>
      <w:r w:rsidR="006C0838">
        <w:t>I</w:t>
      </w:r>
      <w:r w:rsidRPr="0040075B">
        <w:t xml:space="preserve">n most </w:t>
      </w:r>
      <w:r w:rsidR="00C6373C">
        <w:t>instances</w:t>
      </w:r>
      <w:r w:rsidRPr="0040075B">
        <w:t xml:space="preserve"> the data in this publication will be the same as</w:t>
      </w:r>
      <w:r w:rsidR="006C0838">
        <w:t xml:space="preserve"> in</w:t>
      </w:r>
      <w:r w:rsidRPr="0040075B">
        <w:t xml:space="preserve"> those statements</w:t>
      </w:r>
      <w:r w:rsidR="00C6373C">
        <w:t>, however t</w:t>
      </w:r>
      <w:r w:rsidRPr="0040075B">
        <w:t>here may be some minor classification differences</w:t>
      </w:r>
      <w:r w:rsidR="006C0838">
        <w:t xml:space="preserve"> where </w:t>
      </w:r>
      <w:r w:rsidR="00C6373C">
        <w:t>a</w:t>
      </w:r>
      <w:r w:rsidR="006C0838">
        <w:t xml:space="preserve"> HEP</w:t>
      </w:r>
      <w:r w:rsidR="00C6373C">
        <w:t xml:space="preserve"> has</w:t>
      </w:r>
      <w:r w:rsidR="006C0838">
        <w:t xml:space="preserve"> departed</w:t>
      </w:r>
      <w:r w:rsidR="00C6373C">
        <w:t xml:space="preserve"> from the Guidelines</w:t>
      </w:r>
      <w:r w:rsidR="006C0838">
        <w:t xml:space="preserve"> in</w:t>
      </w:r>
      <w:r w:rsidR="00C6373C">
        <w:t xml:space="preserve"> its</w:t>
      </w:r>
      <w:r w:rsidR="006C0838">
        <w:t xml:space="preserve"> annual financial statements.</w:t>
      </w:r>
      <w:r w:rsidR="004A1932">
        <w:t xml:space="preserve"> </w:t>
      </w:r>
      <w:r w:rsidRPr="0040075B">
        <w:t xml:space="preserve">As the financial statements in this document are not identical to the financial statements in the providers’ published </w:t>
      </w:r>
      <w:r>
        <w:t>a</w:t>
      </w:r>
      <w:r w:rsidRPr="0040075B">
        <w:t xml:space="preserve">nnual </w:t>
      </w:r>
      <w:r>
        <w:t>f</w:t>
      </w:r>
      <w:r w:rsidRPr="0040075B">
        <w:t xml:space="preserve">inancial </w:t>
      </w:r>
      <w:r>
        <w:t>r</w:t>
      </w:r>
      <w:r w:rsidRPr="0040075B">
        <w:t xml:space="preserve">eports, the term ‘adjusted’ has been used. </w:t>
      </w:r>
    </w:p>
    <w:p w14:paraId="589D7C7E" w14:textId="5F91989B" w:rsidR="00A7170F" w:rsidRPr="0040075B" w:rsidRDefault="00A7170F" w:rsidP="00A7170F">
      <w:r w:rsidRPr="0040075B">
        <w:t>Unless otherwise indicated, amounts relate to the parent entity for the total institution as indicated in the university’s financial statements</w:t>
      </w:r>
      <w:r w:rsidR="00403889">
        <w:t xml:space="preserve">, and </w:t>
      </w:r>
      <w:r w:rsidRPr="0040075B">
        <w:t xml:space="preserve">include both </w:t>
      </w:r>
      <w:r w:rsidR="00403889">
        <w:t xml:space="preserve">the </w:t>
      </w:r>
      <w:r w:rsidRPr="0040075B">
        <w:t>higher education and vocational education and training sectors for dual sector institutions.</w:t>
      </w:r>
    </w:p>
    <w:p w14:paraId="3E368684" w14:textId="7BF5A646" w:rsidR="00A7170F" w:rsidRPr="0040075B" w:rsidRDefault="005B0DBA" w:rsidP="00A7170F">
      <w:pPr>
        <w:pStyle w:val="Heading2"/>
      </w:pPr>
      <w:bookmarkStart w:id="6" w:name="_Toc145755469"/>
      <w:bookmarkStart w:id="7" w:name="_Toc404081728"/>
      <w:bookmarkStart w:id="8" w:name="_Toc496014609"/>
      <w:bookmarkStart w:id="9" w:name="_Toc26188548"/>
      <w:r>
        <w:t>1.3</w:t>
      </w:r>
      <w:r w:rsidR="00A7170F" w:rsidRPr="0040075B">
        <w:t xml:space="preserve"> Conventions followed in representing the data</w:t>
      </w:r>
      <w:bookmarkEnd w:id="6"/>
      <w:bookmarkEnd w:id="7"/>
      <w:bookmarkEnd w:id="8"/>
      <w:bookmarkEnd w:id="9"/>
    </w:p>
    <w:p w14:paraId="51172262" w14:textId="53CCA8CD" w:rsidR="005B0DBA" w:rsidRDefault="00B50E75">
      <w:r>
        <w:t>All amounts</w:t>
      </w:r>
      <w:r w:rsidR="00A7170F" w:rsidRPr="0040075B">
        <w:t xml:space="preserve"> in the </w:t>
      </w:r>
      <w:r w:rsidR="00E04302">
        <w:t>publication</w:t>
      </w:r>
      <w:r w:rsidR="00A7170F" w:rsidRPr="0040075B">
        <w:t xml:space="preserve"> are dollars rounded to the nearest thousand</w:t>
      </w:r>
      <w:r>
        <w:t>. Due to rounding, the</w:t>
      </w:r>
      <w:r w:rsidR="006C0838">
        <w:t xml:space="preserve"> </w:t>
      </w:r>
      <w:r w:rsidR="00A7170F" w:rsidRPr="0040075B">
        <w:t xml:space="preserve">totals </w:t>
      </w:r>
      <w:r w:rsidR="00E04302">
        <w:t xml:space="preserve">in the tables </w:t>
      </w:r>
      <w:r w:rsidR="00A7170F" w:rsidRPr="0040075B">
        <w:t>do not always match the sum of values in the rows and columns. Zeroes indicate that the original value was nil or less than $500.</w:t>
      </w:r>
    </w:p>
    <w:p w14:paraId="14647F41" w14:textId="4236CE39" w:rsidR="005B0DBA" w:rsidRDefault="005B0DBA" w:rsidP="005B0DBA">
      <w:pPr>
        <w:pStyle w:val="Heading2"/>
      </w:pPr>
      <w:bookmarkStart w:id="10" w:name="_Toc26188549"/>
      <w:r>
        <w:t>1.4 Significant items</w:t>
      </w:r>
      <w:bookmarkEnd w:id="10"/>
    </w:p>
    <w:p w14:paraId="6E729F8D" w14:textId="76BAC5C5" w:rsidR="005B0DBA" w:rsidRPr="0040075B" w:rsidRDefault="005B0DBA" w:rsidP="005B0DBA">
      <w:pPr>
        <w:pStyle w:val="Heading3"/>
      </w:pPr>
      <w:bookmarkStart w:id="11" w:name="_Toc404081723"/>
      <w:bookmarkStart w:id="12" w:name="_Toc496014603"/>
      <w:bookmarkStart w:id="13" w:name="_Toc26188550"/>
      <w:r>
        <w:t>1.4</w:t>
      </w:r>
      <w:r w:rsidRPr="0040075B">
        <w:t>.1</w:t>
      </w:r>
      <w:r>
        <w:t xml:space="preserve"> </w:t>
      </w:r>
      <w:r w:rsidRPr="0040075B">
        <w:t>Property, Plant and Equipment - Infrastructure</w:t>
      </w:r>
      <w:bookmarkEnd w:id="11"/>
      <w:bookmarkEnd w:id="12"/>
      <w:bookmarkEnd w:id="13"/>
    </w:p>
    <w:p w14:paraId="0449EBE3" w14:textId="664A3CB0" w:rsidR="007059D4" w:rsidRPr="0040075B" w:rsidRDefault="00C6373C" w:rsidP="005B0DBA">
      <w:r>
        <w:t>Many</w:t>
      </w:r>
      <w:r w:rsidR="0044530A">
        <w:t xml:space="preserve"> </w:t>
      </w:r>
      <w:r w:rsidR="005B0DBA" w:rsidRPr="0040075B">
        <w:t xml:space="preserve">universities identify infrastructure as a classification under Property, Plant and Equipment. In this publication, universities that have identified infrastructure in their financial statements have had the infrastructure reported in Other Property, Plant and Equipment. For </w:t>
      </w:r>
      <w:r w:rsidR="00255DC9">
        <w:t>some</w:t>
      </w:r>
      <w:r w:rsidR="005B0DBA" w:rsidRPr="0040075B">
        <w:t xml:space="preserve"> universities this was included in Buildings in previous versions of this publication.</w:t>
      </w:r>
      <w:r w:rsidR="006B3E95">
        <w:t xml:space="preserve"> </w:t>
      </w:r>
    </w:p>
    <w:p w14:paraId="7D5E1747" w14:textId="761781CB" w:rsidR="005B0DBA" w:rsidRPr="0040075B" w:rsidRDefault="005B0DBA" w:rsidP="005B0DBA">
      <w:r w:rsidRPr="0040075B">
        <w:t>For full details</w:t>
      </w:r>
      <w:r w:rsidR="00255DC9">
        <w:t xml:space="preserve"> the</w:t>
      </w:r>
      <w:r w:rsidRPr="0040075B">
        <w:t xml:space="preserve"> financial statements </w:t>
      </w:r>
      <w:r w:rsidR="00877BFE">
        <w:t xml:space="preserve">of each university </w:t>
      </w:r>
      <w:r w:rsidRPr="0040075B">
        <w:t>should be examined.</w:t>
      </w:r>
    </w:p>
    <w:p w14:paraId="1DAFE6F2" w14:textId="6F91FAD1" w:rsidR="005B0DBA" w:rsidRPr="0040075B" w:rsidRDefault="005B0DBA" w:rsidP="005B0DBA">
      <w:pPr>
        <w:pStyle w:val="Heading3"/>
      </w:pPr>
      <w:bookmarkStart w:id="14" w:name="_Toc404081724"/>
      <w:bookmarkStart w:id="15" w:name="_Toc496014604"/>
      <w:bookmarkStart w:id="16" w:name="_Toc26188551"/>
      <w:r>
        <w:lastRenderedPageBreak/>
        <w:t>1.4</w:t>
      </w:r>
      <w:r w:rsidRPr="0040075B">
        <w:t>.2 Defined Benefit Obligations</w:t>
      </w:r>
      <w:bookmarkEnd w:id="14"/>
      <w:bookmarkEnd w:id="15"/>
      <w:bookmarkEnd w:id="16"/>
    </w:p>
    <w:p w14:paraId="003B97FA" w14:textId="34B5E84D" w:rsidR="005B0DBA" w:rsidRDefault="005B0DBA" w:rsidP="005B0DBA">
      <w:r w:rsidRPr="00260429">
        <w:t>In 2013</w:t>
      </w:r>
      <w:r w:rsidR="00BD0EBE">
        <w:t>,</w:t>
      </w:r>
      <w:r w:rsidRPr="00260429">
        <w:t xml:space="preserve"> changes to accounting standards (AASB</w:t>
      </w:r>
      <w:r w:rsidR="00325731">
        <w:t xml:space="preserve"> </w:t>
      </w:r>
      <w:r w:rsidRPr="00260429">
        <w:t>119) changed the ability for entities to choose their treatment for defined benefit obligations</w:t>
      </w:r>
      <w:r w:rsidR="00BD0EBE">
        <w:t>. A</w:t>
      </w:r>
      <w:r w:rsidRPr="00260429">
        <w:t>s a result</w:t>
      </w:r>
      <w:r w:rsidR="00DC14A2">
        <w:t>,</w:t>
      </w:r>
      <w:r w:rsidRPr="00260429">
        <w:t xml:space="preserve"> universities that have defined benefit obligations are required to adopt the direct to equity approach. Deferred superannuation revenue and expenses are reported o</w:t>
      </w:r>
      <w:r>
        <w:t>n a net basis in both profit or</w:t>
      </w:r>
      <w:r w:rsidRPr="00260429">
        <w:t xml:space="preserve"> loss items and other comprehensive income. As such, universities with only defined benefit obligations that are fully covered by the Australian Government Superannuation Supplementation Program will report a nil expense and nil actuarial changes.</w:t>
      </w:r>
    </w:p>
    <w:p w14:paraId="0941FEEE" w14:textId="5111CD44" w:rsidR="005B0DBA" w:rsidRPr="001A6AD9" w:rsidRDefault="005B0DBA" w:rsidP="005B0DBA">
      <w:pPr>
        <w:pStyle w:val="Heading3"/>
      </w:pPr>
      <w:bookmarkStart w:id="17" w:name="_Toc496014605"/>
      <w:bookmarkStart w:id="18" w:name="_Toc26188552"/>
      <w:r>
        <w:t>1.4</w:t>
      </w:r>
      <w:r w:rsidRPr="001A6AD9">
        <w:t>.3</w:t>
      </w:r>
      <w:r>
        <w:t xml:space="preserve"> </w:t>
      </w:r>
      <w:r w:rsidRPr="001A6AD9">
        <w:t>Retrospective Application</w:t>
      </w:r>
      <w:bookmarkEnd w:id="17"/>
      <w:bookmarkEnd w:id="18"/>
    </w:p>
    <w:p w14:paraId="1E31B64A" w14:textId="616AE406" w:rsidR="005B0DBA" w:rsidRDefault="005B0DBA" w:rsidP="00A7170F">
      <w:r>
        <w:t>Adjusted changes in equity and comprehensive income in Table 4 ha</w:t>
      </w:r>
      <w:r w:rsidR="00BD0EBE">
        <w:t>ve</w:t>
      </w:r>
      <w:r>
        <w:t xml:space="preserve"> a line item for retrospective application. This line item will not always correlate to the amounts reported in </w:t>
      </w:r>
      <w:r w:rsidR="00255DC9">
        <w:t xml:space="preserve">each </w:t>
      </w:r>
      <w:r>
        <w:t>individual institutions</w:t>
      </w:r>
      <w:r w:rsidR="00BD0EBE">
        <w:t>’</w:t>
      </w:r>
      <w:r>
        <w:t xml:space="preserve"> </w:t>
      </w:r>
      <w:r w:rsidR="00255DC9">
        <w:t>s</w:t>
      </w:r>
      <w:r>
        <w:t xml:space="preserve">tatement of </w:t>
      </w:r>
      <w:r w:rsidR="00255DC9">
        <w:t>c</w:t>
      </w:r>
      <w:r>
        <w:t xml:space="preserve">hanges in </w:t>
      </w:r>
      <w:r w:rsidR="00255DC9">
        <w:t>e</w:t>
      </w:r>
      <w:r>
        <w:t>quity in</w:t>
      </w:r>
      <w:r w:rsidR="00283903">
        <w:t xml:space="preserve"> the</w:t>
      </w:r>
      <w:r>
        <w:t xml:space="preserve"> audited financial statements. This line item </w:t>
      </w:r>
      <w:r w:rsidRPr="0038181E">
        <w:t xml:space="preserve">may differ due to the fact that universities report their comparative year applying the same accounting standards as the current year, </w:t>
      </w:r>
      <w:r w:rsidR="00BD0EBE" w:rsidRPr="0038181E">
        <w:t>however</w:t>
      </w:r>
      <w:r w:rsidRPr="0038181E">
        <w:t xml:space="preserve"> the Finance Pub</w:t>
      </w:r>
      <w:r w:rsidR="00120E56" w:rsidRPr="0038181E">
        <w:t>lication uses the published 2017</w:t>
      </w:r>
      <w:r w:rsidRPr="0038181E">
        <w:t xml:space="preserve"> Finance Publication figures. The amount reported is not material</w:t>
      </w:r>
      <w:r w:rsidR="00BD0EBE" w:rsidRPr="0038181E">
        <w:t xml:space="preserve">. Should you </w:t>
      </w:r>
      <w:r w:rsidRPr="0038181E">
        <w:t>require</w:t>
      </w:r>
      <w:r w:rsidR="00BD0EBE" w:rsidRPr="0038181E">
        <w:t xml:space="preserve"> data</w:t>
      </w:r>
      <w:r w:rsidRPr="0038181E">
        <w:t xml:space="preserve"> for analytical purposes, the source data should be</w:t>
      </w:r>
      <w:r>
        <w:t xml:space="preserve"> obtained</w:t>
      </w:r>
      <w:r w:rsidR="00BD0EBE">
        <w:t xml:space="preserve"> from the relevant HEP</w:t>
      </w:r>
      <w:r>
        <w:t xml:space="preserve">. </w:t>
      </w:r>
    </w:p>
    <w:p w14:paraId="426C2991" w14:textId="43224FBB" w:rsidR="00120E56" w:rsidRPr="00C91E96" w:rsidRDefault="00120E56" w:rsidP="00325731">
      <w:pPr>
        <w:pStyle w:val="Heading3"/>
      </w:pPr>
      <w:bookmarkStart w:id="19" w:name="_Toc26188553"/>
      <w:r w:rsidRPr="00C91E96">
        <w:t>1.4.4 AASB</w:t>
      </w:r>
      <w:r w:rsidR="00140940">
        <w:t xml:space="preserve"> </w:t>
      </w:r>
      <w:r w:rsidRPr="00C91E96">
        <w:t>9 Financial Instruments</w:t>
      </w:r>
      <w:bookmarkEnd w:id="19"/>
    </w:p>
    <w:p w14:paraId="2E301503" w14:textId="0148FACB" w:rsidR="007C3A66" w:rsidRPr="00C65842" w:rsidRDefault="00325731" w:rsidP="00281065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  <w:lang w:val="en"/>
        </w:rPr>
      </w:pPr>
      <w:r w:rsidRPr="00C65842">
        <w:rPr>
          <w:rFonts w:asciiTheme="minorHAnsi" w:hAnsiTheme="minorHAnsi" w:cstheme="minorHAnsi"/>
          <w:sz w:val="22"/>
          <w:szCs w:val="22"/>
          <w:lang w:val="en"/>
        </w:rPr>
        <w:t>The majority of HEPs implemented AASB 9 Financial Instruments</w:t>
      </w:r>
      <w:r w:rsidR="00C35A00" w:rsidRPr="00C65842">
        <w:rPr>
          <w:rFonts w:asciiTheme="minorHAnsi" w:hAnsiTheme="minorHAnsi" w:cstheme="minorHAnsi"/>
          <w:sz w:val="22"/>
          <w:szCs w:val="22"/>
          <w:lang w:val="en"/>
        </w:rPr>
        <w:t xml:space="preserve"> on</w:t>
      </w:r>
      <w:r w:rsidR="008C10FA" w:rsidRPr="00C65842">
        <w:rPr>
          <w:rFonts w:asciiTheme="minorHAnsi" w:hAnsiTheme="minorHAnsi" w:cstheme="minorHAnsi"/>
          <w:sz w:val="22"/>
          <w:szCs w:val="22"/>
          <w:lang w:val="en"/>
        </w:rPr>
        <w:t xml:space="preserve"> 1 January </w:t>
      </w:r>
      <w:r w:rsidR="00216BE0" w:rsidRPr="00C65842">
        <w:rPr>
          <w:rFonts w:asciiTheme="minorHAnsi" w:hAnsiTheme="minorHAnsi" w:cstheme="minorHAnsi"/>
          <w:sz w:val="22"/>
          <w:szCs w:val="22"/>
          <w:lang w:val="en"/>
        </w:rPr>
        <w:t>2018</w:t>
      </w:r>
      <w:r w:rsidR="008C10FA" w:rsidRPr="00C65842">
        <w:rPr>
          <w:rFonts w:asciiTheme="minorHAnsi" w:hAnsiTheme="minorHAnsi" w:cstheme="minorHAnsi"/>
          <w:sz w:val="22"/>
          <w:szCs w:val="22"/>
          <w:lang w:val="en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Most </w:t>
      </w:r>
      <w:r w:rsidR="007C3A66" w:rsidRPr="00C65842">
        <w:rPr>
          <w:rFonts w:asciiTheme="minorHAnsi" w:hAnsiTheme="minorHAnsi" w:cstheme="minorHAnsi"/>
          <w:sz w:val="22"/>
          <w:szCs w:val="22"/>
          <w:lang w:val="en"/>
        </w:rPr>
        <w:t xml:space="preserve">have </w:t>
      </w:r>
      <w:r w:rsidR="00182196" w:rsidRPr="00C65842">
        <w:rPr>
          <w:rFonts w:asciiTheme="minorHAnsi" w:hAnsiTheme="minorHAnsi" w:cstheme="minorHAnsi"/>
          <w:sz w:val="22"/>
          <w:szCs w:val="22"/>
          <w:lang w:val="en"/>
        </w:rPr>
        <w:t>applied</w:t>
      </w:r>
      <w:r w:rsidR="007C3A66" w:rsidRPr="00C65842">
        <w:rPr>
          <w:rFonts w:asciiTheme="minorHAnsi" w:hAnsiTheme="minorHAnsi" w:cstheme="minorHAnsi"/>
          <w:sz w:val="22"/>
          <w:szCs w:val="22"/>
          <w:lang w:val="en"/>
        </w:rPr>
        <w:t xml:space="preserve"> this new standard retrospectively without restatement of prior year comparative information</w:t>
      </w:r>
      <w:r w:rsidR="00F12B80" w:rsidRPr="00C65842">
        <w:rPr>
          <w:rFonts w:asciiTheme="minorHAnsi" w:hAnsiTheme="minorHAnsi" w:cstheme="minorHAnsi"/>
          <w:sz w:val="22"/>
          <w:szCs w:val="22"/>
          <w:lang w:val="en"/>
        </w:rPr>
        <w:t xml:space="preserve">. Adjustments to the opening balance of equity made by HEPs as a result of the implementation of AASB 9 </w:t>
      </w:r>
      <w:r w:rsidR="00BF7180">
        <w:rPr>
          <w:rFonts w:asciiTheme="minorHAnsi" w:hAnsiTheme="minorHAnsi" w:cstheme="minorHAnsi"/>
          <w:sz w:val="22"/>
          <w:szCs w:val="22"/>
          <w:lang w:val="en"/>
        </w:rPr>
        <w:t>totaled $106.0 </w:t>
      </w:r>
      <w:r w:rsidR="007C3A66" w:rsidRPr="00C65842">
        <w:rPr>
          <w:rFonts w:asciiTheme="minorHAnsi" w:hAnsiTheme="minorHAnsi" w:cstheme="minorHAnsi"/>
          <w:sz w:val="22"/>
          <w:szCs w:val="22"/>
          <w:lang w:val="en"/>
        </w:rPr>
        <w:t xml:space="preserve">million </w:t>
      </w:r>
      <w:r w:rsidR="00F12B80" w:rsidRPr="00C65842">
        <w:rPr>
          <w:rFonts w:asciiTheme="minorHAnsi" w:hAnsiTheme="minorHAnsi" w:cstheme="minorHAnsi"/>
          <w:sz w:val="22"/>
          <w:szCs w:val="22"/>
          <w:lang w:val="en"/>
        </w:rPr>
        <w:t>across the sector</w:t>
      </w:r>
      <w:r w:rsidR="007C3A66" w:rsidRPr="00C65842">
        <w:rPr>
          <w:rFonts w:asciiTheme="minorHAnsi" w:hAnsiTheme="minorHAnsi" w:cstheme="minorHAnsi"/>
          <w:sz w:val="22"/>
          <w:szCs w:val="22"/>
          <w:lang w:val="en"/>
        </w:rPr>
        <w:t>.</w:t>
      </w:r>
      <w:r w:rsidR="008C10FA" w:rsidRPr="00C65842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182196" w:rsidRPr="00C65842">
        <w:rPr>
          <w:rFonts w:asciiTheme="minorHAnsi" w:hAnsiTheme="minorHAnsi" w:cstheme="minorHAnsi"/>
          <w:sz w:val="22"/>
          <w:szCs w:val="22"/>
          <w:lang w:val="en"/>
        </w:rPr>
        <w:t xml:space="preserve">The implementation of AASB 9 changes the classification and measurement of </w:t>
      </w:r>
      <w:r w:rsidR="00182196">
        <w:rPr>
          <w:rFonts w:asciiTheme="minorHAnsi" w:hAnsiTheme="minorHAnsi" w:cstheme="minorHAnsi"/>
          <w:sz w:val="22"/>
          <w:szCs w:val="22"/>
          <w:lang w:val="en"/>
        </w:rPr>
        <w:t>financial assets</w:t>
      </w:r>
      <w:r w:rsidR="00182196" w:rsidRPr="00C65842">
        <w:rPr>
          <w:rFonts w:asciiTheme="minorHAnsi" w:hAnsiTheme="minorHAnsi" w:cstheme="minorHAnsi"/>
          <w:sz w:val="22"/>
          <w:szCs w:val="22"/>
          <w:lang w:val="en"/>
        </w:rPr>
        <w:t xml:space="preserve"> and the recognition of subsequent changes in value. This should be taken into consideration when comparing data across different periods.</w:t>
      </w:r>
    </w:p>
    <w:p w14:paraId="60C01AE4" w14:textId="77777777" w:rsidR="00A7170F" w:rsidRPr="0040075B" w:rsidRDefault="00A7170F" w:rsidP="00A7170F">
      <w:pPr>
        <w:pStyle w:val="Heading2"/>
      </w:pPr>
      <w:bookmarkStart w:id="20" w:name="_Toc145755470"/>
      <w:bookmarkStart w:id="21" w:name="_Toc404081729"/>
      <w:bookmarkStart w:id="22" w:name="_Toc496014610"/>
      <w:bookmarkStart w:id="23" w:name="_Toc26188554"/>
      <w:r w:rsidRPr="0040075B">
        <w:t>1.5 Getting access to more data or data in electronic form</w:t>
      </w:r>
      <w:bookmarkEnd w:id="20"/>
      <w:bookmarkEnd w:id="21"/>
      <w:bookmarkEnd w:id="22"/>
      <w:bookmarkEnd w:id="23"/>
    </w:p>
    <w:p w14:paraId="29D00225" w14:textId="348CE6D1" w:rsidR="00A7170F" w:rsidRPr="00281065" w:rsidRDefault="00A7170F" w:rsidP="00A7170F">
      <w:pPr>
        <w:spacing w:after="0" w:line="240" w:lineRule="auto"/>
        <w:rPr>
          <w:color w:val="3C54A5" w:themeColor="text2"/>
          <w:u w:val="single"/>
        </w:rPr>
      </w:pPr>
      <w:r w:rsidRPr="0040075B">
        <w:t xml:space="preserve">This publication is available </w:t>
      </w:r>
      <w:r w:rsidR="00281065">
        <w:t xml:space="preserve">in Excel table format or as an interactive data dashboard </w:t>
      </w:r>
      <w:r w:rsidRPr="0040075B">
        <w:t xml:space="preserve">on the </w:t>
      </w:r>
      <w:r w:rsidR="00BD0EBE">
        <w:t>department’s website</w:t>
      </w:r>
      <w:r w:rsidRPr="0040075B">
        <w:t xml:space="preserve">: </w:t>
      </w:r>
      <w:r w:rsidRPr="0040075B">
        <w:rPr>
          <w:rStyle w:val="Hyperlink"/>
        </w:rPr>
        <w:t>http://www.education.gov.au/finance-publication</w:t>
      </w:r>
    </w:p>
    <w:p w14:paraId="54B4EB6E" w14:textId="77777777" w:rsidR="00281065" w:rsidRDefault="00281065" w:rsidP="00A7170F">
      <w:pPr>
        <w:spacing w:after="0" w:line="240" w:lineRule="auto"/>
      </w:pPr>
    </w:p>
    <w:p w14:paraId="2BEEFB8B" w14:textId="33B0E2EE" w:rsidR="00A7170F" w:rsidRPr="0040075B" w:rsidRDefault="00A7170F" w:rsidP="00E04302">
      <w:pPr>
        <w:spacing w:after="0"/>
      </w:pPr>
      <w:r w:rsidRPr="0040075B">
        <w:t>For</w:t>
      </w:r>
      <w:r w:rsidR="00281065">
        <w:t xml:space="preserve"> further</w:t>
      </w:r>
      <w:r w:rsidRPr="0040075B">
        <w:t xml:space="preserve"> information about the contents of this publication please contact:</w:t>
      </w:r>
    </w:p>
    <w:p w14:paraId="34C1681C" w14:textId="77777777" w:rsidR="00325731" w:rsidRDefault="00325731" w:rsidP="00E04302">
      <w:pPr>
        <w:spacing w:after="0"/>
      </w:pPr>
      <w:r>
        <w:t xml:space="preserve">Peter </w:t>
      </w:r>
      <w:proofErr w:type="spellStart"/>
      <w:r>
        <w:t>Rundell</w:t>
      </w:r>
      <w:proofErr w:type="spellEnd"/>
    </w:p>
    <w:p w14:paraId="1D9D74EE" w14:textId="77777777" w:rsidR="00325731" w:rsidRDefault="00325731" w:rsidP="00E04302">
      <w:pPr>
        <w:spacing w:after="0"/>
      </w:pPr>
      <w:r>
        <w:t>Director</w:t>
      </w:r>
    </w:p>
    <w:p w14:paraId="056FA74A" w14:textId="2AD0F775" w:rsidR="00A7170F" w:rsidRPr="00281065" w:rsidRDefault="00325731" w:rsidP="00E04302">
      <w:pPr>
        <w:spacing w:after="0"/>
        <w:rPr>
          <w:color w:val="000000"/>
        </w:rPr>
      </w:pPr>
      <w:r>
        <w:rPr>
          <w:color w:val="000000"/>
        </w:rPr>
        <w:t xml:space="preserve">HELP Integrity and Superannuation </w:t>
      </w:r>
      <w:r w:rsidR="00281065">
        <w:rPr>
          <w:color w:val="000000"/>
        </w:rPr>
        <w:t xml:space="preserve">| </w:t>
      </w:r>
      <w:r w:rsidR="00A7170F">
        <w:t>HELP and Provider Integrity</w:t>
      </w:r>
      <w:r w:rsidR="00A7170F" w:rsidRPr="0040075B">
        <w:t xml:space="preserve"> Branch</w:t>
      </w:r>
    </w:p>
    <w:p w14:paraId="4BEF647E" w14:textId="5010A111" w:rsidR="006B3E95" w:rsidRPr="0040075B" w:rsidRDefault="006B3E95" w:rsidP="00E04302">
      <w:pPr>
        <w:spacing w:after="0"/>
      </w:pPr>
      <w:r>
        <w:t xml:space="preserve">Higher Education </w:t>
      </w:r>
      <w:r w:rsidR="00004025">
        <w:t>Division</w:t>
      </w:r>
    </w:p>
    <w:p w14:paraId="491A204A" w14:textId="1A254EF6" w:rsidR="00A7170F" w:rsidRPr="0040075B" w:rsidRDefault="00281065" w:rsidP="00E04302">
      <w:pPr>
        <w:spacing w:after="0"/>
      </w:pPr>
      <w:r>
        <w:t xml:space="preserve">Australian Government </w:t>
      </w:r>
      <w:r w:rsidR="00A7170F" w:rsidRPr="0040075B">
        <w:t>Department of Education</w:t>
      </w:r>
      <w:r w:rsidR="00004025">
        <w:t>, Skills and Employment</w:t>
      </w:r>
    </w:p>
    <w:p w14:paraId="2D33F62D" w14:textId="36F19F35" w:rsidR="00E86525" w:rsidRDefault="00A7170F" w:rsidP="00E04302">
      <w:pPr>
        <w:spacing w:after="0"/>
      </w:pPr>
      <w:r w:rsidRPr="007059D4">
        <w:t xml:space="preserve">Phone: (02) </w:t>
      </w:r>
      <w:r w:rsidR="005310E5" w:rsidRPr="00C65842">
        <w:t>6240 2514</w:t>
      </w:r>
      <w:r w:rsidRPr="007059D4">
        <w:t xml:space="preserve"> or email</w:t>
      </w:r>
      <w:r w:rsidRPr="0040075B">
        <w:t xml:space="preserve">: </w:t>
      </w:r>
      <w:hyperlink r:id="rId20" w:history="1">
        <w:r w:rsidRPr="0040075B">
          <w:rPr>
            <w:rStyle w:val="Hyperlink"/>
          </w:rPr>
          <w:t>ppfinance@</w:t>
        </w:r>
        <w:r w:rsidR="00004025">
          <w:rPr>
            <w:rStyle w:val="Hyperlink"/>
          </w:rPr>
          <w:t>dese</w:t>
        </w:r>
        <w:r w:rsidRPr="0040075B">
          <w:rPr>
            <w:rStyle w:val="Hyperlink"/>
          </w:rPr>
          <w:t>.gov.au</w:t>
        </w:r>
      </w:hyperlink>
      <w:r>
        <w:br w:type="page"/>
      </w:r>
    </w:p>
    <w:p w14:paraId="10FA4CD8" w14:textId="77777777" w:rsidR="00FC35EB" w:rsidRDefault="00FC35EB" w:rsidP="002378BB">
      <w:pPr>
        <w:pStyle w:val="Source"/>
        <w:spacing w:after="240"/>
        <w:sectPr w:rsidR="00FC35EB" w:rsidSect="00C7098B">
          <w:headerReference w:type="default" r:id="rId21"/>
          <w:footerReference w:type="default" r:id="rId22"/>
          <w:type w:val="continuous"/>
          <w:pgSz w:w="11906" w:h="16838"/>
          <w:pgMar w:top="1440" w:right="1080" w:bottom="709" w:left="1080" w:header="708" w:footer="1011" w:gutter="0"/>
          <w:cols w:space="708"/>
          <w:docGrid w:linePitch="360"/>
        </w:sectPr>
      </w:pPr>
    </w:p>
    <w:p w14:paraId="46E028DE" w14:textId="37D40CED" w:rsidR="00BC1D21" w:rsidRPr="00D0226D" w:rsidRDefault="00301883" w:rsidP="00BC1D21">
      <w:pPr>
        <w:pStyle w:val="Heading1"/>
        <w:numPr>
          <w:ilvl w:val="0"/>
          <w:numId w:val="21"/>
        </w:numPr>
        <w:rPr>
          <w:rFonts w:eastAsia="Batang"/>
        </w:rPr>
      </w:pPr>
      <w:bookmarkStart w:id="24" w:name="_Toc534807526"/>
      <w:bookmarkStart w:id="25" w:name="_Toc26188555"/>
      <w:r>
        <w:rPr>
          <w:rFonts w:eastAsia="Batang"/>
        </w:rPr>
        <w:lastRenderedPageBreak/>
        <w:t>HEPs Included in this Publication</w:t>
      </w:r>
      <w:bookmarkEnd w:id="24"/>
      <w:bookmarkEnd w:id="25"/>
    </w:p>
    <w:p w14:paraId="5068893C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26" w:name="_Toc531167988"/>
      <w:r w:rsidRPr="00481173">
        <w:rPr>
          <w:b/>
          <w:color w:val="3C54A5" w:themeColor="accent1"/>
        </w:rPr>
        <w:t>New South Wales</w:t>
      </w:r>
      <w:bookmarkEnd w:id="26"/>
    </w:p>
    <w:p w14:paraId="5565A2EE" w14:textId="77777777" w:rsidR="00BC1D21" w:rsidRDefault="00BC1D21" w:rsidP="00BC1D21">
      <w:r w:rsidRPr="00D0226D">
        <w:t>Charles Sturt University</w:t>
      </w:r>
    </w:p>
    <w:p w14:paraId="37286006" w14:textId="77777777" w:rsidR="00BC1D21" w:rsidRDefault="00BC1D21" w:rsidP="00BC1D21">
      <w:r w:rsidRPr="00D0226D">
        <w:t>Macquarie University</w:t>
      </w:r>
    </w:p>
    <w:p w14:paraId="22F89EAC" w14:textId="77777777" w:rsidR="00BC1D21" w:rsidRDefault="00BC1D21" w:rsidP="00BC1D21">
      <w:r w:rsidRPr="00D0226D">
        <w:t>Southern Cross University</w:t>
      </w:r>
    </w:p>
    <w:p w14:paraId="36EBF3D1" w14:textId="77777777" w:rsidR="00BC1D21" w:rsidRDefault="00BC1D21" w:rsidP="00BC1D21">
      <w:r w:rsidRPr="00D0226D">
        <w:t>The University of New England</w:t>
      </w:r>
    </w:p>
    <w:p w14:paraId="14F56FC5" w14:textId="77777777" w:rsidR="00BC1D21" w:rsidRDefault="00BC1D21" w:rsidP="00BC1D21">
      <w:r w:rsidRPr="00D0226D">
        <w:t>The University of New South Wales</w:t>
      </w:r>
    </w:p>
    <w:p w14:paraId="26CDA00D" w14:textId="77777777" w:rsidR="00BC1D21" w:rsidRDefault="00BC1D21" w:rsidP="00BC1D21">
      <w:r w:rsidRPr="00D0226D">
        <w:t>The University of Newcastle</w:t>
      </w:r>
    </w:p>
    <w:p w14:paraId="3981D123" w14:textId="77777777" w:rsidR="00BC1D21" w:rsidRDefault="00BC1D21" w:rsidP="00BC1D21">
      <w:r w:rsidRPr="00D0226D">
        <w:t>The University of Sydney</w:t>
      </w:r>
    </w:p>
    <w:p w14:paraId="44411151" w14:textId="77777777" w:rsidR="00BC1D21" w:rsidRDefault="00BC1D21" w:rsidP="00BC1D21">
      <w:r>
        <w:t>University of Technology</w:t>
      </w:r>
      <w:r w:rsidRPr="00D0226D">
        <w:t xml:space="preserve"> Sydney</w:t>
      </w:r>
    </w:p>
    <w:p w14:paraId="0F4235F5" w14:textId="77777777" w:rsidR="00BC1D21" w:rsidRDefault="00BC1D21" w:rsidP="00BC1D21">
      <w:r w:rsidRPr="00D0226D">
        <w:t>University of Wollongong</w:t>
      </w:r>
    </w:p>
    <w:p w14:paraId="7A1CB032" w14:textId="77777777" w:rsidR="00BC1D21" w:rsidRDefault="00BC1D21" w:rsidP="00BC1D21">
      <w:r w:rsidRPr="00D0226D">
        <w:t>Western Sydney</w:t>
      </w:r>
      <w:r>
        <w:t xml:space="preserve"> University</w:t>
      </w:r>
    </w:p>
    <w:p w14:paraId="39A07735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27" w:name="_Toc531167989"/>
      <w:r w:rsidRPr="00481173">
        <w:rPr>
          <w:b/>
          <w:color w:val="3C54A5" w:themeColor="accent1"/>
        </w:rPr>
        <w:t>Victoria</w:t>
      </w:r>
      <w:bookmarkEnd w:id="27"/>
    </w:p>
    <w:p w14:paraId="5C0A0EA2" w14:textId="77B442A2" w:rsidR="00BC1D21" w:rsidRDefault="00BC1D21" w:rsidP="00BC1D21">
      <w:r>
        <w:t>Federation University</w:t>
      </w:r>
      <w:r w:rsidRPr="00D0226D">
        <w:t xml:space="preserve"> </w:t>
      </w:r>
      <w:r w:rsidR="00F70A86">
        <w:t>Australia</w:t>
      </w:r>
    </w:p>
    <w:p w14:paraId="08E049A7" w14:textId="77777777" w:rsidR="00BC1D21" w:rsidRDefault="00BC1D21" w:rsidP="00BC1D21">
      <w:r w:rsidRPr="00D0226D">
        <w:t>Deakin University</w:t>
      </w:r>
    </w:p>
    <w:p w14:paraId="1F763541" w14:textId="77777777" w:rsidR="00BC1D21" w:rsidRDefault="00BC1D21" w:rsidP="00BC1D21">
      <w:r w:rsidRPr="00D0226D">
        <w:t>La Trobe University</w:t>
      </w:r>
    </w:p>
    <w:p w14:paraId="14E5D130" w14:textId="77777777" w:rsidR="00BC1D21" w:rsidRDefault="00BC1D21" w:rsidP="00BC1D21">
      <w:r w:rsidRPr="00D0226D">
        <w:t>Monash University</w:t>
      </w:r>
    </w:p>
    <w:p w14:paraId="4F96D85B" w14:textId="77777777" w:rsidR="00BC1D21" w:rsidRDefault="00BC1D21" w:rsidP="00BC1D21">
      <w:r w:rsidRPr="00D0226D">
        <w:t>RMIT University</w:t>
      </w:r>
    </w:p>
    <w:p w14:paraId="68F7048E" w14:textId="77777777" w:rsidR="00BC1D21" w:rsidRDefault="00BC1D21" w:rsidP="00BC1D21">
      <w:r w:rsidRPr="00D0226D">
        <w:t>Swinburne University</w:t>
      </w:r>
    </w:p>
    <w:p w14:paraId="6776B232" w14:textId="77777777" w:rsidR="00BC1D21" w:rsidRDefault="00BC1D21" w:rsidP="00BC1D21">
      <w:r w:rsidRPr="00D0226D">
        <w:t>The University of Melbourne</w:t>
      </w:r>
    </w:p>
    <w:p w14:paraId="4F9F169C" w14:textId="77777777" w:rsidR="00BC1D21" w:rsidRDefault="00BC1D21" w:rsidP="00BC1D21">
      <w:r w:rsidRPr="00904A67">
        <w:t>Victoria University</w:t>
      </w:r>
    </w:p>
    <w:p w14:paraId="25332E79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28" w:name="_Toc531167990"/>
      <w:r w:rsidRPr="00481173">
        <w:rPr>
          <w:b/>
          <w:color w:val="3C54A5" w:themeColor="accent1"/>
        </w:rPr>
        <w:t>Queensland</w:t>
      </w:r>
      <w:bookmarkEnd w:id="28"/>
    </w:p>
    <w:p w14:paraId="378A9C98" w14:textId="77777777" w:rsidR="00BC1D21" w:rsidRDefault="00BC1D21" w:rsidP="00BC1D21">
      <w:r w:rsidRPr="00D0226D">
        <w:t>Central Queensland University</w:t>
      </w:r>
    </w:p>
    <w:p w14:paraId="5BA63561" w14:textId="77777777" w:rsidR="00BC1D21" w:rsidRDefault="00BC1D21" w:rsidP="00BC1D21">
      <w:r w:rsidRPr="00D0226D">
        <w:t>Griffith University</w:t>
      </w:r>
    </w:p>
    <w:p w14:paraId="125AB2FE" w14:textId="77777777" w:rsidR="00BC1D21" w:rsidRDefault="00BC1D21" w:rsidP="00BC1D21">
      <w:r w:rsidRPr="00D0226D">
        <w:t>James Cook University</w:t>
      </w:r>
    </w:p>
    <w:p w14:paraId="3C916B34" w14:textId="77777777" w:rsidR="00BC1D21" w:rsidRDefault="00BC1D21" w:rsidP="00BC1D21">
      <w:r w:rsidRPr="00D0226D">
        <w:t>Queensland University of Technology</w:t>
      </w:r>
    </w:p>
    <w:p w14:paraId="31CA74D2" w14:textId="77777777" w:rsidR="00BC1D21" w:rsidRDefault="00BC1D21" w:rsidP="00BC1D21">
      <w:r w:rsidRPr="00D0226D">
        <w:t>The University of Queensland</w:t>
      </w:r>
    </w:p>
    <w:p w14:paraId="3EF06857" w14:textId="77777777" w:rsidR="00BC1D21" w:rsidRDefault="00BC1D21" w:rsidP="00BC1D21">
      <w:r w:rsidRPr="00D0226D">
        <w:t>University of Southern Queensland</w:t>
      </w:r>
    </w:p>
    <w:p w14:paraId="27DFB975" w14:textId="77777777" w:rsidR="00BC1D21" w:rsidRDefault="00BC1D21" w:rsidP="00BC1D21">
      <w:r w:rsidRPr="00D0226D">
        <w:lastRenderedPageBreak/>
        <w:t>University of the Sunshine Coast</w:t>
      </w:r>
    </w:p>
    <w:p w14:paraId="4CDA8DE7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29" w:name="_Toc531167991"/>
      <w:r w:rsidRPr="00481173">
        <w:rPr>
          <w:b/>
          <w:color w:val="3C54A5" w:themeColor="accent1"/>
        </w:rPr>
        <w:t>Western Australia</w:t>
      </w:r>
      <w:bookmarkEnd w:id="29"/>
    </w:p>
    <w:p w14:paraId="7782ACEF" w14:textId="77777777" w:rsidR="00BC1D21" w:rsidRPr="005E3AC9" w:rsidRDefault="00BC1D21" w:rsidP="00BC1D21">
      <w:r w:rsidRPr="005E3AC9">
        <w:t>Curtin University of Technology</w:t>
      </w:r>
    </w:p>
    <w:p w14:paraId="6B313ABE" w14:textId="77777777" w:rsidR="00BC1D21" w:rsidRPr="005E3AC9" w:rsidRDefault="00BC1D21" w:rsidP="00BC1D21">
      <w:r w:rsidRPr="005E3AC9">
        <w:t>Edith Cowan University</w:t>
      </w:r>
    </w:p>
    <w:p w14:paraId="5AA776D8" w14:textId="77777777" w:rsidR="00BC1D21" w:rsidRPr="005E3AC9" w:rsidRDefault="00BC1D21" w:rsidP="00BC1D21">
      <w:r w:rsidRPr="005E3AC9">
        <w:t>Murdoch University</w:t>
      </w:r>
    </w:p>
    <w:p w14:paraId="658724FE" w14:textId="77777777" w:rsidR="00BC1D21" w:rsidRPr="005E3AC9" w:rsidRDefault="00BC1D21" w:rsidP="00BC1D21">
      <w:r w:rsidRPr="005E3AC9">
        <w:t>The University of Notre Dame Australia</w:t>
      </w:r>
    </w:p>
    <w:p w14:paraId="0CA30D07" w14:textId="77777777" w:rsidR="00BC1D21" w:rsidRPr="005E3AC9" w:rsidRDefault="00BC1D21" w:rsidP="00BC1D21">
      <w:r w:rsidRPr="005E3AC9">
        <w:t>The University of Western Australia</w:t>
      </w:r>
    </w:p>
    <w:p w14:paraId="66377678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0" w:name="_Toc531167992"/>
      <w:r w:rsidRPr="00481173">
        <w:rPr>
          <w:b/>
          <w:color w:val="3C54A5" w:themeColor="accent1"/>
        </w:rPr>
        <w:t>South Australia</w:t>
      </w:r>
      <w:bookmarkEnd w:id="30"/>
    </w:p>
    <w:p w14:paraId="78C8CAE2" w14:textId="77777777" w:rsidR="00BC1D21" w:rsidRPr="005E3AC9" w:rsidRDefault="00BC1D21" w:rsidP="00BC1D21">
      <w:r w:rsidRPr="005E3AC9">
        <w:t>The Flinders University of South Australia</w:t>
      </w:r>
    </w:p>
    <w:p w14:paraId="4A1C3284" w14:textId="77777777" w:rsidR="00BC1D21" w:rsidRPr="005E3AC9" w:rsidRDefault="00BC1D21" w:rsidP="00BC1D21">
      <w:r w:rsidRPr="005E3AC9">
        <w:t>The University of Adelaide</w:t>
      </w:r>
    </w:p>
    <w:p w14:paraId="36CAD9E1" w14:textId="77777777" w:rsidR="00BC1D21" w:rsidRPr="005E3AC9" w:rsidRDefault="00BC1D21" w:rsidP="00BC1D21">
      <w:r w:rsidRPr="005E3AC9">
        <w:t>University of South Australia</w:t>
      </w:r>
    </w:p>
    <w:p w14:paraId="1F15641B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1" w:name="_Toc531167993"/>
      <w:r w:rsidRPr="00481173">
        <w:rPr>
          <w:b/>
          <w:color w:val="3C54A5" w:themeColor="accent1"/>
        </w:rPr>
        <w:t>Tasmania</w:t>
      </w:r>
      <w:bookmarkEnd w:id="31"/>
    </w:p>
    <w:p w14:paraId="12AE31B5" w14:textId="77777777" w:rsidR="00BC1D21" w:rsidRPr="005E3AC9" w:rsidRDefault="00BC1D21" w:rsidP="00BC1D21">
      <w:r w:rsidRPr="005E3AC9">
        <w:t>University of Tasmania</w:t>
      </w:r>
    </w:p>
    <w:p w14:paraId="3FB5B4AF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2" w:name="_Toc531167994"/>
      <w:r w:rsidRPr="00481173">
        <w:rPr>
          <w:b/>
          <w:color w:val="3C54A5" w:themeColor="accent1"/>
        </w:rPr>
        <w:t>Northern Territory</w:t>
      </w:r>
      <w:bookmarkEnd w:id="32"/>
    </w:p>
    <w:p w14:paraId="38E185CD" w14:textId="77777777" w:rsidR="00BC1D21" w:rsidRPr="005E3AC9" w:rsidRDefault="00BC1D21" w:rsidP="00BC1D21">
      <w:r w:rsidRPr="005E3AC9">
        <w:t>Batchelor Institute of Indigenous Tertiary Education</w:t>
      </w:r>
    </w:p>
    <w:p w14:paraId="3ED6D659" w14:textId="77777777" w:rsidR="00BC1D21" w:rsidRPr="005E3AC9" w:rsidRDefault="00BC1D21" w:rsidP="00BC1D21">
      <w:r w:rsidRPr="005E3AC9">
        <w:t>Charles Darwin University</w:t>
      </w:r>
    </w:p>
    <w:p w14:paraId="52E9FC1B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3" w:name="_Toc531167995"/>
      <w:r w:rsidRPr="00481173">
        <w:rPr>
          <w:b/>
          <w:color w:val="3C54A5" w:themeColor="accent1"/>
        </w:rPr>
        <w:t>Australian Capital Territory</w:t>
      </w:r>
      <w:bookmarkEnd w:id="33"/>
    </w:p>
    <w:p w14:paraId="75798799" w14:textId="77777777" w:rsidR="00BC1D21" w:rsidRDefault="00BC1D21" w:rsidP="00BC1D21">
      <w:r w:rsidRPr="00D0226D">
        <w:t>The Australian National University</w:t>
      </w:r>
    </w:p>
    <w:p w14:paraId="5253F915" w14:textId="77777777" w:rsidR="00BC1D21" w:rsidRDefault="00BC1D21" w:rsidP="00BC1D21">
      <w:r w:rsidRPr="00D0226D">
        <w:t>University of Canberra</w:t>
      </w:r>
    </w:p>
    <w:p w14:paraId="7A87883F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4" w:name="_Toc531167996"/>
      <w:r w:rsidRPr="00481173">
        <w:rPr>
          <w:b/>
          <w:color w:val="3C54A5" w:themeColor="accent1"/>
        </w:rPr>
        <w:t>Multi State</w:t>
      </w:r>
      <w:bookmarkEnd w:id="34"/>
    </w:p>
    <w:p w14:paraId="3C82CF20" w14:textId="77777777" w:rsidR="00BC1D21" w:rsidRPr="00904A67" w:rsidRDefault="00BC1D21" w:rsidP="00BC1D21">
      <w:pPr>
        <w:rPr>
          <w:rFonts w:cs="Times New Roman"/>
        </w:rPr>
      </w:pPr>
      <w:r w:rsidRPr="00D0226D">
        <w:t>Australian Catholic University</w:t>
      </w:r>
    </w:p>
    <w:p w14:paraId="2DAFFBEA" w14:textId="66743F05" w:rsidR="00BC1D21" w:rsidRPr="006923B5" w:rsidRDefault="00BC1D21" w:rsidP="006923B5">
      <w:pPr>
        <w:rPr>
          <w:rFonts w:cstheme="minorHAnsi"/>
          <w:b/>
          <w:sz w:val="20"/>
          <w:szCs w:val="20"/>
        </w:rPr>
      </w:pPr>
    </w:p>
    <w:sectPr w:rsidR="00BC1D21" w:rsidRPr="006923B5" w:rsidSect="00BC1D21">
      <w:pgSz w:w="11906" w:h="16838"/>
      <w:pgMar w:top="1440" w:right="1080" w:bottom="709" w:left="1080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BE826" w14:textId="77777777" w:rsidR="00EF0FC8" w:rsidRDefault="00EF0FC8" w:rsidP="00130923">
      <w:pPr>
        <w:spacing w:after="0" w:line="240" w:lineRule="auto"/>
      </w:pPr>
      <w:r>
        <w:separator/>
      </w:r>
    </w:p>
  </w:endnote>
  <w:endnote w:type="continuationSeparator" w:id="0">
    <w:p w14:paraId="472F51C4" w14:textId="77777777" w:rsidR="00EF0FC8" w:rsidRDefault="00EF0FC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2C4F3" w14:textId="77777777" w:rsidR="00EF0FC8" w:rsidRDefault="00EF0FC8" w:rsidP="003242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9460" w14:textId="4EBB1D2C" w:rsidR="00EF0FC8" w:rsidRDefault="00FF623C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13919297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0FC8">
          <w:fldChar w:fldCharType="begin"/>
        </w:r>
        <w:r w:rsidR="00EF0FC8">
          <w:instrText xml:space="preserve"> PAGE   \* MERGEFORMAT </w:instrText>
        </w:r>
        <w:r w:rsidR="00EF0FC8">
          <w:fldChar w:fldCharType="separate"/>
        </w:r>
        <w:r w:rsidR="007D1B9C">
          <w:rPr>
            <w:noProof/>
          </w:rPr>
          <w:t>7</w:t>
        </w:r>
        <w:r w:rsidR="00EF0FC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91A20" w14:textId="77777777" w:rsidR="00EF0FC8" w:rsidRDefault="00EF0FC8" w:rsidP="00130923">
      <w:pPr>
        <w:spacing w:after="0" w:line="240" w:lineRule="auto"/>
      </w:pPr>
      <w:r>
        <w:separator/>
      </w:r>
    </w:p>
  </w:footnote>
  <w:footnote w:type="continuationSeparator" w:id="0">
    <w:p w14:paraId="52A7ADFC" w14:textId="77777777" w:rsidR="00EF0FC8" w:rsidRDefault="00EF0FC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9918B" w14:textId="77777777" w:rsidR="00EF0FC8" w:rsidRDefault="00EF0FC8" w:rsidP="00560CA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B2A9" w14:textId="53FFD0D0" w:rsidR="00EF0FC8" w:rsidRDefault="00EF0FC8" w:rsidP="00560CA0">
    <w:pPr>
      <w:pStyle w:val="Header"/>
      <w:jc w:val="right"/>
    </w:pPr>
    <w:r>
      <w:t>Finance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A82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E05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D00A8"/>
    <w:multiLevelType w:val="hybridMultilevel"/>
    <w:tmpl w:val="2F621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DA21FF"/>
    <w:multiLevelType w:val="hybridMultilevel"/>
    <w:tmpl w:val="163A02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BD5588"/>
    <w:multiLevelType w:val="hybridMultilevel"/>
    <w:tmpl w:val="22E03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D506D"/>
    <w:rsid w:val="00002721"/>
    <w:rsid w:val="00004025"/>
    <w:rsid w:val="00007BB6"/>
    <w:rsid w:val="00007E0C"/>
    <w:rsid w:val="00024E24"/>
    <w:rsid w:val="00034EAA"/>
    <w:rsid w:val="0004769E"/>
    <w:rsid w:val="00064443"/>
    <w:rsid w:val="00070261"/>
    <w:rsid w:val="000861A6"/>
    <w:rsid w:val="00086A5A"/>
    <w:rsid w:val="000A496F"/>
    <w:rsid w:val="000B20C1"/>
    <w:rsid w:val="000C042D"/>
    <w:rsid w:val="000C542E"/>
    <w:rsid w:val="000D044B"/>
    <w:rsid w:val="000D204F"/>
    <w:rsid w:val="000D7FD3"/>
    <w:rsid w:val="000E4E91"/>
    <w:rsid w:val="000E7E7B"/>
    <w:rsid w:val="000F1731"/>
    <w:rsid w:val="000F3BA2"/>
    <w:rsid w:val="000F6871"/>
    <w:rsid w:val="001022F1"/>
    <w:rsid w:val="00103B62"/>
    <w:rsid w:val="00116A60"/>
    <w:rsid w:val="001175BF"/>
    <w:rsid w:val="00120E56"/>
    <w:rsid w:val="00130923"/>
    <w:rsid w:val="00131AD7"/>
    <w:rsid w:val="00140940"/>
    <w:rsid w:val="001414F3"/>
    <w:rsid w:val="00143FCD"/>
    <w:rsid w:val="00144E5E"/>
    <w:rsid w:val="001456B4"/>
    <w:rsid w:val="00146E34"/>
    <w:rsid w:val="001634B3"/>
    <w:rsid w:val="00171F2A"/>
    <w:rsid w:val="00176FAD"/>
    <w:rsid w:val="00182196"/>
    <w:rsid w:val="00183F77"/>
    <w:rsid w:val="00193FE0"/>
    <w:rsid w:val="00195E7A"/>
    <w:rsid w:val="001966DF"/>
    <w:rsid w:val="00196B89"/>
    <w:rsid w:val="001976A3"/>
    <w:rsid w:val="001A1776"/>
    <w:rsid w:val="001A3567"/>
    <w:rsid w:val="001A39F7"/>
    <w:rsid w:val="001A7D0F"/>
    <w:rsid w:val="001B6467"/>
    <w:rsid w:val="001D0569"/>
    <w:rsid w:val="001D2C41"/>
    <w:rsid w:val="001D79B3"/>
    <w:rsid w:val="001E6FB8"/>
    <w:rsid w:val="001F7C9E"/>
    <w:rsid w:val="002021B3"/>
    <w:rsid w:val="00206607"/>
    <w:rsid w:val="00210AFA"/>
    <w:rsid w:val="00216BE0"/>
    <w:rsid w:val="00217350"/>
    <w:rsid w:val="002232E4"/>
    <w:rsid w:val="00223EB1"/>
    <w:rsid w:val="0022458E"/>
    <w:rsid w:val="00226211"/>
    <w:rsid w:val="00236917"/>
    <w:rsid w:val="002378BB"/>
    <w:rsid w:val="00243D6B"/>
    <w:rsid w:val="002445BC"/>
    <w:rsid w:val="00252563"/>
    <w:rsid w:val="00255CB5"/>
    <w:rsid w:val="00255DC9"/>
    <w:rsid w:val="002570AF"/>
    <w:rsid w:val="002634EF"/>
    <w:rsid w:val="00280869"/>
    <w:rsid w:val="00281065"/>
    <w:rsid w:val="00283903"/>
    <w:rsid w:val="00286D85"/>
    <w:rsid w:val="002900D6"/>
    <w:rsid w:val="002A5916"/>
    <w:rsid w:val="002A5957"/>
    <w:rsid w:val="002B06E6"/>
    <w:rsid w:val="002B37E4"/>
    <w:rsid w:val="002B5DF4"/>
    <w:rsid w:val="002B7EF9"/>
    <w:rsid w:val="002C3AA1"/>
    <w:rsid w:val="002D07E1"/>
    <w:rsid w:val="002D271F"/>
    <w:rsid w:val="002D6386"/>
    <w:rsid w:val="002F1999"/>
    <w:rsid w:val="002F5011"/>
    <w:rsid w:val="002F5C19"/>
    <w:rsid w:val="00301883"/>
    <w:rsid w:val="00305B35"/>
    <w:rsid w:val="00311201"/>
    <w:rsid w:val="003119D9"/>
    <w:rsid w:val="003155A7"/>
    <w:rsid w:val="003166C5"/>
    <w:rsid w:val="00323D42"/>
    <w:rsid w:val="003242B9"/>
    <w:rsid w:val="00325731"/>
    <w:rsid w:val="00355F64"/>
    <w:rsid w:val="00360814"/>
    <w:rsid w:val="00361DEB"/>
    <w:rsid w:val="003751C9"/>
    <w:rsid w:val="0038181E"/>
    <w:rsid w:val="003979FC"/>
    <w:rsid w:val="003B089A"/>
    <w:rsid w:val="003B143A"/>
    <w:rsid w:val="003B788C"/>
    <w:rsid w:val="003C1224"/>
    <w:rsid w:val="003D24A8"/>
    <w:rsid w:val="003D67FC"/>
    <w:rsid w:val="003E1D57"/>
    <w:rsid w:val="003E273C"/>
    <w:rsid w:val="003E2C74"/>
    <w:rsid w:val="003E5479"/>
    <w:rsid w:val="003E6CED"/>
    <w:rsid w:val="00403889"/>
    <w:rsid w:val="00403C7A"/>
    <w:rsid w:val="00403D3F"/>
    <w:rsid w:val="00406E5A"/>
    <w:rsid w:val="00413FCD"/>
    <w:rsid w:val="00414730"/>
    <w:rsid w:val="00417D29"/>
    <w:rsid w:val="00425195"/>
    <w:rsid w:val="0042521C"/>
    <w:rsid w:val="00433C25"/>
    <w:rsid w:val="0043554D"/>
    <w:rsid w:val="0044530A"/>
    <w:rsid w:val="00453BB2"/>
    <w:rsid w:val="004542D7"/>
    <w:rsid w:val="00455B34"/>
    <w:rsid w:val="0047478C"/>
    <w:rsid w:val="00481F02"/>
    <w:rsid w:val="00484EE2"/>
    <w:rsid w:val="004873FE"/>
    <w:rsid w:val="0048762C"/>
    <w:rsid w:val="004A1932"/>
    <w:rsid w:val="004A42B9"/>
    <w:rsid w:val="004A43EE"/>
    <w:rsid w:val="004B256F"/>
    <w:rsid w:val="004C1268"/>
    <w:rsid w:val="004C5692"/>
    <w:rsid w:val="004D55D7"/>
    <w:rsid w:val="004F4713"/>
    <w:rsid w:val="00507330"/>
    <w:rsid w:val="005113B6"/>
    <w:rsid w:val="005154D9"/>
    <w:rsid w:val="00530AB7"/>
    <w:rsid w:val="00530EFB"/>
    <w:rsid w:val="005310E5"/>
    <w:rsid w:val="00531817"/>
    <w:rsid w:val="00532924"/>
    <w:rsid w:val="00535F4E"/>
    <w:rsid w:val="00543E62"/>
    <w:rsid w:val="00560CA0"/>
    <w:rsid w:val="0056228E"/>
    <w:rsid w:val="005624F3"/>
    <w:rsid w:val="005646E2"/>
    <w:rsid w:val="00572563"/>
    <w:rsid w:val="00575C0E"/>
    <w:rsid w:val="005805B6"/>
    <w:rsid w:val="005811EF"/>
    <w:rsid w:val="005823EE"/>
    <w:rsid w:val="005A5A65"/>
    <w:rsid w:val="005B0878"/>
    <w:rsid w:val="005B0DBA"/>
    <w:rsid w:val="005B1AE6"/>
    <w:rsid w:val="005B4AEB"/>
    <w:rsid w:val="005C15C0"/>
    <w:rsid w:val="005E30CD"/>
    <w:rsid w:val="005E4607"/>
    <w:rsid w:val="00610654"/>
    <w:rsid w:val="006130E5"/>
    <w:rsid w:val="00622276"/>
    <w:rsid w:val="0062518D"/>
    <w:rsid w:val="006318B9"/>
    <w:rsid w:val="00636188"/>
    <w:rsid w:val="0067026C"/>
    <w:rsid w:val="006846C9"/>
    <w:rsid w:val="006923B5"/>
    <w:rsid w:val="00693812"/>
    <w:rsid w:val="006938EA"/>
    <w:rsid w:val="00695538"/>
    <w:rsid w:val="006B3E95"/>
    <w:rsid w:val="006C0838"/>
    <w:rsid w:val="006C1220"/>
    <w:rsid w:val="006D3A47"/>
    <w:rsid w:val="006E2D49"/>
    <w:rsid w:val="007059D4"/>
    <w:rsid w:val="00706C53"/>
    <w:rsid w:val="0071235D"/>
    <w:rsid w:val="00716A36"/>
    <w:rsid w:val="00723C74"/>
    <w:rsid w:val="00733775"/>
    <w:rsid w:val="007468FC"/>
    <w:rsid w:val="00757E3D"/>
    <w:rsid w:val="0076351A"/>
    <w:rsid w:val="007640CF"/>
    <w:rsid w:val="00792CA3"/>
    <w:rsid w:val="00792E8E"/>
    <w:rsid w:val="00794C45"/>
    <w:rsid w:val="0079554C"/>
    <w:rsid w:val="00797CBD"/>
    <w:rsid w:val="007A6346"/>
    <w:rsid w:val="007B0D6A"/>
    <w:rsid w:val="007B2FDD"/>
    <w:rsid w:val="007B5CF6"/>
    <w:rsid w:val="007C0ED9"/>
    <w:rsid w:val="007C3A66"/>
    <w:rsid w:val="007C49AB"/>
    <w:rsid w:val="007C4A35"/>
    <w:rsid w:val="007D1B9C"/>
    <w:rsid w:val="007D58FB"/>
    <w:rsid w:val="007E159F"/>
    <w:rsid w:val="007F392F"/>
    <w:rsid w:val="00804DA6"/>
    <w:rsid w:val="00806D3D"/>
    <w:rsid w:val="00810FBB"/>
    <w:rsid w:val="008132B3"/>
    <w:rsid w:val="008157C1"/>
    <w:rsid w:val="0082475A"/>
    <w:rsid w:val="0083468A"/>
    <w:rsid w:val="00842D43"/>
    <w:rsid w:val="0084628C"/>
    <w:rsid w:val="00856D1C"/>
    <w:rsid w:val="00864EDB"/>
    <w:rsid w:val="00871929"/>
    <w:rsid w:val="008721BD"/>
    <w:rsid w:val="00875049"/>
    <w:rsid w:val="00876AC0"/>
    <w:rsid w:val="00877BFE"/>
    <w:rsid w:val="00880974"/>
    <w:rsid w:val="00881162"/>
    <w:rsid w:val="00892FEE"/>
    <w:rsid w:val="008A08B5"/>
    <w:rsid w:val="008B1B15"/>
    <w:rsid w:val="008B2A63"/>
    <w:rsid w:val="008B622A"/>
    <w:rsid w:val="008B715E"/>
    <w:rsid w:val="008C10FA"/>
    <w:rsid w:val="008D07A1"/>
    <w:rsid w:val="008D0A17"/>
    <w:rsid w:val="008D26BA"/>
    <w:rsid w:val="008F2808"/>
    <w:rsid w:val="00903408"/>
    <w:rsid w:val="009071B4"/>
    <w:rsid w:val="009116EA"/>
    <w:rsid w:val="00914605"/>
    <w:rsid w:val="00920C92"/>
    <w:rsid w:val="00932A4C"/>
    <w:rsid w:val="00933671"/>
    <w:rsid w:val="00941220"/>
    <w:rsid w:val="0096472D"/>
    <w:rsid w:val="00971A12"/>
    <w:rsid w:val="00972BF7"/>
    <w:rsid w:val="00972DD5"/>
    <w:rsid w:val="00977648"/>
    <w:rsid w:val="009829C6"/>
    <w:rsid w:val="00984879"/>
    <w:rsid w:val="00985632"/>
    <w:rsid w:val="00991B63"/>
    <w:rsid w:val="009A1898"/>
    <w:rsid w:val="009A2A1E"/>
    <w:rsid w:val="009A66F1"/>
    <w:rsid w:val="009B2428"/>
    <w:rsid w:val="009B5CB7"/>
    <w:rsid w:val="009C0405"/>
    <w:rsid w:val="009C1DAD"/>
    <w:rsid w:val="009C555A"/>
    <w:rsid w:val="009D180B"/>
    <w:rsid w:val="009D3208"/>
    <w:rsid w:val="009D622B"/>
    <w:rsid w:val="009E154F"/>
    <w:rsid w:val="00A13F51"/>
    <w:rsid w:val="00A270A2"/>
    <w:rsid w:val="00A31242"/>
    <w:rsid w:val="00A32C7A"/>
    <w:rsid w:val="00A4031F"/>
    <w:rsid w:val="00A4382A"/>
    <w:rsid w:val="00A475CB"/>
    <w:rsid w:val="00A52530"/>
    <w:rsid w:val="00A53296"/>
    <w:rsid w:val="00A551BF"/>
    <w:rsid w:val="00A60C0C"/>
    <w:rsid w:val="00A70524"/>
    <w:rsid w:val="00A7170F"/>
    <w:rsid w:val="00A73406"/>
    <w:rsid w:val="00A85757"/>
    <w:rsid w:val="00A94C8E"/>
    <w:rsid w:val="00AA4840"/>
    <w:rsid w:val="00AB2D95"/>
    <w:rsid w:val="00AC65DA"/>
    <w:rsid w:val="00AC6CA0"/>
    <w:rsid w:val="00AD09E4"/>
    <w:rsid w:val="00AD33E4"/>
    <w:rsid w:val="00AD506D"/>
    <w:rsid w:val="00AE47E9"/>
    <w:rsid w:val="00AF0A59"/>
    <w:rsid w:val="00AF1737"/>
    <w:rsid w:val="00AF7A3E"/>
    <w:rsid w:val="00B02789"/>
    <w:rsid w:val="00B10AE0"/>
    <w:rsid w:val="00B1294F"/>
    <w:rsid w:val="00B15377"/>
    <w:rsid w:val="00B21AB2"/>
    <w:rsid w:val="00B2722A"/>
    <w:rsid w:val="00B32DC9"/>
    <w:rsid w:val="00B33103"/>
    <w:rsid w:val="00B33BAF"/>
    <w:rsid w:val="00B50E75"/>
    <w:rsid w:val="00B52A21"/>
    <w:rsid w:val="00B56D61"/>
    <w:rsid w:val="00B5795B"/>
    <w:rsid w:val="00B60C90"/>
    <w:rsid w:val="00B618BA"/>
    <w:rsid w:val="00B72F58"/>
    <w:rsid w:val="00BA282D"/>
    <w:rsid w:val="00BA4D57"/>
    <w:rsid w:val="00BB415D"/>
    <w:rsid w:val="00BB6260"/>
    <w:rsid w:val="00BB65E7"/>
    <w:rsid w:val="00BC1D21"/>
    <w:rsid w:val="00BC350B"/>
    <w:rsid w:val="00BD0EBE"/>
    <w:rsid w:val="00BD618E"/>
    <w:rsid w:val="00BF7180"/>
    <w:rsid w:val="00C05E74"/>
    <w:rsid w:val="00C0720C"/>
    <w:rsid w:val="00C10C19"/>
    <w:rsid w:val="00C11FBB"/>
    <w:rsid w:val="00C143B8"/>
    <w:rsid w:val="00C147FF"/>
    <w:rsid w:val="00C14993"/>
    <w:rsid w:val="00C17D02"/>
    <w:rsid w:val="00C23ECD"/>
    <w:rsid w:val="00C27515"/>
    <w:rsid w:val="00C30768"/>
    <w:rsid w:val="00C35A00"/>
    <w:rsid w:val="00C36524"/>
    <w:rsid w:val="00C5649C"/>
    <w:rsid w:val="00C604E3"/>
    <w:rsid w:val="00C6373C"/>
    <w:rsid w:val="00C65842"/>
    <w:rsid w:val="00C7098B"/>
    <w:rsid w:val="00C732E9"/>
    <w:rsid w:val="00C73D65"/>
    <w:rsid w:val="00C7479B"/>
    <w:rsid w:val="00C74C42"/>
    <w:rsid w:val="00C75486"/>
    <w:rsid w:val="00C803C9"/>
    <w:rsid w:val="00C8202C"/>
    <w:rsid w:val="00C833F2"/>
    <w:rsid w:val="00C837E6"/>
    <w:rsid w:val="00C84E0C"/>
    <w:rsid w:val="00C91E96"/>
    <w:rsid w:val="00C92A5B"/>
    <w:rsid w:val="00CA0D54"/>
    <w:rsid w:val="00CA0DC6"/>
    <w:rsid w:val="00CA46EC"/>
    <w:rsid w:val="00CC4FD4"/>
    <w:rsid w:val="00CD300F"/>
    <w:rsid w:val="00CD78D6"/>
    <w:rsid w:val="00CE0F0B"/>
    <w:rsid w:val="00CF6FA5"/>
    <w:rsid w:val="00D01FC3"/>
    <w:rsid w:val="00D05B29"/>
    <w:rsid w:val="00D101A1"/>
    <w:rsid w:val="00D1394D"/>
    <w:rsid w:val="00D20639"/>
    <w:rsid w:val="00D20A1B"/>
    <w:rsid w:val="00D35FEA"/>
    <w:rsid w:val="00D429F6"/>
    <w:rsid w:val="00D450E1"/>
    <w:rsid w:val="00D47740"/>
    <w:rsid w:val="00D60660"/>
    <w:rsid w:val="00D65BA9"/>
    <w:rsid w:val="00D67E43"/>
    <w:rsid w:val="00D738EE"/>
    <w:rsid w:val="00D812B9"/>
    <w:rsid w:val="00D903FD"/>
    <w:rsid w:val="00D933E8"/>
    <w:rsid w:val="00D94BC5"/>
    <w:rsid w:val="00D96C08"/>
    <w:rsid w:val="00DA62D5"/>
    <w:rsid w:val="00DB4D78"/>
    <w:rsid w:val="00DC14A2"/>
    <w:rsid w:val="00DC3052"/>
    <w:rsid w:val="00DF46C4"/>
    <w:rsid w:val="00DF4CA3"/>
    <w:rsid w:val="00DF7F39"/>
    <w:rsid w:val="00E02552"/>
    <w:rsid w:val="00E02B7B"/>
    <w:rsid w:val="00E04302"/>
    <w:rsid w:val="00E06285"/>
    <w:rsid w:val="00E1283D"/>
    <w:rsid w:val="00E223B2"/>
    <w:rsid w:val="00E2382D"/>
    <w:rsid w:val="00E30714"/>
    <w:rsid w:val="00E325F6"/>
    <w:rsid w:val="00E367C0"/>
    <w:rsid w:val="00E376D2"/>
    <w:rsid w:val="00E44554"/>
    <w:rsid w:val="00E4554B"/>
    <w:rsid w:val="00E47D06"/>
    <w:rsid w:val="00E64817"/>
    <w:rsid w:val="00E842B4"/>
    <w:rsid w:val="00E86525"/>
    <w:rsid w:val="00E944EB"/>
    <w:rsid w:val="00E961E7"/>
    <w:rsid w:val="00EA1639"/>
    <w:rsid w:val="00EA5BBE"/>
    <w:rsid w:val="00EB32A1"/>
    <w:rsid w:val="00EC78E7"/>
    <w:rsid w:val="00ED43D2"/>
    <w:rsid w:val="00ED7FF2"/>
    <w:rsid w:val="00EE0B22"/>
    <w:rsid w:val="00EE3B8C"/>
    <w:rsid w:val="00EF0FC8"/>
    <w:rsid w:val="00EF4A38"/>
    <w:rsid w:val="00EF5845"/>
    <w:rsid w:val="00F068C3"/>
    <w:rsid w:val="00F11B8F"/>
    <w:rsid w:val="00F12B80"/>
    <w:rsid w:val="00F15617"/>
    <w:rsid w:val="00F22C38"/>
    <w:rsid w:val="00F265B4"/>
    <w:rsid w:val="00F42593"/>
    <w:rsid w:val="00F468E2"/>
    <w:rsid w:val="00F47193"/>
    <w:rsid w:val="00F567F1"/>
    <w:rsid w:val="00F67C5F"/>
    <w:rsid w:val="00F70A86"/>
    <w:rsid w:val="00F7175F"/>
    <w:rsid w:val="00F74011"/>
    <w:rsid w:val="00F8078D"/>
    <w:rsid w:val="00F80CFC"/>
    <w:rsid w:val="00F82452"/>
    <w:rsid w:val="00F868C5"/>
    <w:rsid w:val="00F92885"/>
    <w:rsid w:val="00F97D25"/>
    <w:rsid w:val="00FB10CB"/>
    <w:rsid w:val="00FB2720"/>
    <w:rsid w:val="00FB4719"/>
    <w:rsid w:val="00FC35EB"/>
    <w:rsid w:val="00FC6BCD"/>
    <w:rsid w:val="00FD1849"/>
    <w:rsid w:val="00FD20B5"/>
    <w:rsid w:val="00FD5D8B"/>
    <w:rsid w:val="00FE3E87"/>
    <w:rsid w:val="00FF20C8"/>
    <w:rsid w:val="00FF56F9"/>
    <w:rsid w:val="00FF606D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094699F1"/>
  <w15:docId w15:val="{9D61BE94-786B-431A-800C-446475DF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E376D2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semiHidden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3E273C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E376D2"/>
    <w:rPr>
      <w:color w:val="522761" w:themeColor="accent4"/>
    </w:rPr>
  </w:style>
  <w:style w:type="table" w:styleId="ColorfulGrid-Accent1">
    <w:name w:val="Colorful Grid Accent 1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EF" w:themeFill="accent1" w:themeFillTint="33"/>
    </w:tcPr>
    <w:tblStylePr w:type="firstRow">
      <w:rPr>
        <w:b/>
        <w:bCs/>
      </w:rPr>
      <w:tblPr/>
      <w:tcPr>
        <w:shd w:val="clear" w:color="auto" w:fill="ABB7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D3E7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D3E7B" w:themeFill="accent1" w:themeFillShade="BF"/>
      </w:tcPr>
    </w:tblStylePr>
    <w:tblStylePr w:type="band1Vert">
      <w:tblPr/>
      <w:tcPr>
        <w:shd w:val="clear" w:color="auto" w:fill="96A5D9" w:themeFill="accent1" w:themeFillTint="7F"/>
      </w:tcPr>
    </w:tblStylePr>
    <w:tblStylePr w:type="band1Horz">
      <w:tblPr/>
      <w:tcPr>
        <w:shd w:val="clear" w:color="auto" w:fill="96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DE0" w:themeFill="accent2" w:themeFillTint="33"/>
    </w:tcPr>
    <w:tblStylePr w:type="firstRow">
      <w:rPr>
        <w:b/>
        <w:bCs/>
      </w:rPr>
      <w:tblPr/>
      <w:tcPr>
        <w:shd w:val="clear" w:color="auto" w:fill="B8BB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BB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41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4148" w:themeFill="accent2" w:themeFillShade="BF"/>
      </w:tcPr>
    </w:tblStylePr>
    <w:tblStylePr w:type="band1Vert">
      <w:tblPr/>
      <w:tcPr>
        <w:shd w:val="clear" w:color="auto" w:fill="A7AAB3" w:themeFill="accent2" w:themeFillTint="7F"/>
      </w:tcPr>
    </w:tblStylePr>
    <w:tblStylePr w:type="band1Horz">
      <w:tblPr/>
      <w:tcPr>
        <w:shd w:val="clear" w:color="auto" w:fill="A7AA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F" w:themeFill="accent3" w:themeFillTint="33"/>
    </w:tcPr>
    <w:tblStylePr w:type="firstRow">
      <w:rPr>
        <w:b/>
        <w:bCs/>
      </w:rPr>
      <w:tblPr/>
      <w:tcPr>
        <w:shd w:val="clear" w:color="auto" w:fill="F7DC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C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7E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7E0E" w:themeFill="accent3" w:themeFillShade="BF"/>
      </w:tcPr>
    </w:tblStylePr>
    <w:tblStylePr w:type="band1Vert">
      <w:tblPr/>
      <w:tcPr>
        <w:shd w:val="clear" w:color="auto" w:fill="F5D488" w:themeFill="accent3" w:themeFillTint="7F"/>
      </w:tcPr>
    </w:tblStylePr>
    <w:tblStylePr w:type="band1Horz">
      <w:tblPr/>
      <w:tcPr>
        <w:shd w:val="clear" w:color="auto" w:fill="F5D48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C9E9" w:themeFill="accent4" w:themeFillTint="33"/>
    </w:tcPr>
    <w:tblStylePr w:type="firstRow">
      <w:rPr>
        <w:b/>
        <w:bCs/>
      </w:rPr>
      <w:tblPr/>
      <w:tcPr>
        <w:shd w:val="clear" w:color="auto" w:fill="C394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94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D1D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D1D48" w:themeFill="accent4" w:themeFillShade="BF"/>
      </w:tcPr>
    </w:tblStylePr>
    <w:tblStylePr w:type="band1Vert">
      <w:tblPr/>
      <w:tcPr>
        <w:shd w:val="clear" w:color="auto" w:fill="B57AC9" w:themeFill="accent4" w:themeFillTint="7F"/>
      </w:tcPr>
    </w:tblStylePr>
    <w:tblStylePr w:type="band1Horz">
      <w:tblPr/>
      <w:tcPr>
        <w:shd w:val="clear" w:color="auto" w:fill="B57AC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EF" w:themeFill="accent5" w:themeFillTint="33"/>
    </w:tcPr>
    <w:tblStylePr w:type="firstRow">
      <w:rPr>
        <w:b/>
        <w:bCs/>
      </w:rPr>
      <w:tblPr/>
      <w:tcPr>
        <w:shd w:val="clear" w:color="auto" w:fill="AB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3E7B" w:themeFill="accent5" w:themeFillShade="BF"/>
      </w:tcPr>
    </w:tblStylePr>
    <w:tblStylePr w:type="band1Vert">
      <w:tblPr/>
      <w:tcPr>
        <w:shd w:val="clear" w:color="auto" w:fill="96A5D9" w:themeFill="accent5" w:themeFillTint="7F"/>
      </w:tcPr>
    </w:tblStylePr>
    <w:tblStylePr w:type="band1Horz">
      <w:tblPr/>
      <w:tcPr>
        <w:shd w:val="clear" w:color="auto" w:fill="96A5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DE0" w:themeFill="accent6" w:themeFillTint="33"/>
    </w:tcPr>
    <w:tblStylePr w:type="firstRow">
      <w:rPr>
        <w:b/>
        <w:bCs/>
      </w:rPr>
      <w:tblPr/>
      <w:tcPr>
        <w:shd w:val="clear" w:color="auto" w:fill="B8BBC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BB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F4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F4148" w:themeFill="accent6" w:themeFillShade="BF"/>
      </w:tcPr>
    </w:tblStylePr>
    <w:tblStylePr w:type="band1Vert">
      <w:tblPr/>
      <w:tcPr>
        <w:shd w:val="clear" w:color="auto" w:fill="A7AAB3" w:themeFill="accent6" w:themeFillTint="7F"/>
      </w:tcPr>
    </w:tblStylePr>
    <w:tblStylePr w:type="band1Horz">
      <w:tblPr/>
      <w:tcPr>
        <w:shd w:val="clear" w:color="auto" w:fill="A7AAB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64D" w:themeFill="accent2" w:themeFillShade="CC"/>
      </w:tcPr>
    </w:tblStylePr>
    <w:tblStylePr w:type="lastRow">
      <w:rPr>
        <w:b/>
        <w:bCs/>
        <w:color w:val="4346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64D" w:themeFill="accent2" w:themeFillShade="CC"/>
      </w:tcPr>
    </w:tblStylePr>
    <w:tblStylePr w:type="lastRow">
      <w:rPr>
        <w:b/>
        <w:bCs/>
        <w:color w:val="4346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EC" w:themeFill="accent1" w:themeFillTint="3F"/>
      </w:tcPr>
    </w:tblStylePr>
    <w:tblStylePr w:type="band1Horz">
      <w:tblPr/>
      <w:tcPr>
        <w:shd w:val="clear" w:color="auto" w:fill="D5DB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E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64D" w:themeFill="accent2" w:themeFillShade="CC"/>
      </w:tcPr>
    </w:tblStylePr>
    <w:tblStylePr w:type="lastRow">
      <w:rPr>
        <w:b/>
        <w:bCs/>
        <w:color w:val="4346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5D9" w:themeFill="accent2" w:themeFillTint="3F"/>
      </w:tcPr>
    </w:tblStylePr>
    <w:tblStylePr w:type="band1Horz">
      <w:tblPr/>
      <w:tcPr>
        <w:shd w:val="clear" w:color="auto" w:fill="DBDD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1F4D" w:themeFill="accent4" w:themeFillShade="CC"/>
      </w:tcPr>
    </w:tblStylePr>
    <w:tblStylePr w:type="lastRow">
      <w:rPr>
        <w:b/>
        <w:bCs/>
        <w:color w:val="411F4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C3" w:themeFill="accent3" w:themeFillTint="3F"/>
      </w:tcPr>
    </w:tblStylePr>
    <w:tblStylePr w:type="band1Horz">
      <w:tblPr/>
      <w:tcPr>
        <w:shd w:val="clear" w:color="auto" w:fill="FBED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860F" w:themeFill="accent3" w:themeFillShade="CC"/>
      </w:tcPr>
    </w:tblStylePr>
    <w:tblStylePr w:type="lastRow">
      <w:rPr>
        <w:b/>
        <w:bCs/>
        <w:color w:val="BA86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BCE4" w:themeFill="accent4" w:themeFillTint="3F"/>
      </w:tcPr>
    </w:tblStylePr>
    <w:tblStylePr w:type="band1Horz">
      <w:tblPr/>
      <w:tcPr>
        <w:shd w:val="clear" w:color="auto" w:fill="E1C9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64D" w:themeFill="accent6" w:themeFillShade="CC"/>
      </w:tcPr>
    </w:tblStylePr>
    <w:tblStylePr w:type="lastRow">
      <w:rPr>
        <w:b/>
        <w:bCs/>
        <w:color w:val="4346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EC" w:themeFill="accent5" w:themeFillTint="3F"/>
      </w:tcPr>
    </w:tblStylePr>
    <w:tblStylePr w:type="band1Horz">
      <w:tblPr/>
      <w:tcPr>
        <w:shd w:val="clear" w:color="auto" w:fill="D5D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E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384" w:themeFill="accent5" w:themeFillShade="CC"/>
      </w:tcPr>
    </w:tblStylePr>
    <w:tblStylePr w:type="lastRow">
      <w:rPr>
        <w:b/>
        <w:bCs/>
        <w:color w:val="3043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5D9" w:themeFill="accent6" w:themeFillTint="3F"/>
      </w:tcPr>
    </w:tblStylePr>
    <w:tblStylePr w:type="band1Horz">
      <w:tblPr/>
      <w:tcPr>
        <w:shd w:val="clear" w:color="auto" w:fill="DBDD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586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8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5861" w:themeColor="accent2"/>
        <w:left w:val="single" w:sz="4" w:space="0" w:color="3C54A5" w:themeColor="accent1"/>
        <w:bottom w:val="single" w:sz="4" w:space="0" w:color="3C54A5" w:themeColor="accent1"/>
        <w:right w:val="single" w:sz="4" w:space="0" w:color="3C54A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8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26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263" w:themeColor="accent1" w:themeShade="99"/>
          <w:insideV w:val="nil"/>
        </w:tcBorders>
        <w:shd w:val="clear" w:color="auto" w:fill="24326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263" w:themeFill="accent1" w:themeFillShade="99"/>
      </w:tcPr>
    </w:tblStylePr>
    <w:tblStylePr w:type="band1Vert">
      <w:tblPr/>
      <w:tcPr>
        <w:shd w:val="clear" w:color="auto" w:fill="ABB7E0" w:themeFill="accent1" w:themeFillTint="66"/>
      </w:tcPr>
    </w:tblStylePr>
    <w:tblStylePr w:type="band1Horz">
      <w:tblPr/>
      <w:tcPr>
        <w:shd w:val="clear" w:color="auto" w:fill="96A5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5861" w:themeColor="accent2"/>
        <w:left w:val="single" w:sz="4" w:space="0" w:color="545861" w:themeColor="accent2"/>
        <w:bottom w:val="single" w:sz="4" w:space="0" w:color="545861" w:themeColor="accent2"/>
        <w:right w:val="single" w:sz="4" w:space="0" w:color="5458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8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4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43A" w:themeColor="accent2" w:themeShade="99"/>
          <w:insideV w:val="nil"/>
        </w:tcBorders>
        <w:shd w:val="clear" w:color="auto" w:fill="3234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43A" w:themeFill="accent2" w:themeFillShade="99"/>
      </w:tcPr>
    </w:tblStylePr>
    <w:tblStylePr w:type="band1Vert">
      <w:tblPr/>
      <w:tcPr>
        <w:shd w:val="clear" w:color="auto" w:fill="B8BBC2" w:themeFill="accent2" w:themeFillTint="66"/>
      </w:tcPr>
    </w:tblStylePr>
    <w:tblStylePr w:type="band1Horz">
      <w:tblPr/>
      <w:tcPr>
        <w:shd w:val="clear" w:color="auto" w:fill="A7AA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22761" w:themeColor="accent4"/>
        <w:left w:val="single" w:sz="4" w:space="0" w:color="E9A913" w:themeColor="accent3"/>
        <w:bottom w:val="single" w:sz="4" w:space="0" w:color="E9A913" w:themeColor="accent3"/>
        <w:right w:val="single" w:sz="4" w:space="0" w:color="E9A91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2276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64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640B" w:themeColor="accent3" w:themeShade="99"/>
          <w:insideV w:val="nil"/>
        </w:tcBorders>
        <w:shd w:val="clear" w:color="auto" w:fill="8B64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640B" w:themeFill="accent3" w:themeFillShade="99"/>
      </w:tcPr>
    </w:tblStylePr>
    <w:tblStylePr w:type="band1Vert">
      <w:tblPr/>
      <w:tcPr>
        <w:shd w:val="clear" w:color="auto" w:fill="F7DC9F" w:themeFill="accent3" w:themeFillTint="66"/>
      </w:tcPr>
    </w:tblStylePr>
    <w:tblStylePr w:type="band1Horz">
      <w:tblPr/>
      <w:tcPr>
        <w:shd w:val="clear" w:color="auto" w:fill="F5D48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A913" w:themeColor="accent3"/>
        <w:left w:val="single" w:sz="4" w:space="0" w:color="522761" w:themeColor="accent4"/>
        <w:bottom w:val="single" w:sz="4" w:space="0" w:color="522761" w:themeColor="accent4"/>
        <w:right w:val="single" w:sz="4" w:space="0" w:color="52276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A91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7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739" w:themeColor="accent4" w:themeShade="99"/>
          <w:insideV w:val="nil"/>
        </w:tcBorders>
        <w:shd w:val="clear" w:color="auto" w:fill="3017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739" w:themeFill="accent4" w:themeFillShade="99"/>
      </w:tcPr>
    </w:tblStylePr>
    <w:tblStylePr w:type="band1Vert">
      <w:tblPr/>
      <w:tcPr>
        <w:shd w:val="clear" w:color="auto" w:fill="C394D4" w:themeFill="accent4" w:themeFillTint="66"/>
      </w:tcPr>
    </w:tblStylePr>
    <w:tblStylePr w:type="band1Horz">
      <w:tblPr/>
      <w:tcPr>
        <w:shd w:val="clear" w:color="auto" w:fill="B57AC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5861" w:themeColor="accent6"/>
        <w:left w:val="single" w:sz="4" w:space="0" w:color="3C54A5" w:themeColor="accent5"/>
        <w:bottom w:val="single" w:sz="4" w:space="0" w:color="3C54A5" w:themeColor="accent5"/>
        <w:right w:val="single" w:sz="4" w:space="0" w:color="3C54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8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2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263" w:themeColor="accent5" w:themeShade="99"/>
          <w:insideV w:val="nil"/>
        </w:tcBorders>
        <w:shd w:val="clear" w:color="auto" w:fill="2432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263" w:themeFill="accent5" w:themeFillShade="99"/>
      </w:tcPr>
    </w:tblStylePr>
    <w:tblStylePr w:type="band1Vert">
      <w:tblPr/>
      <w:tcPr>
        <w:shd w:val="clear" w:color="auto" w:fill="ABB7E0" w:themeFill="accent5" w:themeFillTint="66"/>
      </w:tcPr>
    </w:tblStylePr>
    <w:tblStylePr w:type="band1Horz">
      <w:tblPr/>
      <w:tcPr>
        <w:shd w:val="clear" w:color="auto" w:fill="96A5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54A5" w:themeColor="accent5"/>
        <w:left w:val="single" w:sz="4" w:space="0" w:color="545861" w:themeColor="accent6"/>
        <w:bottom w:val="single" w:sz="4" w:space="0" w:color="545861" w:themeColor="accent6"/>
        <w:right w:val="single" w:sz="4" w:space="0" w:color="5458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54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4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43A" w:themeColor="accent6" w:themeShade="99"/>
          <w:insideV w:val="nil"/>
        </w:tcBorders>
        <w:shd w:val="clear" w:color="auto" w:fill="3234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43A" w:themeFill="accent6" w:themeFillShade="99"/>
      </w:tcPr>
    </w:tblStylePr>
    <w:tblStylePr w:type="band1Vert">
      <w:tblPr/>
      <w:tcPr>
        <w:shd w:val="clear" w:color="auto" w:fill="B8BBC2" w:themeFill="accent6" w:themeFillTint="66"/>
      </w:tcPr>
    </w:tblStylePr>
    <w:tblStylePr w:type="band1Horz">
      <w:tblPr/>
      <w:tcPr>
        <w:shd w:val="clear" w:color="auto" w:fill="A7AAB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54A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9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E7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E7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7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7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586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B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41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41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1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14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A91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53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7E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7E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E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E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2276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3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1D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1D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D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D4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54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58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B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4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4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148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3C54A5" w:themeColor="accent1"/>
        <w:left w:val="single" w:sz="8" w:space="0" w:color="3C54A5" w:themeColor="accent1"/>
        <w:bottom w:val="single" w:sz="8" w:space="0" w:color="3C54A5" w:themeColor="accent1"/>
        <w:right w:val="single" w:sz="8" w:space="0" w:color="3C54A5" w:themeColor="accent1"/>
        <w:insideH w:val="single" w:sz="8" w:space="0" w:color="3C54A5" w:themeColor="accent1"/>
        <w:insideV w:val="single" w:sz="8" w:space="0" w:color="3C54A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18" w:space="0" w:color="3C54A5" w:themeColor="accent1"/>
          <w:right w:val="single" w:sz="8" w:space="0" w:color="3C54A5" w:themeColor="accent1"/>
          <w:insideH w:val="nil"/>
          <w:insideV w:val="single" w:sz="8" w:space="0" w:color="3C54A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  <w:insideH w:val="nil"/>
          <w:insideV w:val="single" w:sz="8" w:space="0" w:color="3C54A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</w:tcPr>
    </w:tblStylePr>
    <w:tblStylePr w:type="band1Vert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  <w:shd w:val="clear" w:color="auto" w:fill="CBD2EC" w:themeFill="accent1" w:themeFillTint="3F"/>
      </w:tcPr>
    </w:tblStylePr>
    <w:tblStylePr w:type="band1Horz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  <w:insideV w:val="single" w:sz="8" w:space="0" w:color="3C54A5" w:themeColor="accent1"/>
        </w:tcBorders>
        <w:shd w:val="clear" w:color="auto" w:fill="CBD2EC" w:themeFill="accent1" w:themeFillTint="3F"/>
      </w:tcPr>
    </w:tblStylePr>
    <w:tblStylePr w:type="band2Horz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  <w:insideV w:val="single" w:sz="8" w:space="0" w:color="3C54A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45861" w:themeColor="accent2"/>
        <w:left w:val="single" w:sz="8" w:space="0" w:color="545861" w:themeColor="accent2"/>
        <w:bottom w:val="single" w:sz="8" w:space="0" w:color="545861" w:themeColor="accent2"/>
        <w:right w:val="single" w:sz="8" w:space="0" w:color="545861" w:themeColor="accent2"/>
        <w:insideH w:val="single" w:sz="8" w:space="0" w:color="545861" w:themeColor="accent2"/>
        <w:insideV w:val="single" w:sz="8" w:space="0" w:color="5458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18" w:space="0" w:color="545861" w:themeColor="accent2"/>
          <w:right w:val="single" w:sz="8" w:space="0" w:color="545861" w:themeColor="accent2"/>
          <w:insideH w:val="nil"/>
          <w:insideV w:val="single" w:sz="8" w:space="0" w:color="5458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  <w:insideH w:val="nil"/>
          <w:insideV w:val="single" w:sz="8" w:space="0" w:color="5458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</w:tcPr>
    </w:tblStylePr>
    <w:tblStylePr w:type="band1Vert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  <w:shd w:val="clear" w:color="auto" w:fill="D3D5D9" w:themeFill="accent2" w:themeFillTint="3F"/>
      </w:tcPr>
    </w:tblStylePr>
    <w:tblStylePr w:type="band1Horz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  <w:insideV w:val="single" w:sz="8" w:space="0" w:color="545861" w:themeColor="accent2"/>
        </w:tcBorders>
        <w:shd w:val="clear" w:color="auto" w:fill="D3D5D9" w:themeFill="accent2" w:themeFillTint="3F"/>
      </w:tcPr>
    </w:tblStylePr>
    <w:tblStylePr w:type="band2Horz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  <w:insideV w:val="single" w:sz="8" w:space="0" w:color="54586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E9A913" w:themeColor="accent3"/>
        <w:left w:val="single" w:sz="8" w:space="0" w:color="E9A913" w:themeColor="accent3"/>
        <w:bottom w:val="single" w:sz="8" w:space="0" w:color="E9A913" w:themeColor="accent3"/>
        <w:right w:val="single" w:sz="8" w:space="0" w:color="E9A913" w:themeColor="accent3"/>
        <w:insideH w:val="single" w:sz="8" w:space="0" w:color="E9A913" w:themeColor="accent3"/>
        <w:insideV w:val="single" w:sz="8" w:space="0" w:color="E9A91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18" w:space="0" w:color="E9A913" w:themeColor="accent3"/>
          <w:right w:val="single" w:sz="8" w:space="0" w:color="E9A913" w:themeColor="accent3"/>
          <w:insideH w:val="nil"/>
          <w:insideV w:val="single" w:sz="8" w:space="0" w:color="E9A91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  <w:insideH w:val="nil"/>
          <w:insideV w:val="single" w:sz="8" w:space="0" w:color="E9A91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</w:tcPr>
    </w:tblStylePr>
    <w:tblStylePr w:type="band1Vert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  <w:shd w:val="clear" w:color="auto" w:fill="FAE9C3" w:themeFill="accent3" w:themeFillTint="3F"/>
      </w:tcPr>
    </w:tblStylePr>
    <w:tblStylePr w:type="band1Horz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  <w:insideV w:val="single" w:sz="8" w:space="0" w:color="E9A913" w:themeColor="accent3"/>
        </w:tcBorders>
        <w:shd w:val="clear" w:color="auto" w:fill="FAE9C3" w:themeFill="accent3" w:themeFillTint="3F"/>
      </w:tcPr>
    </w:tblStylePr>
    <w:tblStylePr w:type="band2Horz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  <w:insideV w:val="single" w:sz="8" w:space="0" w:color="E9A91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22761" w:themeColor="accent4"/>
        <w:left w:val="single" w:sz="8" w:space="0" w:color="522761" w:themeColor="accent4"/>
        <w:bottom w:val="single" w:sz="8" w:space="0" w:color="522761" w:themeColor="accent4"/>
        <w:right w:val="single" w:sz="8" w:space="0" w:color="522761" w:themeColor="accent4"/>
        <w:insideH w:val="single" w:sz="8" w:space="0" w:color="522761" w:themeColor="accent4"/>
        <w:insideV w:val="single" w:sz="8" w:space="0" w:color="52276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18" w:space="0" w:color="522761" w:themeColor="accent4"/>
          <w:right w:val="single" w:sz="8" w:space="0" w:color="522761" w:themeColor="accent4"/>
          <w:insideH w:val="nil"/>
          <w:insideV w:val="single" w:sz="8" w:space="0" w:color="52276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  <w:insideH w:val="nil"/>
          <w:insideV w:val="single" w:sz="8" w:space="0" w:color="52276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</w:tcPr>
    </w:tblStylePr>
    <w:tblStylePr w:type="band1Vert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  <w:shd w:val="clear" w:color="auto" w:fill="DABCE4" w:themeFill="accent4" w:themeFillTint="3F"/>
      </w:tcPr>
    </w:tblStylePr>
    <w:tblStylePr w:type="band1Horz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  <w:insideV w:val="single" w:sz="8" w:space="0" w:color="522761" w:themeColor="accent4"/>
        </w:tcBorders>
        <w:shd w:val="clear" w:color="auto" w:fill="DABCE4" w:themeFill="accent4" w:themeFillTint="3F"/>
      </w:tcPr>
    </w:tblStylePr>
    <w:tblStylePr w:type="band2Horz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  <w:insideV w:val="single" w:sz="8" w:space="0" w:color="52276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3C54A5" w:themeColor="accent5"/>
        <w:left w:val="single" w:sz="8" w:space="0" w:color="3C54A5" w:themeColor="accent5"/>
        <w:bottom w:val="single" w:sz="8" w:space="0" w:color="3C54A5" w:themeColor="accent5"/>
        <w:right w:val="single" w:sz="8" w:space="0" w:color="3C54A5" w:themeColor="accent5"/>
        <w:insideH w:val="single" w:sz="8" w:space="0" w:color="3C54A5" w:themeColor="accent5"/>
        <w:insideV w:val="single" w:sz="8" w:space="0" w:color="3C54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18" w:space="0" w:color="3C54A5" w:themeColor="accent5"/>
          <w:right w:val="single" w:sz="8" w:space="0" w:color="3C54A5" w:themeColor="accent5"/>
          <w:insideH w:val="nil"/>
          <w:insideV w:val="single" w:sz="8" w:space="0" w:color="3C54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  <w:insideH w:val="nil"/>
          <w:insideV w:val="single" w:sz="8" w:space="0" w:color="3C54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</w:tcPr>
    </w:tblStylePr>
    <w:tblStylePr w:type="band1Vert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  <w:shd w:val="clear" w:color="auto" w:fill="CBD2EC" w:themeFill="accent5" w:themeFillTint="3F"/>
      </w:tcPr>
    </w:tblStylePr>
    <w:tblStylePr w:type="band1Horz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  <w:insideV w:val="single" w:sz="8" w:space="0" w:color="3C54A5" w:themeColor="accent5"/>
        </w:tcBorders>
        <w:shd w:val="clear" w:color="auto" w:fill="CBD2EC" w:themeFill="accent5" w:themeFillTint="3F"/>
      </w:tcPr>
    </w:tblStylePr>
    <w:tblStylePr w:type="band2Horz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  <w:insideV w:val="single" w:sz="8" w:space="0" w:color="3C54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45861" w:themeColor="accent6"/>
        <w:left w:val="single" w:sz="8" w:space="0" w:color="545861" w:themeColor="accent6"/>
        <w:bottom w:val="single" w:sz="8" w:space="0" w:color="545861" w:themeColor="accent6"/>
        <w:right w:val="single" w:sz="8" w:space="0" w:color="545861" w:themeColor="accent6"/>
        <w:insideH w:val="single" w:sz="8" w:space="0" w:color="545861" w:themeColor="accent6"/>
        <w:insideV w:val="single" w:sz="8" w:space="0" w:color="5458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18" w:space="0" w:color="545861" w:themeColor="accent6"/>
          <w:right w:val="single" w:sz="8" w:space="0" w:color="545861" w:themeColor="accent6"/>
          <w:insideH w:val="nil"/>
          <w:insideV w:val="single" w:sz="8" w:space="0" w:color="5458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  <w:insideH w:val="nil"/>
          <w:insideV w:val="single" w:sz="8" w:space="0" w:color="5458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</w:tcPr>
    </w:tblStylePr>
    <w:tblStylePr w:type="band1Vert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  <w:shd w:val="clear" w:color="auto" w:fill="D3D5D9" w:themeFill="accent6" w:themeFillTint="3F"/>
      </w:tcPr>
    </w:tblStylePr>
    <w:tblStylePr w:type="band1Horz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  <w:insideV w:val="single" w:sz="8" w:space="0" w:color="545861" w:themeColor="accent6"/>
        </w:tcBorders>
        <w:shd w:val="clear" w:color="auto" w:fill="D3D5D9" w:themeFill="accent6" w:themeFillTint="3F"/>
      </w:tcPr>
    </w:tblStylePr>
    <w:tblStylePr w:type="band2Horz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  <w:insideV w:val="single" w:sz="8" w:space="0" w:color="545861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3C54A5" w:themeColor="accent1"/>
        <w:left w:val="single" w:sz="8" w:space="0" w:color="3C54A5" w:themeColor="accent1"/>
        <w:bottom w:val="single" w:sz="8" w:space="0" w:color="3C54A5" w:themeColor="accent1"/>
        <w:right w:val="single" w:sz="8" w:space="0" w:color="3C54A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4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</w:tcPr>
    </w:tblStylePr>
    <w:tblStylePr w:type="band1Horz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45861" w:themeColor="accent2"/>
        <w:left w:val="single" w:sz="8" w:space="0" w:color="545861" w:themeColor="accent2"/>
        <w:bottom w:val="single" w:sz="8" w:space="0" w:color="545861" w:themeColor="accent2"/>
        <w:right w:val="single" w:sz="8" w:space="0" w:color="5458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58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</w:tcPr>
    </w:tblStylePr>
    <w:tblStylePr w:type="band1Horz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E9A913" w:themeColor="accent3"/>
        <w:left w:val="single" w:sz="8" w:space="0" w:color="E9A913" w:themeColor="accent3"/>
        <w:bottom w:val="single" w:sz="8" w:space="0" w:color="E9A913" w:themeColor="accent3"/>
        <w:right w:val="single" w:sz="8" w:space="0" w:color="E9A91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A91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</w:tcPr>
    </w:tblStylePr>
    <w:tblStylePr w:type="band1Horz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22761" w:themeColor="accent4"/>
        <w:left w:val="single" w:sz="8" w:space="0" w:color="522761" w:themeColor="accent4"/>
        <w:bottom w:val="single" w:sz="8" w:space="0" w:color="522761" w:themeColor="accent4"/>
        <w:right w:val="single" w:sz="8" w:space="0" w:color="52276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276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</w:tcPr>
    </w:tblStylePr>
    <w:tblStylePr w:type="band1Horz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3C54A5" w:themeColor="accent5"/>
        <w:left w:val="single" w:sz="8" w:space="0" w:color="3C54A5" w:themeColor="accent5"/>
        <w:bottom w:val="single" w:sz="8" w:space="0" w:color="3C54A5" w:themeColor="accent5"/>
        <w:right w:val="single" w:sz="8" w:space="0" w:color="3C54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4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</w:tcPr>
    </w:tblStylePr>
    <w:tblStylePr w:type="band1Horz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45861" w:themeColor="accent6"/>
        <w:left w:val="single" w:sz="8" w:space="0" w:color="545861" w:themeColor="accent6"/>
        <w:bottom w:val="single" w:sz="8" w:space="0" w:color="545861" w:themeColor="accent6"/>
        <w:right w:val="single" w:sz="8" w:space="0" w:color="5458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58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</w:tcPr>
    </w:tblStylePr>
    <w:tblStylePr w:type="band1Horz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E27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E273C"/>
    <w:pPr>
      <w:spacing w:after="0" w:line="240" w:lineRule="auto"/>
    </w:pPr>
    <w:rPr>
      <w:color w:val="2D3E7B" w:themeColor="accent1" w:themeShade="BF"/>
    </w:rPr>
    <w:tblPr>
      <w:tblStyleRowBandSize w:val="1"/>
      <w:tblStyleColBandSize w:val="1"/>
      <w:tblBorders>
        <w:top w:val="single" w:sz="8" w:space="0" w:color="3C54A5" w:themeColor="accent1"/>
        <w:bottom w:val="single" w:sz="8" w:space="0" w:color="3C54A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54A5" w:themeColor="accent1"/>
          <w:left w:val="nil"/>
          <w:bottom w:val="single" w:sz="8" w:space="0" w:color="3C54A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54A5" w:themeColor="accent1"/>
          <w:left w:val="nil"/>
          <w:bottom w:val="single" w:sz="8" w:space="0" w:color="3C54A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E273C"/>
    <w:pPr>
      <w:spacing w:after="0" w:line="240" w:lineRule="auto"/>
    </w:pPr>
    <w:rPr>
      <w:color w:val="3F4148" w:themeColor="accent2" w:themeShade="BF"/>
    </w:rPr>
    <w:tblPr>
      <w:tblStyleRowBandSize w:val="1"/>
      <w:tblStyleColBandSize w:val="1"/>
      <w:tblBorders>
        <w:top w:val="single" w:sz="8" w:space="0" w:color="545861" w:themeColor="accent2"/>
        <w:bottom w:val="single" w:sz="8" w:space="0" w:color="5458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61" w:themeColor="accent2"/>
          <w:left w:val="nil"/>
          <w:bottom w:val="single" w:sz="8" w:space="0" w:color="5458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61" w:themeColor="accent2"/>
          <w:left w:val="nil"/>
          <w:bottom w:val="single" w:sz="8" w:space="0" w:color="5458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E273C"/>
    <w:pPr>
      <w:spacing w:after="0" w:line="240" w:lineRule="auto"/>
    </w:pPr>
    <w:rPr>
      <w:color w:val="AE7E0E" w:themeColor="accent3" w:themeShade="BF"/>
    </w:rPr>
    <w:tblPr>
      <w:tblStyleRowBandSize w:val="1"/>
      <w:tblStyleColBandSize w:val="1"/>
      <w:tblBorders>
        <w:top w:val="single" w:sz="8" w:space="0" w:color="E9A913" w:themeColor="accent3"/>
        <w:bottom w:val="single" w:sz="8" w:space="0" w:color="E9A91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A913" w:themeColor="accent3"/>
          <w:left w:val="nil"/>
          <w:bottom w:val="single" w:sz="8" w:space="0" w:color="E9A91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A913" w:themeColor="accent3"/>
          <w:left w:val="nil"/>
          <w:bottom w:val="single" w:sz="8" w:space="0" w:color="E9A91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9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9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E273C"/>
    <w:pPr>
      <w:spacing w:after="0" w:line="240" w:lineRule="auto"/>
    </w:pPr>
    <w:rPr>
      <w:color w:val="3D1D48" w:themeColor="accent4" w:themeShade="BF"/>
    </w:rPr>
    <w:tblPr>
      <w:tblStyleRowBandSize w:val="1"/>
      <w:tblStyleColBandSize w:val="1"/>
      <w:tblBorders>
        <w:top w:val="single" w:sz="8" w:space="0" w:color="522761" w:themeColor="accent4"/>
        <w:bottom w:val="single" w:sz="8" w:space="0" w:color="52276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2761" w:themeColor="accent4"/>
          <w:left w:val="nil"/>
          <w:bottom w:val="single" w:sz="8" w:space="0" w:color="52276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2761" w:themeColor="accent4"/>
          <w:left w:val="nil"/>
          <w:bottom w:val="single" w:sz="8" w:space="0" w:color="52276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BC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BCE4" w:themeFill="accent4" w:themeFillTint="3F"/>
      </w:tcPr>
    </w:tblStylePr>
  </w:style>
  <w:style w:type="table" w:styleId="MediumGrid1">
    <w:name w:val="Medium Grid 1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6278C6" w:themeColor="accent1" w:themeTint="BF"/>
        <w:left w:val="single" w:sz="8" w:space="0" w:color="6278C6" w:themeColor="accent1" w:themeTint="BF"/>
        <w:bottom w:val="single" w:sz="8" w:space="0" w:color="6278C6" w:themeColor="accent1" w:themeTint="BF"/>
        <w:right w:val="single" w:sz="8" w:space="0" w:color="6278C6" w:themeColor="accent1" w:themeTint="BF"/>
        <w:insideH w:val="single" w:sz="8" w:space="0" w:color="6278C6" w:themeColor="accent1" w:themeTint="BF"/>
        <w:insideV w:val="single" w:sz="8" w:space="0" w:color="6278C6" w:themeColor="accent1" w:themeTint="BF"/>
      </w:tblBorders>
    </w:tblPr>
    <w:tcPr>
      <w:shd w:val="clear" w:color="auto" w:fill="CB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D9" w:themeFill="accent1" w:themeFillTint="7F"/>
      </w:tcPr>
    </w:tblStylePr>
    <w:tblStylePr w:type="band1Horz">
      <w:tblPr/>
      <w:tcPr>
        <w:shd w:val="clear" w:color="auto" w:fill="96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7A808C" w:themeColor="accent2" w:themeTint="BF"/>
        <w:left w:val="single" w:sz="8" w:space="0" w:color="7A808C" w:themeColor="accent2" w:themeTint="BF"/>
        <w:bottom w:val="single" w:sz="8" w:space="0" w:color="7A808C" w:themeColor="accent2" w:themeTint="BF"/>
        <w:right w:val="single" w:sz="8" w:space="0" w:color="7A808C" w:themeColor="accent2" w:themeTint="BF"/>
        <w:insideH w:val="single" w:sz="8" w:space="0" w:color="7A808C" w:themeColor="accent2" w:themeTint="BF"/>
        <w:insideV w:val="single" w:sz="8" w:space="0" w:color="7A808C" w:themeColor="accent2" w:themeTint="BF"/>
      </w:tblBorders>
    </w:tblPr>
    <w:tcPr>
      <w:shd w:val="clear" w:color="auto" w:fill="D3D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0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AAB3" w:themeFill="accent2" w:themeFillTint="7F"/>
      </w:tcPr>
    </w:tblStylePr>
    <w:tblStylePr w:type="band1Horz">
      <w:tblPr/>
      <w:tcPr>
        <w:shd w:val="clear" w:color="auto" w:fill="A7AA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0BE4C" w:themeColor="accent3" w:themeTint="BF"/>
        <w:left w:val="single" w:sz="8" w:space="0" w:color="F0BE4C" w:themeColor="accent3" w:themeTint="BF"/>
        <w:bottom w:val="single" w:sz="8" w:space="0" w:color="F0BE4C" w:themeColor="accent3" w:themeTint="BF"/>
        <w:right w:val="single" w:sz="8" w:space="0" w:color="F0BE4C" w:themeColor="accent3" w:themeTint="BF"/>
        <w:insideH w:val="single" w:sz="8" w:space="0" w:color="F0BE4C" w:themeColor="accent3" w:themeTint="BF"/>
        <w:insideV w:val="single" w:sz="8" w:space="0" w:color="F0BE4C" w:themeColor="accent3" w:themeTint="BF"/>
      </w:tblBorders>
    </w:tblPr>
    <w:tcPr>
      <w:shd w:val="clear" w:color="auto" w:fill="FAE9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BE4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88" w:themeFill="accent3" w:themeFillTint="7F"/>
      </w:tcPr>
    </w:tblStylePr>
    <w:tblStylePr w:type="band1Horz">
      <w:tblPr/>
      <w:tcPr>
        <w:shd w:val="clear" w:color="auto" w:fill="F5D48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8A42A3" w:themeColor="accent4" w:themeTint="BF"/>
        <w:left w:val="single" w:sz="8" w:space="0" w:color="8A42A3" w:themeColor="accent4" w:themeTint="BF"/>
        <w:bottom w:val="single" w:sz="8" w:space="0" w:color="8A42A3" w:themeColor="accent4" w:themeTint="BF"/>
        <w:right w:val="single" w:sz="8" w:space="0" w:color="8A42A3" w:themeColor="accent4" w:themeTint="BF"/>
        <w:insideH w:val="single" w:sz="8" w:space="0" w:color="8A42A3" w:themeColor="accent4" w:themeTint="BF"/>
        <w:insideV w:val="single" w:sz="8" w:space="0" w:color="8A42A3" w:themeColor="accent4" w:themeTint="BF"/>
      </w:tblBorders>
    </w:tblPr>
    <w:tcPr>
      <w:shd w:val="clear" w:color="auto" w:fill="DABC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2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7AC9" w:themeFill="accent4" w:themeFillTint="7F"/>
      </w:tcPr>
    </w:tblStylePr>
    <w:tblStylePr w:type="band1Horz">
      <w:tblPr/>
      <w:tcPr>
        <w:shd w:val="clear" w:color="auto" w:fill="B57AC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6278C6" w:themeColor="accent5" w:themeTint="BF"/>
        <w:left w:val="single" w:sz="8" w:space="0" w:color="6278C6" w:themeColor="accent5" w:themeTint="BF"/>
        <w:bottom w:val="single" w:sz="8" w:space="0" w:color="6278C6" w:themeColor="accent5" w:themeTint="BF"/>
        <w:right w:val="single" w:sz="8" w:space="0" w:color="6278C6" w:themeColor="accent5" w:themeTint="BF"/>
        <w:insideH w:val="single" w:sz="8" w:space="0" w:color="6278C6" w:themeColor="accent5" w:themeTint="BF"/>
        <w:insideV w:val="single" w:sz="8" w:space="0" w:color="6278C6" w:themeColor="accent5" w:themeTint="BF"/>
      </w:tblBorders>
    </w:tblPr>
    <w:tcPr>
      <w:shd w:val="clear" w:color="auto" w:fill="CBD2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D9" w:themeFill="accent5" w:themeFillTint="7F"/>
      </w:tcPr>
    </w:tblStylePr>
    <w:tblStylePr w:type="band1Horz">
      <w:tblPr/>
      <w:tcPr>
        <w:shd w:val="clear" w:color="auto" w:fill="96A5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7A808C" w:themeColor="accent6" w:themeTint="BF"/>
        <w:left w:val="single" w:sz="8" w:space="0" w:color="7A808C" w:themeColor="accent6" w:themeTint="BF"/>
        <w:bottom w:val="single" w:sz="8" w:space="0" w:color="7A808C" w:themeColor="accent6" w:themeTint="BF"/>
        <w:right w:val="single" w:sz="8" w:space="0" w:color="7A808C" w:themeColor="accent6" w:themeTint="BF"/>
        <w:insideH w:val="single" w:sz="8" w:space="0" w:color="7A808C" w:themeColor="accent6" w:themeTint="BF"/>
        <w:insideV w:val="single" w:sz="8" w:space="0" w:color="7A808C" w:themeColor="accent6" w:themeTint="BF"/>
      </w:tblBorders>
    </w:tblPr>
    <w:tcPr>
      <w:shd w:val="clear" w:color="auto" w:fill="D3D5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0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AAB3" w:themeFill="accent6" w:themeFillTint="7F"/>
      </w:tcPr>
    </w:tblStylePr>
    <w:tblStylePr w:type="band1Horz">
      <w:tblPr/>
      <w:tcPr>
        <w:shd w:val="clear" w:color="auto" w:fill="A7AAB3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54A5" w:themeColor="accent1"/>
        <w:left w:val="single" w:sz="8" w:space="0" w:color="3C54A5" w:themeColor="accent1"/>
        <w:bottom w:val="single" w:sz="8" w:space="0" w:color="3C54A5" w:themeColor="accent1"/>
        <w:right w:val="single" w:sz="8" w:space="0" w:color="3C54A5" w:themeColor="accent1"/>
        <w:insideH w:val="single" w:sz="8" w:space="0" w:color="3C54A5" w:themeColor="accent1"/>
        <w:insideV w:val="single" w:sz="8" w:space="0" w:color="3C54A5" w:themeColor="accent1"/>
      </w:tblBorders>
    </w:tblPr>
    <w:tcPr>
      <w:shd w:val="clear" w:color="auto" w:fill="CBD2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EF" w:themeFill="accent1" w:themeFillTint="33"/>
      </w:tcPr>
    </w:tblStylePr>
    <w:tblStylePr w:type="band1Vert">
      <w:tblPr/>
      <w:tcPr>
        <w:shd w:val="clear" w:color="auto" w:fill="96A5D9" w:themeFill="accent1" w:themeFillTint="7F"/>
      </w:tcPr>
    </w:tblStylePr>
    <w:tblStylePr w:type="band1Horz">
      <w:tblPr/>
      <w:tcPr>
        <w:tcBorders>
          <w:insideH w:val="single" w:sz="6" w:space="0" w:color="3C54A5" w:themeColor="accent1"/>
          <w:insideV w:val="single" w:sz="6" w:space="0" w:color="3C54A5" w:themeColor="accent1"/>
        </w:tcBorders>
        <w:shd w:val="clear" w:color="auto" w:fill="96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861" w:themeColor="accent2"/>
        <w:left w:val="single" w:sz="8" w:space="0" w:color="545861" w:themeColor="accent2"/>
        <w:bottom w:val="single" w:sz="8" w:space="0" w:color="545861" w:themeColor="accent2"/>
        <w:right w:val="single" w:sz="8" w:space="0" w:color="545861" w:themeColor="accent2"/>
        <w:insideH w:val="single" w:sz="8" w:space="0" w:color="545861" w:themeColor="accent2"/>
        <w:insideV w:val="single" w:sz="8" w:space="0" w:color="545861" w:themeColor="accent2"/>
      </w:tblBorders>
    </w:tblPr>
    <w:tcPr>
      <w:shd w:val="clear" w:color="auto" w:fill="D3D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DE0" w:themeFill="accent2" w:themeFillTint="33"/>
      </w:tcPr>
    </w:tblStylePr>
    <w:tblStylePr w:type="band1Vert">
      <w:tblPr/>
      <w:tcPr>
        <w:shd w:val="clear" w:color="auto" w:fill="A7AAB3" w:themeFill="accent2" w:themeFillTint="7F"/>
      </w:tcPr>
    </w:tblStylePr>
    <w:tblStylePr w:type="band1Horz">
      <w:tblPr/>
      <w:tcPr>
        <w:tcBorders>
          <w:insideH w:val="single" w:sz="6" w:space="0" w:color="545861" w:themeColor="accent2"/>
          <w:insideV w:val="single" w:sz="6" w:space="0" w:color="545861" w:themeColor="accent2"/>
        </w:tcBorders>
        <w:shd w:val="clear" w:color="auto" w:fill="A7AA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A913" w:themeColor="accent3"/>
        <w:left w:val="single" w:sz="8" w:space="0" w:color="E9A913" w:themeColor="accent3"/>
        <w:bottom w:val="single" w:sz="8" w:space="0" w:color="E9A913" w:themeColor="accent3"/>
        <w:right w:val="single" w:sz="8" w:space="0" w:color="E9A913" w:themeColor="accent3"/>
        <w:insideH w:val="single" w:sz="8" w:space="0" w:color="E9A913" w:themeColor="accent3"/>
        <w:insideV w:val="single" w:sz="8" w:space="0" w:color="E9A913" w:themeColor="accent3"/>
      </w:tblBorders>
    </w:tblPr>
    <w:tcPr>
      <w:shd w:val="clear" w:color="auto" w:fill="FAE9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F" w:themeFill="accent3" w:themeFillTint="33"/>
      </w:tcPr>
    </w:tblStylePr>
    <w:tblStylePr w:type="band1Vert">
      <w:tblPr/>
      <w:tcPr>
        <w:shd w:val="clear" w:color="auto" w:fill="F5D488" w:themeFill="accent3" w:themeFillTint="7F"/>
      </w:tcPr>
    </w:tblStylePr>
    <w:tblStylePr w:type="band1Horz">
      <w:tblPr/>
      <w:tcPr>
        <w:tcBorders>
          <w:insideH w:val="single" w:sz="6" w:space="0" w:color="E9A913" w:themeColor="accent3"/>
          <w:insideV w:val="single" w:sz="6" w:space="0" w:color="E9A913" w:themeColor="accent3"/>
        </w:tcBorders>
        <w:shd w:val="clear" w:color="auto" w:fill="F5D48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22761" w:themeColor="accent4"/>
        <w:left w:val="single" w:sz="8" w:space="0" w:color="522761" w:themeColor="accent4"/>
        <w:bottom w:val="single" w:sz="8" w:space="0" w:color="522761" w:themeColor="accent4"/>
        <w:right w:val="single" w:sz="8" w:space="0" w:color="522761" w:themeColor="accent4"/>
        <w:insideH w:val="single" w:sz="8" w:space="0" w:color="522761" w:themeColor="accent4"/>
        <w:insideV w:val="single" w:sz="8" w:space="0" w:color="522761" w:themeColor="accent4"/>
      </w:tblBorders>
    </w:tblPr>
    <w:tcPr>
      <w:shd w:val="clear" w:color="auto" w:fill="DABC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9E9" w:themeFill="accent4" w:themeFillTint="33"/>
      </w:tcPr>
    </w:tblStylePr>
    <w:tblStylePr w:type="band1Vert">
      <w:tblPr/>
      <w:tcPr>
        <w:shd w:val="clear" w:color="auto" w:fill="B57AC9" w:themeFill="accent4" w:themeFillTint="7F"/>
      </w:tcPr>
    </w:tblStylePr>
    <w:tblStylePr w:type="band1Horz">
      <w:tblPr/>
      <w:tcPr>
        <w:tcBorders>
          <w:insideH w:val="single" w:sz="6" w:space="0" w:color="522761" w:themeColor="accent4"/>
          <w:insideV w:val="single" w:sz="6" w:space="0" w:color="522761" w:themeColor="accent4"/>
        </w:tcBorders>
        <w:shd w:val="clear" w:color="auto" w:fill="B57AC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54A5" w:themeColor="accent5"/>
        <w:left w:val="single" w:sz="8" w:space="0" w:color="3C54A5" w:themeColor="accent5"/>
        <w:bottom w:val="single" w:sz="8" w:space="0" w:color="3C54A5" w:themeColor="accent5"/>
        <w:right w:val="single" w:sz="8" w:space="0" w:color="3C54A5" w:themeColor="accent5"/>
        <w:insideH w:val="single" w:sz="8" w:space="0" w:color="3C54A5" w:themeColor="accent5"/>
        <w:insideV w:val="single" w:sz="8" w:space="0" w:color="3C54A5" w:themeColor="accent5"/>
      </w:tblBorders>
    </w:tblPr>
    <w:tcPr>
      <w:shd w:val="clear" w:color="auto" w:fill="CBD2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EF" w:themeFill="accent5" w:themeFillTint="33"/>
      </w:tcPr>
    </w:tblStylePr>
    <w:tblStylePr w:type="band1Vert">
      <w:tblPr/>
      <w:tcPr>
        <w:shd w:val="clear" w:color="auto" w:fill="96A5D9" w:themeFill="accent5" w:themeFillTint="7F"/>
      </w:tcPr>
    </w:tblStylePr>
    <w:tblStylePr w:type="band1Horz">
      <w:tblPr/>
      <w:tcPr>
        <w:tcBorders>
          <w:insideH w:val="single" w:sz="6" w:space="0" w:color="3C54A5" w:themeColor="accent5"/>
          <w:insideV w:val="single" w:sz="6" w:space="0" w:color="3C54A5" w:themeColor="accent5"/>
        </w:tcBorders>
        <w:shd w:val="clear" w:color="auto" w:fill="96A5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861" w:themeColor="accent6"/>
        <w:left w:val="single" w:sz="8" w:space="0" w:color="545861" w:themeColor="accent6"/>
        <w:bottom w:val="single" w:sz="8" w:space="0" w:color="545861" w:themeColor="accent6"/>
        <w:right w:val="single" w:sz="8" w:space="0" w:color="545861" w:themeColor="accent6"/>
        <w:insideH w:val="single" w:sz="8" w:space="0" w:color="545861" w:themeColor="accent6"/>
        <w:insideV w:val="single" w:sz="8" w:space="0" w:color="545861" w:themeColor="accent6"/>
      </w:tblBorders>
    </w:tblPr>
    <w:tcPr>
      <w:shd w:val="clear" w:color="auto" w:fill="D3D5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DE0" w:themeFill="accent6" w:themeFillTint="33"/>
      </w:tcPr>
    </w:tblStylePr>
    <w:tblStylePr w:type="band1Vert">
      <w:tblPr/>
      <w:tcPr>
        <w:shd w:val="clear" w:color="auto" w:fill="A7AAB3" w:themeFill="accent6" w:themeFillTint="7F"/>
      </w:tcPr>
    </w:tblStylePr>
    <w:tblStylePr w:type="band1Horz">
      <w:tblPr/>
      <w:tcPr>
        <w:tcBorders>
          <w:insideH w:val="single" w:sz="6" w:space="0" w:color="545861" w:themeColor="accent6"/>
          <w:insideV w:val="single" w:sz="6" w:space="0" w:color="545861" w:themeColor="accent6"/>
        </w:tcBorders>
        <w:shd w:val="clear" w:color="auto" w:fill="A7AA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4A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4A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54A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54A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86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86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586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586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AA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AA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9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A91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A91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A91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A91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D48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D48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BC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2276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2276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2276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2276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7AC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7AC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4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4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54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54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5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8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8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58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58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AA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AAB3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54A5" w:themeColor="accent1"/>
        <w:bottom w:val="single" w:sz="8" w:space="0" w:color="3C54A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54A5" w:themeColor="accent1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3C54A5" w:themeColor="accent1"/>
          <w:bottom w:val="single" w:sz="8" w:space="0" w:color="3C54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54A5" w:themeColor="accent1"/>
          <w:bottom w:val="single" w:sz="8" w:space="0" w:color="3C54A5" w:themeColor="accent1"/>
        </w:tcBorders>
      </w:tcPr>
    </w:tblStylePr>
    <w:tblStylePr w:type="band1Vert">
      <w:tblPr/>
      <w:tcPr>
        <w:shd w:val="clear" w:color="auto" w:fill="CBD2EC" w:themeFill="accent1" w:themeFillTint="3F"/>
      </w:tcPr>
    </w:tblStylePr>
    <w:tblStylePr w:type="band1Horz">
      <w:tblPr/>
      <w:tcPr>
        <w:shd w:val="clear" w:color="auto" w:fill="CB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5861" w:themeColor="accent2"/>
        <w:bottom w:val="single" w:sz="8" w:space="0" w:color="54586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5861" w:themeColor="accent2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545861" w:themeColor="accent2"/>
          <w:bottom w:val="single" w:sz="8" w:space="0" w:color="5458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5861" w:themeColor="accent2"/>
          <w:bottom w:val="single" w:sz="8" w:space="0" w:color="545861" w:themeColor="accent2"/>
        </w:tcBorders>
      </w:tcPr>
    </w:tblStylePr>
    <w:tblStylePr w:type="band1Vert">
      <w:tblPr/>
      <w:tcPr>
        <w:shd w:val="clear" w:color="auto" w:fill="D3D5D9" w:themeFill="accent2" w:themeFillTint="3F"/>
      </w:tcPr>
    </w:tblStylePr>
    <w:tblStylePr w:type="band1Horz">
      <w:tblPr/>
      <w:tcPr>
        <w:shd w:val="clear" w:color="auto" w:fill="D3D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A913" w:themeColor="accent3"/>
        <w:bottom w:val="single" w:sz="8" w:space="0" w:color="E9A91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A913" w:themeColor="accent3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E9A913" w:themeColor="accent3"/>
          <w:bottom w:val="single" w:sz="8" w:space="0" w:color="E9A91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A913" w:themeColor="accent3"/>
          <w:bottom w:val="single" w:sz="8" w:space="0" w:color="E9A913" w:themeColor="accent3"/>
        </w:tcBorders>
      </w:tcPr>
    </w:tblStylePr>
    <w:tblStylePr w:type="band1Vert">
      <w:tblPr/>
      <w:tcPr>
        <w:shd w:val="clear" w:color="auto" w:fill="FAE9C3" w:themeFill="accent3" w:themeFillTint="3F"/>
      </w:tcPr>
    </w:tblStylePr>
    <w:tblStylePr w:type="band1Horz">
      <w:tblPr/>
      <w:tcPr>
        <w:shd w:val="clear" w:color="auto" w:fill="FAE9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22761" w:themeColor="accent4"/>
        <w:bottom w:val="single" w:sz="8" w:space="0" w:color="52276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22761" w:themeColor="accent4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522761" w:themeColor="accent4"/>
          <w:bottom w:val="single" w:sz="8" w:space="0" w:color="52276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22761" w:themeColor="accent4"/>
          <w:bottom w:val="single" w:sz="8" w:space="0" w:color="522761" w:themeColor="accent4"/>
        </w:tcBorders>
      </w:tcPr>
    </w:tblStylePr>
    <w:tblStylePr w:type="band1Vert">
      <w:tblPr/>
      <w:tcPr>
        <w:shd w:val="clear" w:color="auto" w:fill="DABCE4" w:themeFill="accent4" w:themeFillTint="3F"/>
      </w:tcPr>
    </w:tblStylePr>
    <w:tblStylePr w:type="band1Horz">
      <w:tblPr/>
      <w:tcPr>
        <w:shd w:val="clear" w:color="auto" w:fill="DABC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54A5" w:themeColor="accent5"/>
        <w:bottom w:val="single" w:sz="8" w:space="0" w:color="3C54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54A5" w:themeColor="accent5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3C54A5" w:themeColor="accent5"/>
          <w:bottom w:val="single" w:sz="8" w:space="0" w:color="3C54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54A5" w:themeColor="accent5"/>
          <w:bottom w:val="single" w:sz="8" w:space="0" w:color="3C54A5" w:themeColor="accent5"/>
        </w:tcBorders>
      </w:tcPr>
    </w:tblStylePr>
    <w:tblStylePr w:type="band1Vert">
      <w:tblPr/>
      <w:tcPr>
        <w:shd w:val="clear" w:color="auto" w:fill="CBD2EC" w:themeFill="accent5" w:themeFillTint="3F"/>
      </w:tcPr>
    </w:tblStylePr>
    <w:tblStylePr w:type="band1Horz">
      <w:tblPr/>
      <w:tcPr>
        <w:shd w:val="clear" w:color="auto" w:fill="CBD2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5861" w:themeColor="accent6"/>
        <w:bottom w:val="single" w:sz="8" w:space="0" w:color="5458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5861" w:themeColor="accent6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545861" w:themeColor="accent6"/>
          <w:bottom w:val="single" w:sz="8" w:space="0" w:color="5458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5861" w:themeColor="accent6"/>
          <w:bottom w:val="single" w:sz="8" w:space="0" w:color="545861" w:themeColor="accent6"/>
        </w:tcBorders>
      </w:tcPr>
    </w:tblStylePr>
    <w:tblStylePr w:type="band1Vert">
      <w:tblPr/>
      <w:tcPr>
        <w:shd w:val="clear" w:color="auto" w:fill="D3D5D9" w:themeFill="accent6" w:themeFillTint="3F"/>
      </w:tcPr>
    </w:tblStylePr>
    <w:tblStylePr w:type="band1Horz">
      <w:tblPr/>
      <w:tcPr>
        <w:shd w:val="clear" w:color="auto" w:fill="D3D5D9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54A5" w:themeColor="accent1"/>
        <w:left w:val="single" w:sz="8" w:space="0" w:color="3C54A5" w:themeColor="accent1"/>
        <w:bottom w:val="single" w:sz="8" w:space="0" w:color="3C54A5" w:themeColor="accent1"/>
        <w:right w:val="single" w:sz="8" w:space="0" w:color="3C54A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54A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54A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54A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54A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861" w:themeColor="accent2"/>
        <w:left w:val="single" w:sz="8" w:space="0" w:color="545861" w:themeColor="accent2"/>
        <w:bottom w:val="single" w:sz="8" w:space="0" w:color="545861" w:themeColor="accent2"/>
        <w:right w:val="single" w:sz="8" w:space="0" w:color="54586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58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586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586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586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A913" w:themeColor="accent3"/>
        <w:left w:val="single" w:sz="8" w:space="0" w:color="E9A913" w:themeColor="accent3"/>
        <w:bottom w:val="single" w:sz="8" w:space="0" w:color="E9A913" w:themeColor="accent3"/>
        <w:right w:val="single" w:sz="8" w:space="0" w:color="E9A91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A91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A91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A91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A91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9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9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22761" w:themeColor="accent4"/>
        <w:left w:val="single" w:sz="8" w:space="0" w:color="522761" w:themeColor="accent4"/>
        <w:bottom w:val="single" w:sz="8" w:space="0" w:color="522761" w:themeColor="accent4"/>
        <w:right w:val="single" w:sz="8" w:space="0" w:color="52276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2276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2276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2276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2276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BC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BC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54A5" w:themeColor="accent5"/>
        <w:left w:val="single" w:sz="8" w:space="0" w:color="3C54A5" w:themeColor="accent5"/>
        <w:bottom w:val="single" w:sz="8" w:space="0" w:color="3C54A5" w:themeColor="accent5"/>
        <w:right w:val="single" w:sz="8" w:space="0" w:color="3C54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54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54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54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54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861" w:themeColor="accent6"/>
        <w:left w:val="single" w:sz="8" w:space="0" w:color="545861" w:themeColor="accent6"/>
        <w:bottom w:val="single" w:sz="8" w:space="0" w:color="545861" w:themeColor="accent6"/>
        <w:right w:val="single" w:sz="8" w:space="0" w:color="5458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58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58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58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58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5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6278C6" w:themeColor="accent1" w:themeTint="BF"/>
        <w:left w:val="single" w:sz="8" w:space="0" w:color="6278C6" w:themeColor="accent1" w:themeTint="BF"/>
        <w:bottom w:val="single" w:sz="8" w:space="0" w:color="6278C6" w:themeColor="accent1" w:themeTint="BF"/>
        <w:right w:val="single" w:sz="8" w:space="0" w:color="6278C6" w:themeColor="accent1" w:themeTint="BF"/>
        <w:insideH w:val="single" w:sz="8" w:space="0" w:color="6278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C6" w:themeColor="accent1" w:themeTint="BF"/>
          <w:left w:val="single" w:sz="8" w:space="0" w:color="6278C6" w:themeColor="accent1" w:themeTint="BF"/>
          <w:bottom w:val="single" w:sz="8" w:space="0" w:color="6278C6" w:themeColor="accent1" w:themeTint="BF"/>
          <w:right w:val="single" w:sz="8" w:space="0" w:color="6278C6" w:themeColor="accent1" w:themeTint="BF"/>
          <w:insideH w:val="nil"/>
          <w:insideV w:val="nil"/>
        </w:tcBorders>
        <w:shd w:val="clear" w:color="auto" w:fill="3C54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C6" w:themeColor="accent1" w:themeTint="BF"/>
          <w:left w:val="single" w:sz="8" w:space="0" w:color="6278C6" w:themeColor="accent1" w:themeTint="BF"/>
          <w:bottom w:val="single" w:sz="8" w:space="0" w:color="6278C6" w:themeColor="accent1" w:themeTint="BF"/>
          <w:right w:val="single" w:sz="8" w:space="0" w:color="6278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7A808C" w:themeColor="accent2" w:themeTint="BF"/>
        <w:left w:val="single" w:sz="8" w:space="0" w:color="7A808C" w:themeColor="accent2" w:themeTint="BF"/>
        <w:bottom w:val="single" w:sz="8" w:space="0" w:color="7A808C" w:themeColor="accent2" w:themeTint="BF"/>
        <w:right w:val="single" w:sz="8" w:space="0" w:color="7A808C" w:themeColor="accent2" w:themeTint="BF"/>
        <w:insideH w:val="single" w:sz="8" w:space="0" w:color="7A80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08C" w:themeColor="accent2" w:themeTint="BF"/>
          <w:left w:val="single" w:sz="8" w:space="0" w:color="7A808C" w:themeColor="accent2" w:themeTint="BF"/>
          <w:bottom w:val="single" w:sz="8" w:space="0" w:color="7A808C" w:themeColor="accent2" w:themeTint="BF"/>
          <w:right w:val="single" w:sz="8" w:space="0" w:color="7A808C" w:themeColor="accent2" w:themeTint="BF"/>
          <w:insideH w:val="nil"/>
          <w:insideV w:val="nil"/>
        </w:tcBorders>
        <w:shd w:val="clear" w:color="auto" w:fill="5458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08C" w:themeColor="accent2" w:themeTint="BF"/>
          <w:left w:val="single" w:sz="8" w:space="0" w:color="7A808C" w:themeColor="accent2" w:themeTint="BF"/>
          <w:bottom w:val="single" w:sz="8" w:space="0" w:color="7A808C" w:themeColor="accent2" w:themeTint="BF"/>
          <w:right w:val="single" w:sz="8" w:space="0" w:color="7A80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0BE4C" w:themeColor="accent3" w:themeTint="BF"/>
        <w:left w:val="single" w:sz="8" w:space="0" w:color="F0BE4C" w:themeColor="accent3" w:themeTint="BF"/>
        <w:bottom w:val="single" w:sz="8" w:space="0" w:color="F0BE4C" w:themeColor="accent3" w:themeTint="BF"/>
        <w:right w:val="single" w:sz="8" w:space="0" w:color="F0BE4C" w:themeColor="accent3" w:themeTint="BF"/>
        <w:insideH w:val="single" w:sz="8" w:space="0" w:color="F0BE4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BE4C" w:themeColor="accent3" w:themeTint="BF"/>
          <w:left w:val="single" w:sz="8" w:space="0" w:color="F0BE4C" w:themeColor="accent3" w:themeTint="BF"/>
          <w:bottom w:val="single" w:sz="8" w:space="0" w:color="F0BE4C" w:themeColor="accent3" w:themeTint="BF"/>
          <w:right w:val="single" w:sz="8" w:space="0" w:color="F0BE4C" w:themeColor="accent3" w:themeTint="BF"/>
          <w:insideH w:val="nil"/>
          <w:insideV w:val="nil"/>
        </w:tcBorders>
        <w:shd w:val="clear" w:color="auto" w:fill="E9A91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E4C" w:themeColor="accent3" w:themeTint="BF"/>
          <w:left w:val="single" w:sz="8" w:space="0" w:color="F0BE4C" w:themeColor="accent3" w:themeTint="BF"/>
          <w:bottom w:val="single" w:sz="8" w:space="0" w:color="F0BE4C" w:themeColor="accent3" w:themeTint="BF"/>
          <w:right w:val="single" w:sz="8" w:space="0" w:color="F0BE4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9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8A42A3" w:themeColor="accent4" w:themeTint="BF"/>
        <w:left w:val="single" w:sz="8" w:space="0" w:color="8A42A3" w:themeColor="accent4" w:themeTint="BF"/>
        <w:bottom w:val="single" w:sz="8" w:space="0" w:color="8A42A3" w:themeColor="accent4" w:themeTint="BF"/>
        <w:right w:val="single" w:sz="8" w:space="0" w:color="8A42A3" w:themeColor="accent4" w:themeTint="BF"/>
        <w:insideH w:val="single" w:sz="8" w:space="0" w:color="8A42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2A3" w:themeColor="accent4" w:themeTint="BF"/>
          <w:left w:val="single" w:sz="8" w:space="0" w:color="8A42A3" w:themeColor="accent4" w:themeTint="BF"/>
          <w:bottom w:val="single" w:sz="8" w:space="0" w:color="8A42A3" w:themeColor="accent4" w:themeTint="BF"/>
          <w:right w:val="single" w:sz="8" w:space="0" w:color="8A42A3" w:themeColor="accent4" w:themeTint="BF"/>
          <w:insideH w:val="nil"/>
          <w:insideV w:val="nil"/>
        </w:tcBorders>
        <w:shd w:val="clear" w:color="auto" w:fill="52276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2A3" w:themeColor="accent4" w:themeTint="BF"/>
          <w:left w:val="single" w:sz="8" w:space="0" w:color="8A42A3" w:themeColor="accent4" w:themeTint="BF"/>
          <w:bottom w:val="single" w:sz="8" w:space="0" w:color="8A42A3" w:themeColor="accent4" w:themeTint="BF"/>
          <w:right w:val="single" w:sz="8" w:space="0" w:color="8A42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BC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BC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6278C6" w:themeColor="accent5" w:themeTint="BF"/>
        <w:left w:val="single" w:sz="8" w:space="0" w:color="6278C6" w:themeColor="accent5" w:themeTint="BF"/>
        <w:bottom w:val="single" w:sz="8" w:space="0" w:color="6278C6" w:themeColor="accent5" w:themeTint="BF"/>
        <w:right w:val="single" w:sz="8" w:space="0" w:color="6278C6" w:themeColor="accent5" w:themeTint="BF"/>
        <w:insideH w:val="single" w:sz="8" w:space="0" w:color="6278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C6" w:themeColor="accent5" w:themeTint="BF"/>
          <w:left w:val="single" w:sz="8" w:space="0" w:color="6278C6" w:themeColor="accent5" w:themeTint="BF"/>
          <w:bottom w:val="single" w:sz="8" w:space="0" w:color="6278C6" w:themeColor="accent5" w:themeTint="BF"/>
          <w:right w:val="single" w:sz="8" w:space="0" w:color="6278C6" w:themeColor="accent5" w:themeTint="BF"/>
          <w:insideH w:val="nil"/>
          <w:insideV w:val="nil"/>
        </w:tcBorders>
        <w:shd w:val="clear" w:color="auto" w:fill="3C54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C6" w:themeColor="accent5" w:themeTint="BF"/>
          <w:left w:val="single" w:sz="8" w:space="0" w:color="6278C6" w:themeColor="accent5" w:themeTint="BF"/>
          <w:bottom w:val="single" w:sz="8" w:space="0" w:color="6278C6" w:themeColor="accent5" w:themeTint="BF"/>
          <w:right w:val="single" w:sz="8" w:space="0" w:color="6278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7A808C" w:themeColor="accent6" w:themeTint="BF"/>
        <w:left w:val="single" w:sz="8" w:space="0" w:color="7A808C" w:themeColor="accent6" w:themeTint="BF"/>
        <w:bottom w:val="single" w:sz="8" w:space="0" w:color="7A808C" w:themeColor="accent6" w:themeTint="BF"/>
        <w:right w:val="single" w:sz="8" w:space="0" w:color="7A808C" w:themeColor="accent6" w:themeTint="BF"/>
        <w:insideH w:val="single" w:sz="8" w:space="0" w:color="7A80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08C" w:themeColor="accent6" w:themeTint="BF"/>
          <w:left w:val="single" w:sz="8" w:space="0" w:color="7A808C" w:themeColor="accent6" w:themeTint="BF"/>
          <w:bottom w:val="single" w:sz="8" w:space="0" w:color="7A808C" w:themeColor="accent6" w:themeTint="BF"/>
          <w:right w:val="single" w:sz="8" w:space="0" w:color="7A808C" w:themeColor="accent6" w:themeTint="BF"/>
          <w:insideH w:val="nil"/>
          <w:insideV w:val="nil"/>
        </w:tcBorders>
        <w:shd w:val="clear" w:color="auto" w:fill="5458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08C" w:themeColor="accent6" w:themeTint="BF"/>
          <w:left w:val="single" w:sz="8" w:space="0" w:color="7A808C" w:themeColor="accent6" w:themeTint="BF"/>
          <w:bottom w:val="single" w:sz="8" w:space="0" w:color="7A808C" w:themeColor="accent6" w:themeTint="BF"/>
          <w:right w:val="single" w:sz="8" w:space="0" w:color="7A80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4A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4A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54A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8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8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58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A91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A91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A91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2276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2276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2276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4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4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54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8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8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58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3E273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E273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E273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E273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E273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E273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E273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E273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E273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E273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E273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E273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E273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E273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E273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E273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E273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E273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E273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E273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E273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E27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E27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E273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E273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E273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E273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E273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E27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E273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E273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E273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3E273C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3E273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E273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E273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E27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E273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E273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E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E273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376D2"/>
    <w:rPr>
      <w:color w:val="522761" w:themeColor="accent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3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E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6A6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1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5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9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4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64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22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2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46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37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218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00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33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dnet.hosts.network/education/Resources/Documents/CC%20BY%204.0%20Internationa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dnet.hosts.network/education/Resources/Documents/Creative%20Commons%20Attribution%204.0%20Internationa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CC5B5E.C6C84990" TargetMode="External"/><Relationship Id="rId20" Type="http://schemas.openxmlformats.org/officeDocument/2006/relationships/hyperlink" Target="mailto:ppfinance@education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education.gov.au/finance-public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3ECCC0788B4E4FAFA4CA7B6188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1E7D-805C-45F7-8F83-619E21249A74}"/>
      </w:docPartPr>
      <w:docPartBody>
        <w:p w:rsidR="00DA6E88" w:rsidRDefault="00DA6E88">
          <w:pPr>
            <w:pStyle w:val="A03ECCC0788B4E4FAFA4CA7B61887B21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88"/>
    <w:rsid w:val="000C0859"/>
    <w:rsid w:val="000D2273"/>
    <w:rsid w:val="000F4770"/>
    <w:rsid w:val="00152FB7"/>
    <w:rsid w:val="001D5921"/>
    <w:rsid w:val="00240F51"/>
    <w:rsid w:val="002533D7"/>
    <w:rsid w:val="00372BE6"/>
    <w:rsid w:val="005D68C5"/>
    <w:rsid w:val="00633F16"/>
    <w:rsid w:val="00763942"/>
    <w:rsid w:val="007A3C62"/>
    <w:rsid w:val="007D7FF1"/>
    <w:rsid w:val="0087488E"/>
    <w:rsid w:val="009D4E2D"/>
    <w:rsid w:val="00AA204B"/>
    <w:rsid w:val="00C14C70"/>
    <w:rsid w:val="00C43ED8"/>
    <w:rsid w:val="00DA6E88"/>
    <w:rsid w:val="00E1795D"/>
    <w:rsid w:val="00E82464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3ECCC0788B4E4FAFA4CA7B61887B21">
    <w:name w:val="A03ECCC0788B4E4FAFA4CA7B61887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0" ma:contentTypeDescription="Create a new document." ma:contentTypeScope="" ma:versionID="69bcb152a56893ebeae2acca7ad5e195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92d608cf293e0cd7f94ea42e9076e6a9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C45F-5108-4DFB-9409-93A12F348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B4C30-6D86-487A-8B5B-3A5DEC44818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c0fd65f7-4e73-4983-bb21-592ea722411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4778D3-CF8E-40BA-B4A5-78B8D0E4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4EA51-2EEA-4DAE-AA2B-99390A75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2018:</vt:lpstr>
    </vt:vector>
  </TitlesOfParts>
  <Company>Australian Government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2018:</dc:title>
  <dc:subject/>
  <dc:creator>TOOHEY,Alicia</dc:creator>
  <cp:keywords/>
  <dc:description/>
  <cp:lastModifiedBy>MANNIE,Ryan</cp:lastModifiedBy>
  <cp:revision>2</cp:revision>
  <cp:lastPrinted>2019-11-17T22:36:00Z</cp:lastPrinted>
  <dcterms:created xsi:type="dcterms:W3CDTF">2020-11-15T21:08:00Z</dcterms:created>
  <dcterms:modified xsi:type="dcterms:W3CDTF">2020-11-15T21:08:00Z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</Properties>
</file>