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8ADBB" w14:textId="77777777" w:rsidR="00527CC4" w:rsidRPr="00B55F65" w:rsidRDefault="00527CC4" w:rsidP="00781B51">
      <w:pPr>
        <w:pStyle w:val="Title"/>
      </w:pPr>
      <w:bookmarkStart w:id="0" w:name="_Hlk54693875"/>
      <w:bookmarkStart w:id="1" w:name="_GoBack"/>
      <w:bookmarkEnd w:id="1"/>
      <w:r w:rsidRPr="00781B51">
        <w:t>National</w:t>
      </w:r>
      <w:r w:rsidRPr="00B55F65">
        <w:t xml:space="preserve"> School Reform Agreement </w:t>
      </w:r>
    </w:p>
    <w:p w14:paraId="39EC24B8" w14:textId="2C5AA025" w:rsidR="00527CC4" w:rsidRDefault="00527CC4" w:rsidP="00781B51">
      <w:pPr>
        <w:pStyle w:val="Subtitle"/>
      </w:pPr>
      <w:r>
        <w:t>Victoria Bilateral Agreement:</w:t>
      </w:r>
      <w:r w:rsidR="00B55F65">
        <w:br/>
      </w:r>
      <w:r>
        <w:t>2019 Progress Report</w:t>
      </w:r>
      <w:bookmarkEnd w:id="0"/>
    </w:p>
    <w:p w14:paraId="25AC8D51" w14:textId="77777777" w:rsidR="00527CC4" w:rsidRDefault="00527CC4">
      <w:r>
        <w:br w:type="page"/>
      </w:r>
    </w:p>
    <w:p w14:paraId="36C287E1" w14:textId="271CA441" w:rsidR="00A437DC" w:rsidRPr="00781B51" w:rsidRDefault="00781B51" w:rsidP="00781B51">
      <w:pPr>
        <w:pStyle w:val="Heading1"/>
        <w:rPr>
          <w:rFonts w:eastAsia="Corbel"/>
        </w:rPr>
      </w:pPr>
      <w:r w:rsidRPr="00781B51">
        <w:rPr>
          <w:rFonts w:eastAsia="Corbel"/>
        </w:rPr>
        <w:lastRenderedPageBreak/>
        <w:t>Executive Summary</w:t>
      </w:r>
    </w:p>
    <w:p w14:paraId="61C3D8A7" w14:textId="798B074F" w:rsidR="00A27C40" w:rsidRPr="00781B51" w:rsidRDefault="001556D4" w:rsidP="00527CC4">
      <w:pPr>
        <w:jc w:val="both"/>
        <w:rPr>
          <w:rFonts w:asciiTheme="majorHAnsi" w:hAnsiTheme="majorHAnsi" w:cstheme="majorHAnsi"/>
          <w:szCs w:val="22"/>
        </w:rPr>
      </w:pPr>
      <w:r w:rsidRPr="00781B51">
        <w:rPr>
          <w:rFonts w:asciiTheme="majorHAnsi" w:hAnsiTheme="majorHAnsi" w:cstheme="majorHAnsi"/>
          <w:szCs w:val="22"/>
        </w:rPr>
        <w:t>Both Victorian government and non-government schools made progress in implementing their reform initiatives during 2019. All reforms remain on track</w:t>
      </w:r>
      <w:r w:rsidR="00493AB6" w:rsidRPr="00781B51">
        <w:rPr>
          <w:rFonts w:asciiTheme="majorHAnsi" w:hAnsiTheme="majorHAnsi" w:cstheme="majorHAnsi"/>
          <w:szCs w:val="22"/>
        </w:rPr>
        <w:t xml:space="preserve"> for,</w:t>
      </w:r>
      <w:r w:rsidRPr="00781B51">
        <w:rPr>
          <w:rFonts w:asciiTheme="majorHAnsi" w:hAnsiTheme="majorHAnsi" w:cstheme="majorHAnsi"/>
          <w:szCs w:val="22"/>
        </w:rPr>
        <w:t xml:space="preserve"> or ahead of</w:t>
      </w:r>
      <w:r w:rsidR="00493AB6" w:rsidRPr="00781B51">
        <w:rPr>
          <w:rFonts w:asciiTheme="majorHAnsi" w:hAnsiTheme="majorHAnsi" w:cstheme="majorHAnsi"/>
          <w:szCs w:val="22"/>
        </w:rPr>
        <w:t xml:space="preserve">, </w:t>
      </w:r>
      <w:r w:rsidRPr="00781B51">
        <w:rPr>
          <w:rFonts w:asciiTheme="majorHAnsi" w:hAnsiTheme="majorHAnsi" w:cstheme="majorHAnsi"/>
          <w:szCs w:val="22"/>
        </w:rPr>
        <w:t>the proposed timing for implementation.</w:t>
      </w:r>
      <w:r w:rsidR="00A27C40" w:rsidRPr="00781B51">
        <w:rPr>
          <w:rFonts w:asciiTheme="majorHAnsi" w:hAnsiTheme="majorHAnsi" w:cstheme="majorHAnsi"/>
          <w:szCs w:val="22"/>
        </w:rPr>
        <w:t xml:space="preserve"> </w:t>
      </w:r>
    </w:p>
    <w:p w14:paraId="16019085" w14:textId="3D1BC59E" w:rsidR="001556D4" w:rsidRPr="00781B51" w:rsidRDefault="001556D4" w:rsidP="00527CC4">
      <w:pPr>
        <w:jc w:val="both"/>
        <w:rPr>
          <w:rFonts w:asciiTheme="majorHAnsi" w:hAnsiTheme="majorHAnsi" w:cstheme="majorHAnsi"/>
          <w:szCs w:val="22"/>
        </w:rPr>
      </w:pPr>
      <w:r w:rsidRPr="00781B51">
        <w:rPr>
          <w:rFonts w:asciiTheme="majorHAnsi" w:hAnsiTheme="majorHAnsi" w:cstheme="majorHAnsi"/>
          <w:szCs w:val="22"/>
        </w:rPr>
        <w:t xml:space="preserve">Victoria’s reform initiatives are designed to support the implementation of the National Policy </w:t>
      </w:r>
      <w:r w:rsidR="00493AB6" w:rsidRPr="00781B51">
        <w:rPr>
          <w:rFonts w:asciiTheme="majorHAnsi" w:hAnsiTheme="majorHAnsi" w:cstheme="majorHAnsi"/>
          <w:szCs w:val="22"/>
        </w:rPr>
        <w:t>I</w:t>
      </w:r>
      <w:r w:rsidRPr="00781B51">
        <w:rPr>
          <w:rFonts w:asciiTheme="majorHAnsi" w:hAnsiTheme="majorHAnsi" w:cstheme="majorHAnsi"/>
          <w:szCs w:val="22"/>
        </w:rPr>
        <w:t xml:space="preserve">nitiatives in the National School Reform Agreement. They are consistent with Victoria’s Education State agenda, aimed at improving both equity and excellence </w:t>
      </w:r>
      <w:r w:rsidR="00493AB6" w:rsidRPr="00781B51">
        <w:rPr>
          <w:rFonts w:asciiTheme="majorHAnsi" w:hAnsiTheme="majorHAnsi" w:cstheme="majorHAnsi"/>
          <w:szCs w:val="22"/>
        </w:rPr>
        <w:t>in</w:t>
      </w:r>
      <w:r w:rsidRPr="00781B51">
        <w:rPr>
          <w:rFonts w:asciiTheme="majorHAnsi" w:hAnsiTheme="majorHAnsi" w:cstheme="majorHAnsi"/>
          <w:szCs w:val="22"/>
        </w:rPr>
        <w:t xml:space="preserve"> our schooling system. This agenda focusses on: </w:t>
      </w:r>
    </w:p>
    <w:p w14:paraId="796F8C3A" w14:textId="24C33425" w:rsidR="0076096C" w:rsidRPr="00781B51" w:rsidRDefault="001556D4" w:rsidP="0044031E">
      <w:pPr>
        <w:pStyle w:val="ListParagraph"/>
        <w:numPr>
          <w:ilvl w:val="0"/>
          <w:numId w:val="5"/>
        </w:numPr>
        <w:jc w:val="both"/>
        <w:rPr>
          <w:rFonts w:asciiTheme="majorHAnsi" w:hAnsiTheme="majorHAnsi" w:cstheme="majorHAnsi"/>
          <w:szCs w:val="22"/>
        </w:rPr>
      </w:pPr>
      <w:r w:rsidRPr="00781B51">
        <w:rPr>
          <w:rFonts w:asciiTheme="majorHAnsi" w:hAnsiTheme="majorHAnsi" w:cstheme="majorHAnsi"/>
          <w:szCs w:val="22"/>
        </w:rPr>
        <w:t>Learning for life</w:t>
      </w:r>
    </w:p>
    <w:p w14:paraId="6FB4283C" w14:textId="50A14CEC" w:rsidR="001556D4" w:rsidRPr="00781B51" w:rsidRDefault="001556D4" w:rsidP="0044031E">
      <w:pPr>
        <w:pStyle w:val="ListParagraph"/>
        <w:numPr>
          <w:ilvl w:val="0"/>
          <w:numId w:val="5"/>
        </w:numPr>
        <w:jc w:val="both"/>
        <w:rPr>
          <w:rFonts w:asciiTheme="majorHAnsi" w:hAnsiTheme="majorHAnsi" w:cstheme="majorHAnsi"/>
          <w:szCs w:val="22"/>
        </w:rPr>
      </w:pPr>
      <w:r w:rsidRPr="00781B51">
        <w:rPr>
          <w:rFonts w:asciiTheme="majorHAnsi" w:hAnsiTheme="majorHAnsi" w:cstheme="majorHAnsi"/>
          <w:szCs w:val="22"/>
        </w:rPr>
        <w:t>Happy, healthy and resilient kids</w:t>
      </w:r>
    </w:p>
    <w:p w14:paraId="5710CC4E" w14:textId="624614B3" w:rsidR="001556D4" w:rsidRPr="00781B51" w:rsidRDefault="001556D4" w:rsidP="0044031E">
      <w:pPr>
        <w:pStyle w:val="ListParagraph"/>
        <w:numPr>
          <w:ilvl w:val="0"/>
          <w:numId w:val="5"/>
        </w:numPr>
        <w:jc w:val="both"/>
        <w:rPr>
          <w:rFonts w:asciiTheme="majorHAnsi" w:hAnsiTheme="majorHAnsi" w:cstheme="majorHAnsi"/>
          <w:szCs w:val="22"/>
        </w:rPr>
      </w:pPr>
      <w:r w:rsidRPr="00781B51">
        <w:rPr>
          <w:rFonts w:asciiTheme="majorHAnsi" w:hAnsiTheme="majorHAnsi" w:cstheme="majorHAnsi"/>
          <w:szCs w:val="22"/>
        </w:rPr>
        <w:t>Breaking the link between disadvantage and outcomes</w:t>
      </w:r>
    </w:p>
    <w:p w14:paraId="35951116" w14:textId="32761DA5" w:rsidR="001556D4" w:rsidRPr="00781B51" w:rsidRDefault="001556D4" w:rsidP="0044031E">
      <w:pPr>
        <w:pStyle w:val="ListParagraph"/>
        <w:numPr>
          <w:ilvl w:val="0"/>
          <w:numId w:val="5"/>
        </w:numPr>
        <w:jc w:val="both"/>
        <w:rPr>
          <w:rFonts w:asciiTheme="majorHAnsi" w:hAnsiTheme="majorHAnsi" w:cstheme="majorHAnsi"/>
          <w:szCs w:val="22"/>
        </w:rPr>
      </w:pPr>
      <w:r w:rsidRPr="00781B51">
        <w:rPr>
          <w:rFonts w:asciiTheme="majorHAnsi" w:hAnsiTheme="majorHAnsi" w:cstheme="majorHAnsi"/>
          <w:szCs w:val="22"/>
        </w:rPr>
        <w:t>Building pride and confidence in our schools.</w:t>
      </w:r>
    </w:p>
    <w:p w14:paraId="71A7D723" w14:textId="2E4312FA" w:rsidR="00493AB6" w:rsidRPr="00781B51" w:rsidRDefault="00493AB6" w:rsidP="00781B51">
      <w:pPr>
        <w:jc w:val="both"/>
        <w:rPr>
          <w:rFonts w:asciiTheme="majorHAnsi" w:hAnsiTheme="majorHAnsi" w:cstheme="majorHAnsi"/>
          <w:szCs w:val="22"/>
        </w:rPr>
      </w:pPr>
      <w:r w:rsidRPr="00781B51">
        <w:rPr>
          <w:rFonts w:asciiTheme="majorHAnsi" w:hAnsiTheme="majorHAnsi" w:cstheme="majorHAnsi"/>
          <w:szCs w:val="22"/>
        </w:rPr>
        <w:t>These reforms include activity to improve the educational opportunities and outcomes for all Victorian children and young people, with a focus on the whole child and young person. This includes supporting the academic achievement of children who are Aboriginal and Torres Strait Islander, who are living with a disability, who are refugees, and children who are experiencing disadvantage.</w:t>
      </w:r>
    </w:p>
    <w:p w14:paraId="0B1D97C8" w14:textId="5E3BC288" w:rsidR="00A27C40" w:rsidRPr="00781B51" w:rsidRDefault="00493AB6" w:rsidP="00781B51">
      <w:pPr>
        <w:jc w:val="both"/>
        <w:rPr>
          <w:rFonts w:asciiTheme="majorHAnsi" w:hAnsiTheme="majorHAnsi" w:cstheme="majorHAnsi"/>
          <w:szCs w:val="22"/>
        </w:rPr>
      </w:pPr>
      <w:r w:rsidRPr="00781B51">
        <w:rPr>
          <w:rFonts w:asciiTheme="majorHAnsi" w:hAnsiTheme="majorHAnsi" w:cstheme="majorHAnsi"/>
          <w:szCs w:val="22"/>
        </w:rPr>
        <w:t xml:space="preserve">Victoria recognises the need to promote recognition of Aboriginal culture and achievement. Victoria has worked with the Victorian </w:t>
      </w:r>
      <w:proofErr w:type="spellStart"/>
      <w:r w:rsidRPr="00781B51">
        <w:rPr>
          <w:rFonts w:asciiTheme="majorHAnsi" w:hAnsiTheme="majorHAnsi" w:cstheme="majorHAnsi"/>
          <w:szCs w:val="22"/>
        </w:rPr>
        <w:t>Koorie</w:t>
      </w:r>
      <w:proofErr w:type="spellEnd"/>
      <w:r w:rsidRPr="00781B51">
        <w:rPr>
          <w:rFonts w:asciiTheme="majorHAnsi" w:hAnsiTheme="majorHAnsi" w:cstheme="majorHAnsi"/>
          <w:szCs w:val="22"/>
        </w:rPr>
        <w:t xml:space="preserve"> community to develop the </w:t>
      </w:r>
      <w:proofErr w:type="spellStart"/>
      <w:r w:rsidRPr="00781B51">
        <w:rPr>
          <w:rFonts w:asciiTheme="majorHAnsi" w:hAnsiTheme="majorHAnsi" w:cstheme="majorHAnsi"/>
          <w:i/>
          <w:iCs/>
          <w:szCs w:val="22"/>
        </w:rPr>
        <w:t>Marrung</w:t>
      </w:r>
      <w:proofErr w:type="spellEnd"/>
      <w:r w:rsidRPr="00781B51">
        <w:rPr>
          <w:rFonts w:asciiTheme="majorHAnsi" w:hAnsiTheme="majorHAnsi" w:cstheme="majorHAnsi"/>
          <w:i/>
          <w:iCs/>
          <w:szCs w:val="22"/>
        </w:rPr>
        <w:t>: Aboriginal Education Plan 2016−2026</w:t>
      </w:r>
      <w:r w:rsidRPr="00781B51">
        <w:rPr>
          <w:rFonts w:asciiTheme="majorHAnsi" w:hAnsiTheme="majorHAnsi" w:cstheme="majorHAnsi"/>
          <w:szCs w:val="22"/>
        </w:rPr>
        <w:t xml:space="preserve">. </w:t>
      </w:r>
      <w:proofErr w:type="spellStart"/>
      <w:r w:rsidRPr="00781B51">
        <w:rPr>
          <w:rFonts w:asciiTheme="majorHAnsi" w:hAnsiTheme="majorHAnsi" w:cstheme="majorHAnsi"/>
          <w:szCs w:val="22"/>
        </w:rPr>
        <w:t>Marrung</w:t>
      </w:r>
      <w:proofErr w:type="spellEnd"/>
      <w:r w:rsidRPr="00781B51">
        <w:rPr>
          <w:rFonts w:asciiTheme="majorHAnsi" w:hAnsiTheme="majorHAnsi" w:cstheme="majorHAnsi"/>
          <w:szCs w:val="22"/>
        </w:rPr>
        <w:t xml:space="preserve"> sets out a 10 year vision and identifies the significant actions to make Victoria a state where the rich and thriving culture, knowledge and experience of our First Nations peoples are celebrated by all Victorians; where our universal service systems are inclusive, responsive and respectful of </w:t>
      </w:r>
      <w:proofErr w:type="spellStart"/>
      <w:r w:rsidRPr="00781B51">
        <w:rPr>
          <w:rFonts w:asciiTheme="majorHAnsi" w:hAnsiTheme="majorHAnsi" w:cstheme="majorHAnsi"/>
          <w:szCs w:val="22"/>
        </w:rPr>
        <w:t>Koorie</w:t>
      </w:r>
      <w:proofErr w:type="spellEnd"/>
      <w:r w:rsidRPr="00781B51">
        <w:rPr>
          <w:rFonts w:asciiTheme="majorHAnsi" w:hAnsiTheme="majorHAnsi" w:cstheme="majorHAnsi"/>
          <w:szCs w:val="22"/>
        </w:rPr>
        <w:t xml:space="preserve"> people at every stage of their learning and development journey; and where every </w:t>
      </w:r>
      <w:proofErr w:type="spellStart"/>
      <w:r w:rsidRPr="00781B51">
        <w:rPr>
          <w:rFonts w:asciiTheme="majorHAnsi" w:hAnsiTheme="majorHAnsi" w:cstheme="majorHAnsi"/>
          <w:szCs w:val="22"/>
        </w:rPr>
        <w:t>Koorie</w:t>
      </w:r>
      <w:proofErr w:type="spellEnd"/>
      <w:r w:rsidRPr="00781B51">
        <w:rPr>
          <w:rFonts w:asciiTheme="majorHAnsi" w:hAnsiTheme="majorHAnsi" w:cstheme="majorHAnsi"/>
          <w:szCs w:val="22"/>
        </w:rPr>
        <w:t xml:space="preserve"> person achieves their potential, succeeds in life, and feels strong in their cultural identity.</w:t>
      </w:r>
    </w:p>
    <w:p w14:paraId="0BE4E89D" w14:textId="611D8B58" w:rsidR="00A27C40" w:rsidRPr="00781B51" w:rsidRDefault="00A27C40" w:rsidP="00527CC4">
      <w:pPr>
        <w:jc w:val="both"/>
        <w:rPr>
          <w:rFonts w:asciiTheme="majorHAnsi" w:hAnsiTheme="majorHAnsi" w:cstheme="majorHAnsi"/>
          <w:szCs w:val="22"/>
        </w:rPr>
      </w:pPr>
      <w:r w:rsidRPr="00781B51">
        <w:rPr>
          <w:rFonts w:asciiTheme="majorHAnsi" w:hAnsiTheme="majorHAnsi" w:cstheme="majorHAnsi"/>
          <w:szCs w:val="22"/>
        </w:rPr>
        <w:t xml:space="preserve">Victoria is undertaking reform across the whole learning pathway — early childhood, school and higher education. Research has consistently demonstrated the clear benefits of investing in the early years, particularly for vulnerable and disadvantaged children, and has continuing positive benefits not only on children's school performance, but on long−term employment, health and wellbeing. The Education State Early Childhood Reform Plan is investing in early childhood education reforms that are helping Victorian children and families access equitable and inclusive services, providing additional for those who need it. In a landmark reform, the Victorian Government has committed almost $5 billion to deliver </w:t>
      </w:r>
      <w:r w:rsidR="007209EB" w:rsidRPr="00781B51">
        <w:rPr>
          <w:rFonts w:asciiTheme="majorHAnsi" w:hAnsiTheme="majorHAnsi" w:cstheme="majorHAnsi"/>
          <w:szCs w:val="22"/>
        </w:rPr>
        <w:t>the Plan</w:t>
      </w:r>
      <w:r w:rsidRPr="00781B51">
        <w:rPr>
          <w:rFonts w:asciiTheme="majorHAnsi" w:hAnsiTheme="majorHAnsi" w:cstheme="majorHAnsi"/>
          <w:szCs w:val="22"/>
        </w:rPr>
        <w:t xml:space="preserve"> over the next decade.</w:t>
      </w:r>
    </w:p>
    <w:p w14:paraId="446A14C8" w14:textId="2E655ABA" w:rsidR="0076096C" w:rsidRPr="00781B51" w:rsidRDefault="00493AB6" w:rsidP="00527CC4">
      <w:pPr>
        <w:jc w:val="both"/>
        <w:rPr>
          <w:rFonts w:asciiTheme="majorHAnsi" w:hAnsiTheme="majorHAnsi" w:cstheme="majorHAnsi"/>
          <w:szCs w:val="22"/>
        </w:rPr>
      </w:pPr>
      <w:r w:rsidRPr="00781B51">
        <w:rPr>
          <w:rFonts w:asciiTheme="majorHAnsi" w:hAnsiTheme="majorHAnsi" w:cstheme="majorHAnsi"/>
          <w:szCs w:val="22"/>
        </w:rPr>
        <w:t>Schools reform in Victoria is accompanied by an ambitious investment in school capital across the State. This program is building learning environments where all our children, in all our communities, can thrive and learn 21</w:t>
      </w:r>
      <w:r w:rsidRPr="00781B51">
        <w:rPr>
          <w:rFonts w:asciiTheme="majorHAnsi" w:hAnsiTheme="majorHAnsi" w:cstheme="majorHAnsi"/>
          <w:szCs w:val="22"/>
          <w:vertAlign w:val="superscript"/>
        </w:rPr>
        <w:t>st</w:t>
      </w:r>
      <w:r w:rsidRPr="00781B51">
        <w:rPr>
          <w:rFonts w:asciiTheme="majorHAnsi" w:hAnsiTheme="majorHAnsi" w:cstheme="majorHAnsi"/>
          <w:szCs w:val="22"/>
        </w:rPr>
        <w:t xml:space="preserve"> century skills.</w:t>
      </w:r>
    </w:p>
    <w:p w14:paraId="5223DD1C" w14:textId="3E6252A1" w:rsidR="0076096C" w:rsidRPr="00781B51" w:rsidRDefault="00781B51" w:rsidP="00781B51">
      <w:pPr>
        <w:pStyle w:val="Heading1"/>
        <w:rPr>
          <w:rFonts w:eastAsia="Corbel"/>
        </w:rPr>
      </w:pPr>
      <w:r w:rsidRPr="00781B51">
        <w:rPr>
          <w:rFonts w:eastAsia="Corbel"/>
        </w:rPr>
        <w:lastRenderedPageBreak/>
        <w:t>Progress against each reform direction</w:t>
      </w:r>
    </w:p>
    <w:p w14:paraId="27DB8338" w14:textId="0D71A56E" w:rsidR="00760791" w:rsidRPr="00781B51" w:rsidRDefault="00760791" w:rsidP="00781B51">
      <w:pPr>
        <w:pStyle w:val="Heading2"/>
        <w:rPr>
          <w:rFonts w:eastAsia="Corbel"/>
        </w:rPr>
      </w:pPr>
      <w:r w:rsidRPr="00760791">
        <w:rPr>
          <w:rFonts w:eastAsia="Corbel"/>
        </w:rPr>
        <w:t>Reform Direction A - Support students, student learning and achievement</w:t>
      </w:r>
    </w:p>
    <w:tbl>
      <w:tblPr>
        <w:tblStyle w:val="TableGrid0"/>
        <w:tblW w:w="14034" w:type="dxa"/>
        <w:tblInd w:w="-10" w:type="dxa"/>
        <w:tblCellMar>
          <w:top w:w="57" w:type="dxa"/>
          <w:left w:w="108" w:type="dxa"/>
          <w:right w:w="115" w:type="dxa"/>
        </w:tblCellMar>
        <w:tblLook w:val="04A0" w:firstRow="1" w:lastRow="0" w:firstColumn="1" w:lastColumn="0" w:noHBand="0" w:noVBand="1"/>
      </w:tblPr>
      <w:tblGrid>
        <w:gridCol w:w="6266"/>
        <w:gridCol w:w="1437"/>
        <w:gridCol w:w="1056"/>
        <w:gridCol w:w="5275"/>
      </w:tblGrid>
      <w:tr w:rsidR="00760791" w14:paraId="0107FA44" w14:textId="77777777" w:rsidTr="00781B51">
        <w:trPr>
          <w:trHeight w:val="1200"/>
          <w:tblHeader/>
        </w:trPr>
        <w:tc>
          <w:tcPr>
            <w:tcW w:w="6266" w:type="dxa"/>
            <w:tcBorders>
              <w:top w:val="single" w:sz="24" w:space="0" w:color="316F72"/>
              <w:left w:val="single" w:sz="8" w:space="0" w:color="316F72"/>
              <w:bottom w:val="single" w:sz="24" w:space="0" w:color="316F72"/>
              <w:right w:val="single" w:sz="8" w:space="0" w:color="316F72"/>
            </w:tcBorders>
            <w:vAlign w:val="center"/>
          </w:tcPr>
          <w:p w14:paraId="52864F34" w14:textId="30075F0F" w:rsidR="00760791" w:rsidRPr="00781B51" w:rsidRDefault="00760791" w:rsidP="00781B51">
            <w:pPr>
              <w:rPr>
                <w:b/>
                <w:bCs/>
              </w:rPr>
            </w:pPr>
            <w:r w:rsidRPr="00781B51">
              <w:rPr>
                <w:b/>
                <w:bCs/>
              </w:rPr>
              <w:t xml:space="preserve">Actions </w:t>
            </w:r>
          </w:p>
        </w:tc>
        <w:tc>
          <w:tcPr>
            <w:tcW w:w="1437" w:type="dxa"/>
            <w:tcBorders>
              <w:top w:val="single" w:sz="24" w:space="0" w:color="316F72"/>
              <w:left w:val="single" w:sz="8" w:space="0" w:color="316F72"/>
              <w:bottom w:val="single" w:sz="24" w:space="0" w:color="316F72"/>
              <w:right w:val="single" w:sz="8" w:space="0" w:color="316F72"/>
            </w:tcBorders>
            <w:vAlign w:val="center"/>
          </w:tcPr>
          <w:p w14:paraId="05995137" w14:textId="77777777" w:rsidR="00760791" w:rsidRPr="00781B51" w:rsidRDefault="00760791" w:rsidP="00781B51">
            <w:pPr>
              <w:rPr>
                <w:b/>
                <w:bCs/>
              </w:rPr>
            </w:pPr>
            <w:r w:rsidRPr="00781B51">
              <w:rPr>
                <w:b/>
                <w:bCs/>
              </w:rPr>
              <w:t xml:space="preserve">Sector(s) </w:t>
            </w:r>
          </w:p>
        </w:tc>
        <w:tc>
          <w:tcPr>
            <w:tcW w:w="1056" w:type="dxa"/>
            <w:tcBorders>
              <w:top w:val="single" w:sz="24" w:space="0" w:color="316F72"/>
              <w:left w:val="single" w:sz="8" w:space="0" w:color="316F72"/>
              <w:bottom w:val="single" w:sz="24" w:space="0" w:color="316F72"/>
              <w:right w:val="single" w:sz="8" w:space="0" w:color="316F72"/>
            </w:tcBorders>
            <w:vAlign w:val="center"/>
          </w:tcPr>
          <w:p w14:paraId="65CD5DDB" w14:textId="77777777" w:rsidR="00760791" w:rsidRPr="00781B51" w:rsidRDefault="00760791" w:rsidP="00781B51">
            <w:pPr>
              <w:rPr>
                <w:b/>
                <w:bCs/>
              </w:rPr>
            </w:pPr>
            <w:r w:rsidRPr="00781B51">
              <w:rPr>
                <w:b/>
                <w:bCs/>
              </w:rPr>
              <w:t xml:space="preserve">Timing </w:t>
            </w:r>
          </w:p>
        </w:tc>
        <w:tc>
          <w:tcPr>
            <w:tcW w:w="5275" w:type="dxa"/>
            <w:tcBorders>
              <w:top w:val="single" w:sz="24" w:space="0" w:color="316F72"/>
              <w:left w:val="single" w:sz="8" w:space="0" w:color="316F72"/>
              <w:bottom w:val="single" w:sz="24" w:space="0" w:color="316F72"/>
              <w:right w:val="single" w:sz="8" w:space="0" w:color="316F72"/>
            </w:tcBorders>
            <w:vAlign w:val="center"/>
          </w:tcPr>
          <w:p w14:paraId="32E7C89D" w14:textId="1DD7F5D0" w:rsidR="00760791" w:rsidRPr="00781B51" w:rsidRDefault="00760791" w:rsidP="00781B51">
            <w:pPr>
              <w:rPr>
                <w:b/>
                <w:bCs/>
              </w:rPr>
            </w:pPr>
            <w:r w:rsidRPr="00781B51">
              <w:rPr>
                <w:b/>
                <w:bCs/>
              </w:rPr>
              <w:t>Progress towards implementation of actions (including progress of non-government sector actions)</w:t>
            </w:r>
          </w:p>
        </w:tc>
      </w:tr>
      <w:tr w:rsidR="002D0C8A" w:rsidRPr="00781B51" w14:paraId="08D8A46E" w14:textId="77777777" w:rsidTr="003427C6">
        <w:trPr>
          <w:trHeight w:val="583"/>
        </w:trPr>
        <w:tc>
          <w:tcPr>
            <w:tcW w:w="6266" w:type="dxa"/>
            <w:tcBorders>
              <w:top w:val="single" w:sz="8" w:space="0" w:color="316F72"/>
              <w:left w:val="single" w:sz="8" w:space="0" w:color="316F72"/>
              <w:bottom w:val="single" w:sz="8" w:space="0" w:color="316F72"/>
              <w:right w:val="single" w:sz="8" w:space="0" w:color="316F72"/>
            </w:tcBorders>
          </w:tcPr>
          <w:p w14:paraId="6DF6F04F" w14:textId="38588F3D" w:rsidR="002D0C8A" w:rsidRPr="00781B51" w:rsidRDefault="002D0C8A" w:rsidP="002D0C8A">
            <w:pPr>
              <w:ind w:left="2"/>
              <w:rPr>
                <w:rFonts w:asciiTheme="majorHAnsi" w:eastAsia="Corbel" w:hAnsiTheme="majorHAnsi" w:cstheme="majorHAnsi"/>
                <w:i/>
              </w:rPr>
            </w:pPr>
            <w:r w:rsidRPr="00781B51">
              <w:rPr>
                <w:rFonts w:asciiTheme="majorHAnsi" w:eastAsia="Times New Roman" w:hAnsiTheme="majorHAnsi" w:cstheme="majorHAnsi"/>
              </w:rPr>
              <w:t>Strengthen teacher practice in Victoria by establishing a Digital Assessment Library, an online resource that will develop and make available new digital student assessment tools and teacher resources to improve student learning assessment.</w:t>
            </w:r>
            <w:r w:rsidRPr="00781B51">
              <w:rPr>
                <w:rFonts w:asciiTheme="majorHAnsi" w:eastAsia="Times New Roman" w:hAnsiTheme="majorHAnsi" w:cstheme="majorHAnsi"/>
                <w:color w:val="FF0000"/>
              </w:rPr>
              <w:t xml:space="preserve"> </w:t>
            </w:r>
          </w:p>
        </w:tc>
        <w:tc>
          <w:tcPr>
            <w:tcW w:w="1437" w:type="dxa"/>
            <w:tcBorders>
              <w:top w:val="single" w:sz="8" w:space="0" w:color="316F72"/>
              <w:left w:val="single" w:sz="8" w:space="0" w:color="316F72"/>
              <w:bottom w:val="single" w:sz="8" w:space="0" w:color="316F72"/>
              <w:right w:val="single" w:sz="8" w:space="0" w:color="316F72"/>
            </w:tcBorders>
          </w:tcPr>
          <w:p w14:paraId="356DFCB6" w14:textId="387BF5DF" w:rsidR="002D0C8A" w:rsidRPr="00781B51" w:rsidRDefault="002D0C8A" w:rsidP="002D0C8A">
            <w:pPr>
              <w:ind w:left="2"/>
              <w:rPr>
                <w:rFonts w:asciiTheme="majorHAnsi" w:eastAsia="Corbel" w:hAnsiTheme="majorHAnsi" w:cstheme="majorHAnsi"/>
              </w:rPr>
            </w:pPr>
            <w:r w:rsidRPr="00781B51">
              <w:rPr>
                <w:rFonts w:asciiTheme="majorHAnsi" w:eastAsia="Times New Roman" w:hAnsiTheme="majorHAnsi" w:cstheme="majorHAnsi"/>
                <w:color w:val="000000"/>
              </w:rPr>
              <w:t>All Sectors</w:t>
            </w:r>
          </w:p>
        </w:tc>
        <w:tc>
          <w:tcPr>
            <w:tcW w:w="1056" w:type="dxa"/>
            <w:tcBorders>
              <w:top w:val="single" w:sz="8" w:space="0" w:color="316F72"/>
              <w:left w:val="single" w:sz="8" w:space="0" w:color="316F72"/>
              <w:bottom w:val="single" w:sz="8" w:space="0" w:color="316F72"/>
              <w:right w:val="single" w:sz="8" w:space="0" w:color="316F72"/>
            </w:tcBorders>
          </w:tcPr>
          <w:p w14:paraId="5784AF40" w14:textId="06943645" w:rsidR="002D0C8A" w:rsidRPr="00781B51" w:rsidRDefault="002D0C8A" w:rsidP="002D0C8A">
            <w:pPr>
              <w:ind w:left="2"/>
              <w:rPr>
                <w:rFonts w:asciiTheme="majorHAnsi" w:eastAsia="Corbel" w:hAnsiTheme="majorHAnsi" w:cstheme="majorHAnsi"/>
              </w:rPr>
            </w:pPr>
            <w:r w:rsidRPr="00781B51">
              <w:rPr>
                <w:rFonts w:asciiTheme="majorHAnsi" w:eastAsia="Times New Roman" w:hAnsiTheme="majorHAnsi" w:cstheme="majorHAnsi"/>
                <w:color w:val="000000"/>
              </w:rPr>
              <w:t>2020</w:t>
            </w:r>
          </w:p>
        </w:tc>
        <w:tc>
          <w:tcPr>
            <w:tcW w:w="5275" w:type="dxa"/>
            <w:tcBorders>
              <w:top w:val="single" w:sz="8" w:space="0" w:color="316F72"/>
              <w:left w:val="single" w:sz="8" w:space="0" w:color="316F72"/>
              <w:bottom w:val="single" w:sz="8" w:space="0" w:color="316F72"/>
              <w:right w:val="single" w:sz="8" w:space="0" w:color="316F72"/>
            </w:tcBorders>
          </w:tcPr>
          <w:p w14:paraId="7DF478B4" w14:textId="00593EB7" w:rsidR="00DB728D" w:rsidRPr="00781B51" w:rsidRDefault="00DB728D" w:rsidP="00046914">
            <w:pPr>
              <w:rPr>
                <w:rFonts w:asciiTheme="majorHAnsi" w:hAnsiTheme="majorHAnsi" w:cstheme="majorHAnsi"/>
                <w:b/>
                <w:bCs/>
              </w:rPr>
            </w:pPr>
            <w:r w:rsidRPr="00781B51">
              <w:rPr>
                <w:rFonts w:asciiTheme="majorHAnsi" w:hAnsiTheme="majorHAnsi" w:cstheme="majorHAnsi"/>
                <w:b/>
                <w:bCs/>
              </w:rPr>
              <w:t>Commenced and ongoing</w:t>
            </w:r>
          </w:p>
          <w:p w14:paraId="33017481" w14:textId="7337A1D4" w:rsidR="00495B0D" w:rsidRPr="00781B51" w:rsidRDefault="00495B0D" w:rsidP="0044031E">
            <w:pPr>
              <w:pStyle w:val="ListParagraph"/>
              <w:numPr>
                <w:ilvl w:val="0"/>
                <w:numId w:val="4"/>
              </w:numPr>
              <w:contextualSpacing w:val="0"/>
              <w:rPr>
                <w:rFonts w:asciiTheme="majorHAnsi" w:eastAsia="Times New Roman" w:hAnsiTheme="majorHAnsi" w:cstheme="majorHAnsi"/>
              </w:rPr>
            </w:pPr>
            <w:r w:rsidRPr="00781B51">
              <w:rPr>
                <w:rFonts w:asciiTheme="majorHAnsi" w:eastAsia="Times New Roman" w:hAnsiTheme="majorHAnsi" w:cstheme="majorHAnsi"/>
              </w:rPr>
              <w:t xml:space="preserve">The </w:t>
            </w:r>
            <w:hyperlink r:id="rId8" w:history="1">
              <w:r w:rsidRPr="00781B51">
                <w:rPr>
                  <w:rStyle w:val="Hyperlink"/>
                  <w:rFonts w:asciiTheme="majorHAnsi" w:eastAsia="Times New Roman" w:hAnsiTheme="majorHAnsi" w:cstheme="majorHAnsi"/>
                </w:rPr>
                <w:t>Digital Assessment Library</w:t>
              </w:r>
            </w:hyperlink>
            <w:r w:rsidRPr="00781B51">
              <w:rPr>
                <w:rFonts w:asciiTheme="majorHAnsi" w:eastAsia="Times New Roman" w:hAnsiTheme="majorHAnsi" w:cstheme="majorHAnsi"/>
              </w:rPr>
              <w:t xml:space="preserve"> was released in an open trial at the end of 2019.</w:t>
            </w:r>
          </w:p>
          <w:p w14:paraId="59DF388D" w14:textId="704487B3" w:rsidR="00495B0D" w:rsidRPr="00781B51" w:rsidRDefault="00495B0D" w:rsidP="0044031E">
            <w:pPr>
              <w:pStyle w:val="ListParagraph"/>
              <w:numPr>
                <w:ilvl w:val="0"/>
                <w:numId w:val="4"/>
              </w:numPr>
              <w:contextualSpacing w:val="0"/>
              <w:rPr>
                <w:rFonts w:asciiTheme="majorHAnsi" w:eastAsia="Times New Roman" w:hAnsiTheme="majorHAnsi" w:cstheme="majorHAnsi"/>
              </w:rPr>
            </w:pPr>
            <w:r w:rsidRPr="00781B51">
              <w:rPr>
                <w:rFonts w:asciiTheme="majorHAnsi" w:eastAsia="Times New Roman" w:hAnsiTheme="majorHAnsi" w:cstheme="majorHAnsi"/>
              </w:rPr>
              <w:t>As part of the trial schools in all sectors have been able to request access to a trial set of assessments in English and Mathematics.</w:t>
            </w:r>
          </w:p>
          <w:p w14:paraId="184421FD" w14:textId="141477CC" w:rsidR="002D0C8A" w:rsidRPr="00781B51" w:rsidRDefault="00495B0D" w:rsidP="0044031E">
            <w:pPr>
              <w:pStyle w:val="ListParagraph"/>
              <w:numPr>
                <w:ilvl w:val="0"/>
                <w:numId w:val="4"/>
              </w:numPr>
              <w:contextualSpacing w:val="0"/>
              <w:rPr>
                <w:rFonts w:asciiTheme="majorHAnsi" w:hAnsiTheme="majorHAnsi" w:cstheme="majorHAnsi"/>
              </w:rPr>
            </w:pPr>
            <w:r w:rsidRPr="00781B51">
              <w:rPr>
                <w:rFonts w:asciiTheme="majorHAnsi" w:eastAsia="Times New Roman" w:hAnsiTheme="majorHAnsi" w:cstheme="majorHAnsi"/>
              </w:rPr>
              <w:t>Development of content for Critical and Creative thinking, English and Mathematics is progressing, and this is part of the program of progressive development and delivery to continue in 2020.</w:t>
            </w:r>
          </w:p>
        </w:tc>
      </w:tr>
      <w:tr w:rsidR="002D0C8A" w:rsidRPr="00781B51" w14:paraId="29D7A963" w14:textId="77777777" w:rsidTr="003427C6">
        <w:trPr>
          <w:trHeight w:val="583"/>
        </w:trPr>
        <w:tc>
          <w:tcPr>
            <w:tcW w:w="6266" w:type="dxa"/>
            <w:tcBorders>
              <w:top w:val="single" w:sz="8" w:space="0" w:color="316F72"/>
              <w:left w:val="single" w:sz="8" w:space="0" w:color="316F72"/>
              <w:bottom w:val="single" w:sz="8" w:space="0" w:color="316F72"/>
              <w:right w:val="single" w:sz="8" w:space="0" w:color="316F72"/>
            </w:tcBorders>
          </w:tcPr>
          <w:p w14:paraId="53B48CC4" w14:textId="0887908B" w:rsidR="002D0C8A" w:rsidRPr="00781B51" w:rsidRDefault="002D0C8A" w:rsidP="002D0C8A">
            <w:pPr>
              <w:ind w:left="2"/>
              <w:rPr>
                <w:rFonts w:asciiTheme="majorHAnsi" w:eastAsia="Corbel" w:hAnsiTheme="majorHAnsi" w:cstheme="majorHAnsi"/>
                <w:i/>
              </w:rPr>
            </w:pPr>
            <w:r w:rsidRPr="00781B51">
              <w:rPr>
                <w:rFonts w:asciiTheme="majorHAnsi" w:eastAsia="Times New Roman" w:hAnsiTheme="majorHAnsi" w:cstheme="majorHAnsi"/>
              </w:rPr>
              <w:t>Support students with disabilities and additional needs through providing scholarships for teachers to undertake postgraduate courses in special education.</w:t>
            </w:r>
            <w:r w:rsidRPr="00781B51">
              <w:rPr>
                <w:rFonts w:asciiTheme="majorHAnsi" w:eastAsia="Times New Roman" w:hAnsiTheme="majorHAnsi" w:cstheme="majorHAnsi"/>
                <w:color w:val="FF0000"/>
              </w:rPr>
              <w:t xml:space="preserve"> </w:t>
            </w:r>
            <w:r w:rsidR="00527CC4" w:rsidRPr="00781B51">
              <w:rPr>
                <w:rFonts w:asciiTheme="majorHAnsi" w:eastAsia="Times New Roman" w:hAnsiTheme="majorHAnsi" w:cstheme="majorHAnsi"/>
                <w:color w:val="FF0000"/>
              </w:rPr>
              <w:t xml:space="preserve">   </w:t>
            </w:r>
          </w:p>
        </w:tc>
        <w:tc>
          <w:tcPr>
            <w:tcW w:w="1437" w:type="dxa"/>
            <w:tcBorders>
              <w:top w:val="single" w:sz="8" w:space="0" w:color="316F72"/>
              <w:left w:val="single" w:sz="8" w:space="0" w:color="316F72"/>
              <w:bottom w:val="single" w:sz="8" w:space="0" w:color="316F72"/>
              <w:right w:val="single" w:sz="8" w:space="0" w:color="316F72"/>
            </w:tcBorders>
          </w:tcPr>
          <w:p w14:paraId="508919B0" w14:textId="3E414DC8" w:rsidR="002D0C8A" w:rsidRPr="00781B51" w:rsidRDefault="002D0C8A" w:rsidP="002D0C8A">
            <w:pPr>
              <w:ind w:left="2"/>
              <w:rPr>
                <w:rFonts w:asciiTheme="majorHAnsi" w:eastAsia="Corbel" w:hAnsiTheme="majorHAnsi" w:cstheme="majorHAnsi"/>
              </w:rPr>
            </w:pPr>
            <w:r w:rsidRPr="00781B51">
              <w:rPr>
                <w:rFonts w:asciiTheme="majorHAnsi" w:eastAsia="Times New Roman" w:hAnsiTheme="majorHAnsi" w:cstheme="majorHAnsi"/>
                <w:color w:val="000000"/>
              </w:rPr>
              <w:t>Government</w:t>
            </w:r>
          </w:p>
        </w:tc>
        <w:tc>
          <w:tcPr>
            <w:tcW w:w="1056" w:type="dxa"/>
            <w:tcBorders>
              <w:top w:val="single" w:sz="8" w:space="0" w:color="316F72"/>
              <w:left w:val="single" w:sz="8" w:space="0" w:color="316F72"/>
              <w:bottom w:val="single" w:sz="8" w:space="0" w:color="316F72"/>
              <w:right w:val="single" w:sz="8" w:space="0" w:color="316F72"/>
            </w:tcBorders>
          </w:tcPr>
          <w:p w14:paraId="36AB50A7" w14:textId="6A51BEC1" w:rsidR="002D0C8A" w:rsidRPr="00781B51" w:rsidRDefault="002D0C8A" w:rsidP="002D0C8A">
            <w:pPr>
              <w:ind w:left="2"/>
              <w:rPr>
                <w:rFonts w:asciiTheme="majorHAnsi" w:eastAsia="Corbel" w:hAnsiTheme="majorHAnsi" w:cstheme="majorHAnsi"/>
              </w:rPr>
            </w:pPr>
            <w:r w:rsidRPr="00781B51">
              <w:rPr>
                <w:rFonts w:asciiTheme="majorHAnsi" w:eastAsia="Times New Roman" w:hAnsiTheme="majorHAnsi" w:cstheme="majorHAnsi"/>
                <w:color w:val="000000"/>
              </w:rPr>
              <w:t>From 2019</w:t>
            </w:r>
          </w:p>
        </w:tc>
        <w:tc>
          <w:tcPr>
            <w:tcW w:w="5275" w:type="dxa"/>
            <w:tcBorders>
              <w:top w:val="single" w:sz="8" w:space="0" w:color="316F72"/>
              <w:left w:val="single" w:sz="8" w:space="0" w:color="316F72"/>
              <w:bottom w:val="single" w:sz="8" w:space="0" w:color="316F72"/>
              <w:right w:val="single" w:sz="8" w:space="0" w:color="316F72"/>
            </w:tcBorders>
          </w:tcPr>
          <w:p w14:paraId="436C9AC5" w14:textId="296A4E5F" w:rsidR="00DB728D" w:rsidRPr="00781B51" w:rsidRDefault="00DB728D" w:rsidP="00046914">
            <w:pPr>
              <w:rPr>
                <w:rFonts w:asciiTheme="majorHAnsi" w:hAnsiTheme="majorHAnsi" w:cstheme="majorHAnsi"/>
                <w:b/>
                <w:bCs/>
              </w:rPr>
            </w:pPr>
            <w:r w:rsidRPr="00781B51">
              <w:rPr>
                <w:rFonts w:asciiTheme="majorHAnsi" w:hAnsiTheme="majorHAnsi" w:cstheme="majorHAnsi"/>
                <w:b/>
                <w:bCs/>
              </w:rPr>
              <w:t>Commenced and ongoing</w:t>
            </w:r>
          </w:p>
          <w:p w14:paraId="1D212349" w14:textId="7DE1A755" w:rsidR="002400E8" w:rsidRPr="00781B51" w:rsidRDefault="002400E8"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The </w:t>
            </w:r>
            <w:hyperlink r:id="rId9" w:history="1">
              <w:r w:rsidRPr="00781B51">
                <w:rPr>
                  <w:rStyle w:val="Hyperlink"/>
                  <w:rFonts w:asciiTheme="majorHAnsi" w:eastAsia="Times New Roman" w:hAnsiTheme="majorHAnsi" w:cstheme="majorHAnsi"/>
                </w:rPr>
                <w:t>Masters of Inclusive Education Scholarships</w:t>
              </w:r>
            </w:hyperlink>
            <w:r w:rsidRPr="00781B51">
              <w:rPr>
                <w:rFonts w:asciiTheme="majorHAnsi" w:eastAsia="Times New Roman" w:hAnsiTheme="majorHAnsi" w:cstheme="majorHAnsi"/>
              </w:rPr>
              <w:t xml:space="preserve"> (MIES) program will provide 638 scholarships from 2018 - 2021 for teachers in Victorian government schools, and regional support staff to undertake a VIT endorsed postgraduate course focused on inclusive education or applied behaviour analysis. </w:t>
            </w:r>
          </w:p>
          <w:p w14:paraId="1B5186DD" w14:textId="3FC5EE0F" w:rsidR="002400E8" w:rsidRPr="00781B51" w:rsidRDefault="002400E8"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lastRenderedPageBreak/>
              <w:t xml:space="preserve">The MIES has distributed 500 scholarships to our teaching workforce from 2018 to date, with 313 in 2018 and 187 in 2019. The program plans on distributing 60 scholarships in Round 5 which takes place in </w:t>
            </w:r>
            <w:proofErr w:type="gramStart"/>
            <w:r w:rsidRPr="00781B51">
              <w:rPr>
                <w:rFonts w:asciiTheme="majorHAnsi" w:eastAsia="Times New Roman" w:hAnsiTheme="majorHAnsi" w:cstheme="majorHAnsi"/>
              </w:rPr>
              <w:t>August,</w:t>
            </w:r>
            <w:proofErr w:type="gramEnd"/>
            <w:r w:rsidRPr="00781B51">
              <w:rPr>
                <w:rFonts w:asciiTheme="majorHAnsi" w:eastAsia="Times New Roman" w:hAnsiTheme="majorHAnsi" w:cstheme="majorHAnsi"/>
              </w:rPr>
              <w:t xml:space="preserve"> 2020.  </w:t>
            </w:r>
          </w:p>
          <w:p w14:paraId="2BF48B8C" w14:textId="57938DB3" w:rsidR="002400E8" w:rsidRPr="00781B51" w:rsidRDefault="002400E8"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Out of the 500 scholarships distributed, 49 have completed study, 349 are currently studying and 63 have withdrawn or deferred.</w:t>
            </w:r>
          </w:p>
          <w:p w14:paraId="6541D6BB" w14:textId="090DBBC6" w:rsidR="00D04114" w:rsidRPr="00781B51" w:rsidRDefault="002400E8"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Over the remainder of the application rounds (2020 – 2021), the MIES will expend the remaining 190 scholarships to schools in most need of a qualified special or inclusive educator.</w:t>
            </w:r>
          </w:p>
        </w:tc>
      </w:tr>
      <w:tr w:rsidR="00446073" w:rsidRPr="00781B51" w14:paraId="532F46E0" w14:textId="77777777" w:rsidTr="003427C6">
        <w:trPr>
          <w:trHeight w:val="583"/>
        </w:trPr>
        <w:tc>
          <w:tcPr>
            <w:tcW w:w="6266" w:type="dxa"/>
            <w:tcBorders>
              <w:top w:val="nil"/>
              <w:left w:val="single" w:sz="8" w:space="0" w:color="316F72"/>
              <w:bottom w:val="single" w:sz="8" w:space="0" w:color="316F72"/>
              <w:right w:val="single" w:sz="8" w:space="0" w:color="316F72"/>
            </w:tcBorders>
          </w:tcPr>
          <w:p w14:paraId="055B0604" w14:textId="2E89C2E5" w:rsidR="00446073" w:rsidRPr="00781B51" w:rsidRDefault="00446073" w:rsidP="00446073">
            <w:pPr>
              <w:ind w:left="2"/>
              <w:rPr>
                <w:rFonts w:asciiTheme="majorHAnsi" w:eastAsia="Corbel" w:hAnsiTheme="majorHAnsi" w:cstheme="majorHAnsi"/>
                <w:i/>
              </w:rPr>
            </w:pPr>
            <w:r w:rsidRPr="00781B51">
              <w:rPr>
                <w:rFonts w:asciiTheme="majorHAnsi" w:hAnsiTheme="majorHAnsi" w:cstheme="majorHAnsi"/>
              </w:rPr>
              <w:lastRenderedPageBreak/>
              <w:t xml:space="preserve">Assist government school students to make better career and pathway decisions through redesigning careers education to provide Year 9 students with access to a new </w:t>
            </w:r>
            <w:r w:rsidR="00431008" w:rsidRPr="00781B51">
              <w:rPr>
                <w:rFonts w:asciiTheme="majorHAnsi" w:hAnsiTheme="majorHAnsi" w:cstheme="majorHAnsi"/>
              </w:rPr>
              <w:br/>
            </w:r>
            <w:r w:rsidRPr="00781B51">
              <w:rPr>
                <w:rFonts w:asciiTheme="majorHAnsi" w:hAnsiTheme="majorHAnsi" w:cstheme="majorHAnsi"/>
              </w:rPr>
              <w:t>Careers e-Portfolio, assisted by professional career diagnostic assessment and guidance, including one on one career guidance with accredited career professionals.</w:t>
            </w:r>
          </w:p>
        </w:tc>
        <w:tc>
          <w:tcPr>
            <w:tcW w:w="1437" w:type="dxa"/>
            <w:tcBorders>
              <w:top w:val="nil"/>
              <w:left w:val="nil"/>
              <w:bottom w:val="single" w:sz="8" w:space="0" w:color="316F72"/>
              <w:right w:val="single" w:sz="8" w:space="0" w:color="316F72"/>
            </w:tcBorders>
          </w:tcPr>
          <w:p w14:paraId="100270D1" w14:textId="691B27E0" w:rsidR="00446073" w:rsidRPr="00781B51" w:rsidRDefault="00446073" w:rsidP="00446073">
            <w:pPr>
              <w:ind w:left="2"/>
              <w:rPr>
                <w:rFonts w:asciiTheme="majorHAnsi" w:eastAsia="Corbel" w:hAnsiTheme="majorHAnsi" w:cstheme="majorHAnsi"/>
              </w:rPr>
            </w:pPr>
            <w:r w:rsidRPr="00781B51">
              <w:rPr>
                <w:rFonts w:asciiTheme="majorHAnsi" w:hAnsiTheme="majorHAnsi" w:cstheme="majorHAnsi"/>
                <w:color w:val="000000"/>
              </w:rPr>
              <w:t>Government</w:t>
            </w:r>
          </w:p>
        </w:tc>
        <w:tc>
          <w:tcPr>
            <w:tcW w:w="1056" w:type="dxa"/>
            <w:tcBorders>
              <w:top w:val="nil"/>
              <w:left w:val="nil"/>
              <w:bottom w:val="single" w:sz="8" w:space="0" w:color="316F72"/>
              <w:right w:val="single" w:sz="8" w:space="0" w:color="316F72"/>
            </w:tcBorders>
          </w:tcPr>
          <w:p w14:paraId="48AEBF97" w14:textId="0B82FB8D" w:rsidR="00446073" w:rsidRPr="00781B51" w:rsidRDefault="00446073" w:rsidP="00446073">
            <w:pPr>
              <w:ind w:left="2"/>
              <w:rPr>
                <w:rFonts w:asciiTheme="majorHAnsi" w:eastAsia="Corbel" w:hAnsiTheme="majorHAnsi" w:cstheme="majorHAnsi"/>
              </w:rPr>
            </w:pPr>
            <w:r w:rsidRPr="00781B51">
              <w:rPr>
                <w:rFonts w:asciiTheme="majorHAnsi" w:hAnsiTheme="majorHAnsi" w:cstheme="majorHAnsi"/>
                <w:color w:val="000000"/>
              </w:rPr>
              <w:t>From 2019</w:t>
            </w:r>
          </w:p>
        </w:tc>
        <w:tc>
          <w:tcPr>
            <w:tcW w:w="5275" w:type="dxa"/>
            <w:tcBorders>
              <w:top w:val="nil"/>
              <w:left w:val="nil"/>
              <w:bottom w:val="single" w:sz="8" w:space="0" w:color="316F72"/>
              <w:right w:val="single" w:sz="8" w:space="0" w:color="316F72"/>
            </w:tcBorders>
          </w:tcPr>
          <w:p w14:paraId="5C2F42B6" w14:textId="771F2450" w:rsidR="006962E5" w:rsidRPr="00781B51" w:rsidRDefault="006962E5" w:rsidP="00046914">
            <w:pPr>
              <w:rPr>
                <w:rFonts w:asciiTheme="majorHAnsi" w:hAnsiTheme="majorHAnsi" w:cstheme="majorHAnsi"/>
                <w:b/>
                <w:bCs/>
              </w:rPr>
            </w:pPr>
            <w:r w:rsidRPr="00781B51">
              <w:rPr>
                <w:rFonts w:asciiTheme="majorHAnsi" w:hAnsiTheme="majorHAnsi" w:cstheme="majorHAnsi"/>
                <w:b/>
                <w:bCs/>
              </w:rPr>
              <w:t>Commenced and ongoing</w:t>
            </w:r>
          </w:p>
          <w:p w14:paraId="7DC4FF0F" w14:textId="50B9E4FC" w:rsidR="00446073" w:rsidRPr="00781B51" w:rsidRDefault="00AE15F0" w:rsidP="007209EB">
            <w:pPr>
              <w:pStyle w:val="ListParagraph"/>
              <w:numPr>
                <w:ilvl w:val="0"/>
                <w:numId w:val="2"/>
              </w:numPr>
              <w:ind w:left="350" w:hanging="350"/>
              <w:contextualSpacing w:val="0"/>
              <w:rPr>
                <w:rFonts w:asciiTheme="majorHAnsi" w:hAnsiTheme="majorHAnsi" w:cstheme="majorHAnsi"/>
              </w:rPr>
            </w:pPr>
            <w:hyperlink r:id="rId10" w:history="1">
              <w:r w:rsidR="00446073" w:rsidRPr="00781B51">
                <w:rPr>
                  <w:rStyle w:val="Hyperlink"/>
                  <w:rFonts w:asciiTheme="majorHAnsi" w:hAnsiTheme="majorHAnsi" w:cstheme="majorHAnsi"/>
                </w:rPr>
                <w:t>My Career Portfolio</w:t>
              </w:r>
            </w:hyperlink>
            <w:r w:rsidR="00446073" w:rsidRPr="00781B51">
              <w:rPr>
                <w:rFonts w:asciiTheme="majorHAnsi" w:hAnsiTheme="majorHAnsi" w:cstheme="majorHAnsi"/>
              </w:rPr>
              <w:t xml:space="preserve"> was developed and rolled out to Year 9 students in government schools in </w:t>
            </w:r>
            <w:r w:rsidR="00856722" w:rsidRPr="00781B51">
              <w:rPr>
                <w:rFonts w:asciiTheme="majorHAnsi" w:hAnsiTheme="majorHAnsi" w:cstheme="majorHAnsi"/>
              </w:rPr>
              <w:br/>
            </w:r>
            <w:r w:rsidR="00446073" w:rsidRPr="00781B51">
              <w:rPr>
                <w:rFonts w:asciiTheme="majorHAnsi" w:hAnsiTheme="majorHAnsi" w:cstheme="majorHAnsi"/>
              </w:rPr>
              <w:t>July 2019. It is an online resource that supports students to:</w:t>
            </w:r>
          </w:p>
          <w:p w14:paraId="0979DA43" w14:textId="77777777" w:rsidR="00446073" w:rsidRPr="00781B51" w:rsidRDefault="00446073" w:rsidP="0044031E">
            <w:pPr>
              <w:pStyle w:val="ListParagraph"/>
              <w:numPr>
                <w:ilvl w:val="1"/>
                <w:numId w:val="2"/>
              </w:numPr>
              <w:contextualSpacing w:val="0"/>
              <w:rPr>
                <w:rFonts w:asciiTheme="majorHAnsi" w:hAnsiTheme="majorHAnsi" w:cstheme="majorHAnsi"/>
              </w:rPr>
            </w:pPr>
            <w:r w:rsidRPr="00781B51">
              <w:rPr>
                <w:rFonts w:asciiTheme="majorHAnsi" w:hAnsiTheme="majorHAnsi" w:cstheme="majorHAnsi"/>
              </w:rPr>
              <w:t>create and update an online career action plan</w:t>
            </w:r>
          </w:p>
          <w:p w14:paraId="22B700E7" w14:textId="77777777" w:rsidR="00446073" w:rsidRPr="00781B51" w:rsidRDefault="00446073" w:rsidP="0044031E">
            <w:pPr>
              <w:pStyle w:val="ListParagraph"/>
              <w:numPr>
                <w:ilvl w:val="1"/>
                <w:numId w:val="2"/>
              </w:numPr>
              <w:contextualSpacing w:val="0"/>
              <w:rPr>
                <w:rFonts w:asciiTheme="majorHAnsi" w:hAnsiTheme="majorHAnsi" w:cstheme="majorHAnsi"/>
              </w:rPr>
            </w:pPr>
            <w:r w:rsidRPr="00781B51">
              <w:rPr>
                <w:rFonts w:asciiTheme="majorHAnsi" w:hAnsiTheme="majorHAnsi" w:cstheme="majorHAnsi"/>
              </w:rPr>
              <w:t>store files related their course and career planning</w:t>
            </w:r>
          </w:p>
          <w:p w14:paraId="61AA591C" w14:textId="77777777" w:rsidR="00446073" w:rsidRPr="00781B51" w:rsidRDefault="00446073" w:rsidP="0044031E">
            <w:pPr>
              <w:pStyle w:val="ListParagraph"/>
              <w:numPr>
                <w:ilvl w:val="1"/>
                <w:numId w:val="2"/>
              </w:numPr>
              <w:contextualSpacing w:val="0"/>
              <w:rPr>
                <w:rFonts w:asciiTheme="majorHAnsi" w:hAnsiTheme="majorHAnsi" w:cstheme="majorHAnsi"/>
              </w:rPr>
            </w:pPr>
            <w:r w:rsidRPr="00781B51">
              <w:rPr>
                <w:rFonts w:asciiTheme="majorHAnsi" w:hAnsiTheme="majorHAnsi" w:cstheme="majorHAnsi"/>
              </w:rPr>
              <w:lastRenderedPageBreak/>
              <w:t>access links to current information and resources to support course and career exploration.</w:t>
            </w:r>
          </w:p>
          <w:p w14:paraId="72F8F080" w14:textId="21FC2D69" w:rsidR="00446073" w:rsidRPr="00781B51" w:rsidRDefault="00446073" w:rsidP="007209EB">
            <w:pPr>
              <w:pStyle w:val="ListParagraph"/>
              <w:numPr>
                <w:ilvl w:val="0"/>
                <w:numId w:val="2"/>
              </w:numPr>
              <w:ind w:left="350" w:hanging="350"/>
              <w:rPr>
                <w:rFonts w:asciiTheme="majorHAnsi" w:hAnsiTheme="majorHAnsi" w:cstheme="majorHAnsi"/>
              </w:rPr>
            </w:pPr>
            <w:r w:rsidRPr="00781B51">
              <w:rPr>
                <w:rFonts w:asciiTheme="majorHAnsi" w:hAnsiTheme="majorHAnsi" w:cstheme="majorHAnsi"/>
              </w:rPr>
              <w:t xml:space="preserve">The new career advisory service, </w:t>
            </w:r>
            <w:hyperlink r:id="rId11" w:history="1">
              <w:r w:rsidRPr="00781B51">
                <w:rPr>
                  <w:rStyle w:val="Hyperlink"/>
                  <w:rFonts w:asciiTheme="majorHAnsi" w:hAnsiTheme="majorHAnsi" w:cstheme="majorHAnsi"/>
                </w:rPr>
                <w:t>My Career Insights</w:t>
              </w:r>
            </w:hyperlink>
            <w:r w:rsidRPr="00781B51">
              <w:rPr>
                <w:rFonts w:asciiTheme="majorHAnsi" w:hAnsiTheme="majorHAnsi" w:cstheme="majorHAnsi"/>
              </w:rPr>
              <w:t xml:space="preserve">, was made available to Year 9 students in Victorian government schools in 2019. The service provides students with free access to an online career diagnostic tool (Morrisby Profile), a report outlining their results, and a one-on-one follow-up interview with a qualified career practitioner trained in the Morrisby tool to explore the results. </w:t>
            </w:r>
          </w:p>
        </w:tc>
      </w:tr>
      <w:tr w:rsidR="00446073" w:rsidRPr="00781B51" w14:paraId="43741450" w14:textId="77777777" w:rsidTr="003427C6">
        <w:trPr>
          <w:trHeight w:val="583"/>
        </w:trPr>
        <w:tc>
          <w:tcPr>
            <w:tcW w:w="6266" w:type="dxa"/>
            <w:tcBorders>
              <w:top w:val="single" w:sz="4" w:space="0" w:color="316F72"/>
              <w:left w:val="single" w:sz="8" w:space="0" w:color="316F72"/>
              <w:bottom w:val="single" w:sz="8" w:space="0" w:color="316F72"/>
              <w:right w:val="single" w:sz="8" w:space="0" w:color="316F72"/>
            </w:tcBorders>
          </w:tcPr>
          <w:p w14:paraId="5DC48CBD" w14:textId="740AFF74" w:rsidR="00446073" w:rsidRPr="00781B51" w:rsidRDefault="00446073" w:rsidP="00446073">
            <w:pPr>
              <w:ind w:left="2"/>
              <w:rPr>
                <w:rFonts w:asciiTheme="majorHAnsi" w:hAnsiTheme="majorHAnsi" w:cstheme="majorHAnsi"/>
              </w:rPr>
            </w:pPr>
            <w:r w:rsidRPr="00781B51">
              <w:rPr>
                <w:rFonts w:asciiTheme="majorHAnsi" w:hAnsiTheme="majorHAnsi" w:cstheme="majorHAnsi"/>
              </w:rPr>
              <w:lastRenderedPageBreak/>
              <w:t>Roll-out Head Start school-based apprenticeships and traineeships in secondary schools as a new flexible model in senior secondary schooling, involving an optional additional year of school to give secondary students an opportunity to learn their trade at school and get a job sooner.</w:t>
            </w:r>
            <w:r w:rsidRPr="00781B51">
              <w:rPr>
                <w:rFonts w:asciiTheme="majorHAnsi" w:hAnsiTheme="majorHAnsi" w:cstheme="majorHAnsi"/>
                <w:color w:val="FF0000"/>
              </w:rPr>
              <w:t xml:space="preserve"> </w:t>
            </w:r>
          </w:p>
        </w:tc>
        <w:tc>
          <w:tcPr>
            <w:tcW w:w="1437" w:type="dxa"/>
            <w:tcBorders>
              <w:top w:val="single" w:sz="4" w:space="0" w:color="316F72"/>
              <w:left w:val="nil"/>
              <w:bottom w:val="single" w:sz="8" w:space="0" w:color="316F72"/>
              <w:right w:val="single" w:sz="8" w:space="0" w:color="316F72"/>
            </w:tcBorders>
          </w:tcPr>
          <w:p w14:paraId="585813AA" w14:textId="749A6705" w:rsidR="00446073" w:rsidRPr="00781B51" w:rsidRDefault="00446073" w:rsidP="00446073">
            <w:pPr>
              <w:ind w:left="2"/>
              <w:rPr>
                <w:rFonts w:asciiTheme="majorHAnsi" w:hAnsiTheme="majorHAnsi" w:cstheme="majorHAnsi"/>
              </w:rPr>
            </w:pPr>
            <w:r w:rsidRPr="00781B51">
              <w:rPr>
                <w:rFonts w:asciiTheme="majorHAnsi" w:hAnsiTheme="majorHAnsi" w:cstheme="majorHAnsi"/>
                <w:color w:val="000000"/>
              </w:rPr>
              <w:t>Government</w:t>
            </w:r>
          </w:p>
        </w:tc>
        <w:tc>
          <w:tcPr>
            <w:tcW w:w="1056" w:type="dxa"/>
            <w:tcBorders>
              <w:top w:val="single" w:sz="4" w:space="0" w:color="316F72"/>
              <w:left w:val="nil"/>
              <w:bottom w:val="single" w:sz="8" w:space="0" w:color="316F72"/>
              <w:right w:val="single" w:sz="8" w:space="0" w:color="316F72"/>
            </w:tcBorders>
          </w:tcPr>
          <w:p w14:paraId="45F734E7" w14:textId="3458FA6E" w:rsidR="00446073" w:rsidRPr="00781B51" w:rsidRDefault="00446073" w:rsidP="00446073">
            <w:pPr>
              <w:ind w:left="2"/>
              <w:rPr>
                <w:rFonts w:asciiTheme="majorHAnsi" w:hAnsiTheme="majorHAnsi" w:cstheme="majorHAnsi"/>
              </w:rPr>
            </w:pPr>
            <w:r w:rsidRPr="00781B51">
              <w:rPr>
                <w:rFonts w:asciiTheme="majorHAnsi" w:hAnsiTheme="majorHAnsi" w:cstheme="majorHAnsi"/>
                <w:color w:val="000000"/>
              </w:rPr>
              <w:t>Ongoing</w:t>
            </w:r>
          </w:p>
        </w:tc>
        <w:tc>
          <w:tcPr>
            <w:tcW w:w="5275" w:type="dxa"/>
            <w:tcBorders>
              <w:top w:val="single" w:sz="4" w:space="0" w:color="316F72"/>
              <w:left w:val="nil"/>
              <w:bottom w:val="single" w:sz="8" w:space="0" w:color="316F72"/>
              <w:right w:val="single" w:sz="8" w:space="0" w:color="316F72"/>
            </w:tcBorders>
          </w:tcPr>
          <w:p w14:paraId="0789E901" w14:textId="107A488A" w:rsidR="006962E5" w:rsidRPr="00781B51" w:rsidRDefault="006962E5" w:rsidP="00046914">
            <w:pPr>
              <w:rPr>
                <w:rFonts w:asciiTheme="majorHAnsi" w:hAnsiTheme="majorHAnsi" w:cstheme="majorHAnsi"/>
                <w:b/>
                <w:bCs/>
              </w:rPr>
            </w:pPr>
            <w:r w:rsidRPr="00781B51">
              <w:rPr>
                <w:rFonts w:asciiTheme="majorHAnsi" w:hAnsiTheme="majorHAnsi" w:cstheme="majorHAnsi"/>
                <w:b/>
                <w:bCs/>
              </w:rPr>
              <w:t>Commenced and ongoing</w:t>
            </w:r>
          </w:p>
          <w:p w14:paraId="7AC7821C" w14:textId="282BEE9D" w:rsidR="00446073" w:rsidRPr="00781B51" w:rsidRDefault="00AE15F0" w:rsidP="0044031E">
            <w:pPr>
              <w:pStyle w:val="ListParagraph"/>
              <w:numPr>
                <w:ilvl w:val="0"/>
                <w:numId w:val="1"/>
              </w:numPr>
              <w:ind w:left="360"/>
              <w:rPr>
                <w:rFonts w:asciiTheme="majorHAnsi" w:eastAsia="Times New Roman" w:hAnsiTheme="majorHAnsi" w:cstheme="majorHAnsi"/>
              </w:rPr>
            </w:pPr>
            <w:hyperlink r:id="rId12" w:history="1">
              <w:r w:rsidR="00446073" w:rsidRPr="00781B51">
                <w:rPr>
                  <w:rStyle w:val="Hyperlink"/>
                  <w:rFonts w:asciiTheme="majorHAnsi" w:eastAsia="Times New Roman" w:hAnsiTheme="majorHAnsi" w:cstheme="majorHAnsi"/>
                </w:rPr>
                <w:t>Head Start</w:t>
              </w:r>
            </w:hyperlink>
            <w:r w:rsidR="00446073" w:rsidRPr="00781B51">
              <w:rPr>
                <w:rFonts w:asciiTheme="majorHAnsi" w:eastAsia="Times New Roman" w:hAnsiTheme="majorHAnsi" w:cstheme="majorHAnsi"/>
              </w:rPr>
              <w:t xml:space="preserve"> was rolled out to more than 100 schools across 10 Cluster sites in 2019. </w:t>
            </w:r>
          </w:p>
          <w:p w14:paraId="52D76CAC" w14:textId="77BC6B88" w:rsidR="00446073" w:rsidRPr="00781B51" w:rsidRDefault="00446073"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Head Start is being implemented by 50 school-based staff, supporting students to undertake apprenticeships and traineeships while completing their </w:t>
            </w:r>
            <w:r w:rsidR="006962E5" w:rsidRPr="00781B51">
              <w:rPr>
                <w:rFonts w:asciiTheme="majorHAnsi" w:eastAsia="Times New Roman" w:hAnsiTheme="majorHAnsi" w:cstheme="majorHAnsi"/>
              </w:rPr>
              <w:t>Victorian Certificate of Education (</w:t>
            </w:r>
            <w:r w:rsidRPr="00781B51">
              <w:rPr>
                <w:rFonts w:asciiTheme="majorHAnsi" w:eastAsia="Times New Roman" w:hAnsiTheme="majorHAnsi" w:cstheme="majorHAnsi"/>
              </w:rPr>
              <w:t>VCE</w:t>
            </w:r>
            <w:r w:rsidR="006962E5" w:rsidRPr="00781B51">
              <w:rPr>
                <w:rFonts w:asciiTheme="majorHAnsi" w:eastAsia="Times New Roman" w:hAnsiTheme="majorHAnsi" w:cstheme="majorHAnsi"/>
              </w:rPr>
              <w:t>)</w:t>
            </w:r>
            <w:r w:rsidRPr="00781B51">
              <w:rPr>
                <w:rFonts w:asciiTheme="majorHAnsi" w:eastAsia="Times New Roman" w:hAnsiTheme="majorHAnsi" w:cstheme="majorHAnsi"/>
              </w:rPr>
              <w:t xml:space="preserve"> or</w:t>
            </w:r>
            <w:r w:rsidR="006962E5" w:rsidRPr="00781B51">
              <w:rPr>
                <w:rFonts w:asciiTheme="majorHAnsi" w:eastAsia="Times New Roman" w:hAnsiTheme="majorHAnsi" w:cstheme="majorHAnsi"/>
              </w:rPr>
              <w:t xml:space="preserve"> Victorian Certificate of Applied Learning</w:t>
            </w:r>
            <w:r w:rsidRPr="00781B51">
              <w:rPr>
                <w:rFonts w:asciiTheme="majorHAnsi" w:eastAsia="Times New Roman" w:hAnsiTheme="majorHAnsi" w:cstheme="majorHAnsi"/>
              </w:rPr>
              <w:t xml:space="preserve"> </w:t>
            </w:r>
            <w:r w:rsidR="006962E5" w:rsidRPr="00781B51">
              <w:rPr>
                <w:rFonts w:asciiTheme="majorHAnsi" w:eastAsia="Times New Roman" w:hAnsiTheme="majorHAnsi" w:cstheme="majorHAnsi"/>
              </w:rPr>
              <w:t>(</w:t>
            </w:r>
            <w:r w:rsidRPr="00781B51">
              <w:rPr>
                <w:rFonts w:asciiTheme="majorHAnsi" w:eastAsia="Times New Roman" w:hAnsiTheme="majorHAnsi" w:cstheme="majorHAnsi"/>
              </w:rPr>
              <w:t>VCAL</w:t>
            </w:r>
            <w:r w:rsidR="006962E5" w:rsidRPr="00781B51">
              <w:rPr>
                <w:rFonts w:asciiTheme="majorHAnsi" w:eastAsia="Times New Roman" w:hAnsiTheme="majorHAnsi" w:cstheme="majorHAnsi"/>
              </w:rPr>
              <w:t>)</w:t>
            </w:r>
            <w:r w:rsidRPr="00781B51">
              <w:rPr>
                <w:rFonts w:asciiTheme="majorHAnsi" w:eastAsia="Times New Roman" w:hAnsiTheme="majorHAnsi" w:cstheme="majorHAnsi"/>
              </w:rPr>
              <w:t xml:space="preserve">. </w:t>
            </w:r>
          </w:p>
          <w:p w14:paraId="2C2F99DB" w14:textId="77777777" w:rsidR="00B527EF" w:rsidRPr="00781B51" w:rsidRDefault="00446073"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Head Start apprenticeship and traineeship pathways are available in 34 qualifications which have been </w:t>
            </w:r>
            <w:r w:rsidRPr="00781B51">
              <w:rPr>
                <w:rFonts w:asciiTheme="majorHAnsi" w:eastAsia="Times New Roman" w:hAnsiTheme="majorHAnsi" w:cstheme="majorHAnsi"/>
              </w:rPr>
              <w:lastRenderedPageBreak/>
              <w:t>selected based on industry demand and regularly reviewed to reflect the changing economy.</w:t>
            </w:r>
          </w:p>
          <w:p w14:paraId="37B55B15" w14:textId="5D46ABD3" w:rsidR="003427C6" w:rsidRPr="00781B51" w:rsidRDefault="00446073" w:rsidP="00781B51">
            <w:pPr>
              <w:pStyle w:val="ListParagraph"/>
              <w:numPr>
                <w:ilvl w:val="0"/>
                <w:numId w:val="1"/>
              </w:numPr>
              <w:ind w:left="360"/>
              <w:rPr>
                <w:rFonts w:asciiTheme="majorHAnsi" w:hAnsiTheme="majorHAnsi" w:cstheme="majorHAnsi"/>
                <w:iCs/>
              </w:rPr>
            </w:pPr>
            <w:r w:rsidRPr="00781B51">
              <w:rPr>
                <w:rFonts w:asciiTheme="majorHAnsi" w:eastAsia="Times New Roman" w:hAnsiTheme="majorHAnsi" w:cstheme="majorHAnsi"/>
              </w:rPr>
              <w:t>In the Head Start model, students in their first year spend one or two days per week in paid employment. This will increase to three or four days per week in paid employment in the final year of their VCE or VCAL which can be completed over two years.</w:t>
            </w:r>
          </w:p>
        </w:tc>
      </w:tr>
      <w:tr w:rsidR="002D0C8A" w:rsidRPr="00781B51" w14:paraId="6BBB9E43" w14:textId="77777777" w:rsidTr="003427C6">
        <w:trPr>
          <w:trHeight w:val="583"/>
        </w:trPr>
        <w:tc>
          <w:tcPr>
            <w:tcW w:w="6266" w:type="dxa"/>
            <w:tcBorders>
              <w:top w:val="single" w:sz="8" w:space="0" w:color="316F72"/>
              <w:left w:val="single" w:sz="8" w:space="0" w:color="316F72"/>
              <w:bottom w:val="single" w:sz="8" w:space="0" w:color="316F72"/>
              <w:right w:val="single" w:sz="8" w:space="0" w:color="316F72"/>
            </w:tcBorders>
          </w:tcPr>
          <w:p w14:paraId="4DEE0745" w14:textId="30A833E2" w:rsidR="002D0C8A" w:rsidRPr="00781B51" w:rsidRDefault="002D0C8A" w:rsidP="002D0C8A">
            <w:pPr>
              <w:ind w:left="2"/>
              <w:rPr>
                <w:rFonts w:asciiTheme="majorHAnsi" w:eastAsia="Corbel" w:hAnsiTheme="majorHAnsi" w:cstheme="majorHAnsi"/>
              </w:rPr>
            </w:pPr>
            <w:r w:rsidRPr="00781B51">
              <w:rPr>
                <w:rFonts w:asciiTheme="majorHAnsi" w:eastAsia="Times New Roman" w:hAnsiTheme="majorHAnsi" w:cstheme="majorHAnsi"/>
              </w:rPr>
              <w:lastRenderedPageBreak/>
              <w:t>Improve educational pathways for students expelled from school through developing and implementing cross-sectoral guidelines to support the transition of students expelled from a school into a new education, training or employment setting.</w:t>
            </w:r>
          </w:p>
        </w:tc>
        <w:tc>
          <w:tcPr>
            <w:tcW w:w="1437" w:type="dxa"/>
            <w:tcBorders>
              <w:top w:val="single" w:sz="8" w:space="0" w:color="316F72"/>
              <w:left w:val="single" w:sz="8" w:space="0" w:color="316F72"/>
              <w:bottom w:val="single" w:sz="8" w:space="0" w:color="316F72"/>
              <w:right w:val="single" w:sz="8" w:space="0" w:color="316F72"/>
            </w:tcBorders>
          </w:tcPr>
          <w:p w14:paraId="3F99CA5E" w14:textId="3FDB39D9" w:rsidR="002D0C8A" w:rsidRPr="00781B51" w:rsidRDefault="002D0C8A" w:rsidP="002D0C8A">
            <w:pPr>
              <w:ind w:left="2"/>
              <w:rPr>
                <w:rFonts w:asciiTheme="majorHAnsi" w:eastAsia="Corbel" w:hAnsiTheme="majorHAnsi" w:cstheme="majorHAnsi"/>
              </w:rPr>
            </w:pPr>
            <w:r w:rsidRPr="00781B51">
              <w:rPr>
                <w:rFonts w:asciiTheme="majorHAnsi" w:eastAsia="Times New Roman" w:hAnsiTheme="majorHAnsi" w:cstheme="majorHAnsi"/>
                <w:color w:val="000000"/>
              </w:rPr>
              <w:t>All Sectors</w:t>
            </w:r>
          </w:p>
        </w:tc>
        <w:tc>
          <w:tcPr>
            <w:tcW w:w="1056" w:type="dxa"/>
            <w:tcBorders>
              <w:top w:val="single" w:sz="8" w:space="0" w:color="316F72"/>
              <w:left w:val="single" w:sz="8" w:space="0" w:color="316F72"/>
              <w:bottom w:val="single" w:sz="8" w:space="0" w:color="316F72"/>
              <w:right w:val="single" w:sz="8" w:space="0" w:color="316F72"/>
            </w:tcBorders>
          </w:tcPr>
          <w:p w14:paraId="09F54BFF" w14:textId="5846FE04" w:rsidR="002D0C8A" w:rsidRPr="00781B51" w:rsidRDefault="002D0C8A" w:rsidP="002D0C8A">
            <w:pPr>
              <w:ind w:left="2"/>
              <w:rPr>
                <w:rFonts w:asciiTheme="majorHAnsi" w:eastAsia="Corbel" w:hAnsiTheme="majorHAnsi" w:cstheme="majorHAnsi"/>
              </w:rPr>
            </w:pPr>
            <w:r w:rsidRPr="00781B51">
              <w:rPr>
                <w:rFonts w:asciiTheme="majorHAnsi" w:eastAsia="Times New Roman" w:hAnsiTheme="majorHAnsi" w:cstheme="majorHAnsi"/>
                <w:color w:val="000000"/>
              </w:rPr>
              <w:t>From 2019</w:t>
            </w:r>
          </w:p>
        </w:tc>
        <w:tc>
          <w:tcPr>
            <w:tcW w:w="5275" w:type="dxa"/>
            <w:tcBorders>
              <w:top w:val="single" w:sz="8" w:space="0" w:color="316F72"/>
              <w:left w:val="single" w:sz="8" w:space="0" w:color="316F72"/>
              <w:bottom w:val="single" w:sz="8" w:space="0" w:color="316F72"/>
              <w:right w:val="single" w:sz="8" w:space="0" w:color="316F72"/>
            </w:tcBorders>
          </w:tcPr>
          <w:p w14:paraId="5D756D92" w14:textId="6B3EB508" w:rsidR="006962E5" w:rsidRPr="00781B51" w:rsidRDefault="006962E5" w:rsidP="00046914">
            <w:pPr>
              <w:rPr>
                <w:rFonts w:asciiTheme="majorHAnsi" w:hAnsiTheme="majorHAnsi" w:cstheme="majorHAnsi"/>
                <w:b/>
                <w:bCs/>
              </w:rPr>
            </w:pPr>
            <w:r w:rsidRPr="00781B51">
              <w:rPr>
                <w:rFonts w:asciiTheme="majorHAnsi" w:hAnsiTheme="majorHAnsi" w:cstheme="majorHAnsi"/>
                <w:b/>
                <w:bCs/>
              </w:rPr>
              <w:t>Commenced and ongoing</w:t>
            </w:r>
          </w:p>
          <w:p w14:paraId="0657C9D3" w14:textId="3E3DA1D0" w:rsidR="001D48EB" w:rsidRPr="00781B51" w:rsidRDefault="001D48EB"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The School Policy and Funding Advisory Council </w:t>
            </w:r>
            <w:r w:rsidR="00AC2CB4" w:rsidRPr="00781B51">
              <w:rPr>
                <w:rFonts w:asciiTheme="majorHAnsi" w:eastAsia="Times New Roman" w:hAnsiTheme="majorHAnsi" w:cstheme="majorHAnsi"/>
              </w:rPr>
              <w:t xml:space="preserve">(SPFAC) </w:t>
            </w:r>
            <w:r w:rsidRPr="00781B51">
              <w:rPr>
                <w:rFonts w:asciiTheme="majorHAnsi" w:eastAsia="Times New Roman" w:hAnsiTheme="majorHAnsi" w:cstheme="majorHAnsi"/>
              </w:rPr>
              <w:t>provides advice to the Minister for Education on regulatory, policy and funding issues that affect government and non-government schools.</w:t>
            </w:r>
          </w:p>
          <w:p w14:paraId="227132EE" w14:textId="073FB0A2" w:rsidR="002D0C8A" w:rsidRPr="00781B51" w:rsidRDefault="00AC2CB4" w:rsidP="002C7DE0">
            <w:pPr>
              <w:pStyle w:val="ListParagraph"/>
              <w:numPr>
                <w:ilvl w:val="0"/>
                <w:numId w:val="1"/>
              </w:numPr>
              <w:ind w:left="360"/>
              <w:rPr>
                <w:rFonts w:asciiTheme="majorHAnsi" w:eastAsia="Corbel" w:hAnsiTheme="majorHAnsi" w:cstheme="majorHAnsi"/>
                <w:iCs/>
              </w:rPr>
            </w:pPr>
            <w:r w:rsidRPr="00781B51">
              <w:rPr>
                <w:rFonts w:asciiTheme="majorHAnsi" w:eastAsia="Times New Roman" w:hAnsiTheme="majorHAnsi" w:cstheme="majorHAnsi"/>
              </w:rPr>
              <w:t>SPFAC</w:t>
            </w:r>
            <w:r w:rsidR="008C3F22" w:rsidRPr="00781B51">
              <w:rPr>
                <w:rFonts w:asciiTheme="majorHAnsi" w:eastAsia="Times New Roman" w:hAnsiTheme="majorHAnsi" w:cstheme="majorHAnsi"/>
              </w:rPr>
              <w:t xml:space="preserve"> endorsed cross-sectoral </w:t>
            </w:r>
            <w:r w:rsidR="000B1964" w:rsidRPr="00781B51">
              <w:rPr>
                <w:rFonts w:asciiTheme="majorHAnsi" w:eastAsia="Times New Roman" w:hAnsiTheme="majorHAnsi" w:cstheme="majorHAnsi"/>
              </w:rPr>
              <w:t>guidelines for</w:t>
            </w:r>
            <w:r w:rsidR="001D48EB" w:rsidRPr="00781B51">
              <w:rPr>
                <w:rFonts w:asciiTheme="majorHAnsi" w:eastAsia="Times New Roman" w:hAnsiTheme="majorHAnsi" w:cstheme="majorHAnsi"/>
              </w:rPr>
              <w:t xml:space="preserve"> collaborat</w:t>
            </w:r>
            <w:r w:rsidR="000B1964" w:rsidRPr="00781B51">
              <w:rPr>
                <w:rFonts w:asciiTheme="majorHAnsi" w:eastAsia="Times New Roman" w:hAnsiTheme="majorHAnsi" w:cstheme="majorHAnsi"/>
              </w:rPr>
              <w:t>ing</w:t>
            </w:r>
            <w:r w:rsidR="001D48EB" w:rsidRPr="00781B51">
              <w:rPr>
                <w:rFonts w:asciiTheme="majorHAnsi" w:eastAsia="Times New Roman" w:hAnsiTheme="majorHAnsi" w:cstheme="majorHAnsi"/>
              </w:rPr>
              <w:t xml:space="preserve"> across school sectors to explore the expansion of government school expulsion reforms to the non-government school sector.</w:t>
            </w:r>
          </w:p>
        </w:tc>
      </w:tr>
      <w:tr w:rsidR="002D0C8A" w:rsidRPr="00781B51" w14:paraId="6725DCCC" w14:textId="77777777" w:rsidTr="003427C6">
        <w:trPr>
          <w:trHeight w:val="583"/>
        </w:trPr>
        <w:tc>
          <w:tcPr>
            <w:tcW w:w="6266" w:type="dxa"/>
            <w:tcBorders>
              <w:top w:val="single" w:sz="8" w:space="0" w:color="316F72"/>
              <w:left w:val="single" w:sz="8" w:space="0" w:color="316F72"/>
              <w:bottom w:val="single" w:sz="8" w:space="0" w:color="316F72"/>
              <w:right w:val="single" w:sz="8" w:space="0" w:color="316F72"/>
            </w:tcBorders>
          </w:tcPr>
          <w:p w14:paraId="573C192D" w14:textId="2AFF7085" w:rsidR="002D0C8A" w:rsidRPr="00781B51" w:rsidRDefault="002D0C8A" w:rsidP="002D0C8A">
            <w:pPr>
              <w:ind w:left="2"/>
              <w:rPr>
                <w:rFonts w:asciiTheme="majorHAnsi" w:hAnsiTheme="majorHAnsi" w:cstheme="majorHAnsi"/>
              </w:rPr>
            </w:pPr>
            <w:r w:rsidRPr="00781B51">
              <w:rPr>
                <w:rFonts w:asciiTheme="majorHAnsi" w:eastAsia="Times New Roman" w:hAnsiTheme="majorHAnsi" w:cstheme="majorHAnsi"/>
              </w:rPr>
              <w:t xml:space="preserve">Participate in Getting it Right </w:t>
            </w:r>
            <w:proofErr w:type="gramStart"/>
            <w:r w:rsidRPr="00781B51">
              <w:rPr>
                <w:rFonts w:asciiTheme="majorHAnsi" w:eastAsia="Times New Roman" w:hAnsiTheme="majorHAnsi" w:cstheme="majorHAnsi"/>
              </w:rPr>
              <w:t>From</w:t>
            </w:r>
            <w:proofErr w:type="gramEnd"/>
            <w:r w:rsidRPr="00781B51">
              <w:rPr>
                <w:rFonts w:asciiTheme="majorHAnsi" w:eastAsia="Times New Roman" w:hAnsiTheme="majorHAnsi" w:cstheme="majorHAnsi"/>
              </w:rPr>
              <w:t xml:space="preserve"> the Start: a project to improve oral language and literacy outcomes in the first two years of school </w:t>
            </w:r>
            <w:r w:rsidRPr="00781B51">
              <w:rPr>
                <w:rFonts w:asciiTheme="majorHAnsi" w:eastAsia="Times New Roman" w:hAnsiTheme="majorHAnsi" w:cstheme="majorHAnsi"/>
              </w:rPr>
              <w:lastRenderedPageBreak/>
              <w:t>with a focus on equity intervention in low language performing schools.</w:t>
            </w:r>
          </w:p>
        </w:tc>
        <w:tc>
          <w:tcPr>
            <w:tcW w:w="1437" w:type="dxa"/>
            <w:tcBorders>
              <w:top w:val="single" w:sz="8" w:space="0" w:color="316F72"/>
              <w:left w:val="single" w:sz="8" w:space="0" w:color="316F72"/>
              <w:bottom w:val="single" w:sz="8" w:space="0" w:color="316F72"/>
              <w:right w:val="single" w:sz="8" w:space="0" w:color="316F72"/>
            </w:tcBorders>
          </w:tcPr>
          <w:p w14:paraId="379EC491" w14:textId="3B32707B" w:rsidR="002D0C8A" w:rsidRPr="00781B51" w:rsidRDefault="002D0C8A" w:rsidP="002D0C8A">
            <w:pPr>
              <w:ind w:left="2"/>
              <w:rPr>
                <w:rFonts w:asciiTheme="majorHAnsi" w:hAnsiTheme="majorHAnsi" w:cstheme="majorHAnsi"/>
              </w:rPr>
            </w:pPr>
            <w:r w:rsidRPr="00781B51">
              <w:rPr>
                <w:rFonts w:asciiTheme="majorHAnsi" w:eastAsia="Times New Roman" w:hAnsiTheme="majorHAnsi" w:cstheme="majorHAnsi"/>
                <w:color w:val="000000"/>
              </w:rPr>
              <w:lastRenderedPageBreak/>
              <w:t>Catholic</w:t>
            </w:r>
          </w:p>
        </w:tc>
        <w:tc>
          <w:tcPr>
            <w:tcW w:w="1056" w:type="dxa"/>
            <w:tcBorders>
              <w:top w:val="single" w:sz="8" w:space="0" w:color="316F72"/>
              <w:left w:val="single" w:sz="8" w:space="0" w:color="316F72"/>
              <w:bottom w:val="single" w:sz="8" w:space="0" w:color="316F72"/>
              <w:right w:val="single" w:sz="8" w:space="0" w:color="316F72"/>
            </w:tcBorders>
          </w:tcPr>
          <w:p w14:paraId="60E7B3C2" w14:textId="60AEC767" w:rsidR="002D0C8A" w:rsidRPr="00781B51" w:rsidRDefault="002D0C8A" w:rsidP="002D0C8A">
            <w:pPr>
              <w:ind w:left="2"/>
              <w:rPr>
                <w:rFonts w:asciiTheme="majorHAnsi" w:hAnsiTheme="majorHAnsi" w:cstheme="majorHAnsi"/>
              </w:rPr>
            </w:pPr>
            <w:r w:rsidRPr="00781B51">
              <w:rPr>
                <w:rFonts w:asciiTheme="majorHAnsi" w:eastAsia="Times New Roman" w:hAnsiTheme="majorHAnsi" w:cstheme="majorHAnsi"/>
                <w:color w:val="000000"/>
              </w:rPr>
              <w:t>From 2019</w:t>
            </w:r>
          </w:p>
        </w:tc>
        <w:tc>
          <w:tcPr>
            <w:tcW w:w="5275" w:type="dxa"/>
            <w:tcBorders>
              <w:top w:val="single" w:sz="8" w:space="0" w:color="316F72"/>
              <w:left w:val="single" w:sz="8" w:space="0" w:color="316F72"/>
              <w:bottom w:val="single" w:sz="8" w:space="0" w:color="316F72"/>
              <w:right w:val="single" w:sz="8" w:space="0" w:color="316F72"/>
            </w:tcBorders>
          </w:tcPr>
          <w:p w14:paraId="19255562" w14:textId="59B93C43" w:rsidR="006962E5" w:rsidRPr="00781B51" w:rsidRDefault="006962E5" w:rsidP="00046914">
            <w:pPr>
              <w:rPr>
                <w:rFonts w:asciiTheme="majorHAnsi" w:hAnsiTheme="majorHAnsi" w:cstheme="majorHAnsi"/>
                <w:b/>
                <w:bCs/>
              </w:rPr>
            </w:pPr>
            <w:r w:rsidRPr="00781B51">
              <w:rPr>
                <w:rFonts w:asciiTheme="majorHAnsi" w:hAnsiTheme="majorHAnsi" w:cstheme="majorHAnsi"/>
                <w:b/>
                <w:bCs/>
              </w:rPr>
              <w:t>Commenced and ongoing</w:t>
            </w:r>
          </w:p>
          <w:p w14:paraId="66523569" w14:textId="35901F28" w:rsidR="00495B0D" w:rsidRPr="00781B51" w:rsidRDefault="00913CD4"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C</w:t>
            </w:r>
            <w:r w:rsidR="00495B0D" w:rsidRPr="00781B51">
              <w:rPr>
                <w:rFonts w:asciiTheme="majorHAnsi" w:eastAsia="Times New Roman" w:hAnsiTheme="majorHAnsi" w:cstheme="majorHAnsi"/>
              </w:rPr>
              <w:t>riteria</w:t>
            </w:r>
            <w:r w:rsidRPr="00781B51">
              <w:rPr>
                <w:rFonts w:asciiTheme="majorHAnsi" w:eastAsia="Times New Roman" w:hAnsiTheme="majorHAnsi" w:cstheme="majorHAnsi"/>
              </w:rPr>
              <w:t xml:space="preserve"> w</w:t>
            </w:r>
            <w:r w:rsidR="007209EB" w:rsidRPr="00781B51">
              <w:rPr>
                <w:rFonts w:asciiTheme="majorHAnsi" w:eastAsia="Times New Roman" w:hAnsiTheme="majorHAnsi" w:cstheme="majorHAnsi"/>
              </w:rPr>
              <w:t>ere</w:t>
            </w:r>
            <w:r w:rsidRPr="00781B51">
              <w:rPr>
                <w:rFonts w:asciiTheme="majorHAnsi" w:eastAsia="Times New Roman" w:hAnsiTheme="majorHAnsi" w:cstheme="majorHAnsi"/>
              </w:rPr>
              <w:t xml:space="preserve"> established</w:t>
            </w:r>
            <w:r w:rsidR="00495B0D" w:rsidRPr="00781B51">
              <w:rPr>
                <w:rFonts w:asciiTheme="majorHAnsi" w:eastAsia="Times New Roman" w:hAnsiTheme="majorHAnsi" w:cstheme="majorHAnsi"/>
              </w:rPr>
              <w:t xml:space="preserve"> for school participation, based on school’s </w:t>
            </w:r>
            <w:r w:rsidR="006962E5" w:rsidRPr="00781B51">
              <w:rPr>
                <w:rFonts w:asciiTheme="majorHAnsi" w:eastAsia="Times New Roman" w:hAnsiTheme="majorHAnsi" w:cstheme="majorHAnsi"/>
              </w:rPr>
              <w:t>Index of Community Socio-</w:t>
            </w:r>
            <w:r w:rsidR="006962E5" w:rsidRPr="00781B51">
              <w:rPr>
                <w:rFonts w:asciiTheme="majorHAnsi" w:eastAsia="Times New Roman" w:hAnsiTheme="majorHAnsi" w:cstheme="majorHAnsi"/>
              </w:rPr>
              <w:lastRenderedPageBreak/>
              <w:t>Educational Advantage (</w:t>
            </w:r>
            <w:r w:rsidR="00495B0D" w:rsidRPr="00781B51">
              <w:rPr>
                <w:rFonts w:asciiTheme="majorHAnsi" w:eastAsia="Times New Roman" w:hAnsiTheme="majorHAnsi" w:cstheme="majorHAnsi"/>
              </w:rPr>
              <w:t>ICSEA</w:t>
            </w:r>
            <w:r w:rsidR="006962E5" w:rsidRPr="00781B51">
              <w:rPr>
                <w:rFonts w:asciiTheme="majorHAnsi" w:eastAsia="Times New Roman" w:hAnsiTheme="majorHAnsi" w:cstheme="majorHAnsi"/>
              </w:rPr>
              <w:t>)</w:t>
            </w:r>
            <w:r w:rsidR="00495B0D" w:rsidRPr="00781B51">
              <w:rPr>
                <w:rFonts w:asciiTheme="majorHAnsi" w:eastAsia="Times New Roman" w:hAnsiTheme="majorHAnsi" w:cstheme="majorHAnsi"/>
              </w:rPr>
              <w:t xml:space="preserve"> score, school size, </w:t>
            </w:r>
            <w:r w:rsidR="006962E5" w:rsidRPr="00781B51">
              <w:rPr>
                <w:rFonts w:asciiTheme="majorHAnsi" w:eastAsia="Times New Roman" w:hAnsiTheme="majorHAnsi" w:cstheme="majorHAnsi"/>
              </w:rPr>
              <w:t>Australian Early Development Census (</w:t>
            </w:r>
            <w:r w:rsidR="00495B0D" w:rsidRPr="00781B51">
              <w:rPr>
                <w:rFonts w:asciiTheme="majorHAnsi" w:eastAsia="Times New Roman" w:hAnsiTheme="majorHAnsi" w:cstheme="majorHAnsi"/>
              </w:rPr>
              <w:t>AE</w:t>
            </w:r>
            <w:r w:rsidR="00470171" w:rsidRPr="00781B51">
              <w:rPr>
                <w:rFonts w:asciiTheme="majorHAnsi" w:eastAsia="Times New Roman" w:hAnsiTheme="majorHAnsi" w:cstheme="majorHAnsi"/>
              </w:rPr>
              <w:t>DC</w:t>
            </w:r>
            <w:r w:rsidR="006962E5" w:rsidRPr="00781B51">
              <w:rPr>
                <w:rFonts w:asciiTheme="majorHAnsi" w:eastAsia="Times New Roman" w:hAnsiTheme="majorHAnsi" w:cstheme="majorHAnsi"/>
              </w:rPr>
              <w:t>)</w:t>
            </w:r>
            <w:r w:rsidR="00495B0D" w:rsidRPr="00781B51">
              <w:rPr>
                <w:rFonts w:asciiTheme="majorHAnsi" w:eastAsia="Times New Roman" w:hAnsiTheme="majorHAnsi" w:cstheme="majorHAnsi"/>
              </w:rPr>
              <w:t xml:space="preserve"> data, and location</w:t>
            </w:r>
            <w:r w:rsidRPr="00781B51">
              <w:rPr>
                <w:rFonts w:asciiTheme="majorHAnsi" w:eastAsia="Times New Roman" w:hAnsiTheme="majorHAnsi" w:cstheme="majorHAnsi"/>
              </w:rPr>
              <w:t>.</w:t>
            </w:r>
          </w:p>
          <w:p w14:paraId="7AD7EFDB" w14:textId="671650EA" w:rsidR="00495B0D" w:rsidRPr="00781B51" w:rsidRDefault="00495B0D" w:rsidP="0044031E">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Nine C</w:t>
            </w:r>
            <w:r w:rsidR="00913CD4" w:rsidRPr="00781B51">
              <w:rPr>
                <w:rFonts w:asciiTheme="majorHAnsi" w:eastAsia="Times New Roman" w:hAnsiTheme="majorHAnsi" w:cstheme="majorHAnsi"/>
              </w:rPr>
              <w:t xml:space="preserve">atholic Education Melbourne </w:t>
            </w:r>
            <w:r w:rsidRPr="00781B51">
              <w:rPr>
                <w:rFonts w:asciiTheme="majorHAnsi" w:eastAsia="Times New Roman" w:hAnsiTheme="majorHAnsi" w:cstheme="majorHAnsi"/>
              </w:rPr>
              <w:t>schools have confirmed their interest in participating in the project</w:t>
            </w:r>
            <w:r w:rsidR="00913CD4" w:rsidRPr="00781B51">
              <w:rPr>
                <w:rFonts w:asciiTheme="majorHAnsi" w:eastAsia="Times New Roman" w:hAnsiTheme="majorHAnsi" w:cstheme="majorHAnsi"/>
              </w:rPr>
              <w:t>.</w:t>
            </w:r>
          </w:p>
          <w:p w14:paraId="33E80573" w14:textId="56FD66B4" w:rsidR="003427C6" w:rsidRPr="00781B51" w:rsidRDefault="00495B0D" w:rsidP="00781B51">
            <w:pPr>
              <w:pStyle w:val="ListParagraph"/>
              <w:numPr>
                <w:ilvl w:val="0"/>
                <w:numId w:val="1"/>
              </w:numPr>
              <w:ind w:left="360"/>
              <w:rPr>
                <w:rFonts w:asciiTheme="majorHAnsi" w:hAnsiTheme="majorHAnsi" w:cstheme="majorHAnsi"/>
              </w:rPr>
            </w:pPr>
            <w:r w:rsidRPr="00781B51">
              <w:rPr>
                <w:rFonts w:asciiTheme="majorHAnsi" w:eastAsia="Times New Roman" w:hAnsiTheme="majorHAnsi" w:cstheme="majorHAnsi"/>
              </w:rPr>
              <w:t>Also implemented professional learning programs</w:t>
            </w:r>
            <w:r w:rsidR="006962E5" w:rsidRPr="00781B51">
              <w:rPr>
                <w:rFonts w:asciiTheme="majorHAnsi" w:eastAsia="Times New Roman" w:hAnsiTheme="majorHAnsi" w:cstheme="majorHAnsi"/>
              </w:rPr>
              <w:t xml:space="preserve"> in</w:t>
            </w:r>
            <w:r w:rsidRPr="00781B51">
              <w:rPr>
                <w:rFonts w:asciiTheme="majorHAnsi" w:eastAsia="Times New Roman" w:hAnsiTheme="majorHAnsi" w:cstheme="majorHAnsi"/>
              </w:rPr>
              <w:t xml:space="preserve"> Phonics in Context &amp; Word in Context and Reading Recovery</w:t>
            </w:r>
            <w:r w:rsidR="007209EB" w:rsidRPr="00781B51">
              <w:rPr>
                <w:rFonts w:asciiTheme="majorHAnsi" w:eastAsia="Times New Roman" w:hAnsiTheme="majorHAnsi" w:cstheme="majorHAnsi"/>
              </w:rPr>
              <w:t>.</w:t>
            </w:r>
          </w:p>
        </w:tc>
      </w:tr>
    </w:tbl>
    <w:p w14:paraId="5D35B5C0" w14:textId="77777777" w:rsidR="00781B51" w:rsidRPr="00781B51" w:rsidRDefault="00781B51" w:rsidP="00781B51">
      <w:pPr>
        <w:rPr>
          <w:rFonts w:eastAsia="Corbel"/>
        </w:rPr>
      </w:pPr>
      <w:r>
        <w:rPr>
          <w:rFonts w:eastAsia="Corbel"/>
        </w:rPr>
        <w:lastRenderedPageBreak/>
        <w:br w:type="page"/>
      </w:r>
    </w:p>
    <w:p w14:paraId="4B457BE1" w14:textId="0563B57A" w:rsidR="00625F84" w:rsidRPr="00781B51" w:rsidRDefault="00625F84" w:rsidP="00781B51">
      <w:pPr>
        <w:pStyle w:val="Heading2"/>
        <w:rPr>
          <w:rFonts w:eastAsia="Corbel"/>
        </w:rPr>
      </w:pPr>
      <w:r w:rsidRPr="00781B51">
        <w:rPr>
          <w:rFonts w:eastAsia="Corbel"/>
        </w:rPr>
        <w:lastRenderedPageBreak/>
        <w:t>Reform Direction B – Support teaching, school leadership and school improvement</w:t>
      </w:r>
    </w:p>
    <w:tbl>
      <w:tblPr>
        <w:tblStyle w:val="TableGrid0"/>
        <w:tblW w:w="14034" w:type="dxa"/>
        <w:tblInd w:w="-10" w:type="dxa"/>
        <w:tblCellMar>
          <w:top w:w="57" w:type="dxa"/>
          <w:left w:w="108" w:type="dxa"/>
          <w:right w:w="115" w:type="dxa"/>
        </w:tblCellMar>
        <w:tblLook w:val="04A0" w:firstRow="1" w:lastRow="0" w:firstColumn="1" w:lastColumn="0" w:noHBand="0" w:noVBand="1"/>
      </w:tblPr>
      <w:tblGrid>
        <w:gridCol w:w="6266"/>
        <w:gridCol w:w="1437"/>
        <w:gridCol w:w="1056"/>
        <w:gridCol w:w="5275"/>
      </w:tblGrid>
      <w:tr w:rsidR="00625F84" w:rsidRPr="00781B51" w14:paraId="7E90DF5C" w14:textId="77777777" w:rsidTr="00781B51">
        <w:trPr>
          <w:trHeight w:val="521"/>
          <w:tblHeader/>
        </w:trPr>
        <w:tc>
          <w:tcPr>
            <w:tcW w:w="6266" w:type="dxa"/>
            <w:tcBorders>
              <w:top w:val="single" w:sz="24" w:space="0" w:color="316F72"/>
              <w:left w:val="single" w:sz="8" w:space="0" w:color="316F72"/>
              <w:bottom w:val="single" w:sz="24" w:space="0" w:color="316F72"/>
              <w:right w:val="single" w:sz="8" w:space="0" w:color="316F72"/>
            </w:tcBorders>
            <w:vAlign w:val="center"/>
          </w:tcPr>
          <w:p w14:paraId="25E3370A" w14:textId="320BBBF0" w:rsidR="00625F84" w:rsidRPr="00781B51" w:rsidRDefault="00625F84" w:rsidP="00781B51">
            <w:pPr>
              <w:rPr>
                <w:b/>
                <w:bCs/>
              </w:rPr>
            </w:pPr>
            <w:r w:rsidRPr="00781B51">
              <w:rPr>
                <w:b/>
                <w:bCs/>
              </w:rPr>
              <w:t xml:space="preserve">Actions </w:t>
            </w:r>
          </w:p>
        </w:tc>
        <w:tc>
          <w:tcPr>
            <w:tcW w:w="1437" w:type="dxa"/>
            <w:tcBorders>
              <w:top w:val="single" w:sz="24" w:space="0" w:color="316F72"/>
              <w:left w:val="single" w:sz="8" w:space="0" w:color="316F72"/>
              <w:bottom w:val="single" w:sz="24" w:space="0" w:color="316F72"/>
              <w:right w:val="single" w:sz="8" w:space="0" w:color="316F72"/>
            </w:tcBorders>
            <w:vAlign w:val="center"/>
          </w:tcPr>
          <w:p w14:paraId="18C33ED2" w14:textId="0735AECC" w:rsidR="00625F84" w:rsidRPr="00781B51" w:rsidRDefault="00625F84" w:rsidP="00781B51">
            <w:pPr>
              <w:rPr>
                <w:b/>
                <w:bCs/>
              </w:rPr>
            </w:pPr>
            <w:r w:rsidRPr="00781B51">
              <w:rPr>
                <w:b/>
                <w:bCs/>
              </w:rPr>
              <w:t xml:space="preserve">Sector(s) </w:t>
            </w:r>
          </w:p>
        </w:tc>
        <w:tc>
          <w:tcPr>
            <w:tcW w:w="1056" w:type="dxa"/>
            <w:tcBorders>
              <w:top w:val="single" w:sz="24" w:space="0" w:color="316F72"/>
              <w:left w:val="single" w:sz="8" w:space="0" w:color="316F72"/>
              <w:bottom w:val="single" w:sz="24" w:space="0" w:color="316F72"/>
              <w:right w:val="single" w:sz="8" w:space="0" w:color="316F72"/>
            </w:tcBorders>
            <w:vAlign w:val="center"/>
          </w:tcPr>
          <w:p w14:paraId="154DBD02" w14:textId="317F7BF6" w:rsidR="00625F84" w:rsidRPr="00781B51" w:rsidRDefault="00625F84" w:rsidP="00781B51">
            <w:pPr>
              <w:rPr>
                <w:b/>
                <w:bCs/>
              </w:rPr>
            </w:pPr>
            <w:r w:rsidRPr="00781B51">
              <w:rPr>
                <w:b/>
                <w:bCs/>
              </w:rPr>
              <w:t xml:space="preserve">Timing </w:t>
            </w:r>
          </w:p>
        </w:tc>
        <w:tc>
          <w:tcPr>
            <w:tcW w:w="5275" w:type="dxa"/>
            <w:tcBorders>
              <w:top w:val="single" w:sz="24" w:space="0" w:color="316F72"/>
              <w:left w:val="single" w:sz="8" w:space="0" w:color="316F72"/>
              <w:bottom w:val="single" w:sz="24" w:space="0" w:color="316F72"/>
              <w:right w:val="single" w:sz="8" w:space="0" w:color="316F72"/>
            </w:tcBorders>
            <w:vAlign w:val="center"/>
          </w:tcPr>
          <w:p w14:paraId="6258AA79" w14:textId="19D7D89A" w:rsidR="00625F84" w:rsidRPr="00781B51" w:rsidRDefault="00625F84" w:rsidP="00781B51">
            <w:pPr>
              <w:rPr>
                <w:b/>
                <w:bCs/>
              </w:rPr>
            </w:pPr>
            <w:r w:rsidRPr="00781B51">
              <w:rPr>
                <w:b/>
                <w:bCs/>
              </w:rPr>
              <w:t xml:space="preserve">Progress towards implementation of actions (including progress of non-government sector actions) </w:t>
            </w:r>
          </w:p>
        </w:tc>
      </w:tr>
      <w:tr w:rsidR="00625F84" w:rsidRPr="00781B51" w14:paraId="150337BB" w14:textId="77777777" w:rsidTr="00625F84">
        <w:trPr>
          <w:trHeight w:val="521"/>
        </w:trPr>
        <w:tc>
          <w:tcPr>
            <w:tcW w:w="6266" w:type="dxa"/>
            <w:tcBorders>
              <w:top w:val="single" w:sz="24" w:space="0" w:color="316F72"/>
              <w:left w:val="single" w:sz="8" w:space="0" w:color="316F72"/>
              <w:bottom w:val="single" w:sz="8" w:space="0" w:color="316F72"/>
              <w:right w:val="single" w:sz="8" w:space="0" w:color="316F72"/>
            </w:tcBorders>
          </w:tcPr>
          <w:p w14:paraId="5BD84525" w14:textId="759B9E10" w:rsidR="00625F84" w:rsidRPr="00781B51" w:rsidRDefault="00625F84" w:rsidP="00625F84">
            <w:pPr>
              <w:ind w:left="2"/>
              <w:rPr>
                <w:rFonts w:asciiTheme="majorHAnsi" w:eastAsia="Corbel" w:hAnsiTheme="majorHAnsi" w:cstheme="majorHAnsi"/>
              </w:rPr>
            </w:pPr>
            <w:r w:rsidRPr="00781B51">
              <w:rPr>
                <w:rFonts w:asciiTheme="majorHAnsi" w:eastAsia="Times New Roman" w:hAnsiTheme="majorHAnsi" w:cstheme="majorHAnsi"/>
              </w:rPr>
              <w:t>Develop and implement the Victorian Aspiring Principal Assessment (VAPA), a benchmark assessment for all aspiring principals.</w:t>
            </w:r>
            <w:r w:rsidRPr="00781B51">
              <w:rPr>
                <w:rFonts w:asciiTheme="majorHAnsi" w:hAnsiTheme="majorHAnsi" w:cstheme="majorHAnsi"/>
              </w:rPr>
              <w:t xml:space="preserve"> </w:t>
            </w:r>
            <w:r w:rsidRPr="00781B51">
              <w:rPr>
                <w:rFonts w:asciiTheme="majorHAnsi" w:eastAsia="Times New Roman" w:hAnsiTheme="majorHAnsi" w:cstheme="majorHAnsi"/>
              </w:rPr>
              <w:t xml:space="preserve">The VAPA will provide feedback to guide development of aspiring </w:t>
            </w:r>
            <w:proofErr w:type="gramStart"/>
            <w:r w:rsidRPr="00781B51">
              <w:rPr>
                <w:rFonts w:asciiTheme="majorHAnsi" w:eastAsia="Times New Roman" w:hAnsiTheme="majorHAnsi" w:cstheme="majorHAnsi"/>
              </w:rPr>
              <w:t>principals, and</w:t>
            </w:r>
            <w:proofErr w:type="gramEnd"/>
            <w:r w:rsidRPr="00781B51">
              <w:rPr>
                <w:rFonts w:asciiTheme="majorHAnsi" w:eastAsia="Times New Roman" w:hAnsiTheme="majorHAnsi" w:cstheme="majorHAnsi"/>
              </w:rPr>
              <w:t xml:space="preserve"> assess their suitability and readiness for the role.</w:t>
            </w:r>
          </w:p>
        </w:tc>
        <w:tc>
          <w:tcPr>
            <w:tcW w:w="1437" w:type="dxa"/>
            <w:tcBorders>
              <w:top w:val="single" w:sz="24" w:space="0" w:color="316F72"/>
              <w:left w:val="single" w:sz="8" w:space="0" w:color="316F72"/>
              <w:bottom w:val="single" w:sz="8" w:space="0" w:color="316F72"/>
              <w:right w:val="single" w:sz="8" w:space="0" w:color="316F72"/>
            </w:tcBorders>
          </w:tcPr>
          <w:p w14:paraId="12E1929B" w14:textId="6E0BC651"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Government</w:t>
            </w:r>
          </w:p>
        </w:tc>
        <w:tc>
          <w:tcPr>
            <w:tcW w:w="1056" w:type="dxa"/>
            <w:tcBorders>
              <w:top w:val="single" w:sz="24" w:space="0" w:color="316F72"/>
              <w:left w:val="single" w:sz="8" w:space="0" w:color="316F72"/>
              <w:bottom w:val="single" w:sz="8" w:space="0" w:color="316F72"/>
              <w:right w:val="single" w:sz="8" w:space="0" w:color="316F72"/>
            </w:tcBorders>
          </w:tcPr>
          <w:p w14:paraId="72C208F1" w14:textId="54C41107"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2022</w:t>
            </w:r>
          </w:p>
        </w:tc>
        <w:tc>
          <w:tcPr>
            <w:tcW w:w="5275" w:type="dxa"/>
            <w:tcBorders>
              <w:top w:val="single" w:sz="24" w:space="0" w:color="316F72"/>
              <w:left w:val="single" w:sz="8" w:space="0" w:color="316F72"/>
              <w:bottom w:val="single" w:sz="8" w:space="0" w:color="316F72"/>
              <w:right w:val="single" w:sz="8" w:space="0" w:color="316F72"/>
            </w:tcBorders>
            <w:vAlign w:val="center"/>
          </w:tcPr>
          <w:p w14:paraId="101A58FC" w14:textId="6CFCCFAE" w:rsidR="00625F84" w:rsidRPr="00781B51" w:rsidRDefault="00625F84" w:rsidP="00625F84">
            <w:pPr>
              <w:rPr>
                <w:rFonts w:asciiTheme="majorHAnsi" w:hAnsiTheme="majorHAnsi" w:cstheme="majorHAnsi"/>
                <w:b/>
                <w:bCs/>
              </w:rPr>
            </w:pPr>
            <w:bookmarkStart w:id="2" w:name="_Hlk45879814"/>
            <w:r w:rsidRPr="00781B51">
              <w:rPr>
                <w:rFonts w:asciiTheme="majorHAnsi" w:hAnsiTheme="majorHAnsi" w:cstheme="majorHAnsi"/>
                <w:b/>
                <w:bCs/>
              </w:rPr>
              <w:t>Commenced and ongoing</w:t>
            </w:r>
          </w:p>
          <w:p w14:paraId="3A13E83A" w14:textId="4F76197E" w:rsidR="00625F84" w:rsidRPr="00781B51" w:rsidRDefault="00AE15F0" w:rsidP="00625F84">
            <w:pPr>
              <w:pStyle w:val="ListParagraph"/>
              <w:numPr>
                <w:ilvl w:val="0"/>
                <w:numId w:val="1"/>
              </w:numPr>
              <w:ind w:left="360"/>
              <w:rPr>
                <w:rFonts w:asciiTheme="majorHAnsi" w:eastAsia="Times New Roman" w:hAnsiTheme="majorHAnsi" w:cstheme="majorHAnsi"/>
              </w:rPr>
            </w:pPr>
            <w:hyperlink r:id="rId13" w:anchor=":~:text=The%20Victorian%20Aspiring%20Principal%20Assessment,their%20targeted%20professional%20development%20needs" w:history="1">
              <w:r w:rsidR="00625F84" w:rsidRPr="00781B51">
                <w:rPr>
                  <w:rStyle w:val="Hyperlink"/>
                  <w:rFonts w:asciiTheme="majorHAnsi" w:eastAsia="Times New Roman" w:hAnsiTheme="majorHAnsi" w:cstheme="majorHAnsi"/>
                </w:rPr>
                <w:t>VAPA</w:t>
              </w:r>
            </w:hyperlink>
            <w:r w:rsidR="00625F84" w:rsidRPr="00781B51">
              <w:rPr>
                <w:rFonts w:asciiTheme="majorHAnsi" w:eastAsia="Times New Roman" w:hAnsiTheme="majorHAnsi" w:cstheme="majorHAnsi"/>
              </w:rPr>
              <w:t xml:space="preserve"> delivery in 2019 assessed 27 candidates. An additional 220 candidates will complete the program by September 2020. </w:t>
            </w:r>
          </w:p>
          <w:bookmarkEnd w:id="2"/>
          <w:p w14:paraId="0A287225" w14:textId="127176CF"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Candidates register for the VAPA online via the </w:t>
            </w:r>
            <w:proofErr w:type="spellStart"/>
            <w:r w:rsidRPr="00781B51">
              <w:rPr>
                <w:rFonts w:asciiTheme="majorHAnsi" w:eastAsia="Times New Roman" w:hAnsiTheme="majorHAnsi" w:cstheme="majorHAnsi"/>
              </w:rPr>
              <w:t>Bastow</w:t>
            </w:r>
            <w:proofErr w:type="spellEnd"/>
            <w:r w:rsidRPr="00781B51">
              <w:rPr>
                <w:rFonts w:asciiTheme="majorHAnsi" w:eastAsia="Times New Roman" w:hAnsiTheme="majorHAnsi" w:cstheme="majorHAnsi"/>
              </w:rPr>
              <w:t xml:space="preserve"> website and undertake the process via the VAPA Portal and virtual sessions with their assigned assessors. Candidates undertake the assessment at their own pace and can complete within 5 weeks.</w:t>
            </w:r>
          </w:p>
          <w:p w14:paraId="525CDAB0" w14:textId="1458CC97"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Candidates are assessed by a pool of 28 experienced past principals trained in the VAPA Framework and assessment methods.</w:t>
            </w:r>
          </w:p>
          <w:p w14:paraId="18DDEE14" w14:textId="7E0968E9" w:rsidR="00625F84" w:rsidRPr="00781B51" w:rsidRDefault="00625F84" w:rsidP="00625F84">
            <w:pPr>
              <w:pStyle w:val="ListParagraph"/>
              <w:numPr>
                <w:ilvl w:val="0"/>
                <w:numId w:val="1"/>
              </w:numPr>
              <w:ind w:left="360"/>
              <w:rPr>
                <w:rFonts w:asciiTheme="majorHAnsi" w:hAnsiTheme="majorHAnsi" w:cstheme="majorHAnsi"/>
              </w:rPr>
            </w:pPr>
            <w:r w:rsidRPr="00781B51">
              <w:rPr>
                <w:rFonts w:asciiTheme="majorHAnsi" w:eastAsia="Times New Roman" w:hAnsiTheme="majorHAnsi" w:cstheme="majorHAnsi"/>
              </w:rPr>
              <w:t>The completion of VAPA as a requirement before applying for a principal position will be phased before the 2022 timing referenced for this action.</w:t>
            </w:r>
          </w:p>
        </w:tc>
      </w:tr>
      <w:tr w:rsidR="00625F84" w:rsidRPr="00781B51" w14:paraId="105C9620" w14:textId="77777777" w:rsidTr="003427C6">
        <w:trPr>
          <w:trHeight w:val="521"/>
        </w:trPr>
        <w:tc>
          <w:tcPr>
            <w:tcW w:w="6266" w:type="dxa"/>
            <w:tcBorders>
              <w:top w:val="single" w:sz="8" w:space="0" w:color="316F72"/>
              <w:left w:val="single" w:sz="8" w:space="0" w:color="316F72"/>
              <w:bottom w:val="single" w:sz="8" w:space="0" w:color="316F72"/>
              <w:right w:val="single" w:sz="8" w:space="0" w:color="316F72"/>
            </w:tcBorders>
          </w:tcPr>
          <w:p w14:paraId="2824CD93" w14:textId="00CE2046" w:rsidR="00625F84" w:rsidRPr="00781B51" w:rsidRDefault="00625F84" w:rsidP="00625F84">
            <w:pPr>
              <w:ind w:left="2"/>
              <w:rPr>
                <w:rFonts w:asciiTheme="majorHAnsi" w:eastAsia="Corbel" w:hAnsiTheme="majorHAnsi" w:cstheme="majorHAnsi"/>
              </w:rPr>
            </w:pPr>
            <w:r w:rsidRPr="00781B51">
              <w:rPr>
                <w:rFonts w:asciiTheme="majorHAnsi" w:eastAsia="Times New Roman" w:hAnsiTheme="majorHAnsi" w:cstheme="majorHAnsi"/>
              </w:rPr>
              <w:t>Strengthen STEM education through training additional teachers to become Primary Maths and Science Specialists, increasing STEM knowledge and capability within schools.</w:t>
            </w:r>
            <w:r w:rsidRPr="00781B51">
              <w:rPr>
                <w:rFonts w:asciiTheme="majorHAnsi" w:hAnsiTheme="majorHAnsi" w:cstheme="majorHAnsi"/>
              </w:rPr>
              <w:t xml:space="preserve"> </w:t>
            </w:r>
          </w:p>
        </w:tc>
        <w:tc>
          <w:tcPr>
            <w:tcW w:w="1437" w:type="dxa"/>
            <w:tcBorders>
              <w:top w:val="single" w:sz="8" w:space="0" w:color="316F72"/>
              <w:left w:val="single" w:sz="8" w:space="0" w:color="316F72"/>
              <w:bottom w:val="single" w:sz="8" w:space="0" w:color="316F72"/>
              <w:right w:val="single" w:sz="8" w:space="0" w:color="316F72"/>
            </w:tcBorders>
          </w:tcPr>
          <w:p w14:paraId="26EF5410" w14:textId="7EB8D207"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Government</w:t>
            </w:r>
          </w:p>
        </w:tc>
        <w:tc>
          <w:tcPr>
            <w:tcW w:w="1056" w:type="dxa"/>
            <w:tcBorders>
              <w:top w:val="single" w:sz="8" w:space="0" w:color="316F72"/>
              <w:left w:val="single" w:sz="8" w:space="0" w:color="316F72"/>
              <w:bottom w:val="single" w:sz="4" w:space="0" w:color="316F72"/>
              <w:right w:val="single" w:sz="8" w:space="0" w:color="316F72"/>
            </w:tcBorders>
          </w:tcPr>
          <w:p w14:paraId="4678A8DD" w14:textId="135E4404"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2019-2021</w:t>
            </w:r>
          </w:p>
        </w:tc>
        <w:tc>
          <w:tcPr>
            <w:tcW w:w="5275" w:type="dxa"/>
            <w:tcBorders>
              <w:top w:val="single" w:sz="8" w:space="0" w:color="316F72"/>
              <w:left w:val="single" w:sz="8" w:space="0" w:color="316F72"/>
              <w:bottom w:val="single" w:sz="4" w:space="0" w:color="316F72"/>
              <w:right w:val="single" w:sz="8" w:space="0" w:color="316F72"/>
            </w:tcBorders>
            <w:vAlign w:val="center"/>
          </w:tcPr>
          <w:p w14:paraId="47474F6E" w14:textId="5B3FFE43" w:rsidR="00625F84" w:rsidRPr="00781B51" w:rsidRDefault="00625F84" w:rsidP="00625F84">
            <w:pPr>
              <w:rPr>
                <w:rFonts w:asciiTheme="majorHAnsi" w:hAnsiTheme="majorHAnsi" w:cstheme="majorHAnsi"/>
                <w:b/>
                <w:bCs/>
              </w:rPr>
            </w:pPr>
            <w:r w:rsidRPr="00781B51">
              <w:rPr>
                <w:rFonts w:asciiTheme="majorHAnsi" w:hAnsiTheme="majorHAnsi" w:cstheme="majorHAnsi"/>
                <w:b/>
                <w:bCs/>
              </w:rPr>
              <w:t>Commenced and ongoing</w:t>
            </w:r>
          </w:p>
          <w:p w14:paraId="7AFE3156" w14:textId="470288CF"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The Primary Mathematics and Science Specialists initiative was rolled out to over 200 teacher participants from 100 schools across Victoria in 2019. This was the first year of a two-year program.</w:t>
            </w:r>
          </w:p>
          <w:p w14:paraId="04B7B95D" w14:textId="4B5EE201"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lastRenderedPageBreak/>
              <w:t>Teachers undertake 20 days of high-quality professional learning over the two years, training to become specialists in either mathematics or science.</w:t>
            </w:r>
          </w:p>
          <w:p w14:paraId="382B54B7" w14:textId="77777777"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The initiative provides schools with 0.5 FTE for each participating teacher over the two years of the initiative.</w:t>
            </w:r>
          </w:p>
          <w:p w14:paraId="1DF30D94" w14:textId="5FA781CC" w:rsidR="00625F84" w:rsidRPr="00781B51" w:rsidRDefault="00625F84" w:rsidP="00625F84">
            <w:pPr>
              <w:pStyle w:val="ListParagraph"/>
              <w:numPr>
                <w:ilvl w:val="0"/>
                <w:numId w:val="1"/>
              </w:numPr>
              <w:ind w:left="360"/>
              <w:rPr>
                <w:rFonts w:asciiTheme="majorHAnsi" w:eastAsia="Corbel" w:hAnsiTheme="majorHAnsi" w:cstheme="majorHAnsi"/>
              </w:rPr>
            </w:pPr>
            <w:r w:rsidRPr="00781B51">
              <w:rPr>
                <w:rFonts w:asciiTheme="majorHAnsi" w:eastAsia="Times New Roman" w:hAnsiTheme="majorHAnsi" w:cstheme="majorHAnsi"/>
              </w:rPr>
              <w:t>In their role as specialists within the school, teachers work with colleagues and the school principal to effect whole school change towards improving student outcomes in mathematics or science.</w:t>
            </w:r>
          </w:p>
        </w:tc>
      </w:tr>
      <w:tr w:rsidR="00625F84" w:rsidRPr="00781B51" w14:paraId="0FDB86CE" w14:textId="77777777" w:rsidTr="003427C6">
        <w:trPr>
          <w:trHeight w:val="521"/>
        </w:trPr>
        <w:tc>
          <w:tcPr>
            <w:tcW w:w="6266" w:type="dxa"/>
            <w:tcBorders>
              <w:top w:val="single" w:sz="8" w:space="0" w:color="316F72"/>
              <w:left w:val="single" w:sz="8" w:space="0" w:color="316F72"/>
              <w:bottom w:val="single" w:sz="8" w:space="0" w:color="316F72"/>
              <w:right w:val="single" w:sz="8" w:space="0" w:color="316F72"/>
            </w:tcBorders>
          </w:tcPr>
          <w:p w14:paraId="0A87E88D" w14:textId="22641B02" w:rsidR="00625F84" w:rsidRPr="00781B51" w:rsidRDefault="00625F84" w:rsidP="00625F84">
            <w:pPr>
              <w:ind w:left="2"/>
              <w:rPr>
                <w:rFonts w:asciiTheme="majorHAnsi" w:eastAsia="Corbel" w:hAnsiTheme="majorHAnsi" w:cstheme="majorHAnsi"/>
              </w:rPr>
            </w:pPr>
            <w:r w:rsidRPr="00781B51">
              <w:rPr>
                <w:rFonts w:asciiTheme="majorHAnsi" w:eastAsia="Times New Roman" w:hAnsiTheme="majorHAnsi" w:cstheme="majorHAnsi"/>
              </w:rPr>
              <w:lastRenderedPageBreak/>
              <w:t xml:space="preserve">Introduce a Professional Practice Leader to support </w:t>
            </w:r>
            <w:proofErr w:type="spellStart"/>
            <w:r w:rsidRPr="00781B51">
              <w:rPr>
                <w:rFonts w:asciiTheme="majorHAnsi" w:eastAsia="Times New Roman" w:hAnsiTheme="majorHAnsi" w:cstheme="majorHAnsi"/>
              </w:rPr>
              <w:t>Koorie</w:t>
            </w:r>
            <w:proofErr w:type="spellEnd"/>
            <w:r w:rsidRPr="00781B51">
              <w:rPr>
                <w:rFonts w:asciiTheme="majorHAnsi" w:eastAsia="Times New Roman" w:hAnsiTheme="majorHAnsi" w:cstheme="majorHAnsi"/>
              </w:rPr>
              <w:t xml:space="preserve"> students’ literacy and numeracy. </w:t>
            </w:r>
          </w:p>
        </w:tc>
        <w:tc>
          <w:tcPr>
            <w:tcW w:w="1437" w:type="dxa"/>
            <w:tcBorders>
              <w:top w:val="single" w:sz="8" w:space="0" w:color="316F72"/>
              <w:left w:val="single" w:sz="8" w:space="0" w:color="316F72"/>
              <w:bottom w:val="single" w:sz="8" w:space="0" w:color="316F72"/>
              <w:right w:val="single" w:sz="8" w:space="0" w:color="316F72"/>
            </w:tcBorders>
          </w:tcPr>
          <w:p w14:paraId="1AF12FCF" w14:textId="756CCF20"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Government</w:t>
            </w:r>
          </w:p>
        </w:tc>
        <w:tc>
          <w:tcPr>
            <w:tcW w:w="1056" w:type="dxa"/>
            <w:tcBorders>
              <w:top w:val="single" w:sz="4" w:space="0" w:color="316F72"/>
              <w:left w:val="single" w:sz="8" w:space="0" w:color="316F72"/>
              <w:bottom w:val="single" w:sz="8" w:space="0" w:color="316F72"/>
              <w:right w:val="single" w:sz="8" w:space="0" w:color="316F72"/>
            </w:tcBorders>
          </w:tcPr>
          <w:p w14:paraId="31C3CFB9" w14:textId="6A52EFB1"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2019</w:t>
            </w:r>
          </w:p>
        </w:tc>
        <w:tc>
          <w:tcPr>
            <w:tcW w:w="5275" w:type="dxa"/>
            <w:tcBorders>
              <w:top w:val="single" w:sz="4" w:space="0" w:color="316F72"/>
              <w:left w:val="nil"/>
              <w:bottom w:val="single" w:sz="8" w:space="0" w:color="auto"/>
              <w:right w:val="single" w:sz="4" w:space="0" w:color="316F72"/>
            </w:tcBorders>
          </w:tcPr>
          <w:p w14:paraId="514CB908" w14:textId="467DECA8" w:rsidR="00625F84" w:rsidRPr="00781B51" w:rsidRDefault="00625F84" w:rsidP="00625F84">
            <w:pPr>
              <w:rPr>
                <w:rFonts w:asciiTheme="majorHAnsi" w:hAnsiTheme="majorHAnsi" w:cstheme="majorHAnsi"/>
                <w:b/>
                <w:bCs/>
              </w:rPr>
            </w:pPr>
            <w:r w:rsidRPr="00781B51">
              <w:rPr>
                <w:rFonts w:asciiTheme="majorHAnsi" w:hAnsiTheme="majorHAnsi" w:cstheme="majorHAnsi"/>
                <w:b/>
                <w:bCs/>
              </w:rPr>
              <w:t>Commenced and ongoing</w:t>
            </w:r>
          </w:p>
          <w:p w14:paraId="695A89D6" w14:textId="652ED921"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Practice leader was appointed for four years.</w:t>
            </w:r>
          </w:p>
          <w:p w14:paraId="5166C03E" w14:textId="2724F742"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Teacher resources were developed (</w:t>
            </w:r>
            <w:proofErr w:type="spellStart"/>
            <w:r w:rsidRPr="00781B51">
              <w:rPr>
                <w:rFonts w:asciiTheme="majorHAnsi" w:hAnsiTheme="majorHAnsi" w:cstheme="majorHAnsi"/>
              </w:rPr>
              <w:fldChar w:fldCharType="begin"/>
            </w:r>
            <w:r w:rsidRPr="00781B51">
              <w:rPr>
                <w:rFonts w:asciiTheme="majorHAnsi" w:eastAsia="Times New Roman" w:hAnsiTheme="majorHAnsi" w:cstheme="majorHAnsi"/>
              </w:rPr>
              <w:instrText xml:space="preserve"> HYPERLINK "https://www.education.vic.gov.au/school/teachers/teachingresources/discipline/english/Pages/introduction-koorie-english-online.aspx" </w:instrText>
            </w:r>
            <w:r w:rsidRPr="00781B51">
              <w:rPr>
                <w:rFonts w:asciiTheme="majorHAnsi" w:hAnsiTheme="majorHAnsi" w:cstheme="majorHAnsi"/>
              </w:rPr>
              <w:fldChar w:fldCharType="separate"/>
            </w:r>
            <w:r w:rsidRPr="00781B51">
              <w:rPr>
                <w:rStyle w:val="Hyperlink"/>
                <w:rFonts w:asciiTheme="majorHAnsi" w:eastAsia="Times New Roman" w:hAnsiTheme="majorHAnsi" w:cstheme="majorHAnsi"/>
              </w:rPr>
              <w:t>Koorie</w:t>
            </w:r>
            <w:proofErr w:type="spellEnd"/>
            <w:r w:rsidRPr="00781B51">
              <w:rPr>
                <w:rStyle w:val="Hyperlink"/>
                <w:rFonts w:asciiTheme="majorHAnsi" w:eastAsia="Times New Roman" w:hAnsiTheme="majorHAnsi" w:cstheme="majorHAnsi"/>
              </w:rPr>
              <w:t xml:space="preserve"> English Online</w:t>
            </w:r>
            <w:r w:rsidRPr="00781B51">
              <w:rPr>
                <w:rFonts w:asciiTheme="majorHAnsi" w:hAnsiTheme="majorHAnsi" w:cstheme="majorHAnsi"/>
              </w:rPr>
              <w:fldChar w:fldCharType="end"/>
            </w:r>
            <w:r w:rsidRPr="00781B51">
              <w:rPr>
                <w:rFonts w:asciiTheme="majorHAnsi" w:eastAsia="Times New Roman" w:hAnsiTheme="majorHAnsi" w:cstheme="majorHAnsi"/>
              </w:rPr>
              <w:t xml:space="preserve">, </w:t>
            </w:r>
            <w:hyperlink r:id="rId14" w:history="1">
              <w:proofErr w:type="spellStart"/>
              <w:r w:rsidRPr="00781B51">
                <w:rPr>
                  <w:rStyle w:val="Hyperlink"/>
                  <w:rFonts w:asciiTheme="majorHAnsi" w:eastAsia="Times New Roman" w:hAnsiTheme="majorHAnsi" w:cstheme="majorHAnsi"/>
                </w:rPr>
                <w:t>Koorie</w:t>
              </w:r>
              <w:proofErr w:type="spellEnd"/>
              <w:r w:rsidRPr="00781B51">
                <w:rPr>
                  <w:rStyle w:val="Hyperlink"/>
                  <w:rFonts w:asciiTheme="majorHAnsi" w:eastAsia="Times New Roman" w:hAnsiTheme="majorHAnsi" w:cstheme="majorHAnsi"/>
                </w:rPr>
                <w:t xml:space="preserve"> English Teacher Guidance Package</w:t>
              </w:r>
            </w:hyperlink>
            <w:r w:rsidRPr="00781B51">
              <w:rPr>
                <w:rFonts w:asciiTheme="majorHAnsi" w:eastAsia="Times New Roman" w:hAnsiTheme="majorHAnsi" w:cstheme="majorHAnsi"/>
              </w:rPr>
              <w:t>).</w:t>
            </w:r>
          </w:p>
          <w:p w14:paraId="4004B689" w14:textId="1CDBFE41"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Professional development for teachers and regional personnel piloted for rollout in 2020.</w:t>
            </w:r>
          </w:p>
        </w:tc>
      </w:tr>
      <w:tr w:rsidR="00625F84" w:rsidRPr="00781B51" w14:paraId="3BD3AE74" w14:textId="77777777" w:rsidTr="003427C6">
        <w:trPr>
          <w:trHeight w:val="521"/>
        </w:trPr>
        <w:tc>
          <w:tcPr>
            <w:tcW w:w="6266" w:type="dxa"/>
            <w:tcBorders>
              <w:top w:val="single" w:sz="8" w:space="0" w:color="316F72"/>
              <w:left w:val="single" w:sz="8" w:space="0" w:color="316F72"/>
              <w:bottom w:val="single" w:sz="8" w:space="0" w:color="316F72"/>
              <w:right w:val="single" w:sz="8" w:space="0" w:color="316F72"/>
            </w:tcBorders>
          </w:tcPr>
          <w:p w14:paraId="16C57D08" w14:textId="6EFECCE3" w:rsidR="00625F84" w:rsidRPr="00781B51" w:rsidRDefault="00625F84" w:rsidP="00625F84">
            <w:pPr>
              <w:ind w:left="2"/>
              <w:rPr>
                <w:rFonts w:asciiTheme="majorHAnsi" w:eastAsia="Corbel" w:hAnsiTheme="majorHAnsi" w:cstheme="majorHAnsi"/>
              </w:rPr>
            </w:pPr>
            <w:r w:rsidRPr="00781B51">
              <w:rPr>
                <w:rFonts w:asciiTheme="majorHAnsi" w:eastAsia="Times New Roman" w:hAnsiTheme="majorHAnsi" w:cstheme="majorHAnsi"/>
              </w:rPr>
              <w:t xml:space="preserve">Work in partnership with the </w:t>
            </w:r>
            <w:proofErr w:type="spellStart"/>
            <w:r w:rsidRPr="00781B51">
              <w:rPr>
                <w:rFonts w:asciiTheme="majorHAnsi" w:eastAsia="Times New Roman" w:hAnsiTheme="majorHAnsi" w:cstheme="majorHAnsi"/>
              </w:rPr>
              <w:t>Koorie</w:t>
            </w:r>
            <w:proofErr w:type="spellEnd"/>
            <w:r w:rsidRPr="00781B51">
              <w:rPr>
                <w:rFonts w:asciiTheme="majorHAnsi" w:eastAsia="Times New Roman" w:hAnsiTheme="majorHAnsi" w:cstheme="majorHAnsi"/>
              </w:rPr>
              <w:t xml:space="preserve"> community to roll out Cultural Understanding and Safety Training (CUST) in Victorian government schools to increase school staff’s understanding of Aboriginal and </w:t>
            </w:r>
            <w:r w:rsidRPr="00781B51">
              <w:rPr>
                <w:rFonts w:asciiTheme="majorHAnsi" w:eastAsia="Times New Roman" w:hAnsiTheme="majorHAnsi" w:cstheme="majorHAnsi"/>
              </w:rPr>
              <w:lastRenderedPageBreak/>
              <w:t xml:space="preserve">Torres Strait Islander history, cultures, and experiences to ensure schools are inclusive, responsive and respectful of </w:t>
            </w:r>
            <w:proofErr w:type="spellStart"/>
            <w:r w:rsidRPr="00781B51">
              <w:rPr>
                <w:rFonts w:asciiTheme="majorHAnsi" w:eastAsia="Times New Roman" w:hAnsiTheme="majorHAnsi" w:cstheme="majorHAnsi"/>
              </w:rPr>
              <w:t>Koorie</w:t>
            </w:r>
            <w:proofErr w:type="spellEnd"/>
            <w:r w:rsidRPr="00781B51">
              <w:rPr>
                <w:rFonts w:asciiTheme="majorHAnsi" w:eastAsia="Times New Roman" w:hAnsiTheme="majorHAnsi" w:cstheme="majorHAnsi"/>
              </w:rPr>
              <w:t xml:space="preserve"> learners.</w:t>
            </w:r>
          </w:p>
        </w:tc>
        <w:tc>
          <w:tcPr>
            <w:tcW w:w="1437" w:type="dxa"/>
            <w:tcBorders>
              <w:top w:val="single" w:sz="8" w:space="0" w:color="316F72"/>
              <w:left w:val="single" w:sz="8" w:space="0" w:color="316F72"/>
              <w:bottom w:val="single" w:sz="8" w:space="0" w:color="316F72"/>
              <w:right w:val="single" w:sz="8" w:space="0" w:color="316F72"/>
            </w:tcBorders>
          </w:tcPr>
          <w:p w14:paraId="315A4BA3" w14:textId="57C07748"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lastRenderedPageBreak/>
              <w:t>Government</w:t>
            </w:r>
          </w:p>
        </w:tc>
        <w:tc>
          <w:tcPr>
            <w:tcW w:w="1056" w:type="dxa"/>
            <w:tcBorders>
              <w:top w:val="single" w:sz="8" w:space="0" w:color="316F72"/>
              <w:left w:val="single" w:sz="8" w:space="0" w:color="316F72"/>
              <w:bottom w:val="single" w:sz="8" w:space="0" w:color="316F72"/>
              <w:right w:val="single" w:sz="8" w:space="0" w:color="316F72"/>
            </w:tcBorders>
          </w:tcPr>
          <w:p w14:paraId="70147ABD" w14:textId="0DACF6AD"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From 2019</w:t>
            </w:r>
          </w:p>
        </w:tc>
        <w:tc>
          <w:tcPr>
            <w:tcW w:w="5275" w:type="dxa"/>
            <w:tcBorders>
              <w:top w:val="single" w:sz="4" w:space="0" w:color="316F72"/>
              <w:left w:val="nil"/>
              <w:bottom w:val="single" w:sz="4" w:space="0" w:color="316F72"/>
              <w:right w:val="single" w:sz="4" w:space="0" w:color="316F72"/>
            </w:tcBorders>
          </w:tcPr>
          <w:p w14:paraId="20344EBD" w14:textId="3C2DDF01" w:rsidR="00625F84" w:rsidRPr="00781B51" w:rsidRDefault="00625F84" w:rsidP="00625F84">
            <w:pPr>
              <w:rPr>
                <w:rFonts w:asciiTheme="majorHAnsi" w:hAnsiTheme="majorHAnsi" w:cstheme="majorHAnsi"/>
                <w:b/>
                <w:bCs/>
              </w:rPr>
            </w:pPr>
            <w:r w:rsidRPr="00781B51">
              <w:rPr>
                <w:rFonts w:asciiTheme="majorHAnsi" w:hAnsiTheme="majorHAnsi" w:cstheme="majorHAnsi"/>
                <w:b/>
                <w:bCs/>
              </w:rPr>
              <w:t>Commenced and ongoing</w:t>
            </w:r>
          </w:p>
          <w:p w14:paraId="24ABFF35" w14:textId="64090632"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In 2019 CUST was facilitated by the Department’s </w:t>
            </w:r>
            <w:proofErr w:type="spellStart"/>
            <w:r w:rsidRPr="00781B51">
              <w:rPr>
                <w:rFonts w:asciiTheme="majorHAnsi" w:eastAsia="Times New Roman" w:hAnsiTheme="majorHAnsi" w:cstheme="majorHAnsi"/>
              </w:rPr>
              <w:t>Koorie</w:t>
            </w:r>
            <w:proofErr w:type="spellEnd"/>
            <w:r w:rsidRPr="00781B51">
              <w:rPr>
                <w:rFonts w:asciiTheme="majorHAnsi" w:eastAsia="Times New Roman" w:hAnsiTheme="majorHAnsi" w:cstheme="majorHAnsi"/>
              </w:rPr>
              <w:t xml:space="preserve"> Education Workforce to 517 Victorian government schools, bringing the overall proportion </w:t>
            </w:r>
            <w:r w:rsidRPr="00781B51">
              <w:rPr>
                <w:rFonts w:asciiTheme="majorHAnsi" w:eastAsia="Times New Roman" w:hAnsiTheme="majorHAnsi" w:cstheme="majorHAnsi"/>
              </w:rPr>
              <w:lastRenderedPageBreak/>
              <w:t>of government schools receiving the training to 50 per cent.</w:t>
            </w:r>
          </w:p>
          <w:p w14:paraId="4C4755F3" w14:textId="67B93453"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Ongoing relationships with local Aboriginal people </w:t>
            </w:r>
            <w:proofErr w:type="gramStart"/>
            <w:r w:rsidRPr="00781B51">
              <w:rPr>
                <w:rFonts w:asciiTheme="majorHAnsi" w:eastAsia="Times New Roman" w:hAnsiTheme="majorHAnsi" w:cstheme="majorHAnsi"/>
              </w:rPr>
              <w:t>is</w:t>
            </w:r>
            <w:proofErr w:type="gramEnd"/>
            <w:r w:rsidRPr="00781B51">
              <w:rPr>
                <w:rFonts w:asciiTheme="majorHAnsi" w:eastAsia="Times New Roman" w:hAnsiTheme="majorHAnsi" w:cstheme="majorHAnsi"/>
              </w:rPr>
              <w:t xml:space="preserve"> a key element of the training. Traditional Owners and/or local Aboriginal guest speakers provide a Welcome to Country and/or local cultural </w:t>
            </w:r>
            <w:proofErr w:type="spellStart"/>
            <w:r w:rsidRPr="00781B51">
              <w:rPr>
                <w:rFonts w:asciiTheme="majorHAnsi" w:eastAsia="Times New Roman" w:hAnsiTheme="majorHAnsi" w:cstheme="majorHAnsi"/>
              </w:rPr>
              <w:t>information.The</w:t>
            </w:r>
            <w:proofErr w:type="spellEnd"/>
            <w:r w:rsidRPr="00781B51">
              <w:rPr>
                <w:rFonts w:asciiTheme="majorHAnsi" w:eastAsia="Times New Roman" w:hAnsiTheme="majorHAnsi" w:cstheme="majorHAnsi"/>
              </w:rPr>
              <w:t xml:space="preserve"> Victorian Aboriginal Education Association Incorporated </w:t>
            </w:r>
            <w:proofErr w:type="spellStart"/>
            <w:r w:rsidRPr="00781B51">
              <w:rPr>
                <w:rFonts w:asciiTheme="majorHAnsi" w:eastAsia="Times New Roman" w:hAnsiTheme="majorHAnsi" w:cstheme="majorHAnsi"/>
              </w:rPr>
              <w:t>statewide</w:t>
            </w:r>
            <w:proofErr w:type="spellEnd"/>
            <w:r w:rsidRPr="00781B51">
              <w:rPr>
                <w:rFonts w:asciiTheme="majorHAnsi" w:eastAsia="Times New Roman" w:hAnsiTheme="majorHAnsi" w:cstheme="majorHAnsi"/>
              </w:rPr>
              <w:t xml:space="preserve"> network of Education Advisory Groups attend to discuss their role in working with the school and bring the voice 0f local community, as it relates to education, to the conversation.</w:t>
            </w:r>
          </w:p>
          <w:p w14:paraId="756A4E2C" w14:textId="37BDFA2F"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In 2019, 1449 (95 per cent) of Victorian government schools reported that they taught Aboriginal perspectives in the curriculum, up from 1423 in 2018. </w:t>
            </w:r>
          </w:p>
          <w:p w14:paraId="4F43F2C5" w14:textId="77777777" w:rsidR="00625F84" w:rsidRPr="00781B51" w:rsidRDefault="00625F84" w:rsidP="00625F84">
            <w:pPr>
              <w:pStyle w:val="ListParagraph"/>
              <w:numPr>
                <w:ilvl w:val="0"/>
                <w:numId w:val="1"/>
              </w:numPr>
              <w:ind w:left="360"/>
              <w:rPr>
                <w:rFonts w:asciiTheme="majorHAnsi" w:eastAsia="Corbel" w:hAnsiTheme="majorHAnsi" w:cstheme="majorHAnsi"/>
              </w:rPr>
            </w:pPr>
            <w:r w:rsidRPr="00781B51">
              <w:rPr>
                <w:rFonts w:asciiTheme="majorHAnsi" w:eastAsia="Times New Roman" w:hAnsiTheme="majorHAnsi" w:cstheme="majorHAnsi"/>
              </w:rPr>
              <w:t>In 2019 the number of schools adopting inclusive practices increased, including:</w:t>
            </w:r>
          </w:p>
          <w:p w14:paraId="07CF6261" w14:textId="3E32E9D3" w:rsidR="00625F84" w:rsidRPr="00781B51" w:rsidRDefault="00625F84" w:rsidP="00625F84">
            <w:pPr>
              <w:pStyle w:val="ListParagraph"/>
              <w:numPr>
                <w:ilvl w:val="1"/>
                <w:numId w:val="1"/>
              </w:numPr>
              <w:rPr>
                <w:rFonts w:asciiTheme="majorHAnsi" w:eastAsia="Corbel" w:hAnsiTheme="majorHAnsi" w:cstheme="majorHAnsi"/>
              </w:rPr>
            </w:pPr>
            <w:r w:rsidRPr="00781B51">
              <w:rPr>
                <w:rFonts w:asciiTheme="majorHAnsi" w:eastAsia="Times New Roman" w:hAnsiTheme="majorHAnsi" w:cstheme="majorHAnsi"/>
              </w:rPr>
              <w:t xml:space="preserve">Acknowledgement of Country (1401, up from 1268 in 2018)  </w:t>
            </w:r>
          </w:p>
          <w:p w14:paraId="50FAABA1" w14:textId="06926C25" w:rsidR="00625F84" w:rsidRPr="00781B51" w:rsidRDefault="00625F84" w:rsidP="00625F84">
            <w:pPr>
              <w:pStyle w:val="ListParagraph"/>
              <w:numPr>
                <w:ilvl w:val="1"/>
                <w:numId w:val="1"/>
              </w:numPr>
              <w:rPr>
                <w:rFonts w:asciiTheme="majorHAnsi" w:eastAsia="Corbel" w:hAnsiTheme="majorHAnsi" w:cstheme="majorHAnsi"/>
              </w:rPr>
            </w:pPr>
            <w:r w:rsidRPr="00781B51">
              <w:rPr>
                <w:rFonts w:asciiTheme="majorHAnsi" w:eastAsia="Times New Roman" w:hAnsiTheme="majorHAnsi" w:cstheme="majorHAnsi"/>
              </w:rPr>
              <w:t xml:space="preserve">flying the Aboriginal flag (1269, up from 1153 in 2018) </w:t>
            </w:r>
          </w:p>
          <w:p w14:paraId="5CB58C49" w14:textId="0B984FC1" w:rsidR="00625F84" w:rsidRPr="00781B51" w:rsidRDefault="00625F84" w:rsidP="00781B51">
            <w:pPr>
              <w:pStyle w:val="ListParagraph"/>
              <w:numPr>
                <w:ilvl w:val="1"/>
                <w:numId w:val="1"/>
              </w:numPr>
              <w:rPr>
                <w:rFonts w:asciiTheme="majorHAnsi" w:eastAsia="Corbel" w:hAnsiTheme="majorHAnsi" w:cstheme="majorHAnsi"/>
              </w:rPr>
            </w:pPr>
            <w:r w:rsidRPr="00781B51">
              <w:rPr>
                <w:rFonts w:asciiTheme="majorHAnsi" w:eastAsia="Times New Roman" w:hAnsiTheme="majorHAnsi" w:cstheme="majorHAnsi"/>
              </w:rPr>
              <w:t>displaying a sign acknowledging Traditional Owners (618 up from 520).</w:t>
            </w:r>
          </w:p>
        </w:tc>
      </w:tr>
      <w:tr w:rsidR="00625F84" w:rsidRPr="00781B51" w14:paraId="2FACC51E" w14:textId="77777777" w:rsidTr="003427C6">
        <w:trPr>
          <w:trHeight w:val="521"/>
        </w:trPr>
        <w:tc>
          <w:tcPr>
            <w:tcW w:w="6266" w:type="dxa"/>
            <w:tcBorders>
              <w:top w:val="single" w:sz="8" w:space="0" w:color="316F72"/>
              <w:left w:val="single" w:sz="8" w:space="0" w:color="316F72"/>
              <w:bottom w:val="single" w:sz="8" w:space="0" w:color="316F72"/>
              <w:right w:val="single" w:sz="8" w:space="0" w:color="316F72"/>
            </w:tcBorders>
          </w:tcPr>
          <w:p w14:paraId="223C7A32" w14:textId="3F800571" w:rsidR="00625F84" w:rsidRPr="00781B51" w:rsidRDefault="00625F84" w:rsidP="00625F84">
            <w:pPr>
              <w:ind w:left="2"/>
              <w:rPr>
                <w:rFonts w:asciiTheme="majorHAnsi" w:eastAsia="Corbel" w:hAnsiTheme="majorHAnsi" w:cstheme="majorHAnsi"/>
              </w:rPr>
            </w:pPr>
            <w:r w:rsidRPr="00781B51">
              <w:rPr>
                <w:rFonts w:asciiTheme="majorHAnsi" w:eastAsia="Times New Roman" w:hAnsiTheme="majorHAnsi" w:cstheme="majorHAnsi"/>
              </w:rPr>
              <w:lastRenderedPageBreak/>
              <w:t>The Commonwealth will work with Victoria to address identified teacher workforce supply needs (particularly in the areas of Maths and Science) including the development of a national teacher workforce strategy reflecting respective areas of responsibility.</w:t>
            </w:r>
            <w:r w:rsidRPr="00781B51">
              <w:rPr>
                <w:rFonts w:asciiTheme="majorHAnsi" w:eastAsia="Times New Roman" w:hAnsiTheme="majorHAnsi" w:cstheme="majorHAnsi"/>
                <w:color w:val="FF0000"/>
              </w:rPr>
              <w:t xml:space="preserve"> </w:t>
            </w:r>
          </w:p>
        </w:tc>
        <w:tc>
          <w:tcPr>
            <w:tcW w:w="1437" w:type="dxa"/>
            <w:tcBorders>
              <w:top w:val="single" w:sz="8" w:space="0" w:color="316F72"/>
              <w:left w:val="single" w:sz="8" w:space="0" w:color="316F72"/>
              <w:bottom w:val="single" w:sz="8" w:space="0" w:color="316F72"/>
              <w:right w:val="single" w:sz="8" w:space="0" w:color="316F72"/>
            </w:tcBorders>
          </w:tcPr>
          <w:p w14:paraId="052881B3" w14:textId="2D5D9B8A"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All Sectors</w:t>
            </w:r>
          </w:p>
        </w:tc>
        <w:tc>
          <w:tcPr>
            <w:tcW w:w="1056" w:type="dxa"/>
            <w:tcBorders>
              <w:top w:val="single" w:sz="8" w:space="0" w:color="316F72"/>
              <w:left w:val="single" w:sz="8" w:space="0" w:color="316F72"/>
              <w:bottom w:val="single" w:sz="8" w:space="0" w:color="316F72"/>
              <w:right w:val="single" w:sz="8" w:space="0" w:color="316F72"/>
            </w:tcBorders>
          </w:tcPr>
          <w:p w14:paraId="7E04569D" w14:textId="7B24CEA7" w:rsidR="00625F84" w:rsidRPr="00781B51" w:rsidRDefault="00625F84" w:rsidP="00625F84">
            <w:pPr>
              <w:ind w:left="2"/>
              <w:rPr>
                <w:rFonts w:asciiTheme="majorHAnsi" w:eastAsia="Corbel" w:hAnsiTheme="majorHAnsi" w:cstheme="majorHAnsi"/>
                <w:i/>
              </w:rPr>
            </w:pPr>
            <w:r w:rsidRPr="00781B51">
              <w:rPr>
                <w:rFonts w:asciiTheme="majorHAnsi" w:eastAsia="Times New Roman" w:hAnsiTheme="majorHAnsi" w:cstheme="majorHAnsi"/>
              </w:rPr>
              <w:t>2019</w:t>
            </w:r>
          </w:p>
        </w:tc>
        <w:tc>
          <w:tcPr>
            <w:tcW w:w="5275" w:type="dxa"/>
            <w:tcBorders>
              <w:top w:val="single" w:sz="4" w:space="0" w:color="316F72"/>
              <w:left w:val="single" w:sz="8" w:space="0" w:color="316F72"/>
              <w:bottom w:val="single" w:sz="8" w:space="0" w:color="316F72"/>
              <w:right w:val="single" w:sz="8" w:space="0" w:color="316F72"/>
            </w:tcBorders>
            <w:vAlign w:val="center"/>
          </w:tcPr>
          <w:p w14:paraId="6C3D77F5" w14:textId="7A31371A" w:rsidR="00625F84" w:rsidRPr="00781B51" w:rsidRDefault="00625F84" w:rsidP="00625F84">
            <w:pPr>
              <w:rPr>
                <w:rFonts w:asciiTheme="majorHAnsi" w:hAnsiTheme="majorHAnsi" w:cstheme="majorHAnsi"/>
                <w:b/>
                <w:bCs/>
              </w:rPr>
            </w:pPr>
            <w:r w:rsidRPr="00781B51">
              <w:rPr>
                <w:rFonts w:asciiTheme="majorHAnsi" w:hAnsiTheme="majorHAnsi" w:cstheme="majorHAnsi"/>
                <w:b/>
                <w:bCs/>
              </w:rPr>
              <w:t>Commenced and ongoing</w:t>
            </w:r>
          </w:p>
          <w:p w14:paraId="08BCDCC5" w14:textId="63B9DC18"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The Victorian Government has worked with the Commonwealth Government through the Australian Institute for Teaching and School Leadership (AITSL) on the development of a national teacher workforce strategy. </w:t>
            </w:r>
          </w:p>
          <w:p w14:paraId="506E3108" w14:textId="395BBCCE"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The Victorian Government is funding targeted initiatives to attract more teachers. </w:t>
            </w:r>
            <w:r w:rsidRPr="00781B51">
              <w:rPr>
                <w:rFonts w:asciiTheme="majorHAnsi" w:eastAsia="Times New Roman" w:hAnsiTheme="majorHAnsi" w:cstheme="majorHAnsi"/>
              </w:rPr>
              <w:br/>
              <w:t xml:space="preserve">A $41.7 million funding boost aims to attract excellent teachers to fill hard-to-staff positions in government schools across the state, including in the curriculum areas of mathematics and science.  It also provides support to teachers settling into their new roles. </w:t>
            </w:r>
          </w:p>
          <w:p w14:paraId="2E5BD3FA" w14:textId="30332686"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$17.85 million has been provided through the Secondary Mathematics and Science Initiative for out-of-field teachers. This initiative will support over 270 out-of-field mathematics and science teachers to become in-field. The funding will support these teachers to undertake a graduate certificate specifically designed and bespoke to the Victorian learning and teaching context. These graduate certificates will be designed in 2020 and delivered in 2021 by one of Victoria’s leading universities.</w:t>
            </w:r>
          </w:p>
          <w:p w14:paraId="077BB3C8" w14:textId="42BB3325"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lastRenderedPageBreak/>
              <w:t>The financial incentives provide recipients with an initial payment between $9,000 and $50,000 (pre-tax) to support eligible Victorian Government schools to attract suitable qualified teachers to take up hard-to-staff positions, including in the curriculum areas of mathematics and science. All 50 available incentivised roles were filled in the 2019-20 financial year, and a further 17 incentivised roles (out of 150 available) had been filled by August 2020.</w:t>
            </w:r>
          </w:p>
        </w:tc>
      </w:tr>
      <w:tr w:rsidR="00625F84" w:rsidRPr="00781B51" w14:paraId="5C94FFC7" w14:textId="77777777" w:rsidTr="003427C6">
        <w:trPr>
          <w:trHeight w:val="521"/>
        </w:trPr>
        <w:tc>
          <w:tcPr>
            <w:tcW w:w="6266" w:type="dxa"/>
            <w:tcBorders>
              <w:top w:val="single" w:sz="8" w:space="0" w:color="316F72"/>
              <w:left w:val="single" w:sz="8" w:space="0" w:color="316F72"/>
              <w:bottom w:val="single" w:sz="8" w:space="0" w:color="316F72"/>
              <w:right w:val="single" w:sz="8" w:space="0" w:color="316F72"/>
            </w:tcBorders>
          </w:tcPr>
          <w:p w14:paraId="6189232F" w14:textId="5B2562FD"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lastRenderedPageBreak/>
              <w:t>Provide high-quality professional learning and training to teachers and school leaders to support school improvement in areas of identified need.</w:t>
            </w:r>
          </w:p>
        </w:tc>
        <w:tc>
          <w:tcPr>
            <w:tcW w:w="1437" w:type="dxa"/>
            <w:tcBorders>
              <w:top w:val="single" w:sz="8" w:space="0" w:color="316F72"/>
              <w:left w:val="single" w:sz="8" w:space="0" w:color="316F72"/>
              <w:bottom w:val="single" w:sz="8" w:space="0" w:color="316F72"/>
              <w:right w:val="single" w:sz="8" w:space="0" w:color="316F72"/>
            </w:tcBorders>
          </w:tcPr>
          <w:p w14:paraId="6517BCA8" w14:textId="44535AC1"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Non-government</w:t>
            </w:r>
          </w:p>
        </w:tc>
        <w:tc>
          <w:tcPr>
            <w:tcW w:w="1056" w:type="dxa"/>
            <w:tcBorders>
              <w:top w:val="single" w:sz="8" w:space="0" w:color="316F72"/>
              <w:left w:val="single" w:sz="8" w:space="0" w:color="316F72"/>
              <w:bottom w:val="single" w:sz="8" w:space="0" w:color="316F72"/>
              <w:right w:val="single" w:sz="8" w:space="0" w:color="316F72"/>
            </w:tcBorders>
          </w:tcPr>
          <w:p w14:paraId="5AAD592A" w14:textId="4CCD6598"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From 2019</w:t>
            </w:r>
          </w:p>
        </w:tc>
        <w:tc>
          <w:tcPr>
            <w:tcW w:w="5275" w:type="dxa"/>
            <w:tcBorders>
              <w:top w:val="single" w:sz="8" w:space="0" w:color="316F72"/>
              <w:left w:val="single" w:sz="8" w:space="0" w:color="316F72"/>
              <w:bottom w:val="single" w:sz="8" w:space="0" w:color="316F72"/>
              <w:right w:val="single" w:sz="8" w:space="0" w:color="316F72"/>
            </w:tcBorders>
            <w:vAlign w:val="center"/>
          </w:tcPr>
          <w:p w14:paraId="41E20DEA" w14:textId="72758D68" w:rsidR="00625F84" w:rsidRPr="00781B51" w:rsidRDefault="00625F84" w:rsidP="00625F84">
            <w:pPr>
              <w:ind w:left="2"/>
              <w:rPr>
                <w:rFonts w:asciiTheme="majorHAnsi" w:eastAsia="Corbel" w:hAnsiTheme="majorHAnsi" w:cstheme="majorHAnsi"/>
                <w:b/>
                <w:bCs/>
              </w:rPr>
            </w:pPr>
            <w:r w:rsidRPr="00781B51">
              <w:rPr>
                <w:rFonts w:asciiTheme="majorHAnsi" w:eastAsia="Corbel" w:hAnsiTheme="majorHAnsi" w:cstheme="majorHAnsi"/>
                <w:b/>
                <w:bCs/>
              </w:rPr>
              <w:t>Commenced and ongoing</w:t>
            </w:r>
          </w:p>
          <w:p w14:paraId="17F55BE9" w14:textId="4D1BE30B" w:rsidR="00625F84" w:rsidRPr="00781B51" w:rsidRDefault="00625F84" w:rsidP="00781B51">
            <w:pPr>
              <w:pStyle w:val="Heading3"/>
            </w:pPr>
            <w:r w:rsidRPr="00781B51">
              <w:t>Catholic Schools</w:t>
            </w:r>
          </w:p>
          <w:p w14:paraId="2508AD85" w14:textId="77777777"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The Agile School Improvement project had a focus on building instructional capacity of education leaders, through improved data literacy and impact thinking.</w:t>
            </w:r>
          </w:p>
          <w:p w14:paraId="48A53FCC" w14:textId="7B10C39A"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System leaders worked with 148 participating schools to develop more impactful school improvement planning.</w:t>
            </w:r>
          </w:p>
          <w:p w14:paraId="3B1EAA67" w14:textId="465DD2AF" w:rsidR="00625F84" w:rsidRPr="00781B51" w:rsidRDefault="00625F84" w:rsidP="00625F84">
            <w:pPr>
              <w:pStyle w:val="ListParagraph"/>
              <w:numPr>
                <w:ilvl w:val="0"/>
                <w:numId w:val="2"/>
              </w:numPr>
              <w:rPr>
                <w:rFonts w:asciiTheme="majorHAnsi" w:eastAsia="Corbel" w:hAnsiTheme="majorHAnsi" w:cstheme="majorHAnsi"/>
              </w:rPr>
            </w:pPr>
            <w:r w:rsidRPr="00781B51">
              <w:rPr>
                <w:rFonts w:asciiTheme="majorHAnsi" w:eastAsia="Corbel" w:hAnsiTheme="majorHAnsi" w:cstheme="majorHAnsi"/>
              </w:rPr>
              <w:t>Ninety per cent of participating school leaders had improved school improvement plans.</w:t>
            </w:r>
          </w:p>
          <w:p w14:paraId="63EBDC8B" w14:textId="76979A58" w:rsidR="00625F84" w:rsidRPr="00781B51" w:rsidRDefault="00625F84" w:rsidP="00781B51">
            <w:pPr>
              <w:pStyle w:val="Heading3"/>
            </w:pPr>
            <w:r w:rsidRPr="00781B51">
              <w:lastRenderedPageBreak/>
              <w:t>Independent Schools</w:t>
            </w:r>
          </w:p>
          <w:p w14:paraId="5A320001" w14:textId="4FC07FA1" w:rsidR="00625F84" w:rsidRPr="00781B51" w:rsidRDefault="00625F84" w:rsidP="00625F84">
            <w:pPr>
              <w:pStyle w:val="ListParagraph"/>
              <w:numPr>
                <w:ilvl w:val="0"/>
                <w:numId w:val="2"/>
              </w:numPr>
              <w:rPr>
                <w:rFonts w:asciiTheme="majorHAnsi" w:eastAsia="Corbel" w:hAnsiTheme="majorHAnsi" w:cstheme="majorHAnsi"/>
              </w:rPr>
            </w:pPr>
            <w:r w:rsidRPr="00781B51">
              <w:rPr>
                <w:rFonts w:asciiTheme="majorHAnsi" w:eastAsia="Corbel" w:hAnsiTheme="majorHAnsi" w:cstheme="majorHAnsi"/>
              </w:rPr>
              <w:t xml:space="preserve">Professional learning programs were targeted to address both the content-specific needs of teachers and school leaders and their developmental needs at the different stages of their career development. </w:t>
            </w:r>
          </w:p>
          <w:p w14:paraId="4B371F26" w14:textId="741A53B3" w:rsidR="00625F84" w:rsidRPr="00781B51" w:rsidRDefault="00625F84" w:rsidP="00625F84">
            <w:pPr>
              <w:pStyle w:val="ListParagraph"/>
              <w:numPr>
                <w:ilvl w:val="0"/>
                <w:numId w:val="2"/>
              </w:numPr>
              <w:rPr>
                <w:rFonts w:asciiTheme="majorHAnsi" w:eastAsia="Corbel" w:hAnsiTheme="majorHAnsi" w:cstheme="majorHAnsi"/>
              </w:rPr>
            </w:pPr>
            <w:r w:rsidRPr="00781B51">
              <w:rPr>
                <w:rFonts w:asciiTheme="majorHAnsi" w:eastAsia="Corbel" w:hAnsiTheme="majorHAnsi" w:cstheme="majorHAnsi"/>
              </w:rPr>
              <w:t xml:space="preserve">Separate programs were targeted, for instance, to 13 new Principals, 12 new Business Managers and 28 beginning teachers. </w:t>
            </w:r>
          </w:p>
          <w:p w14:paraId="1CB2C727" w14:textId="488DC418" w:rsidR="00625F84" w:rsidRPr="00781B51" w:rsidRDefault="00625F84" w:rsidP="00625F84">
            <w:pPr>
              <w:pStyle w:val="ListParagraph"/>
              <w:numPr>
                <w:ilvl w:val="0"/>
                <w:numId w:val="2"/>
              </w:numPr>
              <w:rPr>
                <w:rFonts w:asciiTheme="majorHAnsi" w:eastAsia="Corbel" w:hAnsiTheme="majorHAnsi" w:cstheme="majorHAnsi"/>
              </w:rPr>
            </w:pPr>
            <w:r w:rsidRPr="00781B51">
              <w:rPr>
                <w:rFonts w:asciiTheme="majorHAnsi" w:eastAsia="Corbel" w:hAnsiTheme="majorHAnsi" w:cstheme="majorHAnsi"/>
              </w:rPr>
              <w:t>Independent Schools Victoria (ISV) developed a NAPLAN analysis platform for staff working with schools to better identify trends, issues and gaps in literacy and numeracy teaching and learning in schools.</w:t>
            </w:r>
          </w:p>
          <w:p w14:paraId="47427BD2" w14:textId="5B4BD88B" w:rsidR="00625F84" w:rsidRPr="00781B51" w:rsidRDefault="00625F84" w:rsidP="00625F84">
            <w:pPr>
              <w:pStyle w:val="ListParagraph"/>
              <w:numPr>
                <w:ilvl w:val="0"/>
                <w:numId w:val="3"/>
              </w:numPr>
              <w:contextualSpacing w:val="0"/>
              <w:rPr>
                <w:rFonts w:asciiTheme="majorHAnsi" w:eastAsia="Corbel" w:hAnsiTheme="majorHAnsi" w:cstheme="majorHAnsi"/>
              </w:rPr>
            </w:pPr>
            <w:r w:rsidRPr="00781B51">
              <w:rPr>
                <w:rFonts w:asciiTheme="majorHAnsi" w:eastAsia="Corbel" w:hAnsiTheme="majorHAnsi" w:cstheme="majorHAnsi"/>
              </w:rPr>
              <w:t>Online resources and training were boosted to improve regional and remote school staff access to quality support.</w:t>
            </w:r>
          </w:p>
        </w:tc>
      </w:tr>
      <w:tr w:rsidR="00625F84" w:rsidRPr="00781B51" w14:paraId="43504497" w14:textId="77777777" w:rsidTr="003427C6">
        <w:trPr>
          <w:trHeight w:val="521"/>
        </w:trPr>
        <w:tc>
          <w:tcPr>
            <w:tcW w:w="6266" w:type="dxa"/>
            <w:tcBorders>
              <w:top w:val="single" w:sz="8" w:space="0" w:color="316F72"/>
              <w:left w:val="single" w:sz="8" w:space="0" w:color="316F72"/>
              <w:bottom w:val="single" w:sz="8" w:space="0" w:color="316F72"/>
              <w:right w:val="single" w:sz="8" w:space="0" w:color="316F72"/>
            </w:tcBorders>
          </w:tcPr>
          <w:p w14:paraId="0DA529D3" w14:textId="796431B0"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lastRenderedPageBreak/>
              <w:t>Improve board governance in non-government schools through training and resource support.</w:t>
            </w:r>
          </w:p>
        </w:tc>
        <w:tc>
          <w:tcPr>
            <w:tcW w:w="1437" w:type="dxa"/>
            <w:tcBorders>
              <w:top w:val="single" w:sz="8" w:space="0" w:color="316F72"/>
              <w:left w:val="single" w:sz="8" w:space="0" w:color="316F72"/>
              <w:bottom w:val="single" w:sz="8" w:space="0" w:color="316F72"/>
              <w:right w:val="single" w:sz="8" w:space="0" w:color="316F72"/>
            </w:tcBorders>
          </w:tcPr>
          <w:p w14:paraId="1442303D" w14:textId="13D32F2A"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Non-government</w:t>
            </w:r>
          </w:p>
        </w:tc>
        <w:tc>
          <w:tcPr>
            <w:tcW w:w="1056" w:type="dxa"/>
            <w:tcBorders>
              <w:top w:val="single" w:sz="8" w:space="0" w:color="316F72"/>
              <w:left w:val="single" w:sz="8" w:space="0" w:color="316F72"/>
              <w:bottom w:val="single" w:sz="8" w:space="0" w:color="316F72"/>
              <w:right w:val="single" w:sz="8" w:space="0" w:color="316F72"/>
            </w:tcBorders>
          </w:tcPr>
          <w:p w14:paraId="4A414A8F" w14:textId="27C52C69"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From 2019</w:t>
            </w:r>
          </w:p>
        </w:tc>
        <w:tc>
          <w:tcPr>
            <w:tcW w:w="5275" w:type="dxa"/>
            <w:tcBorders>
              <w:top w:val="single" w:sz="8" w:space="0" w:color="316F72"/>
              <w:left w:val="single" w:sz="8" w:space="0" w:color="316F72"/>
              <w:bottom w:val="single" w:sz="8" w:space="0" w:color="316F72"/>
              <w:right w:val="single" w:sz="8" w:space="0" w:color="316F72"/>
            </w:tcBorders>
            <w:vAlign w:val="center"/>
          </w:tcPr>
          <w:p w14:paraId="6322DC38" w14:textId="77777777" w:rsidR="00625F84" w:rsidRPr="00781B51" w:rsidRDefault="00625F84" w:rsidP="00625F84">
            <w:pPr>
              <w:ind w:left="2"/>
              <w:rPr>
                <w:rFonts w:asciiTheme="majorHAnsi" w:eastAsia="Corbel" w:hAnsiTheme="majorHAnsi" w:cstheme="majorHAnsi"/>
                <w:b/>
                <w:bCs/>
              </w:rPr>
            </w:pPr>
            <w:r w:rsidRPr="00781B51">
              <w:rPr>
                <w:rFonts w:asciiTheme="majorHAnsi" w:eastAsia="Corbel" w:hAnsiTheme="majorHAnsi" w:cstheme="majorHAnsi"/>
                <w:b/>
                <w:bCs/>
              </w:rPr>
              <w:t>Commenced and ongoing</w:t>
            </w:r>
          </w:p>
          <w:p w14:paraId="18464B6B" w14:textId="68D06D18" w:rsidR="00625F84" w:rsidRPr="00781B51" w:rsidRDefault="00625F84" w:rsidP="00781B51">
            <w:pPr>
              <w:pStyle w:val="Heading3"/>
            </w:pPr>
            <w:r w:rsidRPr="00781B51">
              <w:t>Catholic Schools</w:t>
            </w:r>
          </w:p>
          <w:p w14:paraId="54ED8340" w14:textId="7546B614"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 xml:space="preserve">One of the dioceses, through the leadership development team, partnered with Australian Catholic University to offer sponsorship </w:t>
            </w:r>
            <w:r w:rsidRPr="00781B51">
              <w:rPr>
                <w:rFonts w:asciiTheme="majorHAnsi" w:eastAsia="Corbel" w:hAnsiTheme="majorHAnsi" w:cstheme="majorHAnsi"/>
              </w:rPr>
              <w:lastRenderedPageBreak/>
              <w:t>opportunities to 30 leaders in Catholic education to complete post graduate qualifications.</w:t>
            </w:r>
          </w:p>
          <w:p w14:paraId="2889F350" w14:textId="77777777"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In order to provide a targeted opportunity for principals and senior leaders, the Master of Business Administration (Executive) (MBAE) was customised to address the unique nature of Catholic schools.</w:t>
            </w:r>
          </w:p>
          <w:p w14:paraId="2FA4F1B7" w14:textId="50F0853B"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Students demonstrated increased capacity to demonstrate and maintain good governance, aligned with school-based policy, systemic and government compliance.</w:t>
            </w:r>
          </w:p>
          <w:p w14:paraId="363410BC" w14:textId="1DECA137" w:rsidR="00625F84" w:rsidRPr="00781B51" w:rsidRDefault="00625F84" w:rsidP="00781B51">
            <w:pPr>
              <w:pStyle w:val="Heading3"/>
            </w:pPr>
            <w:r w:rsidRPr="00781B51">
              <w:t>Independent Schools</w:t>
            </w:r>
          </w:p>
          <w:p w14:paraId="4C092ADF" w14:textId="77777777"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To maximise the scope of assistance, a range of tools were provided to schools, including professional learning (both general and targeted/personalised), online resources, benchmarked surveys and a governance help desk facility.</w:t>
            </w:r>
          </w:p>
          <w:p w14:paraId="16BE93BE" w14:textId="77777777"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180 school board representatives attended professional learning opportunities in 2019.</w:t>
            </w:r>
          </w:p>
          <w:p w14:paraId="45D624D8" w14:textId="6F34586D"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 xml:space="preserve">More than 2000 users accessed the governance, compliance and risk documentation on the ISV web portal. </w:t>
            </w:r>
          </w:p>
        </w:tc>
      </w:tr>
      <w:tr w:rsidR="00625F84" w:rsidRPr="00781B51" w14:paraId="659BF6B8" w14:textId="77777777" w:rsidTr="003427C6">
        <w:trPr>
          <w:trHeight w:val="521"/>
        </w:trPr>
        <w:tc>
          <w:tcPr>
            <w:tcW w:w="6266" w:type="dxa"/>
            <w:tcBorders>
              <w:top w:val="single" w:sz="8" w:space="0" w:color="316F72"/>
              <w:left w:val="single" w:sz="8" w:space="0" w:color="316F72"/>
              <w:bottom w:val="single" w:sz="8" w:space="0" w:color="316F72"/>
              <w:right w:val="single" w:sz="8" w:space="0" w:color="316F72"/>
            </w:tcBorders>
          </w:tcPr>
          <w:p w14:paraId="5FD07ABE" w14:textId="01B337D8"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lastRenderedPageBreak/>
              <w:t>Continue the transition of Catholic schools to the Integrated Catholic Online Network (ICON) in order to implement best practice administration in schools to meet ongoing government accountability requirements and support teachers and school leaders to analyse, monitor and review student learning gain and wellbeing data.</w:t>
            </w:r>
            <w:r w:rsidRPr="00781B51">
              <w:rPr>
                <w:rFonts w:asciiTheme="majorHAnsi" w:hAnsiTheme="majorHAnsi" w:cstheme="majorHAnsi"/>
                <w:color w:val="FF0000"/>
              </w:rPr>
              <w:t xml:space="preserve"> </w:t>
            </w:r>
          </w:p>
        </w:tc>
        <w:tc>
          <w:tcPr>
            <w:tcW w:w="1437" w:type="dxa"/>
            <w:tcBorders>
              <w:top w:val="single" w:sz="8" w:space="0" w:color="316F72"/>
              <w:left w:val="single" w:sz="8" w:space="0" w:color="316F72"/>
              <w:bottom w:val="single" w:sz="8" w:space="0" w:color="316F72"/>
              <w:right w:val="single" w:sz="8" w:space="0" w:color="316F72"/>
            </w:tcBorders>
          </w:tcPr>
          <w:p w14:paraId="5C01BA97" w14:textId="6F01AC78"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Catholic</w:t>
            </w:r>
          </w:p>
        </w:tc>
        <w:tc>
          <w:tcPr>
            <w:tcW w:w="1056" w:type="dxa"/>
            <w:tcBorders>
              <w:top w:val="single" w:sz="8" w:space="0" w:color="316F72"/>
              <w:left w:val="single" w:sz="8" w:space="0" w:color="316F72"/>
              <w:bottom w:val="single" w:sz="8" w:space="0" w:color="316F72"/>
              <w:right w:val="single" w:sz="8" w:space="0" w:color="316F72"/>
            </w:tcBorders>
          </w:tcPr>
          <w:p w14:paraId="49601E74" w14:textId="2E425E9F"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From 2019</w:t>
            </w:r>
          </w:p>
        </w:tc>
        <w:tc>
          <w:tcPr>
            <w:tcW w:w="5275" w:type="dxa"/>
            <w:tcBorders>
              <w:top w:val="single" w:sz="8" w:space="0" w:color="316F72"/>
              <w:left w:val="single" w:sz="8" w:space="0" w:color="316F72"/>
              <w:bottom w:val="single" w:sz="8" w:space="0" w:color="316F72"/>
              <w:right w:val="single" w:sz="8" w:space="0" w:color="316F72"/>
            </w:tcBorders>
            <w:vAlign w:val="center"/>
          </w:tcPr>
          <w:p w14:paraId="252D5330" w14:textId="36F01421" w:rsidR="00625F84" w:rsidRPr="00781B51" w:rsidRDefault="00625F84" w:rsidP="00625F84">
            <w:pPr>
              <w:rPr>
                <w:rFonts w:asciiTheme="majorHAnsi" w:eastAsia="Corbel" w:hAnsiTheme="majorHAnsi" w:cstheme="majorHAnsi"/>
                <w:b/>
                <w:bCs/>
              </w:rPr>
            </w:pPr>
            <w:r w:rsidRPr="00781B51">
              <w:rPr>
                <w:rFonts w:asciiTheme="majorHAnsi" w:eastAsia="Corbel" w:hAnsiTheme="majorHAnsi" w:cstheme="majorHAnsi"/>
                <w:b/>
                <w:bCs/>
              </w:rPr>
              <w:t>Commenced and ongoing</w:t>
            </w:r>
          </w:p>
          <w:p w14:paraId="39EB3D79" w14:textId="1D24BB2C"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Overall, the ICON project remains on track and on budget. An additional 54 schools migrated successfully onto ICON by the end of 2019.</w:t>
            </w:r>
          </w:p>
          <w:p w14:paraId="30776FBD" w14:textId="58581656"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In 2019, all schools implemented also transitioned to the shared services centre and 80 per cent of schools elected a business manager.</w:t>
            </w:r>
          </w:p>
          <w:p w14:paraId="077D1BB0" w14:textId="73BCE3AE"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Total of 98 schools using the ICON platform of which 67 are using ICON Shared Services.</w:t>
            </w:r>
          </w:p>
        </w:tc>
      </w:tr>
      <w:tr w:rsidR="00625F84" w:rsidRPr="00781B51" w14:paraId="5F4D1FF0" w14:textId="77777777" w:rsidTr="003427C6">
        <w:trPr>
          <w:trHeight w:val="521"/>
        </w:trPr>
        <w:tc>
          <w:tcPr>
            <w:tcW w:w="6266" w:type="dxa"/>
            <w:tcBorders>
              <w:top w:val="single" w:sz="8" w:space="0" w:color="316F72"/>
              <w:left w:val="single" w:sz="8" w:space="0" w:color="316F72"/>
              <w:bottom w:val="single" w:sz="8" w:space="0" w:color="316F72"/>
              <w:right w:val="single" w:sz="8" w:space="0" w:color="316F72"/>
            </w:tcBorders>
          </w:tcPr>
          <w:p w14:paraId="3F216C16" w14:textId="5D0C103C"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Increase the number of independent schools trained in the Process and Performance Management (PPM) approach through the Southern Cross Project in order to use the tools and techniques to improve student outcomes in areas of need, as identified by individual schools.</w:t>
            </w:r>
            <w:r w:rsidRPr="00781B51">
              <w:rPr>
                <w:rFonts w:asciiTheme="majorHAnsi" w:hAnsiTheme="majorHAnsi" w:cstheme="majorHAnsi"/>
              </w:rPr>
              <w:t xml:space="preserve"> </w:t>
            </w:r>
          </w:p>
        </w:tc>
        <w:tc>
          <w:tcPr>
            <w:tcW w:w="1437" w:type="dxa"/>
            <w:tcBorders>
              <w:top w:val="single" w:sz="8" w:space="0" w:color="316F72"/>
              <w:left w:val="single" w:sz="8" w:space="0" w:color="316F72"/>
              <w:bottom w:val="single" w:sz="8" w:space="0" w:color="316F72"/>
              <w:right w:val="single" w:sz="8" w:space="0" w:color="316F72"/>
            </w:tcBorders>
          </w:tcPr>
          <w:p w14:paraId="003C4BF5" w14:textId="32D7A790"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Independent</w:t>
            </w:r>
          </w:p>
        </w:tc>
        <w:tc>
          <w:tcPr>
            <w:tcW w:w="1056" w:type="dxa"/>
            <w:tcBorders>
              <w:top w:val="single" w:sz="8" w:space="0" w:color="316F72"/>
              <w:left w:val="single" w:sz="8" w:space="0" w:color="316F72"/>
              <w:bottom w:val="single" w:sz="8" w:space="0" w:color="316F72"/>
              <w:right w:val="single" w:sz="8" w:space="0" w:color="316F72"/>
            </w:tcBorders>
          </w:tcPr>
          <w:p w14:paraId="243A9FD1" w14:textId="16440A05"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2019</w:t>
            </w:r>
          </w:p>
        </w:tc>
        <w:tc>
          <w:tcPr>
            <w:tcW w:w="5275" w:type="dxa"/>
            <w:tcBorders>
              <w:top w:val="single" w:sz="8" w:space="0" w:color="316F72"/>
              <w:left w:val="single" w:sz="8" w:space="0" w:color="316F72"/>
              <w:bottom w:val="single" w:sz="8" w:space="0" w:color="316F72"/>
              <w:right w:val="single" w:sz="8" w:space="0" w:color="316F72"/>
            </w:tcBorders>
            <w:vAlign w:val="center"/>
          </w:tcPr>
          <w:p w14:paraId="2B380991" w14:textId="32205334" w:rsidR="00625F84" w:rsidRPr="00781B51" w:rsidRDefault="00625F84" w:rsidP="00625F84">
            <w:pPr>
              <w:rPr>
                <w:rFonts w:asciiTheme="majorHAnsi" w:eastAsia="Corbel" w:hAnsiTheme="majorHAnsi" w:cstheme="majorHAnsi"/>
                <w:b/>
                <w:bCs/>
              </w:rPr>
            </w:pPr>
            <w:r w:rsidRPr="00781B51">
              <w:rPr>
                <w:rFonts w:asciiTheme="majorHAnsi" w:eastAsia="Corbel" w:hAnsiTheme="majorHAnsi" w:cstheme="majorHAnsi"/>
                <w:b/>
                <w:bCs/>
              </w:rPr>
              <w:t>Commenced and ongoing</w:t>
            </w:r>
          </w:p>
          <w:p w14:paraId="20805679" w14:textId="493FA58C"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Sixteen schools undertook PPM training in 2019,</w:t>
            </w:r>
            <w:r w:rsidRPr="00781B51">
              <w:rPr>
                <w:rFonts w:asciiTheme="majorHAnsi" w:hAnsiTheme="majorHAnsi" w:cstheme="majorHAnsi"/>
              </w:rPr>
              <w:t xml:space="preserve"> </w:t>
            </w:r>
            <w:r w:rsidRPr="00781B51">
              <w:rPr>
                <w:rFonts w:asciiTheme="majorHAnsi" w:eastAsia="Corbel" w:hAnsiTheme="majorHAnsi" w:cstheme="majorHAnsi"/>
              </w:rPr>
              <w:t>eight participating for the first time. The total number of schools trained since 2018 increased to 39.</w:t>
            </w:r>
          </w:p>
          <w:p w14:paraId="7811D609" w14:textId="29BECF97" w:rsidR="00625F84" w:rsidRPr="00781B51" w:rsidRDefault="00625F84" w:rsidP="00625F84">
            <w:pPr>
              <w:pStyle w:val="ListParagraph"/>
              <w:numPr>
                <w:ilvl w:val="0"/>
                <w:numId w:val="3"/>
              </w:numPr>
              <w:rPr>
                <w:rFonts w:asciiTheme="majorHAnsi" w:eastAsia="Corbel" w:hAnsiTheme="majorHAnsi" w:cstheme="majorHAnsi"/>
              </w:rPr>
            </w:pPr>
            <w:r w:rsidRPr="00781B51">
              <w:rPr>
                <w:rFonts w:asciiTheme="majorHAnsi" w:eastAsia="Corbel" w:hAnsiTheme="majorHAnsi" w:cstheme="majorHAnsi"/>
              </w:rPr>
              <w:t xml:space="preserve">Each school identified a </w:t>
            </w:r>
            <w:proofErr w:type="gramStart"/>
            <w:r w:rsidRPr="00781B51">
              <w:rPr>
                <w:rFonts w:asciiTheme="majorHAnsi" w:eastAsia="Corbel" w:hAnsiTheme="majorHAnsi" w:cstheme="majorHAnsi"/>
              </w:rPr>
              <w:t>particular issue</w:t>
            </w:r>
            <w:proofErr w:type="gramEnd"/>
            <w:r w:rsidRPr="00781B51">
              <w:rPr>
                <w:rFonts w:asciiTheme="majorHAnsi" w:eastAsia="Corbel" w:hAnsiTheme="majorHAnsi" w:cstheme="majorHAnsi"/>
              </w:rPr>
              <w:t xml:space="preserve"> to investigate, based on their respective teaching and learning needs. STEM was a </w:t>
            </w:r>
            <w:proofErr w:type="gramStart"/>
            <w:r w:rsidRPr="00781B51">
              <w:rPr>
                <w:rFonts w:asciiTheme="majorHAnsi" w:eastAsia="Corbel" w:hAnsiTheme="majorHAnsi" w:cstheme="majorHAnsi"/>
              </w:rPr>
              <w:t>particular focus</w:t>
            </w:r>
            <w:proofErr w:type="gramEnd"/>
            <w:r w:rsidRPr="00781B51">
              <w:rPr>
                <w:rFonts w:asciiTheme="majorHAnsi" w:eastAsia="Corbel" w:hAnsiTheme="majorHAnsi" w:cstheme="majorHAnsi"/>
              </w:rPr>
              <w:t xml:space="preserve"> for several schools this year.</w:t>
            </w:r>
          </w:p>
        </w:tc>
      </w:tr>
    </w:tbl>
    <w:p w14:paraId="67A498FC" w14:textId="20201878" w:rsidR="001F23B6" w:rsidRPr="00781B51" w:rsidRDefault="001F23B6" w:rsidP="001F23B6">
      <w:pPr>
        <w:rPr>
          <w:rFonts w:asciiTheme="majorHAnsi" w:hAnsiTheme="majorHAnsi" w:cstheme="majorHAnsi"/>
          <w:szCs w:val="22"/>
        </w:rPr>
      </w:pPr>
      <w:r w:rsidRPr="00781B51">
        <w:rPr>
          <w:rFonts w:asciiTheme="majorHAnsi" w:hAnsiTheme="majorHAnsi" w:cstheme="majorHAnsi"/>
          <w:szCs w:val="22"/>
        </w:rPr>
        <w:br w:type="page"/>
      </w:r>
    </w:p>
    <w:p w14:paraId="769DF7A5" w14:textId="3A9C7586" w:rsidR="00625F84" w:rsidRPr="00781B51" w:rsidRDefault="00625F84" w:rsidP="00781B51">
      <w:pPr>
        <w:pStyle w:val="Heading2"/>
        <w:rPr>
          <w:rFonts w:eastAsia="Corbel"/>
        </w:rPr>
      </w:pPr>
      <w:r w:rsidRPr="00781B51">
        <w:rPr>
          <w:rFonts w:eastAsia="Corbel"/>
        </w:rPr>
        <w:lastRenderedPageBreak/>
        <w:t>Reform Direction C – Enhancing the national evidence base</w:t>
      </w:r>
    </w:p>
    <w:tbl>
      <w:tblPr>
        <w:tblStyle w:val="TableGrid0"/>
        <w:tblW w:w="14034" w:type="dxa"/>
        <w:tblInd w:w="-10" w:type="dxa"/>
        <w:tblCellMar>
          <w:top w:w="59" w:type="dxa"/>
          <w:left w:w="108" w:type="dxa"/>
          <w:right w:w="56" w:type="dxa"/>
        </w:tblCellMar>
        <w:tblLook w:val="04A0" w:firstRow="1" w:lastRow="0" w:firstColumn="1" w:lastColumn="0" w:noHBand="0" w:noVBand="1"/>
      </w:tblPr>
      <w:tblGrid>
        <w:gridCol w:w="6279"/>
        <w:gridCol w:w="1418"/>
        <w:gridCol w:w="1049"/>
        <w:gridCol w:w="5288"/>
      </w:tblGrid>
      <w:tr w:rsidR="00625F84" w:rsidRPr="00781B51" w14:paraId="3129194D" w14:textId="77777777" w:rsidTr="00781B51">
        <w:trPr>
          <w:trHeight w:val="521"/>
          <w:tblHeader/>
        </w:trPr>
        <w:tc>
          <w:tcPr>
            <w:tcW w:w="6279" w:type="dxa"/>
            <w:tcBorders>
              <w:top w:val="single" w:sz="24" w:space="0" w:color="316F72"/>
              <w:left w:val="single" w:sz="8" w:space="0" w:color="316F72"/>
              <w:bottom w:val="single" w:sz="24" w:space="0" w:color="316F72"/>
              <w:right w:val="single" w:sz="8" w:space="0" w:color="316F72"/>
            </w:tcBorders>
            <w:vAlign w:val="center"/>
          </w:tcPr>
          <w:p w14:paraId="29FFAF57" w14:textId="5DA76C18" w:rsidR="00625F84" w:rsidRPr="00781B51" w:rsidRDefault="00625F84" w:rsidP="00781B51">
            <w:pPr>
              <w:ind w:left="2"/>
              <w:rPr>
                <w:rFonts w:asciiTheme="majorHAnsi" w:hAnsiTheme="majorHAnsi" w:cstheme="majorHAnsi"/>
              </w:rPr>
            </w:pPr>
            <w:r w:rsidRPr="00781B51">
              <w:rPr>
                <w:rFonts w:asciiTheme="majorHAnsi" w:eastAsia="Corbel" w:hAnsiTheme="majorHAnsi" w:cstheme="majorHAnsi"/>
                <w:b/>
              </w:rPr>
              <w:t xml:space="preserve">Actions </w:t>
            </w:r>
          </w:p>
        </w:tc>
        <w:tc>
          <w:tcPr>
            <w:tcW w:w="1418" w:type="dxa"/>
            <w:tcBorders>
              <w:top w:val="single" w:sz="24" w:space="0" w:color="316F72"/>
              <w:left w:val="single" w:sz="8" w:space="0" w:color="316F72"/>
              <w:bottom w:val="single" w:sz="24" w:space="0" w:color="316F72"/>
              <w:right w:val="single" w:sz="8" w:space="0" w:color="316F72"/>
            </w:tcBorders>
            <w:vAlign w:val="center"/>
          </w:tcPr>
          <w:p w14:paraId="50F657F3" w14:textId="7AEACF39" w:rsidR="00625F84" w:rsidRPr="00781B51" w:rsidRDefault="00625F84" w:rsidP="00781B51">
            <w:pPr>
              <w:ind w:left="2"/>
              <w:rPr>
                <w:rFonts w:asciiTheme="majorHAnsi" w:hAnsiTheme="majorHAnsi" w:cstheme="majorHAnsi"/>
                <w:color w:val="000000"/>
              </w:rPr>
            </w:pPr>
            <w:r w:rsidRPr="00781B51">
              <w:rPr>
                <w:rFonts w:asciiTheme="majorHAnsi" w:eastAsia="Corbel" w:hAnsiTheme="majorHAnsi" w:cstheme="majorHAnsi"/>
                <w:b/>
              </w:rPr>
              <w:t xml:space="preserve">Sector(s) </w:t>
            </w:r>
          </w:p>
        </w:tc>
        <w:tc>
          <w:tcPr>
            <w:tcW w:w="1049" w:type="dxa"/>
            <w:tcBorders>
              <w:top w:val="single" w:sz="24" w:space="0" w:color="316F72"/>
              <w:left w:val="single" w:sz="8" w:space="0" w:color="316F72"/>
              <w:bottom w:val="single" w:sz="24" w:space="0" w:color="316F72"/>
              <w:right w:val="single" w:sz="8" w:space="0" w:color="316F72"/>
            </w:tcBorders>
            <w:vAlign w:val="center"/>
          </w:tcPr>
          <w:p w14:paraId="1598D9B9" w14:textId="1D1CBD3D" w:rsidR="00625F84" w:rsidRPr="00781B51" w:rsidRDefault="00625F84" w:rsidP="00781B51">
            <w:pPr>
              <w:ind w:left="2"/>
              <w:rPr>
                <w:rFonts w:asciiTheme="majorHAnsi" w:hAnsiTheme="majorHAnsi" w:cstheme="majorHAnsi"/>
                <w:color w:val="000000"/>
              </w:rPr>
            </w:pPr>
            <w:r w:rsidRPr="00781B51">
              <w:rPr>
                <w:rFonts w:asciiTheme="majorHAnsi" w:eastAsia="Corbel" w:hAnsiTheme="majorHAnsi" w:cstheme="majorHAnsi"/>
                <w:b/>
              </w:rPr>
              <w:t xml:space="preserve">Timing </w:t>
            </w:r>
          </w:p>
        </w:tc>
        <w:tc>
          <w:tcPr>
            <w:tcW w:w="5288" w:type="dxa"/>
            <w:tcBorders>
              <w:top w:val="single" w:sz="24" w:space="0" w:color="316F72"/>
              <w:left w:val="single" w:sz="8" w:space="0" w:color="316F72"/>
              <w:bottom w:val="single" w:sz="24" w:space="0" w:color="316F72"/>
              <w:right w:val="single" w:sz="8" w:space="0" w:color="316F72"/>
            </w:tcBorders>
            <w:vAlign w:val="center"/>
          </w:tcPr>
          <w:p w14:paraId="23E55CE2" w14:textId="12CF6D30" w:rsidR="00625F84" w:rsidRPr="00781B51" w:rsidRDefault="00625F84" w:rsidP="00781B51">
            <w:pPr>
              <w:ind w:left="3"/>
              <w:rPr>
                <w:rFonts w:asciiTheme="majorHAnsi" w:hAnsiTheme="majorHAnsi" w:cstheme="majorHAnsi"/>
              </w:rPr>
            </w:pPr>
            <w:r w:rsidRPr="00781B51">
              <w:rPr>
                <w:rFonts w:asciiTheme="majorHAnsi" w:eastAsia="Corbel" w:hAnsiTheme="majorHAnsi" w:cstheme="majorHAnsi"/>
                <w:b/>
              </w:rPr>
              <w:t xml:space="preserve">Progress towards implementation of actions (including progress of non-government sector actions) </w:t>
            </w:r>
          </w:p>
        </w:tc>
      </w:tr>
      <w:tr w:rsidR="00625F84" w:rsidRPr="00781B51" w14:paraId="70BF798E" w14:textId="77777777" w:rsidTr="00625F84">
        <w:trPr>
          <w:trHeight w:val="521"/>
        </w:trPr>
        <w:tc>
          <w:tcPr>
            <w:tcW w:w="6279" w:type="dxa"/>
            <w:tcBorders>
              <w:top w:val="single" w:sz="24" w:space="0" w:color="316F72"/>
              <w:left w:val="single" w:sz="8" w:space="0" w:color="316F72"/>
              <w:bottom w:val="single" w:sz="8" w:space="0" w:color="316F72"/>
              <w:right w:val="single" w:sz="8" w:space="0" w:color="316F72"/>
            </w:tcBorders>
          </w:tcPr>
          <w:p w14:paraId="788D7D2D" w14:textId="05925463"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rPr>
              <w:t>Support the transition to the Nationally Consistent Collection of Data on School Students with Disability (NCCD) through quality assurance and moderation of NCCD data.</w:t>
            </w:r>
          </w:p>
        </w:tc>
        <w:tc>
          <w:tcPr>
            <w:tcW w:w="1418" w:type="dxa"/>
            <w:tcBorders>
              <w:top w:val="single" w:sz="24" w:space="0" w:color="316F72"/>
              <w:left w:val="single" w:sz="8" w:space="0" w:color="316F72"/>
              <w:bottom w:val="single" w:sz="8" w:space="0" w:color="316F72"/>
              <w:right w:val="single" w:sz="8" w:space="0" w:color="316F72"/>
            </w:tcBorders>
          </w:tcPr>
          <w:p w14:paraId="6708279F" w14:textId="1D45A645"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color w:val="000000"/>
              </w:rPr>
              <w:t>Non-government</w:t>
            </w:r>
          </w:p>
        </w:tc>
        <w:tc>
          <w:tcPr>
            <w:tcW w:w="1049" w:type="dxa"/>
            <w:tcBorders>
              <w:top w:val="single" w:sz="24" w:space="0" w:color="316F72"/>
              <w:left w:val="single" w:sz="8" w:space="0" w:color="316F72"/>
              <w:bottom w:val="single" w:sz="8" w:space="0" w:color="316F72"/>
              <w:right w:val="single" w:sz="8" w:space="0" w:color="316F72"/>
            </w:tcBorders>
          </w:tcPr>
          <w:p w14:paraId="3EE4FDC4" w14:textId="21926324" w:rsidR="00625F84" w:rsidRPr="00781B51" w:rsidRDefault="00625F84" w:rsidP="00625F84">
            <w:pPr>
              <w:ind w:left="2"/>
              <w:rPr>
                <w:rFonts w:asciiTheme="majorHAnsi" w:hAnsiTheme="majorHAnsi" w:cstheme="majorHAnsi"/>
              </w:rPr>
            </w:pPr>
            <w:r w:rsidRPr="00781B51">
              <w:rPr>
                <w:rFonts w:asciiTheme="majorHAnsi" w:eastAsia="Times New Roman" w:hAnsiTheme="majorHAnsi" w:cstheme="majorHAnsi"/>
                <w:color w:val="000000"/>
              </w:rPr>
              <w:t>From 2019</w:t>
            </w:r>
          </w:p>
        </w:tc>
        <w:tc>
          <w:tcPr>
            <w:tcW w:w="5288" w:type="dxa"/>
            <w:tcBorders>
              <w:top w:val="single" w:sz="24" w:space="0" w:color="316F72"/>
              <w:left w:val="single" w:sz="8" w:space="0" w:color="316F72"/>
              <w:bottom w:val="single" w:sz="8" w:space="0" w:color="316F72"/>
              <w:right w:val="single" w:sz="8" w:space="0" w:color="316F72"/>
            </w:tcBorders>
          </w:tcPr>
          <w:p w14:paraId="584B68BE" w14:textId="04B95776" w:rsidR="00625F84" w:rsidRPr="00781B51" w:rsidRDefault="00625F84" w:rsidP="00625F84">
            <w:pPr>
              <w:rPr>
                <w:rFonts w:asciiTheme="majorHAnsi" w:hAnsiTheme="majorHAnsi" w:cstheme="majorHAnsi"/>
                <w:b/>
                <w:bCs/>
              </w:rPr>
            </w:pPr>
            <w:r w:rsidRPr="00781B51">
              <w:rPr>
                <w:rFonts w:asciiTheme="majorHAnsi" w:hAnsiTheme="majorHAnsi" w:cstheme="majorHAnsi"/>
                <w:b/>
                <w:bCs/>
              </w:rPr>
              <w:t>Commenced and ongoing</w:t>
            </w:r>
          </w:p>
          <w:p w14:paraId="0C0755FA" w14:textId="415E8B87" w:rsidR="00625F84" w:rsidRPr="00781B51" w:rsidRDefault="00625F84" w:rsidP="00781B51">
            <w:pPr>
              <w:pStyle w:val="Heading3"/>
            </w:pPr>
            <w:r w:rsidRPr="00781B51">
              <w:t>Catholic Schools</w:t>
            </w:r>
          </w:p>
          <w:p w14:paraId="5211E034" w14:textId="7B8F544A"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Developed presentations and additional Catholic Education Commission Victoria (CECV) resources </w:t>
            </w:r>
            <w:r w:rsidRPr="00781B51">
              <w:rPr>
                <w:rFonts w:asciiTheme="majorHAnsi" w:hAnsiTheme="majorHAnsi" w:cstheme="majorHAnsi"/>
              </w:rPr>
              <w:t xml:space="preserve">for school leaders and NCCD teams referencing the </w:t>
            </w:r>
            <w:hyperlink r:id="rId15" w:history="1">
              <w:r w:rsidRPr="00781B51">
                <w:rPr>
                  <w:rStyle w:val="Hyperlink"/>
                  <w:rFonts w:asciiTheme="majorHAnsi" w:hAnsiTheme="majorHAnsi" w:cstheme="majorHAnsi"/>
                </w:rPr>
                <w:t>2019 NCCD Guidelines and national materials</w:t>
              </w:r>
            </w:hyperlink>
            <w:r w:rsidRPr="00781B51">
              <w:rPr>
                <w:rFonts w:asciiTheme="majorHAnsi" w:hAnsiTheme="majorHAnsi" w:cstheme="majorHAnsi"/>
              </w:rPr>
              <w:t xml:space="preserve">. </w:t>
            </w:r>
            <w:r w:rsidRPr="00781B51">
              <w:rPr>
                <w:rFonts w:asciiTheme="majorHAnsi" w:eastAsia="Times New Roman" w:hAnsiTheme="majorHAnsi" w:cstheme="majorHAnsi"/>
              </w:rPr>
              <w:t xml:space="preserve"> </w:t>
            </w:r>
          </w:p>
          <w:p w14:paraId="12D30542" w14:textId="7459B37E"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Maintenance of a CECV NCCD Google Community (1,048 members).</w:t>
            </w:r>
          </w:p>
          <w:p w14:paraId="447D6AB3" w14:textId="690F505F"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Delivered network and full day briefings </w:t>
            </w:r>
            <w:r w:rsidRPr="00781B51">
              <w:rPr>
                <w:rFonts w:asciiTheme="majorHAnsi" w:hAnsiTheme="majorHAnsi" w:cstheme="majorHAnsi"/>
              </w:rPr>
              <w:t>to school leadership teams and NCCD teams</w:t>
            </w:r>
            <w:r w:rsidRPr="00781B51">
              <w:rPr>
                <w:rFonts w:asciiTheme="majorHAnsi" w:eastAsia="Times New Roman" w:hAnsiTheme="majorHAnsi" w:cstheme="majorHAnsi"/>
              </w:rPr>
              <w:t>.</w:t>
            </w:r>
          </w:p>
          <w:p w14:paraId="1A7337EF" w14:textId="4E4F1832"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Individual school visits focused on building the capacity of school leaders to identify, collect, analyse and moderate their NCCD.</w:t>
            </w:r>
          </w:p>
          <w:p w14:paraId="51359CAC" w14:textId="5372181C"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Worked towards building the capacity of school leaders to utilise the CECV intervention framework to accurately identify and monitor students who may require adjustment in support, both academically and behaviourally.</w:t>
            </w:r>
          </w:p>
          <w:p w14:paraId="10C84BF4" w14:textId="182EA4A2"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Completed quality assurance with 100 per cent of CECV schools.</w:t>
            </w:r>
          </w:p>
          <w:p w14:paraId="2E500A89" w14:textId="7C724CAA" w:rsidR="00625F84" w:rsidRPr="00781B51" w:rsidRDefault="00625F84" w:rsidP="00625F84">
            <w:pPr>
              <w:pStyle w:val="ListParagraph"/>
              <w:numPr>
                <w:ilvl w:val="0"/>
                <w:numId w:val="1"/>
              </w:numPr>
              <w:ind w:left="360"/>
              <w:rPr>
                <w:rFonts w:asciiTheme="majorHAnsi" w:hAnsiTheme="majorHAnsi" w:cstheme="majorHAnsi"/>
              </w:rPr>
            </w:pPr>
            <w:r w:rsidRPr="00781B51">
              <w:rPr>
                <w:rFonts w:asciiTheme="majorHAnsi" w:eastAsia="Times New Roman" w:hAnsiTheme="majorHAnsi" w:cstheme="majorHAnsi"/>
              </w:rPr>
              <w:lastRenderedPageBreak/>
              <w:t>100 per cent CECV schools submitted NCCD dataset via CEVN NCCD Portal.</w:t>
            </w:r>
          </w:p>
          <w:p w14:paraId="221D5A01" w14:textId="7CB47B79" w:rsidR="00625F84" w:rsidRPr="00781B51" w:rsidRDefault="00625F84" w:rsidP="00781B51">
            <w:pPr>
              <w:pStyle w:val="Heading3"/>
            </w:pPr>
            <w:r w:rsidRPr="00781B51">
              <w:t>Independent Schools</w:t>
            </w:r>
          </w:p>
          <w:p w14:paraId="69F2D065" w14:textId="77777777"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Undertook data benchmarking of sector NCCD data to identify schools with unusual data patterns and provide targeted support to identify the causes of these variances</w:t>
            </w:r>
          </w:p>
          <w:p w14:paraId="2331A3FC" w14:textId="1F791999"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 xml:space="preserve">Conducted 16 moderation workshops across Victoria, with 374 staff from 146 Independent schools participating. We were not able to run cross-sectoral moderation as schools in different sectors had different needs and starting points. </w:t>
            </w:r>
          </w:p>
          <w:p w14:paraId="426CC699" w14:textId="618EB38A" w:rsidR="00625F84" w:rsidRPr="00781B51" w:rsidRDefault="00625F84" w:rsidP="00625F84">
            <w:pPr>
              <w:pStyle w:val="ListParagraph"/>
              <w:numPr>
                <w:ilvl w:val="0"/>
                <w:numId w:val="1"/>
              </w:numPr>
              <w:ind w:left="360"/>
              <w:rPr>
                <w:rFonts w:asciiTheme="majorHAnsi" w:eastAsia="Times New Roman" w:hAnsiTheme="majorHAnsi" w:cstheme="majorHAnsi"/>
              </w:rPr>
            </w:pPr>
            <w:r w:rsidRPr="00781B51">
              <w:rPr>
                <w:rFonts w:asciiTheme="majorHAnsi" w:eastAsia="Times New Roman" w:hAnsiTheme="majorHAnsi" w:cstheme="majorHAnsi"/>
              </w:rPr>
              <w:t>Focused on a whole-school approach, after identifying data inconsistencies often occur in schools where one person was solely responsible for completing the NCCD.</w:t>
            </w:r>
          </w:p>
          <w:p w14:paraId="71E81D78" w14:textId="3A8AB017" w:rsidR="00625F84" w:rsidRPr="00781B51" w:rsidRDefault="00625F84" w:rsidP="00625F84">
            <w:pPr>
              <w:pStyle w:val="ListParagraph"/>
              <w:numPr>
                <w:ilvl w:val="0"/>
                <w:numId w:val="1"/>
              </w:numPr>
              <w:ind w:left="360"/>
              <w:rPr>
                <w:rFonts w:asciiTheme="majorHAnsi" w:hAnsiTheme="majorHAnsi" w:cstheme="majorHAnsi"/>
              </w:rPr>
            </w:pPr>
            <w:r w:rsidRPr="00781B51">
              <w:rPr>
                <w:rFonts w:asciiTheme="majorHAnsi" w:eastAsia="Times New Roman" w:hAnsiTheme="majorHAnsi" w:cstheme="majorHAnsi"/>
              </w:rPr>
              <w:t>Professional development offered to schools in areas that lacked clarity (for instance learning disabilities, interface with English as an Additional Language/Dialect).</w:t>
            </w:r>
          </w:p>
        </w:tc>
      </w:tr>
    </w:tbl>
    <w:p w14:paraId="2E69FD43" w14:textId="443AAB7A" w:rsidR="0063583B" w:rsidRPr="00781B51" w:rsidRDefault="0063583B" w:rsidP="00781B51">
      <w:pPr>
        <w:spacing w:after="336"/>
        <w:rPr>
          <w:rFonts w:asciiTheme="majorHAnsi" w:hAnsiTheme="majorHAnsi" w:cstheme="majorHAnsi"/>
          <w:szCs w:val="22"/>
        </w:rPr>
      </w:pPr>
    </w:p>
    <w:sectPr w:rsidR="0063583B" w:rsidRPr="00781B51" w:rsidSect="00527CC4">
      <w:headerReference w:type="default" r:id="rId16"/>
      <w:footerReference w:type="even" r:id="rId17"/>
      <w:footerReference w:type="default" r:id="rId18"/>
      <w:pgSz w:w="16840" w:h="11900" w:orient="landscape" w:code="9"/>
      <w:pgMar w:top="1440" w:right="1440" w:bottom="1440" w:left="1440" w:header="737"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B9407B" w14:textId="77777777" w:rsidR="008451F4" w:rsidRDefault="008451F4">
      <w:r>
        <w:separator/>
      </w:r>
    </w:p>
  </w:endnote>
  <w:endnote w:type="continuationSeparator" w:id="0">
    <w:p w14:paraId="5D3990CA" w14:textId="77777777" w:rsidR="008451F4" w:rsidRDefault="008451F4">
      <w:r>
        <w:continuationSeparator/>
      </w:r>
    </w:p>
  </w:endnote>
  <w:endnote w:type="continuationNotice" w:id="1">
    <w:p w14:paraId="06C6B6BD" w14:textId="77777777" w:rsidR="008451F4" w:rsidRDefault="00845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1F90F" w14:textId="77777777" w:rsidR="00184444" w:rsidRDefault="00184444" w:rsidP="005950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C7B7C" w14:textId="77777777" w:rsidR="00184444" w:rsidRDefault="00184444" w:rsidP="00A77D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719141"/>
      <w:docPartObj>
        <w:docPartGallery w:val="Page Numbers (Bottom of Page)"/>
        <w:docPartUnique/>
      </w:docPartObj>
    </w:sdtPr>
    <w:sdtEndPr>
      <w:rPr>
        <w:noProof/>
      </w:rPr>
    </w:sdtEndPr>
    <w:sdtContent>
      <w:p w14:paraId="7269146B" w14:textId="4981BB53" w:rsidR="00184444" w:rsidRPr="00527CC4" w:rsidRDefault="00527CC4" w:rsidP="00527C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9BD5A" w14:textId="77777777" w:rsidR="008451F4" w:rsidRDefault="008451F4">
      <w:r>
        <w:separator/>
      </w:r>
    </w:p>
  </w:footnote>
  <w:footnote w:type="continuationSeparator" w:id="0">
    <w:p w14:paraId="10F9579A" w14:textId="77777777" w:rsidR="008451F4" w:rsidRDefault="008451F4">
      <w:r>
        <w:continuationSeparator/>
      </w:r>
    </w:p>
  </w:footnote>
  <w:footnote w:type="continuationNotice" w:id="1">
    <w:p w14:paraId="1BCB76B3" w14:textId="77777777" w:rsidR="008451F4" w:rsidRDefault="00845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10F1F" w14:textId="296D8BBA" w:rsidR="00527CC4" w:rsidRDefault="00952781" w:rsidP="00781B51">
    <w:pPr>
      <w:spacing w:after="55"/>
    </w:pPr>
    <w:bookmarkStart w:id="3" w:name="_Hlk54693655"/>
    <w:bookmarkStart w:id="4" w:name="_Hlk54693656"/>
    <w:bookmarkStart w:id="5" w:name="_Hlk54699604"/>
    <w:bookmarkStart w:id="6" w:name="_Hlk54699605"/>
    <w:r>
      <w:rPr>
        <w:rFonts w:ascii="Corbel" w:eastAsia="Corbel" w:hAnsi="Corbel" w:cs="Corbel"/>
        <w:b/>
        <w:color w:val="806000"/>
        <w:sz w:val="28"/>
      </w:rPr>
      <w:t xml:space="preserve">National School Reform Agreement – Bilateral Agreement Report – Victoria – </w:t>
    </w:r>
    <w:r w:rsidRPr="00DC1704">
      <w:rPr>
        <w:rFonts w:ascii="Corbel" w:eastAsia="Corbel" w:hAnsi="Corbel" w:cs="Corbel"/>
        <w:b/>
        <w:color w:val="806000"/>
        <w:sz w:val="28"/>
      </w:rPr>
      <w:t>2019</w:t>
    </w:r>
    <w:r>
      <w:rPr>
        <w:rFonts w:ascii="Corbel" w:eastAsia="Corbel" w:hAnsi="Corbel" w:cs="Corbel"/>
        <w:b/>
        <w:color w:val="806000"/>
        <w:sz w:val="28"/>
      </w:rPr>
      <w:t xml:space="preserve"> </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B3F1A"/>
    <w:multiLevelType w:val="hybridMultilevel"/>
    <w:tmpl w:val="4EE8A55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C604A29"/>
    <w:multiLevelType w:val="hybridMultilevel"/>
    <w:tmpl w:val="943AE2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start w:val="1"/>
      <w:numFmt w:val="bullet"/>
      <w:lvlText w:val=""/>
      <w:lvlJc w:val="left"/>
      <w:pPr>
        <w:ind w:left="2162" w:hanging="360"/>
      </w:pPr>
      <w:rPr>
        <w:rFonts w:ascii="Wingdings" w:hAnsi="Wingdings" w:hint="default"/>
      </w:rPr>
    </w:lvl>
    <w:lvl w:ilvl="3" w:tplc="0C090001">
      <w:start w:val="1"/>
      <w:numFmt w:val="bullet"/>
      <w:lvlText w:val=""/>
      <w:lvlJc w:val="left"/>
      <w:pPr>
        <w:ind w:left="2882" w:hanging="360"/>
      </w:pPr>
      <w:rPr>
        <w:rFonts w:ascii="Symbol" w:hAnsi="Symbol" w:hint="default"/>
      </w:rPr>
    </w:lvl>
    <w:lvl w:ilvl="4" w:tplc="0C090003">
      <w:start w:val="1"/>
      <w:numFmt w:val="bullet"/>
      <w:lvlText w:val="o"/>
      <w:lvlJc w:val="left"/>
      <w:pPr>
        <w:ind w:left="3602" w:hanging="360"/>
      </w:pPr>
      <w:rPr>
        <w:rFonts w:ascii="Courier New" w:hAnsi="Courier New" w:cs="Courier New" w:hint="default"/>
      </w:rPr>
    </w:lvl>
    <w:lvl w:ilvl="5" w:tplc="0C090005">
      <w:start w:val="1"/>
      <w:numFmt w:val="bullet"/>
      <w:lvlText w:val=""/>
      <w:lvlJc w:val="left"/>
      <w:pPr>
        <w:ind w:left="4322" w:hanging="360"/>
      </w:pPr>
      <w:rPr>
        <w:rFonts w:ascii="Wingdings" w:hAnsi="Wingdings" w:hint="default"/>
      </w:rPr>
    </w:lvl>
    <w:lvl w:ilvl="6" w:tplc="0C090001">
      <w:start w:val="1"/>
      <w:numFmt w:val="bullet"/>
      <w:lvlText w:val=""/>
      <w:lvlJc w:val="left"/>
      <w:pPr>
        <w:ind w:left="5042" w:hanging="360"/>
      </w:pPr>
      <w:rPr>
        <w:rFonts w:ascii="Symbol" w:hAnsi="Symbol" w:hint="default"/>
      </w:rPr>
    </w:lvl>
    <w:lvl w:ilvl="7" w:tplc="0C090003">
      <w:start w:val="1"/>
      <w:numFmt w:val="bullet"/>
      <w:lvlText w:val="o"/>
      <w:lvlJc w:val="left"/>
      <w:pPr>
        <w:ind w:left="5762" w:hanging="360"/>
      </w:pPr>
      <w:rPr>
        <w:rFonts w:ascii="Courier New" w:hAnsi="Courier New" w:cs="Courier New" w:hint="default"/>
      </w:rPr>
    </w:lvl>
    <w:lvl w:ilvl="8" w:tplc="0C090005">
      <w:start w:val="1"/>
      <w:numFmt w:val="bullet"/>
      <w:lvlText w:val=""/>
      <w:lvlJc w:val="left"/>
      <w:pPr>
        <w:ind w:left="6482" w:hanging="360"/>
      </w:pPr>
      <w:rPr>
        <w:rFonts w:ascii="Wingdings" w:hAnsi="Wingdings" w:hint="default"/>
      </w:rPr>
    </w:lvl>
  </w:abstractNum>
  <w:abstractNum w:abstractNumId="2" w15:restartNumberingAfterBreak="0">
    <w:nsid w:val="551130C2"/>
    <w:multiLevelType w:val="hybridMultilevel"/>
    <w:tmpl w:val="72768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F993D97"/>
    <w:multiLevelType w:val="hybridMultilevel"/>
    <w:tmpl w:val="34CA8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0"/>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355"/>
    <w:rsid w:val="00003744"/>
    <w:rsid w:val="000214E7"/>
    <w:rsid w:val="00023EE0"/>
    <w:rsid w:val="00031104"/>
    <w:rsid w:val="000319A9"/>
    <w:rsid w:val="00032796"/>
    <w:rsid w:val="00035EE7"/>
    <w:rsid w:val="000370C8"/>
    <w:rsid w:val="00040FAD"/>
    <w:rsid w:val="00041F43"/>
    <w:rsid w:val="00045711"/>
    <w:rsid w:val="00045C5C"/>
    <w:rsid w:val="00046914"/>
    <w:rsid w:val="0005278D"/>
    <w:rsid w:val="000545DC"/>
    <w:rsid w:val="00057C37"/>
    <w:rsid w:val="00060E56"/>
    <w:rsid w:val="000757DE"/>
    <w:rsid w:val="00085130"/>
    <w:rsid w:val="00091C03"/>
    <w:rsid w:val="000B1964"/>
    <w:rsid w:val="000B2388"/>
    <w:rsid w:val="000B48DD"/>
    <w:rsid w:val="000C4F60"/>
    <w:rsid w:val="000C52C3"/>
    <w:rsid w:val="000D01F9"/>
    <w:rsid w:val="000D4523"/>
    <w:rsid w:val="000E2262"/>
    <w:rsid w:val="000F2D25"/>
    <w:rsid w:val="00103C93"/>
    <w:rsid w:val="00105EA5"/>
    <w:rsid w:val="0011167B"/>
    <w:rsid w:val="00117F7A"/>
    <w:rsid w:val="00120C8A"/>
    <w:rsid w:val="0012192E"/>
    <w:rsid w:val="0012397D"/>
    <w:rsid w:val="001311E2"/>
    <w:rsid w:val="00132382"/>
    <w:rsid w:val="00137FD9"/>
    <w:rsid w:val="00147351"/>
    <w:rsid w:val="001500A6"/>
    <w:rsid w:val="001514F2"/>
    <w:rsid w:val="00154ED6"/>
    <w:rsid w:val="001556D4"/>
    <w:rsid w:val="00157C2F"/>
    <w:rsid w:val="00163559"/>
    <w:rsid w:val="001735CF"/>
    <w:rsid w:val="00173DC6"/>
    <w:rsid w:val="001744CF"/>
    <w:rsid w:val="001764E4"/>
    <w:rsid w:val="0018178B"/>
    <w:rsid w:val="00184444"/>
    <w:rsid w:val="0019117D"/>
    <w:rsid w:val="0019568D"/>
    <w:rsid w:val="001A2702"/>
    <w:rsid w:val="001A310C"/>
    <w:rsid w:val="001B24C2"/>
    <w:rsid w:val="001B2584"/>
    <w:rsid w:val="001C0B84"/>
    <w:rsid w:val="001C282E"/>
    <w:rsid w:val="001D3813"/>
    <w:rsid w:val="001D48EB"/>
    <w:rsid w:val="001E3FD8"/>
    <w:rsid w:val="001E61E8"/>
    <w:rsid w:val="001F23B6"/>
    <w:rsid w:val="002105A5"/>
    <w:rsid w:val="002363E4"/>
    <w:rsid w:val="002372C1"/>
    <w:rsid w:val="00237C87"/>
    <w:rsid w:val="002400E8"/>
    <w:rsid w:val="0024089E"/>
    <w:rsid w:val="00247FE5"/>
    <w:rsid w:val="0026149E"/>
    <w:rsid w:val="00273FFC"/>
    <w:rsid w:val="00280522"/>
    <w:rsid w:val="00290B64"/>
    <w:rsid w:val="0029735B"/>
    <w:rsid w:val="002A4F04"/>
    <w:rsid w:val="002B460E"/>
    <w:rsid w:val="002B6F74"/>
    <w:rsid w:val="002C0D6A"/>
    <w:rsid w:val="002C4CBD"/>
    <w:rsid w:val="002C7DE0"/>
    <w:rsid w:val="002D060A"/>
    <w:rsid w:val="002D0C8A"/>
    <w:rsid w:val="002D3074"/>
    <w:rsid w:val="002D467C"/>
    <w:rsid w:val="002E5FEB"/>
    <w:rsid w:val="002E6058"/>
    <w:rsid w:val="002E71F7"/>
    <w:rsid w:val="002F64B6"/>
    <w:rsid w:val="002F7262"/>
    <w:rsid w:val="00301104"/>
    <w:rsid w:val="00307E15"/>
    <w:rsid w:val="00311B00"/>
    <w:rsid w:val="00314B03"/>
    <w:rsid w:val="003210E8"/>
    <w:rsid w:val="00327C51"/>
    <w:rsid w:val="0033285B"/>
    <w:rsid w:val="003427C6"/>
    <w:rsid w:val="00343F7A"/>
    <w:rsid w:val="00364887"/>
    <w:rsid w:val="00376A75"/>
    <w:rsid w:val="00380154"/>
    <w:rsid w:val="00380DA6"/>
    <w:rsid w:val="00390722"/>
    <w:rsid w:val="003931C9"/>
    <w:rsid w:val="003A408E"/>
    <w:rsid w:val="003A4A09"/>
    <w:rsid w:val="003C3B1B"/>
    <w:rsid w:val="003C4CAF"/>
    <w:rsid w:val="003C7011"/>
    <w:rsid w:val="003D3048"/>
    <w:rsid w:val="003D3843"/>
    <w:rsid w:val="003E18EA"/>
    <w:rsid w:val="003F2D32"/>
    <w:rsid w:val="003F2E04"/>
    <w:rsid w:val="003F4189"/>
    <w:rsid w:val="003F711A"/>
    <w:rsid w:val="003F743D"/>
    <w:rsid w:val="00401FA0"/>
    <w:rsid w:val="00403ABA"/>
    <w:rsid w:val="00404900"/>
    <w:rsid w:val="00414068"/>
    <w:rsid w:val="00414984"/>
    <w:rsid w:val="00420297"/>
    <w:rsid w:val="004207EF"/>
    <w:rsid w:val="00422573"/>
    <w:rsid w:val="00431008"/>
    <w:rsid w:val="00433159"/>
    <w:rsid w:val="0044031E"/>
    <w:rsid w:val="00441F81"/>
    <w:rsid w:val="00442C1C"/>
    <w:rsid w:val="00446073"/>
    <w:rsid w:val="004531F6"/>
    <w:rsid w:val="00455030"/>
    <w:rsid w:val="00457065"/>
    <w:rsid w:val="004666F4"/>
    <w:rsid w:val="00470171"/>
    <w:rsid w:val="00480261"/>
    <w:rsid w:val="00490224"/>
    <w:rsid w:val="004920B1"/>
    <w:rsid w:val="00492C46"/>
    <w:rsid w:val="00493AB6"/>
    <w:rsid w:val="00495B0D"/>
    <w:rsid w:val="004A2F33"/>
    <w:rsid w:val="004A3B4F"/>
    <w:rsid w:val="004A6FBC"/>
    <w:rsid w:val="004C4863"/>
    <w:rsid w:val="004C597E"/>
    <w:rsid w:val="004D0468"/>
    <w:rsid w:val="004D16D7"/>
    <w:rsid w:val="004D7A82"/>
    <w:rsid w:val="004E5E2F"/>
    <w:rsid w:val="004F17D9"/>
    <w:rsid w:val="004F3AFC"/>
    <w:rsid w:val="004F464D"/>
    <w:rsid w:val="004F5587"/>
    <w:rsid w:val="004F6766"/>
    <w:rsid w:val="00515A02"/>
    <w:rsid w:val="00521955"/>
    <w:rsid w:val="00525551"/>
    <w:rsid w:val="005262C1"/>
    <w:rsid w:val="00527CC4"/>
    <w:rsid w:val="00533D85"/>
    <w:rsid w:val="00544372"/>
    <w:rsid w:val="00546B85"/>
    <w:rsid w:val="0056028A"/>
    <w:rsid w:val="00562A35"/>
    <w:rsid w:val="00562BC8"/>
    <w:rsid w:val="005632F6"/>
    <w:rsid w:val="005839BA"/>
    <w:rsid w:val="005927E3"/>
    <w:rsid w:val="005950BF"/>
    <w:rsid w:val="00596527"/>
    <w:rsid w:val="005965FE"/>
    <w:rsid w:val="005A7BA6"/>
    <w:rsid w:val="005B0587"/>
    <w:rsid w:val="005B09DC"/>
    <w:rsid w:val="005B3A14"/>
    <w:rsid w:val="005B60A4"/>
    <w:rsid w:val="005B7D31"/>
    <w:rsid w:val="005D6F53"/>
    <w:rsid w:val="005E3823"/>
    <w:rsid w:val="005E425B"/>
    <w:rsid w:val="005E465F"/>
    <w:rsid w:val="005F5423"/>
    <w:rsid w:val="00600784"/>
    <w:rsid w:val="00613E28"/>
    <w:rsid w:val="0062027F"/>
    <w:rsid w:val="00625F84"/>
    <w:rsid w:val="0063583B"/>
    <w:rsid w:val="006362FE"/>
    <w:rsid w:val="00661EDB"/>
    <w:rsid w:val="00662793"/>
    <w:rsid w:val="00666F2A"/>
    <w:rsid w:val="0066747C"/>
    <w:rsid w:val="0068074F"/>
    <w:rsid w:val="006906E6"/>
    <w:rsid w:val="006937E6"/>
    <w:rsid w:val="00695965"/>
    <w:rsid w:val="006962E5"/>
    <w:rsid w:val="006B1FAA"/>
    <w:rsid w:val="006C4188"/>
    <w:rsid w:val="006C4537"/>
    <w:rsid w:val="006D328C"/>
    <w:rsid w:val="006D787E"/>
    <w:rsid w:val="006E6FA8"/>
    <w:rsid w:val="006E7029"/>
    <w:rsid w:val="006F25B9"/>
    <w:rsid w:val="006F654E"/>
    <w:rsid w:val="006F6C97"/>
    <w:rsid w:val="007071CC"/>
    <w:rsid w:val="0071027D"/>
    <w:rsid w:val="00712C40"/>
    <w:rsid w:val="007209EB"/>
    <w:rsid w:val="007217D0"/>
    <w:rsid w:val="00732875"/>
    <w:rsid w:val="00733712"/>
    <w:rsid w:val="00733B53"/>
    <w:rsid w:val="00736208"/>
    <w:rsid w:val="00736705"/>
    <w:rsid w:val="0074580A"/>
    <w:rsid w:val="00750446"/>
    <w:rsid w:val="00760791"/>
    <w:rsid w:val="0076096C"/>
    <w:rsid w:val="0076361E"/>
    <w:rsid w:val="00767A55"/>
    <w:rsid w:val="007706E3"/>
    <w:rsid w:val="00770DE4"/>
    <w:rsid w:val="00772D4A"/>
    <w:rsid w:val="00781136"/>
    <w:rsid w:val="00781B51"/>
    <w:rsid w:val="00783AC5"/>
    <w:rsid w:val="00787999"/>
    <w:rsid w:val="00793667"/>
    <w:rsid w:val="007A3DD0"/>
    <w:rsid w:val="007A67FB"/>
    <w:rsid w:val="007B0D8C"/>
    <w:rsid w:val="007B0E52"/>
    <w:rsid w:val="007B27C5"/>
    <w:rsid w:val="007B6849"/>
    <w:rsid w:val="007B70DE"/>
    <w:rsid w:val="007C139F"/>
    <w:rsid w:val="007C7D6E"/>
    <w:rsid w:val="007D241A"/>
    <w:rsid w:val="007E3F69"/>
    <w:rsid w:val="007E67EA"/>
    <w:rsid w:val="007E7B40"/>
    <w:rsid w:val="007F46BE"/>
    <w:rsid w:val="007F5090"/>
    <w:rsid w:val="00801294"/>
    <w:rsid w:val="00805617"/>
    <w:rsid w:val="00805D21"/>
    <w:rsid w:val="00823B42"/>
    <w:rsid w:val="00827318"/>
    <w:rsid w:val="00833852"/>
    <w:rsid w:val="00836261"/>
    <w:rsid w:val="00836EF2"/>
    <w:rsid w:val="00837933"/>
    <w:rsid w:val="0084387E"/>
    <w:rsid w:val="008451F4"/>
    <w:rsid w:val="00851AAB"/>
    <w:rsid w:val="00856722"/>
    <w:rsid w:val="00862D4F"/>
    <w:rsid w:val="00874F28"/>
    <w:rsid w:val="008777B2"/>
    <w:rsid w:val="00886801"/>
    <w:rsid w:val="00892183"/>
    <w:rsid w:val="00894AC8"/>
    <w:rsid w:val="00895056"/>
    <w:rsid w:val="008A1B62"/>
    <w:rsid w:val="008A32E3"/>
    <w:rsid w:val="008B5768"/>
    <w:rsid w:val="008B5BD0"/>
    <w:rsid w:val="008C3F22"/>
    <w:rsid w:val="008D32E4"/>
    <w:rsid w:val="008D3B6C"/>
    <w:rsid w:val="008D4A28"/>
    <w:rsid w:val="008D55CB"/>
    <w:rsid w:val="008D742A"/>
    <w:rsid w:val="008D7EB3"/>
    <w:rsid w:val="008E0007"/>
    <w:rsid w:val="008E4965"/>
    <w:rsid w:val="008F57A9"/>
    <w:rsid w:val="00901852"/>
    <w:rsid w:val="00913CD4"/>
    <w:rsid w:val="009161A6"/>
    <w:rsid w:val="009314D7"/>
    <w:rsid w:val="009412CE"/>
    <w:rsid w:val="00950F41"/>
    <w:rsid w:val="00952781"/>
    <w:rsid w:val="00957B0E"/>
    <w:rsid w:val="00961207"/>
    <w:rsid w:val="009648AD"/>
    <w:rsid w:val="009658F0"/>
    <w:rsid w:val="00971AE6"/>
    <w:rsid w:val="0098336C"/>
    <w:rsid w:val="00992C70"/>
    <w:rsid w:val="00994FC9"/>
    <w:rsid w:val="00996DC3"/>
    <w:rsid w:val="009B3053"/>
    <w:rsid w:val="009B5520"/>
    <w:rsid w:val="009D7549"/>
    <w:rsid w:val="009E2550"/>
    <w:rsid w:val="009E5ACE"/>
    <w:rsid w:val="009F7BF7"/>
    <w:rsid w:val="00A03BB7"/>
    <w:rsid w:val="00A12EFB"/>
    <w:rsid w:val="00A14F37"/>
    <w:rsid w:val="00A176D0"/>
    <w:rsid w:val="00A218E7"/>
    <w:rsid w:val="00A27C40"/>
    <w:rsid w:val="00A348E4"/>
    <w:rsid w:val="00A34C6C"/>
    <w:rsid w:val="00A423AD"/>
    <w:rsid w:val="00A437DC"/>
    <w:rsid w:val="00A44010"/>
    <w:rsid w:val="00A53338"/>
    <w:rsid w:val="00A541E8"/>
    <w:rsid w:val="00A61F3C"/>
    <w:rsid w:val="00A62B90"/>
    <w:rsid w:val="00A63F28"/>
    <w:rsid w:val="00A63F74"/>
    <w:rsid w:val="00A719B5"/>
    <w:rsid w:val="00A73F45"/>
    <w:rsid w:val="00A77DF9"/>
    <w:rsid w:val="00A93F1D"/>
    <w:rsid w:val="00A95355"/>
    <w:rsid w:val="00AA27DA"/>
    <w:rsid w:val="00AA6249"/>
    <w:rsid w:val="00AB0160"/>
    <w:rsid w:val="00AB4619"/>
    <w:rsid w:val="00AC032B"/>
    <w:rsid w:val="00AC0E4F"/>
    <w:rsid w:val="00AC2CB4"/>
    <w:rsid w:val="00AC7E0D"/>
    <w:rsid w:val="00AD62B7"/>
    <w:rsid w:val="00AE130E"/>
    <w:rsid w:val="00AE15F0"/>
    <w:rsid w:val="00AE2CAB"/>
    <w:rsid w:val="00AE4F74"/>
    <w:rsid w:val="00AF0433"/>
    <w:rsid w:val="00AF42A9"/>
    <w:rsid w:val="00AF4819"/>
    <w:rsid w:val="00AF6F17"/>
    <w:rsid w:val="00B00894"/>
    <w:rsid w:val="00B02AD3"/>
    <w:rsid w:val="00B07B12"/>
    <w:rsid w:val="00B16F10"/>
    <w:rsid w:val="00B22E14"/>
    <w:rsid w:val="00B24879"/>
    <w:rsid w:val="00B527EF"/>
    <w:rsid w:val="00B52C0A"/>
    <w:rsid w:val="00B53252"/>
    <w:rsid w:val="00B532FA"/>
    <w:rsid w:val="00B555AA"/>
    <w:rsid w:val="00B55F65"/>
    <w:rsid w:val="00B6185B"/>
    <w:rsid w:val="00B6374A"/>
    <w:rsid w:val="00B7168C"/>
    <w:rsid w:val="00B7658F"/>
    <w:rsid w:val="00B777ED"/>
    <w:rsid w:val="00B819E3"/>
    <w:rsid w:val="00B86226"/>
    <w:rsid w:val="00B90EB0"/>
    <w:rsid w:val="00B95293"/>
    <w:rsid w:val="00B95448"/>
    <w:rsid w:val="00BA72DC"/>
    <w:rsid w:val="00BB62E8"/>
    <w:rsid w:val="00BC2BA1"/>
    <w:rsid w:val="00BE2727"/>
    <w:rsid w:val="00BE3C0A"/>
    <w:rsid w:val="00BE3ED3"/>
    <w:rsid w:val="00BE7D95"/>
    <w:rsid w:val="00BF0361"/>
    <w:rsid w:val="00BF34AF"/>
    <w:rsid w:val="00C03123"/>
    <w:rsid w:val="00C235B9"/>
    <w:rsid w:val="00C41A48"/>
    <w:rsid w:val="00C56233"/>
    <w:rsid w:val="00C57063"/>
    <w:rsid w:val="00C7318D"/>
    <w:rsid w:val="00C771FE"/>
    <w:rsid w:val="00C8410F"/>
    <w:rsid w:val="00C96D10"/>
    <w:rsid w:val="00CA48CC"/>
    <w:rsid w:val="00CA72B0"/>
    <w:rsid w:val="00CB0B52"/>
    <w:rsid w:val="00CB2BEE"/>
    <w:rsid w:val="00CE4B78"/>
    <w:rsid w:val="00CF1FBF"/>
    <w:rsid w:val="00CF21A1"/>
    <w:rsid w:val="00CF40B0"/>
    <w:rsid w:val="00CF5497"/>
    <w:rsid w:val="00CF72CC"/>
    <w:rsid w:val="00CF7FC3"/>
    <w:rsid w:val="00D00662"/>
    <w:rsid w:val="00D007B1"/>
    <w:rsid w:val="00D0159A"/>
    <w:rsid w:val="00D04114"/>
    <w:rsid w:val="00D10097"/>
    <w:rsid w:val="00D168CD"/>
    <w:rsid w:val="00D225FF"/>
    <w:rsid w:val="00D24FE9"/>
    <w:rsid w:val="00D408B0"/>
    <w:rsid w:val="00D4506A"/>
    <w:rsid w:val="00D62AE1"/>
    <w:rsid w:val="00D659A3"/>
    <w:rsid w:val="00D731EF"/>
    <w:rsid w:val="00D81E9C"/>
    <w:rsid w:val="00D82717"/>
    <w:rsid w:val="00D862EC"/>
    <w:rsid w:val="00D90F25"/>
    <w:rsid w:val="00D94FF2"/>
    <w:rsid w:val="00DA5634"/>
    <w:rsid w:val="00DB728D"/>
    <w:rsid w:val="00DB7FD7"/>
    <w:rsid w:val="00DC1AAD"/>
    <w:rsid w:val="00DC31B7"/>
    <w:rsid w:val="00DD2824"/>
    <w:rsid w:val="00DF53D5"/>
    <w:rsid w:val="00E072AD"/>
    <w:rsid w:val="00E106ED"/>
    <w:rsid w:val="00E11391"/>
    <w:rsid w:val="00E1646D"/>
    <w:rsid w:val="00E2075E"/>
    <w:rsid w:val="00E24A22"/>
    <w:rsid w:val="00E76C13"/>
    <w:rsid w:val="00E80254"/>
    <w:rsid w:val="00E81209"/>
    <w:rsid w:val="00E85573"/>
    <w:rsid w:val="00E904E8"/>
    <w:rsid w:val="00E95FD8"/>
    <w:rsid w:val="00E96F59"/>
    <w:rsid w:val="00EA63D7"/>
    <w:rsid w:val="00EB1B7D"/>
    <w:rsid w:val="00EB384C"/>
    <w:rsid w:val="00EB4D08"/>
    <w:rsid w:val="00EB4F08"/>
    <w:rsid w:val="00EB6325"/>
    <w:rsid w:val="00EC0207"/>
    <w:rsid w:val="00EC1E80"/>
    <w:rsid w:val="00ED05C0"/>
    <w:rsid w:val="00ED3CA8"/>
    <w:rsid w:val="00ED7ABC"/>
    <w:rsid w:val="00EE28B1"/>
    <w:rsid w:val="00EE28C4"/>
    <w:rsid w:val="00EF17AE"/>
    <w:rsid w:val="00F01706"/>
    <w:rsid w:val="00F01F61"/>
    <w:rsid w:val="00F03BD0"/>
    <w:rsid w:val="00F04822"/>
    <w:rsid w:val="00F20AFF"/>
    <w:rsid w:val="00F24BE4"/>
    <w:rsid w:val="00F25BB7"/>
    <w:rsid w:val="00F40234"/>
    <w:rsid w:val="00F47F05"/>
    <w:rsid w:val="00F54586"/>
    <w:rsid w:val="00F5470A"/>
    <w:rsid w:val="00F55581"/>
    <w:rsid w:val="00F57B5E"/>
    <w:rsid w:val="00F62DEF"/>
    <w:rsid w:val="00F70D65"/>
    <w:rsid w:val="00F72A5E"/>
    <w:rsid w:val="00F73827"/>
    <w:rsid w:val="00F73F1B"/>
    <w:rsid w:val="00F80E6A"/>
    <w:rsid w:val="00F81EA0"/>
    <w:rsid w:val="00F820E8"/>
    <w:rsid w:val="00F82AD9"/>
    <w:rsid w:val="00F862A9"/>
    <w:rsid w:val="00F90659"/>
    <w:rsid w:val="00F94AE6"/>
    <w:rsid w:val="00F96548"/>
    <w:rsid w:val="00FA147A"/>
    <w:rsid w:val="00FA2B76"/>
    <w:rsid w:val="00FB08C2"/>
    <w:rsid w:val="00FB3AF3"/>
    <w:rsid w:val="00FC0191"/>
    <w:rsid w:val="00FC6225"/>
    <w:rsid w:val="00FD00FA"/>
    <w:rsid w:val="00FD58AD"/>
    <w:rsid w:val="00FD67D1"/>
    <w:rsid w:val="00FD73C0"/>
    <w:rsid w:val="00FE1CF3"/>
    <w:rsid w:val="00FE49F6"/>
    <w:rsid w:val="00FE78A6"/>
    <w:rsid w:val="00FE7FC1"/>
    <w:rsid w:val="00FF33F5"/>
    <w:rsid w:val="110AA730"/>
    <w:rsid w:val="3B4E0250"/>
    <w:rsid w:val="468C0BA4"/>
    <w:rsid w:val="6E5EAE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oNotEmbedSmartTags/>
  <w:decimalSymbol w:val="."/>
  <w:listSeparator w:val=","/>
  <w14:docId w14:val="4C76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1B51"/>
    <w:pPr>
      <w:spacing w:before="120" w:after="120" w:line="276" w:lineRule="auto"/>
    </w:pPr>
    <w:rPr>
      <w:rFonts w:ascii="Calibri" w:hAnsi="Calibri"/>
      <w:sz w:val="22"/>
    </w:rPr>
  </w:style>
  <w:style w:type="paragraph" w:styleId="Heading1">
    <w:name w:val="heading 1"/>
    <w:basedOn w:val="Normal"/>
    <w:next w:val="Normal"/>
    <w:qFormat/>
    <w:rsid w:val="00781B51"/>
    <w:pPr>
      <w:keepNext/>
      <w:tabs>
        <w:tab w:val="left" w:pos="9498"/>
      </w:tabs>
      <w:outlineLvl w:val="0"/>
    </w:pPr>
    <w:rPr>
      <w:b/>
      <w:sz w:val="32"/>
    </w:rPr>
  </w:style>
  <w:style w:type="paragraph" w:styleId="Heading2">
    <w:name w:val="heading 2"/>
    <w:basedOn w:val="Normal"/>
    <w:next w:val="Normal"/>
    <w:qFormat/>
    <w:rsid w:val="00781B51"/>
    <w:pPr>
      <w:keepNext/>
      <w:spacing w:before="240" w:after="60"/>
      <w:outlineLvl w:val="1"/>
    </w:pPr>
    <w:rPr>
      <w:rFonts w:ascii="Corbel" w:hAnsi="Corbel"/>
      <w:b/>
      <w:sz w:val="28"/>
    </w:rPr>
  </w:style>
  <w:style w:type="paragraph" w:styleId="Heading3">
    <w:name w:val="heading 3"/>
    <w:basedOn w:val="Normal"/>
    <w:next w:val="Normal"/>
    <w:qFormat/>
    <w:rsid w:val="00781B51"/>
    <w:pPr>
      <w:keepNext/>
      <w:spacing w:before="240" w:after="60"/>
      <w:outlineLvl w:val="2"/>
    </w:pPr>
    <w:rPr>
      <w:b/>
    </w:rPr>
  </w:style>
  <w:style w:type="paragraph" w:styleId="Heading6">
    <w:name w:val="heading 6"/>
    <w:basedOn w:val="Normal"/>
    <w:next w:val="Normal"/>
    <w:qFormat/>
    <w:pPr>
      <w:keepNext/>
      <w:overflowPunct w:val="0"/>
      <w:autoSpaceDE w:val="0"/>
      <w:autoSpaceDN w:val="0"/>
      <w:adjustRightInd w:val="0"/>
      <w:spacing w:before="360" w:after="240"/>
      <w:textAlignment w:val="baseline"/>
      <w:outlineLvl w:val="5"/>
    </w:pPr>
    <w:rPr>
      <w:rFonts w:ascii="Arial" w:hAnsi="Arial"/>
      <w:b/>
      <w:sz w:val="28"/>
    </w:rPr>
  </w:style>
  <w:style w:type="paragraph" w:styleId="Heading7">
    <w:name w:val="heading 7"/>
    <w:basedOn w:val="Normal"/>
    <w:next w:val="Normal"/>
    <w:qFormat/>
    <w:pPr>
      <w:keepNext/>
      <w:overflowPunct w:val="0"/>
      <w:autoSpaceDE w:val="0"/>
      <w:autoSpaceDN w:val="0"/>
      <w:adjustRightInd w:val="0"/>
      <w:spacing w:after="60"/>
      <w:textAlignment w:val="baseline"/>
      <w:outlineLvl w:val="6"/>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next w:val="Normal"/>
    <w:link w:val="HeaderChar"/>
    <w:pPr>
      <w:tabs>
        <w:tab w:val="right" w:pos="8720"/>
        <w:tab w:val="right" w:pos="9520"/>
      </w:tabs>
    </w:pPr>
    <w:rPr>
      <w:b/>
    </w:rPr>
  </w:style>
  <w:style w:type="paragraph" w:styleId="Footer">
    <w:name w:val="footer"/>
    <w:basedOn w:val="Normal"/>
    <w:link w:val="FooterChar"/>
    <w:uiPriority w:val="99"/>
    <w:pPr>
      <w:pBdr>
        <w:top w:val="single" w:sz="2" w:space="2" w:color="auto"/>
      </w:pBdr>
      <w:tabs>
        <w:tab w:val="center" w:pos="4252"/>
        <w:tab w:val="right" w:pos="9356"/>
      </w:tabs>
    </w:pPr>
    <w:rPr>
      <w:b/>
      <w:sz w:val="20"/>
    </w:rPr>
  </w:style>
  <w:style w:type="character" w:styleId="PageNumber">
    <w:name w:val="page number"/>
    <w:basedOn w:val="DefaultParagraphFont"/>
  </w:style>
  <w:style w:type="paragraph" w:styleId="Title">
    <w:name w:val="Title"/>
    <w:basedOn w:val="Heading1"/>
    <w:qFormat/>
    <w:rsid w:val="00781B51"/>
    <w:pPr>
      <w:spacing w:before="1080"/>
    </w:pPr>
    <w:rPr>
      <w:rFonts w:ascii="Arial" w:eastAsia="Corbel" w:hAnsi="Arial" w:cs="Arial"/>
      <w:bCs/>
      <w:color w:val="008080"/>
      <w:sz w:val="56"/>
      <w:szCs w:val="56"/>
    </w:rPr>
  </w:style>
  <w:style w:type="paragraph" w:customStyle="1" w:styleId="heading-itemsummaryofpaper">
    <w:name w:val="heading-item/summary of paper"/>
    <w:basedOn w:val="Normal"/>
    <w:next w:val="Normal"/>
    <w:rsid w:val="00354B51"/>
    <w:pPr>
      <w:keepNext/>
      <w:tabs>
        <w:tab w:val="left" w:pos="851"/>
      </w:tabs>
      <w:spacing w:before="80" w:after="160"/>
      <w:ind w:left="1701" w:hanging="1701"/>
    </w:pPr>
    <w:rPr>
      <w:rFonts w:ascii="Arial" w:eastAsia="Times" w:hAnsi="Arial"/>
      <w:b/>
    </w:rPr>
  </w:style>
  <w:style w:type="paragraph" w:customStyle="1" w:styleId="textindent1">
    <w:name w:val="text indent 1"/>
    <w:aliases w:val="i1"/>
    <w:basedOn w:val="Normal"/>
    <w:rsid w:val="00354B51"/>
    <w:pPr>
      <w:spacing w:after="200"/>
      <w:ind w:left="851" w:hanging="851"/>
    </w:pPr>
    <w:rPr>
      <w:rFonts w:ascii="Arial" w:eastAsia="Times" w:hAnsi="Arial"/>
    </w:rPr>
  </w:style>
  <w:style w:type="paragraph" w:customStyle="1" w:styleId="textindent2">
    <w:name w:val="text indent 2"/>
    <w:aliases w:val="i2"/>
    <w:basedOn w:val="Normal"/>
    <w:rsid w:val="00354B51"/>
    <w:pPr>
      <w:spacing w:after="200"/>
      <w:ind w:left="1702" w:hanging="851"/>
    </w:pPr>
    <w:rPr>
      <w:rFonts w:ascii="Arial" w:eastAsia="Times" w:hAnsi="Arial"/>
    </w:rPr>
  </w:style>
  <w:style w:type="paragraph" w:customStyle="1" w:styleId="textindent3">
    <w:name w:val="text indent 3"/>
    <w:aliases w:val="i3"/>
    <w:basedOn w:val="Normal"/>
    <w:pPr>
      <w:spacing w:after="200"/>
      <w:ind w:left="2552" w:hanging="851"/>
    </w:pPr>
  </w:style>
  <w:style w:type="paragraph" w:customStyle="1" w:styleId="heading-allcaps">
    <w:name w:val="heading-all caps"/>
    <w:aliases w:val="hc"/>
    <w:basedOn w:val="Normal"/>
    <w:next w:val="Normal"/>
    <w:rsid w:val="00354B51"/>
    <w:pPr>
      <w:keepNext/>
      <w:tabs>
        <w:tab w:val="left" w:pos="851"/>
      </w:tabs>
      <w:spacing w:after="240"/>
      <w:ind w:left="1701" w:hanging="1701"/>
      <w:jc w:val="center"/>
    </w:pPr>
    <w:rPr>
      <w:rFonts w:ascii="Arial" w:hAnsi="Arial"/>
      <w:b/>
      <w:caps/>
    </w:rPr>
  </w:style>
  <w:style w:type="paragraph" w:customStyle="1" w:styleId="heading-sub-item">
    <w:name w:val="heading-sub-item"/>
    <w:aliases w:val="ih2"/>
    <w:basedOn w:val="Normal"/>
    <w:next w:val="Normal"/>
    <w:pPr>
      <w:keepNext/>
      <w:spacing w:before="80" w:after="160"/>
      <w:ind w:left="1702" w:hanging="851"/>
    </w:pPr>
    <w:rPr>
      <w:b/>
    </w:rPr>
  </w:style>
  <w:style w:type="paragraph" w:customStyle="1" w:styleId="Text">
    <w:name w:val="Text"/>
    <w:aliases w:val="t"/>
    <w:basedOn w:val="Normal"/>
    <w:rsid w:val="000C52C3"/>
    <w:pPr>
      <w:spacing w:after="200"/>
      <w:ind w:left="567" w:hanging="567"/>
    </w:pPr>
    <w:rPr>
      <w:rFonts w:ascii="Arial Narrow" w:eastAsia="Times" w:hAnsi="Arial Narrow"/>
      <w:sz w:val="20"/>
    </w:rPr>
  </w:style>
  <w:style w:type="paragraph" w:styleId="BodyText3">
    <w:name w:val="Body Text 3"/>
    <w:basedOn w:val="Normal"/>
    <w:pPr>
      <w:overflowPunct w:val="0"/>
      <w:autoSpaceDE w:val="0"/>
      <w:autoSpaceDN w:val="0"/>
      <w:adjustRightInd w:val="0"/>
      <w:jc w:val="center"/>
      <w:textAlignment w:val="baseline"/>
    </w:pPr>
    <w:rPr>
      <w:rFonts w:ascii="Arial" w:hAnsi="Arial"/>
      <w:vanish/>
      <w:color w:val="FF0000"/>
    </w:rPr>
  </w:style>
  <w:style w:type="paragraph" w:styleId="BodyText">
    <w:name w:val="Body Text"/>
    <w:basedOn w:val="Normal"/>
    <w:pPr>
      <w:jc w:val="center"/>
    </w:pPr>
    <w:rPr>
      <w:vanish/>
      <w:color w:val="0000FF"/>
    </w:rPr>
  </w:style>
  <w:style w:type="paragraph" w:styleId="BodyText2">
    <w:name w:val="Body Text 2"/>
    <w:basedOn w:val="Normal"/>
    <w:pPr>
      <w:overflowPunct w:val="0"/>
      <w:autoSpaceDE w:val="0"/>
      <w:autoSpaceDN w:val="0"/>
      <w:adjustRightInd w:val="0"/>
      <w:jc w:val="both"/>
      <w:textAlignment w:val="baseline"/>
    </w:pPr>
    <w:rPr>
      <w:rFonts w:ascii="Arial" w:hAnsi="Arial"/>
      <w:vanish/>
      <w:color w:val="FF0000"/>
    </w:rPr>
  </w:style>
  <w:style w:type="character" w:customStyle="1" w:styleId="HeaderChar">
    <w:name w:val="Header Char"/>
    <w:link w:val="Header"/>
    <w:rsid w:val="00AA6616"/>
    <w:rPr>
      <w:b/>
      <w:sz w:val="24"/>
      <w:lang w:val="en-AU"/>
    </w:rPr>
  </w:style>
  <w:style w:type="table" w:styleId="TableGrid">
    <w:name w:val="Table Grid"/>
    <w:basedOn w:val="TableNormal"/>
    <w:uiPriority w:val="59"/>
    <w:rsid w:val="0025607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itemsummaryofpaper">
    <w:name w:val="Heading item/summary of paper"/>
    <w:basedOn w:val="Normal"/>
    <w:next w:val="Normal"/>
    <w:qFormat/>
    <w:rsid w:val="000C52C3"/>
    <w:pPr>
      <w:keepNext/>
      <w:spacing w:before="80" w:after="160"/>
      <w:ind w:left="1560" w:hanging="1560"/>
    </w:pPr>
    <w:rPr>
      <w:rFonts w:ascii="Arial Narrow" w:hAnsi="Arial Narrow"/>
      <w:b/>
      <w:szCs w:val="22"/>
    </w:rPr>
  </w:style>
  <w:style w:type="paragraph" w:customStyle="1" w:styleId="TextIndent10">
    <w:name w:val="Text Indent 1"/>
    <w:basedOn w:val="Normal"/>
    <w:qFormat/>
    <w:rsid w:val="00E1646D"/>
    <w:pPr>
      <w:spacing w:after="200"/>
      <w:ind w:left="567" w:hanging="567"/>
    </w:pPr>
    <w:rPr>
      <w:rFonts w:ascii="Arial Narrow" w:eastAsia="Times" w:hAnsi="Arial Narrow"/>
      <w:sz w:val="20"/>
    </w:rPr>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546B85"/>
    <w:pPr>
      <w:ind w:left="720"/>
      <w:contextualSpacing/>
    </w:pPr>
  </w:style>
  <w:style w:type="paragraph" w:customStyle="1" w:styleId="Default">
    <w:name w:val="Default"/>
    <w:rsid w:val="00C03123"/>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423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AD"/>
    <w:rPr>
      <w:rFonts w:ascii="Segoe UI" w:hAnsi="Segoe UI" w:cs="Segoe UI"/>
      <w:sz w:val="18"/>
      <w:szCs w:val="18"/>
    </w:rPr>
  </w:style>
  <w:style w:type="character" w:styleId="Hyperlink">
    <w:name w:val="Hyperlink"/>
    <w:basedOn w:val="DefaultParagraphFont"/>
    <w:uiPriority w:val="99"/>
    <w:unhideWhenUsed/>
    <w:rsid w:val="0029735B"/>
    <w:rPr>
      <w:color w:val="0000FF" w:themeColor="hyperlink"/>
      <w:u w:val="single"/>
    </w:rPr>
  </w:style>
  <w:style w:type="paragraph" w:customStyle="1" w:styleId="NumberedParagraph">
    <w:name w:val="Numbered Paragraph"/>
    <w:basedOn w:val="ListParagraph"/>
    <w:link w:val="NumberedParagraphChar"/>
    <w:qFormat/>
    <w:rsid w:val="00120C8A"/>
    <w:pPr>
      <w:spacing w:after="220"/>
      <w:ind w:left="0"/>
    </w:pPr>
    <w:rPr>
      <w:rFonts w:asciiTheme="minorHAnsi" w:hAnsiTheme="minorHAnsi"/>
      <w:szCs w:val="24"/>
      <w:lang w:eastAsia="en-AU"/>
    </w:rPr>
  </w:style>
  <w:style w:type="character" w:customStyle="1" w:styleId="NumberedParagraphChar">
    <w:name w:val="Numbered Paragraph Char"/>
    <w:basedOn w:val="DefaultParagraphFont"/>
    <w:link w:val="NumberedParagraph"/>
    <w:rsid w:val="00120C8A"/>
    <w:rPr>
      <w:rFonts w:asciiTheme="minorHAnsi" w:hAnsiTheme="minorHAnsi"/>
      <w:sz w:val="22"/>
      <w:szCs w:val="24"/>
      <w:lang w:eastAsia="en-AU"/>
    </w:rPr>
  </w:style>
  <w:style w:type="character" w:styleId="CommentReference">
    <w:name w:val="annotation reference"/>
    <w:basedOn w:val="DefaultParagraphFont"/>
    <w:uiPriority w:val="99"/>
    <w:semiHidden/>
    <w:unhideWhenUsed/>
    <w:rsid w:val="00895056"/>
    <w:rPr>
      <w:sz w:val="16"/>
      <w:szCs w:val="16"/>
    </w:rPr>
  </w:style>
  <w:style w:type="paragraph" w:styleId="CommentText">
    <w:name w:val="annotation text"/>
    <w:basedOn w:val="Normal"/>
    <w:link w:val="CommentTextChar"/>
    <w:uiPriority w:val="99"/>
    <w:semiHidden/>
    <w:unhideWhenUsed/>
    <w:rsid w:val="00895056"/>
    <w:rPr>
      <w:sz w:val="20"/>
    </w:rPr>
  </w:style>
  <w:style w:type="character" w:customStyle="1" w:styleId="CommentTextChar">
    <w:name w:val="Comment Text Char"/>
    <w:basedOn w:val="DefaultParagraphFont"/>
    <w:link w:val="CommentText"/>
    <w:uiPriority w:val="99"/>
    <w:semiHidden/>
    <w:rsid w:val="00895056"/>
  </w:style>
  <w:style w:type="paragraph" w:styleId="CommentSubject">
    <w:name w:val="annotation subject"/>
    <w:basedOn w:val="CommentText"/>
    <w:next w:val="CommentText"/>
    <w:link w:val="CommentSubjectChar"/>
    <w:uiPriority w:val="99"/>
    <w:semiHidden/>
    <w:unhideWhenUsed/>
    <w:rsid w:val="00895056"/>
    <w:rPr>
      <w:b/>
      <w:bCs/>
    </w:rPr>
  </w:style>
  <w:style w:type="character" w:customStyle="1" w:styleId="CommentSubjectChar">
    <w:name w:val="Comment Subject Char"/>
    <w:basedOn w:val="CommentTextChar"/>
    <w:link w:val="CommentSubject"/>
    <w:uiPriority w:val="99"/>
    <w:semiHidden/>
    <w:rsid w:val="00895056"/>
    <w:rPr>
      <w:b/>
      <w:bCs/>
    </w:r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117F7A"/>
    <w:rPr>
      <w:sz w:val="24"/>
    </w:rPr>
  </w:style>
  <w:style w:type="table" w:customStyle="1" w:styleId="TableGrid1">
    <w:name w:val="Table Grid1"/>
    <w:basedOn w:val="TableNormal"/>
    <w:next w:val="TableGrid"/>
    <w:rsid w:val="00117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233"/>
    <w:rPr>
      <w:sz w:val="24"/>
    </w:rPr>
  </w:style>
  <w:style w:type="table" w:customStyle="1" w:styleId="TableGrid0">
    <w:name w:val="TableGrid"/>
    <w:rsid w:val="0076096C"/>
    <w:rPr>
      <w:rFonts w:asciiTheme="minorHAnsi" w:eastAsiaTheme="minorEastAsia" w:hAnsiTheme="minorHAnsi" w:cstheme="minorBidi"/>
      <w:sz w:val="22"/>
      <w:szCs w:val="22"/>
      <w:lang w:eastAsia="en-AU"/>
    </w:rPr>
    <w:tblPr>
      <w:tblCellMar>
        <w:top w:w="0" w:type="dxa"/>
        <w:left w:w="0" w:type="dxa"/>
        <w:bottom w:w="0" w:type="dxa"/>
        <w:right w:w="0" w:type="dxa"/>
      </w:tblCellMar>
    </w:tblPr>
  </w:style>
  <w:style w:type="paragraph" w:customStyle="1" w:styleId="xmsolistparagraph">
    <w:name w:val="x_msolistparagraph"/>
    <w:basedOn w:val="Normal"/>
    <w:rsid w:val="0044031E"/>
    <w:pPr>
      <w:spacing w:before="100" w:beforeAutospacing="1" w:after="100" w:afterAutospacing="1"/>
    </w:pPr>
    <w:rPr>
      <w:rFonts w:eastAsiaTheme="minorHAnsi" w:cs="Calibri"/>
      <w:szCs w:val="22"/>
      <w:lang w:eastAsia="en-AU"/>
    </w:rPr>
  </w:style>
  <w:style w:type="character" w:customStyle="1" w:styleId="UnresolvedMention1">
    <w:name w:val="Unresolved Mention1"/>
    <w:basedOn w:val="DefaultParagraphFont"/>
    <w:uiPriority w:val="99"/>
    <w:semiHidden/>
    <w:unhideWhenUsed/>
    <w:rsid w:val="00DB728D"/>
    <w:rPr>
      <w:color w:val="605E5C"/>
      <w:shd w:val="clear" w:color="auto" w:fill="E1DFDD"/>
    </w:rPr>
  </w:style>
  <w:style w:type="character" w:customStyle="1" w:styleId="FooterChar">
    <w:name w:val="Footer Char"/>
    <w:basedOn w:val="DefaultParagraphFont"/>
    <w:link w:val="Footer"/>
    <w:uiPriority w:val="99"/>
    <w:rsid w:val="00527CC4"/>
    <w:rPr>
      <w:b/>
    </w:rPr>
  </w:style>
  <w:style w:type="paragraph" w:styleId="Subtitle">
    <w:name w:val="Subtitle"/>
    <w:basedOn w:val="Heading2"/>
    <w:next w:val="Normal"/>
    <w:link w:val="SubtitleChar"/>
    <w:uiPriority w:val="11"/>
    <w:qFormat/>
    <w:rsid w:val="00AE15F0"/>
    <w:pPr>
      <w:keepNext w:val="0"/>
      <w:spacing w:after="0"/>
    </w:pPr>
    <w:rPr>
      <w:rFonts w:ascii="Arial" w:eastAsia="Corbel" w:hAnsi="Arial" w:cs="Arial"/>
      <w:bCs/>
      <w:color w:val="008080"/>
      <w:sz w:val="48"/>
      <w:szCs w:val="48"/>
    </w:rPr>
  </w:style>
  <w:style w:type="character" w:customStyle="1" w:styleId="SubtitleChar">
    <w:name w:val="Subtitle Char"/>
    <w:basedOn w:val="DefaultParagraphFont"/>
    <w:link w:val="Subtitle"/>
    <w:uiPriority w:val="11"/>
    <w:rsid w:val="00AE15F0"/>
    <w:rPr>
      <w:rFonts w:ascii="Arial" w:eastAsia="Corbel" w:hAnsi="Arial" w:cs="Arial"/>
      <w:b/>
      <w:bCs/>
      <w:color w:val="00808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8364">
      <w:bodyDiv w:val="1"/>
      <w:marLeft w:val="0"/>
      <w:marRight w:val="0"/>
      <w:marTop w:val="0"/>
      <w:marBottom w:val="0"/>
      <w:divBdr>
        <w:top w:val="none" w:sz="0" w:space="0" w:color="auto"/>
        <w:left w:val="none" w:sz="0" w:space="0" w:color="auto"/>
        <w:bottom w:val="none" w:sz="0" w:space="0" w:color="auto"/>
        <w:right w:val="none" w:sz="0" w:space="0" w:color="auto"/>
      </w:divBdr>
    </w:div>
    <w:div w:id="435561761">
      <w:bodyDiv w:val="1"/>
      <w:marLeft w:val="0"/>
      <w:marRight w:val="0"/>
      <w:marTop w:val="0"/>
      <w:marBottom w:val="0"/>
      <w:divBdr>
        <w:top w:val="none" w:sz="0" w:space="0" w:color="auto"/>
        <w:left w:val="none" w:sz="0" w:space="0" w:color="auto"/>
        <w:bottom w:val="none" w:sz="0" w:space="0" w:color="auto"/>
        <w:right w:val="none" w:sz="0" w:space="0" w:color="auto"/>
      </w:divBdr>
    </w:div>
    <w:div w:id="606238507">
      <w:bodyDiv w:val="1"/>
      <w:marLeft w:val="0"/>
      <w:marRight w:val="0"/>
      <w:marTop w:val="0"/>
      <w:marBottom w:val="0"/>
      <w:divBdr>
        <w:top w:val="none" w:sz="0" w:space="0" w:color="auto"/>
        <w:left w:val="none" w:sz="0" w:space="0" w:color="auto"/>
        <w:bottom w:val="none" w:sz="0" w:space="0" w:color="auto"/>
        <w:right w:val="none" w:sz="0" w:space="0" w:color="auto"/>
      </w:divBdr>
    </w:div>
    <w:div w:id="640773065">
      <w:bodyDiv w:val="1"/>
      <w:marLeft w:val="0"/>
      <w:marRight w:val="0"/>
      <w:marTop w:val="0"/>
      <w:marBottom w:val="0"/>
      <w:divBdr>
        <w:top w:val="none" w:sz="0" w:space="0" w:color="auto"/>
        <w:left w:val="none" w:sz="0" w:space="0" w:color="auto"/>
        <w:bottom w:val="none" w:sz="0" w:space="0" w:color="auto"/>
        <w:right w:val="none" w:sz="0" w:space="0" w:color="auto"/>
      </w:divBdr>
    </w:div>
    <w:div w:id="681009656">
      <w:bodyDiv w:val="1"/>
      <w:marLeft w:val="0"/>
      <w:marRight w:val="0"/>
      <w:marTop w:val="0"/>
      <w:marBottom w:val="0"/>
      <w:divBdr>
        <w:top w:val="none" w:sz="0" w:space="0" w:color="auto"/>
        <w:left w:val="none" w:sz="0" w:space="0" w:color="auto"/>
        <w:bottom w:val="none" w:sz="0" w:space="0" w:color="auto"/>
        <w:right w:val="none" w:sz="0" w:space="0" w:color="auto"/>
      </w:divBdr>
    </w:div>
    <w:div w:id="804734099">
      <w:bodyDiv w:val="1"/>
      <w:marLeft w:val="0"/>
      <w:marRight w:val="0"/>
      <w:marTop w:val="0"/>
      <w:marBottom w:val="0"/>
      <w:divBdr>
        <w:top w:val="none" w:sz="0" w:space="0" w:color="auto"/>
        <w:left w:val="none" w:sz="0" w:space="0" w:color="auto"/>
        <w:bottom w:val="none" w:sz="0" w:space="0" w:color="auto"/>
        <w:right w:val="none" w:sz="0" w:space="0" w:color="auto"/>
      </w:divBdr>
    </w:div>
    <w:div w:id="861355566">
      <w:bodyDiv w:val="1"/>
      <w:marLeft w:val="0"/>
      <w:marRight w:val="0"/>
      <w:marTop w:val="0"/>
      <w:marBottom w:val="0"/>
      <w:divBdr>
        <w:top w:val="none" w:sz="0" w:space="0" w:color="auto"/>
        <w:left w:val="none" w:sz="0" w:space="0" w:color="auto"/>
        <w:bottom w:val="none" w:sz="0" w:space="0" w:color="auto"/>
        <w:right w:val="none" w:sz="0" w:space="0" w:color="auto"/>
      </w:divBdr>
    </w:div>
    <w:div w:id="914509936">
      <w:bodyDiv w:val="1"/>
      <w:marLeft w:val="0"/>
      <w:marRight w:val="0"/>
      <w:marTop w:val="0"/>
      <w:marBottom w:val="0"/>
      <w:divBdr>
        <w:top w:val="none" w:sz="0" w:space="0" w:color="auto"/>
        <w:left w:val="none" w:sz="0" w:space="0" w:color="auto"/>
        <w:bottom w:val="none" w:sz="0" w:space="0" w:color="auto"/>
        <w:right w:val="none" w:sz="0" w:space="0" w:color="auto"/>
      </w:divBdr>
    </w:div>
    <w:div w:id="960107474">
      <w:bodyDiv w:val="1"/>
      <w:marLeft w:val="0"/>
      <w:marRight w:val="0"/>
      <w:marTop w:val="0"/>
      <w:marBottom w:val="0"/>
      <w:divBdr>
        <w:top w:val="none" w:sz="0" w:space="0" w:color="auto"/>
        <w:left w:val="none" w:sz="0" w:space="0" w:color="auto"/>
        <w:bottom w:val="none" w:sz="0" w:space="0" w:color="auto"/>
        <w:right w:val="none" w:sz="0" w:space="0" w:color="auto"/>
      </w:divBdr>
    </w:div>
    <w:div w:id="991329421">
      <w:bodyDiv w:val="1"/>
      <w:marLeft w:val="0"/>
      <w:marRight w:val="0"/>
      <w:marTop w:val="0"/>
      <w:marBottom w:val="0"/>
      <w:divBdr>
        <w:top w:val="none" w:sz="0" w:space="0" w:color="auto"/>
        <w:left w:val="none" w:sz="0" w:space="0" w:color="auto"/>
        <w:bottom w:val="none" w:sz="0" w:space="0" w:color="auto"/>
        <w:right w:val="none" w:sz="0" w:space="0" w:color="auto"/>
      </w:divBdr>
    </w:div>
    <w:div w:id="1208294323">
      <w:bodyDiv w:val="1"/>
      <w:marLeft w:val="0"/>
      <w:marRight w:val="0"/>
      <w:marTop w:val="0"/>
      <w:marBottom w:val="0"/>
      <w:divBdr>
        <w:top w:val="none" w:sz="0" w:space="0" w:color="auto"/>
        <w:left w:val="none" w:sz="0" w:space="0" w:color="auto"/>
        <w:bottom w:val="none" w:sz="0" w:space="0" w:color="auto"/>
        <w:right w:val="none" w:sz="0" w:space="0" w:color="auto"/>
      </w:divBdr>
    </w:div>
    <w:div w:id="1215313133">
      <w:bodyDiv w:val="1"/>
      <w:marLeft w:val="0"/>
      <w:marRight w:val="0"/>
      <w:marTop w:val="0"/>
      <w:marBottom w:val="0"/>
      <w:divBdr>
        <w:top w:val="none" w:sz="0" w:space="0" w:color="auto"/>
        <w:left w:val="none" w:sz="0" w:space="0" w:color="auto"/>
        <w:bottom w:val="none" w:sz="0" w:space="0" w:color="auto"/>
        <w:right w:val="none" w:sz="0" w:space="0" w:color="auto"/>
      </w:divBdr>
    </w:div>
    <w:div w:id="1244333341">
      <w:bodyDiv w:val="1"/>
      <w:marLeft w:val="0"/>
      <w:marRight w:val="0"/>
      <w:marTop w:val="0"/>
      <w:marBottom w:val="0"/>
      <w:divBdr>
        <w:top w:val="none" w:sz="0" w:space="0" w:color="auto"/>
        <w:left w:val="none" w:sz="0" w:space="0" w:color="auto"/>
        <w:bottom w:val="none" w:sz="0" w:space="0" w:color="auto"/>
        <w:right w:val="none" w:sz="0" w:space="0" w:color="auto"/>
      </w:divBdr>
    </w:div>
    <w:div w:id="1523594852">
      <w:bodyDiv w:val="1"/>
      <w:marLeft w:val="0"/>
      <w:marRight w:val="0"/>
      <w:marTop w:val="0"/>
      <w:marBottom w:val="0"/>
      <w:divBdr>
        <w:top w:val="none" w:sz="0" w:space="0" w:color="auto"/>
        <w:left w:val="none" w:sz="0" w:space="0" w:color="auto"/>
        <w:bottom w:val="none" w:sz="0" w:space="0" w:color="auto"/>
        <w:right w:val="none" w:sz="0" w:space="0" w:color="auto"/>
      </w:divBdr>
    </w:div>
    <w:div w:id="1556963270">
      <w:bodyDiv w:val="1"/>
      <w:marLeft w:val="0"/>
      <w:marRight w:val="0"/>
      <w:marTop w:val="0"/>
      <w:marBottom w:val="0"/>
      <w:divBdr>
        <w:top w:val="none" w:sz="0" w:space="0" w:color="auto"/>
        <w:left w:val="none" w:sz="0" w:space="0" w:color="auto"/>
        <w:bottom w:val="none" w:sz="0" w:space="0" w:color="auto"/>
        <w:right w:val="none" w:sz="0" w:space="0" w:color="auto"/>
      </w:divBdr>
    </w:div>
    <w:div w:id="1663120925">
      <w:bodyDiv w:val="1"/>
      <w:marLeft w:val="0"/>
      <w:marRight w:val="0"/>
      <w:marTop w:val="0"/>
      <w:marBottom w:val="0"/>
      <w:divBdr>
        <w:top w:val="none" w:sz="0" w:space="0" w:color="auto"/>
        <w:left w:val="none" w:sz="0" w:space="0" w:color="auto"/>
        <w:bottom w:val="none" w:sz="0" w:space="0" w:color="auto"/>
        <w:right w:val="none" w:sz="0" w:space="0" w:color="auto"/>
      </w:divBdr>
    </w:div>
    <w:div w:id="1668702671">
      <w:bodyDiv w:val="1"/>
      <w:marLeft w:val="0"/>
      <w:marRight w:val="0"/>
      <w:marTop w:val="0"/>
      <w:marBottom w:val="0"/>
      <w:divBdr>
        <w:top w:val="none" w:sz="0" w:space="0" w:color="auto"/>
        <w:left w:val="none" w:sz="0" w:space="0" w:color="auto"/>
        <w:bottom w:val="none" w:sz="0" w:space="0" w:color="auto"/>
        <w:right w:val="none" w:sz="0" w:space="0" w:color="auto"/>
      </w:divBdr>
    </w:div>
    <w:div w:id="1746344556">
      <w:bodyDiv w:val="1"/>
      <w:marLeft w:val="0"/>
      <w:marRight w:val="0"/>
      <w:marTop w:val="0"/>
      <w:marBottom w:val="0"/>
      <w:divBdr>
        <w:top w:val="none" w:sz="0" w:space="0" w:color="auto"/>
        <w:left w:val="none" w:sz="0" w:space="0" w:color="auto"/>
        <w:bottom w:val="none" w:sz="0" w:space="0" w:color="auto"/>
        <w:right w:val="none" w:sz="0" w:space="0" w:color="auto"/>
      </w:divBdr>
    </w:div>
    <w:div w:id="1954358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f-10assessment/digital-assessment-library/Pages/Index.aspx" TargetMode="External"/><Relationship Id="rId13" Type="http://schemas.openxmlformats.org/officeDocument/2006/relationships/hyperlink" Target="https://www.bastow.vic.edu.au/professional-learning/victorian-aspiring-principal-assessmen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ucation.vic.gov.au/about/programs/Pages/headstar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school/teachers/teachingresources/careers/Pages/my-career-insights.aspx" TargetMode="External"/><Relationship Id="rId5" Type="http://schemas.openxmlformats.org/officeDocument/2006/relationships/webSettings" Target="webSettings.xml"/><Relationship Id="rId15" Type="http://schemas.openxmlformats.org/officeDocument/2006/relationships/hyperlink" Target="http://www.nccd.edu.au" TargetMode="External"/><Relationship Id="rId10" Type="http://schemas.openxmlformats.org/officeDocument/2006/relationships/hyperlink" Target="https://www.education.vic.gov.au/school/teachers/teachingresources/careers/Pages/my-career-portfolio.asp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ucation.vic.gov.au/school/teachers/profdev/Pages/inclusive-education-scholarship.aspx" TargetMode="External"/><Relationship Id="rId14" Type="http://schemas.openxmlformats.org/officeDocument/2006/relationships/hyperlink" Target="http://fuse.education.vic.gov.au/Resource/ByPin?Pin=YP5Y8W&amp;SearchScope=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AF77-37D4-440C-A578-65EDFF61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School Reform Agreement - Victoria Bilateral Agreement:  2019 Progress Report</dc:title>
  <dc:subject/>
  <dc:creator/>
  <cp:keywords/>
  <dc:description/>
  <cp:lastModifiedBy/>
  <cp:revision>1</cp:revision>
  <dcterms:created xsi:type="dcterms:W3CDTF">2020-11-03T23:20:00Z</dcterms:created>
  <dcterms:modified xsi:type="dcterms:W3CDTF">2020-11-03T23:20:00Z</dcterms:modified>
</cp:coreProperties>
</file>