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05F81" w14:textId="5BF93DB0" w:rsidR="00C40467" w:rsidRPr="00F702B8" w:rsidRDefault="00C40467" w:rsidP="00F702B8">
      <w:pPr>
        <w:pStyle w:val="Title"/>
        <w:tabs>
          <w:tab w:val="clear" w:pos="9498"/>
        </w:tabs>
        <w:spacing w:before="1080"/>
        <w:jc w:val="left"/>
        <w:outlineLvl w:val="0"/>
        <w:rPr>
          <w:rFonts w:ascii="Arial" w:eastAsia="Corbel" w:hAnsi="Arial" w:cs="Arial"/>
          <w:bCs/>
          <w:color w:val="008080"/>
          <w:sz w:val="56"/>
          <w:szCs w:val="56"/>
        </w:rPr>
      </w:pPr>
      <w:bookmarkStart w:id="0" w:name="_Hlk54693875"/>
      <w:r w:rsidRPr="00F702B8">
        <w:rPr>
          <w:rFonts w:ascii="Arial" w:eastAsia="Corbel" w:hAnsi="Arial" w:cs="Arial"/>
          <w:bCs/>
          <w:color w:val="008080"/>
          <w:sz w:val="56"/>
          <w:szCs w:val="56"/>
        </w:rPr>
        <w:t>National School Reform Agreement</w:t>
      </w:r>
    </w:p>
    <w:p w14:paraId="04DE2323" w14:textId="311BC944" w:rsidR="00BC529D" w:rsidRPr="00A331F1" w:rsidRDefault="00BC529D" w:rsidP="00C77B5B">
      <w:pPr>
        <w:pStyle w:val="Subtitle"/>
        <w:rPr>
          <w:i w:val="0"/>
          <w:iCs/>
        </w:rPr>
      </w:pPr>
      <w:bookmarkStart w:id="1" w:name="_GoBack"/>
      <w:r w:rsidRPr="00A331F1">
        <w:rPr>
          <w:i w:val="0"/>
          <w:iCs/>
        </w:rPr>
        <w:t>Tasmania Bilateral Agreement:</w:t>
      </w:r>
      <w:r w:rsidR="00F702B8" w:rsidRPr="00A331F1">
        <w:rPr>
          <w:i w:val="0"/>
          <w:iCs/>
        </w:rPr>
        <w:t xml:space="preserve"> </w:t>
      </w:r>
      <w:r w:rsidR="00F702B8" w:rsidRPr="00A331F1">
        <w:rPr>
          <w:i w:val="0"/>
          <w:iCs/>
        </w:rPr>
        <w:br/>
      </w:r>
      <w:r w:rsidRPr="00A331F1">
        <w:rPr>
          <w:i w:val="0"/>
          <w:iCs/>
        </w:rPr>
        <w:t>2019 Progress Report</w:t>
      </w:r>
      <w:bookmarkEnd w:id="0"/>
    </w:p>
    <w:bookmarkEnd w:id="1"/>
    <w:p w14:paraId="08F697CA" w14:textId="77777777" w:rsidR="00BC529D" w:rsidRDefault="00BC529D">
      <w:r>
        <w:br w:type="page"/>
      </w:r>
    </w:p>
    <w:p w14:paraId="3EB411AA" w14:textId="0BF262DE" w:rsidR="0076096C" w:rsidRPr="003E66A5" w:rsidRDefault="00C77B5B" w:rsidP="003E66A5">
      <w:pPr>
        <w:pStyle w:val="Heading1"/>
        <w:rPr>
          <w:b w:val="0"/>
        </w:rPr>
      </w:pPr>
      <w:r w:rsidRPr="003E66A5">
        <w:rPr>
          <w:rFonts w:ascii="Corbel" w:eastAsia="Corbel" w:hAnsi="Corbel"/>
        </w:rPr>
        <w:lastRenderedPageBreak/>
        <w:t>Executive Summary</w:t>
      </w:r>
    </w:p>
    <w:p w14:paraId="0D8D2A5C" w14:textId="2FF96B8D" w:rsidR="00520235" w:rsidRPr="00C77B5B" w:rsidRDefault="002367B0" w:rsidP="00C77B5B">
      <w:r w:rsidRPr="00C77B5B">
        <w:t xml:space="preserve">2019 saw the </w:t>
      </w:r>
      <w:r w:rsidR="00CB375D" w:rsidRPr="00C77B5B">
        <w:t>Tasmanian Department of Education</w:t>
      </w:r>
      <w:r w:rsidR="00A978C7" w:rsidRPr="00C77B5B">
        <w:t xml:space="preserve"> </w:t>
      </w:r>
      <w:r w:rsidR="00D808DE" w:rsidRPr="00C77B5B">
        <w:t>commence the implementation of key policy commitments of the National School Reform Agreement – Bilateral Agreement</w:t>
      </w:r>
      <w:r w:rsidR="00A978C7" w:rsidRPr="00C77B5B">
        <w:t xml:space="preserve">, along with its partners Catholic Education Tasmania and the independent </w:t>
      </w:r>
      <w:proofErr w:type="gramStart"/>
      <w:r w:rsidR="00A978C7" w:rsidRPr="00C77B5B">
        <w:t>schools</w:t>
      </w:r>
      <w:proofErr w:type="gramEnd"/>
      <w:r w:rsidR="00A978C7" w:rsidRPr="00C77B5B">
        <w:t xml:space="preserve"> sector.</w:t>
      </w:r>
    </w:p>
    <w:p w14:paraId="2D1454D2" w14:textId="0006C127" w:rsidR="00520235" w:rsidRPr="00C77B5B" w:rsidRDefault="00520235" w:rsidP="00C77B5B">
      <w:pPr>
        <w:pStyle w:val="Heading2"/>
      </w:pPr>
      <w:r w:rsidRPr="00C77B5B">
        <w:t>Tasmanian Department of Education</w:t>
      </w:r>
    </w:p>
    <w:p w14:paraId="5065D7F6" w14:textId="23E8A392" w:rsidR="00DD4617" w:rsidRPr="00C77B5B" w:rsidRDefault="00520235" w:rsidP="00C77B5B">
      <w:r w:rsidRPr="00C77B5B">
        <w:t xml:space="preserve">The Tasmanian Department of Education’s improvement direction has a clear focus on student equity. During 2019, the nation-leading Education Adjustments Disability Funding model was developed for implementation across all Tasmanian Government schools from 2020. </w:t>
      </w:r>
    </w:p>
    <w:p w14:paraId="5CF8FF95" w14:textId="279A7C90" w:rsidR="00520235" w:rsidRPr="00C77B5B" w:rsidRDefault="00E61DD1" w:rsidP="00C77B5B">
      <w:r w:rsidRPr="00C77B5B">
        <w:t>F</w:t>
      </w:r>
      <w:r w:rsidR="00520235" w:rsidRPr="00C77B5B">
        <w:t xml:space="preserve">ive additional Tasmanian Government high schools extended their delivery to Year 12 for 2019, </w:t>
      </w:r>
      <w:r w:rsidR="00EF1D67" w:rsidRPr="00C77B5B">
        <w:t>complemented</w:t>
      </w:r>
      <w:r w:rsidR="00520235" w:rsidRPr="00C77B5B">
        <w:t xml:space="preserve"> by the new Virtual Learning Tasmania, which broadens senior secondary curriculum opportunities for regional and rural learners. </w:t>
      </w:r>
    </w:p>
    <w:p w14:paraId="5EBE596B" w14:textId="5771EB0B" w:rsidR="00520235" w:rsidRPr="00C77B5B" w:rsidRDefault="00520235" w:rsidP="00C77B5B">
      <w:r w:rsidRPr="00C77B5B">
        <w:t>2019 marked the implementation of a new external school review model, drawing upon the National School Improvement Tool. The findings of the external school review process enhance and inform schools’ own improvement planning.</w:t>
      </w:r>
    </w:p>
    <w:p w14:paraId="60AC62CC" w14:textId="772935B4" w:rsidR="00520235" w:rsidRPr="00C77B5B" w:rsidRDefault="00520235" w:rsidP="00C77B5B">
      <w:r w:rsidRPr="00C77B5B">
        <w:t>29.9 FTE additional teachers were employed across targeted Tasmanian Government primary and district schools in 2019</w:t>
      </w:r>
      <w:r w:rsidR="009F3E96" w:rsidRPr="00C77B5B">
        <w:t xml:space="preserve"> to support principals’ instructional leadership,</w:t>
      </w:r>
      <w:r w:rsidRPr="00C77B5B">
        <w:t xml:space="preserve"> align</w:t>
      </w:r>
      <w:r w:rsidR="009F3E96" w:rsidRPr="00C77B5B">
        <w:t>ing</w:t>
      </w:r>
      <w:r w:rsidRPr="00C77B5B">
        <w:t xml:space="preserve"> with the Minister for Education and Training’s Education Workforce Roundtable and the </w:t>
      </w:r>
      <w:r w:rsidRPr="00C77B5B">
        <w:rPr>
          <w:i/>
          <w:iCs/>
        </w:rPr>
        <w:t>More Teachers, Quality Teaching</w:t>
      </w:r>
      <w:r w:rsidRPr="00C77B5B">
        <w:t xml:space="preserve"> Action Plan. </w:t>
      </w:r>
    </w:p>
    <w:p w14:paraId="53F1D765" w14:textId="7428D7DF" w:rsidR="00520235" w:rsidRPr="00C77B5B" w:rsidRDefault="00E61DD1" w:rsidP="00C77B5B">
      <w:r w:rsidRPr="00C77B5B">
        <w:t>T</w:t>
      </w:r>
      <w:r w:rsidR="00520235" w:rsidRPr="00C77B5B">
        <w:t xml:space="preserve">he </w:t>
      </w:r>
      <w:hyperlink r:id="rId8" w:history="1">
        <w:r w:rsidR="00520235" w:rsidRPr="00C77B5B">
          <w:rPr>
            <w:rStyle w:val="Hyperlink"/>
            <w:rFonts w:eastAsia="Corbel"/>
          </w:rPr>
          <w:t>Teachers Registration Amendment Bill 2019</w:t>
        </w:r>
      </w:hyperlink>
      <w:r w:rsidR="00520235" w:rsidRPr="00C77B5B">
        <w:t xml:space="preserve"> introduced to the Tasmanian Parliament in October 2019, to be next considered in the Spring 2020 session.</w:t>
      </w:r>
    </w:p>
    <w:p w14:paraId="7C093B1F" w14:textId="5DEE78CD" w:rsidR="006E4BBE" w:rsidRPr="00C77B5B" w:rsidRDefault="00A978C7" w:rsidP="00C77B5B">
      <w:r w:rsidRPr="00C77B5B">
        <w:t>These policy commitments</w:t>
      </w:r>
      <w:r w:rsidR="00520235" w:rsidRPr="00C77B5B">
        <w:t xml:space="preserve"> among others</w:t>
      </w:r>
      <w:r w:rsidRPr="00C77B5B">
        <w:t xml:space="preserve"> consolidate Tasmania’s </w:t>
      </w:r>
      <w:r w:rsidR="004E07FA" w:rsidRPr="00C77B5B">
        <w:t xml:space="preserve">approach to </w:t>
      </w:r>
      <w:r w:rsidRPr="00C77B5B">
        <w:t xml:space="preserve">improvement, </w:t>
      </w:r>
      <w:r w:rsidR="006E4BBE" w:rsidRPr="00C77B5B">
        <w:t>embedded</w:t>
      </w:r>
      <w:r w:rsidRPr="00C77B5B">
        <w:t xml:space="preserve"> in </w:t>
      </w:r>
      <w:r w:rsidR="006E4BBE" w:rsidRPr="00C77B5B">
        <w:t>the</w:t>
      </w:r>
      <w:r w:rsidR="00B87521" w:rsidRPr="00C77B5B">
        <w:t xml:space="preserve"> </w:t>
      </w:r>
      <w:hyperlink r:id="rId9" w:history="1">
        <w:r w:rsidR="006E4BBE" w:rsidRPr="00C77B5B">
          <w:rPr>
            <w:rStyle w:val="Hyperlink"/>
          </w:rPr>
          <w:t>2018-2021 Department of Education Strategic Plan Learners First: Every Learner, Every Day</w:t>
        </w:r>
      </w:hyperlink>
      <w:r w:rsidR="006E4BBE" w:rsidRPr="00C77B5B">
        <w:t>.</w:t>
      </w:r>
    </w:p>
    <w:p w14:paraId="69C0475E" w14:textId="209D34CE" w:rsidR="004C02EB" w:rsidRPr="00C77B5B" w:rsidRDefault="00520235" w:rsidP="00C77B5B">
      <w:pPr>
        <w:pStyle w:val="Heading2"/>
      </w:pPr>
      <w:r w:rsidRPr="005A7488">
        <w:t>Catholic Education Tasmania</w:t>
      </w:r>
    </w:p>
    <w:p w14:paraId="29565574" w14:textId="69A9BE60" w:rsidR="00A01718" w:rsidRPr="00C77B5B" w:rsidRDefault="00A01718" w:rsidP="00C77B5B">
      <w:r w:rsidRPr="00C77B5B">
        <w:t xml:space="preserve">In 2019, Catholic Education Tasmania (CET) aligned its strategic priorities with state-based reforms, under the Australian Government’s Non-Government Reform Support Fund. Across the year, CET progressed national and state policy initiatives to maintain quality teaching as the critical core for system </w:t>
      </w:r>
      <w:proofErr w:type="gramStart"/>
      <w:r w:rsidRPr="00C77B5B">
        <w:t>improvement, and</w:t>
      </w:r>
      <w:proofErr w:type="gramEnd"/>
      <w:r w:rsidRPr="00C77B5B">
        <w:t xml:space="preserve"> reviewed and revised its governance structure to support these initiatives’ implementation.</w:t>
      </w:r>
    </w:p>
    <w:p w14:paraId="0DFE006B" w14:textId="706B2C70" w:rsidR="00A01718" w:rsidRPr="00C77B5B" w:rsidRDefault="00A01718" w:rsidP="00C77B5B">
      <w:r w:rsidRPr="00C77B5B">
        <w:t>This has enabled the optimal delivery of support to students identified in the National Consistent Collection of Data (NCCD), Aboriginal and Torres Strait Islander students, and students with first languages other than English.</w:t>
      </w:r>
    </w:p>
    <w:p w14:paraId="6462D3B9" w14:textId="77777777" w:rsidR="00A01718" w:rsidRPr="00C77B5B" w:rsidRDefault="00A01718" w:rsidP="00C77B5B">
      <w:r w:rsidRPr="00C77B5B">
        <w:lastRenderedPageBreak/>
        <w:t>Evidence-based, differentiated pedagogy was a focus in 2019, using the Professional Learning Communities model. Schools utilised this model as an inquiry, evidence-based approach to support the goal of continuous improvement in teaching and learning.</w:t>
      </w:r>
    </w:p>
    <w:p w14:paraId="35A031A4" w14:textId="77777777" w:rsidR="00A01718" w:rsidRPr="00C77B5B" w:rsidRDefault="00A01718" w:rsidP="00C77B5B">
      <w:r w:rsidRPr="00C77B5B">
        <w:t>In 2019, CET appointed a senior educator to provide induction workshops for all new staff and to mentor early career teachers and aid their transition to full accreditation with the Teacher Registration Board of Tasmania.</w:t>
      </w:r>
    </w:p>
    <w:p w14:paraId="0060717F" w14:textId="7D2B4AD7" w:rsidR="009F3E96" w:rsidRPr="005A7488" w:rsidRDefault="009F3E96" w:rsidP="00C77B5B">
      <w:pPr>
        <w:pStyle w:val="Heading2"/>
      </w:pPr>
      <w:r w:rsidRPr="005A7488">
        <w:t>Independent Schools Tasmania</w:t>
      </w:r>
    </w:p>
    <w:p w14:paraId="6FBF2A5E" w14:textId="7C932685" w:rsidR="00E61DD1" w:rsidRPr="00C77B5B" w:rsidRDefault="00E61DD1" w:rsidP="00C77B5B">
      <w:r w:rsidRPr="00C77B5B">
        <w:t>In 2019, Independent Schools Tasmania (IST) staff progressed and rolled-out to independent schools all recommendations from the Years 9-12 Review in the areas of curriculum and assessment, accreditation and certification, workforce development and data usage.</w:t>
      </w:r>
    </w:p>
    <w:p w14:paraId="110CD399" w14:textId="39831927" w:rsidR="00E61DD1" w:rsidRPr="00C77B5B" w:rsidRDefault="00E61DD1" w:rsidP="00C77B5B">
      <w:r w:rsidRPr="00C77B5B">
        <w:t>Educators in independent schools were up-skilled and supported to deliver best practice, research-based teaching practices to ensure that they accurately monitor all students’ achievement in a timely and responsive way. 100% of total schools were represented at professional learning sessions.</w:t>
      </w:r>
    </w:p>
    <w:p w14:paraId="2D642BCC" w14:textId="341E5EC3" w:rsidR="00E61DD1" w:rsidRPr="00C77B5B" w:rsidRDefault="00E61DD1" w:rsidP="00C77B5B">
      <w:r w:rsidRPr="00C77B5B">
        <w:t>Individual support was offered to independent schools by IST consultants, focusing upon analysis of NAPLAN data to inform and improve teaching and learning.</w:t>
      </w:r>
    </w:p>
    <w:p w14:paraId="595956AB" w14:textId="4FC9679B" w:rsidR="00446376" w:rsidRPr="00C77B5B" w:rsidRDefault="00E61DD1" w:rsidP="00C77B5B">
      <w:r w:rsidRPr="00C77B5B">
        <w:t xml:space="preserve">IST developed 7 </w:t>
      </w:r>
      <w:r w:rsidR="00EF10A6" w:rsidRPr="00C77B5B">
        <w:t>professional learning</w:t>
      </w:r>
      <w:r w:rsidRPr="00C77B5B">
        <w:t xml:space="preserve"> courses in Tasmania for educational leaders prior to December 2019.</w:t>
      </w:r>
    </w:p>
    <w:p w14:paraId="66BC3D6C" w14:textId="5E8D3598" w:rsidR="000E1DCB" w:rsidRDefault="00C8381F" w:rsidP="0076096C">
      <w:r>
        <w:br w:type="page"/>
      </w:r>
    </w:p>
    <w:p w14:paraId="5223DD1C" w14:textId="0B75E735" w:rsidR="0076096C" w:rsidRPr="00C77B5B" w:rsidRDefault="0076096C" w:rsidP="00C77B5B">
      <w:pPr>
        <w:pStyle w:val="Heading1"/>
        <w:rPr>
          <w:rFonts w:eastAsia="Corbel"/>
        </w:rPr>
      </w:pPr>
      <w:r w:rsidRPr="00C77B5B">
        <w:rPr>
          <w:rFonts w:eastAsia="Corbel"/>
        </w:rPr>
        <w:lastRenderedPageBreak/>
        <w:t>PROGRESS AGAINST EACH REFORM DIRECTION</w:t>
      </w:r>
    </w:p>
    <w:p w14:paraId="55CA8B94" w14:textId="45338C6F" w:rsidR="00C625D5" w:rsidRPr="00C77B5B" w:rsidRDefault="00C625D5" w:rsidP="00C77B5B">
      <w:pPr>
        <w:pStyle w:val="Heading2"/>
        <w:rPr>
          <w:rFonts w:eastAsia="Corbel"/>
        </w:rPr>
      </w:pPr>
      <w:r w:rsidRPr="00C625D5">
        <w:rPr>
          <w:rFonts w:eastAsia="Corbel"/>
        </w:rPr>
        <w:t>Improvement Direction A – Quality Teaching – curriculum, pedagogy, assessment and differentiation</w:t>
      </w:r>
    </w:p>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4678"/>
        <w:gridCol w:w="1559"/>
        <w:gridCol w:w="1134"/>
        <w:gridCol w:w="6946"/>
      </w:tblGrid>
      <w:tr w:rsidR="00C625D5" w:rsidRPr="006364C6" w14:paraId="0107FA44" w14:textId="77777777" w:rsidTr="009F5D45">
        <w:trPr>
          <w:trHeight w:val="723"/>
          <w:tblHeader/>
        </w:trPr>
        <w:tc>
          <w:tcPr>
            <w:tcW w:w="4678" w:type="dxa"/>
            <w:tcBorders>
              <w:top w:val="single" w:sz="24" w:space="0" w:color="316F72"/>
              <w:left w:val="single" w:sz="8" w:space="0" w:color="316F72"/>
              <w:bottom w:val="single" w:sz="24" w:space="0" w:color="316F72"/>
              <w:right w:val="single" w:sz="8" w:space="0" w:color="316F72"/>
            </w:tcBorders>
          </w:tcPr>
          <w:p w14:paraId="52864F34" w14:textId="36D25271" w:rsidR="00C625D5" w:rsidRPr="00C77B5B" w:rsidRDefault="00C625D5" w:rsidP="00C77B5B">
            <w:pPr>
              <w:rPr>
                <w:b/>
                <w:bCs/>
              </w:rPr>
            </w:pPr>
            <w:bookmarkStart w:id="2" w:name="_Hlk45880872"/>
            <w:r w:rsidRPr="00C77B5B">
              <w:rPr>
                <w:b/>
                <w:bCs/>
              </w:rPr>
              <w:t>Improvement Activity / Actions</w:t>
            </w:r>
          </w:p>
        </w:tc>
        <w:tc>
          <w:tcPr>
            <w:tcW w:w="1559" w:type="dxa"/>
            <w:tcBorders>
              <w:top w:val="single" w:sz="24" w:space="0" w:color="316F72"/>
              <w:left w:val="single" w:sz="8" w:space="0" w:color="316F72"/>
              <w:bottom w:val="single" w:sz="24" w:space="0" w:color="316F72"/>
              <w:right w:val="single" w:sz="8" w:space="0" w:color="316F72"/>
            </w:tcBorders>
          </w:tcPr>
          <w:p w14:paraId="05995137" w14:textId="7701BCE6" w:rsidR="00C625D5" w:rsidRPr="00C77B5B" w:rsidRDefault="00C625D5" w:rsidP="00C77B5B">
            <w:pPr>
              <w:rPr>
                <w:b/>
                <w:bCs/>
              </w:rPr>
            </w:pPr>
            <w:r w:rsidRPr="00C77B5B">
              <w:rPr>
                <w:b/>
                <w:bCs/>
              </w:rPr>
              <w:t>Sector(s)</w:t>
            </w:r>
          </w:p>
        </w:tc>
        <w:tc>
          <w:tcPr>
            <w:tcW w:w="1134" w:type="dxa"/>
            <w:tcBorders>
              <w:top w:val="single" w:sz="24" w:space="0" w:color="316F72"/>
              <w:left w:val="single" w:sz="8" w:space="0" w:color="316F72"/>
              <w:bottom w:val="single" w:sz="24" w:space="0" w:color="316F72"/>
              <w:right w:val="single" w:sz="8" w:space="0" w:color="316F72"/>
            </w:tcBorders>
          </w:tcPr>
          <w:p w14:paraId="65CD5DDB" w14:textId="18B8CC74" w:rsidR="00C625D5" w:rsidRPr="00C77B5B" w:rsidRDefault="00C625D5" w:rsidP="00C77B5B">
            <w:pPr>
              <w:rPr>
                <w:b/>
                <w:bCs/>
              </w:rPr>
            </w:pPr>
            <w:r w:rsidRPr="00C77B5B">
              <w:rPr>
                <w:b/>
                <w:bCs/>
              </w:rPr>
              <w:t>Timing</w:t>
            </w:r>
          </w:p>
        </w:tc>
        <w:tc>
          <w:tcPr>
            <w:tcW w:w="6946" w:type="dxa"/>
            <w:tcBorders>
              <w:top w:val="single" w:sz="24" w:space="0" w:color="316F72"/>
              <w:left w:val="single" w:sz="8" w:space="0" w:color="316F72"/>
              <w:bottom w:val="single" w:sz="24" w:space="0" w:color="316F72"/>
              <w:right w:val="single" w:sz="8" w:space="0" w:color="316F72"/>
            </w:tcBorders>
          </w:tcPr>
          <w:p w14:paraId="32E7C89D" w14:textId="04882C3A" w:rsidR="00C625D5" w:rsidRPr="00C77B5B" w:rsidRDefault="00C625D5" w:rsidP="00C77B5B">
            <w:pPr>
              <w:rPr>
                <w:b/>
                <w:bCs/>
              </w:rPr>
            </w:pPr>
            <w:r w:rsidRPr="00C77B5B">
              <w:rPr>
                <w:b/>
                <w:bCs/>
              </w:rPr>
              <w:t>Progress towards implementation of actions (including progress of non-government sector actions)</w:t>
            </w:r>
          </w:p>
        </w:tc>
      </w:tr>
      <w:bookmarkEnd w:id="2"/>
      <w:tr w:rsidR="00572CB5" w:rsidRPr="006364C6" w14:paraId="2DA994F7" w14:textId="77777777" w:rsidTr="0002666A">
        <w:trPr>
          <w:trHeight w:val="583"/>
        </w:trPr>
        <w:tc>
          <w:tcPr>
            <w:tcW w:w="4678" w:type="dxa"/>
            <w:tcBorders>
              <w:top w:val="single" w:sz="8" w:space="0" w:color="316F72"/>
              <w:left w:val="single" w:sz="8" w:space="0" w:color="316F72"/>
              <w:bottom w:val="single" w:sz="8" w:space="0" w:color="316F72"/>
              <w:right w:val="single" w:sz="8" w:space="0" w:color="316F72"/>
            </w:tcBorders>
            <w:vAlign w:val="center"/>
          </w:tcPr>
          <w:p w14:paraId="34AADCC5" w14:textId="044F74A2" w:rsidR="00572CB5" w:rsidRPr="00C77B5B" w:rsidRDefault="00572CB5" w:rsidP="00C77B5B">
            <w:r w:rsidRPr="00C77B5B">
              <w:t>Contribute to national effort and discussions and effort regarding learning progressions, formative assessment and</w:t>
            </w:r>
            <w:r w:rsidR="004F1851" w:rsidRPr="00C77B5B">
              <w:t xml:space="preserve"> </w:t>
            </w:r>
            <w:r w:rsidRPr="00C77B5B">
              <w:t>the review of senior secondary education.</w:t>
            </w:r>
          </w:p>
        </w:tc>
        <w:tc>
          <w:tcPr>
            <w:tcW w:w="1559" w:type="dxa"/>
            <w:tcBorders>
              <w:top w:val="single" w:sz="8" w:space="0" w:color="316F72"/>
              <w:left w:val="single" w:sz="8" w:space="0" w:color="316F72"/>
              <w:bottom w:val="single" w:sz="8" w:space="0" w:color="316F72"/>
              <w:right w:val="single" w:sz="8" w:space="0" w:color="316F72"/>
            </w:tcBorders>
          </w:tcPr>
          <w:p w14:paraId="19E433E1" w14:textId="34446D33" w:rsidR="00572CB5" w:rsidRPr="00C77B5B" w:rsidRDefault="00572CB5" w:rsidP="00C77B5B">
            <w:r w:rsidRPr="00C77B5B">
              <w:t>All sectors</w:t>
            </w:r>
          </w:p>
        </w:tc>
        <w:tc>
          <w:tcPr>
            <w:tcW w:w="1134" w:type="dxa"/>
            <w:tcBorders>
              <w:top w:val="single" w:sz="8" w:space="0" w:color="316F72"/>
              <w:left w:val="single" w:sz="8" w:space="0" w:color="316F72"/>
              <w:bottom w:val="single" w:sz="8" w:space="0" w:color="316F72"/>
              <w:right w:val="single" w:sz="8" w:space="0" w:color="316F72"/>
            </w:tcBorders>
          </w:tcPr>
          <w:p w14:paraId="62A70F0F" w14:textId="6A289524" w:rsidR="00572CB5" w:rsidRPr="00C77B5B" w:rsidRDefault="00572CB5" w:rsidP="00C77B5B">
            <w:r w:rsidRPr="00C77B5B">
              <w:t>Ongoing</w:t>
            </w:r>
          </w:p>
        </w:tc>
        <w:tc>
          <w:tcPr>
            <w:tcW w:w="6946" w:type="dxa"/>
            <w:tcBorders>
              <w:top w:val="single" w:sz="8" w:space="0" w:color="316F72"/>
              <w:left w:val="single" w:sz="8" w:space="0" w:color="316F72"/>
              <w:bottom w:val="single" w:sz="8" w:space="0" w:color="316F72"/>
              <w:right w:val="single" w:sz="8" w:space="0" w:color="316F72"/>
            </w:tcBorders>
          </w:tcPr>
          <w:p w14:paraId="7C1E38CA" w14:textId="4AB69F83" w:rsidR="00211BDD" w:rsidRPr="00C77B5B" w:rsidRDefault="00211BDD" w:rsidP="00C77B5B">
            <w:pPr>
              <w:pStyle w:val="Heading3"/>
              <w:rPr>
                <w:rFonts w:asciiTheme="majorHAnsi" w:hAnsiTheme="majorHAnsi" w:cstheme="majorHAnsi"/>
              </w:rPr>
            </w:pPr>
            <w:r w:rsidRPr="00C77B5B">
              <w:rPr>
                <w:rFonts w:asciiTheme="majorHAnsi" w:hAnsiTheme="majorHAnsi" w:cstheme="majorHAnsi"/>
              </w:rPr>
              <w:t>Tasmanian Department of Education</w:t>
            </w:r>
          </w:p>
          <w:p w14:paraId="46EFE52B" w14:textId="777EEEDF" w:rsidR="00211BDD" w:rsidRPr="00C77B5B" w:rsidRDefault="00211BDD" w:rsidP="00C77B5B">
            <w:pPr>
              <w:rPr>
                <w:rFonts w:asciiTheme="majorHAnsi" w:hAnsiTheme="majorHAnsi" w:cstheme="majorHAnsi"/>
                <w:b/>
                <w:bCs/>
              </w:rPr>
            </w:pPr>
            <w:r w:rsidRPr="00C77B5B">
              <w:rPr>
                <w:rFonts w:asciiTheme="majorHAnsi" w:hAnsiTheme="majorHAnsi" w:cstheme="majorHAnsi"/>
                <w:b/>
                <w:bCs/>
              </w:rPr>
              <w:t>O</w:t>
            </w:r>
            <w:r w:rsidR="00C77B5B" w:rsidRPr="00C77B5B">
              <w:rPr>
                <w:rFonts w:asciiTheme="majorHAnsi" w:hAnsiTheme="majorHAnsi" w:cstheme="majorHAnsi"/>
                <w:b/>
                <w:bCs/>
              </w:rPr>
              <w:t>ngoing</w:t>
            </w:r>
          </w:p>
          <w:p w14:paraId="04B0FFAF" w14:textId="3971D8CF" w:rsidR="00572CB5" w:rsidRPr="00C77B5B" w:rsidRDefault="00572CB5" w:rsidP="00C77B5B">
            <w:pPr>
              <w:rPr>
                <w:rFonts w:asciiTheme="majorHAnsi" w:hAnsiTheme="majorHAnsi" w:cstheme="majorHAnsi"/>
              </w:rPr>
            </w:pPr>
            <w:r w:rsidRPr="00C77B5B">
              <w:rPr>
                <w:rFonts w:asciiTheme="majorHAnsi" w:hAnsiTheme="majorHAnsi" w:cstheme="majorHAnsi"/>
              </w:rPr>
              <w:t>Tasmania participated in national discussion and effort in 2019 through Education Council, associated officers’ forums, representation on working groups, cooperation with</w:t>
            </w:r>
            <w:r w:rsidR="0035330A" w:rsidRPr="00C77B5B">
              <w:rPr>
                <w:rFonts w:asciiTheme="majorHAnsi" w:hAnsiTheme="majorHAnsi" w:cstheme="majorHAnsi"/>
              </w:rPr>
              <w:t xml:space="preserve"> the</w:t>
            </w:r>
            <w:r w:rsidRPr="00C77B5B">
              <w:rPr>
                <w:rFonts w:asciiTheme="majorHAnsi" w:hAnsiTheme="majorHAnsi" w:cstheme="majorHAnsi"/>
              </w:rPr>
              <w:t xml:space="preserve"> </w:t>
            </w:r>
            <w:r w:rsidR="0035330A" w:rsidRPr="00C77B5B">
              <w:rPr>
                <w:rFonts w:asciiTheme="majorHAnsi" w:hAnsiTheme="majorHAnsi" w:cstheme="majorHAnsi"/>
              </w:rPr>
              <w:t xml:space="preserve">Australian Curriculum, Assessment and Reporting Authority (ACARA) </w:t>
            </w:r>
            <w:r w:rsidRPr="00C77B5B">
              <w:rPr>
                <w:rFonts w:asciiTheme="majorHAnsi" w:hAnsiTheme="majorHAnsi" w:cstheme="majorHAnsi"/>
              </w:rPr>
              <w:t xml:space="preserve">and </w:t>
            </w:r>
            <w:r w:rsidR="0035330A" w:rsidRPr="00C77B5B">
              <w:rPr>
                <w:rFonts w:asciiTheme="majorHAnsi" w:hAnsiTheme="majorHAnsi" w:cstheme="majorHAnsi"/>
              </w:rPr>
              <w:t>the Australian Institute for Teaching and School Leadership (AITSL)</w:t>
            </w:r>
            <w:r w:rsidRPr="00C77B5B">
              <w:rPr>
                <w:rFonts w:asciiTheme="majorHAnsi" w:hAnsiTheme="majorHAnsi" w:cstheme="majorHAnsi"/>
              </w:rPr>
              <w:t xml:space="preserve">, and </w:t>
            </w:r>
            <w:hyperlink r:id="rId10" w:history="1">
              <w:r w:rsidRPr="00C77B5B">
                <w:rPr>
                  <w:rStyle w:val="Hyperlink"/>
                  <w:rFonts w:asciiTheme="majorHAnsi" w:hAnsiTheme="majorHAnsi" w:cstheme="majorHAnsi"/>
                </w:rPr>
                <w:t>a written submission on senior secondary pathways</w:t>
              </w:r>
            </w:hyperlink>
            <w:r w:rsidRPr="00C77B5B">
              <w:rPr>
                <w:rFonts w:asciiTheme="majorHAnsi" w:hAnsiTheme="majorHAnsi" w:cstheme="majorHAnsi"/>
              </w:rPr>
              <w:t>.</w:t>
            </w:r>
          </w:p>
          <w:p w14:paraId="6FC4FE2B" w14:textId="77777777" w:rsidR="00EF10A6" w:rsidRPr="00C77B5B" w:rsidRDefault="00EF10A6" w:rsidP="00C77B5B">
            <w:pPr>
              <w:pStyle w:val="Heading3"/>
              <w:rPr>
                <w:rFonts w:asciiTheme="majorHAnsi" w:hAnsiTheme="majorHAnsi" w:cstheme="majorHAnsi"/>
              </w:rPr>
            </w:pPr>
            <w:r w:rsidRPr="00C77B5B">
              <w:rPr>
                <w:rFonts w:asciiTheme="majorHAnsi" w:hAnsiTheme="majorHAnsi" w:cstheme="majorHAnsi"/>
              </w:rPr>
              <w:t>Catholic Education Tasmania</w:t>
            </w:r>
          </w:p>
          <w:p w14:paraId="76C6B2DF" w14:textId="77777777" w:rsidR="00C77B5B" w:rsidRPr="00C77B5B" w:rsidRDefault="00C77B5B" w:rsidP="00C77B5B">
            <w:pPr>
              <w:rPr>
                <w:rFonts w:asciiTheme="majorHAnsi" w:hAnsiTheme="majorHAnsi" w:cstheme="majorHAnsi"/>
                <w:b/>
                <w:bCs/>
              </w:rPr>
            </w:pPr>
            <w:r w:rsidRPr="00C77B5B">
              <w:rPr>
                <w:rFonts w:asciiTheme="majorHAnsi" w:hAnsiTheme="majorHAnsi" w:cstheme="majorHAnsi"/>
                <w:b/>
                <w:bCs/>
              </w:rPr>
              <w:t>Ongoing</w:t>
            </w:r>
          </w:p>
          <w:p w14:paraId="2346C7F1" w14:textId="36D49439" w:rsidR="00EF10A6" w:rsidRPr="00C77B5B" w:rsidRDefault="00EF10A6" w:rsidP="000D4BE8">
            <w:pPr>
              <w:pStyle w:val="ListParagraph"/>
              <w:numPr>
                <w:ilvl w:val="0"/>
                <w:numId w:val="56"/>
              </w:numPr>
              <w:rPr>
                <w:rFonts w:asciiTheme="majorHAnsi" w:hAnsiTheme="majorHAnsi" w:cstheme="majorHAnsi"/>
              </w:rPr>
            </w:pPr>
            <w:r w:rsidRPr="00C77B5B">
              <w:rPr>
                <w:rFonts w:asciiTheme="majorHAnsi" w:hAnsiTheme="majorHAnsi" w:cstheme="majorHAnsi"/>
              </w:rPr>
              <w:t>Actively monitoring the AITSL, ACARA project &amp; the development of online formative assessment.</w:t>
            </w:r>
          </w:p>
          <w:p w14:paraId="281EE0C7" w14:textId="10E7D5FA" w:rsidR="00EF10A6" w:rsidRPr="00C77B5B" w:rsidRDefault="00EF10A6" w:rsidP="000D4BE8">
            <w:pPr>
              <w:pStyle w:val="ListParagraph"/>
              <w:numPr>
                <w:ilvl w:val="0"/>
                <w:numId w:val="56"/>
              </w:numPr>
              <w:rPr>
                <w:rFonts w:asciiTheme="majorHAnsi" w:hAnsiTheme="majorHAnsi" w:cstheme="majorHAnsi"/>
              </w:rPr>
            </w:pPr>
            <w:r w:rsidRPr="00C77B5B">
              <w:rPr>
                <w:rFonts w:asciiTheme="majorHAnsi" w:hAnsiTheme="majorHAnsi" w:cstheme="majorHAnsi"/>
              </w:rPr>
              <w:t>Initiated a Catholic education-based, cross-sectorial working party to align pedagogy, learning intentions, success criteria, formative assessment, feedback and reporting.</w:t>
            </w:r>
          </w:p>
          <w:p w14:paraId="43A1EB77" w14:textId="2266F4A2" w:rsidR="00EF10A6" w:rsidRPr="00C77B5B" w:rsidRDefault="00EF10A6" w:rsidP="000D4BE8">
            <w:pPr>
              <w:pStyle w:val="ListParagraph"/>
              <w:numPr>
                <w:ilvl w:val="0"/>
                <w:numId w:val="56"/>
              </w:numPr>
              <w:rPr>
                <w:rFonts w:asciiTheme="majorHAnsi" w:hAnsiTheme="majorHAnsi" w:cstheme="majorHAnsi"/>
              </w:rPr>
            </w:pPr>
            <w:r w:rsidRPr="00C77B5B">
              <w:rPr>
                <w:rFonts w:asciiTheme="majorHAnsi" w:hAnsiTheme="majorHAnsi" w:cstheme="majorHAnsi"/>
              </w:rPr>
              <w:t>Senior officer is tasked with leading Catholic education contribution to DoE 9-12 learning project.</w:t>
            </w:r>
          </w:p>
          <w:p w14:paraId="75FF1EA0" w14:textId="02D83D5D" w:rsidR="00C8381F" w:rsidRPr="00C77B5B" w:rsidRDefault="00EF10A6" w:rsidP="004D3128">
            <w:pPr>
              <w:pStyle w:val="ListParagraph"/>
              <w:numPr>
                <w:ilvl w:val="0"/>
                <w:numId w:val="56"/>
              </w:numPr>
              <w:rPr>
                <w:rFonts w:asciiTheme="majorHAnsi" w:hAnsiTheme="majorHAnsi" w:cstheme="majorHAnsi"/>
              </w:rPr>
            </w:pPr>
            <w:r w:rsidRPr="00C77B5B">
              <w:rPr>
                <w:rFonts w:asciiTheme="majorHAnsi" w:hAnsiTheme="majorHAnsi" w:cstheme="majorHAnsi"/>
              </w:rPr>
              <w:lastRenderedPageBreak/>
              <w:t>Active participation in on-going NCEC initiatives including the issue of student performance/non-performance against national benchmarks</w:t>
            </w:r>
            <w:r w:rsidR="00152470" w:rsidRPr="00C77B5B">
              <w:rPr>
                <w:rFonts w:asciiTheme="majorHAnsi" w:hAnsiTheme="majorHAnsi" w:cstheme="majorHAnsi"/>
              </w:rPr>
              <w:t>.</w:t>
            </w:r>
          </w:p>
          <w:p w14:paraId="50457D3B" w14:textId="24FE701E" w:rsidR="002F4086" w:rsidRPr="00C77B5B" w:rsidRDefault="002F4086" w:rsidP="00C77B5B">
            <w:pPr>
              <w:pStyle w:val="Heading3"/>
            </w:pPr>
            <w:r w:rsidRPr="00C77B5B">
              <w:t>Independent Schools Tasmania</w:t>
            </w:r>
          </w:p>
          <w:p w14:paraId="6AED1FE7" w14:textId="77777777" w:rsidR="00C77B5B" w:rsidRPr="00C77B5B" w:rsidRDefault="00C77B5B" w:rsidP="00C77B5B">
            <w:pPr>
              <w:rPr>
                <w:b/>
                <w:bCs/>
              </w:rPr>
            </w:pPr>
            <w:r w:rsidRPr="00C77B5B">
              <w:rPr>
                <w:b/>
                <w:bCs/>
              </w:rPr>
              <w:t>Ongoing</w:t>
            </w:r>
          </w:p>
          <w:p w14:paraId="3DF9A7DD" w14:textId="25EDBF8E" w:rsidR="000D1E25" w:rsidRPr="00C77B5B" w:rsidRDefault="002F4086" w:rsidP="00C77B5B">
            <w:pPr>
              <w:rPr>
                <w:rFonts w:asciiTheme="majorHAnsi" w:eastAsia="Corbel" w:hAnsiTheme="majorHAnsi" w:cstheme="majorHAnsi"/>
              </w:rPr>
            </w:pPr>
            <w:r w:rsidRPr="00C77B5B">
              <w:rPr>
                <w:rFonts w:asciiTheme="majorHAnsi" w:eastAsia="Corbel" w:hAnsiTheme="majorHAnsi" w:cstheme="majorHAnsi"/>
              </w:rPr>
              <w:t>Independent School Principals and staff were supported by Independent Schools Tasmania (IST) in their understanding of and use of learning progressions, the 9-12 curriculum changes, updates in VET and VL and K-12 progressions (as applicable in the schools they served). IST staff attended 100% of national and local committees and forums focusing on learning progressions, senior secondary education, VET, VC and the 9-12 review.</w:t>
            </w:r>
          </w:p>
        </w:tc>
      </w:tr>
      <w:tr w:rsidR="00572CB5" w:rsidRPr="00C77B5B" w14:paraId="43741450" w14:textId="77777777" w:rsidTr="0002666A">
        <w:trPr>
          <w:trHeight w:val="583"/>
        </w:trPr>
        <w:tc>
          <w:tcPr>
            <w:tcW w:w="4678" w:type="dxa"/>
            <w:tcBorders>
              <w:top w:val="single" w:sz="8" w:space="0" w:color="316F72"/>
              <w:left w:val="single" w:sz="8" w:space="0" w:color="316F72"/>
              <w:bottom w:val="single" w:sz="8" w:space="0" w:color="316F72"/>
              <w:right w:val="single" w:sz="8" w:space="0" w:color="316F72"/>
            </w:tcBorders>
            <w:vAlign w:val="center"/>
          </w:tcPr>
          <w:p w14:paraId="5DC48CBD" w14:textId="1C6E454F" w:rsidR="00572CB5" w:rsidRPr="00C77B5B" w:rsidRDefault="00572CB5" w:rsidP="004F1851">
            <w:pPr>
              <w:ind w:left="2"/>
              <w:rPr>
                <w:rFonts w:asciiTheme="majorHAnsi" w:hAnsiTheme="majorHAnsi" w:cstheme="majorHAnsi"/>
              </w:rPr>
            </w:pPr>
            <w:r w:rsidRPr="00C77B5B">
              <w:rPr>
                <w:rFonts w:asciiTheme="majorHAnsi" w:eastAsia="Corbel" w:hAnsiTheme="majorHAnsi" w:cstheme="majorHAnsi"/>
              </w:rPr>
              <w:lastRenderedPageBreak/>
              <w:t>Meet the needs of students at risk of educational disadvantage (including students with disability, Aboriginal</w:t>
            </w:r>
            <w:r w:rsidR="004F1851" w:rsidRPr="00C77B5B">
              <w:rPr>
                <w:rFonts w:asciiTheme="majorHAnsi" w:eastAsia="Corbel" w:hAnsiTheme="majorHAnsi" w:cstheme="majorHAnsi"/>
              </w:rPr>
              <w:t xml:space="preserve"> </w:t>
            </w:r>
            <w:r w:rsidRPr="00C77B5B">
              <w:rPr>
                <w:rFonts w:asciiTheme="majorHAnsi" w:eastAsia="Corbel" w:hAnsiTheme="majorHAnsi" w:cstheme="majorHAnsi"/>
              </w:rPr>
              <w:t>students, students with low English proficiency and students in rural and regional areas) through evidence-based</w:t>
            </w:r>
            <w:r w:rsidR="004F1851" w:rsidRPr="00C77B5B">
              <w:rPr>
                <w:rFonts w:asciiTheme="majorHAnsi" w:eastAsia="Corbel" w:hAnsiTheme="majorHAnsi" w:cstheme="majorHAnsi"/>
              </w:rPr>
              <w:t xml:space="preserve"> </w:t>
            </w:r>
            <w:r w:rsidRPr="00C77B5B">
              <w:rPr>
                <w:rFonts w:asciiTheme="majorHAnsi" w:eastAsia="Corbel" w:hAnsiTheme="majorHAnsi" w:cstheme="majorHAnsi"/>
              </w:rPr>
              <w:t>pedagogy, quality teaching and leadership and innovation.</w:t>
            </w:r>
          </w:p>
        </w:tc>
        <w:tc>
          <w:tcPr>
            <w:tcW w:w="1559" w:type="dxa"/>
            <w:tcBorders>
              <w:top w:val="single" w:sz="8" w:space="0" w:color="316F72"/>
              <w:left w:val="single" w:sz="8" w:space="0" w:color="316F72"/>
              <w:bottom w:val="single" w:sz="8" w:space="0" w:color="316F72"/>
              <w:right w:val="single" w:sz="8" w:space="0" w:color="316F72"/>
            </w:tcBorders>
          </w:tcPr>
          <w:p w14:paraId="585813AA" w14:textId="5917F4FF" w:rsidR="00572CB5" w:rsidRPr="00C77B5B" w:rsidRDefault="00572CB5" w:rsidP="005B2082">
            <w:pPr>
              <w:ind w:left="2"/>
              <w:rPr>
                <w:rFonts w:asciiTheme="majorHAnsi" w:hAnsiTheme="majorHAnsi" w:cstheme="majorHAnsi"/>
              </w:rPr>
            </w:pPr>
            <w:r w:rsidRPr="00C77B5B">
              <w:rPr>
                <w:rFonts w:asciiTheme="majorHAnsi" w:hAnsiTheme="majorHAnsi" w:cstheme="majorHAnsi"/>
              </w:rPr>
              <w:t>All sectors</w:t>
            </w:r>
          </w:p>
        </w:tc>
        <w:tc>
          <w:tcPr>
            <w:tcW w:w="1134" w:type="dxa"/>
            <w:tcBorders>
              <w:top w:val="single" w:sz="8" w:space="0" w:color="316F72"/>
              <w:left w:val="single" w:sz="8" w:space="0" w:color="316F72"/>
              <w:bottom w:val="single" w:sz="8" w:space="0" w:color="316F72"/>
              <w:right w:val="single" w:sz="8" w:space="0" w:color="316F72"/>
            </w:tcBorders>
          </w:tcPr>
          <w:p w14:paraId="45F734E7" w14:textId="25AB14F4" w:rsidR="00572CB5" w:rsidRPr="00C77B5B" w:rsidRDefault="00572CB5" w:rsidP="005B2082">
            <w:pPr>
              <w:ind w:left="2"/>
              <w:rPr>
                <w:rFonts w:asciiTheme="majorHAnsi" w:hAnsiTheme="majorHAnsi" w:cstheme="majorHAnsi"/>
              </w:rPr>
            </w:pPr>
            <w:r w:rsidRPr="00C77B5B">
              <w:rPr>
                <w:rFonts w:asciiTheme="majorHAnsi" w:hAnsiTheme="majorHAnsi" w:cstheme="majorHAnsi"/>
              </w:rPr>
              <w:t>Ongoing</w:t>
            </w:r>
          </w:p>
        </w:tc>
        <w:tc>
          <w:tcPr>
            <w:tcW w:w="6946" w:type="dxa"/>
            <w:tcBorders>
              <w:top w:val="single" w:sz="8" w:space="0" w:color="316F72"/>
              <w:left w:val="single" w:sz="8" w:space="0" w:color="316F72"/>
              <w:bottom w:val="single" w:sz="8" w:space="0" w:color="316F72"/>
              <w:right w:val="single" w:sz="8" w:space="0" w:color="316F72"/>
            </w:tcBorders>
          </w:tcPr>
          <w:p w14:paraId="53223562" w14:textId="36FA09F4" w:rsidR="00211BDD" w:rsidRPr="00C77B5B" w:rsidRDefault="00211BDD" w:rsidP="00C77B5B">
            <w:pPr>
              <w:pStyle w:val="Heading3"/>
            </w:pPr>
            <w:r w:rsidRPr="00C77B5B">
              <w:t>Tasmanian Department of Education</w:t>
            </w:r>
          </w:p>
          <w:p w14:paraId="2CDA6DF3" w14:textId="77777777" w:rsidR="00C77B5B" w:rsidRPr="00C77B5B" w:rsidRDefault="00C77B5B" w:rsidP="00C77B5B">
            <w:pPr>
              <w:rPr>
                <w:rFonts w:asciiTheme="majorHAnsi" w:hAnsiTheme="majorHAnsi" w:cstheme="majorHAnsi"/>
                <w:b/>
                <w:bCs/>
              </w:rPr>
            </w:pPr>
            <w:r w:rsidRPr="00C77B5B">
              <w:rPr>
                <w:rFonts w:asciiTheme="majorHAnsi" w:hAnsiTheme="majorHAnsi" w:cstheme="majorHAnsi"/>
                <w:b/>
                <w:bCs/>
              </w:rPr>
              <w:t>Ongoing</w:t>
            </w:r>
          </w:p>
          <w:p w14:paraId="6EB71604" w14:textId="154D1747" w:rsidR="00572CB5" w:rsidRPr="00C77B5B" w:rsidRDefault="00572CB5" w:rsidP="00C77B5B">
            <w:pPr>
              <w:ind w:left="2"/>
              <w:rPr>
                <w:rFonts w:asciiTheme="majorHAnsi" w:hAnsiTheme="majorHAnsi" w:cstheme="majorHAnsi"/>
              </w:rPr>
            </w:pPr>
            <w:r w:rsidRPr="00C77B5B">
              <w:rPr>
                <w:rFonts w:asciiTheme="majorHAnsi" w:hAnsiTheme="majorHAnsi" w:cstheme="majorHAnsi"/>
              </w:rPr>
              <w:t>Five Tasmanian Government high schools extended their delivery through to Year 12 in 2019. This was complemented by the launch of Virtual Learning Tasmania, to meet the needs of regional and rural students to access a broad senior secondary curriculum.</w:t>
            </w:r>
          </w:p>
          <w:p w14:paraId="548FE343" w14:textId="333BB9A1" w:rsidR="00572CB5" w:rsidRPr="00C77B5B" w:rsidRDefault="00572CB5" w:rsidP="00C77B5B">
            <w:pPr>
              <w:ind w:left="2"/>
              <w:rPr>
                <w:rFonts w:asciiTheme="majorHAnsi" w:eastAsia="Times New Roman" w:hAnsiTheme="majorHAnsi" w:cstheme="majorHAnsi"/>
              </w:rPr>
            </w:pPr>
            <w:r w:rsidRPr="00C77B5B">
              <w:rPr>
                <w:rFonts w:asciiTheme="majorHAnsi" w:hAnsiTheme="majorHAnsi" w:cstheme="majorHAnsi"/>
              </w:rPr>
              <w:t xml:space="preserve">Tasmania’s nation-leading </w:t>
            </w:r>
            <w:hyperlink r:id="rId11" w:history="1">
              <w:r w:rsidRPr="00C77B5B">
                <w:rPr>
                  <w:rStyle w:val="Hyperlink"/>
                  <w:rFonts w:asciiTheme="majorHAnsi" w:hAnsiTheme="majorHAnsi" w:cstheme="majorHAnsi"/>
                </w:rPr>
                <w:t>Educational Adjustments Disability Funding</w:t>
              </w:r>
            </w:hyperlink>
            <w:r w:rsidRPr="00C77B5B">
              <w:rPr>
                <w:rFonts w:asciiTheme="majorHAnsi" w:hAnsiTheme="majorHAnsi" w:cstheme="majorHAnsi"/>
              </w:rPr>
              <w:t xml:space="preserve"> model was developed during 2019, for implementation across all Tasmanian Government schools from 2020. This needs-based model aligns supports to the educational </w:t>
            </w:r>
            <w:proofErr w:type="gramStart"/>
            <w:r w:rsidRPr="00C77B5B">
              <w:rPr>
                <w:rFonts w:asciiTheme="majorHAnsi" w:hAnsiTheme="majorHAnsi" w:cstheme="majorHAnsi"/>
              </w:rPr>
              <w:t>adjustments</w:t>
            </w:r>
            <w:proofErr w:type="gramEnd"/>
            <w:r w:rsidRPr="00C77B5B">
              <w:rPr>
                <w:rFonts w:asciiTheme="majorHAnsi" w:hAnsiTheme="majorHAnsi" w:cstheme="majorHAnsi"/>
              </w:rPr>
              <w:t xml:space="preserve"> teachers make in the classroom, </w:t>
            </w:r>
            <w:r w:rsidRPr="00C77B5B">
              <w:rPr>
                <w:rFonts w:asciiTheme="majorHAnsi" w:hAnsiTheme="majorHAnsi" w:cstheme="majorHAnsi"/>
              </w:rPr>
              <w:lastRenderedPageBreak/>
              <w:t>to ensure students with disability can access, participate and engage in quality learning programs.</w:t>
            </w:r>
          </w:p>
          <w:p w14:paraId="5019476A" w14:textId="77777777" w:rsidR="00572CB5" w:rsidRPr="00C77B5B" w:rsidRDefault="00572CB5">
            <w:pPr>
              <w:ind w:left="2"/>
              <w:rPr>
                <w:rFonts w:asciiTheme="majorHAnsi" w:hAnsiTheme="majorHAnsi" w:cstheme="majorHAnsi"/>
              </w:rPr>
            </w:pPr>
            <w:r w:rsidRPr="00C77B5B">
              <w:rPr>
                <w:rFonts w:asciiTheme="majorHAnsi" w:hAnsiTheme="majorHAnsi" w:cstheme="majorHAnsi"/>
              </w:rPr>
              <w:t xml:space="preserve">Tasmania’s innovative online portal for teaching and learning about Tasmanian Aboriginal history and culture, </w:t>
            </w:r>
            <w:hyperlink r:id="rId12" w:history="1">
              <w:r w:rsidRPr="00C77B5B">
                <w:rPr>
                  <w:rStyle w:val="Hyperlink"/>
                  <w:rFonts w:asciiTheme="majorHAnsi" w:hAnsiTheme="majorHAnsi" w:cstheme="majorHAnsi"/>
                </w:rPr>
                <w:t>The Orb</w:t>
              </w:r>
            </w:hyperlink>
            <w:r w:rsidRPr="00C77B5B">
              <w:rPr>
                <w:rFonts w:asciiTheme="majorHAnsi" w:hAnsiTheme="majorHAnsi" w:cstheme="majorHAnsi"/>
              </w:rPr>
              <w:t>, was expanded in 2019 with new videos and teaching resources focusing on living culture.</w:t>
            </w:r>
          </w:p>
          <w:p w14:paraId="113FB6FE" w14:textId="5144B431" w:rsidR="00EF10A6" w:rsidRPr="00C77B5B" w:rsidRDefault="00EF10A6" w:rsidP="00C77B5B">
            <w:pPr>
              <w:pStyle w:val="Heading3"/>
            </w:pPr>
            <w:r w:rsidRPr="00C77B5B">
              <w:t>Catholic Education Tasmania</w:t>
            </w:r>
          </w:p>
          <w:p w14:paraId="2BDC086B" w14:textId="77777777" w:rsidR="00C77B5B" w:rsidRPr="00C77B5B" w:rsidRDefault="00C77B5B" w:rsidP="00C77B5B">
            <w:pPr>
              <w:rPr>
                <w:b/>
                <w:bCs/>
              </w:rPr>
            </w:pPr>
            <w:r w:rsidRPr="00C77B5B">
              <w:rPr>
                <w:b/>
                <w:bCs/>
              </w:rPr>
              <w:t>Ongoing</w:t>
            </w:r>
          </w:p>
          <w:p w14:paraId="1559D083" w14:textId="77777777" w:rsidR="00EF10A6" w:rsidRPr="00C77B5B" w:rsidRDefault="00EF10A6" w:rsidP="000D4BE8">
            <w:pPr>
              <w:pStyle w:val="ListParagraph"/>
              <w:numPr>
                <w:ilvl w:val="0"/>
                <w:numId w:val="56"/>
              </w:numPr>
              <w:rPr>
                <w:rFonts w:asciiTheme="majorHAnsi" w:hAnsiTheme="majorHAnsi" w:cstheme="majorHAnsi"/>
              </w:rPr>
            </w:pPr>
            <w:r w:rsidRPr="00C77B5B">
              <w:rPr>
                <w:rFonts w:asciiTheme="majorHAnsi" w:hAnsiTheme="majorHAnsi" w:cstheme="majorHAnsi"/>
              </w:rPr>
              <w:t>Student Success Grants for Aboriginal and Torres Strait Islander students were established in 2019 to focus on improvement activities that align with the unique learning needs of this cohort of students, particularly in literacy and numeracy.</w:t>
            </w:r>
          </w:p>
          <w:p w14:paraId="31A0E990" w14:textId="77777777" w:rsidR="00EF10A6" w:rsidRPr="00C77B5B" w:rsidRDefault="00EF10A6" w:rsidP="000D4BE8">
            <w:pPr>
              <w:pStyle w:val="ListParagraph"/>
              <w:numPr>
                <w:ilvl w:val="0"/>
                <w:numId w:val="56"/>
              </w:numPr>
              <w:rPr>
                <w:rFonts w:asciiTheme="majorHAnsi" w:hAnsiTheme="majorHAnsi" w:cstheme="majorHAnsi"/>
              </w:rPr>
            </w:pPr>
            <w:r w:rsidRPr="00C77B5B">
              <w:rPr>
                <w:rFonts w:asciiTheme="majorHAnsi" w:hAnsiTheme="majorHAnsi" w:cstheme="majorHAnsi"/>
              </w:rPr>
              <w:t>Auditing of Learning Plans for students with disability well embedded in practice.</w:t>
            </w:r>
          </w:p>
          <w:p w14:paraId="052D0718" w14:textId="77777777" w:rsidR="00EF10A6" w:rsidRPr="00C77B5B" w:rsidRDefault="00EF10A6" w:rsidP="000D4BE8">
            <w:pPr>
              <w:pStyle w:val="ListParagraph"/>
              <w:numPr>
                <w:ilvl w:val="0"/>
                <w:numId w:val="56"/>
              </w:numPr>
              <w:rPr>
                <w:rFonts w:asciiTheme="majorHAnsi" w:hAnsiTheme="majorHAnsi" w:cstheme="majorHAnsi"/>
              </w:rPr>
            </w:pPr>
            <w:r w:rsidRPr="00C77B5B">
              <w:rPr>
                <w:rFonts w:asciiTheme="majorHAnsi" w:hAnsiTheme="majorHAnsi" w:cstheme="majorHAnsi"/>
              </w:rPr>
              <w:t>Student Support Co-ordinators supported to complete a Graduate Certificate in Inclusive Education.</w:t>
            </w:r>
          </w:p>
          <w:p w14:paraId="7D6B68E9" w14:textId="77777777" w:rsidR="00EF10A6" w:rsidRPr="00C77B5B" w:rsidRDefault="00EF10A6" w:rsidP="000D4BE8">
            <w:pPr>
              <w:pStyle w:val="ListParagraph"/>
              <w:numPr>
                <w:ilvl w:val="0"/>
                <w:numId w:val="56"/>
              </w:numPr>
              <w:rPr>
                <w:rFonts w:asciiTheme="majorHAnsi" w:hAnsiTheme="majorHAnsi" w:cstheme="majorHAnsi"/>
              </w:rPr>
            </w:pPr>
            <w:r w:rsidRPr="00C77B5B">
              <w:rPr>
                <w:rFonts w:asciiTheme="majorHAnsi" w:hAnsiTheme="majorHAnsi" w:cstheme="majorHAnsi"/>
              </w:rPr>
              <w:t>EALD training modules have been launched to support teachers with best practice pedagogy for students with low English proficiency.</w:t>
            </w:r>
          </w:p>
          <w:p w14:paraId="5ABC278B" w14:textId="217A77A3" w:rsidR="002F4086" w:rsidRPr="00C77B5B" w:rsidRDefault="00EF10A6" w:rsidP="000D4BE8">
            <w:pPr>
              <w:pStyle w:val="ListParagraph"/>
              <w:numPr>
                <w:ilvl w:val="0"/>
                <w:numId w:val="56"/>
              </w:numPr>
              <w:rPr>
                <w:rFonts w:asciiTheme="majorHAnsi" w:hAnsiTheme="majorHAnsi" w:cstheme="majorHAnsi"/>
              </w:rPr>
            </w:pPr>
            <w:r w:rsidRPr="00C77B5B">
              <w:rPr>
                <w:rFonts w:asciiTheme="majorHAnsi" w:hAnsiTheme="majorHAnsi" w:cstheme="majorHAnsi"/>
              </w:rPr>
              <w:t>NCCD moderation tool well established and utilised delivering quality assurance and support for the continued improvement of the Nationally Consistent Collection of Data (NCCD) on school students with disability.</w:t>
            </w:r>
          </w:p>
          <w:p w14:paraId="6A3826FA" w14:textId="77777777" w:rsidR="00C77B5B" w:rsidRDefault="002F4086" w:rsidP="00C77B5B">
            <w:pPr>
              <w:pStyle w:val="Heading3"/>
            </w:pPr>
            <w:r w:rsidRPr="00C77B5B">
              <w:lastRenderedPageBreak/>
              <w:t>Independent Schools Tasmania</w:t>
            </w:r>
          </w:p>
          <w:p w14:paraId="7B7090CD" w14:textId="073C4327" w:rsidR="00C77B5B" w:rsidRPr="00C77B5B" w:rsidRDefault="00C77B5B" w:rsidP="00C77B5B">
            <w:pPr>
              <w:rPr>
                <w:b/>
                <w:bCs/>
              </w:rPr>
            </w:pPr>
            <w:r w:rsidRPr="00C77B5B">
              <w:rPr>
                <w:b/>
                <w:bCs/>
              </w:rPr>
              <w:t>Ongoing</w:t>
            </w:r>
          </w:p>
          <w:p w14:paraId="37B55B15" w14:textId="5D343727" w:rsidR="002F4086" w:rsidRPr="00C77B5B" w:rsidRDefault="002F4086">
            <w:pPr>
              <w:rPr>
                <w:rFonts w:asciiTheme="majorHAnsi" w:eastAsia="Times New Roman" w:hAnsiTheme="majorHAnsi" w:cstheme="majorHAnsi"/>
              </w:rPr>
            </w:pPr>
            <w:r w:rsidRPr="00C77B5B">
              <w:rPr>
                <w:rFonts w:asciiTheme="majorHAnsi" w:hAnsiTheme="majorHAnsi" w:cstheme="majorHAnsi"/>
              </w:rPr>
              <w:t xml:space="preserve">In 2019, through the provision of targeted and individualised Professional Learning by IST, </w:t>
            </w:r>
            <w:bookmarkStart w:id="3" w:name="_Hlk50465705"/>
            <w:r w:rsidRPr="00C77B5B">
              <w:rPr>
                <w:rFonts w:asciiTheme="majorHAnsi" w:hAnsiTheme="majorHAnsi" w:cstheme="majorHAnsi"/>
              </w:rPr>
              <w:t>educators in independent schools continued to be up-skilled and supported to deliver best practice, research-based teaching practices to ensure that they accurately monitor all students’ achievement in a timely and responsive way. 100% of total schools were represented at ongoing focused PL sessions</w:t>
            </w:r>
            <w:bookmarkEnd w:id="3"/>
            <w:r w:rsidRPr="00C77B5B">
              <w:rPr>
                <w:rFonts w:asciiTheme="majorHAnsi" w:hAnsiTheme="majorHAnsi" w:cstheme="majorHAnsi"/>
              </w:rPr>
              <w:t>. In total 425 staff attended Professional Learning that was offered throughout the year.</w:t>
            </w:r>
          </w:p>
        </w:tc>
      </w:tr>
      <w:tr w:rsidR="00572CB5" w:rsidRPr="00C77B5B" w14:paraId="6725DCCC" w14:textId="77777777" w:rsidTr="0002666A">
        <w:trPr>
          <w:trHeight w:val="583"/>
        </w:trPr>
        <w:tc>
          <w:tcPr>
            <w:tcW w:w="4678" w:type="dxa"/>
            <w:tcBorders>
              <w:top w:val="single" w:sz="8" w:space="0" w:color="316F72"/>
              <w:left w:val="single" w:sz="8" w:space="0" w:color="316F72"/>
              <w:bottom w:val="single" w:sz="8" w:space="0" w:color="316F72"/>
              <w:right w:val="single" w:sz="8" w:space="0" w:color="316F72"/>
            </w:tcBorders>
            <w:vAlign w:val="center"/>
          </w:tcPr>
          <w:p w14:paraId="767D385F" w14:textId="07FA7F58" w:rsidR="00572CB5" w:rsidRPr="00C77B5B" w:rsidRDefault="00572CB5" w:rsidP="00EF4895">
            <w:pPr>
              <w:ind w:left="2"/>
              <w:rPr>
                <w:rFonts w:asciiTheme="majorHAnsi" w:eastAsia="Corbel" w:hAnsiTheme="majorHAnsi" w:cstheme="majorHAnsi"/>
              </w:rPr>
            </w:pPr>
            <w:r w:rsidRPr="00C77B5B">
              <w:rPr>
                <w:rFonts w:asciiTheme="majorHAnsi" w:eastAsia="Corbel" w:hAnsiTheme="majorHAnsi" w:cstheme="majorHAnsi"/>
              </w:rPr>
              <w:lastRenderedPageBreak/>
              <w:t>Implement recommendations from Tasmania’s Years 9-12 Review</w:t>
            </w:r>
          </w:p>
          <w:p w14:paraId="3CE89E61" w14:textId="23DA56CE" w:rsidR="00572CB5" w:rsidRPr="00C77B5B" w:rsidRDefault="00572CB5" w:rsidP="00EF4895">
            <w:pPr>
              <w:pStyle w:val="ListParagraph"/>
              <w:numPr>
                <w:ilvl w:val="0"/>
                <w:numId w:val="40"/>
              </w:numPr>
              <w:rPr>
                <w:rFonts w:asciiTheme="majorHAnsi" w:eastAsia="Corbel" w:hAnsiTheme="majorHAnsi" w:cstheme="majorHAnsi"/>
              </w:rPr>
            </w:pPr>
            <w:r w:rsidRPr="00C77B5B">
              <w:rPr>
                <w:rFonts w:asciiTheme="majorHAnsi" w:eastAsia="Corbel" w:hAnsiTheme="majorHAnsi" w:cstheme="majorHAnsi"/>
              </w:rPr>
              <w:t>Development of a curriculum framework</w:t>
            </w:r>
          </w:p>
          <w:p w14:paraId="4310D178" w14:textId="76CE98D7" w:rsidR="00572CB5" w:rsidRPr="00C77B5B" w:rsidRDefault="00572CB5" w:rsidP="00EF4895">
            <w:pPr>
              <w:pStyle w:val="ListParagraph"/>
              <w:numPr>
                <w:ilvl w:val="0"/>
                <w:numId w:val="40"/>
              </w:numPr>
              <w:rPr>
                <w:rFonts w:asciiTheme="majorHAnsi" w:eastAsia="Corbel" w:hAnsiTheme="majorHAnsi" w:cstheme="majorHAnsi"/>
              </w:rPr>
            </w:pPr>
            <w:r w:rsidRPr="00C77B5B">
              <w:rPr>
                <w:rFonts w:asciiTheme="majorHAnsi" w:eastAsia="Corbel" w:hAnsiTheme="majorHAnsi" w:cstheme="majorHAnsi"/>
              </w:rPr>
              <w:t>Revise accreditation and certification standards for completion of Year 12</w:t>
            </w:r>
          </w:p>
          <w:p w14:paraId="7740C773" w14:textId="647798B9" w:rsidR="00572CB5" w:rsidRPr="00C77B5B" w:rsidRDefault="00572CB5" w:rsidP="00EF4895">
            <w:pPr>
              <w:pStyle w:val="ListParagraph"/>
              <w:numPr>
                <w:ilvl w:val="0"/>
                <w:numId w:val="40"/>
              </w:numPr>
              <w:rPr>
                <w:rFonts w:asciiTheme="majorHAnsi" w:eastAsia="Corbel" w:hAnsiTheme="majorHAnsi" w:cstheme="majorHAnsi"/>
              </w:rPr>
            </w:pPr>
            <w:r w:rsidRPr="00C77B5B">
              <w:rPr>
                <w:rFonts w:asciiTheme="majorHAnsi" w:eastAsia="Corbel" w:hAnsiTheme="majorHAnsi" w:cstheme="majorHAnsi"/>
              </w:rPr>
              <w:t>Develop a strategic response to gaps in workforce</w:t>
            </w:r>
          </w:p>
          <w:p w14:paraId="573C192D" w14:textId="1451D64F" w:rsidR="00572CB5" w:rsidRPr="00C77B5B" w:rsidRDefault="00572CB5" w:rsidP="00EF4895">
            <w:pPr>
              <w:pStyle w:val="ListParagraph"/>
              <w:numPr>
                <w:ilvl w:val="0"/>
                <w:numId w:val="40"/>
              </w:numPr>
              <w:rPr>
                <w:rFonts w:asciiTheme="majorHAnsi" w:eastAsia="Corbel" w:hAnsiTheme="majorHAnsi" w:cstheme="majorHAnsi"/>
              </w:rPr>
            </w:pPr>
            <w:r w:rsidRPr="00C77B5B">
              <w:rPr>
                <w:rFonts w:asciiTheme="majorHAnsi" w:eastAsia="Corbel" w:hAnsiTheme="majorHAnsi" w:cstheme="majorHAnsi"/>
              </w:rPr>
              <w:t>Review of the use of senior secondary data.</w:t>
            </w:r>
          </w:p>
        </w:tc>
        <w:tc>
          <w:tcPr>
            <w:tcW w:w="1559" w:type="dxa"/>
            <w:tcBorders>
              <w:top w:val="single" w:sz="8" w:space="0" w:color="316F72"/>
              <w:left w:val="single" w:sz="8" w:space="0" w:color="316F72"/>
              <w:bottom w:val="single" w:sz="8" w:space="0" w:color="316F72"/>
              <w:right w:val="single" w:sz="8" w:space="0" w:color="316F72"/>
            </w:tcBorders>
          </w:tcPr>
          <w:p w14:paraId="379EC491" w14:textId="43D591C3" w:rsidR="00572CB5" w:rsidRPr="00C77B5B" w:rsidRDefault="00572CB5" w:rsidP="00EF4895">
            <w:pPr>
              <w:ind w:left="2"/>
              <w:rPr>
                <w:rFonts w:asciiTheme="majorHAnsi" w:hAnsiTheme="majorHAnsi" w:cstheme="majorHAnsi"/>
              </w:rPr>
            </w:pPr>
            <w:r w:rsidRPr="00C77B5B">
              <w:rPr>
                <w:rFonts w:asciiTheme="majorHAnsi" w:hAnsiTheme="majorHAnsi" w:cstheme="majorHAnsi"/>
              </w:rPr>
              <w:t>All sectors / Government</w:t>
            </w:r>
          </w:p>
        </w:tc>
        <w:tc>
          <w:tcPr>
            <w:tcW w:w="1134" w:type="dxa"/>
            <w:tcBorders>
              <w:top w:val="single" w:sz="8" w:space="0" w:color="316F72"/>
              <w:left w:val="single" w:sz="8" w:space="0" w:color="316F72"/>
              <w:bottom w:val="single" w:sz="8" w:space="0" w:color="316F72"/>
              <w:right w:val="single" w:sz="8" w:space="0" w:color="316F72"/>
            </w:tcBorders>
          </w:tcPr>
          <w:p w14:paraId="60E7B3C2" w14:textId="1A732992" w:rsidR="00572CB5" w:rsidRPr="00C77B5B" w:rsidRDefault="00572CB5" w:rsidP="00EF4895">
            <w:pPr>
              <w:ind w:left="2"/>
              <w:rPr>
                <w:rFonts w:asciiTheme="majorHAnsi" w:hAnsiTheme="majorHAnsi" w:cstheme="majorHAnsi"/>
              </w:rPr>
            </w:pPr>
            <w:r w:rsidRPr="00C77B5B">
              <w:rPr>
                <w:rFonts w:asciiTheme="majorHAnsi" w:eastAsia="Arial" w:hAnsiTheme="majorHAnsi" w:cstheme="majorHAnsi"/>
              </w:rPr>
              <w:t>From 2019</w:t>
            </w:r>
          </w:p>
        </w:tc>
        <w:tc>
          <w:tcPr>
            <w:tcW w:w="6946" w:type="dxa"/>
            <w:tcBorders>
              <w:top w:val="single" w:sz="8" w:space="0" w:color="316F72"/>
              <w:left w:val="single" w:sz="8" w:space="0" w:color="316F72"/>
              <w:bottom w:val="single" w:sz="8" w:space="0" w:color="316F72"/>
              <w:right w:val="single" w:sz="8" w:space="0" w:color="316F72"/>
            </w:tcBorders>
          </w:tcPr>
          <w:p w14:paraId="063611CC" w14:textId="09C743A1" w:rsidR="00DE31B2" w:rsidRPr="00C77B5B" w:rsidRDefault="00DE31B2" w:rsidP="00C77B5B">
            <w:pPr>
              <w:pStyle w:val="Heading3"/>
            </w:pPr>
            <w:r w:rsidRPr="00C77B5B">
              <w:t>Tasmanian Department of Education</w:t>
            </w:r>
          </w:p>
          <w:p w14:paraId="4C483933" w14:textId="6D33E18A" w:rsidR="00887E05" w:rsidRPr="00C77B5B" w:rsidRDefault="00C77B5B" w:rsidP="00887E05">
            <w:pPr>
              <w:ind w:left="2"/>
              <w:rPr>
                <w:rFonts w:asciiTheme="majorHAnsi" w:hAnsiTheme="majorHAnsi" w:cstheme="majorHAnsi"/>
                <w:b/>
                <w:bCs/>
              </w:rPr>
            </w:pPr>
            <w:r>
              <w:rPr>
                <w:rFonts w:asciiTheme="majorHAnsi" w:hAnsiTheme="majorHAnsi" w:cstheme="majorHAnsi"/>
                <w:b/>
                <w:bCs/>
              </w:rPr>
              <w:t>In progress</w:t>
            </w:r>
          </w:p>
          <w:p w14:paraId="7BE23066" w14:textId="4A697F5F" w:rsidR="00572CB5" w:rsidRPr="00C77B5B" w:rsidRDefault="00572CB5" w:rsidP="009B7163">
            <w:pPr>
              <w:ind w:left="2"/>
              <w:rPr>
                <w:rFonts w:asciiTheme="majorHAnsi" w:hAnsiTheme="majorHAnsi" w:cstheme="majorHAnsi"/>
              </w:rPr>
            </w:pPr>
            <w:r w:rsidRPr="00C77B5B">
              <w:rPr>
                <w:rFonts w:asciiTheme="majorHAnsi" w:hAnsiTheme="majorHAnsi" w:cstheme="majorHAnsi"/>
              </w:rPr>
              <w:t xml:space="preserve">Tasmania’s </w:t>
            </w:r>
            <w:hyperlink r:id="rId13" w:history="1">
              <w:r w:rsidRPr="00C77B5B">
                <w:rPr>
                  <w:rStyle w:val="Hyperlink"/>
                  <w:rFonts w:asciiTheme="majorHAnsi" w:hAnsiTheme="majorHAnsi" w:cstheme="majorHAnsi"/>
                </w:rPr>
                <w:t>Years 9 to 12 Curriculum Framework</w:t>
              </w:r>
            </w:hyperlink>
            <w:r w:rsidRPr="00C77B5B">
              <w:rPr>
                <w:rFonts w:asciiTheme="majorHAnsi" w:hAnsiTheme="majorHAnsi" w:cstheme="majorHAnsi"/>
              </w:rPr>
              <w:t xml:space="preserve"> was developed in 2019 through a multi-stage consultation targeting teacher, community, and student voice.</w:t>
            </w:r>
          </w:p>
          <w:p w14:paraId="184C70A8" w14:textId="4C070B66" w:rsidR="00EF279D" w:rsidRPr="00C77B5B" w:rsidRDefault="00572CB5" w:rsidP="00336934">
            <w:pPr>
              <w:rPr>
                <w:rFonts w:asciiTheme="majorHAnsi" w:hAnsiTheme="majorHAnsi" w:cstheme="majorHAnsi"/>
              </w:rPr>
            </w:pPr>
            <w:r w:rsidRPr="00C77B5B">
              <w:rPr>
                <w:rFonts w:asciiTheme="majorHAnsi" w:hAnsiTheme="majorHAnsi" w:cstheme="majorHAnsi"/>
              </w:rPr>
              <w:t>The</w:t>
            </w:r>
            <w:r w:rsidRPr="00C77B5B">
              <w:rPr>
                <w:rFonts w:asciiTheme="majorHAnsi" w:hAnsiTheme="majorHAnsi" w:cstheme="majorHAnsi"/>
                <w:color w:val="1F497D"/>
              </w:rPr>
              <w:t xml:space="preserve"> </w:t>
            </w:r>
            <w:hyperlink r:id="rId14" w:history="1">
              <w:r w:rsidRPr="00C77B5B">
                <w:rPr>
                  <w:rStyle w:val="Hyperlink"/>
                  <w:rFonts w:asciiTheme="majorHAnsi" w:hAnsiTheme="majorHAnsi" w:cstheme="majorHAnsi"/>
                </w:rPr>
                <w:t>Senior Secondary Accreditation Framework</w:t>
              </w:r>
            </w:hyperlink>
            <w:r w:rsidRPr="00C77B5B">
              <w:rPr>
                <w:rFonts w:asciiTheme="majorHAnsi" w:hAnsiTheme="majorHAnsi" w:cstheme="majorHAnsi"/>
                <w:color w:val="1F497D"/>
              </w:rPr>
              <w:t xml:space="preserve"> </w:t>
            </w:r>
            <w:r w:rsidRPr="00C77B5B">
              <w:rPr>
                <w:rFonts w:asciiTheme="majorHAnsi" w:hAnsiTheme="majorHAnsi" w:cstheme="majorHAnsi"/>
              </w:rPr>
              <w:t xml:space="preserve">was </w:t>
            </w:r>
            <w:r w:rsidR="00A07BC8" w:rsidRPr="00C77B5B">
              <w:rPr>
                <w:rFonts w:asciiTheme="majorHAnsi" w:hAnsiTheme="majorHAnsi" w:cstheme="majorHAnsi"/>
              </w:rPr>
              <w:t>developed</w:t>
            </w:r>
            <w:r w:rsidRPr="00C77B5B">
              <w:rPr>
                <w:rFonts w:asciiTheme="majorHAnsi" w:hAnsiTheme="majorHAnsi" w:cstheme="majorHAnsi"/>
              </w:rPr>
              <w:t xml:space="preserve"> in 2019</w:t>
            </w:r>
            <w:r w:rsidR="00A07BC8" w:rsidRPr="00C77B5B">
              <w:rPr>
                <w:rFonts w:asciiTheme="majorHAnsi" w:hAnsiTheme="majorHAnsi" w:cstheme="majorHAnsi"/>
              </w:rPr>
              <w:t>,</w:t>
            </w:r>
            <w:r w:rsidRPr="00C77B5B">
              <w:rPr>
                <w:rFonts w:asciiTheme="majorHAnsi" w:hAnsiTheme="majorHAnsi" w:cstheme="majorHAnsi"/>
              </w:rPr>
              <w:t xml:space="preserve"> outlining the priorities, standards and process for the accreditation of senior secondary courses in Tasmania.</w:t>
            </w:r>
          </w:p>
          <w:p w14:paraId="3A478DFE" w14:textId="6DBCEF7B" w:rsidR="00EF279D" w:rsidRPr="00C77B5B" w:rsidRDefault="00EF279D" w:rsidP="00C77B5B">
            <w:pPr>
              <w:pStyle w:val="Heading3"/>
            </w:pPr>
            <w:r w:rsidRPr="00C77B5B">
              <w:t>Catholic Education Tasmania</w:t>
            </w:r>
          </w:p>
          <w:p w14:paraId="7A606D0E" w14:textId="77777777" w:rsidR="00C77B5B" w:rsidRPr="00C77B5B" w:rsidRDefault="00C77B5B" w:rsidP="00C77B5B">
            <w:pPr>
              <w:rPr>
                <w:b/>
                <w:bCs/>
              </w:rPr>
            </w:pPr>
            <w:r w:rsidRPr="00C77B5B">
              <w:rPr>
                <w:b/>
                <w:bCs/>
              </w:rPr>
              <w:t>Ongoing</w:t>
            </w:r>
          </w:p>
          <w:p w14:paraId="418E4136" w14:textId="21FFFAE1" w:rsidR="00EF279D" w:rsidRPr="00C77B5B" w:rsidRDefault="00EF279D" w:rsidP="000D4BE8">
            <w:pPr>
              <w:pStyle w:val="ListParagraph"/>
              <w:numPr>
                <w:ilvl w:val="0"/>
                <w:numId w:val="56"/>
              </w:numPr>
              <w:rPr>
                <w:rFonts w:asciiTheme="majorHAnsi" w:hAnsiTheme="majorHAnsi" w:cstheme="majorHAnsi"/>
              </w:rPr>
            </w:pPr>
            <w:r w:rsidRPr="00C77B5B">
              <w:rPr>
                <w:rFonts w:asciiTheme="majorHAnsi" w:hAnsiTheme="majorHAnsi" w:cstheme="majorHAnsi"/>
              </w:rPr>
              <w:lastRenderedPageBreak/>
              <w:t>Active involvement in the LTA collaborative group for the 9-12 project.</w:t>
            </w:r>
          </w:p>
          <w:p w14:paraId="342276C6" w14:textId="77777777" w:rsidR="00767EFB" w:rsidRPr="00C77B5B" w:rsidRDefault="00EF279D" w:rsidP="000D4BE8">
            <w:pPr>
              <w:pStyle w:val="ListParagraph"/>
              <w:numPr>
                <w:ilvl w:val="0"/>
                <w:numId w:val="56"/>
              </w:numPr>
              <w:rPr>
                <w:rFonts w:asciiTheme="majorHAnsi" w:hAnsiTheme="majorHAnsi" w:cstheme="majorHAnsi"/>
              </w:rPr>
            </w:pPr>
            <w:r w:rsidRPr="00C77B5B">
              <w:rPr>
                <w:rFonts w:asciiTheme="majorHAnsi" w:hAnsiTheme="majorHAnsi" w:cstheme="majorHAnsi"/>
              </w:rPr>
              <w:t>Stage 1 of this project required TASC approval. CET representative designated to assist in the development of course outlines for TASC’s approval. Course overview has been submitted for TASC approval.</w:t>
            </w:r>
          </w:p>
          <w:p w14:paraId="2047B07F" w14:textId="2F9E0619" w:rsidR="00CA5413" w:rsidRPr="00C77B5B" w:rsidRDefault="00EF279D" w:rsidP="00C77B5B">
            <w:pPr>
              <w:pStyle w:val="ListParagraph"/>
              <w:numPr>
                <w:ilvl w:val="0"/>
                <w:numId w:val="56"/>
              </w:numPr>
              <w:rPr>
                <w:rFonts w:asciiTheme="majorHAnsi" w:hAnsiTheme="majorHAnsi" w:cstheme="majorHAnsi"/>
              </w:rPr>
            </w:pPr>
            <w:r w:rsidRPr="00C77B5B">
              <w:rPr>
                <w:rFonts w:asciiTheme="majorHAnsi" w:hAnsiTheme="majorHAnsi" w:cstheme="majorHAnsi"/>
              </w:rPr>
              <w:t>New initiative: St Thomas Aquinas’ Teaching School providing ITE in schools under a cadet teaching program.</w:t>
            </w:r>
            <w:bookmarkStart w:id="4" w:name="_Hlk50465521"/>
          </w:p>
          <w:p w14:paraId="5E8855E6" w14:textId="376FF68A" w:rsidR="00CA5413" w:rsidRPr="00C77B5B" w:rsidRDefault="00CA5413" w:rsidP="00C77B5B">
            <w:pPr>
              <w:pStyle w:val="Heading3"/>
            </w:pPr>
            <w:r w:rsidRPr="00C77B5B">
              <w:t>Independent Schools Tasmania</w:t>
            </w:r>
          </w:p>
          <w:p w14:paraId="6044B116" w14:textId="77777777" w:rsidR="00C77B5B" w:rsidRPr="00C77B5B" w:rsidRDefault="00C77B5B" w:rsidP="00C77B5B">
            <w:pPr>
              <w:rPr>
                <w:b/>
                <w:bCs/>
              </w:rPr>
            </w:pPr>
            <w:r w:rsidRPr="00C77B5B">
              <w:rPr>
                <w:b/>
                <w:bCs/>
              </w:rPr>
              <w:t>Ongoing</w:t>
            </w:r>
          </w:p>
          <w:p w14:paraId="33E80573" w14:textId="6585A0B9" w:rsidR="00CA5413" w:rsidRPr="00C77B5B" w:rsidRDefault="00CA5413" w:rsidP="00CA5413">
            <w:pPr>
              <w:rPr>
                <w:rFonts w:asciiTheme="majorHAnsi" w:hAnsiTheme="majorHAnsi" w:cstheme="majorHAnsi"/>
              </w:rPr>
            </w:pPr>
            <w:r w:rsidRPr="00C77B5B">
              <w:rPr>
                <w:rFonts w:asciiTheme="majorHAnsi" w:hAnsiTheme="majorHAnsi" w:cstheme="majorHAnsi"/>
              </w:rPr>
              <w:t xml:space="preserve">IST staff progressed and rolled-out to independent schools all recommendations from the Years 9-12 Review in the areas of curriculum and assessment, accreditation and certification, workforce development and data usage. </w:t>
            </w:r>
            <w:bookmarkEnd w:id="4"/>
            <w:r w:rsidR="00336ABD" w:rsidRPr="00C77B5B">
              <w:rPr>
                <w:rFonts w:asciiTheme="majorHAnsi" w:hAnsiTheme="majorHAnsi" w:cstheme="majorHAnsi"/>
              </w:rPr>
              <w:t xml:space="preserve">IST </w:t>
            </w:r>
            <w:r w:rsidRPr="00C77B5B">
              <w:rPr>
                <w:rFonts w:asciiTheme="majorHAnsi" w:hAnsiTheme="majorHAnsi" w:cstheme="majorHAnsi"/>
              </w:rPr>
              <w:t>also reviewed work being currently undertaken in relation to Vocational Education and Training (VET) and Vocational Learning (VL) and provided feedback on current practice to all independent schools.</w:t>
            </w:r>
          </w:p>
        </w:tc>
      </w:tr>
      <w:tr w:rsidR="00CA5413" w:rsidRPr="00C77B5B" w14:paraId="543297EC" w14:textId="77777777" w:rsidTr="0002666A">
        <w:trPr>
          <w:trHeight w:val="583"/>
        </w:trPr>
        <w:tc>
          <w:tcPr>
            <w:tcW w:w="4678" w:type="dxa"/>
            <w:tcBorders>
              <w:top w:val="single" w:sz="8" w:space="0" w:color="316F72"/>
              <w:left w:val="single" w:sz="8" w:space="0" w:color="316F72"/>
              <w:bottom w:val="single" w:sz="8" w:space="0" w:color="316F72"/>
              <w:right w:val="single" w:sz="8" w:space="0" w:color="316F72"/>
            </w:tcBorders>
            <w:vAlign w:val="center"/>
          </w:tcPr>
          <w:p w14:paraId="6ED27D1C" w14:textId="04FDA891" w:rsidR="00CA5413" w:rsidRPr="00C77B5B" w:rsidRDefault="00CA5413" w:rsidP="00CA5413">
            <w:pPr>
              <w:ind w:left="2"/>
              <w:rPr>
                <w:rFonts w:asciiTheme="majorHAnsi" w:eastAsia="Corbel" w:hAnsiTheme="majorHAnsi" w:cstheme="majorHAnsi"/>
              </w:rPr>
            </w:pPr>
            <w:r w:rsidRPr="00C77B5B">
              <w:rPr>
                <w:rFonts w:asciiTheme="majorHAnsi" w:eastAsia="Corbel" w:hAnsiTheme="majorHAnsi" w:cstheme="majorHAnsi"/>
              </w:rPr>
              <w:lastRenderedPageBreak/>
              <w:t>Implement learning progressions for literacy and numeracy to support curriculum delivery, including in the early years of schooling.</w:t>
            </w:r>
          </w:p>
        </w:tc>
        <w:tc>
          <w:tcPr>
            <w:tcW w:w="1559" w:type="dxa"/>
            <w:tcBorders>
              <w:top w:val="single" w:sz="8" w:space="0" w:color="316F72"/>
              <w:left w:val="single" w:sz="8" w:space="0" w:color="316F72"/>
              <w:bottom w:val="single" w:sz="8" w:space="0" w:color="316F72"/>
              <w:right w:val="single" w:sz="8" w:space="0" w:color="316F72"/>
            </w:tcBorders>
          </w:tcPr>
          <w:p w14:paraId="1C169CA7" w14:textId="12388298" w:rsidR="00CA5413" w:rsidRPr="00C77B5B" w:rsidRDefault="00CA5413" w:rsidP="00CA5413">
            <w:pPr>
              <w:ind w:left="2"/>
              <w:rPr>
                <w:rFonts w:asciiTheme="majorHAnsi" w:hAnsiTheme="majorHAnsi" w:cstheme="majorHAnsi"/>
              </w:rPr>
            </w:pPr>
            <w:r w:rsidRPr="00C77B5B">
              <w:rPr>
                <w:rFonts w:asciiTheme="majorHAnsi" w:hAnsiTheme="majorHAnsi" w:cstheme="majorHAnsi"/>
              </w:rPr>
              <w:t>Independent</w:t>
            </w:r>
          </w:p>
        </w:tc>
        <w:tc>
          <w:tcPr>
            <w:tcW w:w="1134" w:type="dxa"/>
            <w:tcBorders>
              <w:top w:val="single" w:sz="8" w:space="0" w:color="316F72"/>
              <w:left w:val="single" w:sz="8" w:space="0" w:color="316F72"/>
              <w:bottom w:val="single" w:sz="8" w:space="0" w:color="316F72"/>
              <w:right w:val="single" w:sz="8" w:space="0" w:color="316F72"/>
            </w:tcBorders>
          </w:tcPr>
          <w:p w14:paraId="2A84615A" w14:textId="74079DD1" w:rsidR="00CA5413" w:rsidRPr="00C77B5B" w:rsidRDefault="00CA5413" w:rsidP="00CA5413">
            <w:pPr>
              <w:ind w:left="2"/>
              <w:rPr>
                <w:rFonts w:asciiTheme="majorHAnsi" w:eastAsia="Arial" w:hAnsiTheme="majorHAnsi" w:cstheme="majorHAnsi"/>
              </w:rPr>
            </w:pPr>
            <w:r w:rsidRPr="00C77B5B">
              <w:rPr>
                <w:rFonts w:asciiTheme="majorHAnsi" w:eastAsia="Arial" w:hAnsiTheme="majorHAnsi" w:cstheme="majorHAnsi"/>
              </w:rPr>
              <w:t>2019</w:t>
            </w:r>
          </w:p>
        </w:tc>
        <w:tc>
          <w:tcPr>
            <w:tcW w:w="6946" w:type="dxa"/>
            <w:tcBorders>
              <w:top w:val="single" w:sz="8" w:space="0" w:color="316F72"/>
              <w:left w:val="single" w:sz="8" w:space="0" w:color="316F72"/>
              <w:bottom w:val="single" w:sz="8" w:space="0" w:color="316F72"/>
              <w:right w:val="single" w:sz="8" w:space="0" w:color="316F72"/>
            </w:tcBorders>
          </w:tcPr>
          <w:p w14:paraId="69E58360" w14:textId="77777777" w:rsidR="00CA5413" w:rsidRPr="00C77B5B" w:rsidRDefault="00CA5413" w:rsidP="00C77B5B">
            <w:pPr>
              <w:pStyle w:val="Heading3"/>
            </w:pPr>
            <w:r w:rsidRPr="00C77B5B">
              <w:t>Independent Schools Tasmania</w:t>
            </w:r>
          </w:p>
          <w:p w14:paraId="464A94B3" w14:textId="77777777" w:rsidR="00C77B5B" w:rsidRPr="00C77B5B" w:rsidRDefault="00C77B5B" w:rsidP="00C77B5B">
            <w:pPr>
              <w:rPr>
                <w:b/>
                <w:bCs/>
              </w:rPr>
            </w:pPr>
            <w:r w:rsidRPr="00C77B5B">
              <w:rPr>
                <w:b/>
                <w:bCs/>
              </w:rPr>
              <w:t>Ongoing</w:t>
            </w:r>
          </w:p>
          <w:p w14:paraId="33977364" w14:textId="5C5CAA39" w:rsidR="000D1E25" w:rsidRPr="00C77B5B" w:rsidRDefault="00CA5413" w:rsidP="00C77B5B">
            <w:pPr>
              <w:rPr>
                <w:rFonts w:asciiTheme="majorHAnsi" w:hAnsiTheme="majorHAnsi" w:cstheme="majorHAnsi"/>
              </w:rPr>
            </w:pPr>
            <w:r w:rsidRPr="00C77B5B">
              <w:rPr>
                <w:rFonts w:asciiTheme="majorHAnsi" w:hAnsiTheme="majorHAnsi" w:cstheme="majorHAnsi"/>
              </w:rPr>
              <w:t xml:space="preserve">Through targeted PL opportunities, IST promoted and disseminated evidence-based tools, resources and information to independent schools </w:t>
            </w:r>
            <w:r w:rsidRPr="00C77B5B">
              <w:rPr>
                <w:rFonts w:asciiTheme="majorHAnsi" w:hAnsiTheme="majorHAnsi" w:cstheme="majorHAnsi"/>
              </w:rPr>
              <w:lastRenderedPageBreak/>
              <w:t xml:space="preserve">to assist early childhood education providers, primary and secondary schools to implement best practice approaches to supporting parents to engage in their children's learning throughout their education. IST staff provided targeted PL and </w:t>
            </w:r>
            <w:r w:rsidR="00336ABD" w:rsidRPr="00C77B5B">
              <w:rPr>
                <w:rFonts w:asciiTheme="majorHAnsi" w:hAnsiTheme="majorHAnsi" w:cstheme="majorHAnsi"/>
              </w:rPr>
              <w:t xml:space="preserve">offered </w:t>
            </w:r>
            <w:r w:rsidRPr="00C77B5B">
              <w:rPr>
                <w:rFonts w:asciiTheme="majorHAnsi" w:hAnsiTheme="majorHAnsi" w:cstheme="majorHAnsi"/>
              </w:rPr>
              <w:t xml:space="preserve">support to </w:t>
            </w:r>
            <w:r w:rsidR="00336ABD" w:rsidRPr="00C77B5B">
              <w:rPr>
                <w:rFonts w:asciiTheme="majorHAnsi" w:hAnsiTheme="majorHAnsi" w:cstheme="majorHAnsi"/>
              </w:rPr>
              <w:t xml:space="preserve">100% of </w:t>
            </w:r>
            <w:r w:rsidRPr="00C77B5B">
              <w:rPr>
                <w:rFonts w:asciiTheme="majorHAnsi" w:hAnsiTheme="majorHAnsi" w:cstheme="majorHAnsi"/>
              </w:rPr>
              <w:t>schools to prioritise the implementation of learning progressions for literacy and numeracy in curriculum delivery in the early years of schooling to ensure the core foundations for learning were developed by age eight.</w:t>
            </w:r>
          </w:p>
        </w:tc>
      </w:tr>
      <w:tr w:rsidR="00CA5413" w:rsidRPr="00C77B5B" w14:paraId="2C6C1B49" w14:textId="77777777" w:rsidTr="0002666A">
        <w:trPr>
          <w:trHeight w:val="583"/>
        </w:trPr>
        <w:tc>
          <w:tcPr>
            <w:tcW w:w="4678" w:type="dxa"/>
            <w:tcBorders>
              <w:top w:val="single" w:sz="8" w:space="0" w:color="316F72"/>
              <w:left w:val="single" w:sz="8" w:space="0" w:color="316F72"/>
              <w:bottom w:val="single" w:sz="8" w:space="0" w:color="316F72"/>
              <w:right w:val="single" w:sz="8" w:space="0" w:color="316F72"/>
            </w:tcBorders>
            <w:vAlign w:val="center"/>
          </w:tcPr>
          <w:p w14:paraId="27370406" w14:textId="77777777" w:rsidR="00CA5413" w:rsidRPr="00C77B5B" w:rsidRDefault="00CA5413" w:rsidP="00CA5413">
            <w:pPr>
              <w:ind w:left="2"/>
              <w:rPr>
                <w:rFonts w:asciiTheme="majorHAnsi" w:eastAsia="Corbel" w:hAnsiTheme="majorHAnsi" w:cstheme="majorHAnsi"/>
              </w:rPr>
            </w:pPr>
            <w:r w:rsidRPr="00C77B5B">
              <w:rPr>
                <w:rFonts w:asciiTheme="majorHAnsi" w:eastAsia="Corbel" w:hAnsiTheme="majorHAnsi" w:cstheme="majorHAnsi"/>
              </w:rPr>
              <w:lastRenderedPageBreak/>
              <w:t>Provide opportunities and encourage access to professional learning and networking for school leaders to improve</w:t>
            </w:r>
          </w:p>
          <w:p w14:paraId="6DE6BE5C" w14:textId="04A21CCB" w:rsidR="00CA5413" w:rsidRPr="00C77B5B" w:rsidRDefault="00CA5413" w:rsidP="00CA5413">
            <w:pPr>
              <w:ind w:left="2"/>
              <w:rPr>
                <w:rFonts w:asciiTheme="majorHAnsi" w:eastAsia="Corbel" w:hAnsiTheme="majorHAnsi" w:cstheme="majorHAnsi"/>
              </w:rPr>
            </w:pPr>
            <w:r w:rsidRPr="00C77B5B">
              <w:rPr>
                <w:rFonts w:asciiTheme="majorHAnsi" w:eastAsia="Corbel" w:hAnsiTheme="majorHAnsi" w:cstheme="majorHAnsi"/>
              </w:rPr>
              <w:t>performance and capabilities in alignment with AITSL standards.</w:t>
            </w:r>
          </w:p>
        </w:tc>
        <w:tc>
          <w:tcPr>
            <w:tcW w:w="1559" w:type="dxa"/>
            <w:tcBorders>
              <w:top w:val="single" w:sz="8" w:space="0" w:color="316F72"/>
              <w:left w:val="single" w:sz="8" w:space="0" w:color="316F72"/>
              <w:bottom w:val="single" w:sz="8" w:space="0" w:color="316F72"/>
              <w:right w:val="single" w:sz="8" w:space="0" w:color="316F72"/>
            </w:tcBorders>
          </w:tcPr>
          <w:p w14:paraId="4821C6A2" w14:textId="5A375D94" w:rsidR="00CA5413" w:rsidRPr="00C77B5B" w:rsidRDefault="00CA5413" w:rsidP="00CA5413">
            <w:pPr>
              <w:ind w:left="2"/>
              <w:rPr>
                <w:rFonts w:asciiTheme="majorHAnsi" w:hAnsiTheme="majorHAnsi" w:cstheme="majorHAnsi"/>
              </w:rPr>
            </w:pPr>
            <w:r w:rsidRPr="00C77B5B">
              <w:rPr>
                <w:rFonts w:asciiTheme="majorHAnsi" w:hAnsiTheme="majorHAnsi" w:cstheme="majorHAnsi"/>
              </w:rPr>
              <w:t>Independent</w:t>
            </w:r>
          </w:p>
        </w:tc>
        <w:tc>
          <w:tcPr>
            <w:tcW w:w="1134" w:type="dxa"/>
            <w:tcBorders>
              <w:top w:val="single" w:sz="8" w:space="0" w:color="316F72"/>
              <w:left w:val="single" w:sz="8" w:space="0" w:color="316F72"/>
              <w:bottom w:val="single" w:sz="8" w:space="0" w:color="316F72"/>
              <w:right w:val="single" w:sz="8" w:space="0" w:color="316F72"/>
            </w:tcBorders>
          </w:tcPr>
          <w:p w14:paraId="52CE0E64" w14:textId="190DDBB2" w:rsidR="00CA5413" w:rsidRPr="00C77B5B" w:rsidRDefault="00CA5413" w:rsidP="00CA5413">
            <w:pPr>
              <w:ind w:left="2"/>
              <w:rPr>
                <w:rFonts w:asciiTheme="majorHAnsi" w:eastAsia="Arial" w:hAnsiTheme="majorHAnsi" w:cstheme="majorHAnsi"/>
              </w:rPr>
            </w:pPr>
            <w:r w:rsidRPr="00C77B5B">
              <w:rPr>
                <w:rFonts w:asciiTheme="majorHAnsi" w:eastAsia="Arial" w:hAnsiTheme="majorHAnsi" w:cstheme="majorHAnsi"/>
              </w:rPr>
              <w:t>Ongoing</w:t>
            </w:r>
          </w:p>
        </w:tc>
        <w:tc>
          <w:tcPr>
            <w:tcW w:w="6946" w:type="dxa"/>
            <w:tcBorders>
              <w:top w:val="single" w:sz="8" w:space="0" w:color="316F72"/>
              <w:left w:val="single" w:sz="8" w:space="0" w:color="316F72"/>
              <w:bottom w:val="single" w:sz="8" w:space="0" w:color="316F72"/>
              <w:right w:val="single" w:sz="8" w:space="0" w:color="316F72"/>
            </w:tcBorders>
          </w:tcPr>
          <w:p w14:paraId="3BB936C4" w14:textId="77777777" w:rsidR="00CA5413" w:rsidRPr="00C77B5B" w:rsidRDefault="00CA5413" w:rsidP="00C77B5B">
            <w:pPr>
              <w:pStyle w:val="Heading3"/>
            </w:pPr>
            <w:r w:rsidRPr="00C77B5B">
              <w:t>Independent Schools Tasmania</w:t>
            </w:r>
          </w:p>
          <w:p w14:paraId="69FB2EF0" w14:textId="77777777" w:rsidR="00C77B5B" w:rsidRPr="00C77B5B" w:rsidRDefault="00C77B5B" w:rsidP="00C77B5B">
            <w:pPr>
              <w:rPr>
                <w:b/>
                <w:bCs/>
              </w:rPr>
            </w:pPr>
            <w:r w:rsidRPr="00C77B5B">
              <w:rPr>
                <w:b/>
                <w:bCs/>
              </w:rPr>
              <w:t>Ongoing</w:t>
            </w:r>
          </w:p>
          <w:p w14:paraId="460AEE7D" w14:textId="64448C0B" w:rsidR="000D1E25" w:rsidRPr="00C77B5B" w:rsidRDefault="00CA5413" w:rsidP="00C77B5B">
            <w:pPr>
              <w:rPr>
                <w:rFonts w:asciiTheme="majorHAnsi" w:hAnsiTheme="majorHAnsi" w:cstheme="majorHAnsi"/>
              </w:rPr>
            </w:pPr>
            <w:r w:rsidRPr="00C77B5B">
              <w:rPr>
                <w:rFonts w:asciiTheme="majorHAnsi" w:hAnsiTheme="majorHAnsi" w:cstheme="majorHAnsi"/>
              </w:rPr>
              <w:t xml:space="preserve">IST informed and encouraged independent school leaders to access a variety of professional learning (PL) opportunities appropriate to their career stage and development needs and recognised and harnessed the skills and experience of high performing principals by enabling them to share their expertise across and throughout the sector. </w:t>
            </w:r>
            <w:bookmarkStart w:id="5" w:name="_Hlk50465449"/>
            <w:r w:rsidRPr="00C77B5B">
              <w:rPr>
                <w:rFonts w:asciiTheme="majorHAnsi" w:hAnsiTheme="majorHAnsi" w:cstheme="majorHAnsi"/>
              </w:rPr>
              <w:t xml:space="preserve">IST developed 7 PL courses in Tasmania for educational leaders prior to December 2019. </w:t>
            </w:r>
            <w:bookmarkEnd w:id="5"/>
            <w:r w:rsidRPr="00C77B5B">
              <w:rPr>
                <w:rFonts w:asciiTheme="majorHAnsi" w:hAnsiTheme="majorHAnsi" w:cstheme="majorHAnsi"/>
              </w:rPr>
              <w:t xml:space="preserve">This objective was also achieved through adoption of the IsConnect suite of offerings, as created by </w:t>
            </w:r>
            <w:r w:rsidR="00292511" w:rsidRPr="00C77B5B">
              <w:rPr>
                <w:rFonts w:asciiTheme="majorHAnsi" w:hAnsiTheme="majorHAnsi" w:cstheme="majorHAnsi"/>
              </w:rPr>
              <w:t xml:space="preserve">Independent Schools Victoria </w:t>
            </w:r>
            <w:r w:rsidRPr="00C77B5B">
              <w:rPr>
                <w:rFonts w:asciiTheme="majorHAnsi" w:hAnsiTheme="majorHAnsi" w:cstheme="majorHAnsi"/>
              </w:rPr>
              <w:t>and offered to all Tasmanian independent schools.</w:t>
            </w:r>
          </w:p>
        </w:tc>
      </w:tr>
      <w:tr w:rsidR="00EF279D" w:rsidRPr="00C77B5B" w14:paraId="140867BA" w14:textId="77777777" w:rsidTr="00D60BAF">
        <w:trPr>
          <w:trHeight w:val="583"/>
        </w:trPr>
        <w:tc>
          <w:tcPr>
            <w:tcW w:w="4678" w:type="dxa"/>
            <w:tcBorders>
              <w:top w:val="single" w:sz="8" w:space="0" w:color="316F72"/>
              <w:left w:val="single" w:sz="8" w:space="0" w:color="316F72"/>
              <w:bottom w:val="single" w:sz="8" w:space="0" w:color="316F72"/>
              <w:right w:val="single" w:sz="8" w:space="0" w:color="316F72"/>
            </w:tcBorders>
            <w:vAlign w:val="center"/>
          </w:tcPr>
          <w:p w14:paraId="6E13499F" w14:textId="5940B7BF" w:rsidR="00EF279D" w:rsidRPr="00C77B5B" w:rsidRDefault="00EF279D">
            <w:pPr>
              <w:ind w:left="2"/>
              <w:rPr>
                <w:rFonts w:asciiTheme="majorHAnsi" w:eastAsia="Corbel" w:hAnsiTheme="majorHAnsi" w:cstheme="majorHAnsi"/>
              </w:rPr>
            </w:pPr>
            <w:r w:rsidRPr="00C77B5B">
              <w:rPr>
                <w:rFonts w:asciiTheme="majorHAnsi" w:eastAsia="Corbel" w:hAnsiTheme="majorHAnsi" w:cstheme="majorHAnsi"/>
              </w:rPr>
              <w:t>Collaboration with schools and colleges to establish uniform feedback and reporting to ACARA standards and progressions.</w:t>
            </w:r>
          </w:p>
        </w:tc>
        <w:tc>
          <w:tcPr>
            <w:tcW w:w="1559" w:type="dxa"/>
            <w:tcBorders>
              <w:top w:val="single" w:sz="8" w:space="0" w:color="316F72"/>
              <w:left w:val="single" w:sz="8" w:space="0" w:color="316F72"/>
              <w:bottom w:val="single" w:sz="8" w:space="0" w:color="316F72"/>
              <w:right w:val="single" w:sz="8" w:space="0" w:color="316F72"/>
            </w:tcBorders>
          </w:tcPr>
          <w:p w14:paraId="74FC440E" w14:textId="22D5FE6B" w:rsidR="00EF279D" w:rsidRPr="00C77B5B" w:rsidRDefault="00EF279D" w:rsidP="00EF279D">
            <w:pPr>
              <w:ind w:left="2"/>
              <w:rPr>
                <w:rFonts w:asciiTheme="majorHAnsi" w:hAnsiTheme="majorHAnsi" w:cstheme="majorHAnsi"/>
              </w:rPr>
            </w:pPr>
            <w:r w:rsidRPr="00C77B5B">
              <w:rPr>
                <w:rFonts w:asciiTheme="majorHAnsi" w:eastAsia="Corbel" w:hAnsiTheme="majorHAnsi" w:cstheme="majorHAnsi"/>
              </w:rPr>
              <w:t>Catholic</w:t>
            </w:r>
          </w:p>
        </w:tc>
        <w:tc>
          <w:tcPr>
            <w:tcW w:w="1134" w:type="dxa"/>
            <w:tcBorders>
              <w:top w:val="single" w:sz="8" w:space="0" w:color="316F72"/>
              <w:left w:val="single" w:sz="8" w:space="0" w:color="316F72"/>
              <w:bottom w:val="single" w:sz="8" w:space="0" w:color="316F72"/>
              <w:right w:val="single" w:sz="8" w:space="0" w:color="316F72"/>
            </w:tcBorders>
          </w:tcPr>
          <w:p w14:paraId="0CCBD17D" w14:textId="4A3D19B7" w:rsidR="00EF279D" w:rsidRPr="00C77B5B" w:rsidRDefault="00EF279D" w:rsidP="00EF279D">
            <w:pPr>
              <w:ind w:left="2"/>
              <w:rPr>
                <w:rFonts w:asciiTheme="majorHAnsi" w:eastAsia="Arial" w:hAnsiTheme="majorHAnsi" w:cstheme="majorHAnsi"/>
              </w:rPr>
            </w:pPr>
            <w:r w:rsidRPr="00C77B5B">
              <w:rPr>
                <w:rFonts w:asciiTheme="majorHAnsi" w:eastAsia="Corbel" w:hAnsiTheme="majorHAnsi" w:cstheme="majorHAnsi"/>
              </w:rPr>
              <w:t xml:space="preserve">2019 </w:t>
            </w:r>
          </w:p>
        </w:tc>
        <w:tc>
          <w:tcPr>
            <w:tcW w:w="6946" w:type="dxa"/>
            <w:tcBorders>
              <w:top w:val="single" w:sz="8" w:space="0" w:color="316F72"/>
              <w:left w:val="single" w:sz="8" w:space="0" w:color="316F72"/>
              <w:bottom w:val="single" w:sz="8" w:space="0" w:color="316F72"/>
              <w:right w:val="single" w:sz="8" w:space="0" w:color="316F72"/>
            </w:tcBorders>
          </w:tcPr>
          <w:p w14:paraId="42FEF25C" w14:textId="66B0E895" w:rsidR="00EF279D" w:rsidRPr="00C77B5B" w:rsidRDefault="00C77B5B" w:rsidP="00EF279D">
            <w:pPr>
              <w:pStyle w:val="NormalWeb"/>
              <w:shd w:val="clear" w:color="auto" w:fill="FFFFFF"/>
              <w:spacing w:before="0" w:beforeAutospacing="0" w:after="0" w:afterAutospacing="0"/>
              <w:rPr>
                <w:rFonts w:asciiTheme="majorHAnsi" w:hAnsiTheme="majorHAnsi" w:cstheme="majorHAnsi"/>
                <w:b/>
                <w:color w:val="000000" w:themeColor="text1"/>
                <w:szCs w:val="22"/>
              </w:rPr>
            </w:pPr>
            <w:r>
              <w:rPr>
                <w:rFonts w:asciiTheme="majorHAnsi" w:hAnsiTheme="majorHAnsi" w:cstheme="majorHAnsi"/>
                <w:b/>
                <w:color w:val="000000" w:themeColor="text1"/>
                <w:szCs w:val="22"/>
              </w:rPr>
              <w:t>In Progress</w:t>
            </w:r>
          </w:p>
          <w:p w14:paraId="13CE618C" w14:textId="1DE3B0B6" w:rsidR="00EF279D" w:rsidRPr="00C77B5B" w:rsidRDefault="00EF279D" w:rsidP="00EF279D">
            <w:pPr>
              <w:pStyle w:val="NormalWeb"/>
              <w:shd w:val="clear" w:color="auto" w:fill="FFFFFF"/>
              <w:spacing w:before="0" w:beforeAutospacing="0" w:after="0" w:afterAutospacing="0"/>
              <w:rPr>
                <w:rFonts w:asciiTheme="majorHAnsi" w:hAnsiTheme="majorHAnsi" w:cstheme="majorHAnsi"/>
                <w:bCs/>
                <w:color w:val="000000" w:themeColor="text1"/>
                <w:szCs w:val="22"/>
              </w:rPr>
            </w:pPr>
            <w:r w:rsidRPr="00C77B5B">
              <w:rPr>
                <w:rFonts w:asciiTheme="majorHAnsi" w:hAnsiTheme="majorHAnsi" w:cstheme="majorHAnsi"/>
                <w:bCs/>
                <w:color w:val="000000" w:themeColor="text1"/>
                <w:szCs w:val="22"/>
              </w:rPr>
              <w:t xml:space="preserve">A CET Pedagogy, Assessment, Feedback and Reporting Review (PAFARR) Project Team has been set up to contribute to improving the learning outcomes of all Tasmanian students. The project will identify best practice </w:t>
            </w:r>
            <w:r w:rsidRPr="00C77B5B">
              <w:rPr>
                <w:rFonts w:asciiTheme="majorHAnsi" w:hAnsiTheme="majorHAnsi" w:cstheme="majorHAnsi"/>
                <w:bCs/>
                <w:color w:val="000000" w:themeColor="text1"/>
                <w:szCs w:val="22"/>
              </w:rPr>
              <w:lastRenderedPageBreak/>
              <w:t xml:space="preserve">in planning for learning, collaboration, pedagogy, assessment, feedback and reporting with a view to system-wide implementation. </w:t>
            </w:r>
            <w:r w:rsidRPr="00C77B5B">
              <w:rPr>
                <w:rFonts w:asciiTheme="majorHAnsi" w:hAnsiTheme="majorHAnsi" w:cstheme="majorHAnsi"/>
                <w:color w:val="000000" w:themeColor="text1"/>
                <w:szCs w:val="22"/>
              </w:rPr>
              <w:t>Responsibilities to include:</w:t>
            </w:r>
          </w:p>
          <w:p w14:paraId="6F80EC4E" w14:textId="77777777" w:rsidR="00EF279D" w:rsidRPr="00C77B5B" w:rsidRDefault="00EF279D" w:rsidP="000D4BE8">
            <w:pPr>
              <w:pStyle w:val="ListParagraph"/>
              <w:numPr>
                <w:ilvl w:val="0"/>
                <w:numId w:val="56"/>
              </w:numPr>
              <w:rPr>
                <w:rFonts w:asciiTheme="majorHAnsi" w:hAnsiTheme="majorHAnsi" w:cstheme="majorHAnsi"/>
              </w:rPr>
            </w:pPr>
            <w:r w:rsidRPr="00C77B5B">
              <w:rPr>
                <w:rFonts w:asciiTheme="majorHAnsi" w:hAnsiTheme="majorHAnsi" w:cstheme="majorHAnsi"/>
              </w:rPr>
              <w:t>Undertake a review of pedagogical best practice in assessment, feedback and reporting; </w:t>
            </w:r>
          </w:p>
          <w:p w14:paraId="3FF6723C" w14:textId="77777777" w:rsidR="00EF279D" w:rsidRPr="00C77B5B" w:rsidRDefault="00EF279D" w:rsidP="000D4BE8">
            <w:pPr>
              <w:pStyle w:val="ListParagraph"/>
              <w:numPr>
                <w:ilvl w:val="0"/>
                <w:numId w:val="56"/>
              </w:numPr>
              <w:rPr>
                <w:rFonts w:asciiTheme="majorHAnsi" w:hAnsiTheme="majorHAnsi" w:cstheme="majorHAnsi"/>
              </w:rPr>
            </w:pPr>
            <w:r w:rsidRPr="00C77B5B">
              <w:rPr>
                <w:rFonts w:asciiTheme="majorHAnsi" w:hAnsiTheme="majorHAnsi" w:cstheme="majorHAnsi"/>
              </w:rPr>
              <w:t>Identify current CET school practices in pedagogy, assessment, feedback, and reporting;</w:t>
            </w:r>
          </w:p>
          <w:p w14:paraId="6C89320C" w14:textId="77777777" w:rsidR="00EF279D" w:rsidRPr="00C77B5B" w:rsidRDefault="00EF279D" w:rsidP="000D4BE8">
            <w:pPr>
              <w:pStyle w:val="ListParagraph"/>
              <w:numPr>
                <w:ilvl w:val="0"/>
                <w:numId w:val="56"/>
              </w:numPr>
              <w:rPr>
                <w:rFonts w:asciiTheme="majorHAnsi" w:hAnsiTheme="majorHAnsi" w:cstheme="majorHAnsi"/>
              </w:rPr>
            </w:pPr>
            <w:r w:rsidRPr="00C77B5B">
              <w:rPr>
                <w:rFonts w:asciiTheme="majorHAnsi" w:hAnsiTheme="majorHAnsi" w:cstheme="majorHAnsi"/>
              </w:rPr>
              <w:t>Provide recommendations to leadership and CET schools and colleges; </w:t>
            </w:r>
          </w:p>
          <w:p w14:paraId="02305A64" w14:textId="5BC6DC8A" w:rsidR="0080390E" w:rsidRPr="00C77B5B" w:rsidRDefault="00EF279D" w:rsidP="000D4BE8">
            <w:pPr>
              <w:pStyle w:val="ListParagraph"/>
              <w:numPr>
                <w:ilvl w:val="0"/>
                <w:numId w:val="56"/>
              </w:numPr>
              <w:rPr>
                <w:rFonts w:asciiTheme="majorHAnsi" w:eastAsia="Corbel" w:hAnsiTheme="majorHAnsi" w:cstheme="majorHAnsi"/>
                <w:i/>
                <w:iCs/>
              </w:rPr>
            </w:pPr>
            <w:r w:rsidRPr="00C77B5B">
              <w:rPr>
                <w:rFonts w:asciiTheme="majorHAnsi" w:hAnsiTheme="majorHAnsi" w:cstheme="majorHAnsi"/>
              </w:rPr>
              <w:t>Share findings and recommendations with Tasmanian cross-sectoral partners.</w:t>
            </w:r>
            <w:r w:rsidRPr="00C77B5B">
              <w:rPr>
                <w:rFonts w:asciiTheme="majorHAnsi" w:hAnsiTheme="majorHAnsi" w:cstheme="majorHAnsi"/>
                <w:color w:val="000000" w:themeColor="text1"/>
              </w:rPr>
              <w:t xml:space="preserve"> </w:t>
            </w:r>
          </w:p>
        </w:tc>
      </w:tr>
      <w:tr w:rsidR="00EF279D" w:rsidRPr="00C77B5B" w14:paraId="34C6BD0C" w14:textId="77777777" w:rsidTr="00D60BAF">
        <w:trPr>
          <w:trHeight w:val="583"/>
        </w:trPr>
        <w:tc>
          <w:tcPr>
            <w:tcW w:w="4678" w:type="dxa"/>
            <w:tcBorders>
              <w:top w:val="single" w:sz="8" w:space="0" w:color="316F72"/>
              <w:left w:val="single" w:sz="8" w:space="0" w:color="316F72"/>
              <w:bottom w:val="single" w:sz="8" w:space="0" w:color="316F72"/>
              <w:right w:val="single" w:sz="8" w:space="0" w:color="316F72"/>
            </w:tcBorders>
            <w:vAlign w:val="center"/>
          </w:tcPr>
          <w:p w14:paraId="2F294424" w14:textId="23D8917F" w:rsidR="00EF279D" w:rsidRPr="00C77B5B" w:rsidRDefault="00EF279D">
            <w:pPr>
              <w:ind w:left="2"/>
              <w:rPr>
                <w:rFonts w:asciiTheme="majorHAnsi" w:eastAsia="Corbel" w:hAnsiTheme="majorHAnsi" w:cstheme="majorHAnsi"/>
              </w:rPr>
            </w:pPr>
            <w:r w:rsidRPr="00C77B5B">
              <w:rPr>
                <w:rFonts w:asciiTheme="majorHAnsi" w:eastAsia="Corbel" w:hAnsiTheme="majorHAnsi" w:cstheme="majorHAnsi"/>
              </w:rPr>
              <w:lastRenderedPageBreak/>
              <w:t>Trial of Staff Learning Management System to enhance capability, tracking and delivery of professional development.</w:t>
            </w:r>
          </w:p>
        </w:tc>
        <w:tc>
          <w:tcPr>
            <w:tcW w:w="1559" w:type="dxa"/>
            <w:tcBorders>
              <w:top w:val="single" w:sz="8" w:space="0" w:color="316F72"/>
              <w:left w:val="single" w:sz="8" w:space="0" w:color="316F72"/>
              <w:bottom w:val="single" w:sz="8" w:space="0" w:color="316F72"/>
              <w:right w:val="single" w:sz="8" w:space="0" w:color="316F72"/>
            </w:tcBorders>
          </w:tcPr>
          <w:p w14:paraId="5D27D95D" w14:textId="4652768D" w:rsidR="00EF279D" w:rsidRPr="00C77B5B" w:rsidRDefault="00EF279D" w:rsidP="00EF279D">
            <w:pPr>
              <w:ind w:left="2"/>
              <w:rPr>
                <w:rFonts w:asciiTheme="majorHAnsi" w:eastAsia="Corbel" w:hAnsiTheme="majorHAnsi" w:cstheme="majorHAnsi"/>
              </w:rPr>
            </w:pPr>
            <w:r w:rsidRPr="00C77B5B">
              <w:rPr>
                <w:rFonts w:asciiTheme="majorHAnsi" w:eastAsia="Corbel" w:hAnsiTheme="majorHAnsi" w:cstheme="majorHAnsi"/>
              </w:rPr>
              <w:t>Catholic</w:t>
            </w:r>
          </w:p>
        </w:tc>
        <w:tc>
          <w:tcPr>
            <w:tcW w:w="1134" w:type="dxa"/>
            <w:tcBorders>
              <w:top w:val="single" w:sz="8" w:space="0" w:color="316F72"/>
              <w:left w:val="single" w:sz="8" w:space="0" w:color="316F72"/>
              <w:bottom w:val="single" w:sz="8" w:space="0" w:color="316F72"/>
              <w:right w:val="single" w:sz="8" w:space="0" w:color="316F72"/>
            </w:tcBorders>
          </w:tcPr>
          <w:p w14:paraId="5CCABF24" w14:textId="142EED58" w:rsidR="00EF279D" w:rsidRPr="00C77B5B" w:rsidRDefault="00EF279D" w:rsidP="009B7163">
            <w:pPr>
              <w:ind w:left="2"/>
              <w:rPr>
                <w:rFonts w:asciiTheme="majorHAnsi" w:eastAsia="Corbel" w:hAnsiTheme="majorHAnsi" w:cstheme="majorHAnsi"/>
              </w:rPr>
            </w:pPr>
            <w:r w:rsidRPr="00C77B5B">
              <w:rPr>
                <w:rFonts w:asciiTheme="majorHAnsi" w:eastAsia="Corbel" w:hAnsiTheme="majorHAnsi" w:cstheme="majorHAnsi"/>
              </w:rPr>
              <w:t>2019</w:t>
            </w:r>
          </w:p>
        </w:tc>
        <w:tc>
          <w:tcPr>
            <w:tcW w:w="6946" w:type="dxa"/>
            <w:tcBorders>
              <w:top w:val="single" w:sz="8" w:space="0" w:color="316F72"/>
              <w:left w:val="single" w:sz="8" w:space="0" w:color="316F72"/>
              <w:bottom w:val="single" w:sz="8" w:space="0" w:color="316F72"/>
              <w:right w:val="single" w:sz="8" w:space="0" w:color="316F72"/>
            </w:tcBorders>
          </w:tcPr>
          <w:p w14:paraId="1F302EBF" w14:textId="5BD31B86" w:rsidR="00EF279D" w:rsidRPr="00C77B5B" w:rsidRDefault="00C77B5B" w:rsidP="00C94BB7">
            <w:pPr>
              <w:rPr>
                <w:rFonts w:asciiTheme="majorHAnsi" w:eastAsia="Corbel" w:hAnsiTheme="majorHAnsi" w:cstheme="majorHAnsi"/>
                <w:b/>
                <w:bCs/>
                <w:iCs/>
              </w:rPr>
            </w:pPr>
            <w:r>
              <w:rPr>
                <w:rFonts w:asciiTheme="majorHAnsi" w:eastAsia="Corbel" w:hAnsiTheme="majorHAnsi" w:cstheme="majorHAnsi"/>
                <w:b/>
                <w:bCs/>
                <w:iCs/>
              </w:rPr>
              <w:t>Completed</w:t>
            </w:r>
          </w:p>
          <w:p w14:paraId="125D3462" w14:textId="6754117F" w:rsidR="00EF279D" w:rsidRPr="00C77B5B" w:rsidRDefault="00EF279D" w:rsidP="000D4BE8">
            <w:pPr>
              <w:pStyle w:val="ListParagraph"/>
              <w:numPr>
                <w:ilvl w:val="0"/>
                <w:numId w:val="56"/>
              </w:numPr>
              <w:rPr>
                <w:rFonts w:asciiTheme="majorHAnsi" w:hAnsiTheme="majorHAnsi" w:cstheme="majorHAnsi"/>
              </w:rPr>
            </w:pPr>
            <w:r w:rsidRPr="00C77B5B">
              <w:rPr>
                <w:rFonts w:asciiTheme="majorHAnsi" w:eastAsia="Times New Roman" w:hAnsiTheme="majorHAnsi" w:cstheme="majorHAnsi"/>
              </w:rPr>
              <w:t>Our Staff Learning Management System, Canvas has been successfully launched to over 2,500 CET staff around the state.</w:t>
            </w:r>
          </w:p>
          <w:p w14:paraId="6913B9AB" w14:textId="21A92CB7" w:rsidR="001639C8" w:rsidRPr="00C77B5B" w:rsidRDefault="00EF279D" w:rsidP="00C77B5B">
            <w:pPr>
              <w:pStyle w:val="ListParagraph"/>
              <w:numPr>
                <w:ilvl w:val="0"/>
                <w:numId w:val="56"/>
              </w:numPr>
              <w:rPr>
                <w:rFonts w:asciiTheme="majorHAnsi" w:hAnsiTheme="majorHAnsi" w:cstheme="majorHAnsi"/>
                <w:bCs/>
                <w:color w:val="000000" w:themeColor="text1"/>
              </w:rPr>
            </w:pPr>
            <w:r w:rsidRPr="00C77B5B">
              <w:rPr>
                <w:rFonts w:asciiTheme="majorHAnsi" w:eastAsia="Times New Roman" w:hAnsiTheme="majorHAnsi" w:cstheme="majorHAnsi"/>
              </w:rPr>
              <w:t>This represents approximately 98% of CET employees having the opportunity to undertake training or professional learning via the Canvas platform.</w:t>
            </w:r>
          </w:p>
        </w:tc>
      </w:tr>
    </w:tbl>
    <w:p w14:paraId="0353468D" w14:textId="77777777" w:rsidR="00C77B5B" w:rsidRDefault="00C77B5B" w:rsidP="00A93D58">
      <w:pPr>
        <w:pStyle w:val="Heading1"/>
        <w:rPr>
          <w:rFonts w:asciiTheme="majorHAnsi" w:eastAsia="Corbel" w:hAnsiTheme="majorHAnsi" w:cstheme="majorHAnsi"/>
          <w:sz w:val="22"/>
          <w:szCs w:val="22"/>
        </w:rPr>
      </w:pPr>
      <w:r>
        <w:rPr>
          <w:rFonts w:asciiTheme="majorHAnsi" w:eastAsia="Corbel" w:hAnsiTheme="majorHAnsi" w:cstheme="majorHAnsi"/>
          <w:sz w:val="22"/>
          <w:szCs w:val="22"/>
        </w:rPr>
        <w:br w:type="page"/>
      </w:r>
    </w:p>
    <w:p w14:paraId="4E178E00" w14:textId="2CC640AD" w:rsidR="00A93D58" w:rsidRPr="00C77B5B" w:rsidRDefault="00A93D58" w:rsidP="00C77B5B">
      <w:pPr>
        <w:pStyle w:val="Heading2"/>
        <w:rPr>
          <w:rFonts w:eastAsia="Corbel"/>
        </w:rPr>
      </w:pPr>
      <w:r w:rsidRPr="00C77B5B">
        <w:rPr>
          <w:rFonts w:eastAsia="Corbel"/>
        </w:rPr>
        <w:lastRenderedPageBreak/>
        <w:t>Improvement Direction B – Effective Leadership – school culture, educational leadership, building teacher capacity, building leadership capacity</w:t>
      </w:r>
    </w:p>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4678"/>
        <w:gridCol w:w="1559"/>
        <w:gridCol w:w="1134"/>
        <w:gridCol w:w="6946"/>
      </w:tblGrid>
      <w:tr w:rsidR="00A93D58" w:rsidRPr="00C77B5B" w14:paraId="09234262" w14:textId="77777777" w:rsidTr="00E670F6">
        <w:trPr>
          <w:trHeight w:val="521"/>
          <w:tblHeader/>
        </w:trPr>
        <w:tc>
          <w:tcPr>
            <w:tcW w:w="4678" w:type="dxa"/>
            <w:tcBorders>
              <w:top w:val="single" w:sz="24" w:space="0" w:color="316F72"/>
              <w:left w:val="single" w:sz="8" w:space="0" w:color="316F72"/>
              <w:bottom w:val="single" w:sz="24" w:space="0" w:color="316F72"/>
              <w:right w:val="single" w:sz="8" w:space="0" w:color="316F72"/>
            </w:tcBorders>
          </w:tcPr>
          <w:p w14:paraId="693D993F" w14:textId="7093E6E8"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b/>
              </w:rPr>
              <w:t>Improvement Activity /</w:t>
            </w:r>
            <w:r w:rsidRPr="00C77B5B">
              <w:rPr>
                <w:rFonts w:asciiTheme="majorHAnsi" w:hAnsiTheme="majorHAnsi" w:cstheme="majorHAnsi"/>
              </w:rPr>
              <w:t xml:space="preserve"> </w:t>
            </w:r>
            <w:r w:rsidRPr="00C77B5B">
              <w:rPr>
                <w:rFonts w:asciiTheme="majorHAnsi" w:eastAsia="Corbel" w:hAnsiTheme="majorHAnsi" w:cstheme="majorHAnsi"/>
                <w:b/>
              </w:rPr>
              <w:t>Actions</w:t>
            </w:r>
          </w:p>
        </w:tc>
        <w:tc>
          <w:tcPr>
            <w:tcW w:w="1559" w:type="dxa"/>
            <w:tcBorders>
              <w:top w:val="single" w:sz="24" w:space="0" w:color="316F72"/>
              <w:left w:val="single" w:sz="8" w:space="0" w:color="316F72"/>
              <w:bottom w:val="single" w:sz="24" w:space="0" w:color="316F72"/>
              <w:right w:val="single" w:sz="8" w:space="0" w:color="316F72"/>
            </w:tcBorders>
          </w:tcPr>
          <w:p w14:paraId="7B2D0064" w14:textId="750E43F2" w:rsidR="00A93D58" w:rsidRPr="00C77B5B" w:rsidRDefault="00A93D58" w:rsidP="00A93D58">
            <w:pPr>
              <w:ind w:left="2"/>
              <w:rPr>
                <w:rFonts w:asciiTheme="majorHAnsi" w:hAnsiTheme="majorHAnsi" w:cstheme="majorHAnsi"/>
              </w:rPr>
            </w:pPr>
            <w:r w:rsidRPr="00C77B5B">
              <w:rPr>
                <w:rFonts w:asciiTheme="majorHAnsi" w:eastAsia="Corbel" w:hAnsiTheme="majorHAnsi" w:cstheme="majorHAnsi"/>
                <w:b/>
              </w:rPr>
              <w:t>Sector(s)</w:t>
            </w:r>
          </w:p>
        </w:tc>
        <w:tc>
          <w:tcPr>
            <w:tcW w:w="1134" w:type="dxa"/>
            <w:tcBorders>
              <w:top w:val="single" w:sz="24" w:space="0" w:color="316F72"/>
              <w:left w:val="single" w:sz="8" w:space="0" w:color="316F72"/>
              <w:bottom w:val="single" w:sz="24" w:space="0" w:color="316F72"/>
              <w:right w:val="single" w:sz="8" w:space="0" w:color="316F72"/>
            </w:tcBorders>
          </w:tcPr>
          <w:p w14:paraId="0874FBDC" w14:textId="3F5189E2" w:rsidR="00A93D58" w:rsidRPr="00C77B5B" w:rsidRDefault="00A93D58" w:rsidP="00A93D58">
            <w:pPr>
              <w:ind w:left="2"/>
              <w:rPr>
                <w:rFonts w:asciiTheme="majorHAnsi" w:hAnsiTheme="majorHAnsi" w:cstheme="majorHAnsi"/>
              </w:rPr>
            </w:pPr>
            <w:r w:rsidRPr="00C77B5B">
              <w:rPr>
                <w:rFonts w:asciiTheme="majorHAnsi" w:eastAsia="Corbel" w:hAnsiTheme="majorHAnsi" w:cstheme="majorHAnsi"/>
                <w:b/>
              </w:rPr>
              <w:t>Timing</w:t>
            </w:r>
          </w:p>
        </w:tc>
        <w:tc>
          <w:tcPr>
            <w:tcW w:w="6946" w:type="dxa"/>
            <w:tcBorders>
              <w:top w:val="single" w:sz="24" w:space="0" w:color="316F72"/>
              <w:left w:val="single" w:sz="8" w:space="0" w:color="316F72"/>
              <w:bottom w:val="single" w:sz="24" w:space="0" w:color="316F72"/>
              <w:right w:val="single" w:sz="8" w:space="0" w:color="316F72"/>
            </w:tcBorders>
          </w:tcPr>
          <w:p w14:paraId="0AEEE065" w14:textId="36237D64" w:rsidR="00A93D58" w:rsidRPr="00C77B5B" w:rsidRDefault="00A93D58" w:rsidP="00A93D58">
            <w:pPr>
              <w:rPr>
                <w:rFonts w:asciiTheme="majorHAnsi" w:eastAsia="Corbel" w:hAnsiTheme="majorHAnsi" w:cstheme="majorHAnsi"/>
                <w:i/>
                <w:iCs/>
              </w:rPr>
            </w:pPr>
            <w:r w:rsidRPr="00C77B5B">
              <w:rPr>
                <w:rFonts w:asciiTheme="majorHAnsi" w:eastAsia="Corbel" w:hAnsiTheme="majorHAnsi" w:cstheme="majorHAnsi"/>
                <w:b/>
              </w:rPr>
              <w:t>Progress towards implementation of actions (including progress of non-government sector actions)</w:t>
            </w:r>
          </w:p>
        </w:tc>
      </w:tr>
      <w:tr w:rsidR="00A93D58" w:rsidRPr="00C77B5B" w14:paraId="1EDA9D48" w14:textId="77777777" w:rsidTr="00A93D58">
        <w:trPr>
          <w:trHeight w:val="521"/>
        </w:trPr>
        <w:tc>
          <w:tcPr>
            <w:tcW w:w="4678" w:type="dxa"/>
            <w:tcBorders>
              <w:top w:val="single" w:sz="24" w:space="0" w:color="316F72"/>
              <w:left w:val="single" w:sz="8" w:space="0" w:color="316F72"/>
              <w:bottom w:val="single" w:sz="8" w:space="0" w:color="316F72"/>
              <w:right w:val="single" w:sz="8" w:space="0" w:color="316F72"/>
            </w:tcBorders>
            <w:vAlign w:val="center"/>
          </w:tcPr>
          <w:p w14:paraId="2480F25B" w14:textId="4E1B9DBA" w:rsidR="00A93D58" w:rsidRPr="00C77B5B" w:rsidRDefault="00A93D58" w:rsidP="00A93D58">
            <w:pPr>
              <w:ind w:left="2"/>
              <w:rPr>
                <w:rFonts w:asciiTheme="majorHAnsi" w:hAnsiTheme="majorHAnsi" w:cstheme="majorHAnsi"/>
              </w:rPr>
            </w:pPr>
            <w:r w:rsidRPr="00C77B5B">
              <w:rPr>
                <w:rFonts w:asciiTheme="majorHAnsi" w:eastAsia="Corbel" w:hAnsiTheme="majorHAnsi" w:cstheme="majorHAnsi"/>
              </w:rPr>
              <w:t xml:space="preserve">Contribute to national discussion and effort </w:t>
            </w:r>
            <w:proofErr w:type="gramStart"/>
            <w:r w:rsidRPr="00C77B5B">
              <w:rPr>
                <w:rFonts w:asciiTheme="majorHAnsi" w:eastAsia="Corbel" w:hAnsiTheme="majorHAnsi" w:cstheme="majorHAnsi"/>
              </w:rPr>
              <w:t>with regard to</w:t>
            </w:r>
            <w:proofErr w:type="gramEnd"/>
            <w:r w:rsidRPr="00C77B5B">
              <w:rPr>
                <w:rFonts w:asciiTheme="majorHAnsi" w:eastAsia="Corbel" w:hAnsiTheme="majorHAnsi" w:cstheme="majorHAnsi"/>
              </w:rPr>
              <w:t xml:space="preserve"> initial teacher education and national teacher workforce strategy and review of teacher registration, including consideration of legislative amendments.</w:t>
            </w:r>
          </w:p>
        </w:tc>
        <w:tc>
          <w:tcPr>
            <w:tcW w:w="1559" w:type="dxa"/>
            <w:tcBorders>
              <w:top w:val="single" w:sz="24" w:space="0" w:color="316F72"/>
              <w:left w:val="single" w:sz="8" w:space="0" w:color="316F72"/>
              <w:bottom w:val="single" w:sz="8" w:space="0" w:color="316F72"/>
              <w:right w:val="single" w:sz="8" w:space="0" w:color="316F72"/>
            </w:tcBorders>
          </w:tcPr>
          <w:p w14:paraId="01DE408A" w14:textId="23127253" w:rsidR="00A93D58" w:rsidRPr="00C77B5B" w:rsidRDefault="00A93D58" w:rsidP="00A93D58">
            <w:pPr>
              <w:ind w:left="2"/>
              <w:rPr>
                <w:rFonts w:asciiTheme="majorHAnsi" w:hAnsiTheme="majorHAnsi" w:cstheme="majorHAnsi"/>
              </w:rPr>
            </w:pPr>
            <w:r w:rsidRPr="00C77B5B">
              <w:rPr>
                <w:rFonts w:asciiTheme="majorHAnsi" w:hAnsiTheme="majorHAnsi" w:cstheme="majorHAnsi"/>
              </w:rPr>
              <w:t>All sectors</w:t>
            </w:r>
          </w:p>
        </w:tc>
        <w:tc>
          <w:tcPr>
            <w:tcW w:w="1134" w:type="dxa"/>
            <w:tcBorders>
              <w:top w:val="single" w:sz="24" w:space="0" w:color="316F72"/>
              <w:left w:val="single" w:sz="8" w:space="0" w:color="316F72"/>
              <w:bottom w:val="single" w:sz="8" w:space="0" w:color="316F72"/>
              <w:right w:val="single" w:sz="8" w:space="0" w:color="316F72"/>
            </w:tcBorders>
          </w:tcPr>
          <w:p w14:paraId="465E9971" w14:textId="4660E3EF" w:rsidR="00A93D58" w:rsidRPr="00C77B5B" w:rsidRDefault="00A93D58" w:rsidP="00A93D58">
            <w:pPr>
              <w:ind w:left="2"/>
              <w:rPr>
                <w:rFonts w:asciiTheme="majorHAnsi" w:hAnsiTheme="majorHAnsi" w:cstheme="majorHAnsi"/>
              </w:rPr>
            </w:pPr>
            <w:r w:rsidRPr="00C77B5B">
              <w:rPr>
                <w:rFonts w:asciiTheme="majorHAnsi" w:hAnsiTheme="majorHAnsi" w:cstheme="majorHAnsi"/>
              </w:rPr>
              <w:t>2019</w:t>
            </w:r>
          </w:p>
        </w:tc>
        <w:tc>
          <w:tcPr>
            <w:tcW w:w="6946" w:type="dxa"/>
            <w:tcBorders>
              <w:top w:val="single" w:sz="24" w:space="0" w:color="316F72"/>
              <w:left w:val="single" w:sz="8" w:space="0" w:color="316F72"/>
              <w:bottom w:val="single" w:sz="8" w:space="0" w:color="316F72"/>
              <w:right w:val="single" w:sz="8" w:space="0" w:color="316F72"/>
            </w:tcBorders>
          </w:tcPr>
          <w:p w14:paraId="58EA8F3A" w14:textId="23D4EAC9" w:rsidR="00A93D58" w:rsidRPr="00C77B5B" w:rsidRDefault="00A93D58" w:rsidP="00C77B5B">
            <w:pPr>
              <w:pStyle w:val="Heading3"/>
            </w:pPr>
            <w:r w:rsidRPr="00C77B5B">
              <w:t>Tasmanian Department of Education</w:t>
            </w:r>
          </w:p>
          <w:p w14:paraId="0D98B27D" w14:textId="6AB7D7AE" w:rsidR="00A93D58" w:rsidRPr="00C77B5B" w:rsidRDefault="00C77B5B" w:rsidP="00A93D58">
            <w:pPr>
              <w:ind w:left="2"/>
              <w:rPr>
                <w:rFonts w:asciiTheme="majorHAnsi" w:hAnsiTheme="majorHAnsi" w:cstheme="majorHAnsi"/>
                <w:b/>
                <w:bCs/>
              </w:rPr>
            </w:pPr>
            <w:r>
              <w:rPr>
                <w:rFonts w:asciiTheme="majorHAnsi" w:hAnsiTheme="majorHAnsi" w:cstheme="majorHAnsi"/>
                <w:b/>
                <w:bCs/>
              </w:rPr>
              <w:t>In Progress</w:t>
            </w:r>
          </w:p>
          <w:p w14:paraId="122FD33B" w14:textId="29DA0F65" w:rsidR="00A93D58" w:rsidRPr="00C77B5B" w:rsidRDefault="00A93D58" w:rsidP="00C77B5B">
            <w:pPr>
              <w:rPr>
                <w:rFonts w:asciiTheme="majorHAnsi" w:eastAsia="Corbel" w:hAnsiTheme="majorHAnsi" w:cstheme="majorHAnsi"/>
              </w:rPr>
            </w:pPr>
            <w:r w:rsidRPr="00C77B5B">
              <w:rPr>
                <w:rFonts w:asciiTheme="majorHAnsi" w:eastAsia="Corbel" w:hAnsiTheme="majorHAnsi" w:cstheme="majorHAnsi"/>
              </w:rPr>
              <w:t>Tasmania participated in national discussion and effort through Education Council, associated officers’ forums, and representation on working groups.</w:t>
            </w:r>
          </w:p>
          <w:p w14:paraId="6410957F" w14:textId="2D8D5FB9" w:rsidR="00A93D58" w:rsidRPr="00C77B5B" w:rsidRDefault="00A93D58" w:rsidP="00C77B5B">
            <w:pPr>
              <w:rPr>
                <w:rFonts w:asciiTheme="majorHAnsi" w:eastAsia="Corbel" w:hAnsiTheme="majorHAnsi" w:cstheme="majorHAnsi"/>
              </w:rPr>
            </w:pPr>
            <w:r w:rsidRPr="00C77B5B">
              <w:rPr>
                <w:rFonts w:asciiTheme="majorHAnsi" w:eastAsia="Corbel" w:hAnsiTheme="majorHAnsi" w:cstheme="majorHAnsi"/>
              </w:rPr>
              <w:t xml:space="preserve">29 October 2019 marked the first reading of the </w:t>
            </w:r>
            <w:hyperlink r:id="rId15" w:history="1">
              <w:r w:rsidRPr="00C77B5B">
                <w:rPr>
                  <w:rStyle w:val="Hyperlink"/>
                  <w:rFonts w:asciiTheme="majorHAnsi" w:eastAsia="Corbel" w:hAnsiTheme="majorHAnsi" w:cstheme="majorHAnsi"/>
                  <w:i/>
                  <w:iCs/>
                </w:rPr>
                <w:t>Teachers Registration Amendment Bill 2019</w:t>
              </w:r>
            </w:hyperlink>
            <w:r w:rsidRPr="00C77B5B">
              <w:rPr>
                <w:rFonts w:asciiTheme="majorHAnsi" w:eastAsia="Corbel" w:hAnsiTheme="majorHAnsi" w:cstheme="majorHAnsi"/>
              </w:rPr>
              <w:t>, which will facilitate Tasmania’s participation in the National Teacher Workforce Strategy and Australian Teacher Workforce Data collection. The Bill is expected to be considered again in the Spring 2020 session.</w:t>
            </w:r>
          </w:p>
          <w:p w14:paraId="07D23831" w14:textId="77777777" w:rsidR="00A93D58" w:rsidRPr="00C77B5B" w:rsidRDefault="00A93D58" w:rsidP="00C77B5B">
            <w:pPr>
              <w:pStyle w:val="Heading3"/>
            </w:pPr>
            <w:r w:rsidRPr="00C77B5B">
              <w:t>Catholic Education Tasmania</w:t>
            </w:r>
          </w:p>
          <w:p w14:paraId="239E015E" w14:textId="77777777" w:rsidR="00C77B5B" w:rsidRPr="00C77B5B" w:rsidRDefault="00C77B5B" w:rsidP="00C77B5B">
            <w:pPr>
              <w:rPr>
                <w:b/>
                <w:bCs/>
              </w:rPr>
            </w:pPr>
            <w:r w:rsidRPr="00C77B5B">
              <w:rPr>
                <w:b/>
                <w:bCs/>
              </w:rPr>
              <w:t>Ongoing</w:t>
            </w:r>
          </w:p>
          <w:p w14:paraId="43E5CC26" w14:textId="77777777" w:rsidR="00A93D58" w:rsidRPr="00C77B5B" w:rsidRDefault="00A93D58" w:rsidP="00A93D58">
            <w:pPr>
              <w:pStyle w:val="ListParagraph"/>
              <w:numPr>
                <w:ilvl w:val="0"/>
                <w:numId w:val="56"/>
              </w:numPr>
              <w:rPr>
                <w:rFonts w:asciiTheme="majorHAnsi" w:hAnsiTheme="majorHAnsi" w:cstheme="majorHAnsi"/>
              </w:rPr>
            </w:pPr>
            <w:r w:rsidRPr="00C77B5B">
              <w:rPr>
                <w:rFonts w:asciiTheme="majorHAnsi" w:hAnsiTheme="majorHAnsi" w:cstheme="majorHAnsi"/>
              </w:rPr>
              <w:t>All NCEC initiatives in this area are ongoing.</w:t>
            </w:r>
          </w:p>
          <w:p w14:paraId="61D59AC1" w14:textId="77777777" w:rsidR="00A93D58" w:rsidRPr="00C77B5B" w:rsidRDefault="00A93D58" w:rsidP="00A93D58">
            <w:pPr>
              <w:pStyle w:val="ListParagraph"/>
              <w:numPr>
                <w:ilvl w:val="0"/>
                <w:numId w:val="56"/>
              </w:numPr>
              <w:rPr>
                <w:rFonts w:asciiTheme="majorHAnsi" w:hAnsiTheme="majorHAnsi" w:cstheme="majorHAnsi"/>
              </w:rPr>
            </w:pPr>
            <w:r w:rsidRPr="00C77B5B">
              <w:rPr>
                <w:rFonts w:asciiTheme="majorHAnsi" w:hAnsiTheme="majorHAnsi" w:cstheme="majorHAnsi"/>
              </w:rPr>
              <w:t>Establishment of Saint Thomas Aquinas’ Teaching School.</w:t>
            </w:r>
          </w:p>
          <w:p w14:paraId="316CE5BC" w14:textId="77777777" w:rsidR="00A93D58" w:rsidRPr="00C77B5B" w:rsidRDefault="00A93D58" w:rsidP="00A93D58">
            <w:pPr>
              <w:pStyle w:val="ListParagraph"/>
              <w:numPr>
                <w:ilvl w:val="0"/>
                <w:numId w:val="56"/>
              </w:numPr>
              <w:rPr>
                <w:rFonts w:asciiTheme="majorHAnsi" w:eastAsia="Corbel" w:hAnsiTheme="majorHAnsi" w:cstheme="majorHAnsi"/>
              </w:rPr>
            </w:pPr>
            <w:r w:rsidRPr="00C77B5B">
              <w:rPr>
                <w:rFonts w:asciiTheme="majorHAnsi" w:hAnsiTheme="majorHAnsi" w:cstheme="majorHAnsi"/>
              </w:rPr>
              <w:t>Working closely with TRB in the transition of teachers to full registration and in the pilot program for HALT accreditation.</w:t>
            </w:r>
          </w:p>
          <w:p w14:paraId="7EA9ED13" w14:textId="451F87F7" w:rsidR="00A93D58" w:rsidRPr="00C77B5B" w:rsidRDefault="00A93D58" w:rsidP="00C77B5B">
            <w:pPr>
              <w:pStyle w:val="Heading3"/>
            </w:pPr>
            <w:r w:rsidRPr="00C77B5B">
              <w:lastRenderedPageBreak/>
              <w:t>Independent Schools Tasmania</w:t>
            </w:r>
          </w:p>
          <w:p w14:paraId="115DD087" w14:textId="77777777" w:rsidR="00C77B5B" w:rsidRPr="00C77B5B" w:rsidRDefault="00C77B5B" w:rsidP="00C77B5B">
            <w:pPr>
              <w:rPr>
                <w:b/>
                <w:bCs/>
              </w:rPr>
            </w:pPr>
            <w:r w:rsidRPr="00C77B5B">
              <w:rPr>
                <w:b/>
                <w:bCs/>
              </w:rPr>
              <w:t>Ongoing</w:t>
            </w:r>
          </w:p>
          <w:p w14:paraId="36315D72" w14:textId="371A91F2" w:rsidR="00A93D58" w:rsidRPr="00C77B5B" w:rsidRDefault="00A93D58" w:rsidP="00A93D58">
            <w:pPr>
              <w:rPr>
                <w:rFonts w:asciiTheme="majorHAnsi" w:hAnsiTheme="majorHAnsi" w:cstheme="majorHAnsi"/>
              </w:rPr>
            </w:pPr>
            <w:r w:rsidRPr="00C77B5B">
              <w:rPr>
                <w:rFonts w:asciiTheme="majorHAnsi" w:eastAsia="Corbel" w:hAnsiTheme="majorHAnsi" w:cstheme="majorHAnsi"/>
              </w:rPr>
              <w:t>IST staff attended 100% of committees focusing on teacher development, national teacher workforce strategy and review of teacher registration, as they arose. IST had a clear voice around potential changes to initial teacher education and induction and informed the discussions around transitions of teachers from graduate to proficient.</w:t>
            </w:r>
          </w:p>
        </w:tc>
      </w:tr>
      <w:tr w:rsidR="00A93D58" w:rsidRPr="00C77B5B" w14:paraId="3629DCD1" w14:textId="77777777" w:rsidTr="0002666A">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6AC42D1A" w14:textId="36D826A5"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lastRenderedPageBreak/>
              <w:t>Implement the four year More Teachers, Quality Teaching action plan, including a marketing strategy and collaboration with education leaders across Tasmania to attract, train and develop a diverse (including Aboriginal and Torres Strait Islander), future fit, skilled and ready workforce.</w:t>
            </w:r>
          </w:p>
        </w:tc>
        <w:tc>
          <w:tcPr>
            <w:tcW w:w="1559" w:type="dxa"/>
            <w:tcBorders>
              <w:top w:val="single" w:sz="8" w:space="0" w:color="316F72"/>
              <w:left w:val="single" w:sz="8" w:space="0" w:color="316F72"/>
              <w:bottom w:val="single" w:sz="8" w:space="0" w:color="316F72"/>
              <w:right w:val="single" w:sz="8" w:space="0" w:color="316F72"/>
            </w:tcBorders>
          </w:tcPr>
          <w:p w14:paraId="03033B5B" w14:textId="15B89712"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t>Government</w:t>
            </w:r>
          </w:p>
        </w:tc>
        <w:tc>
          <w:tcPr>
            <w:tcW w:w="1134" w:type="dxa"/>
            <w:tcBorders>
              <w:top w:val="single" w:sz="8" w:space="0" w:color="316F72"/>
              <w:left w:val="single" w:sz="8" w:space="0" w:color="316F72"/>
              <w:bottom w:val="single" w:sz="8" w:space="0" w:color="316F72"/>
              <w:right w:val="single" w:sz="8" w:space="0" w:color="316F72"/>
            </w:tcBorders>
          </w:tcPr>
          <w:p w14:paraId="2E08BDBE" w14:textId="0E152E7B"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t>From 2019</w:t>
            </w:r>
          </w:p>
        </w:tc>
        <w:tc>
          <w:tcPr>
            <w:tcW w:w="6946" w:type="dxa"/>
            <w:tcBorders>
              <w:top w:val="single" w:sz="8" w:space="0" w:color="316F72"/>
              <w:left w:val="single" w:sz="8" w:space="0" w:color="316F72"/>
              <w:bottom w:val="single" w:sz="8" w:space="0" w:color="316F72"/>
              <w:right w:val="single" w:sz="8" w:space="0" w:color="316F72"/>
            </w:tcBorders>
            <w:vAlign w:val="center"/>
          </w:tcPr>
          <w:p w14:paraId="7FC8340E" w14:textId="77777777" w:rsidR="00C77B5B" w:rsidRDefault="00C77B5B" w:rsidP="00A93D58">
            <w:pPr>
              <w:rPr>
                <w:rFonts w:asciiTheme="majorHAnsi" w:eastAsia="Corbel" w:hAnsiTheme="majorHAnsi" w:cstheme="majorHAnsi"/>
                <w:b/>
                <w:bCs/>
              </w:rPr>
            </w:pPr>
            <w:r>
              <w:rPr>
                <w:rFonts w:asciiTheme="majorHAnsi" w:eastAsia="Corbel" w:hAnsiTheme="majorHAnsi" w:cstheme="majorHAnsi"/>
                <w:b/>
                <w:bCs/>
              </w:rPr>
              <w:t>In Progress</w:t>
            </w:r>
          </w:p>
          <w:p w14:paraId="2063F7E5" w14:textId="0BEC355F" w:rsidR="00A93D58" w:rsidRPr="00C77B5B" w:rsidRDefault="00A93D58" w:rsidP="00A93D58">
            <w:pPr>
              <w:rPr>
                <w:rFonts w:asciiTheme="majorHAnsi" w:eastAsia="Corbel" w:hAnsiTheme="majorHAnsi" w:cstheme="majorHAnsi"/>
              </w:rPr>
            </w:pPr>
            <w:r w:rsidRPr="00C77B5B">
              <w:rPr>
                <w:rFonts w:asciiTheme="majorHAnsi" w:eastAsia="Corbel" w:hAnsiTheme="majorHAnsi" w:cstheme="majorHAnsi"/>
              </w:rPr>
              <w:t xml:space="preserve">The Teach Tasmania </w:t>
            </w:r>
            <w:hyperlink r:id="rId16" w:history="1">
              <w:r w:rsidRPr="00C77B5B">
                <w:rPr>
                  <w:rStyle w:val="Hyperlink"/>
                  <w:rFonts w:asciiTheme="majorHAnsi" w:eastAsia="Corbel" w:hAnsiTheme="majorHAnsi" w:cstheme="majorHAnsi"/>
                </w:rPr>
                <w:t>web page</w:t>
              </w:r>
            </w:hyperlink>
            <w:r w:rsidRPr="00C77B5B">
              <w:rPr>
                <w:rFonts w:asciiTheme="majorHAnsi" w:eastAsia="Corbel" w:hAnsiTheme="majorHAnsi" w:cstheme="majorHAnsi"/>
              </w:rPr>
              <w:t xml:space="preserve"> and videos (</w:t>
            </w:r>
            <w:hyperlink r:id="rId17" w:history="1">
              <w:r w:rsidRPr="00C77B5B">
                <w:rPr>
                  <w:rStyle w:val="Hyperlink"/>
                  <w:rFonts w:asciiTheme="majorHAnsi" w:eastAsia="Corbel" w:hAnsiTheme="majorHAnsi" w:cstheme="majorHAnsi"/>
                </w:rPr>
                <w:t>1</w:t>
              </w:r>
            </w:hyperlink>
            <w:r w:rsidRPr="00C77B5B">
              <w:rPr>
                <w:rFonts w:asciiTheme="majorHAnsi" w:eastAsia="Corbel" w:hAnsiTheme="majorHAnsi" w:cstheme="majorHAnsi"/>
              </w:rPr>
              <w:t xml:space="preserve">, </w:t>
            </w:r>
            <w:hyperlink r:id="rId18" w:history="1">
              <w:r w:rsidRPr="00C77B5B">
                <w:rPr>
                  <w:rStyle w:val="Hyperlink"/>
                  <w:rFonts w:asciiTheme="majorHAnsi" w:eastAsia="Corbel" w:hAnsiTheme="majorHAnsi" w:cstheme="majorHAnsi"/>
                </w:rPr>
                <w:t>2</w:t>
              </w:r>
            </w:hyperlink>
            <w:r w:rsidRPr="00C77B5B">
              <w:rPr>
                <w:rFonts w:asciiTheme="majorHAnsi" w:eastAsia="Corbel" w:hAnsiTheme="majorHAnsi" w:cstheme="majorHAnsi"/>
              </w:rPr>
              <w:t xml:space="preserve">, </w:t>
            </w:r>
            <w:hyperlink r:id="rId19" w:history="1">
              <w:r w:rsidRPr="00C77B5B">
                <w:rPr>
                  <w:rStyle w:val="Hyperlink"/>
                  <w:rFonts w:asciiTheme="majorHAnsi" w:eastAsia="Corbel" w:hAnsiTheme="majorHAnsi" w:cstheme="majorHAnsi"/>
                </w:rPr>
                <w:t>3</w:t>
              </w:r>
            </w:hyperlink>
            <w:r w:rsidRPr="00C77B5B">
              <w:rPr>
                <w:rFonts w:asciiTheme="majorHAnsi" w:eastAsia="Corbel" w:hAnsiTheme="majorHAnsi" w:cstheme="majorHAnsi"/>
              </w:rPr>
              <w:t>) were launched in 2019 as an output of the More Teachers, Quality Teaching action plan, to attract, train and develop a quality education workforce for Tasmania.</w:t>
            </w:r>
          </w:p>
        </w:tc>
      </w:tr>
      <w:tr w:rsidR="00A93D58" w:rsidRPr="00C77B5B" w14:paraId="6D0EA86A" w14:textId="77777777" w:rsidTr="0002666A">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3BEE78B3" w14:textId="1E9E9919"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t>Develop a strong pipeline of school leaders by giving highly skilled teachers opportunities and support to complete leadership development offerings and through prioritisation of succession planning.</w:t>
            </w:r>
          </w:p>
        </w:tc>
        <w:tc>
          <w:tcPr>
            <w:tcW w:w="1559" w:type="dxa"/>
            <w:tcBorders>
              <w:top w:val="single" w:sz="8" w:space="0" w:color="316F72"/>
              <w:left w:val="single" w:sz="8" w:space="0" w:color="316F72"/>
              <w:bottom w:val="single" w:sz="8" w:space="0" w:color="316F72"/>
              <w:right w:val="single" w:sz="8" w:space="0" w:color="316F72"/>
            </w:tcBorders>
          </w:tcPr>
          <w:p w14:paraId="46994C6F" w14:textId="65885ADD"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t>Government / Catholic</w:t>
            </w:r>
          </w:p>
        </w:tc>
        <w:tc>
          <w:tcPr>
            <w:tcW w:w="1134" w:type="dxa"/>
            <w:tcBorders>
              <w:top w:val="single" w:sz="8" w:space="0" w:color="316F72"/>
              <w:left w:val="single" w:sz="8" w:space="0" w:color="316F72"/>
              <w:bottom w:val="single" w:sz="8" w:space="0" w:color="316F72"/>
              <w:right w:val="single" w:sz="8" w:space="0" w:color="316F72"/>
            </w:tcBorders>
          </w:tcPr>
          <w:p w14:paraId="02161D43" w14:textId="5DA4D250"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t>From 2019</w:t>
            </w:r>
          </w:p>
        </w:tc>
        <w:tc>
          <w:tcPr>
            <w:tcW w:w="6946" w:type="dxa"/>
            <w:tcBorders>
              <w:top w:val="single" w:sz="8" w:space="0" w:color="316F72"/>
              <w:left w:val="single" w:sz="8" w:space="0" w:color="316F72"/>
              <w:bottom w:val="single" w:sz="8" w:space="0" w:color="316F72"/>
              <w:right w:val="single" w:sz="8" w:space="0" w:color="316F72"/>
            </w:tcBorders>
            <w:vAlign w:val="center"/>
          </w:tcPr>
          <w:p w14:paraId="6A28098A" w14:textId="03C43680" w:rsidR="00A93D58" w:rsidRPr="00C77B5B" w:rsidRDefault="00A93D58" w:rsidP="00C77B5B">
            <w:pPr>
              <w:pStyle w:val="Heading3"/>
            </w:pPr>
            <w:r w:rsidRPr="00C77B5B">
              <w:t>Tasmanian Department of Education</w:t>
            </w:r>
          </w:p>
          <w:p w14:paraId="10DDD376" w14:textId="21CF710D" w:rsidR="00A93D58" w:rsidRPr="00C77B5B" w:rsidRDefault="00C77B5B" w:rsidP="00A93D58">
            <w:pPr>
              <w:ind w:left="2"/>
              <w:rPr>
                <w:rFonts w:asciiTheme="majorHAnsi" w:hAnsiTheme="majorHAnsi" w:cstheme="majorHAnsi"/>
                <w:b/>
                <w:bCs/>
              </w:rPr>
            </w:pPr>
            <w:r>
              <w:rPr>
                <w:rFonts w:asciiTheme="majorHAnsi" w:hAnsiTheme="majorHAnsi" w:cstheme="majorHAnsi"/>
                <w:b/>
                <w:bCs/>
              </w:rPr>
              <w:t>In Progress</w:t>
            </w:r>
          </w:p>
          <w:p w14:paraId="75511FDE" w14:textId="4D44F6AD"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t>The Tasmanian Department of Education continued its trial of the AITSL Highly Accomplished or Lead teacher certifications in 2019, to understand how these might enhance Tasmania’s pipeline of future school leaders.</w:t>
            </w:r>
          </w:p>
          <w:p w14:paraId="4D34466F" w14:textId="0423FAAE" w:rsidR="00A93D58" w:rsidRPr="00C77B5B" w:rsidRDefault="00A93D58" w:rsidP="00C77B5B">
            <w:pPr>
              <w:pStyle w:val="Heading3"/>
            </w:pPr>
            <w:r w:rsidRPr="00C77B5B">
              <w:lastRenderedPageBreak/>
              <w:t>Catholic Education Tasmania</w:t>
            </w:r>
          </w:p>
          <w:p w14:paraId="2E30B8BF" w14:textId="77777777" w:rsidR="00C77B5B" w:rsidRPr="00C77B5B" w:rsidRDefault="00C77B5B" w:rsidP="00C77B5B">
            <w:pPr>
              <w:rPr>
                <w:b/>
                <w:bCs/>
              </w:rPr>
            </w:pPr>
            <w:r w:rsidRPr="00C77B5B">
              <w:rPr>
                <w:b/>
                <w:bCs/>
              </w:rPr>
              <w:t>Ongoing</w:t>
            </w:r>
          </w:p>
          <w:p w14:paraId="1E5DAF75" w14:textId="6A838CFA" w:rsidR="00A93D58" w:rsidRPr="00C77B5B" w:rsidRDefault="00A93D58" w:rsidP="00A93D58">
            <w:pPr>
              <w:pStyle w:val="ListParagraph"/>
              <w:numPr>
                <w:ilvl w:val="0"/>
                <w:numId w:val="56"/>
              </w:numPr>
              <w:rPr>
                <w:rFonts w:asciiTheme="majorHAnsi" w:eastAsia="Corbel" w:hAnsiTheme="majorHAnsi" w:cstheme="majorHAnsi"/>
              </w:rPr>
            </w:pPr>
            <w:r w:rsidRPr="00C77B5B">
              <w:rPr>
                <w:rFonts w:asciiTheme="majorHAnsi" w:eastAsia="Corbel" w:hAnsiTheme="majorHAnsi" w:cstheme="majorHAnsi"/>
              </w:rPr>
              <w:t xml:space="preserve">Development </w:t>
            </w:r>
            <w:r w:rsidRPr="00C77B5B">
              <w:rPr>
                <w:rFonts w:asciiTheme="majorHAnsi" w:eastAsia="Times New Roman" w:hAnsiTheme="majorHAnsi" w:cstheme="majorHAnsi"/>
              </w:rPr>
              <w:t>and</w:t>
            </w:r>
            <w:r w:rsidRPr="00C77B5B">
              <w:rPr>
                <w:rFonts w:asciiTheme="majorHAnsi" w:eastAsia="Corbel" w:hAnsiTheme="majorHAnsi" w:cstheme="majorHAnsi"/>
              </w:rPr>
              <w:t xml:space="preserve"> enhancement of leadership continuum for school leaders with alignment between the AITSL standards and CET defined capability streams is evident.</w:t>
            </w:r>
          </w:p>
          <w:p w14:paraId="0B20CAB6" w14:textId="3CD6538B" w:rsidR="00A93D58" w:rsidRPr="00C77B5B" w:rsidRDefault="00A93D58" w:rsidP="00A93D58">
            <w:pPr>
              <w:pStyle w:val="ListParagraph"/>
              <w:numPr>
                <w:ilvl w:val="0"/>
                <w:numId w:val="56"/>
              </w:numPr>
              <w:rPr>
                <w:rFonts w:asciiTheme="majorHAnsi" w:hAnsiTheme="majorHAnsi" w:cstheme="majorHAnsi"/>
              </w:rPr>
            </w:pPr>
            <w:r w:rsidRPr="00C77B5B">
              <w:rPr>
                <w:rFonts w:asciiTheme="majorHAnsi" w:eastAsia="Times New Roman" w:hAnsiTheme="majorHAnsi" w:cstheme="majorHAnsi"/>
              </w:rPr>
              <w:t>In depth leadership development programs at all levels in the organisation.</w:t>
            </w:r>
          </w:p>
          <w:p w14:paraId="256D4C23" w14:textId="1E2C33A2" w:rsidR="00A93D58" w:rsidRPr="00C77B5B" w:rsidRDefault="00A93D58" w:rsidP="00A93D58">
            <w:pPr>
              <w:pStyle w:val="ListParagraph"/>
              <w:numPr>
                <w:ilvl w:val="0"/>
                <w:numId w:val="56"/>
              </w:numPr>
              <w:rPr>
                <w:rFonts w:asciiTheme="majorHAnsi" w:eastAsia="Corbel" w:hAnsiTheme="majorHAnsi" w:cstheme="majorHAnsi"/>
              </w:rPr>
            </w:pPr>
            <w:r w:rsidRPr="00C77B5B">
              <w:rPr>
                <w:rFonts w:asciiTheme="majorHAnsi" w:eastAsia="Times New Roman" w:hAnsiTheme="majorHAnsi" w:cstheme="majorHAnsi"/>
              </w:rPr>
              <w:t>Working to reduce key person dependency in our organisation.</w:t>
            </w:r>
          </w:p>
        </w:tc>
      </w:tr>
      <w:tr w:rsidR="00A93D58" w:rsidRPr="00C77B5B" w14:paraId="0C8DA41C" w14:textId="77777777" w:rsidTr="0002666A">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665FE936" w14:textId="43AF0058"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lastRenderedPageBreak/>
              <w:t>Strengthen teacher induction processes and mentoring to support transition from the Graduate to Proficient teaching standards.</w:t>
            </w:r>
          </w:p>
        </w:tc>
        <w:tc>
          <w:tcPr>
            <w:tcW w:w="1559" w:type="dxa"/>
            <w:tcBorders>
              <w:top w:val="single" w:sz="8" w:space="0" w:color="316F72"/>
              <w:left w:val="single" w:sz="8" w:space="0" w:color="316F72"/>
              <w:bottom w:val="single" w:sz="8" w:space="0" w:color="316F72"/>
              <w:right w:val="single" w:sz="8" w:space="0" w:color="316F72"/>
            </w:tcBorders>
          </w:tcPr>
          <w:p w14:paraId="08829C74" w14:textId="3B12BB82"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t>Government / Catholic</w:t>
            </w:r>
          </w:p>
        </w:tc>
        <w:tc>
          <w:tcPr>
            <w:tcW w:w="1134" w:type="dxa"/>
            <w:tcBorders>
              <w:top w:val="single" w:sz="8" w:space="0" w:color="316F72"/>
              <w:left w:val="single" w:sz="8" w:space="0" w:color="316F72"/>
              <w:bottom w:val="single" w:sz="8" w:space="0" w:color="316F72"/>
              <w:right w:val="single" w:sz="8" w:space="0" w:color="316F72"/>
            </w:tcBorders>
          </w:tcPr>
          <w:p w14:paraId="15B8CDD5" w14:textId="172538A8"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t>2019</w:t>
            </w:r>
          </w:p>
        </w:tc>
        <w:tc>
          <w:tcPr>
            <w:tcW w:w="6946" w:type="dxa"/>
            <w:tcBorders>
              <w:top w:val="single" w:sz="8" w:space="0" w:color="316F72"/>
              <w:left w:val="single" w:sz="8" w:space="0" w:color="316F72"/>
              <w:bottom w:val="single" w:sz="8" w:space="0" w:color="316F72"/>
              <w:right w:val="single" w:sz="8" w:space="0" w:color="316F72"/>
            </w:tcBorders>
            <w:vAlign w:val="center"/>
          </w:tcPr>
          <w:p w14:paraId="53E02BD0" w14:textId="1ECB9718" w:rsidR="00A93D58" w:rsidRPr="00C77B5B" w:rsidRDefault="00A93D58" w:rsidP="00C77B5B">
            <w:pPr>
              <w:pStyle w:val="Heading3"/>
            </w:pPr>
            <w:r w:rsidRPr="00C77B5B">
              <w:t>Tasmanian Department of Education</w:t>
            </w:r>
          </w:p>
          <w:p w14:paraId="511AF531" w14:textId="0009BCB6" w:rsidR="00A93D58" w:rsidRPr="00C77B5B" w:rsidRDefault="00C77B5B" w:rsidP="00A93D58">
            <w:pPr>
              <w:ind w:left="2"/>
              <w:rPr>
                <w:rFonts w:asciiTheme="majorHAnsi" w:hAnsiTheme="majorHAnsi" w:cstheme="majorHAnsi"/>
                <w:b/>
                <w:bCs/>
              </w:rPr>
            </w:pPr>
            <w:r>
              <w:rPr>
                <w:rFonts w:asciiTheme="majorHAnsi" w:hAnsiTheme="majorHAnsi" w:cstheme="majorHAnsi"/>
                <w:b/>
                <w:bCs/>
              </w:rPr>
              <w:t>Complete</w:t>
            </w:r>
          </w:p>
          <w:p w14:paraId="3BE5A7D4" w14:textId="3049ABA0"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t>The Tasmanian Department of Education led the development in 2019 of support modules to support the transition of new teachers from the Graduate to Proficient standards, for use in both sectors. These modules will support additional work in future years to enhance teacher induction, mentoring, and the Graduate to Proficient transition, including by the Teachers Registration Board of Tasmania.</w:t>
            </w:r>
          </w:p>
          <w:p w14:paraId="7D981D2F" w14:textId="02EB21CF" w:rsidR="00A93D58" w:rsidRPr="00C77B5B" w:rsidRDefault="00A93D58" w:rsidP="00C77B5B">
            <w:pPr>
              <w:pStyle w:val="Heading3"/>
            </w:pPr>
            <w:r w:rsidRPr="00C77B5B">
              <w:t>Catholic Education Tasmania</w:t>
            </w:r>
          </w:p>
          <w:p w14:paraId="10993962" w14:textId="77777777" w:rsidR="00C77B5B" w:rsidRPr="00C77B5B" w:rsidRDefault="00C77B5B" w:rsidP="00C77B5B">
            <w:pPr>
              <w:rPr>
                <w:b/>
                <w:bCs/>
              </w:rPr>
            </w:pPr>
            <w:r w:rsidRPr="00C77B5B">
              <w:rPr>
                <w:b/>
                <w:bCs/>
              </w:rPr>
              <w:t>Ongoing</w:t>
            </w:r>
          </w:p>
          <w:p w14:paraId="4B008F55" w14:textId="77777777" w:rsidR="00A93D58" w:rsidRPr="00C77B5B" w:rsidRDefault="00A93D58" w:rsidP="00A93D58">
            <w:pPr>
              <w:pStyle w:val="ListParagraph"/>
              <w:numPr>
                <w:ilvl w:val="0"/>
                <w:numId w:val="56"/>
              </w:numPr>
              <w:rPr>
                <w:rFonts w:asciiTheme="majorHAnsi" w:eastAsia="Corbel" w:hAnsiTheme="majorHAnsi" w:cstheme="majorHAnsi"/>
              </w:rPr>
            </w:pPr>
            <w:r w:rsidRPr="00C77B5B">
              <w:rPr>
                <w:rFonts w:asciiTheme="majorHAnsi" w:eastAsia="Corbel" w:hAnsiTheme="majorHAnsi" w:cstheme="majorHAnsi"/>
              </w:rPr>
              <w:t xml:space="preserve">Guidelines </w:t>
            </w:r>
            <w:r w:rsidRPr="00C77B5B">
              <w:rPr>
                <w:rFonts w:asciiTheme="majorHAnsi" w:eastAsia="Times New Roman" w:hAnsiTheme="majorHAnsi" w:cstheme="majorHAnsi"/>
              </w:rPr>
              <w:t>developed</w:t>
            </w:r>
            <w:r w:rsidRPr="00C77B5B">
              <w:rPr>
                <w:rFonts w:asciiTheme="majorHAnsi" w:eastAsia="Corbel" w:hAnsiTheme="majorHAnsi" w:cstheme="majorHAnsi"/>
              </w:rPr>
              <w:t xml:space="preserve"> and endorsed to support the transition from Graduate to Proficient teaching standards:</w:t>
            </w:r>
          </w:p>
          <w:p w14:paraId="6AC12A58" w14:textId="77777777" w:rsidR="00A93D58" w:rsidRPr="00C77B5B" w:rsidRDefault="00A93D58" w:rsidP="00A93D58">
            <w:pPr>
              <w:pStyle w:val="ListParagraph"/>
              <w:numPr>
                <w:ilvl w:val="0"/>
                <w:numId w:val="53"/>
              </w:numPr>
              <w:rPr>
                <w:rFonts w:asciiTheme="majorHAnsi" w:eastAsia="Corbel" w:hAnsiTheme="majorHAnsi" w:cstheme="majorHAnsi"/>
              </w:rPr>
            </w:pPr>
            <w:r w:rsidRPr="00C77B5B">
              <w:rPr>
                <w:rFonts w:asciiTheme="majorHAnsi" w:eastAsia="Corbel" w:hAnsiTheme="majorHAnsi" w:cstheme="majorHAnsi"/>
              </w:rPr>
              <w:lastRenderedPageBreak/>
              <w:t>Early Career Teacher Induction Timeline</w:t>
            </w:r>
          </w:p>
          <w:p w14:paraId="0F826C7B" w14:textId="77777777" w:rsidR="00A93D58" w:rsidRPr="00C77B5B" w:rsidRDefault="00A93D58" w:rsidP="00A93D58">
            <w:pPr>
              <w:pStyle w:val="ListParagraph"/>
              <w:numPr>
                <w:ilvl w:val="0"/>
                <w:numId w:val="53"/>
              </w:numPr>
              <w:rPr>
                <w:rFonts w:asciiTheme="majorHAnsi" w:eastAsia="Corbel" w:hAnsiTheme="majorHAnsi" w:cstheme="majorHAnsi"/>
              </w:rPr>
            </w:pPr>
            <w:r w:rsidRPr="00C77B5B">
              <w:rPr>
                <w:rFonts w:asciiTheme="majorHAnsi" w:eastAsia="Corbel" w:hAnsiTheme="majorHAnsi" w:cstheme="majorHAnsi"/>
              </w:rPr>
              <w:t>Practice Focused Mentoring Guidelines</w:t>
            </w:r>
          </w:p>
          <w:p w14:paraId="19885D7D" w14:textId="5BEDB008" w:rsidR="00A93D58" w:rsidRPr="00C77B5B" w:rsidRDefault="00A93D58" w:rsidP="00A93D58">
            <w:pPr>
              <w:pStyle w:val="ListParagraph"/>
              <w:numPr>
                <w:ilvl w:val="0"/>
                <w:numId w:val="53"/>
              </w:numPr>
              <w:rPr>
                <w:rFonts w:asciiTheme="majorHAnsi" w:eastAsia="Corbel" w:hAnsiTheme="majorHAnsi" w:cstheme="majorHAnsi"/>
              </w:rPr>
            </w:pPr>
            <w:r w:rsidRPr="00C77B5B">
              <w:rPr>
                <w:rFonts w:asciiTheme="majorHAnsi" w:eastAsia="Corbel" w:hAnsiTheme="majorHAnsi" w:cstheme="majorHAnsi"/>
              </w:rPr>
              <w:t>Moving from Provisional to Full Teacher Registration</w:t>
            </w:r>
          </w:p>
          <w:p w14:paraId="1F773DBC" w14:textId="77777777" w:rsidR="00A93D58" w:rsidRPr="00C77B5B" w:rsidRDefault="00A93D58" w:rsidP="00A93D58">
            <w:pPr>
              <w:pStyle w:val="ListParagraph"/>
              <w:numPr>
                <w:ilvl w:val="0"/>
                <w:numId w:val="56"/>
              </w:numPr>
              <w:rPr>
                <w:rFonts w:asciiTheme="majorHAnsi" w:hAnsiTheme="majorHAnsi" w:cstheme="majorHAnsi"/>
              </w:rPr>
            </w:pPr>
            <w:r w:rsidRPr="00C77B5B">
              <w:rPr>
                <w:rFonts w:asciiTheme="majorHAnsi" w:eastAsia="Times New Roman" w:hAnsiTheme="majorHAnsi" w:cstheme="majorHAnsi"/>
              </w:rPr>
              <w:t>Allocation of FTE for an experienced educator to support schools to facilitate a school-based process with early career teachers.</w:t>
            </w:r>
          </w:p>
          <w:p w14:paraId="6DBD26FD" w14:textId="2F55D24B" w:rsidR="00A93D58" w:rsidRPr="00C77B5B" w:rsidRDefault="00A93D58" w:rsidP="00A93D58">
            <w:pPr>
              <w:pStyle w:val="ListParagraph"/>
              <w:numPr>
                <w:ilvl w:val="0"/>
                <w:numId w:val="56"/>
              </w:numPr>
              <w:rPr>
                <w:rFonts w:asciiTheme="majorHAnsi" w:eastAsia="Corbel" w:hAnsiTheme="majorHAnsi" w:cstheme="majorHAnsi"/>
              </w:rPr>
            </w:pPr>
            <w:r w:rsidRPr="00C77B5B">
              <w:rPr>
                <w:rFonts w:asciiTheme="majorHAnsi" w:eastAsia="Times New Roman" w:hAnsiTheme="majorHAnsi" w:cstheme="majorHAnsi"/>
              </w:rPr>
              <w:t>Canvas module has been developed to strengthen and clarify teacher induction processes.</w:t>
            </w:r>
          </w:p>
        </w:tc>
      </w:tr>
      <w:tr w:rsidR="00A93D58" w:rsidRPr="00C77B5B" w14:paraId="0DD2EBD6" w14:textId="77777777" w:rsidTr="0002666A">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6CE776F2" w14:textId="0D91FB4D"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lastRenderedPageBreak/>
              <w:t xml:space="preserve">Increase staffing in selected schools to the support our principals to focus on leading </w:t>
            </w:r>
            <w:proofErr w:type="gramStart"/>
            <w:r w:rsidRPr="00C77B5B">
              <w:rPr>
                <w:rFonts w:asciiTheme="majorHAnsi" w:eastAsia="Corbel" w:hAnsiTheme="majorHAnsi" w:cstheme="majorHAnsi"/>
              </w:rPr>
              <w:t>high quality</w:t>
            </w:r>
            <w:proofErr w:type="gramEnd"/>
            <w:r w:rsidRPr="00C77B5B">
              <w:rPr>
                <w:rFonts w:asciiTheme="majorHAnsi" w:eastAsia="Corbel" w:hAnsiTheme="majorHAnsi" w:cstheme="majorHAnsi"/>
              </w:rPr>
              <w:t xml:space="preserve"> teaching and</w:t>
            </w:r>
          </w:p>
          <w:p w14:paraId="30DD84BD" w14:textId="06CB1E86"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t>learning in their schools.</w:t>
            </w:r>
          </w:p>
        </w:tc>
        <w:tc>
          <w:tcPr>
            <w:tcW w:w="1559" w:type="dxa"/>
            <w:tcBorders>
              <w:top w:val="single" w:sz="8" w:space="0" w:color="316F72"/>
              <w:left w:val="single" w:sz="8" w:space="0" w:color="316F72"/>
              <w:bottom w:val="single" w:sz="8" w:space="0" w:color="316F72"/>
              <w:right w:val="single" w:sz="8" w:space="0" w:color="316F72"/>
            </w:tcBorders>
          </w:tcPr>
          <w:p w14:paraId="3D3A13D6" w14:textId="58B0414B"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t>Government</w:t>
            </w:r>
          </w:p>
        </w:tc>
        <w:tc>
          <w:tcPr>
            <w:tcW w:w="1134" w:type="dxa"/>
            <w:tcBorders>
              <w:top w:val="single" w:sz="8" w:space="0" w:color="316F72"/>
              <w:left w:val="single" w:sz="8" w:space="0" w:color="316F72"/>
              <w:bottom w:val="single" w:sz="8" w:space="0" w:color="316F72"/>
              <w:right w:val="single" w:sz="8" w:space="0" w:color="316F72"/>
            </w:tcBorders>
          </w:tcPr>
          <w:p w14:paraId="7817D606" w14:textId="09FB4699"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t>From 2019</w:t>
            </w:r>
          </w:p>
        </w:tc>
        <w:tc>
          <w:tcPr>
            <w:tcW w:w="6946" w:type="dxa"/>
            <w:tcBorders>
              <w:top w:val="single" w:sz="8" w:space="0" w:color="316F72"/>
              <w:left w:val="single" w:sz="8" w:space="0" w:color="316F72"/>
              <w:bottom w:val="single" w:sz="8" w:space="0" w:color="316F72"/>
              <w:right w:val="single" w:sz="8" w:space="0" w:color="316F72"/>
            </w:tcBorders>
            <w:vAlign w:val="center"/>
          </w:tcPr>
          <w:p w14:paraId="4CDEC28F" w14:textId="5B933096" w:rsidR="00A93D58" w:rsidRPr="00C77B5B" w:rsidRDefault="00C77B5B" w:rsidP="00A93D58">
            <w:pPr>
              <w:ind w:left="2"/>
              <w:rPr>
                <w:rFonts w:asciiTheme="majorHAnsi" w:hAnsiTheme="majorHAnsi" w:cstheme="majorHAnsi"/>
                <w:b/>
                <w:bCs/>
              </w:rPr>
            </w:pPr>
            <w:r>
              <w:rPr>
                <w:rFonts w:asciiTheme="majorHAnsi" w:hAnsiTheme="majorHAnsi" w:cstheme="majorHAnsi"/>
                <w:b/>
                <w:bCs/>
              </w:rPr>
              <w:t>In Progress</w:t>
            </w:r>
          </w:p>
          <w:p w14:paraId="1FC5B1DA" w14:textId="6CA68F92"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t>In 2019, 29.9 additional FTE teaching staff were allocated across 59 schools. Targeting of resources was to:</w:t>
            </w:r>
          </w:p>
          <w:p w14:paraId="283F6B1B" w14:textId="201FA78A" w:rsidR="00A93D58" w:rsidRPr="00C77B5B" w:rsidRDefault="00A93D58" w:rsidP="00A93D58">
            <w:pPr>
              <w:pStyle w:val="ListParagraph"/>
              <w:numPr>
                <w:ilvl w:val="0"/>
                <w:numId w:val="56"/>
              </w:numPr>
              <w:rPr>
                <w:rFonts w:asciiTheme="majorHAnsi" w:hAnsiTheme="majorHAnsi" w:cstheme="majorHAnsi"/>
              </w:rPr>
            </w:pPr>
            <w:r w:rsidRPr="00C77B5B">
              <w:rPr>
                <w:rFonts w:asciiTheme="majorHAnsi" w:eastAsia="Times New Roman" w:hAnsiTheme="majorHAnsi" w:cstheme="majorHAnsi"/>
              </w:rPr>
              <w:t>all primary schools with enrolments fewer than 150, to support Principals who in many of these schools are required to undertake a teaching role as well as a leadership and management role;</w:t>
            </w:r>
          </w:p>
          <w:p w14:paraId="457AA9DA" w14:textId="17D1F242" w:rsidR="00A93D58" w:rsidRPr="00C77B5B" w:rsidRDefault="00A93D58" w:rsidP="00A93D58">
            <w:pPr>
              <w:pStyle w:val="ListParagraph"/>
              <w:numPr>
                <w:ilvl w:val="0"/>
                <w:numId w:val="56"/>
              </w:numPr>
              <w:rPr>
                <w:rFonts w:asciiTheme="majorHAnsi" w:eastAsia="Corbel" w:hAnsiTheme="majorHAnsi" w:cstheme="majorHAnsi"/>
              </w:rPr>
            </w:pPr>
            <w:r w:rsidRPr="00C77B5B">
              <w:rPr>
                <w:rFonts w:asciiTheme="majorHAnsi" w:eastAsia="Times New Roman" w:hAnsiTheme="majorHAnsi" w:cstheme="majorHAnsi"/>
              </w:rPr>
              <w:t>all district schools (which are kindergarten to Year 10 or Year 12), to support Principals who must drive quality teaching and learning across multiple years and curriculum frameworks, with an additional challenge as schools become Years 11 and 12 extension schools.</w:t>
            </w:r>
          </w:p>
        </w:tc>
      </w:tr>
      <w:tr w:rsidR="00A93D58" w:rsidRPr="00C77B5B" w14:paraId="2077EAFD" w14:textId="77777777" w:rsidTr="0002666A">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6FAE29D6" w14:textId="3D016D00"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t xml:space="preserve">Undertake a functional analysis of school leadership teams and review the role of the principal in the context of leadership in </w:t>
            </w:r>
            <w:r w:rsidRPr="00C77B5B">
              <w:rPr>
                <w:rFonts w:asciiTheme="majorHAnsi" w:eastAsia="Corbel" w:hAnsiTheme="majorHAnsi" w:cstheme="majorHAnsi"/>
              </w:rPr>
              <w:lastRenderedPageBreak/>
              <w:t>government schools, with a focus on the principal being the instructional leader.</w:t>
            </w:r>
          </w:p>
        </w:tc>
        <w:tc>
          <w:tcPr>
            <w:tcW w:w="1559" w:type="dxa"/>
            <w:tcBorders>
              <w:top w:val="single" w:sz="8" w:space="0" w:color="316F72"/>
              <w:left w:val="single" w:sz="8" w:space="0" w:color="316F72"/>
              <w:bottom w:val="single" w:sz="8" w:space="0" w:color="316F72"/>
              <w:right w:val="single" w:sz="8" w:space="0" w:color="316F72"/>
            </w:tcBorders>
          </w:tcPr>
          <w:p w14:paraId="0787E052" w14:textId="7CC5B6A1"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lastRenderedPageBreak/>
              <w:t xml:space="preserve">Government </w:t>
            </w:r>
          </w:p>
        </w:tc>
        <w:tc>
          <w:tcPr>
            <w:tcW w:w="1134" w:type="dxa"/>
            <w:tcBorders>
              <w:top w:val="single" w:sz="8" w:space="0" w:color="316F72"/>
              <w:left w:val="single" w:sz="8" w:space="0" w:color="316F72"/>
              <w:bottom w:val="single" w:sz="8" w:space="0" w:color="316F72"/>
              <w:right w:val="single" w:sz="8" w:space="0" w:color="316F72"/>
            </w:tcBorders>
          </w:tcPr>
          <w:p w14:paraId="02B55AB9" w14:textId="07D00C97" w:rsidR="00A93D58" w:rsidRPr="00C77B5B" w:rsidRDefault="00A93D58" w:rsidP="00A93D58">
            <w:pPr>
              <w:ind w:left="2"/>
              <w:rPr>
                <w:rFonts w:asciiTheme="majorHAnsi" w:eastAsia="Corbel" w:hAnsiTheme="majorHAnsi" w:cstheme="majorHAnsi"/>
                <w:i/>
              </w:rPr>
            </w:pPr>
            <w:r w:rsidRPr="00C77B5B">
              <w:rPr>
                <w:rFonts w:asciiTheme="majorHAnsi" w:hAnsiTheme="majorHAnsi" w:cstheme="majorHAnsi"/>
              </w:rPr>
              <w:t>From 2019</w:t>
            </w:r>
          </w:p>
        </w:tc>
        <w:tc>
          <w:tcPr>
            <w:tcW w:w="6946" w:type="dxa"/>
            <w:tcBorders>
              <w:top w:val="single" w:sz="8" w:space="0" w:color="316F72"/>
              <w:left w:val="single" w:sz="8" w:space="0" w:color="316F72"/>
              <w:bottom w:val="single" w:sz="8" w:space="0" w:color="316F72"/>
              <w:right w:val="single" w:sz="8" w:space="0" w:color="316F72"/>
            </w:tcBorders>
            <w:vAlign w:val="center"/>
          </w:tcPr>
          <w:p w14:paraId="41580EF2" w14:textId="07B8ECBB" w:rsidR="00A93D58" w:rsidRPr="00C77B5B" w:rsidRDefault="00C77B5B" w:rsidP="00A93D58">
            <w:pPr>
              <w:rPr>
                <w:rFonts w:asciiTheme="majorHAnsi" w:hAnsiTheme="majorHAnsi" w:cstheme="majorHAnsi"/>
                <w:b/>
                <w:bCs/>
              </w:rPr>
            </w:pPr>
            <w:r>
              <w:rPr>
                <w:rFonts w:asciiTheme="majorHAnsi" w:hAnsiTheme="majorHAnsi" w:cstheme="majorHAnsi"/>
                <w:b/>
                <w:bCs/>
              </w:rPr>
              <w:t>In Progress</w:t>
            </w:r>
          </w:p>
          <w:p w14:paraId="02660FC7" w14:textId="378340C1"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t xml:space="preserve">The Tasmanian Department of Education’s Contemporary School Leadership Roles project progressed in 2019, with a series of workshops held to co-design a contemporary role description for principals, along </w:t>
            </w:r>
            <w:r w:rsidRPr="00C77B5B">
              <w:rPr>
                <w:rFonts w:asciiTheme="majorHAnsi" w:eastAsia="Corbel" w:hAnsiTheme="majorHAnsi" w:cstheme="majorHAnsi"/>
              </w:rPr>
              <w:lastRenderedPageBreak/>
              <w:t>with surveys and school visits. This project is undertaken in collaboration with PWC and the Melbourne Graduate School of Education.</w:t>
            </w:r>
          </w:p>
        </w:tc>
      </w:tr>
      <w:tr w:rsidR="00A93D58" w:rsidRPr="00C77B5B" w14:paraId="19A9FA21" w14:textId="77777777" w:rsidTr="00D60BAF">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5035EA30" w14:textId="77777777"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lastRenderedPageBreak/>
              <w:t>Develop a leadership continuum model aligning AITSL standards and Catholic Education Tasmania defined</w:t>
            </w:r>
          </w:p>
          <w:p w14:paraId="0E939A73" w14:textId="3F660290" w:rsidR="00A93D58" w:rsidRPr="00C77B5B" w:rsidRDefault="00A93D58" w:rsidP="00A93D58">
            <w:pPr>
              <w:ind w:left="2"/>
              <w:rPr>
                <w:rFonts w:asciiTheme="majorHAnsi" w:eastAsia="Corbel" w:hAnsiTheme="majorHAnsi" w:cstheme="majorHAnsi"/>
              </w:rPr>
            </w:pPr>
            <w:r w:rsidRPr="00C77B5B">
              <w:rPr>
                <w:rFonts w:asciiTheme="majorHAnsi" w:eastAsia="Corbel" w:hAnsiTheme="majorHAnsi" w:cstheme="majorHAnsi"/>
              </w:rPr>
              <w:t>capability streams with an ongoing reference to principal well-being strategies.</w:t>
            </w:r>
          </w:p>
        </w:tc>
        <w:tc>
          <w:tcPr>
            <w:tcW w:w="1559" w:type="dxa"/>
            <w:tcBorders>
              <w:top w:val="single" w:sz="8" w:space="0" w:color="316F72"/>
              <w:left w:val="single" w:sz="8" w:space="0" w:color="316F72"/>
              <w:bottom w:val="single" w:sz="8" w:space="0" w:color="316F72"/>
              <w:right w:val="single" w:sz="8" w:space="0" w:color="316F72"/>
            </w:tcBorders>
          </w:tcPr>
          <w:p w14:paraId="4F98F316" w14:textId="477D20F5" w:rsidR="00A93D58" w:rsidRPr="00C77B5B" w:rsidRDefault="00A93D58" w:rsidP="00A93D58">
            <w:pPr>
              <w:ind w:left="2"/>
              <w:rPr>
                <w:rFonts w:asciiTheme="majorHAnsi" w:hAnsiTheme="majorHAnsi" w:cstheme="majorHAnsi"/>
              </w:rPr>
            </w:pPr>
            <w:r w:rsidRPr="00C77B5B">
              <w:rPr>
                <w:rFonts w:asciiTheme="majorHAnsi" w:eastAsia="Corbel" w:hAnsiTheme="majorHAnsi" w:cstheme="majorHAnsi"/>
              </w:rPr>
              <w:t>Catholic</w:t>
            </w:r>
          </w:p>
        </w:tc>
        <w:tc>
          <w:tcPr>
            <w:tcW w:w="1134" w:type="dxa"/>
            <w:tcBorders>
              <w:top w:val="single" w:sz="8" w:space="0" w:color="316F72"/>
              <w:left w:val="single" w:sz="8" w:space="0" w:color="316F72"/>
              <w:bottom w:val="single" w:sz="8" w:space="0" w:color="316F72"/>
              <w:right w:val="single" w:sz="8" w:space="0" w:color="316F72"/>
            </w:tcBorders>
          </w:tcPr>
          <w:p w14:paraId="39B26D82" w14:textId="26663E42" w:rsidR="00A93D58" w:rsidRPr="00C77B5B" w:rsidRDefault="00A93D58" w:rsidP="00A93D58">
            <w:pPr>
              <w:ind w:left="2"/>
              <w:rPr>
                <w:rFonts w:asciiTheme="majorHAnsi" w:hAnsiTheme="majorHAnsi" w:cstheme="majorHAnsi"/>
              </w:rPr>
            </w:pPr>
            <w:r w:rsidRPr="00C77B5B">
              <w:rPr>
                <w:rFonts w:asciiTheme="majorHAnsi" w:eastAsia="Corbel" w:hAnsiTheme="majorHAnsi" w:cstheme="majorHAnsi"/>
                <w:iCs/>
              </w:rPr>
              <w:t>Ongoing</w:t>
            </w:r>
          </w:p>
        </w:tc>
        <w:tc>
          <w:tcPr>
            <w:tcW w:w="6946" w:type="dxa"/>
            <w:tcBorders>
              <w:top w:val="single" w:sz="8" w:space="0" w:color="316F72"/>
              <w:left w:val="single" w:sz="8" w:space="0" w:color="316F72"/>
              <w:bottom w:val="single" w:sz="8" w:space="0" w:color="316F72"/>
              <w:right w:val="single" w:sz="8" w:space="0" w:color="316F72"/>
            </w:tcBorders>
          </w:tcPr>
          <w:p w14:paraId="5C5E7D5A" w14:textId="77777777" w:rsidR="00C77B5B" w:rsidRPr="00C77B5B" w:rsidRDefault="00C77B5B" w:rsidP="00C77B5B">
            <w:pPr>
              <w:rPr>
                <w:b/>
                <w:bCs/>
              </w:rPr>
            </w:pPr>
            <w:r w:rsidRPr="00C77B5B">
              <w:rPr>
                <w:b/>
                <w:bCs/>
              </w:rPr>
              <w:t>Ongoing</w:t>
            </w:r>
          </w:p>
          <w:p w14:paraId="0D1FD7E4" w14:textId="2FFBC11C" w:rsidR="00A93D58" w:rsidRPr="00C77B5B" w:rsidRDefault="00A93D58" w:rsidP="00C77B5B">
            <w:pPr>
              <w:rPr>
                <w:rFonts w:asciiTheme="majorHAnsi" w:eastAsia="Corbel" w:hAnsiTheme="majorHAnsi" w:cstheme="majorHAnsi"/>
              </w:rPr>
            </w:pPr>
            <w:r w:rsidRPr="00C77B5B">
              <w:rPr>
                <w:rFonts w:asciiTheme="majorHAnsi" w:eastAsia="Corbel" w:hAnsiTheme="majorHAnsi" w:cstheme="majorHAnsi"/>
              </w:rPr>
              <w:t>Developing a more comprehensive and detailed leadership continuum mapped to the AITSL standards and to the principles of leadership in Catholic education with Bloom’s taxonomy of educational objectives to be built around differential practice.</w:t>
            </w:r>
          </w:p>
        </w:tc>
      </w:tr>
    </w:tbl>
    <w:p w14:paraId="20EB40BF" w14:textId="77777777" w:rsidR="008F0E50" w:rsidRDefault="008F0E50">
      <w:pPr>
        <w:rPr>
          <w:rFonts w:ascii="Corbel" w:eastAsia="Corbel" w:hAnsi="Corbel"/>
          <w:b/>
          <w:sz w:val="23"/>
          <w:szCs w:val="23"/>
        </w:rPr>
      </w:pPr>
      <w:r>
        <w:rPr>
          <w:rFonts w:ascii="Corbel" w:eastAsia="Corbel" w:hAnsi="Corbel"/>
          <w:sz w:val="23"/>
          <w:szCs w:val="23"/>
        </w:rPr>
        <w:br w:type="page"/>
      </w:r>
    </w:p>
    <w:p w14:paraId="150A5C56" w14:textId="2D8D4DB7" w:rsidR="008F0E50" w:rsidRPr="008F0E50" w:rsidRDefault="008F0E50" w:rsidP="00C77B5B">
      <w:pPr>
        <w:pStyle w:val="Heading2"/>
        <w:rPr>
          <w:rFonts w:eastAsia="Corbel"/>
        </w:rPr>
      </w:pPr>
      <w:r w:rsidRPr="008F0E50">
        <w:rPr>
          <w:rFonts w:eastAsia="Corbel"/>
        </w:rPr>
        <w:lastRenderedPageBreak/>
        <w:t>Improvement Direction C – School Improvement and support – review, data, planning and resourcing, monitoring and evaluation</w:t>
      </w:r>
    </w:p>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4678"/>
        <w:gridCol w:w="1559"/>
        <w:gridCol w:w="1134"/>
        <w:gridCol w:w="6946"/>
      </w:tblGrid>
      <w:tr w:rsidR="008F0E50" w:rsidRPr="006364C6" w14:paraId="6BEC2320" w14:textId="77777777" w:rsidTr="007D680C">
        <w:trPr>
          <w:trHeight w:val="521"/>
          <w:tblHeader/>
        </w:trPr>
        <w:tc>
          <w:tcPr>
            <w:tcW w:w="4678" w:type="dxa"/>
            <w:tcBorders>
              <w:top w:val="single" w:sz="24" w:space="0" w:color="316F72"/>
              <w:left w:val="single" w:sz="8" w:space="0" w:color="316F72"/>
              <w:bottom w:val="single" w:sz="24" w:space="0" w:color="316F72"/>
              <w:right w:val="single" w:sz="8" w:space="0" w:color="316F72"/>
            </w:tcBorders>
          </w:tcPr>
          <w:p w14:paraId="7227E6D7" w14:textId="7ACD7BEB" w:rsidR="008F0E50" w:rsidRPr="00C77B5B" w:rsidRDefault="008F0E50" w:rsidP="00C77B5B">
            <w:pPr>
              <w:rPr>
                <w:b/>
                <w:bCs/>
              </w:rPr>
            </w:pPr>
            <w:r w:rsidRPr="00C77B5B">
              <w:rPr>
                <w:b/>
                <w:bCs/>
              </w:rPr>
              <w:t>Improvement Activity / Actions</w:t>
            </w:r>
          </w:p>
        </w:tc>
        <w:tc>
          <w:tcPr>
            <w:tcW w:w="1559" w:type="dxa"/>
            <w:tcBorders>
              <w:top w:val="single" w:sz="24" w:space="0" w:color="316F72"/>
              <w:left w:val="single" w:sz="8" w:space="0" w:color="316F72"/>
              <w:bottom w:val="single" w:sz="24" w:space="0" w:color="316F72"/>
              <w:right w:val="single" w:sz="8" w:space="0" w:color="316F72"/>
            </w:tcBorders>
          </w:tcPr>
          <w:p w14:paraId="7FCFBF09" w14:textId="3817E72C" w:rsidR="008F0E50" w:rsidRPr="00C77B5B" w:rsidRDefault="008F0E50" w:rsidP="00C77B5B">
            <w:pPr>
              <w:rPr>
                <w:b/>
                <w:bCs/>
              </w:rPr>
            </w:pPr>
            <w:r w:rsidRPr="00C77B5B">
              <w:rPr>
                <w:b/>
                <w:bCs/>
              </w:rPr>
              <w:t>Sector(s)</w:t>
            </w:r>
          </w:p>
        </w:tc>
        <w:tc>
          <w:tcPr>
            <w:tcW w:w="1134" w:type="dxa"/>
            <w:tcBorders>
              <w:top w:val="single" w:sz="24" w:space="0" w:color="316F72"/>
              <w:left w:val="single" w:sz="8" w:space="0" w:color="316F72"/>
              <w:bottom w:val="single" w:sz="24" w:space="0" w:color="316F72"/>
              <w:right w:val="single" w:sz="8" w:space="0" w:color="316F72"/>
            </w:tcBorders>
          </w:tcPr>
          <w:p w14:paraId="5FE0C310" w14:textId="080C661E" w:rsidR="008F0E50" w:rsidRPr="00C77B5B" w:rsidRDefault="008F0E50" w:rsidP="00C77B5B">
            <w:pPr>
              <w:rPr>
                <w:b/>
                <w:bCs/>
              </w:rPr>
            </w:pPr>
            <w:r w:rsidRPr="00C77B5B">
              <w:rPr>
                <w:b/>
                <w:bCs/>
              </w:rPr>
              <w:t>Timing</w:t>
            </w:r>
          </w:p>
        </w:tc>
        <w:tc>
          <w:tcPr>
            <w:tcW w:w="6946" w:type="dxa"/>
            <w:tcBorders>
              <w:top w:val="single" w:sz="24" w:space="0" w:color="316F72"/>
              <w:left w:val="single" w:sz="8" w:space="0" w:color="316F72"/>
              <w:bottom w:val="single" w:sz="24" w:space="0" w:color="316F72"/>
              <w:right w:val="single" w:sz="8" w:space="0" w:color="316F72"/>
            </w:tcBorders>
          </w:tcPr>
          <w:p w14:paraId="4CA83453" w14:textId="5EB64C49" w:rsidR="008F0E50" w:rsidRPr="00C77B5B" w:rsidRDefault="008F0E50" w:rsidP="00C77B5B">
            <w:pPr>
              <w:rPr>
                <w:b/>
                <w:bCs/>
              </w:rPr>
            </w:pPr>
            <w:r w:rsidRPr="00C77B5B">
              <w:rPr>
                <w:b/>
                <w:bCs/>
              </w:rPr>
              <w:t>Progress towards implementation of actions (including progress of non-government sector actions)</w:t>
            </w:r>
          </w:p>
        </w:tc>
      </w:tr>
      <w:tr w:rsidR="008F0E50" w:rsidRPr="00C77B5B" w14:paraId="62F1D376" w14:textId="77777777" w:rsidTr="008F0E50">
        <w:trPr>
          <w:trHeight w:val="521"/>
        </w:trPr>
        <w:tc>
          <w:tcPr>
            <w:tcW w:w="4678" w:type="dxa"/>
            <w:tcBorders>
              <w:top w:val="single" w:sz="24" w:space="0" w:color="316F72"/>
              <w:left w:val="single" w:sz="8" w:space="0" w:color="316F72"/>
              <w:bottom w:val="single" w:sz="8" w:space="0" w:color="316F72"/>
              <w:right w:val="single" w:sz="8" w:space="0" w:color="316F72"/>
            </w:tcBorders>
            <w:vAlign w:val="center"/>
          </w:tcPr>
          <w:p w14:paraId="6C600C5F" w14:textId="033308EE" w:rsidR="008F0E50" w:rsidRPr="00C77B5B" w:rsidRDefault="008F0E50" w:rsidP="008F0E50">
            <w:pPr>
              <w:ind w:left="2"/>
              <w:rPr>
                <w:rFonts w:asciiTheme="majorHAnsi" w:eastAsia="Corbel" w:hAnsiTheme="majorHAnsi" w:cstheme="majorHAnsi"/>
              </w:rPr>
            </w:pPr>
            <w:r w:rsidRPr="00C77B5B">
              <w:rPr>
                <w:rFonts w:asciiTheme="majorHAnsi" w:eastAsia="Corbel" w:hAnsiTheme="majorHAnsi" w:cstheme="majorHAnsi"/>
              </w:rPr>
              <w:t>Develop a new school and system review approach and associated quality assurance processes to drive improvement in student learning outcomes, with a focus on specific cohorts of students including Aboriginal and Torres Strait Islander students.</w:t>
            </w:r>
          </w:p>
        </w:tc>
        <w:tc>
          <w:tcPr>
            <w:tcW w:w="1559" w:type="dxa"/>
            <w:tcBorders>
              <w:top w:val="single" w:sz="24" w:space="0" w:color="316F72"/>
              <w:left w:val="single" w:sz="8" w:space="0" w:color="316F72"/>
              <w:bottom w:val="single" w:sz="8" w:space="0" w:color="316F72"/>
              <w:right w:val="single" w:sz="8" w:space="0" w:color="316F72"/>
            </w:tcBorders>
          </w:tcPr>
          <w:p w14:paraId="3BC77EF0" w14:textId="009319B3" w:rsidR="008F0E50" w:rsidRPr="00C77B5B" w:rsidRDefault="008F0E50" w:rsidP="008F0E50">
            <w:pPr>
              <w:ind w:left="2"/>
              <w:rPr>
                <w:rFonts w:asciiTheme="majorHAnsi" w:eastAsia="Corbel" w:hAnsiTheme="majorHAnsi" w:cstheme="majorHAnsi"/>
              </w:rPr>
            </w:pPr>
            <w:r w:rsidRPr="00C77B5B">
              <w:rPr>
                <w:rFonts w:asciiTheme="majorHAnsi" w:hAnsiTheme="majorHAnsi" w:cstheme="majorHAnsi"/>
              </w:rPr>
              <w:t>Government</w:t>
            </w:r>
          </w:p>
        </w:tc>
        <w:tc>
          <w:tcPr>
            <w:tcW w:w="1134" w:type="dxa"/>
            <w:tcBorders>
              <w:top w:val="single" w:sz="24" w:space="0" w:color="316F72"/>
              <w:left w:val="single" w:sz="8" w:space="0" w:color="316F72"/>
              <w:bottom w:val="single" w:sz="8" w:space="0" w:color="316F72"/>
              <w:right w:val="single" w:sz="8" w:space="0" w:color="316F72"/>
            </w:tcBorders>
          </w:tcPr>
          <w:p w14:paraId="6F5DA2B6" w14:textId="4C9D9E89" w:rsidR="008F0E50" w:rsidRPr="00C77B5B" w:rsidRDefault="008F0E50" w:rsidP="008F0E50">
            <w:pPr>
              <w:ind w:left="2"/>
              <w:rPr>
                <w:rFonts w:asciiTheme="majorHAnsi" w:eastAsia="Corbel" w:hAnsiTheme="majorHAnsi" w:cstheme="majorHAnsi"/>
                <w:iCs/>
              </w:rPr>
            </w:pPr>
            <w:r w:rsidRPr="00C77B5B">
              <w:rPr>
                <w:rFonts w:asciiTheme="majorHAnsi" w:hAnsiTheme="majorHAnsi" w:cstheme="majorHAnsi"/>
              </w:rPr>
              <w:t>From 2019</w:t>
            </w:r>
          </w:p>
        </w:tc>
        <w:tc>
          <w:tcPr>
            <w:tcW w:w="6946" w:type="dxa"/>
            <w:tcBorders>
              <w:top w:val="single" w:sz="24" w:space="0" w:color="316F72"/>
              <w:left w:val="single" w:sz="8" w:space="0" w:color="316F72"/>
              <w:bottom w:val="single" w:sz="8" w:space="0" w:color="316F72"/>
              <w:right w:val="single" w:sz="8" w:space="0" w:color="316F72"/>
            </w:tcBorders>
          </w:tcPr>
          <w:p w14:paraId="35A10645" w14:textId="32746D86" w:rsidR="008F0E50" w:rsidRPr="00C77B5B" w:rsidRDefault="00C77B5B" w:rsidP="008F0E50">
            <w:pPr>
              <w:ind w:left="2"/>
              <w:rPr>
                <w:rFonts w:asciiTheme="majorHAnsi" w:hAnsiTheme="majorHAnsi" w:cstheme="majorHAnsi"/>
                <w:b/>
                <w:bCs/>
              </w:rPr>
            </w:pPr>
            <w:r>
              <w:rPr>
                <w:rFonts w:asciiTheme="majorHAnsi" w:hAnsiTheme="majorHAnsi" w:cstheme="majorHAnsi"/>
                <w:b/>
                <w:bCs/>
              </w:rPr>
              <w:t>In Progress</w:t>
            </w:r>
          </w:p>
          <w:p w14:paraId="76382509" w14:textId="7D7A64F9" w:rsidR="008F0E50" w:rsidRPr="00C77B5B" w:rsidRDefault="008F0E50" w:rsidP="008F0E50">
            <w:pPr>
              <w:rPr>
                <w:rFonts w:asciiTheme="majorHAnsi" w:eastAsia="Corbel" w:hAnsiTheme="majorHAnsi" w:cstheme="majorHAnsi"/>
              </w:rPr>
            </w:pPr>
            <w:r w:rsidRPr="00C77B5B">
              <w:rPr>
                <w:rFonts w:asciiTheme="majorHAnsi" w:eastAsia="Corbel" w:hAnsiTheme="majorHAnsi" w:cstheme="majorHAnsi"/>
              </w:rPr>
              <w:t>The Tasmanian Department of Education implemented a new approach to school review and improvement in 2019. This approach provides an external perspective to verify and challenge schools’ improvement initiatives, with principals then using the findings as part of their schools’ improvement planning. This external school review approach is based on the National School Improvement Tool.</w:t>
            </w:r>
          </w:p>
        </w:tc>
      </w:tr>
      <w:tr w:rsidR="008F0E50" w:rsidRPr="00C77B5B" w14:paraId="6AE748E9" w14:textId="77777777" w:rsidTr="00D60BAF">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32404AF3" w14:textId="6595B108" w:rsidR="008F0E50" w:rsidRPr="00C77B5B" w:rsidRDefault="008F0E50" w:rsidP="008F0E50">
            <w:pPr>
              <w:ind w:left="2"/>
              <w:rPr>
                <w:rFonts w:asciiTheme="majorHAnsi" w:eastAsia="Corbel" w:hAnsiTheme="majorHAnsi" w:cstheme="majorHAnsi"/>
              </w:rPr>
            </w:pPr>
            <w:r w:rsidRPr="00C77B5B">
              <w:rPr>
                <w:rFonts w:asciiTheme="majorHAnsi" w:eastAsia="Corbel" w:hAnsiTheme="majorHAnsi" w:cstheme="majorHAnsi"/>
              </w:rPr>
              <w:t xml:space="preserve">Continue to utilise external expertise to engage and evaluate system improvement priorities, with a </w:t>
            </w:r>
            <w:proofErr w:type="gramStart"/>
            <w:r w:rsidRPr="00C77B5B">
              <w:rPr>
                <w:rFonts w:asciiTheme="majorHAnsi" w:eastAsia="Corbel" w:hAnsiTheme="majorHAnsi" w:cstheme="majorHAnsi"/>
              </w:rPr>
              <w:t>particular focus</w:t>
            </w:r>
            <w:proofErr w:type="gramEnd"/>
            <w:r w:rsidRPr="00C77B5B">
              <w:rPr>
                <w:rFonts w:asciiTheme="majorHAnsi" w:eastAsia="Corbel" w:hAnsiTheme="majorHAnsi" w:cstheme="majorHAnsi"/>
              </w:rPr>
              <w:t xml:space="preserve"> on capacity building.</w:t>
            </w:r>
          </w:p>
        </w:tc>
        <w:tc>
          <w:tcPr>
            <w:tcW w:w="1559" w:type="dxa"/>
            <w:tcBorders>
              <w:top w:val="single" w:sz="8" w:space="0" w:color="316F72"/>
              <w:left w:val="single" w:sz="8" w:space="0" w:color="316F72"/>
              <w:bottom w:val="single" w:sz="8" w:space="0" w:color="316F72"/>
              <w:right w:val="single" w:sz="8" w:space="0" w:color="316F72"/>
            </w:tcBorders>
          </w:tcPr>
          <w:p w14:paraId="678813E8" w14:textId="13382886" w:rsidR="008F0E50" w:rsidRPr="00C77B5B" w:rsidRDefault="008F0E50" w:rsidP="008F0E50">
            <w:pPr>
              <w:ind w:left="2"/>
              <w:rPr>
                <w:rFonts w:asciiTheme="majorHAnsi" w:eastAsia="Corbel" w:hAnsiTheme="majorHAnsi" w:cstheme="majorHAnsi"/>
              </w:rPr>
            </w:pPr>
            <w:r w:rsidRPr="00C77B5B">
              <w:rPr>
                <w:rFonts w:asciiTheme="majorHAnsi" w:hAnsiTheme="majorHAnsi" w:cstheme="majorHAnsi"/>
              </w:rPr>
              <w:t>Government</w:t>
            </w:r>
          </w:p>
        </w:tc>
        <w:tc>
          <w:tcPr>
            <w:tcW w:w="1134" w:type="dxa"/>
            <w:tcBorders>
              <w:top w:val="single" w:sz="8" w:space="0" w:color="316F72"/>
              <w:left w:val="single" w:sz="8" w:space="0" w:color="316F72"/>
              <w:bottom w:val="single" w:sz="8" w:space="0" w:color="316F72"/>
              <w:right w:val="single" w:sz="8" w:space="0" w:color="316F72"/>
            </w:tcBorders>
          </w:tcPr>
          <w:p w14:paraId="6A709DFF" w14:textId="656B41F0" w:rsidR="008F0E50" w:rsidRPr="00C77B5B" w:rsidRDefault="008F0E50" w:rsidP="008F0E50">
            <w:pPr>
              <w:ind w:left="2"/>
              <w:rPr>
                <w:rFonts w:asciiTheme="majorHAnsi" w:eastAsia="Corbel" w:hAnsiTheme="majorHAnsi" w:cstheme="majorHAnsi"/>
                <w:iCs/>
              </w:rPr>
            </w:pPr>
            <w:r w:rsidRPr="00C77B5B">
              <w:rPr>
                <w:rFonts w:asciiTheme="majorHAnsi" w:hAnsiTheme="majorHAnsi" w:cstheme="majorHAnsi"/>
              </w:rPr>
              <w:t>Ongoing</w:t>
            </w:r>
          </w:p>
        </w:tc>
        <w:tc>
          <w:tcPr>
            <w:tcW w:w="6946" w:type="dxa"/>
            <w:tcBorders>
              <w:top w:val="single" w:sz="8" w:space="0" w:color="316F72"/>
              <w:left w:val="single" w:sz="8" w:space="0" w:color="316F72"/>
              <w:bottom w:val="single" w:sz="8" w:space="0" w:color="316F72"/>
              <w:right w:val="single" w:sz="8" w:space="0" w:color="316F72"/>
            </w:tcBorders>
          </w:tcPr>
          <w:p w14:paraId="273CE259" w14:textId="77777777" w:rsidR="00C77B5B" w:rsidRPr="00C77B5B" w:rsidRDefault="00C77B5B" w:rsidP="00C77B5B">
            <w:pPr>
              <w:ind w:left="2"/>
              <w:rPr>
                <w:rFonts w:asciiTheme="majorHAnsi" w:hAnsiTheme="majorHAnsi" w:cstheme="majorHAnsi"/>
                <w:b/>
                <w:bCs/>
              </w:rPr>
            </w:pPr>
            <w:r>
              <w:rPr>
                <w:rFonts w:asciiTheme="majorHAnsi" w:hAnsiTheme="majorHAnsi" w:cstheme="majorHAnsi"/>
                <w:b/>
                <w:bCs/>
              </w:rPr>
              <w:t>Ongoing</w:t>
            </w:r>
          </w:p>
          <w:p w14:paraId="3A53A010" w14:textId="77777777" w:rsidR="008F0E50" w:rsidRPr="00C77B5B" w:rsidRDefault="008F0E50" w:rsidP="008F0E50">
            <w:pPr>
              <w:rPr>
                <w:rFonts w:asciiTheme="majorHAnsi" w:eastAsia="Corbel" w:hAnsiTheme="majorHAnsi" w:cstheme="majorHAnsi"/>
              </w:rPr>
            </w:pPr>
            <w:r w:rsidRPr="00C77B5B">
              <w:rPr>
                <w:rFonts w:asciiTheme="majorHAnsi" w:eastAsia="Corbel" w:hAnsiTheme="majorHAnsi" w:cstheme="majorHAnsi"/>
              </w:rPr>
              <w:t>As noted, the Tasmanian Department of Education engaged the Melbourne Graduate School of Education and PWC in 2019 for the Contemporary School Leadership Roles project.</w:t>
            </w:r>
          </w:p>
          <w:p w14:paraId="7D6A1CFE" w14:textId="1AB5C825" w:rsidR="008F0E50" w:rsidRPr="00C77B5B" w:rsidRDefault="008F0E50" w:rsidP="008F0E50">
            <w:pPr>
              <w:rPr>
                <w:rFonts w:asciiTheme="majorHAnsi" w:eastAsia="Corbel" w:hAnsiTheme="majorHAnsi" w:cstheme="majorHAnsi"/>
              </w:rPr>
            </w:pPr>
            <w:r w:rsidRPr="00C77B5B">
              <w:rPr>
                <w:rFonts w:asciiTheme="majorHAnsi" w:eastAsia="Corbel" w:hAnsiTheme="majorHAnsi" w:cstheme="majorHAnsi"/>
              </w:rPr>
              <w:t>At the 2019 Leaders Forums, the Australian Council for Educational Research delivered professional learning to all Tasmanian Government school principals in the application of the National School Improvement Tool.</w:t>
            </w:r>
          </w:p>
        </w:tc>
      </w:tr>
      <w:tr w:rsidR="008F0E50" w:rsidRPr="00C77B5B" w14:paraId="1B929FBA" w14:textId="77777777" w:rsidTr="00D60BAF">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5800C043" w14:textId="50C0ADD5" w:rsidR="008F0E50" w:rsidRPr="00C77B5B" w:rsidRDefault="008F0E50" w:rsidP="008F0E50">
            <w:pPr>
              <w:ind w:left="2"/>
              <w:rPr>
                <w:rFonts w:asciiTheme="majorHAnsi" w:eastAsia="Corbel" w:hAnsiTheme="majorHAnsi" w:cstheme="majorHAnsi"/>
              </w:rPr>
            </w:pPr>
            <w:r w:rsidRPr="00C77B5B">
              <w:rPr>
                <w:rFonts w:asciiTheme="majorHAnsi" w:eastAsia="Corbel" w:hAnsiTheme="majorHAnsi" w:cstheme="majorHAnsi"/>
              </w:rPr>
              <w:t xml:space="preserve">Enhance schools’ internal self-review and external quality assurance process for the </w:t>
            </w:r>
            <w:r w:rsidRPr="00C77B5B">
              <w:rPr>
                <w:rFonts w:asciiTheme="majorHAnsi" w:eastAsia="Corbel" w:hAnsiTheme="majorHAnsi" w:cstheme="majorHAnsi"/>
              </w:rPr>
              <w:lastRenderedPageBreak/>
              <w:t>purpose of monitoring and reviewing student learning gain.</w:t>
            </w:r>
          </w:p>
        </w:tc>
        <w:tc>
          <w:tcPr>
            <w:tcW w:w="1559" w:type="dxa"/>
            <w:tcBorders>
              <w:top w:val="single" w:sz="8" w:space="0" w:color="316F72"/>
              <w:left w:val="single" w:sz="8" w:space="0" w:color="316F72"/>
              <w:bottom w:val="single" w:sz="8" w:space="0" w:color="316F72"/>
              <w:right w:val="single" w:sz="8" w:space="0" w:color="316F72"/>
            </w:tcBorders>
          </w:tcPr>
          <w:p w14:paraId="2FDCAFB8" w14:textId="4B5F34CC" w:rsidR="008F0E50" w:rsidRPr="00C77B5B" w:rsidRDefault="008F0E50" w:rsidP="008F0E50">
            <w:pPr>
              <w:ind w:left="2"/>
              <w:rPr>
                <w:rFonts w:asciiTheme="majorHAnsi" w:hAnsiTheme="majorHAnsi" w:cstheme="majorHAnsi"/>
              </w:rPr>
            </w:pPr>
            <w:r w:rsidRPr="00C77B5B">
              <w:rPr>
                <w:rFonts w:asciiTheme="majorHAnsi" w:eastAsia="Corbel" w:hAnsiTheme="majorHAnsi" w:cstheme="majorHAnsi"/>
              </w:rPr>
              <w:lastRenderedPageBreak/>
              <w:t>Independent</w:t>
            </w:r>
          </w:p>
        </w:tc>
        <w:tc>
          <w:tcPr>
            <w:tcW w:w="1134" w:type="dxa"/>
            <w:tcBorders>
              <w:top w:val="single" w:sz="8" w:space="0" w:color="316F72"/>
              <w:left w:val="single" w:sz="8" w:space="0" w:color="316F72"/>
              <w:bottom w:val="single" w:sz="8" w:space="0" w:color="316F72"/>
              <w:right w:val="single" w:sz="8" w:space="0" w:color="316F72"/>
            </w:tcBorders>
          </w:tcPr>
          <w:p w14:paraId="404DF678" w14:textId="0F93A4EF" w:rsidR="008F0E50" w:rsidRPr="00C77B5B" w:rsidRDefault="008F0E50" w:rsidP="008F0E50">
            <w:pPr>
              <w:ind w:left="2"/>
              <w:rPr>
                <w:rFonts w:asciiTheme="majorHAnsi" w:hAnsiTheme="majorHAnsi" w:cstheme="majorHAnsi"/>
              </w:rPr>
            </w:pPr>
            <w:r w:rsidRPr="00C77B5B">
              <w:rPr>
                <w:rFonts w:asciiTheme="majorHAnsi" w:eastAsia="Corbel" w:hAnsiTheme="majorHAnsi" w:cstheme="majorHAnsi"/>
              </w:rPr>
              <w:t>Ongoing</w:t>
            </w:r>
          </w:p>
        </w:tc>
        <w:tc>
          <w:tcPr>
            <w:tcW w:w="6946" w:type="dxa"/>
            <w:tcBorders>
              <w:top w:val="single" w:sz="8" w:space="0" w:color="316F72"/>
              <w:left w:val="single" w:sz="8" w:space="0" w:color="316F72"/>
              <w:bottom w:val="single" w:sz="8" w:space="0" w:color="316F72"/>
              <w:right w:val="single" w:sz="8" w:space="0" w:color="316F72"/>
            </w:tcBorders>
          </w:tcPr>
          <w:p w14:paraId="03BDE668" w14:textId="77777777" w:rsidR="00C77B5B" w:rsidRPr="00C77B5B" w:rsidRDefault="00C77B5B" w:rsidP="00C77B5B">
            <w:pPr>
              <w:ind w:left="2"/>
              <w:rPr>
                <w:rFonts w:asciiTheme="majorHAnsi" w:hAnsiTheme="majorHAnsi" w:cstheme="majorHAnsi"/>
                <w:b/>
                <w:bCs/>
              </w:rPr>
            </w:pPr>
            <w:r>
              <w:rPr>
                <w:rFonts w:asciiTheme="majorHAnsi" w:hAnsiTheme="majorHAnsi" w:cstheme="majorHAnsi"/>
                <w:b/>
                <w:bCs/>
              </w:rPr>
              <w:t>Ongoing</w:t>
            </w:r>
          </w:p>
          <w:p w14:paraId="09F51E28" w14:textId="14B9D705" w:rsidR="008F0E50" w:rsidRPr="00C77B5B" w:rsidRDefault="008F0E50" w:rsidP="008F0E50">
            <w:pPr>
              <w:rPr>
                <w:rFonts w:asciiTheme="majorHAnsi" w:eastAsia="Corbel" w:hAnsiTheme="majorHAnsi" w:cstheme="majorHAnsi"/>
              </w:rPr>
            </w:pPr>
            <w:r w:rsidRPr="00C77B5B">
              <w:rPr>
                <w:rFonts w:asciiTheme="majorHAnsi" w:eastAsia="Corbel" w:hAnsiTheme="majorHAnsi" w:cstheme="majorHAnsi"/>
              </w:rPr>
              <w:t xml:space="preserve">A new project for IST commencing in 2019 was to enhance independent schools’ internal self-review and external quality assurance processes for </w:t>
            </w:r>
            <w:r w:rsidRPr="00C77B5B">
              <w:rPr>
                <w:rFonts w:asciiTheme="majorHAnsi" w:eastAsia="Corbel" w:hAnsiTheme="majorHAnsi" w:cstheme="majorHAnsi"/>
              </w:rPr>
              <w:lastRenderedPageBreak/>
              <w:t>the purpose of monitoring and reviewing student learning gain in each individual school. Individual support was offered to independent schools by IST consultants, focusing upon analysis of NAPLAN data to inform and improve teaching and learning. Visits were conducted to 12 schools (randomly selected) across the state. Visits focused on a planned meeting with the school leadership and/or learning teams.</w:t>
            </w:r>
          </w:p>
        </w:tc>
      </w:tr>
      <w:tr w:rsidR="008F0E50" w:rsidRPr="00C77B5B" w14:paraId="1D6C820C" w14:textId="77777777" w:rsidTr="00D60BAF">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25EE49F0" w14:textId="77777777" w:rsidR="008F0E50" w:rsidRPr="00C77B5B" w:rsidRDefault="008F0E50" w:rsidP="008F0E50">
            <w:pPr>
              <w:ind w:left="2"/>
              <w:rPr>
                <w:rFonts w:asciiTheme="majorHAnsi" w:eastAsia="Corbel" w:hAnsiTheme="majorHAnsi" w:cstheme="majorHAnsi"/>
                <w:iCs/>
              </w:rPr>
            </w:pPr>
            <w:r w:rsidRPr="00C77B5B">
              <w:rPr>
                <w:rFonts w:asciiTheme="majorHAnsi" w:eastAsia="Corbel" w:hAnsiTheme="majorHAnsi" w:cstheme="majorHAnsi"/>
                <w:iCs/>
              </w:rPr>
              <w:lastRenderedPageBreak/>
              <w:t>Continue to improve school improvement frameworks consistent with the ACER National School Improvement Tool and its nine domains.</w:t>
            </w:r>
          </w:p>
          <w:p w14:paraId="00351239" w14:textId="20FD067A" w:rsidR="008F0E50" w:rsidRPr="00C77B5B" w:rsidRDefault="008F0E50" w:rsidP="008F0E50">
            <w:pPr>
              <w:ind w:left="2"/>
              <w:rPr>
                <w:rFonts w:asciiTheme="majorHAnsi" w:eastAsia="Corbel" w:hAnsiTheme="majorHAnsi" w:cstheme="majorHAnsi"/>
              </w:rPr>
            </w:pPr>
          </w:p>
        </w:tc>
        <w:tc>
          <w:tcPr>
            <w:tcW w:w="1559" w:type="dxa"/>
            <w:tcBorders>
              <w:top w:val="single" w:sz="8" w:space="0" w:color="316F72"/>
              <w:left w:val="single" w:sz="8" w:space="0" w:color="316F72"/>
              <w:bottom w:val="single" w:sz="8" w:space="0" w:color="316F72"/>
              <w:right w:val="single" w:sz="8" w:space="0" w:color="316F72"/>
            </w:tcBorders>
          </w:tcPr>
          <w:p w14:paraId="0F08D06E" w14:textId="7F2ED2C9" w:rsidR="008F0E50" w:rsidRPr="00C77B5B" w:rsidRDefault="008F0E50" w:rsidP="008F0E50">
            <w:pPr>
              <w:ind w:left="2"/>
              <w:rPr>
                <w:rFonts w:asciiTheme="majorHAnsi" w:hAnsiTheme="majorHAnsi" w:cstheme="majorHAnsi"/>
              </w:rPr>
            </w:pPr>
            <w:r w:rsidRPr="00C77B5B">
              <w:rPr>
                <w:rFonts w:asciiTheme="majorHAnsi" w:eastAsia="Corbel" w:hAnsiTheme="majorHAnsi" w:cstheme="majorHAnsi"/>
              </w:rPr>
              <w:t>Catholic</w:t>
            </w:r>
          </w:p>
        </w:tc>
        <w:tc>
          <w:tcPr>
            <w:tcW w:w="1134" w:type="dxa"/>
            <w:tcBorders>
              <w:top w:val="single" w:sz="8" w:space="0" w:color="316F72"/>
              <w:left w:val="single" w:sz="8" w:space="0" w:color="316F72"/>
              <w:bottom w:val="single" w:sz="8" w:space="0" w:color="316F72"/>
              <w:right w:val="single" w:sz="8" w:space="0" w:color="316F72"/>
            </w:tcBorders>
          </w:tcPr>
          <w:p w14:paraId="6030B685" w14:textId="795D3BF1" w:rsidR="008F0E50" w:rsidRPr="00C77B5B" w:rsidRDefault="008F0E50" w:rsidP="008F0E50">
            <w:pPr>
              <w:ind w:left="2"/>
              <w:rPr>
                <w:rFonts w:asciiTheme="majorHAnsi" w:hAnsiTheme="majorHAnsi" w:cstheme="majorHAnsi"/>
              </w:rPr>
            </w:pPr>
            <w:r w:rsidRPr="00C77B5B">
              <w:rPr>
                <w:rFonts w:asciiTheme="majorHAnsi" w:eastAsia="Corbel" w:hAnsiTheme="majorHAnsi" w:cstheme="majorHAnsi"/>
                <w:iCs/>
              </w:rPr>
              <w:t>Ongoing</w:t>
            </w:r>
          </w:p>
        </w:tc>
        <w:tc>
          <w:tcPr>
            <w:tcW w:w="6946" w:type="dxa"/>
            <w:tcBorders>
              <w:top w:val="single" w:sz="8" w:space="0" w:color="316F72"/>
              <w:left w:val="single" w:sz="8" w:space="0" w:color="316F72"/>
              <w:bottom w:val="single" w:sz="8" w:space="0" w:color="316F72"/>
              <w:right w:val="single" w:sz="8" w:space="0" w:color="316F72"/>
            </w:tcBorders>
          </w:tcPr>
          <w:p w14:paraId="6E547FF4" w14:textId="6DCA44CA" w:rsidR="00C77B5B" w:rsidRPr="00C77B5B" w:rsidRDefault="00C77B5B" w:rsidP="00C77B5B">
            <w:pPr>
              <w:ind w:left="2"/>
              <w:rPr>
                <w:rFonts w:asciiTheme="majorHAnsi" w:hAnsiTheme="majorHAnsi" w:cstheme="majorHAnsi"/>
                <w:b/>
                <w:bCs/>
              </w:rPr>
            </w:pPr>
            <w:r>
              <w:rPr>
                <w:rFonts w:asciiTheme="majorHAnsi" w:hAnsiTheme="majorHAnsi" w:cstheme="majorHAnsi"/>
                <w:b/>
                <w:bCs/>
              </w:rPr>
              <w:t>Deferred</w:t>
            </w:r>
          </w:p>
          <w:p w14:paraId="47D6FB1E" w14:textId="0991CE92" w:rsidR="008F0E50" w:rsidRPr="00C77B5B" w:rsidRDefault="008F0E50" w:rsidP="008F0E50">
            <w:pPr>
              <w:rPr>
                <w:rFonts w:asciiTheme="majorHAnsi" w:eastAsia="Corbel" w:hAnsiTheme="majorHAnsi" w:cstheme="majorHAnsi"/>
              </w:rPr>
            </w:pPr>
            <w:r w:rsidRPr="00C77B5B">
              <w:rPr>
                <w:rFonts w:asciiTheme="majorHAnsi" w:eastAsia="Corbel" w:hAnsiTheme="majorHAnsi" w:cstheme="majorHAnsi"/>
              </w:rPr>
              <w:t>This project is waiting on the development of an ICT identity management capability to enable a system roll out.</w:t>
            </w:r>
          </w:p>
        </w:tc>
      </w:tr>
    </w:tbl>
    <w:p w14:paraId="5D8741B1" w14:textId="77777777" w:rsidR="00CC45A7" w:rsidRPr="00C77B5B" w:rsidRDefault="00CC45A7">
      <w:pPr>
        <w:rPr>
          <w:rFonts w:asciiTheme="majorHAnsi" w:eastAsia="Corbel" w:hAnsiTheme="majorHAnsi" w:cstheme="majorHAnsi"/>
          <w:b/>
          <w:szCs w:val="22"/>
        </w:rPr>
      </w:pPr>
      <w:r w:rsidRPr="00C77B5B">
        <w:rPr>
          <w:rFonts w:asciiTheme="majorHAnsi" w:eastAsia="Corbel" w:hAnsiTheme="majorHAnsi" w:cstheme="majorHAnsi"/>
          <w:szCs w:val="22"/>
        </w:rPr>
        <w:br w:type="page"/>
      </w:r>
    </w:p>
    <w:p w14:paraId="7A75E16E" w14:textId="5C9865D3" w:rsidR="00F05FD1" w:rsidRPr="00C77B5B" w:rsidRDefault="00F05FD1" w:rsidP="00F05FD1">
      <w:pPr>
        <w:pStyle w:val="Heading1"/>
        <w:rPr>
          <w:rFonts w:asciiTheme="majorHAnsi" w:eastAsia="Corbel" w:hAnsiTheme="majorHAnsi" w:cstheme="majorHAnsi"/>
          <w:sz w:val="22"/>
          <w:szCs w:val="22"/>
        </w:rPr>
      </w:pPr>
      <w:r w:rsidRPr="00C77B5B">
        <w:rPr>
          <w:rFonts w:asciiTheme="majorHAnsi" w:eastAsia="Corbel" w:hAnsiTheme="majorHAnsi" w:cstheme="majorHAnsi"/>
          <w:sz w:val="22"/>
          <w:szCs w:val="22"/>
        </w:rPr>
        <w:lastRenderedPageBreak/>
        <w:t>Reform Direction D – School community partnerships – local and community partnerships</w:t>
      </w:r>
    </w:p>
    <w:p w14:paraId="046F53CD" w14:textId="77777777" w:rsidR="00F05FD1" w:rsidRPr="00C77B5B" w:rsidRDefault="00F05FD1">
      <w:pPr>
        <w:rPr>
          <w:rFonts w:asciiTheme="majorHAnsi" w:hAnsiTheme="majorHAnsi" w:cstheme="majorHAnsi"/>
          <w:szCs w:val="22"/>
        </w:rPr>
      </w:pPr>
    </w:p>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4678"/>
        <w:gridCol w:w="1559"/>
        <w:gridCol w:w="1134"/>
        <w:gridCol w:w="6946"/>
      </w:tblGrid>
      <w:tr w:rsidR="00F05FD1" w:rsidRPr="00C77B5B" w14:paraId="09466865" w14:textId="77777777" w:rsidTr="00CC45A7">
        <w:trPr>
          <w:trHeight w:val="521"/>
          <w:tblHeader/>
        </w:trPr>
        <w:tc>
          <w:tcPr>
            <w:tcW w:w="4678" w:type="dxa"/>
            <w:tcBorders>
              <w:top w:val="single" w:sz="24" w:space="0" w:color="316F72"/>
              <w:left w:val="single" w:sz="8" w:space="0" w:color="316F72"/>
              <w:bottom w:val="single" w:sz="24" w:space="0" w:color="316F72"/>
              <w:right w:val="single" w:sz="8" w:space="0" w:color="316F72"/>
            </w:tcBorders>
          </w:tcPr>
          <w:p w14:paraId="19EF3447" w14:textId="6C4808CE" w:rsidR="00F05FD1" w:rsidRPr="00C77B5B" w:rsidRDefault="00F05FD1" w:rsidP="00F05FD1">
            <w:pPr>
              <w:ind w:left="2"/>
              <w:rPr>
                <w:rFonts w:asciiTheme="majorHAnsi" w:eastAsia="Corbel" w:hAnsiTheme="majorHAnsi" w:cstheme="majorHAnsi"/>
              </w:rPr>
            </w:pPr>
            <w:r w:rsidRPr="00C77B5B">
              <w:rPr>
                <w:rFonts w:asciiTheme="majorHAnsi" w:eastAsia="Corbel" w:hAnsiTheme="majorHAnsi" w:cstheme="majorHAnsi"/>
                <w:b/>
              </w:rPr>
              <w:t>Improvement Activity /</w:t>
            </w:r>
            <w:r w:rsidRPr="00C77B5B">
              <w:rPr>
                <w:rFonts w:asciiTheme="majorHAnsi" w:hAnsiTheme="majorHAnsi" w:cstheme="majorHAnsi"/>
              </w:rPr>
              <w:t xml:space="preserve"> </w:t>
            </w:r>
            <w:r w:rsidRPr="00C77B5B">
              <w:rPr>
                <w:rFonts w:asciiTheme="majorHAnsi" w:eastAsia="Corbel" w:hAnsiTheme="majorHAnsi" w:cstheme="majorHAnsi"/>
                <w:b/>
              </w:rPr>
              <w:t>Actions</w:t>
            </w:r>
          </w:p>
        </w:tc>
        <w:tc>
          <w:tcPr>
            <w:tcW w:w="1559" w:type="dxa"/>
            <w:tcBorders>
              <w:top w:val="single" w:sz="24" w:space="0" w:color="316F72"/>
              <w:left w:val="single" w:sz="8" w:space="0" w:color="316F72"/>
              <w:bottom w:val="single" w:sz="24" w:space="0" w:color="316F72"/>
              <w:right w:val="single" w:sz="8" w:space="0" w:color="316F72"/>
            </w:tcBorders>
          </w:tcPr>
          <w:p w14:paraId="08B55785" w14:textId="2286A4CC" w:rsidR="00F05FD1" w:rsidRPr="00C77B5B" w:rsidRDefault="00F05FD1" w:rsidP="00F05FD1">
            <w:pPr>
              <w:ind w:left="2"/>
              <w:rPr>
                <w:rFonts w:asciiTheme="majorHAnsi" w:hAnsiTheme="majorHAnsi" w:cstheme="majorHAnsi"/>
              </w:rPr>
            </w:pPr>
            <w:r w:rsidRPr="00C77B5B">
              <w:rPr>
                <w:rFonts w:asciiTheme="majorHAnsi" w:eastAsia="Corbel" w:hAnsiTheme="majorHAnsi" w:cstheme="majorHAnsi"/>
                <w:b/>
              </w:rPr>
              <w:t>Sector(s)</w:t>
            </w:r>
          </w:p>
        </w:tc>
        <w:tc>
          <w:tcPr>
            <w:tcW w:w="1134" w:type="dxa"/>
            <w:tcBorders>
              <w:top w:val="single" w:sz="24" w:space="0" w:color="316F72"/>
              <w:left w:val="single" w:sz="8" w:space="0" w:color="316F72"/>
              <w:bottom w:val="single" w:sz="24" w:space="0" w:color="316F72"/>
              <w:right w:val="single" w:sz="8" w:space="0" w:color="316F72"/>
            </w:tcBorders>
          </w:tcPr>
          <w:p w14:paraId="2FEB46FC" w14:textId="226CF78F" w:rsidR="00F05FD1" w:rsidRPr="00C77B5B" w:rsidRDefault="00F05FD1" w:rsidP="00F05FD1">
            <w:pPr>
              <w:ind w:left="2"/>
              <w:rPr>
                <w:rFonts w:asciiTheme="majorHAnsi" w:hAnsiTheme="majorHAnsi" w:cstheme="majorHAnsi"/>
              </w:rPr>
            </w:pPr>
            <w:r w:rsidRPr="00C77B5B">
              <w:rPr>
                <w:rFonts w:asciiTheme="majorHAnsi" w:eastAsia="Corbel" w:hAnsiTheme="majorHAnsi" w:cstheme="majorHAnsi"/>
                <w:b/>
              </w:rPr>
              <w:t>Timing</w:t>
            </w:r>
          </w:p>
        </w:tc>
        <w:tc>
          <w:tcPr>
            <w:tcW w:w="6946" w:type="dxa"/>
            <w:tcBorders>
              <w:top w:val="single" w:sz="24" w:space="0" w:color="316F72"/>
              <w:left w:val="single" w:sz="8" w:space="0" w:color="316F72"/>
              <w:bottom w:val="single" w:sz="24" w:space="0" w:color="316F72"/>
              <w:right w:val="single" w:sz="8" w:space="0" w:color="316F72"/>
            </w:tcBorders>
          </w:tcPr>
          <w:p w14:paraId="700EF7D4" w14:textId="4961ED6F" w:rsidR="00F05FD1" w:rsidRPr="00C77B5B" w:rsidRDefault="00F05FD1" w:rsidP="00F05FD1">
            <w:pPr>
              <w:rPr>
                <w:rFonts w:asciiTheme="majorHAnsi" w:eastAsia="Corbel" w:hAnsiTheme="majorHAnsi" w:cstheme="majorHAnsi"/>
              </w:rPr>
            </w:pPr>
            <w:r w:rsidRPr="00C77B5B">
              <w:rPr>
                <w:rFonts w:asciiTheme="majorHAnsi" w:eastAsia="Corbel" w:hAnsiTheme="majorHAnsi" w:cstheme="majorHAnsi"/>
                <w:b/>
              </w:rPr>
              <w:t>Progress towards implementation of actions (including progress of non-government sector actions)</w:t>
            </w:r>
          </w:p>
        </w:tc>
      </w:tr>
      <w:tr w:rsidR="00F05FD1" w:rsidRPr="00C77B5B" w14:paraId="0DF769C0" w14:textId="77777777" w:rsidTr="00F05FD1">
        <w:trPr>
          <w:trHeight w:val="521"/>
        </w:trPr>
        <w:tc>
          <w:tcPr>
            <w:tcW w:w="4678" w:type="dxa"/>
            <w:tcBorders>
              <w:top w:val="single" w:sz="24" w:space="0" w:color="316F72"/>
              <w:left w:val="single" w:sz="8" w:space="0" w:color="316F72"/>
              <w:bottom w:val="single" w:sz="8" w:space="0" w:color="316F72"/>
              <w:right w:val="single" w:sz="8" w:space="0" w:color="316F72"/>
            </w:tcBorders>
            <w:vAlign w:val="center"/>
          </w:tcPr>
          <w:p w14:paraId="46E6D6AD" w14:textId="1AEB2FB8" w:rsidR="00F05FD1" w:rsidRPr="00C77B5B" w:rsidRDefault="00F05FD1" w:rsidP="00F05FD1">
            <w:pPr>
              <w:ind w:left="2"/>
              <w:rPr>
                <w:rFonts w:asciiTheme="majorHAnsi" w:eastAsia="Corbel" w:hAnsiTheme="majorHAnsi" w:cstheme="majorHAnsi"/>
              </w:rPr>
            </w:pPr>
            <w:r w:rsidRPr="00C77B5B">
              <w:rPr>
                <w:rFonts w:asciiTheme="majorHAnsi" w:eastAsia="Corbel" w:hAnsiTheme="majorHAnsi" w:cstheme="majorHAnsi"/>
              </w:rPr>
              <w:t>Undertake a review of the approaches to, and levels of family engagement in schools to drive continued improvement across the government system.</w:t>
            </w:r>
          </w:p>
        </w:tc>
        <w:tc>
          <w:tcPr>
            <w:tcW w:w="1559" w:type="dxa"/>
            <w:tcBorders>
              <w:top w:val="single" w:sz="24" w:space="0" w:color="316F72"/>
              <w:left w:val="single" w:sz="8" w:space="0" w:color="316F72"/>
              <w:bottom w:val="single" w:sz="8" w:space="0" w:color="316F72"/>
              <w:right w:val="single" w:sz="8" w:space="0" w:color="316F72"/>
            </w:tcBorders>
          </w:tcPr>
          <w:p w14:paraId="20C67567" w14:textId="428F2428" w:rsidR="00F05FD1" w:rsidRPr="00C77B5B" w:rsidRDefault="00F05FD1" w:rsidP="00F05FD1">
            <w:pPr>
              <w:ind w:left="2"/>
              <w:rPr>
                <w:rFonts w:asciiTheme="majorHAnsi" w:hAnsiTheme="majorHAnsi" w:cstheme="majorHAnsi"/>
              </w:rPr>
            </w:pPr>
            <w:r w:rsidRPr="00C77B5B">
              <w:rPr>
                <w:rFonts w:asciiTheme="majorHAnsi" w:hAnsiTheme="majorHAnsi" w:cstheme="majorHAnsi"/>
              </w:rPr>
              <w:t>Government</w:t>
            </w:r>
          </w:p>
        </w:tc>
        <w:tc>
          <w:tcPr>
            <w:tcW w:w="1134" w:type="dxa"/>
            <w:tcBorders>
              <w:top w:val="single" w:sz="24" w:space="0" w:color="316F72"/>
              <w:left w:val="single" w:sz="8" w:space="0" w:color="316F72"/>
              <w:bottom w:val="single" w:sz="8" w:space="0" w:color="316F72"/>
              <w:right w:val="single" w:sz="8" w:space="0" w:color="316F72"/>
            </w:tcBorders>
          </w:tcPr>
          <w:p w14:paraId="7892BFFD" w14:textId="0958454B" w:rsidR="00F05FD1" w:rsidRPr="00C77B5B" w:rsidRDefault="00F05FD1" w:rsidP="00F05FD1">
            <w:pPr>
              <w:ind w:left="2"/>
              <w:rPr>
                <w:rFonts w:asciiTheme="majorHAnsi" w:hAnsiTheme="majorHAnsi" w:cstheme="majorHAnsi"/>
              </w:rPr>
            </w:pPr>
            <w:r w:rsidRPr="00C77B5B">
              <w:rPr>
                <w:rFonts w:asciiTheme="majorHAnsi" w:hAnsiTheme="majorHAnsi" w:cstheme="majorHAnsi"/>
              </w:rPr>
              <w:t>2019</w:t>
            </w:r>
          </w:p>
        </w:tc>
        <w:tc>
          <w:tcPr>
            <w:tcW w:w="6946" w:type="dxa"/>
            <w:tcBorders>
              <w:top w:val="single" w:sz="24" w:space="0" w:color="316F72"/>
              <w:left w:val="single" w:sz="8" w:space="0" w:color="316F72"/>
              <w:bottom w:val="single" w:sz="8" w:space="0" w:color="316F72"/>
              <w:right w:val="single" w:sz="8" w:space="0" w:color="316F72"/>
            </w:tcBorders>
          </w:tcPr>
          <w:p w14:paraId="506A2A27" w14:textId="0A6C0DA7" w:rsidR="00C77B5B" w:rsidRPr="00C77B5B" w:rsidRDefault="00C77B5B" w:rsidP="00C77B5B">
            <w:pPr>
              <w:ind w:left="2"/>
              <w:rPr>
                <w:rFonts w:asciiTheme="majorHAnsi" w:hAnsiTheme="majorHAnsi" w:cstheme="majorHAnsi"/>
                <w:b/>
                <w:bCs/>
              </w:rPr>
            </w:pPr>
            <w:r>
              <w:rPr>
                <w:rFonts w:asciiTheme="majorHAnsi" w:hAnsiTheme="majorHAnsi" w:cstheme="majorHAnsi"/>
                <w:b/>
                <w:bCs/>
              </w:rPr>
              <w:t>Complete</w:t>
            </w:r>
          </w:p>
          <w:p w14:paraId="30DC495E" w14:textId="63C3A46D" w:rsidR="00F05FD1" w:rsidRPr="00C77B5B" w:rsidRDefault="00F05FD1" w:rsidP="00F05FD1">
            <w:pPr>
              <w:rPr>
                <w:rFonts w:asciiTheme="majorHAnsi" w:eastAsia="Corbel" w:hAnsiTheme="majorHAnsi" w:cstheme="majorHAnsi"/>
              </w:rPr>
            </w:pPr>
            <w:r w:rsidRPr="00C77B5B">
              <w:rPr>
                <w:rFonts w:asciiTheme="majorHAnsi" w:eastAsia="Corbel" w:hAnsiTheme="majorHAnsi" w:cstheme="majorHAnsi"/>
              </w:rPr>
              <w:t xml:space="preserve">The Tasmanian Department of Education’s </w:t>
            </w:r>
            <w:hyperlink r:id="rId20" w:history="1">
              <w:r w:rsidRPr="00C77B5B">
                <w:rPr>
                  <w:rStyle w:val="Hyperlink"/>
                  <w:rFonts w:asciiTheme="majorHAnsi" w:eastAsia="Corbel" w:hAnsiTheme="majorHAnsi" w:cstheme="majorHAnsi"/>
                  <w:i/>
                  <w:iCs/>
                </w:rPr>
                <w:t>Family Engagement Review 2019</w:t>
              </w:r>
            </w:hyperlink>
            <w:r w:rsidRPr="00C77B5B">
              <w:rPr>
                <w:rFonts w:asciiTheme="majorHAnsi" w:eastAsia="Corbel" w:hAnsiTheme="majorHAnsi" w:cstheme="majorHAnsi"/>
              </w:rPr>
              <w:t xml:space="preserve"> was released on 3 June 2019, following a program of consultation including families, students, schools, Child and Family Centres, Departmental staff, community sector stakeholders and peak bodies, and the Commissioner for Children and Young People. The report’s recommendations were accepted by the Minister for Education and Training, and their implementation is now being led by a dedicated project officer for family engagement.</w:t>
            </w:r>
          </w:p>
        </w:tc>
      </w:tr>
      <w:tr w:rsidR="00F05FD1" w:rsidRPr="00C77B5B" w14:paraId="043DDCE7" w14:textId="77777777" w:rsidTr="00D60BAF">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5A67DB43" w14:textId="14491FDA" w:rsidR="00F05FD1" w:rsidRPr="00C77B5B" w:rsidRDefault="00F05FD1" w:rsidP="00F05FD1">
            <w:pPr>
              <w:ind w:left="2"/>
              <w:rPr>
                <w:rFonts w:asciiTheme="majorHAnsi" w:eastAsia="Corbel" w:hAnsiTheme="majorHAnsi" w:cstheme="majorHAnsi"/>
              </w:rPr>
            </w:pPr>
            <w:r w:rsidRPr="00C77B5B">
              <w:rPr>
                <w:rFonts w:asciiTheme="majorHAnsi" w:eastAsia="Corbel" w:hAnsiTheme="majorHAnsi" w:cstheme="majorHAnsi"/>
              </w:rPr>
              <w:t>Consult with the Aboriginal Education Reference Group on relevant initiatives.</w:t>
            </w:r>
          </w:p>
        </w:tc>
        <w:tc>
          <w:tcPr>
            <w:tcW w:w="1559" w:type="dxa"/>
            <w:tcBorders>
              <w:top w:val="single" w:sz="8" w:space="0" w:color="316F72"/>
              <w:left w:val="single" w:sz="8" w:space="0" w:color="316F72"/>
              <w:bottom w:val="single" w:sz="8" w:space="0" w:color="316F72"/>
              <w:right w:val="single" w:sz="8" w:space="0" w:color="316F72"/>
            </w:tcBorders>
          </w:tcPr>
          <w:p w14:paraId="5D536DC8" w14:textId="23553160" w:rsidR="00F05FD1" w:rsidRPr="00C77B5B" w:rsidRDefault="00F05FD1" w:rsidP="00F05FD1">
            <w:pPr>
              <w:ind w:left="2"/>
              <w:rPr>
                <w:rFonts w:asciiTheme="majorHAnsi" w:hAnsiTheme="majorHAnsi" w:cstheme="majorHAnsi"/>
              </w:rPr>
            </w:pPr>
            <w:r w:rsidRPr="00C77B5B">
              <w:rPr>
                <w:rFonts w:asciiTheme="majorHAnsi" w:hAnsiTheme="majorHAnsi" w:cstheme="majorHAnsi"/>
              </w:rPr>
              <w:t>All Sectors</w:t>
            </w:r>
          </w:p>
        </w:tc>
        <w:tc>
          <w:tcPr>
            <w:tcW w:w="1134" w:type="dxa"/>
            <w:tcBorders>
              <w:top w:val="single" w:sz="8" w:space="0" w:color="316F72"/>
              <w:left w:val="single" w:sz="8" w:space="0" w:color="316F72"/>
              <w:bottom w:val="single" w:sz="8" w:space="0" w:color="316F72"/>
              <w:right w:val="single" w:sz="8" w:space="0" w:color="316F72"/>
            </w:tcBorders>
          </w:tcPr>
          <w:p w14:paraId="64A786B1" w14:textId="5607AA92" w:rsidR="00F05FD1" w:rsidRPr="00C77B5B" w:rsidRDefault="00F05FD1" w:rsidP="00F05FD1">
            <w:pPr>
              <w:ind w:left="2"/>
              <w:rPr>
                <w:rFonts w:asciiTheme="majorHAnsi" w:hAnsiTheme="majorHAnsi" w:cstheme="majorHAnsi"/>
              </w:rPr>
            </w:pPr>
            <w:r w:rsidRPr="00C77B5B">
              <w:rPr>
                <w:rFonts w:asciiTheme="majorHAnsi" w:hAnsiTheme="majorHAnsi" w:cstheme="majorHAnsi"/>
              </w:rPr>
              <w:t>Ongoing</w:t>
            </w:r>
          </w:p>
        </w:tc>
        <w:tc>
          <w:tcPr>
            <w:tcW w:w="6946" w:type="dxa"/>
            <w:tcBorders>
              <w:top w:val="single" w:sz="8" w:space="0" w:color="316F72"/>
              <w:left w:val="single" w:sz="8" w:space="0" w:color="316F72"/>
              <w:bottom w:val="single" w:sz="8" w:space="0" w:color="316F72"/>
              <w:right w:val="single" w:sz="8" w:space="0" w:color="316F72"/>
            </w:tcBorders>
          </w:tcPr>
          <w:p w14:paraId="28454C48" w14:textId="77777777" w:rsidR="00F05FD1" w:rsidRPr="00C77B5B" w:rsidRDefault="00F05FD1" w:rsidP="00C77B5B">
            <w:pPr>
              <w:pStyle w:val="Heading3"/>
            </w:pPr>
            <w:r w:rsidRPr="00C77B5B">
              <w:t>Tasmanian Department of Education</w:t>
            </w:r>
          </w:p>
          <w:p w14:paraId="5EFDF9EF" w14:textId="77777777" w:rsidR="00C77B5B" w:rsidRPr="00C77B5B" w:rsidRDefault="00C77B5B" w:rsidP="00C77B5B">
            <w:pPr>
              <w:ind w:left="2"/>
              <w:rPr>
                <w:rFonts w:asciiTheme="majorHAnsi" w:hAnsiTheme="majorHAnsi" w:cstheme="majorHAnsi"/>
                <w:b/>
                <w:bCs/>
              </w:rPr>
            </w:pPr>
            <w:r>
              <w:rPr>
                <w:rFonts w:asciiTheme="majorHAnsi" w:hAnsiTheme="majorHAnsi" w:cstheme="majorHAnsi"/>
                <w:b/>
                <w:bCs/>
              </w:rPr>
              <w:t>Ongoing</w:t>
            </w:r>
          </w:p>
          <w:p w14:paraId="6BA3434E" w14:textId="77777777" w:rsidR="00F05FD1" w:rsidRPr="00C77B5B" w:rsidRDefault="00F05FD1" w:rsidP="00F05FD1">
            <w:pPr>
              <w:ind w:left="2"/>
              <w:rPr>
                <w:rFonts w:asciiTheme="majorHAnsi" w:eastAsia="Corbel" w:hAnsiTheme="majorHAnsi" w:cstheme="majorHAnsi"/>
              </w:rPr>
            </w:pPr>
            <w:r w:rsidRPr="00C77B5B">
              <w:rPr>
                <w:rFonts w:asciiTheme="majorHAnsi" w:eastAsia="Corbel" w:hAnsiTheme="majorHAnsi" w:cstheme="majorHAnsi"/>
              </w:rPr>
              <w:t>The Aboriginal Education Reference Group was convened four times in 2019 and provided input to initiatives including the ongoing development of The Orb, the investigation of Australian School-based Apprenticeships for Aboriginal students and a review of the Aboriginal Sharers of Knowledge Program.</w:t>
            </w:r>
          </w:p>
          <w:p w14:paraId="23030BC9" w14:textId="77777777" w:rsidR="00F05FD1" w:rsidRPr="00C77B5B" w:rsidRDefault="00F05FD1" w:rsidP="00C77B5B">
            <w:pPr>
              <w:pStyle w:val="Heading3"/>
            </w:pPr>
            <w:r w:rsidRPr="00C77B5B">
              <w:t>Catholic Education Tasmania</w:t>
            </w:r>
          </w:p>
          <w:p w14:paraId="5F5BC769" w14:textId="77777777" w:rsidR="00C77B5B" w:rsidRPr="00C77B5B" w:rsidRDefault="00C77B5B" w:rsidP="00C77B5B">
            <w:pPr>
              <w:ind w:left="2"/>
              <w:rPr>
                <w:rFonts w:asciiTheme="majorHAnsi" w:hAnsiTheme="majorHAnsi" w:cstheme="majorHAnsi"/>
                <w:b/>
                <w:bCs/>
              </w:rPr>
            </w:pPr>
            <w:r>
              <w:rPr>
                <w:rFonts w:asciiTheme="majorHAnsi" w:hAnsiTheme="majorHAnsi" w:cstheme="majorHAnsi"/>
                <w:b/>
                <w:bCs/>
              </w:rPr>
              <w:t>Ongoing</w:t>
            </w:r>
          </w:p>
          <w:p w14:paraId="48902D76" w14:textId="7F99F315" w:rsidR="00F05FD1" w:rsidRPr="00C77B5B" w:rsidRDefault="00F05FD1" w:rsidP="00F05FD1">
            <w:pPr>
              <w:pStyle w:val="ListParagraph"/>
              <w:numPr>
                <w:ilvl w:val="0"/>
                <w:numId w:val="56"/>
              </w:numPr>
              <w:rPr>
                <w:rFonts w:asciiTheme="majorHAnsi" w:hAnsiTheme="majorHAnsi" w:cstheme="majorHAnsi"/>
              </w:rPr>
            </w:pPr>
            <w:r w:rsidRPr="00C77B5B">
              <w:rPr>
                <w:rFonts w:asciiTheme="majorHAnsi" w:eastAsia="Times New Roman" w:hAnsiTheme="majorHAnsi" w:cstheme="majorHAnsi"/>
              </w:rPr>
              <w:lastRenderedPageBreak/>
              <w:t xml:space="preserve">The Tasmanian Catholic Education Office Reconciliation Action Plan (RAP) was endorsed by Reconciliation Australia in </w:t>
            </w:r>
            <w:r w:rsidRPr="00C77B5B">
              <w:rPr>
                <w:rFonts w:asciiTheme="majorHAnsi" w:eastAsia="Times New Roman" w:hAnsiTheme="majorHAnsi" w:cstheme="majorHAnsi"/>
              </w:rPr>
              <w:br/>
              <w:t xml:space="preserve">March 2019. </w:t>
            </w:r>
          </w:p>
          <w:p w14:paraId="5E2CDF28" w14:textId="77777777" w:rsidR="00F05FD1" w:rsidRPr="00C77B5B" w:rsidRDefault="00F05FD1" w:rsidP="00F05FD1">
            <w:pPr>
              <w:pStyle w:val="ListParagraph"/>
              <w:numPr>
                <w:ilvl w:val="0"/>
                <w:numId w:val="56"/>
              </w:numPr>
              <w:rPr>
                <w:rFonts w:asciiTheme="majorHAnsi" w:hAnsiTheme="majorHAnsi" w:cstheme="majorHAnsi"/>
              </w:rPr>
            </w:pPr>
            <w:r w:rsidRPr="00C77B5B">
              <w:rPr>
                <w:rFonts w:asciiTheme="majorHAnsi" w:eastAsia="Times New Roman" w:hAnsiTheme="majorHAnsi" w:cstheme="majorHAnsi"/>
              </w:rPr>
              <w:t>100% of RAP deliverables achieved for 2019.</w:t>
            </w:r>
          </w:p>
          <w:p w14:paraId="7A79F2D2" w14:textId="77777777" w:rsidR="00F05FD1" w:rsidRPr="00C77B5B" w:rsidRDefault="00F05FD1" w:rsidP="00F05FD1">
            <w:pPr>
              <w:pStyle w:val="ListParagraph"/>
              <w:numPr>
                <w:ilvl w:val="0"/>
                <w:numId w:val="56"/>
              </w:numPr>
              <w:rPr>
                <w:rFonts w:asciiTheme="majorHAnsi" w:hAnsiTheme="majorHAnsi" w:cstheme="majorHAnsi"/>
              </w:rPr>
            </w:pPr>
            <w:r w:rsidRPr="00C77B5B">
              <w:rPr>
                <w:rFonts w:asciiTheme="majorHAnsi" w:eastAsia="Times New Roman" w:hAnsiTheme="majorHAnsi" w:cstheme="majorHAnsi"/>
              </w:rPr>
              <w:t>The Aboriginal &amp; Torres Strait Islander Research Project Officer (soon to be appointed) will consult with the TCEO RAP Working Party.</w:t>
            </w:r>
          </w:p>
          <w:p w14:paraId="516F6551" w14:textId="77777777" w:rsidR="00F05FD1" w:rsidRPr="00C77B5B" w:rsidRDefault="00F05FD1" w:rsidP="00C77B5B">
            <w:pPr>
              <w:pStyle w:val="Heading3"/>
            </w:pPr>
            <w:r w:rsidRPr="00C77B5B">
              <w:t>Independent Schools Tasmania</w:t>
            </w:r>
          </w:p>
          <w:p w14:paraId="5C5C6356" w14:textId="77777777" w:rsidR="00C77B5B" w:rsidRPr="00C77B5B" w:rsidRDefault="00C77B5B" w:rsidP="00C77B5B">
            <w:pPr>
              <w:ind w:left="2"/>
              <w:rPr>
                <w:rFonts w:asciiTheme="majorHAnsi" w:hAnsiTheme="majorHAnsi" w:cstheme="majorHAnsi"/>
                <w:b/>
                <w:bCs/>
              </w:rPr>
            </w:pPr>
            <w:r>
              <w:rPr>
                <w:rFonts w:asciiTheme="majorHAnsi" w:hAnsiTheme="majorHAnsi" w:cstheme="majorHAnsi"/>
                <w:b/>
                <w:bCs/>
              </w:rPr>
              <w:t>Ongoing</w:t>
            </w:r>
          </w:p>
          <w:p w14:paraId="09E729DE" w14:textId="59A996E0" w:rsidR="00F05FD1" w:rsidRPr="00C77B5B" w:rsidRDefault="00F05FD1" w:rsidP="00C77B5B">
            <w:pPr>
              <w:rPr>
                <w:rFonts w:asciiTheme="majorHAnsi" w:eastAsia="Corbel" w:hAnsiTheme="majorHAnsi" w:cstheme="majorHAnsi"/>
              </w:rPr>
            </w:pPr>
            <w:r w:rsidRPr="00C77B5B">
              <w:rPr>
                <w:rFonts w:asciiTheme="majorHAnsi" w:eastAsia="Corbel" w:hAnsiTheme="majorHAnsi" w:cstheme="majorHAnsi"/>
              </w:rPr>
              <w:t xml:space="preserve">IST staff attended all relevant committees, including maintaining an active voice in </w:t>
            </w:r>
            <w:r w:rsidRPr="00C77B5B">
              <w:rPr>
                <w:rFonts w:asciiTheme="majorHAnsi" w:eastAsia="Corbel" w:hAnsiTheme="majorHAnsi" w:cstheme="majorHAnsi"/>
                <w:i/>
                <w:iCs/>
              </w:rPr>
              <w:t>Reconciliation Tasmania</w:t>
            </w:r>
            <w:r w:rsidRPr="00C77B5B">
              <w:rPr>
                <w:rFonts w:asciiTheme="majorHAnsi" w:eastAsia="Corbel" w:hAnsiTheme="majorHAnsi" w:cstheme="majorHAnsi"/>
              </w:rPr>
              <w:t xml:space="preserve"> initiatives.</w:t>
            </w:r>
          </w:p>
        </w:tc>
      </w:tr>
      <w:tr w:rsidR="00F05FD1" w:rsidRPr="00C77B5B" w14:paraId="7A1DBEB6" w14:textId="77777777" w:rsidTr="00D60BAF">
        <w:trPr>
          <w:trHeight w:val="521"/>
        </w:trPr>
        <w:tc>
          <w:tcPr>
            <w:tcW w:w="4678" w:type="dxa"/>
            <w:tcBorders>
              <w:top w:val="single" w:sz="8" w:space="0" w:color="316F72"/>
              <w:left w:val="single" w:sz="8" w:space="0" w:color="316F72"/>
              <w:bottom w:val="single" w:sz="8" w:space="0" w:color="316F72"/>
              <w:right w:val="single" w:sz="8" w:space="0" w:color="316F72"/>
            </w:tcBorders>
            <w:vAlign w:val="center"/>
          </w:tcPr>
          <w:p w14:paraId="0246F1D5" w14:textId="495641D9" w:rsidR="00F05FD1" w:rsidRPr="00C77B5B" w:rsidRDefault="00F05FD1" w:rsidP="00F05FD1">
            <w:pPr>
              <w:ind w:left="2"/>
              <w:rPr>
                <w:rFonts w:asciiTheme="majorHAnsi" w:eastAsia="Corbel" w:hAnsiTheme="majorHAnsi" w:cstheme="majorHAnsi"/>
              </w:rPr>
            </w:pPr>
            <w:r w:rsidRPr="00C77B5B">
              <w:rPr>
                <w:rFonts w:asciiTheme="majorHAnsi" w:eastAsia="Corbel" w:hAnsiTheme="majorHAnsi" w:cstheme="majorHAnsi"/>
              </w:rPr>
              <w:lastRenderedPageBreak/>
              <w:t>Recognise, acknowledge and further utilise the existing high levels of parent engagement in our schools.</w:t>
            </w:r>
          </w:p>
        </w:tc>
        <w:tc>
          <w:tcPr>
            <w:tcW w:w="1559" w:type="dxa"/>
            <w:tcBorders>
              <w:top w:val="single" w:sz="8" w:space="0" w:color="316F72"/>
              <w:left w:val="single" w:sz="8" w:space="0" w:color="316F72"/>
              <w:bottom w:val="single" w:sz="8" w:space="0" w:color="316F72"/>
              <w:right w:val="single" w:sz="8" w:space="0" w:color="316F72"/>
            </w:tcBorders>
          </w:tcPr>
          <w:p w14:paraId="76B83A76" w14:textId="00A594C6" w:rsidR="00F05FD1" w:rsidRPr="00C77B5B" w:rsidRDefault="00F05FD1" w:rsidP="00F05FD1">
            <w:pPr>
              <w:ind w:left="2"/>
              <w:rPr>
                <w:rFonts w:asciiTheme="majorHAnsi" w:hAnsiTheme="majorHAnsi" w:cstheme="majorHAnsi"/>
              </w:rPr>
            </w:pPr>
            <w:r w:rsidRPr="00C77B5B">
              <w:rPr>
                <w:rFonts w:asciiTheme="majorHAnsi" w:hAnsiTheme="majorHAnsi" w:cstheme="majorHAnsi"/>
              </w:rPr>
              <w:t>All sectors</w:t>
            </w:r>
          </w:p>
        </w:tc>
        <w:tc>
          <w:tcPr>
            <w:tcW w:w="1134" w:type="dxa"/>
            <w:tcBorders>
              <w:top w:val="single" w:sz="8" w:space="0" w:color="316F72"/>
              <w:left w:val="single" w:sz="8" w:space="0" w:color="316F72"/>
              <w:bottom w:val="single" w:sz="8" w:space="0" w:color="316F72"/>
              <w:right w:val="single" w:sz="8" w:space="0" w:color="316F72"/>
            </w:tcBorders>
          </w:tcPr>
          <w:p w14:paraId="14A7C904" w14:textId="11C44889" w:rsidR="00F05FD1" w:rsidRPr="00C77B5B" w:rsidRDefault="00F05FD1" w:rsidP="00F05FD1">
            <w:pPr>
              <w:ind w:left="2"/>
              <w:rPr>
                <w:rFonts w:asciiTheme="majorHAnsi" w:hAnsiTheme="majorHAnsi" w:cstheme="majorHAnsi"/>
              </w:rPr>
            </w:pPr>
            <w:r w:rsidRPr="00C77B5B">
              <w:rPr>
                <w:rFonts w:asciiTheme="majorHAnsi" w:hAnsiTheme="majorHAnsi" w:cstheme="majorHAnsi"/>
              </w:rPr>
              <w:t>Ongoing</w:t>
            </w:r>
          </w:p>
        </w:tc>
        <w:tc>
          <w:tcPr>
            <w:tcW w:w="6946" w:type="dxa"/>
            <w:tcBorders>
              <w:top w:val="single" w:sz="8" w:space="0" w:color="316F72"/>
              <w:left w:val="single" w:sz="8" w:space="0" w:color="316F72"/>
              <w:bottom w:val="single" w:sz="8" w:space="0" w:color="316F72"/>
              <w:right w:val="single" w:sz="8" w:space="0" w:color="316F72"/>
            </w:tcBorders>
          </w:tcPr>
          <w:p w14:paraId="6228FB1E" w14:textId="77777777" w:rsidR="00C77B5B" w:rsidRDefault="00F05FD1" w:rsidP="00C77B5B">
            <w:pPr>
              <w:pStyle w:val="Heading3"/>
            </w:pPr>
            <w:r w:rsidRPr="00C77B5B">
              <w:t>Tasmanian Department of Education</w:t>
            </w:r>
          </w:p>
          <w:p w14:paraId="1990A025" w14:textId="77777777" w:rsidR="00C77B5B" w:rsidRPr="00C77B5B" w:rsidRDefault="00C77B5B" w:rsidP="00C77B5B">
            <w:pPr>
              <w:ind w:left="2"/>
              <w:rPr>
                <w:rFonts w:asciiTheme="majorHAnsi" w:hAnsiTheme="majorHAnsi" w:cstheme="majorHAnsi"/>
                <w:b/>
                <w:bCs/>
              </w:rPr>
            </w:pPr>
            <w:r>
              <w:rPr>
                <w:rFonts w:asciiTheme="majorHAnsi" w:hAnsiTheme="majorHAnsi" w:cstheme="majorHAnsi"/>
                <w:b/>
                <w:bCs/>
              </w:rPr>
              <w:t>Ongoing</w:t>
            </w:r>
          </w:p>
          <w:p w14:paraId="3C3D2178" w14:textId="77777777" w:rsidR="00F05FD1" w:rsidRPr="00C77B5B" w:rsidRDefault="00F05FD1" w:rsidP="00F05FD1">
            <w:pPr>
              <w:ind w:left="2"/>
              <w:rPr>
                <w:rFonts w:asciiTheme="majorHAnsi" w:eastAsia="Corbel" w:hAnsiTheme="majorHAnsi" w:cstheme="majorHAnsi"/>
              </w:rPr>
            </w:pPr>
            <w:r w:rsidRPr="00C77B5B">
              <w:rPr>
                <w:rFonts w:asciiTheme="majorHAnsi" w:eastAsia="Corbel" w:hAnsiTheme="majorHAnsi" w:cstheme="majorHAnsi"/>
              </w:rPr>
              <w:t xml:space="preserve">As described, the </w:t>
            </w:r>
            <w:hyperlink r:id="rId21" w:history="1">
              <w:r w:rsidRPr="00C77B5B">
                <w:rPr>
                  <w:rStyle w:val="Hyperlink"/>
                  <w:rFonts w:asciiTheme="majorHAnsi" w:eastAsia="Corbel" w:hAnsiTheme="majorHAnsi" w:cstheme="majorHAnsi"/>
                  <w:i/>
                  <w:iCs/>
                </w:rPr>
                <w:t>Family Engagement Review 2019</w:t>
              </w:r>
            </w:hyperlink>
            <w:r w:rsidRPr="00C77B5B">
              <w:rPr>
                <w:rFonts w:asciiTheme="majorHAnsi" w:eastAsia="Corbel" w:hAnsiTheme="majorHAnsi" w:cstheme="majorHAnsi"/>
                <w:i/>
                <w:iCs/>
              </w:rPr>
              <w:t xml:space="preserve"> </w:t>
            </w:r>
            <w:r w:rsidRPr="00C77B5B">
              <w:rPr>
                <w:rFonts w:asciiTheme="majorHAnsi" w:eastAsia="Corbel" w:hAnsiTheme="majorHAnsi" w:cstheme="majorHAnsi"/>
              </w:rPr>
              <w:t xml:space="preserve"> was undertaken to enhance the Tasmanian Department of Education’s approach to parent and family engagement in our schools. </w:t>
            </w:r>
          </w:p>
          <w:p w14:paraId="12E9596B" w14:textId="77777777" w:rsidR="00F05FD1" w:rsidRPr="00C77B5B" w:rsidRDefault="00F05FD1" w:rsidP="00F05FD1">
            <w:pPr>
              <w:ind w:left="2"/>
              <w:rPr>
                <w:rFonts w:asciiTheme="majorHAnsi" w:eastAsia="Corbel" w:hAnsiTheme="majorHAnsi" w:cstheme="majorHAnsi"/>
              </w:rPr>
            </w:pPr>
            <w:r w:rsidRPr="00C77B5B">
              <w:rPr>
                <w:rFonts w:asciiTheme="majorHAnsi" w:eastAsia="Corbel" w:hAnsiTheme="majorHAnsi" w:cstheme="majorHAnsi"/>
              </w:rPr>
              <w:t xml:space="preserve">Under the </w:t>
            </w:r>
            <w:r w:rsidRPr="00C77B5B">
              <w:rPr>
                <w:rFonts w:asciiTheme="majorHAnsi" w:eastAsia="Corbel" w:hAnsiTheme="majorHAnsi" w:cstheme="majorHAnsi"/>
                <w:i/>
                <w:iCs/>
              </w:rPr>
              <w:t>Education Act 2016</w:t>
            </w:r>
            <w:r w:rsidRPr="00C77B5B">
              <w:rPr>
                <w:rFonts w:asciiTheme="majorHAnsi" w:eastAsia="Corbel" w:hAnsiTheme="majorHAnsi" w:cstheme="majorHAnsi"/>
              </w:rPr>
              <w:t>, the School Associations of Tasmanian Government schools transitioned to a strengthened legal and governance model. This transition was completed in 2019, which has enhanced School Associations’ ability to continue utilising and recognising parent engagement in our schools.</w:t>
            </w:r>
          </w:p>
          <w:p w14:paraId="3DFFA4C8" w14:textId="77777777" w:rsidR="00F05FD1" w:rsidRPr="00C77B5B" w:rsidRDefault="00F05FD1" w:rsidP="00C77B5B">
            <w:pPr>
              <w:pStyle w:val="Heading3"/>
            </w:pPr>
            <w:r w:rsidRPr="00C77B5B">
              <w:lastRenderedPageBreak/>
              <w:t>Catholic Education Tasmania</w:t>
            </w:r>
          </w:p>
          <w:p w14:paraId="2A805D86" w14:textId="77777777" w:rsidR="00C77B5B" w:rsidRPr="00C77B5B" w:rsidRDefault="00C77B5B" w:rsidP="00C77B5B">
            <w:pPr>
              <w:ind w:left="2"/>
              <w:rPr>
                <w:rFonts w:asciiTheme="majorHAnsi" w:hAnsiTheme="majorHAnsi" w:cstheme="majorHAnsi"/>
                <w:b/>
                <w:bCs/>
              </w:rPr>
            </w:pPr>
            <w:r>
              <w:rPr>
                <w:rFonts w:asciiTheme="majorHAnsi" w:hAnsiTheme="majorHAnsi" w:cstheme="majorHAnsi"/>
                <w:b/>
                <w:bCs/>
              </w:rPr>
              <w:t>Ongoing</w:t>
            </w:r>
          </w:p>
          <w:p w14:paraId="1B2FE19A" w14:textId="77777777" w:rsidR="00F05FD1" w:rsidRPr="00C77B5B" w:rsidRDefault="00F05FD1" w:rsidP="00F05FD1">
            <w:pPr>
              <w:ind w:left="2"/>
              <w:rPr>
                <w:rFonts w:asciiTheme="majorHAnsi" w:eastAsia="Corbel" w:hAnsiTheme="majorHAnsi" w:cstheme="majorHAnsi"/>
              </w:rPr>
            </w:pPr>
            <w:r w:rsidRPr="00C77B5B">
              <w:rPr>
                <w:rFonts w:asciiTheme="majorHAnsi" w:eastAsia="Corbel" w:hAnsiTheme="majorHAnsi" w:cstheme="majorHAnsi"/>
              </w:rPr>
              <w:t>A comprehensive parent, staff, and student survey was included in the validation process in 2019 and will continue annually.</w:t>
            </w:r>
          </w:p>
          <w:p w14:paraId="5C237DD0" w14:textId="77777777" w:rsidR="00F05FD1" w:rsidRPr="00C77B5B" w:rsidRDefault="00F05FD1" w:rsidP="00C77B5B">
            <w:pPr>
              <w:pStyle w:val="Heading3"/>
            </w:pPr>
            <w:r w:rsidRPr="00C77B5B">
              <w:t>Independent Schools Tasmania</w:t>
            </w:r>
          </w:p>
          <w:p w14:paraId="1E13178A" w14:textId="16F9577D" w:rsidR="00C77B5B" w:rsidRPr="00C77B5B" w:rsidRDefault="00C77B5B" w:rsidP="00C77B5B">
            <w:pPr>
              <w:ind w:left="2"/>
              <w:rPr>
                <w:rFonts w:asciiTheme="majorHAnsi" w:hAnsiTheme="majorHAnsi" w:cstheme="majorHAnsi"/>
                <w:b/>
                <w:bCs/>
              </w:rPr>
            </w:pPr>
            <w:r>
              <w:rPr>
                <w:rFonts w:asciiTheme="majorHAnsi" w:hAnsiTheme="majorHAnsi" w:cstheme="majorHAnsi"/>
                <w:b/>
                <w:bCs/>
              </w:rPr>
              <w:t>Ongoing</w:t>
            </w:r>
          </w:p>
          <w:p w14:paraId="03D76A82" w14:textId="524BA816" w:rsidR="00F05FD1" w:rsidRPr="00C77B5B" w:rsidRDefault="00F05FD1" w:rsidP="00F05FD1">
            <w:pPr>
              <w:rPr>
                <w:rFonts w:asciiTheme="majorHAnsi" w:eastAsia="Corbel" w:hAnsiTheme="majorHAnsi" w:cstheme="majorHAnsi"/>
                <w:i/>
                <w:iCs/>
              </w:rPr>
            </w:pPr>
            <w:r w:rsidRPr="00C77B5B">
              <w:rPr>
                <w:rFonts w:asciiTheme="majorHAnsi" w:eastAsia="Corbel" w:hAnsiTheme="majorHAnsi" w:cstheme="majorHAnsi"/>
              </w:rPr>
              <w:t>IST offered a range of support mechanisms to independent schools to ensure that parents were active partners in each student’s education. Support documentation and professional learning mechanisms were offered to 100% of schools in an ongoing fashion.</w:t>
            </w:r>
          </w:p>
        </w:tc>
      </w:tr>
    </w:tbl>
    <w:p w14:paraId="1DAFA538" w14:textId="10C69B86" w:rsidR="0024089E" w:rsidRPr="00C77B5B" w:rsidRDefault="0024089E" w:rsidP="00C77B5B">
      <w:pPr>
        <w:rPr>
          <w:rFonts w:eastAsia="Times"/>
        </w:rPr>
      </w:pPr>
    </w:p>
    <w:sectPr w:rsidR="0024089E" w:rsidRPr="00C77B5B" w:rsidSect="00BC529D">
      <w:headerReference w:type="default" r:id="rId22"/>
      <w:footerReference w:type="even" r:id="rId23"/>
      <w:footerReference w:type="default" r:id="rId24"/>
      <w:pgSz w:w="16840" w:h="11900" w:orient="landscape" w:code="9"/>
      <w:pgMar w:top="1440" w:right="1440" w:bottom="1440" w:left="1440"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5B1DA" w14:textId="77777777" w:rsidR="003F5AAD" w:rsidRDefault="003F5AAD">
      <w:r>
        <w:separator/>
      </w:r>
    </w:p>
  </w:endnote>
  <w:endnote w:type="continuationSeparator" w:id="0">
    <w:p w14:paraId="4F3D4002" w14:textId="77777777" w:rsidR="003F5AAD" w:rsidRDefault="003F5AAD">
      <w:r>
        <w:continuationSeparator/>
      </w:r>
    </w:p>
  </w:endnote>
  <w:endnote w:type="continuationNotice" w:id="1">
    <w:p w14:paraId="10830A42" w14:textId="77777777" w:rsidR="003F5AAD" w:rsidRDefault="003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476508"/>
      <w:docPartObj>
        <w:docPartGallery w:val="Page Numbers (Bottom of Page)"/>
        <w:docPartUnique/>
      </w:docPartObj>
    </w:sdtPr>
    <w:sdtEndPr>
      <w:rPr>
        <w:noProof/>
      </w:rPr>
    </w:sdtEndPr>
    <w:sdtContent>
      <w:p w14:paraId="7269146B" w14:textId="130B232B" w:rsidR="00401FA0" w:rsidRPr="00BC529D" w:rsidRDefault="00BC529D" w:rsidP="00BC52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983B" w14:textId="77777777" w:rsidR="003F5AAD" w:rsidRDefault="003F5AAD">
      <w:r>
        <w:separator/>
      </w:r>
    </w:p>
  </w:footnote>
  <w:footnote w:type="continuationSeparator" w:id="0">
    <w:p w14:paraId="42FD5BFF" w14:textId="77777777" w:rsidR="003F5AAD" w:rsidRDefault="003F5AAD">
      <w:r>
        <w:continuationSeparator/>
      </w:r>
    </w:p>
  </w:footnote>
  <w:footnote w:type="continuationNotice" w:id="1">
    <w:p w14:paraId="18FC95F4" w14:textId="77777777" w:rsidR="003F5AAD" w:rsidRDefault="003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98CC" w14:textId="56DC184E" w:rsidR="00874F5F" w:rsidRDefault="000D4BE8" w:rsidP="00C77B5B">
    <w:pPr>
      <w:spacing w:after="55"/>
    </w:pPr>
    <w:bookmarkStart w:id="6" w:name="_Hlk54693655"/>
    <w:bookmarkStart w:id="7" w:name="_Hlk54693656"/>
    <w:bookmarkStart w:id="8" w:name="_Hlk54699604"/>
    <w:bookmarkStart w:id="9" w:name="_Hlk54699605"/>
    <w:r>
      <w:rPr>
        <w:rFonts w:ascii="Corbel" w:eastAsia="Corbel" w:hAnsi="Corbel" w:cs="Corbel"/>
        <w:b/>
        <w:color w:val="806000"/>
        <w:sz w:val="28"/>
      </w:rPr>
      <w:t xml:space="preserve">National School Reform Agreement – Bilateral Agreement Report – Tasmania – </w:t>
    </w:r>
    <w:r w:rsidRPr="00DC1704">
      <w:rPr>
        <w:rFonts w:ascii="Corbel" w:eastAsia="Corbel" w:hAnsi="Corbel" w:cs="Corbel"/>
        <w:b/>
        <w:color w:val="806000"/>
        <w:sz w:val="28"/>
      </w:rPr>
      <w:t>2019</w:t>
    </w:r>
    <w:r>
      <w:rPr>
        <w:rFonts w:ascii="Corbel" w:eastAsia="Corbel" w:hAnsi="Corbel" w:cs="Corbel"/>
        <w:b/>
        <w:color w:val="806000"/>
        <w:sz w:val="28"/>
      </w:rPr>
      <w:t xml:space="preserve"> </w:t>
    </w:r>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1" w15:restartNumberingAfterBreak="0">
    <w:nsid w:val="075C066B"/>
    <w:multiLevelType w:val="hybridMultilevel"/>
    <w:tmpl w:val="EE468610"/>
    <w:lvl w:ilvl="0" w:tplc="BD2843D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4909D4"/>
    <w:multiLevelType w:val="hybridMultilevel"/>
    <w:tmpl w:val="7AF8E56E"/>
    <w:lvl w:ilvl="0" w:tplc="FCA4C78A">
      <w:numFmt w:val="bullet"/>
      <w:lvlText w:val="•"/>
      <w:lvlJc w:val="left"/>
      <w:pPr>
        <w:ind w:left="720" w:hanging="720"/>
      </w:pPr>
      <w:rPr>
        <w:rFonts w:ascii="Corbel" w:eastAsia="Times New Roman"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5BDA"/>
    <w:multiLevelType w:val="hybridMultilevel"/>
    <w:tmpl w:val="3DDCAAA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 w15:restartNumberingAfterBreak="0">
    <w:nsid w:val="0A117261"/>
    <w:multiLevelType w:val="hybridMultilevel"/>
    <w:tmpl w:val="7E6A38D8"/>
    <w:lvl w:ilvl="0" w:tplc="0E845FF0">
      <w:start w:val="1"/>
      <w:numFmt w:val="decimal"/>
      <w:lvlText w:val="%1."/>
      <w:lvlJc w:val="left"/>
      <w:pPr>
        <w:tabs>
          <w:tab w:val="num" w:pos="425"/>
        </w:tabs>
        <w:ind w:left="425" w:hanging="425"/>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910F32"/>
    <w:multiLevelType w:val="hybridMultilevel"/>
    <w:tmpl w:val="346C88E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AD71411"/>
    <w:multiLevelType w:val="hybridMultilevel"/>
    <w:tmpl w:val="FA5AEC56"/>
    <w:lvl w:ilvl="0" w:tplc="4490CD7A">
      <w:start w:val="5"/>
      <w:numFmt w:val="decimal"/>
      <w:lvlText w:val="%1."/>
      <w:lvlJc w:val="left"/>
      <w:pPr>
        <w:ind w:left="570" w:hanging="570"/>
      </w:pPr>
      <w:rPr>
        <w:rFonts w:hint="default"/>
        <w:color w:val="auto"/>
        <w:sz w:val="24"/>
        <w:szCs w:val="24"/>
      </w:rPr>
    </w:lvl>
    <w:lvl w:ilvl="1" w:tplc="518A8BC4">
      <w:numFmt w:val="bullet"/>
      <w:lvlText w:val="•"/>
      <w:lvlJc w:val="left"/>
      <w:pPr>
        <w:ind w:left="1650" w:hanging="570"/>
      </w:pPr>
      <w:rPr>
        <w:rFonts w:ascii="Arial Narrow" w:eastAsia="Times" w:hAnsi="Arial Narrow" w:cs="Times New Roman" w:hint="default"/>
        <w:sz w:val="20"/>
      </w:rPr>
    </w:lvl>
    <w:lvl w:ilvl="2" w:tplc="52D66256" w:tentative="1">
      <w:start w:val="1"/>
      <w:numFmt w:val="lowerRoman"/>
      <w:lvlText w:val="%3."/>
      <w:lvlJc w:val="right"/>
      <w:pPr>
        <w:ind w:left="2160" w:hanging="180"/>
      </w:pPr>
    </w:lvl>
    <w:lvl w:ilvl="3" w:tplc="DE587C84" w:tentative="1">
      <w:start w:val="1"/>
      <w:numFmt w:val="decimal"/>
      <w:lvlText w:val="%4."/>
      <w:lvlJc w:val="left"/>
      <w:pPr>
        <w:ind w:left="2880" w:hanging="360"/>
      </w:pPr>
    </w:lvl>
    <w:lvl w:ilvl="4" w:tplc="368E5DC6" w:tentative="1">
      <w:start w:val="1"/>
      <w:numFmt w:val="lowerLetter"/>
      <w:lvlText w:val="%5."/>
      <w:lvlJc w:val="left"/>
      <w:pPr>
        <w:ind w:left="3600" w:hanging="360"/>
      </w:pPr>
    </w:lvl>
    <w:lvl w:ilvl="5" w:tplc="ECC27CA0" w:tentative="1">
      <w:start w:val="1"/>
      <w:numFmt w:val="lowerRoman"/>
      <w:lvlText w:val="%6."/>
      <w:lvlJc w:val="right"/>
      <w:pPr>
        <w:ind w:left="4320" w:hanging="180"/>
      </w:pPr>
    </w:lvl>
    <w:lvl w:ilvl="6" w:tplc="7E7CD29A" w:tentative="1">
      <w:start w:val="1"/>
      <w:numFmt w:val="decimal"/>
      <w:lvlText w:val="%7."/>
      <w:lvlJc w:val="left"/>
      <w:pPr>
        <w:ind w:left="5040" w:hanging="360"/>
      </w:pPr>
    </w:lvl>
    <w:lvl w:ilvl="7" w:tplc="05225D38" w:tentative="1">
      <w:start w:val="1"/>
      <w:numFmt w:val="lowerLetter"/>
      <w:lvlText w:val="%8."/>
      <w:lvlJc w:val="left"/>
      <w:pPr>
        <w:ind w:left="5760" w:hanging="360"/>
      </w:pPr>
    </w:lvl>
    <w:lvl w:ilvl="8" w:tplc="987695E2" w:tentative="1">
      <w:start w:val="1"/>
      <w:numFmt w:val="lowerRoman"/>
      <w:lvlText w:val="%9."/>
      <w:lvlJc w:val="right"/>
      <w:pPr>
        <w:ind w:left="6480" w:hanging="180"/>
      </w:pPr>
    </w:lvl>
  </w:abstractNum>
  <w:abstractNum w:abstractNumId="7" w15:restartNumberingAfterBreak="0">
    <w:nsid w:val="0CBD4E79"/>
    <w:multiLevelType w:val="hybridMultilevel"/>
    <w:tmpl w:val="5FE67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0A5D2F"/>
    <w:multiLevelType w:val="hybridMultilevel"/>
    <w:tmpl w:val="0F00D2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F112CB6"/>
    <w:multiLevelType w:val="hybridMultilevel"/>
    <w:tmpl w:val="41F0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C31B3"/>
    <w:multiLevelType w:val="hybridMultilevel"/>
    <w:tmpl w:val="D16217BE"/>
    <w:lvl w:ilvl="0" w:tplc="FFAAEB4C">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9D27E6"/>
    <w:multiLevelType w:val="hybridMultilevel"/>
    <w:tmpl w:val="AC2A35CA"/>
    <w:lvl w:ilvl="0" w:tplc="849A6AB6">
      <w:numFmt w:val="bullet"/>
      <w:lvlText w:val="–"/>
      <w:lvlJc w:val="left"/>
      <w:pPr>
        <w:ind w:left="720" w:hanging="720"/>
      </w:pPr>
      <w:rPr>
        <w:rFonts w:ascii="Calibri Light" w:eastAsiaTheme="minorHAnsi" w:hAnsi="Calibri Light" w:cs="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4608CB"/>
    <w:multiLevelType w:val="hybridMultilevel"/>
    <w:tmpl w:val="52666484"/>
    <w:lvl w:ilvl="0" w:tplc="FCA4C78A">
      <w:numFmt w:val="bullet"/>
      <w:lvlText w:val="•"/>
      <w:lvlJc w:val="left"/>
      <w:pPr>
        <w:ind w:left="720" w:hanging="720"/>
      </w:pPr>
      <w:rPr>
        <w:rFonts w:ascii="Corbel" w:eastAsia="Times New Roman" w:hAnsi="Corbe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925476"/>
    <w:multiLevelType w:val="hybridMultilevel"/>
    <w:tmpl w:val="E702D5D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15:restartNumberingAfterBreak="0">
    <w:nsid w:val="15192181"/>
    <w:multiLevelType w:val="hybridMultilevel"/>
    <w:tmpl w:val="CA3CF0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741B22"/>
    <w:multiLevelType w:val="hybridMultilevel"/>
    <w:tmpl w:val="57CE081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2972308"/>
    <w:multiLevelType w:val="hybridMultilevel"/>
    <w:tmpl w:val="4C42E806"/>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7" w15:restartNumberingAfterBreak="0">
    <w:nsid w:val="2331545A"/>
    <w:multiLevelType w:val="hybridMultilevel"/>
    <w:tmpl w:val="9C5CEF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7151C6C"/>
    <w:multiLevelType w:val="hybridMultilevel"/>
    <w:tmpl w:val="03704F9E"/>
    <w:lvl w:ilvl="0" w:tplc="0C09000F">
      <w:start w:val="1"/>
      <w:numFmt w:val="decimal"/>
      <w:lvlText w:val="%1."/>
      <w:lvlJc w:val="lef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9" w15:restartNumberingAfterBreak="0">
    <w:nsid w:val="296842BB"/>
    <w:multiLevelType w:val="hybridMultilevel"/>
    <w:tmpl w:val="0006554A"/>
    <w:lvl w:ilvl="0" w:tplc="FFAAEB4C">
      <w:start w:val="1"/>
      <w:numFmt w:val="decimal"/>
      <w:lvlText w:val="%1."/>
      <w:lvlJc w:val="left"/>
      <w:pPr>
        <w:ind w:left="570" w:hanging="570"/>
      </w:pPr>
      <w:rPr>
        <w:rFonts w:hint="default"/>
      </w:rPr>
    </w:lvl>
    <w:lvl w:ilvl="1" w:tplc="6D70EBFC">
      <w:start w:val="1"/>
      <w:numFmt w:val="lowerLetter"/>
      <w:lvlText w:val="%2."/>
      <w:lvlJc w:val="left"/>
      <w:pPr>
        <w:ind w:left="1080" w:hanging="360"/>
      </w:pPr>
      <w:rPr>
        <w:sz w:val="24"/>
        <w:szCs w:val="24"/>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B911004"/>
    <w:multiLevelType w:val="hybridMultilevel"/>
    <w:tmpl w:val="399CA912"/>
    <w:lvl w:ilvl="0" w:tplc="0C090001">
      <w:start w:val="1"/>
      <w:numFmt w:val="bullet"/>
      <w:lvlText w:val=""/>
      <w:lvlJc w:val="left"/>
      <w:pPr>
        <w:ind w:left="362" w:hanging="360"/>
      </w:pPr>
      <w:rPr>
        <w:rFonts w:ascii="Symbol" w:hAnsi="Symbo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21" w15:restartNumberingAfterBreak="0">
    <w:nsid w:val="2E2168E7"/>
    <w:multiLevelType w:val="hybridMultilevel"/>
    <w:tmpl w:val="71B22388"/>
    <w:lvl w:ilvl="0" w:tplc="88A829D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1454FA"/>
    <w:multiLevelType w:val="hybridMultilevel"/>
    <w:tmpl w:val="BFAE2EFE"/>
    <w:lvl w:ilvl="0" w:tplc="4730724E">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2F602D6F"/>
    <w:multiLevelType w:val="hybridMultilevel"/>
    <w:tmpl w:val="81309322"/>
    <w:lvl w:ilvl="0" w:tplc="849A6AB6">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0767D3"/>
    <w:multiLevelType w:val="hybridMultilevel"/>
    <w:tmpl w:val="A4FA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B35C9"/>
    <w:multiLevelType w:val="hybridMultilevel"/>
    <w:tmpl w:val="1D82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AB6CB3"/>
    <w:multiLevelType w:val="hybridMultilevel"/>
    <w:tmpl w:val="CBBEC80A"/>
    <w:lvl w:ilvl="0" w:tplc="16A03ECA">
      <w:start w:val="13"/>
      <w:numFmt w:val="decimal"/>
      <w:lvlText w:val="%1."/>
      <w:lvlJc w:val="left"/>
      <w:pPr>
        <w:ind w:left="570" w:hanging="570"/>
      </w:pPr>
      <w:rPr>
        <w:rFonts w:hint="default"/>
        <w:color w:val="auto"/>
        <w:sz w:val="24"/>
        <w:szCs w:val="24"/>
      </w:rPr>
    </w:lvl>
    <w:lvl w:ilvl="1" w:tplc="2EFA87B2" w:tentative="1">
      <w:start w:val="1"/>
      <w:numFmt w:val="lowerLetter"/>
      <w:lvlText w:val="%2."/>
      <w:lvlJc w:val="left"/>
      <w:pPr>
        <w:ind w:left="1440" w:hanging="360"/>
      </w:pPr>
    </w:lvl>
    <w:lvl w:ilvl="2" w:tplc="35DEE0A4" w:tentative="1">
      <w:start w:val="1"/>
      <w:numFmt w:val="lowerRoman"/>
      <w:lvlText w:val="%3."/>
      <w:lvlJc w:val="right"/>
      <w:pPr>
        <w:ind w:left="2160" w:hanging="180"/>
      </w:pPr>
    </w:lvl>
    <w:lvl w:ilvl="3" w:tplc="7256E940" w:tentative="1">
      <w:start w:val="1"/>
      <w:numFmt w:val="decimal"/>
      <w:lvlText w:val="%4."/>
      <w:lvlJc w:val="left"/>
      <w:pPr>
        <w:ind w:left="2880" w:hanging="360"/>
      </w:pPr>
    </w:lvl>
    <w:lvl w:ilvl="4" w:tplc="F3F498EE" w:tentative="1">
      <w:start w:val="1"/>
      <w:numFmt w:val="lowerLetter"/>
      <w:lvlText w:val="%5."/>
      <w:lvlJc w:val="left"/>
      <w:pPr>
        <w:ind w:left="3600" w:hanging="360"/>
      </w:pPr>
    </w:lvl>
    <w:lvl w:ilvl="5" w:tplc="9114346A" w:tentative="1">
      <w:start w:val="1"/>
      <w:numFmt w:val="lowerRoman"/>
      <w:lvlText w:val="%6."/>
      <w:lvlJc w:val="right"/>
      <w:pPr>
        <w:ind w:left="4320" w:hanging="180"/>
      </w:pPr>
    </w:lvl>
    <w:lvl w:ilvl="6" w:tplc="27D4684E" w:tentative="1">
      <w:start w:val="1"/>
      <w:numFmt w:val="decimal"/>
      <w:lvlText w:val="%7."/>
      <w:lvlJc w:val="left"/>
      <w:pPr>
        <w:ind w:left="5040" w:hanging="360"/>
      </w:pPr>
    </w:lvl>
    <w:lvl w:ilvl="7" w:tplc="E1AAC926" w:tentative="1">
      <w:start w:val="1"/>
      <w:numFmt w:val="lowerLetter"/>
      <w:lvlText w:val="%8."/>
      <w:lvlJc w:val="left"/>
      <w:pPr>
        <w:ind w:left="5760" w:hanging="360"/>
      </w:pPr>
    </w:lvl>
    <w:lvl w:ilvl="8" w:tplc="6E3428A4" w:tentative="1">
      <w:start w:val="1"/>
      <w:numFmt w:val="lowerRoman"/>
      <w:lvlText w:val="%9."/>
      <w:lvlJc w:val="right"/>
      <w:pPr>
        <w:ind w:left="6480" w:hanging="180"/>
      </w:pPr>
    </w:lvl>
  </w:abstractNum>
  <w:abstractNum w:abstractNumId="27" w15:restartNumberingAfterBreak="0">
    <w:nsid w:val="3B4203EA"/>
    <w:multiLevelType w:val="hybridMultilevel"/>
    <w:tmpl w:val="C53AB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1A5BE9"/>
    <w:multiLevelType w:val="hybridMultilevel"/>
    <w:tmpl w:val="71CC01D8"/>
    <w:lvl w:ilvl="0" w:tplc="F5D244A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02CDD"/>
    <w:multiLevelType w:val="hybridMultilevel"/>
    <w:tmpl w:val="8B7CBB5E"/>
    <w:lvl w:ilvl="0" w:tplc="8BC44F00">
      <w:start w:val="1"/>
      <w:numFmt w:val="bullet"/>
      <w:lvlText w:val=""/>
      <w:lvlJc w:val="left"/>
      <w:pPr>
        <w:tabs>
          <w:tab w:val="num" w:pos="927"/>
        </w:tabs>
        <w:ind w:left="927" w:hanging="567"/>
      </w:pPr>
      <w:rPr>
        <w:rFonts w:ascii="Symbol" w:hAnsi="Symbol" w:hint="default"/>
      </w:rPr>
    </w:lvl>
    <w:lvl w:ilvl="1" w:tplc="27928E1E">
      <w:start w:val="1"/>
      <w:numFmt w:val="decimal"/>
      <w:lvlText w:val="%2."/>
      <w:lvlJc w:val="left"/>
      <w:pPr>
        <w:tabs>
          <w:tab w:val="num" w:pos="425"/>
        </w:tabs>
        <w:ind w:left="425" w:hanging="425"/>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D9C0254E">
      <w:start w:val="1"/>
      <w:numFmt w:val="bullet"/>
      <w:lvlText w:val=""/>
      <w:lvlJc w:val="left"/>
      <w:pPr>
        <w:tabs>
          <w:tab w:val="num" w:pos="2160"/>
        </w:tabs>
        <w:ind w:left="1810" w:hanging="1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F84DC6"/>
    <w:multiLevelType w:val="hybridMultilevel"/>
    <w:tmpl w:val="B1709780"/>
    <w:lvl w:ilvl="0" w:tplc="83B88862">
      <w:start w:val="1"/>
      <w:numFmt w:val="decimal"/>
      <w:lvlText w:val="%1."/>
      <w:lvlJc w:val="left"/>
      <w:pPr>
        <w:tabs>
          <w:tab w:val="num" w:pos="851"/>
        </w:tabs>
        <w:ind w:left="851" w:hanging="426"/>
      </w:pPr>
      <w:rPr>
        <w:rFonts w:ascii="Arial" w:hAnsi="Arial" w:hint="default"/>
        <w:b/>
        <w:i/>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010D078">
      <w:start w:val="1"/>
      <w:numFmt w:val="decimal"/>
      <w:lvlText w:val="%2."/>
      <w:lvlJc w:val="left"/>
      <w:pPr>
        <w:tabs>
          <w:tab w:val="num" w:pos="851"/>
        </w:tabs>
        <w:ind w:left="851" w:hanging="426"/>
      </w:pPr>
      <w:rPr>
        <w:rFonts w:ascii="Arial" w:hAnsi="Arial" w:hint="default"/>
        <w:b/>
        <w:i/>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DA5BC0"/>
    <w:multiLevelType w:val="hybridMultilevel"/>
    <w:tmpl w:val="491ACF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E218D3"/>
    <w:multiLevelType w:val="hybridMultilevel"/>
    <w:tmpl w:val="E2C677F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0033E55"/>
    <w:multiLevelType w:val="hybridMultilevel"/>
    <w:tmpl w:val="C9987A9C"/>
    <w:lvl w:ilvl="0" w:tplc="48E871A4">
      <w:start w:val="1"/>
      <w:numFmt w:val="decimal"/>
      <w:lvlText w:val="%1."/>
      <w:lvlJc w:val="left"/>
      <w:pPr>
        <w:ind w:left="570" w:hanging="570"/>
      </w:pPr>
      <w:rPr>
        <w:rFonts w:ascii="Arial Narrow" w:hAnsi="Arial Narrow" w:hint="default"/>
        <w:i w:val="0"/>
        <w:iCs/>
      </w:rPr>
    </w:lvl>
    <w:lvl w:ilvl="1" w:tplc="0C090019">
      <w:start w:val="1"/>
      <w:numFmt w:val="lowerLetter"/>
      <w:lvlText w:val="%2."/>
      <w:lvlJc w:val="left"/>
      <w:pPr>
        <w:ind w:left="1080" w:hanging="360"/>
      </w:pPr>
    </w:lvl>
    <w:lvl w:ilvl="2" w:tplc="0809001B">
      <w:start w:val="1"/>
      <w:numFmt w:val="lowerRoman"/>
      <w:lvlText w:val="%3."/>
      <w:lvlJc w:val="right"/>
      <w:pPr>
        <w:ind w:left="1173"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07F6CF9"/>
    <w:multiLevelType w:val="hybridMultilevel"/>
    <w:tmpl w:val="4522A22C"/>
    <w:lvl w:ilvl="0" w:tplc="EB6CE814">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50C7260C"/>
    <w:multiLevelType w:val="hybridMultilevel"/>
    <w:tmpl w:val="9B7A348C"/>
    <w:lvl w:ilvl="0" w:tplc="8ACE936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4737CEB"/>
    <w:multiLevelType w:val="hybridMultilevel"/>
    <w:tmpl w:val="10641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E34605"/>
    <w:multiLevelType w:val="hybridMultilevel"/>
    <w:tmpl w:val="EE1AF618"/>
    <w:lvl w:ilvl="0" w:tplc="27928E1E">
      <w:start w:val="1"/>
      <w:numFmt w:val="decimal"/>
      <w:lvlText w:val="%1."/>
      <w:lvlJc w:val="left"/>
      <w:pPr>
        <w:ind w:left="720" w:hanging="360"/>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BB6F38"/>
    <w:multiLevelType w:val="hybridMultilevel"/>
    <w:tmpl w:val="FF44A0EA"/>
    <w:lvl w:ilvl="0" w:tplc="8D124C6A">
      <w:start w:val="1"/>
      <w:numFmt w:val="decimal"/>
      <w:lvlText w:val="%1."/>
      <w:lvlJc w:val="left"/>
      <w:pPr>
        <w:ind w:left="570" w:hanging="57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D2A68BE"/>
    <w:multiLevelType w:val="hybridMultilevel"/>
    <w:tmpl w:val="3F0AB6FA"/>
    <w:lvl w:ilvl="0" w:tplc="FFAAEB4C">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9B5190"/>
    <w:multiLevelType w:val="hybridMultilevel"/>
    <w:tmpl w:val="0472D62E"/>
    <w:lvl w:ilvl="0" w:tplc="C3E84E0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70A31E7"/>
    <w:multiLevelType w:val="hybridMultilevel"/>
    <w:tmpl w:val="61C8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5C4C37"/>
    <w:multiLevelType w:val="hybridMultilevel"/>
    <w:tmpl w:val="2954D8E8"/>
    <w:lvl w:ilvl="0" w:tplc="111E22E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ACB4AAB"/>
    <w:multiLevelType w:val="hybridMultilevel"/>
    <w:tmpl w:val="9172542A"/>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44" w15:restartNumberingAfterBreak="0">
    <w:nsid w:val="6C5251D6"/>
    <w:multiLevelType w:val="hybridMultilevel"/>
    <w:tmpl w:val="8064107E"/>
    <w:lvl w:ilvl="0" w:tplc="27928E1E">
      <w:start w:val="1"/>
      <w:numFmt w:val="decimal"/>
      <w:lvlText w:val="%1."/>
      <w:lvlJc w:val="left"/>
      <w:pPr>
        <w:ind w:left="1290" w:hanging="360"/>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45" w15:restartNumberingAfterBreak="0">
    <w:nsid w:val="6F375FB2"/>
    <w:multiLevelType w:val="hybridMultilevel"/>
    <w:tmpl w:val="FAB6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6773CB"/>
    <w:multiLevelType w:val="hybridMultilevel"/>
    <w:tmpl w:val="16947DE2"/>
    <w:lvl w:ilvl="0" w:tplc="FCA4C78A">
      <w:numFmt w:val="bullet"/>
      <w:lvlText w:val="•"/>
      <w:lvlJc w:val="left"/>
      <w:pPr>
        <w:ind w:left="720" w:hanging="720"/>
      </w:pPr>
      <w:rPr>
        <w:rFonts w:ascii="Corbel" w:eastAsia="Times New Roman"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2579C9"/>
    <w:multiLevelType w:val="hybridMultilevel"/>
    <w:tmpl w:val="B3184278"/>
    <w:lvl w:ilvl="0" w:tplc="D32E3DAC">
      <w:numFmt w:val="bullet"/>
      <w:lvlText w:val="-"/>
      <w:lvlJc w:val="left"/>
      <w:pPr>
        <w:ind w:left="360" w:hanging="360"/>
      </w:pPr>
      <w:rPr>
        <w:rFonts w:ascii="Calibri" w:eastAsia="Times New Roman" w:hAnsi="Calibri" w:cs="Calibr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3B07BD1"/>
    <w:multiLevelType w:val="hybridMultilevel"/>
    <w:tmpl w:val="BE94B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D26D2D"/>
    <w:multiLevelType w:val="hybridMultilevel"/>
    <w:tmpl w:val="5956A3F2"/>
    <w:lvl w:ilvl="0" w:tplc="849A6AB6">
      <w:numFmt w:val="bullet"/>
      <w:lvlText w:val="–"/>
      <w:lvlJc w:val="left"/>
      <w:pPr>
        <w:ind w:left="720" w:hanging="720"/>
      </w:pPr>
      <w:rPr>
        <w:rFonts w:ascii="Calibri Light" w:eastAsiaTheme="minorHAnsi" w:hAnsi="Calibri Light" w:cs="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8EF3D41"/>
    <w:multiLevelType w:val="hybridMultilevel"/>
    <w:tmpl w:val="E65C16DA"/>
    <w:lvl w:ilvl="0" w:tplc="E0083EE8">
      <w:start w:val="1"/>
      <w:numFmt w:val="bullet"/>
      <w:lvlText w:val=""/>
      <w:lvlJc w:val="left"/>
      <w:pPr>
        <w:ind w:left="723" w:hanging="360"/>
      </w:pPr>
      <w:rPr>
        <w:rFonts w:ascii="Symbol" w:hAnsi="Symbol" w:hint="default"/>
      </w:rPr>
    </w:lvl>
    <w:lvl w:ilvl="1" w:tplc="9C44420C">
      <w:start w:val="1"/>
      <w:numFmt w:val="bullet"/>
      <w:lvlText w:val=""/>
      <w:lvlJc w:val="left"/>
      <w:pPr>
        <w:ind w:left="1443" w:hanging="360"/>
      </w:pPr>
      <w:rPr>
        <w:rFonts w:ascii="Symbol" w:hAnsi="Symbol" w:hint="default"/>
      </w:rPr>
    </w:lvl>
    <w:lvl w:ilvl="2" w:tplc="47169726" w:tentative="1">
      <w:start w:val="1"/>
      <w:numFmt w:val="bullet"/>
      <w:lvlText w:val=""/>
      <w:lvlJc w:val="left"/>
      <w:pPr>
        <w:ind w:left="2163" w:hanging="360"/>
      </w:pPr>
      <w:rPr>
        <w:rFonts w:ascii="Wingdings" w:hAnsi="Wingdings" w:hint="default"/>
      </w:rPr>
    </w:lvl>
    <w:lvl w:ilvl="3" w:tplc="352EB872" w:tentative="1">
      <w:start w:val="1"/>
      <w:numFmt w:val="bullet"/>
      <w:lvlText w:val=""/>
      <w:lvlJc w:val="left"/>
      <w:pPr>
        <w:ind w:left="2883" w:hanging="360"/>
      </w:pPr>
      <w:rPr>
        <w:rFonts w:ascii="Symbol" w:hAnsi="Symbol" w:hint="default"/>
      </w:rPr>
    </w:lvl>
    <w:lvl w:ilvl="4" w:tplc="8E92E312" w:tentative="1">
      <w:start w:val="1"/>
      <w:numFmt w:val="bullet"/>
      <w:lvlText w:val="o"/>
      <w:lvlJc w:val="left"/>
      <w:pPr>
        <w:ind w:left="3603" w:hanging="360"/>
      </w:pPr>
      <w:rPr>
        <w:rFonts w:ascii="Courier New" w:hAnsi="Courier New" w:cs="Courier New" w:hint="default"/>
      </w:rPr>
    </w:lvl>
    <w:lvl w:ilvl="5" w:tplc="EC784F70" w:tentative="1">
      <w:start w:val="1"/>
      <w:numFmt w:val="bullet"/>
      <w:lvlText w:val=""/>
      <w:lvlJc w:val="left"/>
      <w:pPr>
        <w:ind w:left="4323" w:hanging="360"/>
      </w:pPr>
      <w:rPr>
        <w:rFonts w:ascii="Wingdings" w:hAnsi="Wingdings" w:hint="default"/>
      </w:rPr>
    </w:lvl>
    <w:lvl w:ilvl="6" w:tplc="07EC583A" w:tentative="1">
      <w:start w:val="1"/>
      <w:numFmt w:val="bullet"/>
      <w:lvlText w:val=""/>
      <w:lvlJc w:val="left"/>
      <w:pPr>
        <w:ind w:left="5043" w:hanging="360"/>
      </w:pPr>
      <w:rPr>
        <w:rFonts w:ascii="Symbol" w:hAnsi="Symbol" w:hint="default"/>
      </w:rPr>
    </w:lvl>
    <w:lvl w:ilvl="7" w:tplc="16AC13BA" w:tentative="1">
      <w:start w:val="1"/>
      <w:numFmt w:val="bullet"/>
      <w:lvlText w:val="o"/>
      <w:lvlJc w:val="left"/>
      <w:pPr>
        <w:ind w:left="5763" w:hanging="360"/>
      </w:pPr>
      <w:rPr>
        <w:rFonts w:ascii="Courier New" w:hAnsi="Courier New" w:cs="Courier New" w:hint="default"/>
      </w:rPr>
    </w:lvl>
    <w:lvl w:ilvl="8" w:tplc="3C143F64" w:tentative="1">
      <w:start w:val="1"/>
      <w:numFmt w:val="bullet"/>
      <w:lvlText w:val=""/>
      <w:lvlJc w:val="left"/>
      <w:pPr>
        <w:ind w:left="6483" w:hanging="360"/>
      </w:pPr>
      <w:rPr>
        <w:rFonts w:ascii="Wingdings" w:hAnsi="Wingdings" w:hint="default"/>
      </w:rPr>
    </w:lvl>
  </w:abstractNum>
  <w:abstractNum w:abstractNumId="51" w15:restartNumberingAfterBreak="0">
    <w:nsid w:val="7A753BDE"/>
    <w:multiLevelType w:val="hybridMultilevel"/>
    <w:tmpl w:val="0BA61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C076F24"/>
    <w:multiLevelType w:val="hybridMultilevel"/>
    <w:tmpl w:val="FA82D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2C5D6F"/>
    <w:multiLevelType w:val="hybridMultilevel"/>
    <w:tmpl w:val="50F649CC"/>
    <w:lvl w:ilvl="0" w:tplc="973074C6">
      <w:start w:val="1"/>
      <w:numFmt w:val="bullet"/>
      <w:lvlText w:val=""/>
      <w:lvlJc w:val="left"/>
      <w:pPr>
        <w:ind w:left="1077" w:hanging="360"/>
      </w:pPr>
      <w:rPr>
        <w:rFonts w:ascii="Symbol" w:hAnsi="Symbol" w:hint="default"/>
      </w:rPr>
    </w:lvl>
    <w:lvl w:ilvl="1" w:tplc="6C8CD62E" w:tentative="1">
      <w:start w:val="1"/>
      <w:numFmt w:val="bullet"/>
      <w:lvlText w:val="o"/>
      <w:lvlJc w:val="left"/>
      <w:pPr>
        <w:ind w:left="1797" w:hanging="360"/>
      </w:pPr>
      <w:rPr>
        <w:rFonts w:ascii="Courier New" w:hAnsi="Courier New" w:cs="Courier New" w:hint="default"/>
      </w:rPr>
    </w:lvl>
    <w:lvl w:ilvl="2" w:tplc="545840AE" w:tentative="1">
      <w:start w:val="1"/>
      <w:numFmt w:val="bullet"/>
      <w:lvlText w:val=""/>
      <w:lvlJc w:val="left"/>
      <w:pPr>
        <w:ind w:left="2517" w:hanging="360"/>
      </w:pPr>
      <w:rPr>
        <w:rFonts w:ascii="Wingdings" w:hAnsi="Wingdings" w:hint="default"/>
      </w:rPr>
    </w:lvl>
    <w:lvl w:ilvl="3" w:tplc="CAAE0BD8" w:tentative="1">
      <w:start w:val="1"/>
      <w:numFmt w:val="bullet"/>
      <w:lvlText w:val=""/>
      <w:lvlJc w:val="left"/>
      <w:pPr>
        <w:ind w:left="3237" w:hanging="360"/>
      </w:pPr>
      <w:rPr>
        <w:rFonts w:ascii="Symbol" w:hAnsi="Symbol" w:hint="default"/>
      </w:rPr>
    </w:lvl>
    <w:lvl w:ilvl="4" w:tplc="A01CE2FE" w:tentative="1">
      <w:start w:val="1"/>
      <w:numFmt w:val="bullet"/>
      <w:lvlText w:val="o"/>
      <w:lvlJc w:val="left"/>
      <w:pPr>
        <w:ind w:left="3957" w:hanging="360"/>
      </w:pPr>
      <w:rPr>
        <w:rFonts w:ascii="Courier New" w:hAnsi="Courier New" w:cs="Courier New" w:hint="default"/>
      </w:rPr>
    </w:lvl>
    <w:lvl w:ilvl="5" w:tplc="BE509872" w:tentative="1">
      <w:start w:val="1"/>
      <w:numFmt w:val="bullet"/>
      <w:lvlText w:val=""/>
      <w:lvlJc w:val="left"/>
      <w:pPr>
        <w:ind w:left="4677" w:hanging="360"/>
      </w:pPr>
      <w:rPr>
        <w:rFonts w:ascii="Wingdings" w:hAnsi="Wingdings" w:hint="default"/>
      </w:rPr>
    </w:lvl>
    <w:lvl w:ilvl="6" w:tplc="BB4E51A2" w:tentative="1">
      <w:start w:val="1"/>
      <w:numFmt w:val="bullet"/>
      <w:lvlText w:val=""/>
      <w:lvlJc w:val="left"/>
      <w:pPr>
        <w:ind w:left="5397" w:hanging="360"/>
      </w:pPr>
      <w:rPr>
        <w:rFonts w:ascii="Symbol" w:hAnsi="Symbol" w:hint="default"/>
      </w:rPr>
    </w:lvl>
    <w:lvl w:ilvl="7" w:tplc="18DC18AA" w:tentative="1">
      <w:start w:val="1"/>
      <w:numFmt w:val="bullet"/>
      <w:lvlText w:val="o"/>
      <w:lvlJc w:val="left"/>
      <w:pPr>
        <w:ind w:left="6117" w:hanging="360"/>
      </w:pPr>
      <w:rPr>
        <w:rFonts w:ascii="Courier New" w:hAnsi="Courier New" w:cs="Courier New" w:hint="default"/>
      </w:rPr>
    </w:lvl>
    <w:lvl w:ilvl="8" w:tplc="8C20226A" w:tentative="1">
      <w:start w:val="1"/>
      <w:numFmt w:val="bullet"/>
      <w:lvlText w:val=""/>
      <w:lvlJc w:val="left"/>
      <w:pPr>
        <w:ind w:left="6837" w:hanging="360"/>
      </w:pPr>
      <w:rPr>
        <w:rFonts w:ascii="Wingdings" w:hAnsi="Wingdings" w:hint="default"/>
      </w:rPr>
    </w:lvl>
  </w:abstractNum>
  <w:abstractNum w:abstractNumId="54" w15:restartNumberingAfterBreak="0">
    <w:nsid w:val="7E43328A"/>
    <w:multiLevelType w:val="hybridMultilevel"/>
    <w:tmpl w:val="28E4F72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5" w15:restartNumberingAfterBreak="0">
    <w:nsid w:val="7E5D1BF8"/>
    <w:multiLevelType w:val="hybridMultilevel"/>
    <w:tmpl w:val="5C046D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0"/>
  </w:num>
  <w:num w:numId="3">
    <w:abstractNumId w:val="4"/>
  </w:num>
  <w:num w:numId="4">
    <w:abstractNumId w:val="15"/>
  </w:num>
  <w:num w:numId="5">
    <w:abstractNumId w:val="31"/>
  </w:num>
  <w:num w:numId="6">
    <w:abstractNumId w:val="34"/>
  </w:num>
  <w:num w:numId="7">
    <w:abstractNumId w:val="55"/>
  </w:num>
  <w:num w:numId="8">
    <w:abstractNumId w:val="28"/>
  </w:num>
  <w:num w:numId="9">
    <w:abstractNumId w:val="25"/>
  </w:num>
  <w:num w:numId="10">
    <w:abstractNumId w:val="52"/>
  </w:num>
  <w:num w:numId="11">
    <w:abstractNumId w:val="19"/>
  </w:num>
  <w:num w:numId="12">
    <w:abstractNumId w:val="10"/>
  </w:num>
  <w:num w:numId="13">
    <w:abstractNumId w:val="39"/>
  </w:num>
  <w:num w:numId="14">
    <w:abstractNumId w:val="38"/>
  </w:num>
  <w:num w:numId="15">
    <w:abstractNumId w:val="4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 w:numId="19">
    <w:abstractNumId w:val="26"/>
  </w:num>
  <w:num w:numId="20">
    <w:abstractNumId w:val="50"/>
  </w:num>
  <w:num w:numId="21">
    <w:abstractNumId w:val="18"/>
  </w:num>
  <w:num w:numId="22">
    <w:abstractNumId w:val="53"/>
  </w:num>
  <w:num w:numId="23">
    <w:abstractNumId w:val="27"/>
  </w:num>
  <w:num w:numId="24">
    <w:abstractNumId w:val="48"/>
  </w:num>
  <w:num w:numId="25">
    <w:abstractNumId w:val="36"/>
  </w:num>
  <w:num w:numId="26">
    <w:abstractNumId w:val="11"/>
  </w:num>
  <w:num w:numId="27">
    <w:abstractNumId w:val="49"/>
  </w:num>
  <w:num w:numId="28">
    <w:abstractNumId w:val="23"/>
  </w:num>
  <w:num w:numId="29">
    <w:abstractNumId w:val="32"/>
  </w:num>
  <w:num w:numId="30">
    <w:abstractNumId w:val="33"/>
  </w:num>
  <w:num w:numId="31">
    <w:abstractNumId w:val="43"/>
  </w:num>
  <w:num w:numId="32">
    <w:abstractNumId w:val="17"/>
  </w:num>
  <w:num w:numId="33">
    <w:abstractNumId w:val="14"/>
  </w:num>
  <w:num w:numId="34">
    <w:abstractNumId w:val="40"/>
  </w:num>
  <w:num w:numId="35">
    <w:abstractNumId w:val="37"/>
  </w:num>
  <w:num w:numId="36">
    <w:abstractNumId w:val="42"/>
  </w:num>
  <w:num w:numId="37">
    <w:abstractNumId w:val="44"/>
  </w:num>
  <w:num w:numId="38">
    <w:abstractNumId w:val="0"/>
  </w:num>
  <w:num w:numId="39">
    <w:abstractNumId w:val="35"/>
  </w:num>
  <w:num w:numId="40">
    <w:abstractNumId w:val="16"/>
  </w:num>
  <w:num w:numId="41">
    <w:abstractNumId w:val="20"/>
  </w:num>
  <w:num w:numId="42">
    <w:abstractNumId w:val="51"/>
  </w:num>
  <w:num w:numId="43">
    <w:abstractNumId w:val="12"/>
  </w:num>
  <w:num w:numId="44">
    <w:abstractNumId w:val="13"/>
  </w:num>
  <w:num w:numId="45">
    <w:abstractNumId w:val="41"/>
  </w:num>
  <w:num w:numId="46">
    <w:abstractNumId w:val="2"/>
  </w:num>
  <w:num w:numId="47">
    <w:abstractNumId w:val="24"/>
  </w:num>
  <w:num w:numId="48">
    <w:abstractNumId w:val="9"/>
  </w:num>
  <w:num w:numId="49">
    <w:abstractNumId w:val="21"/>
  </w:num>
  <w:num w:numId="50">
    <w:abstractNumId w:val="5"/>
  </w:num>
  <w:num w:numId="51">
    <w:abstractNumId w:val="46"/>
  </w:num>
  <w:num w:numId="52">
    <w:abstractNumId w:val="54"/>
  </w:num>
  <w:num w:numId="53">
    <w:abstractNumId w:val="8"/>
  </w:num>
  <w:num w:numId="54">
    <w:abstractNumId w:val="45"/>
  </w:num>
  <w:num w:numId="55">
    <w:abstractNumId w:val="3"/>
  </w:num>
  <w:num w:numId="56">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39DA"/>
    <w:rsid w:val="00020C8F"/>
    <w:rsid w:val="00023EE0"/>
    <w:rsid w:val="0002666A"/>
    <w:rsid w:val="00031104"/>
    <w:rsid w:val="000319A9"/>
    <w:rsid w:val="00032796"/>
    <w:rsid w:val="00034987"/>
    <w:rsid w:val="00035EE7"/>
    <w:rsid w:val="00040FAD"/>
    <w:rsid w:val="000419D1"/>
    <w:rsid w:val="00041F43"/>
    <w:rsid w:val="00045C5C"/>
    <w:rsid w:val="00047AF5"/>
    <w:rsid w:val="00052761"/>
    <w:rsid w:val="0005278D"/>
    <w:rsid w:val="00053F13"/>
    <w:rsid w:val="000563A4"/>
    <w:rsid w:val="00057296"/>
    <w:rsid w:val="00057C37"/>
    <w:rsid w:val="00060E56"/>
    <w:rsid w:val="000710C7"/>
    <w:rsid w:val="000755CA"/>
    <w:rsid w:val="000757DE"/>
    <w:rsid w:val="00085091"/>
    <w:rsid w:val="00085130"/>
    <w:rsid w:val="000A61FA"/>
    <w:rsid w:val="000B2388"/>
    <w:rsid w:val="000B48DD"/>
    <w:rsid w:val="000C4F60"/>
    <w:rsid w:val="000C52C3"/>
    <w:rsid w:val="000D1E25"/>
    <w:rsid w:val="000D4523"/>
    <w:rsid w:val="000D4BE8"/>
    <w:rsid w:val="000D523D"/>
    <w:rsid w:val="000D70B5"/>
    <w:rsid w:val="000E1DCB"/>
    <w:rsid w:val="000E2262"/>
    <w:rsid w:val="000F02BB"/>
    <w:rsid w:val="000F2D25"/>
    <w:rsid w:val="000F2DA8"/>
    <w:rsid w:val="00103C93"/>
    <w:rsid w:val="00103EBA"/>
    <w:rsid w:val="00105EA5"/>
    <w:rsid w:val="00106A6D"/>
    <w:rsid w:val="0011167B"/>
    <w:rsid w:val="0011293D"/>
    <w:rsid w:val="0011651B"/>
    <w:rsid w:val="00117F7A"/>
    <w:rsid w:val="00120C8A"/>
    <w:rsid w:val="00122E21"/>
    <w:rsid w:val="0012397D"/>
    <w:rsid w:val="001311E2"/>
    <w:rsid w:val="00132382"/>
    <w:rsid w:val="00137CD1"/>
    <w:rsid w:val="00137FD9"/>
    <w:rsid w:val="001423D5"/>
    <w:rsid w:val="00143869"/>
    <w:rsid w:val="001500A6"/>
    <w:rsid w:val="00152470"/>
    <w:rsid w:val="001534D7"/>
    <w:rsid w:val="00154ED6"/>
    <w:rsid w:val="00157C2F"/>
    <w:rsid w:val="001639C8"/>
    <w:rsid w:val="0017087E"/>
    <w:rsid w:val="00171834"/>
    <w:rsid w:val="001735CF"/>
    <w:rsid w:val="00173DC6"/>
    <w:rsid w:val="001744CF"/>
    <w:rsid w:val="001764E4"/>
    <w:rsid w:val="00190539"/>
    <w:rsid w:val="0019117D"/>
    <w:rsid w:val="00194B91"/>
    <w:rsid w:val="0019549D"/>
    <w:rsid w:val="0019574C"/>
    <w:rsid w:val="001A2702"/>
    <w:rsid w:val="001A310C"/>
    <w:rsid w:val="001A6D73"/>
    <w:rsid w:val="001B1CE9"/>
    <w:rsid w:val="001B2584"/>
    <w:rsid w:val="001B27E0"/>
    <w:rsid w:val="001B7872"/>
    <w:rsid w:val="001C26BE"/>
    <w:rsid w:val="001C5972"/>
    <w:rsid w:val="001D3813"/>
    <w:rsid w:val="001D6759"/>
    <w:rsid w:val="001E3FD8"/>
    <w:rsid w:val="001E61E8"/>
    <w:rsid w:val="001F7BEB"/>
    <w:rsid w:val="00203362"/>
    <w:rsid w:val="00205FFF"/>
    <w:rsid w:val="002105A5"/>
    <w:rsid w:val="00210E8D"/>
    <w:rsid w:val="00211BDD"/>
    <w:rsid w:val="00212375"/>
    <w:rsid w:val="00217983"/>
    <w:rsid w:val="00222640"/>
    <w:rsid w:val="00223EFE"/>
    <w:rsid w:val="00225666"/>
    <w:rsid w:val="00227C0D"/>
    <w:rsid w:val="00230C89"/>
    <w:rsid w:val="002339CA"/>
    <w:rsid w:val="002367B0"/>
    <w:rsid w:val="002372C1"/>
    <w:rsid w:val="00237C87"/>
    <w:rsid w:val="0024089E"/>
    <w:rsid w:val="002431AF"/>
    <w:rsid w:val="00243A60"/>
    <w:rsid w:val="00244522"/>
    <w:rsid w:val="00261195"/>
    <w:rsid w:val="002611B8"/>
    <w:rsid w:val="0026149E"/>
    <w:rsid w:val="00261EC1"/>
    <w:rsid w:val="00273FFC"/>
    <w:rsid w:val="0027415F"/>
    <w:rsid w:val="00276B76"/>
    <w:rsid w:val="00280522"/>
    <w:rsid w:val="00281DDE"/>
    <w:rsid w:val="002903C7"/>
    <w:rsid w:val="00290B64"/>
    <w:rsid w:val="00292511"/>
    <w:rsid w:val="00292AC8"/>
    <w:rsid w:val="0029735B"/>
    <w:rsid w:val="002A2E86"/>
    <w:rsid w:val="002A4454"/>
    <w:rsid w:val="002A4F04"/>
    <w:rsid w:val="002B05BF"/>
    <w:rsid w:val="002B460E"/>
    <w:rsid w:val="002B6F74"/>
    <w:rsid w:val="002C0D6A"/>
    <w:rsid w:val="002C42FE"/>
    <w:rsid w:val="002C4CBD"/>
    <w:rsid w:val="002C544C"/>
    <w:rsid w:val="002D060A"/>
    <w:rsid w:val="002D0F98"/>
    <w:rsid w:val="002D1654"/>
    <w:rsid w:val="002D27C6"/>
    <w:rsid w:val="002D3074"/>
    <w:rsid w:val="002D467C"/>
    <w:rsid w:val="002E5FEB"/>
    <w:rsid w:val="002E6058"/>
    <w:rsid w:val="002E71F7"/>
    <w:rsid w:val="002F010E"/>
    <w:rsid w:val="002F4086"/>
    <w:rsid w:val="002F637D"/>
    <w:rsid w:val="00301104"/>
    <w:rsid w:val="00307E15"/>
    <w:rsid w:val="00314B03"/>
    <w:rsid w:val="0031689E"/>
    <w:rsid w:val="003210E8"/>
    <w:rsid w:val="00327C51"/>
    <w:rsid w:val="00336934"/>
    <w:rsid w:val="00336ABD"/>
    <w:rsid w:val="00341426"/>
    <w:rsid w:val="0035086F"/>
    <w:rsid w:val="0035330A"/>
    <w:rsid w:val="00363DF9"/>
    <w:rsid w:val="00364887"/>
    <w:rsid w:val="003750A7"/>
    <w:rsid w:val="00375608"/>
    <w:rsid w:val="00376A75"/>
    <w:rsid w:val="00391107"/>
    <w:rsid w:val="003931C9"/>
    <w:rsid w:val="003A408E"/>
    <w:rsid w:val="003C3B1B"/>
    <w:rsid w:val="003C4CAF"/>
    <w:rsid w:val="003C7011"/>
    <w:rsid w:val="003D277C"/>
    <w:rsid w:val="003D3048"/>
    <w:rsid w:val="003D3843"/>
    <w:rsid w:val="003E18EA"/>
    <w:rsid w:val="003E3831"/>
    <w:rsid w:val="003E489C"/>
    <w:rsid w:val="003E50DF"/>
    <w:rsid w:val="003E66A5"/>
    <w:rsid w:val="003E67D8"/>
    <w:rsid w:val="003F2D32"/>
    <w:rsid w:val="003F4189"/>
    <w:rsid w:val="003F4742"/>
    <w:rsid w:val="003F5AAD"/>
    <w:rsid w:val="003F711A"/>
    <w:rsid w:val="00400F64"/>
    <w:rsid w:val="0040189D"/>
    <w:rsid w:val="00401FA0"/>
    <w:rsid w:val="00403ABA"/>
    <w:rsid w:val="00404900"/>
    <w:rsid w:val="00411183"/>
    <w:rsid w:val="00414068"/>
    <w:rsid w:val="0041589C"/>
    <w:rsid w:val="0041738F"/>
    <w:rsid w:val="00420297"/>
    <w:rsid w:val="004207EF"/>
    <w:rsid w:val="00422573"/>
    <w:rsid w:val="00424BA2"/>
    <w:rsid w:val="00433159"/>
    <w:rsid w:val="00441F81"/>
    <w:rsid w:val="00445A32"/>
    <w:rsid w:val="00446376"/>
    <w:rsid w:val="004531F6"/>
    <w:rsid w:val="00453645"/>
    <w:rsid w:val="00454769"/>
    <w:rsid w:val="00455030"/>
    <w:rsid w:val="00457065"/>
    <w:rsid w:val="004666F4"/>
    <w:rsid w:val="00480261"/>
    <w:rsid w:val="00485159"/>
    <w:rsid w:val="004874CF"/>
    <w:rsid w:val="004920B1"/>
    <w:rsid w:val="00493CAF"/>
    <w:rsid w:val="00496C12"/>
    <w:rsid w:val="004A0F4B"/>
    <w:rsid w:val="004A2F33"/>
    <w:rsid w:val="004A3B4F"/>
    <w:rsid w:val="004A6FBC"/>
    <w:rsid w:val="004C02EB"/>
    <w:rsid w:val="004C0EA4"/>
    <w:rsid w:val="004C107B"/>
    <w:rsid w:val="004C4863"/>
    <w:rsid w:val="004C5ECD"/>
    <w:rsid w:val="004C7B3A"/>
    <w:rsid w:val="004D0468"/>
    <w:rsid w:val="004D16D7"/>
    <w:rsid w:val="004D3128"/>
    <w:rsid w:val="004D36C4"/>
    <w:rsid w:val="004D6B06"/>
    <w:rsid w:val="004D7A82"/>
    <w:rsid w:val="004E07D0"/>
    <w:rsid w:val="004E07FA"/>
    <w:rsid w:val="004E4DA2"/>
    <w:rsid w:val="004E5E2F"/>
    <w:rsid w:val="004F17D9"/>
    <w:rsid w:val="004F1851"/>
    <w:rsid w:val="004F464D"/>
    <w:rsid w:val="004F5587"/>
    <w:rsid w:val="004F6766"/>
    <w:rsid w:val="005038D3"/>
    <w:rsid w:val="005153DB"/>
    <w:rsid w:val="00515A02"/>
    <w:rsid w:val="00520235"/>
    <w:rsid w:val="00521955"/>
    <w:rsid w:val="005262C1"/>
    <w:rsid w:val="00526A7F"/>
    <w:rsid w:val="00527A69"/>
    <w:rsid w:val="00533D85"/>
    <w:rsid w:val="00544372"/>
    <w:rsid w:val="00546B85"/>
    <w:rsid w:val="0056028A"/>
    <w:rsid w:val="00562A35"/>
    <w:rsid w:val="00564865"/>
    <w:rsid w:val="00564DB5"/>
    <w:rsid w:val="00565175"/>
    <w:rsid w:val="00572CB5"/>
    <w:rsid w:val="0057468D"/>
    <w:rsid w:val="005755DF"/>
    <w:rsid w:val="0058168A"/>
    <w:rsid w:val="005839BA"/>
    <w:rsid w:val="0059373F"/>
    <w:rsid w:val="00594600"/>
    <w:rsid w:val="005950BF"/>
    <w:rsid w:val="00596527"/>
    <w:rsid w:val="005965FE"/>
    <w:rsid w:val="005A2EC4"/>
    <w:rsid w:val="005A3014"/>
    <w:rsid w:val="005A53F3"/>
    <w:rsid w:val="005A5714"/>
    <w:rsid w:val="005A7488"/>
    <w:rsid w:val="005A7D70"/>
    <w:rsid w:val="005B0587"/>
    <w:rsid w:val="005B06EA"/>
    <w:rsid w:val="005B2082"/>
    <w:rsid w:val="005B60A4"/>
    <w:rsid w:val="005B7D31"/>
    <w:rsid w:val="005C5A7E"/>
    <w:rsid w:val="005D20F6"/>
    <w:rsid w:val="005D6F53"/>
    <w:rsid w:val="005E1337"/>
    <w:rsid w:val="005E3823"/>
    <w:rsid w:val="005E465F"/>
    <w:rsid w:val="005F5423"/>
    <w:rsid w:val="00600784"/>
    <w:rsid w:val="006017A0"/>
    <w:rsid w:val="00606F1D"/>
    <w:rsid w:val="006110BB"/>
    <w:rsid w:val="00612585"/>
    <w:rsid w:val="00612704"/>
    <w:rsid w:val="00612D5C"/>
    <w:rsid w:val="00613E28"/>
    <w:rsid w:val="00617836"/>
    <w:rsid w:val="0062027F"/>
    <w:rsid w:val="00623410"/>
    <w:rsid w:val="0063583B"/>
    <w:rsid w:val="006362FE"/>
    <w:rsid w:val="006364C6"/>
    <w:rsid w:val="00636899"/>
    <w:rsid w:val="00647FE8"/>
    <w:rsid w:val="00652516"/>
    <w:rsid w:val="00654E96"/>
    <w:rsid w:val="00661EDB"/>
    <w:rsid w:val="00662793"/>
    <w:rsid w:val="00666F2A"/>
    <w:rsid w:val="00671AE3"/>
    <w:rsid w:val="0068074F"/>
    <w:rsid w:val="00686225"/>
    <w:rsid w:val="006937E6"/>
    <w:rsid w:val="00695965"/>
    <w:rsid w:val="00696E2B"/>
    <w:rsid w:val="006A5BD1"/>
    <w:rsid w:val="006B1F57"/>
    <w:rsid w:val="006B1FAA"/>
    <w:rsid w:val="006B36C5"/>
    <w:rsid w:val="006B4EA6"/>
    <w:rsid w:val="006C4188"/>
    <w:rsid w:val="006C4537"/>
    <w:rsid w:val="006D328C"/>
    <w:rsid w:val="006D787E"/>
    <w:rsid w:val="006E0F36"/>
    <w:rsid w:val="006E4BBE"/>
    <w:rsid w:val="006E693D"/>
    <w:rsid w:val="006E6FA8"/>
    <w:rsid w:val="006E7029"/>
    <w:rsid w:val="006F0CFA"/>
    <w:rsid w:val="006F25B9"/>
    <w:rsid w:val="006F6C97"/>
    <w:rsid w:val="00705A46"/>
    <w:rsid w:val="007071CC"/>
    <w:rsid w:val="0071027D"/>
    <w:rsid w:val="007127AF"/>
    <w:rsid w:val="00712E01"/>
    <w:rsid w:val="007136F4"/>
    <w:rsid w:val="00714AB3"/>
    <w:rsid w:val="00717AF3"/>
    <w:rsid w:val="00720605"/>
    <w:rsid w:val="007217D0"/>
    <w:rsid w:val="007244D6"/>
    <w:rsid w:val="00733712"/>
    <w:rsid w:val="00733B53"/>
    <w:rsid w:val="00736208"/>
    <w:rsid w:val="00736705"/>
    <w:rsid w:val="007369EE"/>
    <w:rsid w:val="0074580A"/>
    <w:rsid w:val="00750446"/>
    <w:rsid w:val="00754F7D"/>
    <w:rsid w:val="00756C3A"/>
    <w:rsid w:val="0076096C"/>
    <w:rsid w:val="0076361E"/>
    <w:rsid w:val="00763D27"/>
    <w:rsid w:val="007662F6"/>
    <w:rsid w:val="00767A55"/>
    <w:rsid w:val="00767EF6"/>
    <w:rsid w:val="00767EFB"/>
    <w:rsid w:val="007706E3"/>
    <w:rsid w:val="00770DE4"/>
    <w:rsid w:val="00772D4A"/>
    <w:rsid w:val="00781136"/>
    <w:rsid w:val="00783AC5"/>
    <w:rsid w:val="00787999"/>
    <w:rsid w:val="0079593C"/>
    <w:rsid w:val="007A094D"/>
    <w:rsid w:val="007A3DD0"/>
    <w:rsid w:val="007A67FB"/>
    <w:rsid w:val="007B0D8C"/>
    <w:rsid w:val="007B0E52"/>
    <w:rsid w:val="007B27C5"/>
    <w:rsid w:val="007B4198"/>
    <w:rsid w:val="007B6849"/>
    <w:rsid w:val="007B70DE"/>
    <w:rsid w:val="007C0289"/>
    <w:rsid w:val="007C139F"/>
    <w:rsid w:val="007C22FD"/>
    <w:rsid w:val="007C422A"/>
    <w:rsid w:val="007D110A"/>
    <w:rsid w:val="007D241A"/>
    <w:rsid w:val="007D5A2A"/>
    <w:rsid w:val="007D680C"/>
    <w:rsid w:val="007E10C1"/>
    <w:rsid w:val="007E2F11"/>
    <w:rsid w:val="007E4357"/>
    <w:rsid w:val="007E67EA"/>
    <w:rsid w:val="007E6872"/>
    <w:rsid w:val="007E7B40"/>
    <w:rsid w:val="007F46BE"/>
    <w:rsid w:val="00801294"/>
    <w:rsid w:val="0080390E"/>
    <w:rsid w:val="00805617"/>
    <w:rsid w:val="00805D21"/>
    <w:rsid w:val="00810CB7"/>
    <w:rsid w:val="00811F6D"/>
    <w:rsid w:val="00820FBC"/>
    <w:rsid w:val="00822AAB"/>
    <w:rsid w:val="00827318"/>
    <w:rsid w:val="00833852"/>
    <w:rsid w:val="00836261"/>
    <w:rsid w:val="00836EF2"/>
    <w:rsid w:val="00837933"/>
    <w:rsid w:val="00853265"/>
    <w:rsid w:val="008578AC"/>
    <w:rsid w:val="00862D4F"/>
    <w:rsid w:val="00874F5F"/>
    <w:rsid w:val="008777B2"/>
    <w:rsid w:val="008800CE"/>
    <w:rsid w:val="00886801"/>
    <w:rsid w:val="00887E05"/>
    <w:rsid w:val="00892183"/>
    <w:rsid w:val="00894AC8"/>
    <w:rsid w:val="00895056"/>
    <w:rsid w:val="008A1B62"/>
    <w:rsid w:val="008A32E3"/>
    <w:rsid w:val="008B058C"/>
    <w:rsid w:val="008B5BD0"/>
    <w:rsid w:val="008C0EB8"/>
    <w:rsid w:val="008C1F1D"/>
    <w:rsid w:val="008C37CA"/>
    <w:rsid w:val="008C44BE"/>
    <w:rsid w:val="008D15A5"/>
    <w:rsid w:val="008D32E4"/>
    <w:rsid w:val="008D3B6C"/>
    <w:rsid w:val="008D4A28"/>
    <w:rsid w:val="008D55CB"/>
    <w:rsid w:val="008D742A"/>
    <w:rsid w:val="008D7EB3"/>
    <w:rsid w:val="008E0007"/>
    <w:rsid w:val="008E1076"/>
    <w:rsid w:val="008E1647"/>
    <w:rsid w:val="008E4965"/>
    <w:rsid w:val="008F0E50"/>
    <w:rsid w:val="008F57A9"/>
    <w:rsid w:val="00901852"/>
    <w:rsid w:val="00904A1E"/>
    <w:rsid w:val="009161A6"/>
    <w:rsid w:val="00917DED"/>
    <w:rsid w:val="00924B8B"/>
    <w:rsid w:val="00931D45"/>
    <w:rsid w:val="009412CE"/>
    <w:rsid w:val="00945E5D"/>
    <w:rsid w:val="00950F41"/>
    <w:rsid w:val="009569D2"/>
    <w:rsid w:val="0095739D"/>
    <w:rsid w:val="00957B0E"/>
    <w:rsid w:val="009605F8"/>
    <w:rsid w:val="00961207"/>
    <w:rsid w:val="00962518"/>
    <w:rsid w:val="009648AD"/>
    <w:rsid w:val="009656B3"/>
    <w:rsid w:val="009658F0"/>
    <w:rsid w:val="00971AE6"/>
    <w:rsid w:val="009842FC"/>
    <w:rsid w:val="00984DBD"/>
    <w:rsid w:val="00987D77"/>
    <w:rsid w:val="00992C70"/>
    <w:rsid w:val="00994FC9"/>
    <w:rsid w:val="00996DC3"/>
    <w:rsid w:val="009B3053"/>
    <w:rsid w:val="009B4246"/>
    <w:rsid w:val="009B5520"/>
    <w:rsid w:val="009B7163"/>
    <w:rsid w:val="009D7549"/>
    <w:rsid w:val="009E2550"/>
    <w:rsid w:val="009E5ACE"/>
    <w:rsid w:val="009F1C1F"/>
    <w:rsid w:val="009F2974"/>
    <w:rsid w:val="009F3E96"/>
    <w:rsid w:val="009F7BF7"/>
    <w:rsid w:val="00A01718"/>
    <w:rsid w:val="00A03BB7"/>
    <w:rsid w:val="00A04E9B"/>
    <w:rsid w:val="00A07BC8"/>
    <w:rsid w:val="00A12EFB"/>
    <w:rsid w:val="00A14F37"/>
    <w:rsid w:val="00A16862"/>
    <w:rsid w:val="00A218E7"/>
    <w:rsid w:val="00A22EF2"/>
    <w:rsid w:val="00A25653"/>
    <w:rsid w:val="00A276FC"/>
    <w:rsid w:val="00A331F1"/>
    <w:rsid w:val="00A34C6C"/>
    <w:rsid w:val="00A423AD"/>
    <w:rsid w:val="00A44010"/>
    <w:rsid w:val="00A46E13"/>
    <w:rsid w:val="00A47538"/>
    <w:rsid w:val="00A53338"/>
    <w:rsid w:val="00A541E8"/>
    <w:rsid w:val="00A55BFA"/>
    <w:rsid w:val="00A60FD8"/>
    <w:rsid w:val="00A61F3C"/>
    <w:rsid w:val="00A62B90"/>
    <w:rsid w:val="00A63F28"/>
    <w:rsid w:val="00A63F74"/>
    <w:rsid w:val="00A719B5"/>
    <w:rsid w:val="00A73F45"/>
    <w:rsid w:val="00A7441F"/>
    <w:rsid w:val="00A77DF9"/>
    <w:rsid w:val="00A83421"/>
    <w:rsid w:val="00A861DD"/>
    <w:rsid w:val="00A93D58"/>
    <w:rsid w:val="00A93F1D"/>
    <w:rsid w:val="00A95355"/>
    <w:rsid w:val="00A978C7"/>
    <w:rsid w:val="00AA1B60"/>
    <w:rsid w:val="00AA6249"/>
    <w:rsid w:val="00AA7062"/>
    <w:rsid w:val="00AB0160"/>
    <w:rsid w:val="00AB4619"/>
    <w:rsid w:val="00AB7E91"/>
    <w:rsid w:val="00AC0E4F"/>
    <w:rsid w:val="00AC3699"/>
    <w:rsid w:val="00AC7E0D"/>
    <w:rsid w:val="00AD597C"/>
    <w:rsid w:val="00AD62B7"/>
    <w:rsid w:val="00AE130E"/>
    <w:rsid w:val="00AE2CAB"/>
    <w:rsid w:val="00AF0433"/>
    <w:rsid w:val="00AF4819"/>
    <w:rsid w:val="00AF6F17"/>
    <w:rsid w:val="00AF7D18"/>
    <w:rsid w:val="00B02AD3"/>
    <w:rsid w:val="00B07B12"/>
    <w:rsid w:val="00B1066C"/>
    <w:rsid w:val="00B10EA5"/>
    <w:rsid w:val="00B1544D"/>
    <w:rsid w:val="00B24879"/>
    <w:rsid w:val="00B428A2"/>
    <w:rsid w:val="00B45BC5"/>
    <w:rsid w:val="00B52C0A"/>
    <w:rsid w:val="00B53252"/>
    <w:rsid w:val="00B532FA"/>
    <w:rsid w:val="00B5486F"/>
    <w:rsid w:val="00B555AA"/>
    <w:rsid w:val="00B6185B"/>
    <w:rsid w:val="00B62B7F"/>
    <w:rsid w:val="00B6374A"/>
    <w:rsid w:val="00B63D7F"/>
    <w:rsid w:val="00B73897"/>
    <w:rsid w:val="00B777ED"/>
    <w:rsid w:val="00B819E3"/>
    <w:rsid w:val="00B86226"/>
    <w:rsid w:val="00B87521"/>
    <w:rsid w:val="00B90EB0"/>
    <w:rsid w:val="00B95293"/>
    <w:rsid w:val="00B95448"/>
    <w:rsid w:val="00BA2A7D"/>
    <w:rsid w:val="00BA6F31"/>
    <w:rsid w:val="00BA72DC"/>
    <w:rsid w:val="00BB62E8"/>
    <w:rsid w:val="00BB6666"/>
    <w:rsid w:val="00BC0493"/>
    <w:rsid w:val="00BC1995"/>
    <w:rsid w:val="00BC2BA1"/>
    <w:rsid w:val="00BC33E2"/>
    <w:rsid w:val="00BC4CF0"/>
    <w:rsid w:val="00BC529D"/>
    <w:rsid w:val="00BC7851"/>
    <w:rsid w:val="00BD6016"/>
    <w:rsid w:val="00BE0DEF"/>
    <w:rsid w:val="00BE2727"/>
    <w:rsid w:val="00BE28B0"/>
    <w:rsid w:val="00BE3C0A"/>
    <w:rsid w:val="00BE3ED3"/>
    <w:rsid w:val="00BE7D95"/>
    <w:rsid w:val="00BF0361"/>
    <w:rsid w:val="00BF34AF"/>
    <w:rsid w:val="00BF6DE0"/>
    <w:rsid w:val="00BF790D"/>
    <w:rsid w:val="00C0162C"/>
    <w:rsid w:val="00C03123"/>
    <w:rsid w:val="00C03264"/>
    <w:rsid w:val="00C235B9"/>
    <w:rsid w:val="00C313E0"/>
    <w:rsid w:val="00C359B5"/>
    <w:rsid w:val="00C40467"/>
    <w:rsid w:val="00C41211"/>
    <w:rsid w:val="00C41A48"/>
    <w:rsid w:val="00C459F6"/>
    <w:rsid w:val="00C56233"/>
    <w:rsid w:val="00C56FDD"/>
    <w:rsid w:val="00C57063"/>
    <w:rsid w:val="00C625D5"/>
    <w:rsid w:val="00C63AD8"/>
    <w:rsid w:val="00C7318D"/>
    <w:rsid w:val="00C771FE"/>
    <w:rsid w:val="00C77B5B"/>
    <w:rsid w:val="00C80820"/>
    <w:rsid w:val="00C818B5"/>
    <w:rsid w:val="00C8381F"/>
    <w:rsid w:val="00C86949"/>
    <w:rsid w:val="00C9066E"/>
    <w:rsid w:val="00C93859"/>
    <w:rsid w:val="00C94BB7"/>
    <w:rsid w:val="00C9510D"/>
    <w:rsid w:val="00C95325"/>
    <w:rsid w:val="00C96D10"/>
    <w:rsid w:val="00CA48CC"/>
    <w:rsid w:val="00CA5413"/>
    <w:rsid w:val="00CB0B52"/>
    <w:rsid w:val="00CB375D"/>
    <w:rsid w:val="00CC0DD6"/>
    <w:rsid w:val="00CC2C21"/>
    <w:rsid w:val="00CC45A7"/>
    <w:rsid w:val="00CC7315"/>
    <w:rsid w:val="00CC780D"/>
    <w:rsid w:val="00CD3013"/>
    <w:rsid w:val="00CF1FBF"/>
    <w:rsid w:val="00CF21A1"/>
    <w:rsid w:val="00CF40B0"/>
    <w:rsid w:val="00CF5497"/>
    <w:rsid w:val="00CF72CC"/>
    <w:rsid w:val="00CF7B3C"/>
    <w:rsid w:val="00CF7FC3"/>
    <w:rsid w:val="00D00662"/>
    <w:rsid w:val="00D007B1"/>
    <w:rsid w:val="00D10097"/>
    <w:rsid w:val="00D168CD"/>
    <w:rsid w:val="00D225FF"/>
    <w:rsid w:val="00D408B0"/>
    <w:rsid w:val="00D40D6F"/>
    <w:rsid w:val="00D4506A"/>
    <w:rsid w:val="00D60BAF"/>
    <w:rsid w:val="00D60ECF"/>
    <w:rsid w:val="00D71383"/>
    <w:rsid w:val="00D731EF"/>
    <w:rsid w:val="00D8045F"/>
    <w:rsid w:val="00D808DE"/>
    <w:rsid w:val="00D81E9C"/>
    <w:rsid w:val="00D82717"/>
    <w:rsid w:val="00D862EC"/>
    <w:rsid w:val="00D8754A"/>
    <w:rsid w:val="00D90F25"/>
    <w:rsid w:val="00D91009"/>
    <w:rsid w:val="00DA5634"/>
    <w:rsid w:val="00DA68D7"/>
    <w:rsid w:val="00DB4E80"/>
    <w:rsid w:val="00DB5761"/>
    <w:rsid w:val="00DC1AAD"/>
    <w:rsid w:val="00DC4CA4"/>
    <w:rsid w:val="00DD2824"/>
    <w:rsid w:val="00DD44EA"/>
    <w:rsid w:val="00DD4617"/>
    <w:rsid w:val="00DE05FF"/>
    <w:rsid w:val="00DE31B2"/>
    <w:rsid w:val="00DE4EAA"/>
    <w:rsid w:val="00DF6929"/>
    <w:rsid w:val="00E0234F"/>
    <w:rsid w:val="00E072AD"/>
    <w:rsid w:val="00E1646D"/>
    <w:rsid w:val="00E211BE"/>
    <w:rsid w:val="00E229C6"/>
    <w:rsid w:val="00E27AFB"/>
    <w:rsid w:val="00E55F2C"/>
    <w:rsid w:val="00E57612"/>
    <w:rsid w:val="00E61DD1"/>
    <w:rsid w:val="00E65825"/>
    <w:rsid w:val="00E670F6"/>
    <w:rsid w:val="00E72249"/>
    <w:rsid w:val="00E72EE8"/>
    <w:rsid w:val="00E75673"/>
    <w:rsid w:val="00E7696A"/>
    <w:rsid w:val="00E76C13"/>
    <w:rsid w:val="00E81209"/>
    <w:rsid w:val="00E95FD8"/>
    <w:rsid w:val="00E96F59"/>
    <w:rsid w:val="00EA5093"/>
    <w:rsid w:val="00EA546D"/>
    <w:rsid w:val="00EA63D7"/>
    <w:rsid w:val="00EA63FA"/>
    <w:rsid w:val="00EB1B7D"/>
    <w:rsid w:val="00EB384C"/>
    <w:rsid w:val="00EB4D08"/>
    <w:rsid w:val="00EB4F08"/>
    <w:rsid w:val="00EB6325"/>
    <w:rsid w:val="00EC0207"/>
    <w:rsid w:val="00EC1600"/>
    <w:rsid w:val="00EC1E80"/>
    <w:rsid w:val="00EC6DC6"/>
    <w:rsid w:val="00ED02F6"/>
    <w:rsid w:val="00ED3CA8"/>
    <w:rsid w:val="00ED7ABC"/>
    <w:rsid w:val="00EE1EDE"/>
    <w:rsid w:val="00EE2697"/>
    <w:rsid w:val="00EE28B1"/>
    <w:rsid w:val="00EE6F68"/>
    <w:rsid w:val="00EF032F"/>
    <w:rsid w:val="00EF10A6"/>
    <w:rsid w:val="00EF17AE"/>
    <w:rsid w:val="00EF1D67"/>
    <w:rsid w:val="00EF279D"/>
    <w:rsid w:val="00EF4895"/>
    <w:rsid w:val="00EF63A1"/>
    <w:rsid w:val="00F0107F"/>
    <w:rsid w:val="00F03BD0"/>
    <w:rsid w:val="00F04822"/>
    <w:rsid w:val="00F04834"/>
    <w:rsid w:val="00F05FD1"/>
    <w:rsid w:val="00F0679C"/>
    <w:rsid w:val="00F24BE4"/>
    <w:rsid w:val="00F25BB7"/>
    <w:rsid w:val="00F32A4D"/>
    <w:rsid w:val="00F40234"/>
    <w:rsid w:val="00F54586"/>
    <w:rsid w:val="00F5470A"/>
    <w:rsid w:val="00F55581"/>
    <w:rsid w:val="00F57B5E"/>
    <w:rsid w:val="00F62DEF"/>
    <w:rsid w:val="00F702B8"/>
    <w:rsid w:val="00F70589"/>
    <w:rsid w:val="00F70A6A"/>
    <w:rsid w:val="00F70D65"/>
    <w:rsid w:val="00F72A5E"/>
    <w:rsid w:val="00F73827"/>
    <w:rsid w:val="00F73F1B"/>
    <w:rsid w:val="00F77CF4"/>
    <w:rsid w:val="00F80E6A"/>
    <w:rsid w:val="00F81EA0"/>
    <w:rsid w:val="00F820E8"/>
    <w:rsid w:val="00F82AD9"/>
    <w:rsid w:val="00F867A1"/>
    <w:rsid w:val="00F90659"/>
    <w:rsid w:val="00F94AE6"/>
    <w:rsid w:val="00F9673F"/>
    <w:rsid w:val="00FA147A"/>
    <w:rsid w:val="00FA2B76"/>
    <w:rsid w:val="00FA2DAC"/>
    <w:rsid w:val="00FA68E9"/>
    <w:rsid w:val="00FB641D"/>
    <w:rsid w:val="00FC1529"/>
    <w:rsid w:val="00FC6225"/>
    <w:rsid w:val="00FC7109"/>
    <w:rsid w:val="00FD00FA"/>
    <w:rsid w:val="00FD67D1"/>
    <w:rsid w:val="00FD73C0"/>
    <w:rsid w:val="00FE02BA"/>
    <w:rsid w:val="00FE1CF3"/>
    <w:rsid w:val="00FE220D"/>
    <w:rsid w:val="00FE3B3C"/>
    <w:rsid w:val="00FE78A6"/>
    <w:rsid w:val="00FF1635"/>
    <w:rsid w:val="00FF18BE"/>
    <w:rsid w:val="00FF4908"/>
    <w:rsid w:val="110AA730"/>
    <w:rsid w:val="3B4E0250"/>
    <w:rsid w:val="468C0BA4"/>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7B5B"/>
    <w:pPr>
      <w:spacing w:before="120" w:after="120" w:line="276" w:lineRule="auto"/>
    </w:pPr>
    <w:rPr>
      <w:rFonts w:ascii="Calibri" w:hAnsi="Calibri"/>
      <w:sz w:val="22"/>
    </w:rPr>
  </w:style>
  <w:style w:type="paragraph" w:styleId="Heading1">
    <w:name w:val="heading 1"/>
    <w:basedOn w:val="Normal"/>
    <w:next w:val="Normal"/>
    <w:qFormat/>
    <w:rsid w:val="00C77B5B"/>
    <w:pPr>
      <w:keepNext/>
      <w:tabs>
        <w:tab w:val="left" w:pos="9498"/>
      </w:tabs>
      <w:outlineLvl w:val="0"/>
    </w:pPr>
    <w:rPr>
      <w:b/>
      <w:sz w:val="32"/>
    </w:rPr>
  </w:style>
  <w:style w:type="paragraph" w:styleId="Heading2">
    <w:name w:val="heading 2"/>
    <w:basedOn w:val="Normal"/>
    <w:next w:val="Normal"/>
    <w:qFormat/>
    <w:rsid w:val="00C77B5B"/>
    <w:pPr>
      <w:keepNext/>
      <w:spacing w:before="240" w:after="60"/>
      <w:outlineLvl w:val="1"/>
    </w:pPr>
    <w:rPr>
      <w:rFonts w:ascii="Corbel" w:hAnsi="Corbel"/>
      <w:b/>
      <w:sz w:val="28"/>
    </w:rPr>
  </w:style>
  <w:style w:type="paragraph" w:styleId="Heading3">
    <w:name w:val="heading 3"/>
    <w:basedOn w:val="Normal"/>
    <w:next w:val="Normal"/>
    <w:qFormat/>
    <w:rsid w:val="00C77B5B"/>
    <w:pPr>
      <w:keepNext/>
      <w:spacing w:before="240" w:after="60"/>
      <w:outlineLvl w:val="2"/>
    </w:pPr>
    <w:rPr>
      <w:b/>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Normal"/>
    <w:qFormat/>
    <w:pPr>
      <w:tabs>
        <w:tab w:val="left" w:pos="9498"/>
      </w:tabs>
      <w:jc w:val="center"/>
    </w:pPr>
    <w:rPr>
      <w:b/>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semiHidden/>
    <w:unhideWhenUsed/>
    <w:rsid w:val="00895056"/>
    <w:rPr>
      <w:sz w:val="20"/>
    </w:rPr>
  </w:style>
  <w:style w:type="character" w:customStyle="1" w:styleId="CommentTextChar">
    <w:name w:val="Comment Text Char"/>
    <w:basedOn w:val="DefaultParagraphFont"/>
    <w:link w:val="CommentText"/>
    <w:uiPriority w:val="99"/>
    <w:semiHidden/>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339CA"/>
    <w:rPr>
      <w:color w:val="605E5C"/>
      <w:shd w:val="clear" w:color="auto" w:fill="E1DFDD"/>
    </w:rPr>
  </w:style>
  <w:style w:type="paragraph" w:styleId="NormalWeb">
    <w:name w:val="Normal (Web)"/>
    <w:basedOn w:val="Normal"/>
    <w:uiPriority w:val="99"/>
    <w:unhideWhenUsed/>
    <w:rsid w:val="00EF279D"/>
    <w:pPr>
      <w:spacing w:before="100" w:beforeAutospacing="1" w:after="100" w:afterAutospacing="1"/>
    </w:pPr>
    <w:rPr>
      <w:szCs w:val="24"/>
    </w:rPr>
  </w:style>
  <w:style w:type="character" w:customStyle="1" w:styleId="FooterChar">
    <w:name w:val="Footer Char"/>
    <w:basedOn w:val="DefaultParagraphFont"/>
    <w:link w:val="Footer"/>
    <w:uiPriority w:val="99"/>
    <w:rsid w:val="00BC529D"/>
    <w:rPr>
      <w:b/>
    </w:rPr>
  </w:style>
  <w:style w:type="paragraph" w:styleId="Subtitle">
    <w:name w:val="Subtitle"/>
    <w:basedOn w:val="Heading2"/>
    <w:next w:val="Normal"/>
    <w:link w:val="SubtitleChar"/>
    <w:uiPriority w:val="11"/>
    <w:qFormat/>
    <w:rsid w:val="00F702B8"/>
    <w:pPr>
      <w:keepNext w:val="0"/>
      <w:spacing w:after="0"/>
    </w:pPr>
    <w:rPr>
      <w:rFonts w:ascii="Arial" w:eastAsia="Corbel" w:hAnsi="Arial" w:cs="Arial"/>
      <w:bCs/>
      <w:i/>
      <w:color w:val="008080"/>
      <w:sz w:val="48"/>
      <w:szCs w:val="48"/>
    </w:rPr>
  </w:style>
  <w:style w:type="character" w:customStyle="1" w:styleId="SubtitleChar">
    <w:name w:val="Subtitle Char"/>
    <w:basedOn w:val="DefaultParagraphFont"/>
    <w:link w:val="Subtitle"/>
    <w:uiPriority w:val="11"/>
    <w:rsid w:val="00F702B8"/>
    <w:rPr>
      <w:rFonts w:ascii="Arial" w:eastAsia="Corbel" w:hAnsi="Arial" w:cs="Arial"/>
      <w:b/>
      <w:bCs/>
      <w:color w:val="00808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1582981512">
      <w:bodyDiv w:val="1"/>
      <w:marLeft w:val="0"/>
      <w:marRight w:val="0"/>
      <w:marTop w:val="0"/>
      <w:marBottom w:val="0"/>
      <w:divBdr>
        <w:top w:val="none" w:sz="0" w:space="0" w:color="auto"/>
        <w:left w:val="none" w:sz="0" w:space="0" w:color="auto"/>
        <w:bottom w:val="none" w:sz="0" w:space="0" w:color="auto"/>
        <w:right w:val="none" w:sz="0" w:space="0" w:color="auto"/>
      </w:divBdr>
    </w:div>
    <w:div w:id="161385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tas.gov.au/bills/Bills2019/50_of_2019.htm" TargetMode="External"/><Relationship Id="rId13" Type="http://schemas.openxmlformats.org/officeDocument/2006/relationships/hyperlink" Target="https://publicdocumentcentre.education.tas.gov.au/_layouts/15/DocIdRedir.aspx?ID=TASED-1797567314-10974" TargetMode="External"/><Relationship Id="rId18" Type="http://schemas.openxmlformats.org/officeDocument/2006/relationships/hyperlink" Target="https://www.youtube.com/watch?v=_tmgpPbc0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umentcentre.education.tas.gov.au/Documents/Family-Engagement-Review.pdf" TargetMode="External"/><Relationship Id="rId7" Type="http://schemas.openxmlformats.org/officeDocument/2006/relationships/endnotes" Target="endnotes.xml"/><Relationship Id="rId12" Type="http://schemas.openxmlformats.org/officeDocument/2006/relationships/hyperlink" Target="https://www.theorb.tas.gov.au/" TargetMode="External"/><Relationship Id="rId17" Type="http://schemas.openxmlformats.org/officeDocument/2006/relationships/hyperlink" Target="https://www.youtube.com/watch?v=lHfC4fMVvY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ucation.tas.gov.au/about-us/teach-tasmania/" TargetMode="External"/><Relationship Id="rId20" Type="http://schemas.openxmlformats.org/officeDocument/2006/relationships/hyperlink" Target="https://documentcentre.education.tas.gov.au/Documents/Family-Engagement-Review.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tas.gov.au/supporting-student-need/educational-adjustment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arliament.tas.gov.au/bills/Bills2019/50_of_2019.htm" TargetMode="External"/><Relationship Id="rId23" Type="http://schemas.openxmlformats.org/officeDocument/2006/relationships/footer" Target="footer1.xml"/><Relationship Id="rId10" Type="http://schemas.openxmlformats.org/officeDocument/2006/relationships/hyperlink" Target="https://uploadstorage.blob.core.windows.net/submission-uploads/fil0d6ea16df8224cd119ada.pdf" TargetMode="External"/><Relationship Id="rId19" Type="http://schemas.openxmlformats.org/officeDocument/2006/relationships/hyperlink" Target="https://www.youtube.com/watch?v=wkvLgyJrT9E" TargetMode="External"/><Relationship Id="rId4" Type="http://schemas.openxmlformats.org/officeDocument/2006/relationships/settings" Target="settings.xml"/><Relationship Id="rId9" Type="http://schemas.openxmlformats.org/officeDocument/2006/relationships/hyperlink" Target="https://www.education.tas.gov.au/about-us/our-department/strategic-plan/" TargetMode="External"/><Relationship Id="rId14" Type="http://schemas.openxmlformats.org/officeDocument/2006/relationships/hyperlink" Target="https://www.tasc.tas.gov.au/wp-content/uploads/2019/10/TASC-Senior-Secondary-Accreditation-Framework.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931B-4615-4785-B7F7-2545E1B9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Tasmania Bilateral Agreement: 2019 Progress Report</dc:title>
  <dc:subject/>
  <dc:creator/>
  <cp:keywords/>
  <cp:lastModifiedBy/>
  <cp:revision>1</cp:revision>
  <dcterms:created xsi:type="dcterms:W3CDTF">2020-11-03T23:12:00Z</dcterms:created>
  <dcterms:modified xsi:type="dcterms:W3CDTF">2020-11-04T00:06:00Z</dcterms:modified>
</cp:coreProperties>
</file>