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28723" w14:textId="77777777" w:rsidR="006E5D6E" w:rsidRDefault="00350FFA" w:rsidP="00350FFA">
      <w:pPr>
        <w:ind w:left="-1474"/>
      </w:pPr>
      <w:bookmarkStart w:id="0" w:name="_GoBack"/>
      <w:bookmarkEnd w:id="0"/>
      <w:r w:rsidRPr="00350FFA">
        <w:rPr>
          <w:noProof/>
          <w:lang w:eastAsia="en-AU"/>
        </w:rPr>
        <w:drawing>
          <wp:anchor distT="0" distB="0" distL="114300" distR="114300" simplePos="0" relativeHeight="251658240" behindDoc="1" locked="1" layoutInCell="1" allowOverlap="1" wp14:anchorId="37A8B7AA" wp14:editId="47D87DDF">
            <wp:simplePos x="0" y="0"/>
            <wp:positionH relativeFrom="page">
              <wp:align>right</wp:align>
            </wp:positionH>
            <wp:positionV relativeFrom="margin">
              <wp:align>center</wp:align>
            </wp:positionV>
            <wp:extent cx="7624445" cy="10785475"/>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445" cy="1078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C73158" w14:textId="77777777" w:rsidR="00930CDA" w:rsidRDefault="00930CDA" w:rsidP="00930CDA">
      <w:pPr>
        <w:spacing w:after="160" w:line="720" w:lineRule="auto"/>
        <w:rPr>
          <w:noProof/>
          <w:lang w:eastAsia="en-AU"/>
        </w:rPr>
      </w:pPr>
      <w:r>
        <w:rPr>
          <w:noProof/>
          <w:lang w:eastAsia="en-AU"/>
        </w:rPr>
        <w:drawing>
          <wp:inline distT="0" distB="0" distL="0" distR="0" wp14:anchorId="711A761A" wp14:editId="5BDE7E37">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5CBCB889" w14:textId="2E672DD1" w:rsidR="00930CDA" w:rsidRDefault="00761FC2" w:rsidP="007855CC">
      <w:pPr>
        <w:pStyle w:val="Title"/>
        <w:spacing w:line="240" w:lineRule="auto"/>
        <w:ind w:left="1276"/>
        <w:rPr>
          <w:noProof/>
          <w:lang w:eastAsia="en-AU"/>
        </w:rPr>
      </w:pPr>
      <w:r>
        <w:rPr>
          <w:noProof/>
          <w:lang w:eastAsia="en-AU"/>
        </w:rPr>
        <w:t>National priorities and industry linkage fund</w:t>
      </w:r>
    </w:p>
    <w:p w14:paraId="4F00491E" w14:textId="530745C0" w:rsidR="007855CC" w:rsidRDefault="00761FC2" w:rsidP="007855CC">
      <w:pPr>
        <w:pStyle w:val="Subtitle"/>
        <w:spacing w:before="240"/>
        <w:ind w:left="1276"/>
        <w:rPr>
          <w:noProof/>
          <w:lang w:eastAsia="en-AU"/>
        </w:rPr>
      </w:pPr>
      <w:r>
        <w:rPr>
          <w:noProof/>
          <w:lang w:eastAsia="en-AU"/>
        </w:rPr>
        <w:t>Consultation paper</w:t>
      </w:r>
    </w:p>
    <w:p w14:paraId="5901EC92" w14:textId="77777777" w:rsidR="00A13341" w:rsidRDefault="00A13341" w:rsidP="0095636C"/>
    <w:p w14:paraId="39DD93BA" w14:textId="77777777" w:rsidR="00A13341" w:rsidRDefault="00A13341" w:rsidP="0095636C">
      <w:pPr>
        <w:sectPr w:rsidR="00A13341" w:rsidSect="005D14CB">
          <w:footerReference w:type="default" r:id="rId13"/>
          <w:type w:val="continuous"/>
          <w:pgSz w:w="11906" w:h="16838"/>
          <w:pgMar w:top="1418" w:right="1440" w:bottom="1560" w:left="1276" w:header="708" w:footer="708" w:gutter="0"/>
          <w:cols w:space="708"/>
          <w:titlePg/>
          <w:docGrid w:linePitch="360"/>
        </w:sectPr>
      </w:pPr>
    </w:p>
    <w:p w14:paraId="047915A0" w14:textId="77777777" w:rsidR="007855CC" w:rsidRPr="00072F8E" w:rsidRDefault="007855CC" w:rsidP="007855CC">
      <w:pPr>
        <w:rPr>
          <w:b/>
        </w:rPr>
        <w:sectPr w:rsidR="007855CC" w:rsidRPr="00072F8E" w:rsidSect="005D14CB">
          <w:pgSz w:w="11906" w:h="16838"/>
          <w:pgMar w:top="2268" w:right="1440" w:bottom="1440" w:left="1440" w:header="709" w:footer="709" w:gutter="0"/>
          <w:cols w:space="708"/>
          <w:titlePg/>
          <w:docGrid w:linePitch="360"/>
        </w:sectPr>
      </w:pPr>
      <w:bookmarkStart w:id="1" w:name="_Toc30065222"/>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343F4071" w14:textId="77777777" w:rsidR="007855CC" w:rsidRPr="003C539C" w:rsidRDefault="007855CC" w:rsidP="007855CC">
          <w:pPr>
            <w:pStyle w:val="TOCHeading"/>
          </w:pPr>
          <w:r w:rsidRPr="00D84395">
            <w:t>Contents</w:t>
          </w:r>
        </w:p>
        <w:p w14:paraId="4DA88567" w14:textId="02FED6D5" w:rsidR="002E0458" w:rsidRDefault="00761FC2">
          <w:pPr>
            <w:pStyle w:val="TOC1"/>
            <w:tabs>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"1-2" \h \z \u </w:instrText>
          </w:r>
          <w:r>
            <w:rPr>
              <w:rFonts w:ascii="Calibri" w:eastAsiaTheme="majorEastAsia" w:hAnsi="Calibri" w:cstheme="majorBidi"/>
              <w:b w:val="0"/>
              <w:color w:val="343741"/>
              <w:sz w:val="32"/>
              <w:szCs w:val="32"/>
            </w:rPr>
            <w:fldChar w:fldCharType="separate"/>
          </w:r>
          <w:hyperlink w:anchor="_Toc52296774" w:history="1">
            <w:r w:rsidR="002E0458" w:rsidRPr="00641390">
              <w:rPr>
                <w:rStyle w:val="Hyperlink"/>
                <w:noProof/>
              </w:rPr>
              <w:t>Delivering job-ready graduates in areas of expected employment growth</w:t>
            </w:r>
            <w:r w:rsidR="002E0458">
              <w:rPr>
                <w:noProof/>
                <w:webHidden/>
              </w:rPr>
              <w:tab/>
            </w:r>
            <w:r w:rsidR="002E0458">
              <w:rPr>
                <w:noProof/>
                <w:webHidden/>
              </w:rPr>
              <w:fldChar w:fldCharType="begin"/>
            </w:r>
            <w:r w:rsidR="002E0458">
              <w:rPr>
                <w:noProof/>
                <w:webHidden/>
              </w:rPr>
              <w:instrText xml:space="preserve"> PAGEREF _Toc52296774 \h </w:instrText>
            </w:r>
            <w:r w:rsidR="002E0458">
              <w:rPr>
                <w:noProof/>
                <w:webHidden/>
              </w:rPr>
            </w:r>
            <w:r w:rsidR="002E0458">
              <w:rPr>
                <w:noProof/>
                <w:webHidden/>
              </w:rPr>
              <w:fldChar w:fldCharType="separate"/>
            </w:r>
            <w:r w:rsidR="006724E2">
              <w:rPr>
                <w:noProof/>
                <w:webHidden/>
              </w:rPr>
              <w:t>3</w:t>
            </w:r>
            <w:r w:rsidR="002E0458">
              <w:rPr>
                <w:noProof/>
                <w:webHidden/>
              </w:rPr>
              <w:fldChar w:fldCharType="end"/>
            </w:r>
          </w:hyperlink>
        </w:p>
        <w:p w14:paraId="5512AB7D" w14:textId="7E01C1AB" w:rsidR="002E0458" w:rsidRDefault="007E472F">
          <w:pPr>
            <w:pStyle w:val="TOC2"/>
            <w:rPr>
              <w:rFonts w:eastAsiaTheme="minorEastAsia"/>
              <w:noProof/>
              <w:lang w:eastAsia="en-AU"/>
            </w:rPr>
          </w:pPr>
          <w:hyperlink w:anchor="_Toc52296775" w:history="1">
            <w:r w:rsidR="002E0458" w:rsidRPr="00641390">
              <w:rPr>
                <w:rStyle w:val="Hyperlink"/>
                <w:noProof/>
              </w:rPr>
              <w:t>Introducing the Job-ready Graduates package</w:t>
            </w:r>
            <w:r w:rsidR="002E0458">
              <w:rPr>
                <w:noProof/>
                <w:webHidden/>
              </w:rPr>
              <w:tab/>
            </w:r>
            <w:r w:rsidR="002E0458">
              <w:rPr>
                <w:noProof/>
                <w:webHidden/>
              </w:rPr>
              <w:fldChar w:fldCharType="begin"/>
            </w:r>
            <w:r w:rsidR="002E0458">
              <w:rPr>
                <w:noProof/>
                <w:webHidden/>
              </w:rPr>
              <w:instrText xml:space="preserve"> PAGEREF _Toc52296775 \h </w:instrText>
            </w:r>
            <w:r w:rsidR="002E0458">
              <w:rPr>
                <w:noProof/>
                <w:webHidden/>
              </w:rPr>
            </w:r>
            <w:r w:rsidR="002E0458">
              <w:rPr>
                <w:noProof/>
                <w:webHidden/>
              </w:rPr>
              <w:fldChar w:fldCharType="separate"/>
            </w:r>
            <w:r w:rsidR="006724E2">
              <w:rPr>
                <w:noProof/>
                <w:webHidden/>
              </w:rPr>
              <w:t>3</w:t>
            </w:r>
            <w:r w:rsidR="002E0458">
              <w:rPr>
                <w:noProof/>
                <w:webHidden/>
              </w:rPr>
              <w:fldChar w:fldCharType="end"/>
            </w:r>
          </w:hyperlink>
        </w:p>
        <w:p w14:paraId="4849C9E7" w14:textId="6B99E386" w:rsidR="002E0458" w:rsidRDefault="007E472F">
          <w:pPr>
            <w:pStyle w:val="TOC1"/>
            <w:tabs>
              <w:tab w:val="right" w:leader="dot" w:pos="9016"/>
            </w:tabs>
            <w:rPr>
              <w:rFonts w:eastAsiaTheme="minorEastAsia"/>
              <w:b w:val="0"/>
              <w:noProof/>
              <w:lang w:eastAsia="en-AU"/>
            </w:rPr>
          </w:pPr>
          <w:hyperlink w:anchor="_Toc52296776" w:history="1">
            <w:r w:rsidR="002E0458" w:rsidRPr="00641390">
              <w:rPr>
                <w:rStyle w:val="Hyperlink"/>
                <w:noProof/>
              </w:rPr>
              <w:t>What is a job-ready graduate?</w:t>
            </w:r>
            <w:r w:rsidR="002E0458">
              <w:rPr>
                <w:noProof/>
                <w:webHidden/>
              </w:rPr>
              <w:tab/>
            </w:r>
            <w:r w:rsidR="002E0458">
              <w:rPr>
                <w:noProof/>
                <w:webHidden/>
              </w:rPr>
              <w:fldChar w:fldCharType="begin"/>
            </w:r>
            <w:r w:rsidR="002E0458">
              <w:rPr>
                <w:noProof/>
                <w:webHidden/>
              </w:rPr>
              <w:instrText xml:space="preserve"> PAGEREF _Toc52296776 \h </w:instrText>
            </w:r>
            <w:r w:rsidR="002E0458">
              <w:rPr>
                <w:noProof/>
                <w:webHidden/>
              </w:rPr>
            </w:r>
            <w:r w:rsidR="002E0458">
              <w:rPr>
                <w:noProof/>
                <w:webHidden/>
              </w:rPr>
              <w:fldChar w:fldCharType="separate"/>
            </w:r>
            <w:r w:rsidR="006724E2">
              <w:rPr>
                <w:noProof/>
                <w:webHidden/>
              </w:rPr>
              <w:t>3</w:t>
            </w:r>
            <w:r w:rsidR="002E0458">
              <w:rPr>
                <w:noProof/>
                <w:webHidden/>
              </w:rPr>
              <w:fldChar w:fldCharType="end"/>
            </w:r>
          </w:hyperlink>
        </w:p>
        <w:p w14:paraId="51D3878C" w14:textId="51BDEFA4" w:rsidR="002E0458" w:rsidRDefault="007E472F">
          <w:pPr>
            <w:pStyle w:val="TOC2"/>
            <w:rPr>
              <w:rFonts w:eastAsiaTheme="minorEastAsia"/>
              <w:noProof/>
              <w:lang w:eastAsia="en-AU"/>
            </w:rPr>
          </w:pPr>
          <w:hyperlink w:anchor="_Toc52296777" w:history="1">
            <w:r w:rsidR="002E0458" w:rsidRPr="00641390">
              <w:rPr>
                <w:rStyle w:val="Hyperlink"/>
                <w:noProof/>
              </w:rPr>
              <w:t>They are prepared for the future of work</w:t>
            </w:r>
            <w:r w:rsidR="002E0458">
              <w:rPr>
                <w:noProof/>
                <w:webHidden/>
              </w:rPr>
              <w:tab/>
            </w:r>
            <w:r w:rsidR="002E0458">
              <w:rPr>
                <w:noProof/>
                <w:webHidden/>
              </w:rPr>
              <w:fldChar w:fldCharType="begin"/>
            </w:r>
            <w:r w:rsidR="002E0458">
              <w:rPr>
                <w:noProof/>
                <w:webHidden/>
              </w:rPr>
              <w:instrText xml:space="preserve"> PAGEREF _Toc52296777 \h </w:instrText>
            </w:r>
            <w:r w:rsidR="002E0458">
              <w:rPr>
                <w:noProof/>
                <w:webHidden/>
              </w:rPr>
            </w:r>
            <w:r w:rsidR="002E0458">
              <w:rPr>
                <w:noProof/>
                <w:webHidden/>
              </w:rPr>
              <w:fldChar w:fldCharType="separate"/>
            </w:r>
            <w:r w:rsidR="006724E2">
              <w:rPr>
                <w:noProof/>
                <w:webHidden/>
              </w:rPr>
              <w:t>4</w:t>
            </w:r>
            <w:r w:rsidR="002E0458">
              <w:rPr>
                <w:noProof/>
                <w:webHidden/>
              </w:rPr>
              <w:fldChar w:fldCharType="end"/>
            </w:r>
          </w:hyperlink>
        </w:p>
        <w:p w14:paraId="3B03DD87" w14:textId="4182177F" w:rsidR="002E0458" w:rsidRDefault="007E472F">
          <w:pPr>
            <w:pStyle w:val="TOC2"/>
            <w:rPr>
              <w:rFonts w:eastAsiaTheme="minorEastAsia"/>
              <w:noProof/>
              <w:lang w:eastAsia="en-AU"/>
            </w:rPr>
          </w:pPr>
          <w:hyperlink w:anchor="_Toc52296778" w:history="1">
            <w:r w:rsidR="002E0458" w:rsidRPr="00641390">
              <w:rPr>
                <w:rStyle w:val="Hyperlink"/>
                <w:noProof/>
              </w:rPr>
              <w:t>They have enhanced STEM-skills</w:t>
            </w:r>
            <w:r w:rsidR="002E0458">
              <w:rPr>
                <w:noProof/>
                <w:webHidden/>
              </w:rPr>
              <w:tab/>
            </w:r>
            <w:r w:rsidR="002E0458">
              <w:rPr>
                <w:noProof/>
                <w:webHidden/>
              </w:rPr>
              <w:fldChar w:fldCharType="begin"/>
            </w:r>
            <w:r w:rsidR="002E0458">
              <w:rPr>
                <w:noProof/>
                <w:webHidden/>
              </w:rPr>
              <w:instrText xml:space="preserve"> PAGEREF _Toc52296778 \h </w:instrText>
            </w:r>
            <w:r w:rsidR="002E0458">
              <w:rPr>
                <w:noProof/>
                <w:webHidden/>
              </w:rPr>
            </w:r>
            <w:r w:rsidR="002E0458">
              <w:rPr>
                <w:noProof/>
                <w:webHidden/>
              </w:rPr>
              <w:fldChar w:fldCharType="separate"/>
            </w:r>
            <w:r w:rsidR="006724E2">
              <w:rPr>
                <w:noProof/>
                <w:webHidden/>
              </w:rPr>
              <w:t>5</w:t>
            </w:r>
            <w:r w:rsidR="002E0458">
              <w:rPr>
                <w:noProof/>
                <w:webHidden/>
              </w:rPr>
              <w:fldChar w:fldCharType="end"/>
            </w:r>
          </w:hyperlink>
        </w:p>
        <w:p w14:paraId="1E564B74" w14:textId="5399DC82" w:rsidR="002E0458" w:rsidRDefault="007E472F">
          <w:pPr>
            <w:pStyle w:val="TOC2"/>
            <w:rPr>
              <w:rFonts w:eastAsiaTheme="minorEastAsia"/>
              <w:noProof/>
              <w:lang w:eastAsia="en-AU"/>
            </w:rPr>
          </w:pPr>
          <w:hyperlink w:anchor="_Toc52296779" w:history="1">
            <w:r w:rsidR="002E0458" w:rsidRPr="00641390">
              <w:rPr>
                <w:rStyle w:val="Hyperlink"/>
                <w:noProof/>
              </w:rPr>
              <w:t>They have professional skills which make them confident to apply their course knowledge</w:t>
            </w:r>
            <w:r w:rsidR="002E0458">
              <w:rPr>
                <w:noProof/>
                <w:webHidden/>
              </w:rPr>
              <w:tab/>
            </w:r>
            <w:r w:rsidR="002E0458">
              <w:rPr>
                <w:noProof/>
                <w:webHidden/>
              </w:rPr>
              <w:fldChar w:fldCharType="begin"/>
            </w:r>
            <w:r w:rsidR="002E0458">
              <w:rPr>
                <w:noProof/>
                <w:webHidden/>
              </w:rPr>
              <w:instrText xml:space="preserve"> PAGEREF _Toc52296779 \h </w:instrText>
            </w:r>
            <w:r w:rsidR="002E0458">
              <w:rPr>
                <w:noProof/>
                <w:webHidden/>
              </w:rPr>
            </w:r>
            <w:r w:rsidR="002E0458">
              <w:rPr>
                <w:noProof/>
                <w:webHidden/>
              </w:rPr>
              <w:fldChar w:fldCharType="separate"/>
            </w:r>
            <w:r w:rsidR="006724E2">
              <w:rPr>
                <w:noProof/>
                <w:webHidden/>
              </w:rPr>
              <w:t>6</w:t>
            </w:r>
            <w:r w:rsidR="002E0458">
              <w:rPr>
                <w:noProof/>
                <w:webHidden/>
              </w:rPr>
              <w:fldChar w:fldCharType="end"/>
            </w:r>
          </w:hyperlink>
        </w:p>
        <w:p w14:paraId="6F995896" w14:textId="25604FEA" w:rsidR="002E0458" w:rsidRDefault="007E472F">
          <w:pPr>
            <w:pStyle w:val="TOC2"/>
            <w:rPr>
              <w:rFonts w:eastAsiaTheme="minorEastAsia"/>
              <w:noProof/>
              <w:lang w:eastAsia="en-AU"/>
            </w:rPr>
          </w:pPr>
          <w:hyperlink w:anchor="_Toc52296780" w:history="1">
            <w:r w:rsidR="002E0458" w:rsidRPr="00641390">
              <w:rPr>
                <w:rStyle w:val="Hyperlink"/>
                <w:noProof/>
              </w:rPr>
              <w:t>Their study is supported and contextualised by strong industry partnerships</w:t>
            </w:r>
            <w:r w:rsidR="002E0458">
              <w:rPr>
                <w:noProof/>
                <w:webHidden/>
              </w:rPr>
              <w:tab/>
            </w:r>
            <w:r w:rsidR="002E0458">
              <w:rPr>
                <w:noProof/>
                <w:webHidden/>
              </w:rPr>
              <w:fldChar w:fldCharType="begin"/>
            </w:r>
            <w:r w:rsidR="002E0458">
              <w:rPr>
                <w:noProof/>
                <w:webHidden/>
              </w:rPr>
              <w:instrText xml:space="preserve"> PAGEREF _Toc52296780 \h </w:instrText>
            </w:r>
            <w:r w:rsidR="002E0458">
              <w:rPr>
                <w:noProof/>
                <w:webHidden/>
              </w:rPr>
            </w:r>
            <w:r w:rsidR="002E0458">
              <w:rPr>
                <w:noProof/>
                <w:webHidden/>
              </w:rPr>
              <w:fldChar w:fldCharType="separate"/>
            </w:r>
            <w:r w:rsidR="006724E2">
              <w:rPr>
                <w:noProof/>
                <w:webHidden/>
              </w:rPr>
              <w:t>8</w:t>
            </w:r>
            <w:r w:rsidR="002E0458">
              <w:rPr>
                <w:noProof/>
                <w:webHidden/>
              </w:rPr>
              <w:fldChar w:fldCharType="end"/>
            </w:r>
          </w:hyperlink>
        </w:p>
        <w:p w14:paraId="68E85C37" w14:textId="785FCC3F" w:rsidR="002E0458" w:rsidRDefault="007E472F">
          <w:pPr>
            <w:pStyle w:val="TOC1"/>
            <w:tabs>
              <w:tab w:val="right" w:leader="dot" w:pos="9016"/>
            </w:tabs>
            <w:rPr>
              <w:rFonts w:eastAsiaTheme="minorEastAsia"/>
              <w:b w:val="0"/>
              <w:noProof/>
              <w:lang w:eastAsia="en-AU"/>
            </w:rPr>
          </w:pPr>
          <w:hyperlink w:anchor="_Toc52296781" w:history="1">
            <w:r w:rsidR="002E0458" w:rsidRPr="00641390">
              <w:rPr>
                <w:rStyle w:val="Hyperlink"/>
                <w:noProof/>
              </w:rPr>
              <w:t>A specific funding stream to focus on industry linkages and national priorities</w:t>
            </w:r>
            <w:r w:rsidR="002E0458">
              <w:rPr>
                <w:noProof/>
                <w:webHidden/>
              </w:rPr>
              <w:tab/>
            </w:r>
            <w:r w:rsidR="002E0458">
              <w:rPr>
                <w:noProof/>
                <w:webHidden/>
              </w:rPr>
              <w:fldChar w:fldCharType="begin"/>
            </w:r>
            <w:r w:rsidR="002E0458">
              <w:rPr>
                <w:noProof/>
                <w:webHidden/>
              </w:rPr>
              <w:instrText xml:space="preserve"> PAGEREF _Toc52296781 \h </w:instrText>
            </w:r>
            <w:r w:rsidR="002E0458">
              <w:rPr>
                <w:noProof/>
                <w:webHidden/>
              </w:rPr>
            </w:r>
            <w:r w:rsidR="002E0458">
              <w:rPr>
                <w:noProof/>
                <w:webHidden/>
              </w:rPr>
              <w:fldChar w:fldCharType="separate"/>
            </w:r>
            <w:r w:rsidR="006724E2">
              <w:rPr>
                <w:noProof/>
                <w:webHidden/>
              </w:rPr>
              <w:t>9</w:t>
            </w:r>
            <w:r w:rsidR="002E0458">
              <w:rPr>
                <w:noProof/>
                <w:webHidden/>
              </w:rPr>
              <w:fldChar w:fldCharType="end"/>
            </w:r>
          </w:hyperlink>
        </w:p>
        <w:p w14:paraId="35268F36" w14:textId="38B672C2" w:rsidR="002E0458" w:rsidRDefault="007E472F">
          <w:pPr>
            <w:pStyle w:val="TOC2"/>
            <w:rPr>
              <w:rFonts w:eastAsiaTheme="minorEastAsia"/>
              <w:noProof/>
              <w:lang w:eastAsia="en-AU"/>
            </w:rPr>
          </w:pPr>
          <w:hyperlink w:anchor="_Toc52296782" w:history="1">
            <w:r w:rsidR="002E0458" w:rsidRPr="00641390">
              <w:rPr>
                <w:rStyle w:val="Hyperlink"/>
                <w:noProof/>
              </w:rPr>
              <w:t>Introducing the National Priorities and Industry Linkages Fund</w:t>
            </w:r>
            <w:r w:rsidR="002E0458">
              <w:rPr>
                <w:noProof/>
                <w:webHidden/>
              </w:rPr>
              <w:tab/>
            </w:r>
            <w:r w:rsidR="002E0458">
              <w:rPr>
                <w:noProof/>
                <w:webHidden/>
              </w:rPr>
              <w:fldChar w:fldCharType="begin"/>
            </w:r>
            <w:r w:rsidR="002E0458">
              <w:rPr>
                <w:noProof/>
                <w:webHidden/>
              </w:rPr>
              <w:instrText xml:space="preserve"> PAGEREF _Toc52296782 \h </w:instrText>
            </w:r>
            <w:r w:rsidR="002E0458">
              <w:rPr>
                <w:noProof/>
                <w:webHidden/>
              </w:rPr>
            </w:r>
            <w:r w:rsidR="002E0458">
              <w:rPr>
                <w:noProof/>
                <w:webHidden/>
              </w:rPr>
              <w:fldChar w:fldCharType="separate"/>
            </w:r>
            <w:r w:rsidR="006724E2">
              <w:rPr>
                <w:noProof/>
                <w:webHidden/>
              </w:rPr>
              <w:t>9</w:t>
            </w:r>
            <w:r w:rsidR="002E0458">
              <w:rPr>
                <w:noProof/>
                <w:webHidden/>
              </w:rPr>
              <w:fldChar w:fldCharType="end"/>
            </w:r>
          </w:hyperlink>
        </w:p>
        <w:p w14:paraId="2350CD4E" w14:textId="77556F29" w:rsidR="002E0458" w:rsidRDefault="007E472F">
          <w:pPr>
            <w:pStyle w:val="TOC2"/>
            <w:rPr>
              <w:rFonts w:eastAsiaTheme="minorEastAsia"/>
              <w:noProof/>
              <w:lang w:eastAsia="en-AU"/>
            </w:rPr>
          </w:pPr>
          <w:hyperlink w:anchor="_Toc52296783" w:history="1">
            <w:r w:rsidR="002E0458" w:rsidRPr="00641390">
              <w:rPr>
                <w:rStyle w:val="Hyperlink"/>
                <w:noProof/>
              </w:rPr>
              <w:t>Priorities and aspirations of NPILF</w:t>
            </w:r>
            <w:r w:rsidR="002E0458">
              <w:rPr>
                <w:noProof/>
                <w:webHidden/>
              </w:rPr>
              <w:tab/>
            </w:r>
            <w:r w:rsidR="002E0458">
              <w:rPr>
                <w:noProof/>
                <w:webHidden/>
              </w:rPr>
              <w:fldChar w:fldCharType="begin"/>
            </w:r>
            <w:r w:rsidR="002E0458">
              <w:rPr>
                <w:noProof/>
                <w:webHidden/>
              </w:rPr>
              <w:instrText xml:space="preserve"> PAGEREF _Toc52296783 \h </w:instrText>
            </w:r>
            <w:r w:rsidR="002E0458">
              <w:rPr>
                <w:noProof/>
                <w:webHidden/>
              </w:rPr>
            </w:r>
            <w:r w:rsidR="002E0458">
              <w:rPr>
                <w:noProof/>
                <w:webHidden/>
              </w:rPr>
              <w:fldChar w:fldCharType="separate"/>
            </w:r>
            <w:r w:rsidR="006724E2">
              <w:rPr>
                <w:noProof/>
                <w:webHidden/>
              </w:rPr>
              <w:t>9</w:t>
            </w:r>
            <w:r w:rsidR="002E0458">
              <w:rPr>
                <w:noProof/>
                <w:webHidden/>
              </w:rPr>
              <w:fldChar w:fldCharType="end"/>
            </w:r>
          </w:hyperlink>
        </w:p>
        <w:p w14:paraId="6DE0F623" w14:textId="5A82372E" w:rsidR="002E0458" w:rsidRDefault="007E472F">
          <w:pPr>
            <w:pStyle w:val="TOC2"/>
            <w:rPr>
              <w:rFonts w:eastAsiaTheme="minorEastAsia"/>
              <w:noProof/>
              <w:lang w:eastAsia="en-AU"/>
            </w:rPr>
          </w:pPr>
          <w:hyperlink w:anchor="_Toc52296784" w:history="1">
            <w:r w:rsidR="002E0458" w:rsidRPr="00641390">
              <w:rPr>
                <w:rStyle w:val="Hyperlink"/>
                <w:noProof/>
              </w:rPr>
              <w:t>Proposed framework for demonstrating engagement with NPILF</w:t>
            </w:r>
            <w:r w:rsidR="002E0458">
              <w:rPr>
                <w:noProof/>
                <w:webHidden/>
              </w:rPr>
              <w:tab/>
            </w:r>
            <w:r w:rsidR="002E0458">
              <w:rPr>
                <w:noProof/>
                <w:webHidden/>
              </w:rPr>
              <w:fldChar w:fldCharType="begin"/>
            </w:r>
            <w:r w:rsidR="002E0458">
              <w:rPr>
                <w:noProof/>
                <w:webHidden/>
              </w:rPr>
              <w:instrText xml:space="preserve"> PAGEREF _Toc52296784 \h </w:instrText>
            </w:r>
            <w:r w:rsidR="002E0458">
              <w:rPr>
                <w:noProof/>
                <w:webHidden/>
              </w:rPr>
            </w:r>
            <w:r w:rsidR="002E0458">
              <w:rPr>
                <w:noProof/>
                <w:webHidden/>
              </w:rPr>
              <w:fldChar w:fldCharType="separate"/>
            </w:r>
            <w:r w:rsidR="006724E2">
              <w:rPr>
                <w:noProof/>
                <w:webHidden/>
              </w:rPr>
              <w:t>12</w:t>
            </w:r>
            <w:r w:rsidR="002E0458">
              <w:rPr>
                <w:noProof/>
                <w:webHidden/>
              </w:rPr>
              <w:fldChar w:fldCharType="end"/>
            </w:r>
          </w:hyperlink>
        </w:p>
        <w:p w14:paraId="6A4F7D85" w14:textId="1E87A34C" w:rsidR="002E0458" w:rsidRDefault="007E472F">
          <w:pPr>
            <w:pStyle w:val="TOC2"/>
            <w:rPr>
              <w:rFonts w:eastAsiaTheme="minorEastAsia"/>
              <w:noProof/>
              <w:lang w:eastAsia="en-AU"/>
            </w:rPr>
          </w:pPr>
          <w:hyperlink w:anchor="_Toc52296785" w:history="1">
            <w:r w:rsidR="002E0458" w:rsidRPr="00641390">
              <w:rPr>
                <w:rStyle w:val="Hyperlink"/>
                <w:noProof/>
              </w:rPr>
              <w:t>The process</w:t>
            </w:r>
            <w:r w:rsidR="002E0458">
              <w:rPr>
                <w:noProof/>
                <w:webHidden/>
              </w:rPr>
              <w:tab/>
            </w:r>
            <w:r w:rsidR="002E0458">
              <w:rPr>
                <w:noProof/>
                <w:webHidden/>
              </w:rPr>
              <w:fldChar w:fldCharType="begin"/>
            </w:r>
            <w:r w:rsidR="002E0458">
              <w:rPr>
                <w:noProof/>
                <w:webHidden/>
              </w:rPr>
              <w:instrText xml:space="preserve"> PAGEREF _Toc52296785 \h </w:instrText>
            </w:r>
            <w:r w:rsidR="002E0458">
              <w:rPr>
                <w:noProof/>
                <w:webHidden/>
              </w:rPr>
            </w:r>
            <w:r w:rsidR="002E0458">
              <w:rPr>
                <w:noProof/>
                <w:webHidden/>
              </w:rPr>
              <w:fldChar w:fldCharType="separate"/>
            </w:r>
            <w:r w:rsidR="006724E2">
              <w:rPr>
                <w:noProof/>
                <w:webHidden/>
              </w:rPr>
              <w:t>14</w:t>
            </w:r>
            <w:r w:rsidR="002E0458">
              <w:rPr>
                <w:noProof/>
                <w:webHidden/>
              </w:rPr>
              <w:fldChar w:fldCharType="end"/>
            </w:r>
          </w:hyperlink>
        </w:p>
        <w:p w14:paraId="068F4B3C" w14:textId="4271ACBD" w:rsidR="002E0458" w:rsidRDefault="007E472F">
          <w:pPr>
            <w:pStyle w:val="TOC2"/>
            <w:rPr>
              <w:rFonts w:eastAsiaTheme="minorEastAsia"/>
              <w:noProof/>
              <w:lang w:eastAsia="en-AU"/>
            </w:rPr>
          </w:pPr>
          <w:hyperlink w:anchor="_Toc52296786" w:history="1">
            <w:r w:rsidR="002E0458" w:rsidRPr="00641390">
              <w:rPr>
                <w:rStyle w:val="Hyperlink"/>
                <w:noProof/>
              </w:rPr>
              <w:t>NPILF timeline and distribution options</w:t>
            </w:r>
            <w:r w:rsidR="002E0458">
              <w:rPr>
                <w:noProof/>
                <w:webHidden/>
              </w:rPr>
              <w:tab/>
            </w:r>
            <w:r w:rsidR="002E0458">
              <w:rPr>
                <w:noProof/>
                <w:webHidden/>
              </w:rPr>
              <w:fldChar w:fldCharType="begin"/>
            </w:r>
            <w:r w:rsidR="002E0458">
              <w:rPr>
                <w:noProof/>
                <w:webHidden/>
              </w:rPr>
              <w:instrText xml:space="preserve"> PAGEREF _Toc52296786 \h </w:instrText>
            </w:r>
            <w:r w:rsidR="002E0458">
              <w:rPr>
                <w:noProof/>
                <w:webHidden/>
              </w:rPr>
            </w:r>
            <w:r w:rsidR="002E0458">
              <w:rPr>
                <w:noProof/>
                <w:webHidden/>
              </w:rPr>
              <w:fldChar w:fldCharType="separate"/>
            </w:r>
            <w:r w:rsidR="006724E2">
              <w:rPr>
                <w:noProof/>
                <w:webHidden/>
              </w:rPr>
              <w:t>20</w:t>
            </w:r>
            <w:r w:rsidR="002E0458">
              <w:rPr>
                <w:noProof/>
                <w:webHidden/>
              </w:rPr>
              <w:fldChar w:fldCharType="end"/>
            </w:r>
          </w:hyperlink>
        </w:p>
        <w:p w14:paraId="4245F033" w14:textId="7EDC3F0F" w:rsidR="002E0458" w:rsidRDefault="007E472F">
          <w:pPr>
            <w:pStyle w:val="TOC1"/>
            <w:tabs>
              <w:tab w:val="right" w:leader="dot" w:pos="9016"/>
            </w:tabs>
            <w:rPr>
              <w:rFonts w:eastAsiaTheme="minorEastAsia"/>
              <w:b w:val="0"/>
              <w:noProof/>
              <w:lang w:eastAsia="en-AU"/>
            </w:rPr>
          </w:pPr>
          <w:hyperlink w:anchor="_Toc52296787" w:history="1">
            <w:r w:rsidR="002E0458" w:rsidRPr="00641390">
              <w:rPr>
                <w:rStyle w:val="Hyperlink"/>
                <w:noProof/>
              </w:rPr>
              <w:t>Consultation</w:t>
            </w:r>
            <w:r w:rsidR="002E0458">
              <w:rPr>
                <w:noProof/>
                <w:webHidden/>
              </w:rPr>
              <w:tab/>
            </w:r>
            <w:r w:rsidR="002E0458">
              <w:rPr>
                <w:noProof/>
                <w:webHidden/>
              </w:rPr>
              <w:fldChar w:fldCharType="begin"/>
            </w:r>
            <w:r w:rsidR="002E0458">
              <w:rPr>
                <w:noProof/>
                <w:webHidden/>
              </w:rPr>
              <w:instrText xml:space="preserve"> PAGEREF _Toc52296787 \h </w:instrText>
            </w:r>
            <w:r w:rsidR="002E0458">
              <w:rPr>
                <w:noProof/>
                <w:webHidden/>
              </w:rPr>
            </w:r>
            <w:r w:rsidR="002E0458">
              <w:rPr>
                <w:noProof/>
                <w:webHidden/>
              </w:rPr>
              <w:fldChar w:fldCharType="separate"/>
            </w:r>
            <w:r w:rsidR="006724E2">
              <w:rPr>
                <w:noProof/>
                <w:webHidden/>
              </w:rPr>
              <w:t>22</w:t>
            </w:r>
            <w:r w:rsidR="002E0458">
              <w:rPr>
                <w:noProof/>
                <w:webHidden/>
              </w:rPr>
              <w:fldChar w:fldCharType="end"/>
            </w:r>
          </w:hyperlink>
        </w:p>
        <w:p w14:paraId="101C9F3C" w14:textId="697D1235" w:rsidR="002E0458" w:rsidRDefault="007E472F">
          <w:pPr>
            <w:pStyle w:val="TOC2"/>
            <w:rPr>
              <w:rFonts w:eastAsiaTheme="minorEastAsia"/>
              <w:noProof/>
              <w:lang w:eastAsia="en-AU"/>
            </w:rPr>
          </w:pPr>
          <w:hyperlink w:anchor="_Toc52296788" w:history="1">
            <w:r w:rsidR="002E0458" w:rsidRPr="00641390">
              <w:rPr>
                <w:rStyle w:val="Hyperlink"/>
                <w:noProof/>
              </w:rPr>
              <w:t>Contribute your ideas</w:t>
            </w:r>
            <w:r w:rsidR="002E0458">
              <w:rPr>
                <w:noProof/>
                <w:webHidden/>
              </w:rPr>
              <w:tab/>
            </w:r>
            <w:r w:rsidR="002E0458">
              <w:rPr>
                <w:noProof/>
                <w:webHidden/>
              </w:rPr>
              <w:fldChar w:fldCharType="begin"/>
            </w:r>
            <w:r w:rsidR="002E0458">
              <w:rPr>
                <w:noProof/>
                <w:webHidden/>
              </w:rPr>
              <w:instrText xml:space="preserve"> PAGEREF _Toc52296788 \h </w:instrText>
            </w:r>
            <w:r w:rsidR="002E0458">
              <w:rPr>
                <w:noProof/>
                <w:webHidden/>
              </w:rPr>
            </w:r>
            <w:r w:rsidR="002E0458">
              <w:rPr>
                <w:noProof/>
                <w:webHidden/>
              </w:rPr>
              <w:fldChar w:fldCharType="separate"/>
            </w:r>
            <w:r w:rsidR="006724E2">
              <w:rPr>
                <w:noProof/>
                <w:webHidden/>
              </w:rPr>
              <w:t>22</w:t>
            </w:r>
            <w:r w:rsidR="002E0458">
              <w:rPr>
                <w:noProof/>
                <w:webHidden/>
              </w:rPr>
              <w:fldChar w:fldCharType="end"/>
            </w:r>
          </w:hyperlink>
        </w:p>
        <w:p w14:paraId="351577F2" w14:textId="244DB111" w:rsidR="002E0458" w:rsidRDefault="007E472F">
          <w:pPr>
            <w:pStyle w:val="TOC2"/>
            <w:rPr>
              <w:rFonts w:eastAsiaTheme="minorEastAsia"/>
              <w:noProof/>
              <w:lang w:eastAsia="en-AU"/>
            </w:rPr>
          </w:pPr>
          <w:hyperlink w:anchor="_Toc52296789" w:history="1">
            <w:r w:rsidR="002E0458" w:rsidRPr="00641390">
              <w:rPr>
                <w:rStyle w:val="Hyperlink"/>
                <w:noProof/>
              </w:rPr>
              <w:t>Questions for discussion</w:t>
            </w:r>
            <w:r w:rsidR="002E0458">
              <w:rPr>
                <w:noProof/>
                <w:webHidden/>
              </w:rPr>
              <w:tab/>
            </w:r>
            <w:r w:rsidR="002E0458">
              <w:rPr>
                <w:noProof/>
                <w:webHidden/>
              </w:rPr>
              <w:fldChar w:fldCharType="begin"/>
            </w:r>
            <w:r w:rsidR="002E0458">
              <w:rPr>
                <w:noProof/>
                <w:webHidden/>
              </w:rPr>
              <w:instrText xml:space="preserve"> PAGEREF _Toc52296789 \h </w:instrText>
            </w:r>
            <w:r w:rsidR="002E0458">
              <w:rPr>
                <w:noProof/>
                <w:webHidden/>
              </w:rPr>
            </w:r>
            <w:r w:rsidR="002E0458">
              <w:rPr>
                <w:noProof/>
                <w:webHidden/>
              </w:rPr>
              <w:fldChar w:fldCharType="separate"/>
            </w:r>
            <w:r w:rsidR="006724E2">
              <w:rPr>
                <w:noProof/>
                <w:webHidden/>
              </w:rPr>
              <w:t>22</w:t>
            </w:r>
            <w:r w:rsidR="002E0458">
              <w:rPr>
                <w:noProof/>
                <w:webHidden/>
              </w:rPr>
              <w:fldChar w:fldCharType="end"/>
            </w:r>
          </w:hyperlink>
        </w:p>
        <w:p w14:paraId="3CBAACA3" w14:textId="5C308D45" w:rsidR="007855CC" w:rsidRPr="0095636C" w:rsidRDefault="00761FC2" w:rsidP="0095636C">
          <w:r>
            <w:rPr>
              <w:rFonts w:ascii="Calibri" w:eastAsiaTheme="majorEastAsia" w:hAnsi="Calibri" w:cstheme="majorBidi"/>
              <w:b/>
              <w:color w:val="343741"/>
              <w:sz w:val="32"/>
              <w:szCs w:val="32"/>
            </w:rPr>
            <w:fldChar w:fldCharType="end"/>
          </w:r>
        </w:p>
      </w:sdtContent>
    </w:sdt>
    <w:p w14:paraId="607DC154" w14:textId="77777777" w:rsidR="007855CC" w:rsidRPr="0095636C" w:rsidRDefault="007855CC" w:rsidP="0095636C">
      <w:r>
        <w:br w:type="page"/>
      </w:r>
    </w:p>
    <w:p w14:paraId="536EA4BB" w14:textId="77777777" w:rsidR="00204DA3" w:rsidRPr="002E0458" w:rsidRDefault="00204DA3" w:rsidP="00204DA3">
      <w:pPr>
        <w:pStyle w:val="Heading1"/>
      </w:pPr>
      <w:bookmarkStart w:id="2" w:name="_Toc52296774"/>
      <w:bookmarkStart w:id="3" w:name="_Toc30065223"/>
      <w:bookmarkEnd w:id="1"/>
      <w:r>
        <w:lastRenderedPageBreak/>
        <w:t xml:space="preserve">Delivering </w:t>
      </w:r>
      <w:r w:rsidRPr="002E0458">
        <w:t>job-ready graduates in areas of expected employment growth</w:t>
      </w:r>
      <w:bookmarkEnd w:id="2"/>
    </w:p>
    <w:p w14:paraId="56B28561" w14:textId="77777777" w:rsidR="00204DA3" w:rsidRPr="002E0458" w:rsidRDefault="00204DA3" w:rsidP="004D01E6">
      <w:pPr>
        <w:pStyle w:val="Heading2"/>
      </w:pPr>
      <w:bookmarkStart w:id="4" w:name="_Toc52296775"/>
      <w:r w:rsidRPr="002E0458">
        <w:t>Introducing the Job-ready Graduates package</w:t>
      </w:r>
      <w:bookmarkEnd w:id="4"/>
    </w:p>
    <w:p w14:paraId="19B3C636" w14:textId="77777777" w:rsidR="00204DA3" w:rsidRPr="002E0458" w:rsidRDefault="00204DA3" w:rsidP="00204DA3">
      <w:r w:rsidRPr="002E0458">
        <w:t xml:space="preserve">On 19 June 2020, the Australian Government announced the Job-ready Graduates package. The package will create 100,000 new university places by 2030 and provide additional support for students in regional and remote Australia. The Australian Government already provides more than $18 billion a year to fund our universities and this will grow to $20 billion by 2024. With the passage of legislation, the package will commence 1 January 2021. </w:t>
      </w:r>
    </w:p>
    <w:p w14:paraId="20C7D5A5" w14:textId="32BC3D9B" w:rsidR="00204DA3" w:rsidRPr="002E0458" w:rsidRDefault="00204DA3" w:rsidP="00204DA3">
      <w:pPr>
        <w:rPr>
          <w:rFonts w:cstheme="minorHAnsi"/>
          <w:kern w:val="36"/>
        </w:rPr>
      </w:pPr>
      <w:r w:rsidRPr="002E0458">
        <w:rPr>
          <w:rFonts w:cstheme="minorHAnsi"/>
          <w:kern w:val="36"/>
        </w:rPr>
        <w:t xml:space="preserve">The National Priorities and Industry Linkage Fund (NPILF), introduced under the package, will allocate block grants to universities to support enhanced engagement with universities and industry in order to </w:t>
      </w:r>
      <w:r w:rsidR="00A05970" w:rsidRPr="002E0458">
        <w:rPr>
          <w:rFonts w:cstheme="minorHAnsi"/>
          <w:kern w:val="36"/>
        </w:rPr>
        <w:t xml:space="preserve">support </w:t>
      </w:r>
      <w:r w:rsidRPr="002E0458">
        <w:rPr>
          <w:rFonts w:cstheme="minorHAnsi"/>
          <w:kern w:val="36"/>
        </w:rPr>
        <w:t xml:space="preserve">job-ready graduates. The NPILF will have a strong focus on </w:t>
      </w:r>
      <w:r w:rsidR="00A05970" w:rsidRPr="002E0458">
        <w:rPr>
          <w:rFonts w:cstheme="minorHAnsi"/>
          <w:kern w:val="36"/>
        </w:rPr>
        <w:t xml:space="preserve">meeting the future Australian workforce requirements for </w:t>
      </w:r>
      <w:r w:rsidRPr="002E0458">
        <w:rPr>
          <w:rFonts w:cstheme="minorHAnsi"/>
          <w:kern w:val="36"/>
        </w:rPr>
        <w:t>STEM</w:t>
      </w:r>
      <w:r w:rsidR="00710134" w:rsidRPr="002E0458">
        <w:rPr>
          <w:rFonts w:cstheme="minorHAnsi"/>
          <w:kern w:val="36"/>
        </w:rPr>
        <w:t>-</w:t>
      </w:r>
      <w:r w:rsidR="00A05970" w:rsidRPr="002E0458">
        <w:rPr>
          <w:rFonts w:cstheme="minorHAnsi"/>
          <w:kern w:val="36"/>
        </w:rPr>
        <w:t>skills</w:t>
      </w:r>
      <w:r w:rsidRPr="002E0458">
        <w:rPr>
          <w:rFonts w:cstheme="minorHAnsi"/>
          <w:kern w:val="36"/>
        </w:rPr>
        <w:t xml:space="preserve"> and increasing the number and quality of </w:t>
      </w:r>
      <w:r w:rsidR="00710134" w:rsidRPr="002E0458">
        <w:rPr>
          <w:rFonts w:cstheme="minorHAnsi"/>
          <w:kern w:val="36"/>
        </w:rPr>
        <w:br/>
      </w:r>
      <w:r w:rsidRPr="002E0458">
        <w:rPr>
          <w:rFonts w:cstheme="minorHAnsi"/>
          <w:kern w:val="36"/>
        </w:rPr>
        <w:t xml:space="preserve">work-integrated learning </w:t>
      </w:r>
      <w:r w:rsidR="007A6047" w:rsidRPr="002E0458">
        <w:rPr>
          <w:rFonts w:cstheme="minorHAnsi"/>
          <w:kern w:val="36"/>
        </w:rPr>
        <w:t xml:space="preserve">(WIL) </w:t>
      </w:r>
      <w:r w:rsidRPr="002E0458">
        <w:rPr>
          <w:rFonts w:cstheme="minorHAnsi"/>
          <w:kern w:val="36"/>
        </w:rPr>
        <w:t xml:space="preserve">opportunities for students.  </w:t>
      </w:r>
    </w:p>
    <w:p w14:paraId="2D5BCE1E" w14:textId="77777777" w:rsidR="00204DA3" w:rsidRPr="002E0458" w:rsidRDefault="00204DA3" w:rsidP="00204DA3">
      <w:pPr>
        <w:pStyle w:val="Heading1"/>
      </w:pPr>
      <w:bookmarkStart w:id="5" w:name="_Toc52296776"/>
      <w:r w:rsidRPr="002E0458">
        <w:t>What is a job-ready graduate?</w:t>
      </w:r>
      <w:bookmarkEnd w:id="5"/>
    </w:p>
    <w:p w14:paraId="35FF3110" w14:textId="401DCF33" w:rsidR="00204DA3" w:rsidRPr="002E0458" w:rsidRDefault="00204DA3" w:rsidP="00204DA3">
      <w:r w:rsidRPr="002E0458">
        <w:t>The development of ‘</w:t>
      </w:r>
      <w:r w:rsidR="00DD1BF8" w:rsidRPr="002E0458">
        <w:t>j</w:t>
      </w:r>
      <w:r w:rsidRPr="002E0458">
        <w:t xml:space="preserve">ob-ready’ graduates is more complex </w:t>
      </w:r>
      <w:r w:rsidR="00E32F52" w:rsidRPr="002E0458">
        <w:t>today</w:t>
      </w:r>
      <w:r w:rsidRPr="002E0458">
        <w:t xml:space="preserve"> than ever before. The nature of work is changing</w:t>
      </w:r>
      <w:r w:rsidR="00E32F52" w:rsidRPr="002E0458">
        <w:t xml:space="preserve"> and the nature of problems that need to be addressed are also changing</w:t>
      </w:r>
      <w:r w:rsidR="00DD1BF8" w:rsidRPr="002E0458">
        <w:t>;</w:t>
      </w:r>
      <w:r w:rsidR="00E32F52" w:rsidRPr="002E0458">
        <w:t xml:space="preserve"> these problems are increasingly more global, complex and connected. A</w:t>
      </w:r>
      <w:r w:rsidRPr="002E0458">
        <w:t xml:space="preserve">utomation </w:t>
      </w:r>
      <w:r w:rsidR="000C504B" w:rsidRPr="002E0458">
        <w:t>of</w:t>
      </w:r>
      <w:r w:rsidR="00F15112" w:rsidRPr="002E0458">
        <w:t>,</w:t>
      </w:r>
      <w:r w:rsidR="000C504B" w:rsidRPr="002E0458">
        <w:t xml:space="preserve"> </w:t>
      </w:r>
      <w:r w:rsidRPr="002E0458">
        <w:t xml:space="preserve">and </w:t>
      </w:r>
      <w:r w:rsidR="000C504B" w:rsidRPr="002E0458">
        <w:t xml:space="preserve">the </w:t>
      </w:r>
      <w:r w:rsidRPr="002E0458">
        <w:t>uptake of</w:t>
      </w:r>
      <w:r w:rsidR="00F15112" w:rsidRPr="002E0458">
        <w:t>,</w:t>
      </w:r>
      <w:r w:rsidRPr="002E0458">
        <w:t xml:space="preserve"> artificial intelligence can rapidly replace the skillsets of an existing workforce, requiring a lifetime commitment to </w:t>
      </w:r>
      <w:r w:rsidR="003F2B93" w:rsidRPr="002E0458">
        <w:t xml:space="preserve">further or continuing </w:t>
      </w:r>
      <w:r w:rsidRPr="002E0458">
        <w:t xml:space="preserve">education. A job-ready graduate is well-rounded and has the relevant capabilities to confidently enter </w:t>
      </w:r>
      <w:r w:rsidR="0067545B" w:rsidRPr="002E0458">
        <w:t xml:space="preserve">or remain in </w:t>
      </w:r>
      <w:r w:rsidRPr="002E0458">
        <w:t xml:space="preserve">the </w:t>
      </w:r>
      <w:proofErr w:type="gramStart"/>
      <w:r w:rsidRPr="002E0458">
        <w:t>work place</w:t>
      </w:r>
      <w:proofErr w:type="gramEnd"/>
      <w:r w:rsidRPr="002E0458">
        <w:t>. Providing graduates with the foundations in critical thinking, creativity</w:t>
      </w:r>
      <w:r w:rsidR="00AE6F46" w:rsidRPr="002E0458">
        <w:t>, communication</w:t>
      </w:r>
      <w:r w:rsidRPr="002E0458">
        <w:t xml:space="preserve"> and system problem solving is vital in order to future proof graduates against robotic redundancy and to prepare them to succeed in a future of multiple careers. </w:t>
      </w:r>
      <w:r w:rsidR="00BD64C8" w:rsidRPr="002E0458">
        <w:t xml:space="preserve">There is no doubt that the COVID environment has highlighted that </w:t>
      </w:r>
      <w:r w:rsidR="00F15112" w:rsidRPr="002E0458">
        <w:br/>
      </w:r>
      <w:r w:rsidR="00BD64C8" w:rsidRPr="002E0458">
        <w:t xml:space="preserve">job-readiness also needs to include resilience, agency and engaging with complexity. </w:t>
      </w:r>
      <w:r w:rsidRPr="002E0458">
        <w:t>This must be combined with ensuring real experience of graduates in applying their skills directly in the workplace and an ability to identify and access ongoing reskilling</w:t>
      </w:r>
      <w:r w:rsidR="0067545B" w:rsidRPr="002E0458">
        <w:t xml:space="preserve"> and upskilling</w:t>
      </w:r>
      <w:r w:rsidRPr="002E0458">
        <w:t xml:space="preserve">. </w:t>
      </w:r>
    </w:p>
    <w:p w14:paraId="54AAEE70" w14:textId="77777777" w:rsidR="00A31452" w:rsidRPr="002E0458" w:rsidRDefault="00E32F52" w:rsidP="002F1714">
      <w:pPr>
        <w:spacing w:after="160" w:line="259" w:lineRule="auto"/>
      </w:pPr>
      <w:r w:rsidRPr="002E0458">
        <w:t>Work</w:t>
      </w:r>
      <w:r w:rsidR="00DD1BF8" w:rsidRPr="002E0458">
        <w:t>-</w:t>
      </w:r>
      <w:r w:rsidRPr="002E0458">
        <w:t>integrated learning</w:t>
      </w:r>
      <w:r w:rsidR="00EE4AE4" w:rsidRPr="002E0458">
        <w:t xml:space="preserve"> </w:t>
      </w:r>
      <w:r w:rsidR="00A05970" w:rsidRPr="002E0458">
        <w:t>(WIL)</w:t>
      </w:r>
      <w:r w:rsidRPr="002E0458">
        <w:t xml:space="preserve">, </w:t>
      </w:r>
      <w:r w:rsidR="0067545B" w:rsidRPr="002E0458">
        <w:t xml:space="preserve">educational </w:t>
      </w:r>
      <w:r w:rsidR="00204DA3" w:rsidRPr="002E0458">
        <w:t xml:space="preserve">industry </w:t>
      </w:r>
      <w:r w:rsidR="0067545B" w:rsidRPr="002E0458">
        <w:t xml:space="preserve">partnerships </w:t>
      </w:r>
      <w:r w:rsidRPr="002E0458">
        <w:t xml:space="preserve">and the role of </w:t>
      </w:r>
      <w:r w:rsidR="00737389" w:rsidRPr="002E0458">
        <w:t>STEM+</w:t>
      </w:r>
      <w:r w:rsidRPr="002E0458">
        <w:t xml:space="preserve"> in creating STEM-skilled graduates</w:t>
      </w:r>
      <w:r w:rsidR="00204DA3" w:rsidRPr="002E0458">
        <w:t xml:space="preserve"> </w:t>
      </w:r>
      <w:r w:rsidRPr="002E0458">
        <w:t>are</w:t>
      </w:r>
      <w:r w:rsidR="00204DA3" w:rsidRPr="002E0458">
        <w:t xml:space="preserve"> particularly important in order to enhance the job-readiness of graduate students.</w:t>
      </w:r>
      <w:r w:rsidR="00E2598C" w:rsidRPr="002E0458">
        <w:t xml:space="preserve"> </w:t>
      </w:r>
    </w:p>
    <w:p w14:paraId="028EB6A2" w14:textId="77777777" w:rsidR="00A31452" w:rsidRPr="002E0458" w:rsidRDefault="00A31452">
      <w:pPr>
        <w:spacing w:after="160" w:line="259" w:lineRule="auto"/>
      </w:pPr>
      <w:r w:rsidRPr="002E0458">
        <w:br w:type="page"/>
      </w:r>
    </w:p>
    <w:p w14:paraId="7C90FC93" w14:textId="5E47DC24" w:rsidR="000658FA" w:rsidRPr="002E0458" w:rsidRDefault="000658FA" w:rsidP="002F1714">
      <w:pPr>
        <w:spacing w:after="160" w:line="259" w:lineRule="auto"/>
      </w:pPr>
      <w:r w:rsidRPr="002E0458">
        <w:lastRenderedPageBreak/>
        <w:t>In this paper:</w:t>
      </w:r>
    </w:p>
    <w:p w14:paraId="48912199" w14:textId="07F8338D" w:rsidR="00355DB3" w:rsidRPr="002E0458" w:rsidRDefault="00355DB3" w:rsidP="00355DB3">
      <w:pPr>
        <w:pBdr>
          <w:top w:val="single" w:sz="4" w:space="1" w:color="auto"/>
          <w:left w:val="single" w:sz="4" w:space="4" w:color="auto"/>
          <w:bottom w:val="single" w:sz="4" w:space="1" w:color="auto"/>
          <w:right w:val="single" w:sz="4" w:space="4" w:color="auto"/>
        </w:pBdr>
        <w:shd w:val="clear" w:color="auto" w:fill="FFE5F4"/>
        <w:spacing w:after="160" w:line="259" w:lineRule="auto"/>
      </w:pPr>
      <w:r w:rsidRPr="002E0458">
        <w:rPr>
          <w:rStyle w:val="Heading5Char"/>
          <w:color w:val="B6006A" w:themeColor="accent4"/>
        </w:rPr>
        <w:t>Work integrated learning (WIL)</w:t>
      </w:r>
      <w:r w:rsidRPr="002E0458">
        <w:rPr>
          <w:color w:val="B6006A" w:themeColor="accent4"/>
        </w:rPr>
        <w:t xml:space="preserve"> </w:t>
      </w:r>
      <w:r w:rsidRPr="002E0458">
        <w:t xml:space="preserve">refers to authentic industry engagement, supervision and assessment through purposeful student learning in an academic context, which provides preparation for professional roles. </w:t>
      </w:r>
    </w:p>
    <w:p w14:paraId="313338A6" w14:textId="648ADE72" w:rsidR="00355DB3" w:rsidRPr="002E0458" w:rsidRDefault="00355DB3" w:rsidP="00355DB3">
      <w:pPr>
        <w:pBdr>
          <w:top w:val="single" w:sz="4" w:space="1" w:color="auto"/>
          <w:left w:val="single" w:sz="4" w:space="4" w:color="auto"/>
          <w:bottom w:val="single" w:sz="4" w:space="1" w:color="auto"/>
          <w:right w:val="single" w:sz="4" w:space="4" w:color="auto"/>
        </w:pBdr>
        <w:shd w:val="clear" w:color="auto" w:fill="FFE5F4"/>
        <w:spacing w:after="160" w:line="259" w:lineRule="auto"/>
      </w:pPr>
      <w:r w:rsidRPr="002E0458">
        <w:rPr>
          <w:rStyle w:val="Heading5Char"/>
          <w:color w:val="008276" w:themeColor="accent3"/>
        </w:rPr>
        <w:t>STEM+</w:t>
      </w:r>
      <w:r w:rsidRPr="002E0458">
        <w:rPr>
          <w:color w:val="008276" w:themeColor="accent3"/>
        </w:rPr>
        <w:t xml:space="preserve"> </w:t>
      </w:r>
      <w:r w:rsidRPr="002E0458">
        <w:t>refers to the core STEM fields of Science, Technology, Engineering and Mathematics in addition to the fields of Allied Health, and Architecture and Building. Qualifications in the additional fields confer some of the skills and knowledge base that underpin traditional STEM fields.</w:t>
      </w:r>
    </w:p>
    <w:p w14:paraId="53F90891" w14:textId="05ABF719" w:rsidR="00355DB3" w:rsidRPr="002E0458" w:rsidRDefault="00355DB3" w:rsidP="00355DB3">
      <w:pPr>
        <w:pBdr>
          <w:top w:val="single" w:sz="4" w:space="1" w:color="auto"/>
          <w:left w:val="single" w:sz="4" w:space="4" w:color="auto"/>
          <w:bottom w:val="single" w:sz="4" w:space="1" w:color="auto"/>
          <w:right w:val="single" w:sz="4" w:space="4" w:color="auto"/>
        </w:pBdr>
        <w:shd w:val="clear" w:color="auto" w:fill="FFE5F4"/>
        <w:spacing w:after="160" w:line="259" w:lineRule="auto"/>
      </w:pPr>
      <w:r w:rsidRPr="002E0458">
        <w:rPr>
          <w:rStyle w:val="Heading5Char"/>
          <w:color w:val="287DB2" w:themeColor="accent6"/>
        </w:rPr>
        <w:t>University-industry partnerships</w:t>
      </w:r>
      <w:r w:rsidRPr="002E0458">
        <w:rPr>
          <w:color w:val="287DB2" w:themeColor="accent6"/>
        </w:rPr>
        <w:t xml:space="preserve"> </w:t>
      </w:r>
      <w:r w:rsidRPr="002E0458">
        <w:t xml:space="preserve">refers to the mutual interaction and engagement between the higher education system and industry with aim to encourage knowledge and technology exchange, and a grounded approach to teaching, research and lifelong learning which benefits both student and industry needs. </w:t>
      </w:r>
    </w:p>
    <w:p w14:paraId="0B3B9AE2" w14:textId="17744E4A" w:rsidR="002463EB" w:rsidRPr="002E0458" w:rsidRDefault="005930BC" w:rsidP="00C10C85">
      <w:pPr>
        <w:pStyle w:val="Heading2"/>
        <w:rPr>
          <w:iCs/>
          <w:szCs w:val="18"/>
        </w:rPr>
      </w:pPr>
      <w:bookmarkStart w:id="6" w:name="_Toc52296777"/>
      <w:r w:rsidRPr="002E0458">
        <w:t>T</w:t>
      </w:r>
      <w:r w:rsidR="002463EB" w:rsidRPr="002E0458">
        <w:t>hey are prepared for the future of work</w:t>
      </w:r>
      <w:bookmarkEnd w:id="6"/>
    </w:p>
    <w:p w14:paraId="08B18395" w14:textId="6D4E1B2B" w:rsidR="002463EB" w:rsidRPr="002E0458" w:rsidRDefault="002463EB" w:rsidP="002463EB">
      <w:bookmarkStart w:id="7" w:name="_Toc46414673"/>
      <w:r w:rsidRPr="002E0458">
        <w:t>The COVID-19 pandemic has highlighted vulnerabilities across all sectors of Australia’s economy, and the higher education system is no exception. As a result of the pandemic, Australia is about to experience its worse economic contraction since the great depressi</w:t>
      </w:r>
      <w:r w:rsidR="00DD1BF8" w:rsidRPr="002E0458">
        <w:t xml:space="preserve">on, </w:t>
      </w:r>
      <w:r w:rsidRPr="002E0458">
        <w:t xml:space="preserve">alongside many other countries. And yet experience shows that demand for higher education tends to increase in times of economic slowdown.  </w:t>
      </w:r>
    </w:p>
    <w:p w14:paraId="1D119671" w14:textId="37D7516B" w:rsidR="002463EB" w:rsidRPr="002E0458" w:rsidRDefault="002463EB" w:rsidP="002463EB">
      <w:r w:rsidRPr="002E0458">
        <w:t xml:space="preserve">The higher education system has a critical role to play in supporting Australians </w:t>
      </w:r>
      <w:r w:rsidR="00F15112" w:rsidRPr="002E0458">
        <w:t xml:space="preserve">to advance </w:t>
      </w:r>
      <w:r w:rsidRPr="002E0458">
        <w:t>through this period. Importantly, it will need to</w:t>
      </w:r>
      <w:r w:rsidR="00E32F52" w:rsidRPr="002E0458">
        <w:t>:</w:t>
      </w:r>
      <w:r w:rsidRPr="002E0458">
        <w:t xml:space="preserve"> </w:t>
      </w:r>
    </w:p>
    <w:p w14:paraId="46C52014" w14:textId="77777777" w:rsidR="002463EB" w:rsidRPr="002E0458" w:rsidRDefault="002463EB" w:rsidP="00A132F9">
      <w:pPr>
        <w:pStyle w:val="ListParagraph"/>
        <w:numPr>
          <w:ilvl w:val="0"/>
          <w:numId w:val="8"/>
        </w:numPr>
        <w:spacing w:line="276" w:lineRule="auto"/>
        <w:ind w:left="714" w:hanging="357"/>
      </w:pPr>
      <w:r w:rsidRPr="002E0458">
        <w:t xml:space="preserve">focus on delivering more graduates in areas of industry and community priority </w:t>
      </w:r>
    </w:p>
    <w:p w14:paraId="136C6D7E" w14:textId="0118711C" w:rsidR="002463EB" w:rsidRPr="002E0458" w:rsidRDefault="002463EB" w:rsidP="00A132F9">
      <w:pPr>
        <w:pStyle w:val="ListParagraph"/>
        <w:numPr>
          <w:ilvl w:val="0"/>
          <w:numId w:val="8"/>
        </w:numPr>
        <w:spacing w:line="276" w:lineRule="auto"/>
        <w:ind w:left="714" w:hanging="357"/>
      </w:pPr>
      <w:r w:rsidRPr="002E0458">
        <w:t xml:space="preserve">work more closely with industry to ensure graduates have the </w:t>
      </w:r>
      <w:r w:rsidR="00A05970" w:rsidRPr="002E0458">
        <w:t>capabilities</w:t>
      </w:r>
      <w:r w:rsidR="00335DE1" w:rsidRPr="002E0458">
        <w:t>, adaptability</w:t>
      </w:r>
      <w:r w:rsidRPr="002E0458">
        <w:t xml:space="preserve"> and experience they will need in a challenging labour market. </w:t>
      </w:r>
    </w:p>
    <w:p w14:paraId="41B14687" w14:textId="24F87B84" w:rsidR="002463EB" w:rsidRPr="002E0458" w:rsidRDefault="008E324B" w:rsidP="002463EB">
      <w:r w:rsidRPr="002E0458">
        <w:t xml:space="preserve">Higher </w:t>
      </w:r>
      <w:r w:rsidR="002463EB" w:rsidRPr="002E0458">
        <w:t xml:space="preserve">education is a key driver of employment and income. Graduates enjoy a premium of around 60 per cent over those without tertiary qualifications. In 2019, for the first time, demand for workers with a </w:t>
      </w:r>
      <w:proofErr w:type="gramStart"/>
      <w:r w:rsidR="002463EB" w:rsidRPr="002E0458">
        <w:t>bachelor</w:t>
      </w:r>
      <w:proofErr w:type="gramEnd"/>
      <w:r w:rsidR="002463EB" w:rsidRPr="002E0458">
        <w:t xml:space="preserve"> degree or higher qualification was the largest category of employment. </w:t>
      </w:r>
    </w:p>
    <w:p w14:paraId="48EB7505" w14:textId="3F047807" w:rsidR="002463EB" w:rsidRPr="002E0458" w:rsidRDefault="00335DE1" w:rsidP="002463EB">
      <w:r w:rsidRPr="002E0458">
        <w:t>T</w:t>
      </w:r>
      <w:r w:rsidR="002463EB" w:rsidRPr="002E0458">
        <w:t xml:space="preserve">he 2019 Employment Projections for the five years to May 2024 (noting they were published </w:t>
      </w:r>
      <w:r w:rsidR="00373472" w:rsidRPr="002E0458">
        <w:br/>
      </w:r>
      <w:r w:rsidR="002463EB" w:rsidRPr="002E0458">
        <w:t>pre-COVID) breaks down employment growth by industry. The shift towards services industries is projected to continue, with growth in Health Care and Social Assistance (15.0 per cent), followed by Professional, Scientific and Technical Services (15.1 per cent), Education and Training (12.2 per cent) and Construction (9.7 per cent).</w:t>
      </w:r>
      <w:r w:rsidR="00AD19A1" w:rsidRPr="002E0458">
        <w:t xml:space="preserve"> For the purposes of NPILF, the use of the broader definition of STEM</w:t>
      </w:r>
      <w:r w:rsidR="00737389" w:rsidRPr="002E0458">
        <w:t>+</w:t>
      </w:r>
      <w:r w:rsidR="00AD19A1" w:rsidRPr="002E0458">
        <w:t xml:space="preserve"> (</w:t>
      </w:r>
      <w:r w:rsidR="006B37AE" w:rsidRPr="002E0458">
        <w:t>i.e. inclusive of</w:t>
      </w:r>
      <w:r w:rsidR="00AD19A1" w:rsidRPr="002E0458">
        <w:t xml:space="preserve"> allied health and architecture and building) </w:t>
      </w:r>
      <w:r w:rsidR="001B77B6" w:rsidRPr="002E0458">
        <w:t xml:space="preserve">provides even more focus on </w:t>
      </w:r>
      <w:r w:rsidR="006B37AE" w:rsidRPr="002E0458">
        <w:t xml:space="preserve">the </w:t>
      </w:r>
      <w:r w:rsidR="001B77B6" w:rsidRPr="002E0458">
        <w:t>job-readiness of</w:t>
      </w:r>
      <w:r w:rsidR="006B37AE" w:rsidRPr="002E0458">
        <w:t xml:space="preserve"> graduates in </w:t>
      </w:r>
      <w:r w:rsidR="001B77B6" w:rsidRPr="002E0458">
        <w:t xml:space="preserve">areas of </w:t>
      </w:r>
      <w:r w:rsidR="006B37AE" w:rsidRPr="002E0458">
        <w:t xml:space="preserve">expected </w:t>
      </w:r>
      <w:r w:rsidR="00AD19A1" w:rsidRPr="002E0458">
        <w:t>employment growth</w:t>
      </w:r>
      <w:r w:rsidR="001B77B6" w:rsidRPr="002E0458">
        <w:t>.</w:t>
      </w:r>
    </w:p>
    <w:p w14:paraId="0BF521B4" w14:textId="143339EB" w:rsidR="002463EB" w:rsidRPr="002E0458" w:rsidRDefault="002463EB" w:rsidP="002463EB">
      <w:r w:rsidRPr="002E0458">
        <w:t>There is a concurrent need to provide more options for upskilling and reskilling workers</w:t>
      </w:r>
      <w:r w:rsidR="002F640D" w:rsidRPr="002E0458">
        <w:t>,</w:t>
      </w:r>
      <w:r w:rsidR="00F15112" w:rsidRPr="002E0458">
        <w:t xml:space="preserve"> </w:t>
      </w:r>
      <w:r w:rsidRPr="002E0458">
        <w:t>particularly to support those who have lost jobs due to COVID-19</w:t>
      </w:r>
      <w:r w:rsidR="002F640D" w:rsidRPr="002E0458">
        <w:t xml:space="preserve">, </w:t>
      </w:r>
      <w:r w:rsidR="00F15112" w:rsidRPr="002E0458">
        <w:t xml:space="preserve">while </w:t>
      </w:r>
      <w:r w:rsidR="002F640D" w:rsidRPr="002E0458">
        <w:t>also acknowledging that automation will supersede skills provided by today’s workforce in the future</w:t>
      </w:r>
      <w:r w:rsidRPr="002E0458">
        <w:t xml:space="preserve">. This has reinforced the importance of lifelong learning which can equip individuals with the evolving skills needed to thrive in today’s workforce.  </w:t>
      </w:r>
    </w:p>
    <w:p w14:paraId="561AA48C" w14:textId="4F457E3B" w:rsidR="002463EB" w:rsidRPr="002E0458" w:rsidRDefault="002463EB" w:rsidP="002463EB">
      <w:r w:rsidRPr="002E0458">
        <w:lastRenderedPageBreak/>
        <w:t xml:space="preserve">However, increasing graduate numbers alone is not enough. Improving industry-university </w:t>
      </w:r>
      <w:r w:rsidR="008E324B" w:rsidRPr="002E0458">
        <w:t xml:space="preserve">engagement </w:t>
      </w:r>
      <w:r w:rsidRPr="002E0458">
        <w:t xml:space="preserve">in teaching and research is equally critical to ensuring graduates leave the higher education system with the </w:t>
      </w:r>
      <w:r w:rsidR="000C041E" w:rsidRPr="002E0458">
        <w:t xml:space="preserve">capabilities, </w:t>
      </w:r>
      <w:r w:rsidRPr="002E0458">
        <w:t xml:space="preserve">skills and experience needed to succeed in the workforce. This requires universities and industry to </w:t>
      </w:r>
      <w:r w:rsidR="00F15112" w:rsidRPr="002E0458">
        <w:t xml:space="preserve">embed mutual engagement </w:t>
      </w:r>
      <w:r w:rsidR="00BD64C8" w:rsidRPr="002E0458">
        <w:t>in</w:t>
      </w:r>
      <w:r w:rsidR="00F15112" w:rsidRPr="002E0458">
        <w:t xml:space="preserve"> their</w:t>
      </w:r>
      <w:r w:rsidR="00BD64C8" w:rsidRPr="002E0458">
        <w:t xml:space="preserve"> day to day operations </w:t>
      </w:r>
      <w:r w:rsidRPr="002E0458">
        <w:t xml:space="preserve">and the incentives in the system need to be realigned to support this outcome. </w:t>
      </w:r>
    </w:p>
    <w:p w14:paraId="57276480" w14:textId="0BBCC4C7" w:rsidR="00204DA3" w:rsidRPr="002E0458" w:rsidRDefault="00204DA3" w:rsidP="00204DA3">
      <w:pPr>
        <w:pStyle w:val="Heading2"/>
      </w:pPr>
      <w:bookmarkStart w:id="8" w:name="_Toc52296778"/>
      <w:bookmarkEnd w:id="7"/>
      <w:r w:rsidRPr="002E0458">
        <w:t>They</w:t>
      </w:r>
      <w:r w:rsidR="00A05970" w:rsidRPr="002E0458">
        <w:t xml:space="preserve"> have enhanced </w:t>
      </w:r>
      <w:r w:rsidRPr="002E0458">
        <w:t>STEM-skill</w:t>
      </w:r>
      <w:r w:rsidR="00A05970" w:rsidRPr="002E0458">
        <w:t>s</w:t>
      </w:r>
      <w:bookmarkEnd w:id="8"/>
    </w:p>
    <w:p w14:paraId="1D4773F2" w14:textId="1B538881" w:rsidR="00204DA3" w:rsidRPr="002E0458" w:rsidRDefault="00204DA3" w:rsidP="00204DA3">
      <w:r w:rsidRPr="002E0458">
        <w:t>From telecommunications to new drugs that treat disease, STEM</w:t>
      </w:r>
      <w:r w:rsidR="00737389" w:rsidRPr="002E0458">
        <w:t>+</w:t>
      </w:r>
      <w:r w:rsidRPr="002E0458">
        <w:t xml:space="preserve"> continues to have an increasing role in our world and the impact of COVID-19 in particular ha</w:t>
      </w:r>
      <w:r w:rsidR="00E32F52" w:rsidRPr="002E0458">
        <w:t>s</w:t>
      </w:r>
      <w:r w:rsidRPr="002E0458">
        <w:t xml:space="preserve"> highlighted both its acute and long term value.</w:t>
      </w:r>
      <w:r w:rsidRPr="002E0458">
        <w:rPr>
          <w:rStyle w:val="FootnoteReference"/>
        </w:rPr>
        <w:footnoteReference w:id="1"/>
      </w:r>
      <w:r w:rsidRPr="002E0458">
        <w:t xml:space="preserve"> Future economic growth will depend on the creation of future industries such as advanced manufacturing, hydrogen, space and quantum technologies, however this will only eventuate with a competitive knowledge-led economy, which can drive innovation and productivity. </w:t>
      </w:r>
      <w:r w:rsidR="00A05970" w:rsidRPr="002E0458">
        <w:t>In more traditional Australian industries,</w:t>
      </w:r>
      <w:r w:rsidR="00C37C11" w:rsidRPr="002E0458">
        <w:t xml:space="preserve"> like</w:t>
      </w:r>
      <w:r w:rsidR="00A05970" w:rsidRPr="002E0458">
        <w:t xml:space="preserve"> </w:t>
      </w:r>
      <w:r w:rsidR="00335DE1" w:rsidRPr="002E0458">
        <w:t>f</w:t>
      </w:r>
      <w:r w:rsidR="00A05970" w:rsidRPr="002E0458">
        <w:t>inance, tourism, agriculture, health and other services, STEM</w:t>
      </w:r>
      <w:r w:rsidR="00744B85" w:rsidRPr="002E0458">
        <w:t>-</w:t>
      </w:r>
      <w:r w:rsidR="00A05970" w:rsidRPr="002E0458">
        <w:t xml:space="preserve">skills are increasingly in demand. </w:t>
      </w:r>
      <w:r w:rsidRPr="002E0458">
        <w:t xml:space="preserve">It is our job-ready, graduates </w:t>
      </w:r>
      <w:r w:rsidR="00CC285D" w:rsidRPr="002E0458">
        <w:t xml:space="preserve">who </w:t>
      </w:r>
      <w:r w:rsidRPr="002E0458">
        <w:t>will support the national interest in forging innovation-led growth.</w:t>
      </w:r>
      <w:r w:rsidRPr="002E0458">
        <w:rPr>
          <w:rStyle w:val="FootnoteReference"/>
        </w:rPr>
        <w:footnoteReference w:id="2"/>
      </w:r>
      <w:r w:rsidR="00251DB2" w:rsidRPr="002E0458">
        <w:t xml:space="preserve"> </w:t>
      </w:r>
    </w:p>
    <w:p w14:paraId="5937BE8A" w14:textId="45CEABE3" w:rsidR="00204DA3" w:rsidRPr="002E0458" w:rsidRDefault="00204DA3" w:rsidP="00204DA3">
      <w:r w:rsidRPr="002E0458">
        <w:t>With globalisation and technological advances changing the nature of work, the number and variety of occupations requiring STEM</w:t>
      </w:r>
      <w:r w:rsidR="00737389" w:rsidRPr="002E0458">
        <w:t>-</w:t>
      </w:r>
      <w:r w:rsidRPr="002E0458">
        <w:t>skills and advanced STEM</w:t>
      </w:r>
      <w:r w:rsidR="00737389" w:rsidRPr="002E0458">
        <w:t>+</w:t>
      </w:r>
      <w:r w:rsidRPr="002E0458">
        <w:t xml:space="preserve"> literacy is increasing. </w:t>
      </w:r>
      <w:r w:rsidR="00FF738B" w:rsidRPr="002E0458">
        <w:t xml:space="preserve">The ability for </w:t>
      </w:r>
      <w:r w:rsidR="00F4193E" w:rsidRPr="002E0458">
        <w:br/>
      </w:r>
      <w:r w:rsidR="00FF738B" w:rsidRPr="002E0458">
        <w:t xml:space="preserve">STEM-skills to be used across a </w:t>
      </w:r>
      <w:r w:rsidR="00F4193E" w:rsidRPr="002E0458">
        <w:t>variety</w:t>
      </w:r>
      <w:r w:rsidR="00FF738B" w:rsidRPr="002E0458">
        <w:t xml:space="preserve"> of work contexts is evident in the employment outcomes for </w:t>
      </w:r>
      <w:r w:rsidR="0045140F" w:rsidRPr="002E0458">
        <w:t>STEM-graduates, which demonstrate incredible diversity of graduate pathways</w:t>
      </w:r>
      <w:r w:rsidRPr="002E0458">
        <w:t>.</w:t>
      </w:r>
      <w:r w:rsidRPr="002E0458">
        <w:rPr>
          <w:rStyle w:val="FootnoteReference"/>
        </w:rPr>
        <w:footnoteReference w:id="3"/>
      </w:r>
      <w:r w:rsidRPr="002E0458">
        <w:t xml:space="preserve"> This is important as it runs against popular conceptions of STEM</w:t>
      </w:r>
      <w:r w:rsidR="00737389" w:rsidRPr="002E0458">
        <w:t>+</w:t>
      </w:r>
      <w:r w:rsidRPr="002E0458">
        <w:t xml:space="preserve"> graduates as individuals who solely work in technical and research fields.</w:t>
      </w:r>
    </w:p>
    <w:p w14:paraId="4A9593BE" w14:textId="6BFB4448" w:rsidR="00204DA3" w:rsidRPr="002E0458" w:rsidRDefault="00204DA3" w:rsidP="00204DA3">
      <w:r w:rsidRPr="002E0458">
        <w:t>Contemporary literature suggests that the terms ‘STEM</w:t>
      </w:r>
      <w:r w:rsidR="00737389" w:rsidRPr="002E0458">
        <w:t>-</w:t>
      </w:r>
      <w:r w:rsidRPr="002E0458">
        <w:t>skills’ and ‘STEM</w:t>
      </w:r>
      <w:r w:rsidR="00737389" w:rsidRPr="002E0458">
        <w:t>-</w:t>
      </w:r>
      <w:r w:rsidRPr="002E0458">
        <w:t>capabilities’ are used interchangeably to refer to the application of core skills such as problem solving, inquiry, digital literacy and creative and critical thinking learned in the STEM</w:t>
      </w:r>
      <w:r w:rsidR="00737389" w:rsidRPr="002E0458">
        <w:t>+</w:t>
      </w:r>
      <w:r w:rsidRPr="002E0458">
        <w:t xml:space="preserve"> disciplines, as well as the subject specific skills such as maths and science skills, design thinking and numeracy. In this sense, this moves away from previously narrow or traditional views of STEM</w:t>
      </w:r>
      <w:r w:rsidR="00737389" w:rsidRPr="002E0458">
        <w:t>+</w:t>
      </w:r>
      <w:r w:rsidRPr="002E0458">
        <w:t xml:space="preserve"> and considers both broad education in discipline content and the scientific method, which can enable new graduates to adapt to future workforce needs.</w:t>
      </w:r>
      <w:r w:rsidRPr="002E0458">
        <w:rPr>
          <w:rStyle w:val="FootnoteReference"/>
        </w:rPr>
        <w:footnoteReference w:id="4"/>
      </w:r>
      <w:r w:rsidRPr="002E0458">
        <w:t xml:space="preserve"> </w:t>
      </w:r>
      <w:r w:rsidR="00335DE1" w:rsidRPr="002E0458">
        <w:t>T</w:t>
      </w:r>
      <w:r w:rsidRPr="002E0458">
        <w:t xml:space="preserve">his is synergetic with contemporary understandings of job-readiness. </w:t>
      </w:r>
    </w:p>
    <w:p w14:paraId="070EDB77" w14:textId="52D7FB8C" w:rsidR="00AE6ECF" w:rsidRPr="002E0458" w:rsidRDefault="00AE6ECF" w:rsidP="00AE6ECF">
      <w:pPr>
        <w:spacing w:after="0"/>
      </w:pPr>
      <w:r w:rsidRPr="002E0458">
        <w:t xml:space="preserve">In 2018, 19.5 per cent of graduates were in core STEM fields of study, refer </w:t>
      </w:r>
      <w:r w:rsidRPr="002E0458">
        <w:rPr>
          <w:b/>
        </w:rPr>
        <w:t>Table 1</w:t>
      </w:r>
      <w:r w:rsidRPr="002E0458">
        <w:t xml:space="preserve">. This varied from between 2 to 42 per cent when broken down institutionally. </w:t>
      </w:r>
    </w:p>
    <w:p w14:paraId="30A7ADD2" w14:textId="77777777" w:rsidR="00AE6ECF" w:rsidRPr="002E0458" w:rsidRDefault="00AE6ECF">
      <w:pPr>
        <w:spacing w:after="160" w:line="259" w:lineRule="auto"/>
        <w:rPr>
          <w:b/>
          <w:iCs/>
          <w:szCs w:val="18"/>
        </w:rPr>
      </w:pPr>
      <w:r w:rsidRPr="002E0458">
        <w:br w:type="page"/>
      </w:r>
    </w:p>
    <w:p w14:paraId="7F0DE395" w14:textId="3288440E" w:rsidR="00900C47" w:rsidRPr="002E0458" w:rsidRDefault="00900C47" w:rsidP="000E7754">
      <w:pPr>
        <w:pStyle w:val="Caption"/>
        <w:keepNext/>
      </w:pPr>
      <w:r w:rsidRPr="002E0458">
        <w:lastRenderedPageBreak/>
        <w:t xml:space="preserve">Table </w:t>
      </w:r>
      <w:r w:rsidR="00D23B95" w:rsidRPr="002E0458">
        <w:t>1</w:t>
      </w:r>
      <w:r w:rsidRPr="002E0458">
        <w:t xml:space="preserve"> Award course completions for all students by broad field of education, 2017 and 2018</w:t>
      </w:r>
    </w:p>
    <w:tbl>
      <w:tblPr>
        <w:tblStyle w:val="GridTable1Light-Accent4"/>
        <w:tblW w:w="0" w:type="auto"/>
        <w:tblBorders>
          <w:top w:val="single" w:sz="4" w:space="0" w:color="B6006A"/>
          <w:left w:val="single" w:sz="4" w:space="0" w:color="B6006A"/>
          <w:bottom w:val="single" w:sz="4" w:space="0" w:color="B6006A"/>
          <w:right w:val="single" w:sz="4" w:space="0" w:color="B6006A"/>
          <w:insideH w:val="single" w:sz="4" w:space="0" w:color="B6006A"/>
          <w:insideV w:val="single" w:sz="4" w:space="0" w:color="B6006A"/>
        </w:tblBorders>
        <w:tblLook w:val="04A0" w:firstRow="1" w:lastRow="0" w:firstColumn="1" w:lastColumn="0" w:noHBand="0" w:noVBand="1"/>
        <w:tblCaption w:val="Table 2 Award course completions for all students by broad field of education, 2017-2018"/>
        <w:tblDescription w:val="The first set of data shows all award course completions in 2017 and 2018. In 2018, 26,664 award course completions were in the Natural and Phyiscal Sciences field of study, 19,685 were in Information Technology and 25,360 were in Engineering and Related Technologies. These are considered core STEM categories. There were 306,247 in other fields of education. In total, 19.5 per cent of all award course completions were from core STEM categories. This is higher than 2017. In 2017, 25,430 were in Natural and Phyiscal Sciences field of study, 15,530 were in Information Technology and 22,763 were in Engineering and Related Technologies. There were 290,594 in other fields of education. In total, 18.5 per cent of all award course completions were from core STEM categories. "/>
      </w:tblPr>
      <w:tblGrid>
        <w:gridCol w:w="2547"/>
        <w:gridCol w:w="3402"/>
        <w:gridCol w:w="1417"/>
        <w:gridCol w:w="1418"/>
      </w:tblGrid>
      <w:tr w:rsidR="00900C47" w:rsidRPr="002E0458" w14:paraId="3D87D537" w14:textId="77777777" w:rsidTr="005930BC">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B6006A"/>
            </w:tcBorders>
            <w:shd w:val="clear" w:color="auto" w:fill="FFBDE3" w:themeFill="accent4" w:themeFillTint="33"/>
          </w:tcPr>
          <w:p w14:paraId="0F10F680" w14:textId="21AA5D61" w:rsidR="00900C47" w:rsidRPr="002E0458" w:rsidRDefault="00900C47">
            <w:pPr>
              <w:rPr>
                <w:sz w:val="20"/>
              </w:rPr>
            </w:pPr>
            <w:r w:rsidRPr="002E0458">
              <w:rPr>
                <w:sz w:val="20"/>
              </w:rPr>
              <w:t>Category</w:t>
            </w:r>
          </w:p>
        </w:tc>
        <w:tc>
          <w:tcPr>
            <w:tcW w:w="3402" w:type="dxa"/>
            <w:tcBorders>
              <w:bottom w:val="single" w:sz="4" w:space="0" w:color="B6006A"/>
            </w:tcBorders>
            <w:shd w:val="clear" w:color="auto" w:fill="FFBDE3" w:themeFill="accent4" w:themeFillTint="33"/>
          </w:tcPr>
          <w:p w14:paraId="18CD4393" w14:textId="77777777" w:rsidR="00900C47" w:rsidRPr="002E0458" w:rsidRDefault="00900C47">
            <w:pPr>
              <w:cnfStyle w:val="100000000000" w:firstRow="1" w:lastRow="0" w:firstColumn="0" w:lastColumn="0" w:oddVBand="0" w:evenVBand="0" w:oddHBand="0" w:evenHBand="0" w:firstRowFirstColumn="0" w:firstRowLastColumn="0" w:lastRowFirstColumn="0" w:lastRowLastColumn="0"/>
              <w:rPr>
                <w:sz w:val="20"/>
              </w:rPr>
            </w:pPr>
            <w:r w:rsidRPr="002E0458">
              <w:rPr>
                <w:sz w:val="20"/>
              </w:rPr>
              <w:t>Field of education</w:t>
            </w:r>
          </w:p>
        </w:tc>
        <w:tc>
          <w:tcPr>
            <w:tcW w:w="1417" w:type="dxa"/>
            <w:tcBorders>
              <w:bottom w:val="single" w:sz="4" w:space="0" w:color="B6006A"/>
            </w:tcBorders>
            <w:shd w:val="clear" w:color="auto" w:fill="FFBDE3" w:themeFill="accent4" w:themeFillTint="33"/>
          </w:tcPr>
          <w:p w14:paraId="15A6254A" w14:textId="77777777" w:rsidR="00900C47" w:rsidRPr="002E0458" w:rsidRDefault="00900C47">
            <w:pPr>
              <w:cnfStyle w:val="100000000000" w:firstRow="1" w:lastRow="0" w:firstColumn="0" w:lastColumn="0" w:oddVBand="0" w:evenVBand="0" w:oddHBand="0" w:evenHBand="0" w:firstRowFirstColumn="0" w:firstRowLastColumn="0" w:lastRowFirstColumn="0" w:lastRowLastColumn="0"/>
              <w:rPr>
                <w:sz w:val="20"/>
              </w:rPr>
            </w:pPr>
            <w:r w:rsidRPr="002E0458">
              <w:rPr>
                <w:sz w:val="20"/>
              </w:rPr>
              <w:t>2017</w:t>
            </w:r>
          </w:p>
        </w:tc>
        <w:tc>
          <w:tcPr>
            <w:tcW w:w="1418" w:type="dxa"/>
            <w:tcBorders>
              <w:bottom w:val="single" w:sz="4" w:space="0" w:color="B6006A"/>
            </w:tcBorders>
            <w:shd w:val="clear" w:color="auto" w:fill="FFBDE3" w:themeFill="accent4" w:themeFillTint="33"/>
          </w:tcPr>
          <w:p w14:paraId="21F134EB" w14:textId="77777777" w:rsidR="00900C47" w:rsidRPr="002E0458" w:rsidRDefault="00900C47">
            <w:pPr>
              <w:cnfStyle w:val="100000000000" w:firstRow="1" w:lastRow="0" w:firstColumn="0" w:lastColumn="0" w:oddVBand="0" w:evenVBand="0" w:oddHBand="0" w:evenHBand="0" w:firstRowFirstColumn="0" w:firstRowLastColumn="0" w:lastRowFirstColumn="0" w:lastRowLastColumn="0"/>
              <w:rPr>
                <w:sz w:val="20"/>
              </w:rPr>
            </w:pPr>
            <w:r w:rsidRPr="002E0458">
              <w:rPr>
                <w:sz w:val="20"/>
              </w:rPr>
              <w:t>2018</w:t>
            </w:r>
          </w:p>
        </w:tc>
      </w:tr>
      <w:tr w:rsidR="00900C47" w:rsidRPr="002E0458" w14:paraId="4A7006F2" w14:textId="77777777" w:rsidTr="000E7754">
        <w:trPr>
          <w:trHeight w:val="399"/>
        </w:trPr>
        <w:tc>
          <w:tcPr>
            <w:cnfStyle w:val="001000000000" w:firstRow="0" w:lastRow="0" w:firstColumn="1" w:lastColumn="0" w:oddVBand="0" w:evenVBand="0" w:oddHBand="0" w:evenHBand="0" w:firstRowFirstColumn="0" w:firstRowLastColumn="0" w:lastRowFirstColumn="0" w:lastRowLastColumn="0"/>
            <w:tcW w:w="2547" w:type="dxa"/>
            <w:vMerge w:val="restart"/>
          </w:tcPr>
          <w:p w14:paraId="1F0B8183" w14:textId="77777777" w:rsidR="00900C47" w:rsidRPr="002E0458" w:rsidRDefault="00900C47" w:rsidP="005930BC">
            <w:pPr>
              <w:rPr>
                <w:sz w:val="20"/>
              </w:rPr>
            </w:pPr>
            <w:r w:rsidRPr="002E0458">
              <w:rPr>
                <w:sz w:val="20"/>
              </w:rPr>
              <w:t>Core STEM categories</w:t>
            </w:r>
            <w:r w:rsidRPr="002E0458">
              <w:rPr>
                <w:rStyle w:val="FootnoteReference"/>
                <w:sz w:val="20"/>
              </w:rPr>
              <w:footnoteReference w:id="5"/>
            </w:r>
          </w:p>
        </w:tc>
        <w:tc>
          <w:tcPr>
            <w:tcW w:w="3402" w:type="dxa"/>
          </w:tcPr>
          <w:p w14:paraId="177452F6" w14:textId="77777777" w:rsidR="00900C47" w:rsidRPr="002E0458" w:rsidRDefault="00900C47">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sz w:val="20"/>
                <w:lang w:eastAsia="en-AU"/>
              </w:rPr>
              <w:t>Natural and Physical Sciences</w:t>
            </w:r>
          </w:p>
        </w:tc>
        <w:tc>
          <w:tcPr>
            <w:tcW w:w="1417" w:type="dxa"/>
          </w:tcPr>
          <w:p w14:paraId="649F6F12" w14:textId="77777777" w:rsidR="00900C47" w:rsidRPr="002E0458" w:rsidRDefault="00900C47">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sz w:val="20"/>
                <w:lang w:eastAsia="en-AU"/>
              </w:rPr>
              <w:t>25,430</w:t>
            </w:r>
          </w:p>
        </w:tc>
        <w:tc>
          <w:tcPr>
            <w:tcW w:w="1418" w:type="dxa"/>
          </w:tcPr>
          <w:p w14:paraId="5374FF39" w14:textId="77777777" w:rsidR="00900C47" w:rsidRPr="002E0458" w:rsidRDefault="00900C47">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bCs/>
                <w:sz w:val="20"/>
                <w:lang w:eastAsia="en-AU"/>
              </w:rPr>
              <w:t>26,664</w:t>
            </w:r>
          </w:p>
        </w:tc>
      </w:tr>
      <w:tr w:rsidR="00900C47" w:rsidRPr="002E0458" w14:paraId="7693AA6F" w14:textId="77777777" w:rsidTr="00BF2E36">
        <w:tc>
          <w:tcPr>
            <w:cnfStyle w:val="001000000000" w:firstRow="0" w:lastRow="0" w:firstColumn="1" w:lastColumn="0" w:oddVBand="0" w:evenVBand="0" w:oddHBand="0" w:evenHBand="0" w:firstRowFirstColumn="0" w:firstRowLastColumn="0" w:lastRowFirstColumn="0" w:lastRowLastColumn="0"/>
            <w:tcW w:w="2547" w:type="dxa"/>
            <w:vMerge/>
          </w:tcPr>
          <w:p w14:paraId="46C75891" w14:textId="77777777" w:rsidR="00900C47" w:rsidRPr="002E0458" w:rsidRDefault="00900C47">
            <w:pPr>
              <w:rPr>
                <w:sz w:val="20"/>
              </w:rPr>
            </w:pPr>
          </w:p>
        </w:tc>
        <w:tc>
          <w:tcPr>
            <w:tcW w:w="3402" w:type="dxa"/>
          </w:tcPr>
          <w:p w14:paraId="689D86AB" w14:textId="77777777" w:rsidR="00900C47" w:rsidRPr="002E0458" w:rsidRDefault="00900C47">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sz w:val="20"/>
                <w:lang w:eastAsia="en-AU"/>
              </w:rPr>
              <w:t>Information Technology</w:t>
            </w:r>
          </w:p>
        </w:tc>
        <w:tc>
          <w:tcPr>
            <w:tcW w:w="1417" w:type="dxa"/>
          </w:tcPr>
          <w:p w14:paraId="7E443FB5" w14:textId="77777777" w:rsidR="00900C47" w:rsidRPr="002E0458" w:rsidRDefault="00900C47">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sz w:val="20"/>
                <w:lang w:eastAsia="en-AU"/>
              </w:rPr>
              <w:t>15,530</w:t>
            </w:r>
          </w:p>
        </w:tc>
        <w:tc>
          <w:tcPr>
            <w:tcW w:w="1418" w:type="dxa"/>
          </w:tcPr>
          <w:p w14:paraId="1B4D110C" w14:textId="77777777" w:rsidR="00900C47" w:rsidRPr="002E0458" w:rsidRDefault="00900C47">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bCs/>
                <w:sz w:val="20"/>
                <w:lang w:eastAsia="en-AU"/>
              </w:rPr>
              <w:t>19,685</w:t>
            </w:r>
          </w:p>
        </w:tc>
      </w:tr>
      <w:tr w:rsidR="00900C47" w:rsidRPr="002E0458" w14:paraId="60446285" w14:textId="77777777" w:rsidTr="00BF2E36">
        <w:tc>
          <w:tcPr>
            <w:cnfStyle w:val="001000000000" w:firstRow="0" w:lastRow="0" w:firstColumn="1" w:lastColumn="0" w:oddVBand="0" w:evenVBand="0" w:oddHBand="0" w:evenHBand="0" w:firstRowFirstColumn="0" w:firstRowLastColumn="0" w:lastRowFirstColumn="0" w:lastRowLastColumn="0"/>
            <w:tcW w:w="2547" w:type="dxa"/>
            <w:vMerge/>
          </w:tcPr>
          <w:p w14:paraId="19FE638E" w14:textId="77777777" w:rsidR="00900C47" w:rsidRPr="002E0458" w:rsidRDefault="00900C47">
            <w:pPr>
              <w:rPr>
                <w:sz w:val="20"/>
              </w:rPr>
            </w:pPr>
          </w:p>
        </w:tc>
        <w:tc>
          <w:tcPr>
            <w:tcW w:w="3402" w:type="dxa"/>
          </w:tcPr>
          <w:p w14:paraId="4F3E028C" w14:textId="77777777" w:rsidR="00900C47" w:rsidRPr="002E0458" w:rsidRDefault="00900C47">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sz w:val="20"/>
                <w:lang w:eastAsia="en-AU"/>
              </w:rPr>
              <w:t>Engineering and Related Technologies</w:t>
            </w:r>
          </w:p>
        </w:tc>
        <w:tc>
          <w:tcPr>
            <w:tcW w:w="1417" w:type="dxa"/>
          </w:tcPr>
          <w:p w14:paraId="18F48509" w14:textId="77777777" w:rsidR="00900C47" w:rsidRPr="002E0458" w:rsidRDefault="00900C47">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sz w:val="20"/>
                <w:lang w:eastAsia="en-AU"/>
              </w:rPr>
              <w:t>22,763</w:t>
            </w:r>
          </w:p>
        </w:tc>
        <w:tc>
          <w:tcPr>
            <w:tcW w:w="1418" w:type="dxa"/>
          </w:tcPr>
          <w:p w14:paraId="77A06B61" w14:textId="77777777" w:rsidR="00900C47" w:rsidRPr="002E0458" w:rsidRDefault="00900C47">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bCs/>
                <w:sz w:val="20"/>
                <w:lang w:eastAsia="en-AU"/>
              </w:rPr>
              <w:t>25,360</w:t>
            </w:r>
          </w:p>
        </w:tc>
      </w:tr>
      <w:tr w:rsidR="00AE6ECF" w:rsidRPr="002E0458" w14:paraId="0FA2FC03" w14:textId="77777777" w:rsidTr="00126C20">
        <w:tc>
          <w:tcPr>
            <w:cnfStyle w:val="001000000000" w:firstRow="0" w:lastRow="0" w:firstColumn="1" w:lastColumn="0" w:oddVBand="0" w:evenVBand="0" w:oddHBand="0" w:evenHBand="0" w:firstRowFirstColumn="0" w:firstRowLastColumn="0" w:lastRowFirstColumn="0" w:lastRowLastColumn="0"/>
            <w:tcW w:w="5949" w:type="dxa"/>
            <w:gridSpan w:val="2"/>
          </w:tcPr>
          <w:p w14:paraId="063A4D3D" w14:textId="77777777" w:rsidR="00AE6ECF" w:rsidRPr="002E0458" w:rsidRDefault="00AE6ECF">
            <w:pPr>
              <w:rPr>
                <w:sz w:val="20"/>
              </w:rPr>
            </w:pPr>
            <w:r w:rsidRPr="002E0458">
              <w:rPr>
                <w:sz w:val="20"/>
              </w:rPr>
              <w:t>All other fields of education</w:t>
            </w:r>
          </w:p>
        </w:tc>
        <w:tc>
          <w:tcPr>
            <w:tcW w:w="1417" w:type="dxa"/>
          </w:tcPr>
          <w:p w14:paraId="05B1CDCB" w14:textId="77777777" w:rsidR="00AE6ECF" w:rsidRPr="002E0458" w:rsidRDefault="00AE6ECF">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sz w:val="20"/>
                <w:lang w:eastAsia="en-AU"/>
              </w:rPr>
              <w:t>290,594</w:t>
            </w:r>
          </w:p>
        </w:tc>
        <w:tc>
          <w:tcPr>
            <w:tcW w:w="1418" w:type="dxa"/>
          </w:tcPr>
          <w:p w14:paraId="113093CE" w14:textId="77777777" w:rsidR="00AE6ECF" w:rsidRPr="002E0458" w:rsidRDefault="00AE6ECF">
            <w:pPr>
              <w:cnfStyle w:val="000000000000" w:firstRow="0" w:lastRow="0" w:firstColumn="0" w:lastColumn="0" w:oddVBand="0" w:evenVBand="0" w:oddHBand="0" w:evenHBand="0" w:firstRowFirstColumn="0" w:firstRowLastColumn="0" w:lastRowFirstColumn="0" w:lastRowLastColumn="0"/>
              <w:rPr>
                <w:sz w:val="20"/>
              </w:rPr>
            </w:pPr>
            <w:r w:rsidRPr="002E0458">
              <w:rPr>
                <w:rFonts w:eastAsia="Times New Roman" w:cstheme="minorHAnsi"/>
                <w:bCs/>
                <w:sz w:val="20"/>
                <w:lang w:eastAsia="en-AU"/>
              </w:rPr>
              <w:t>306,247</w:t>
            </w:r>
          </w:p>
        </w:tc>
      </w:tr>
      <w:tr w:rsidR="00AE6ECF" w:rsidRPr="002E0458" w14:paraId="675B5696" w14:textId="77777777" w:rsidTr="00AE6ECF">
        <w:trPr>
          <w:trHeight w:val="493"/>
        </w:trPr>
        <w:tc>
          <w:tcPr>
            <w:cnfStyle w:val="001000000000" w:firstRow="0" w:lastRow="0" w:firstColumn="1" w:lastColumn="0" w:oddVBand="0" w:evenVBand="0" w:oddHBand="0" w:evenHBand="0" w:firstRowFirstColumn="0" w:firstRowLastColumn="0" w:lastRowFirstColumn="0" w:lastRowLastColumn="0"/>
            <w:tcW w:w="5949" w:type="dxa"/>
            <w:gridSpan w:val="2"/>
          </w:tcPr>
          <w:p w14:paraId="037140C1" w14:textId="5EF8A11A" w:rsidR="00AE6ECF" w:rsidRPr="002E0458" w:rsidRDefault="00AE6ECF">
            <w:pPr>
              <w:rPr>
                <w:sz w:val="20"/>
              </w:rPr>
            </w:pPr>
            <w:r w:rsidRPr="002E0458">
              <w:rPr>
                <w:sz w:val="20"/>
              </w:rPr>
              <w:t xml:space="preserve">Proportion of STEM completions </w:t>
            </w:r>
          </w:p>
        </w:tc>
        <w:tc>
          <w:tcPr>
            <w:tcW w:w="1417" w:type="dxa"/>
          </w:tcPr>
          <w:p w14:paraId="2ACDE18A" w14:textId="21B63C45" w:rsidR="00AE6ECF" w:rsidRPr="002E0458" w:rsidRDefault="00293B26" w:rsidP="00293B26">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r w:rsidRPr="002E0458">
              <w:rPr>
                <w:rFonts w:eastAsia="Times New Roman" w:cstheme="minorHAnsi"/>
                <w:sz w:val="20"/>
                <w:lang w:eastAsia="en-AU"/>
              </w:rPr>
              <w:t>18.5%</w:t>
            </w:r>
          </w:p>
        </w:tc>
        <w:tc>
          <w:tcPr>
            <w:tcW w:w="1418" w:type="dxa"/>
          </w:tcPr>
          <w:p w14:paraId="3752322A" w14:textId="28CC8A46" w:rsidR="00AE6ECF" w:rsidRPr="002E0458" w:rsidRDefault="00293B26" w:rsidP="00293B26">
            <w:pP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lang w:eastAsia="en-AU"/>
              </w:rPr>
            </w:pPr>
            <w:r w:rsidRPr="002E0458">
              <w:rPr>
                <w:rFonts w:eastAsia="Times New Roman" w:cstheme="minorHAnsi"/>
                <w:bCs/>
                <w:sz w:val="20"/>
                <w:lang w:eastAsia="en-AU"/>
              </w:rPr>
              <w:t>19.5%</w:t>
            </w:r>
          </w:p>
        </w:tc>
      </w:tr>
    </w:tbl>
    <w:p w14:paraId="773050B9" w14:textId="37DD3EFC" w:rsidR="00AE6ECF" w:rsidRPr="002E0458" w:rsidRDefault="00AE6ECF" w:rsidP="00AE6ECF">
      <w:r w:rsidRPr="002E0458">
        <w:br/>
        <w:t xml:space="preserve">However, a greater number of graduates can be identified as ‘STEM-skilled’ when accounting for graduates of non-core STEM award courses that completed a core STEM unit during their studies, refer </w:t>
      </w:r>
      <w:r w:rsidRPr="002E0458">
        <w:rPr>
          <w:b/>
        </w:rPr>
        <w:t>Table 2</w:t>
      </w:r>
      <w:r w:rsidRPr="002E0458">
        <w:t>. Institutionally, this ranged from 21 to 61 per cent of graduates in 2018. This provides a starting point by which the department can understand the integration of core STEM units in course offerings across institutions.</w:t>
      </w:r>
      <w:r w:rsidRPr="002E0458">
        <w:rPr>
          <w:rStyle w:val="FootnoteReference"/>
        </w:rPr>
        <w:footnoteReference w:id="6"/>
      </w:r>
    </w:p>
    <w:p w14:paraId="58F57C68" w14:textId="2725FB8E" w:rsidR="00E70C8A" w:rsidRPr="002E0458" w:rsidRDefault="00E70C8A" w:rsidP="002F1714">
      <w:pPr>
        <w:pStyle w:val="Caption"/>
        <w:keepNext/>
      </w:pPr>
      <w:r w:rsidRPr="002E0458">
        <w:t xml:space="preserve">Table </w:t>
      </w:r>
      <w:r w:rsidR="00D23B95" w:rsidRPr="002E0458">
        <w:t>2</w:t>
      </w:r>
      <w:r w:rsidRPr="002E0458">
        <w:t xml:space="preserve"> STEM-skilled completions for all students (from non-STEM award course), 2018</w:t>
      </w:r>
    </w:p>
    <w:tbl>
      <w:tblPr>
        <w:tblStyle w:val="GridTable2-Accent6"/>
        <w:tblW w:w="8786" w:type="dxa"/>
        <w:tblBorders>
          <w:top w:val="single" w:sz="2" w:space="0" w:color="B6006A" w:themeColor="accent4"/>
          <w:left w:val="single" w:sz="2" w:space="0" w:color="B6006A" w:themeColor="accent4"/>
          <w:bottom w:val="single" w:sz="2" w:space="0" w:color="B6006A" w:themeColor="accent4"/>
          <w:right w:val="single" w:sz="2" w:space="0" w:color="B6006A" w:themeColor="accent4"/>
          <w:insideH w:val="single" w:sz="2" w:space="0" w:color="B6006A" w:themeColor="accent4"/>
          <w:insideV w:val="single" w:sz="2" w:space="0" w:color="B6006A" w:themeColor="accent4"/>
        </w:tblBorders>
        <w:tblLook w:val="04A0" w:firstRow="1" w:lastRow="0" w:firstColumn="1" w:lastColumn="0" w:noHBand="0" w:noVBand="1"/>
        <w:tblCaption w:val="Table 1 STEM and STEM skilled graduates in 2018"/>
        <w:tblDescription w:val="In 2018, of students who completed a non-STEM award course, 110,241 completed a core STEM unit as part of their course. 149,707 students did not complete a STEM unit as part of their course. Proportionally, 42 per cent of non-STEM completions featured a STEM unit. "/>
      </w:tblPr>
      <w:tblGrid>
        <w:gridCol w:w="1273"/>
        <w:gridCol w:w="2977"/>
        <w:gridCol w:w="1984"/>
        <w:gridCol w:w="2552"/>
      </w:tblGrid>
      <w:tr w:rsidR="00FF738B" w:rsidRPr="002E0458" w14:paraId="4DC20B1F" w14:textId="77777777" w:rsidTr="005930BC">
        <w:trPr>
          <w:cnfStyle w:val="100000000000" w:firstRow="1" w:lastRow="0" w:firstColumn="0" w:lastColumn="0" w:oddVBand="0" w:evenVBand="0" w:oddHBand="0" w:evenHBand="0" w:firstRowFirstColumn="0" w:firstRowLastColumn="0" w:lastRowFirstColumn="0" w:lastRowLastColumn="0"/>
          <w:trHeight w:val="222"/>
          <w:tblHeader/>
        </w:trPr>
        <w:tc>
          <w:tcPr>
            <w:cnfStyle w:val="001000000000" w:firstRow="0" w:lastRow="0" w:firstColumn="1" w:lastColumn="0" w:oddVBand="0" w:evenVBand="0" w:oddHBand="0" w:evenHBand="0" w:firstRowFirstColumn="0" w:firstRowLastColumn="0" w:lastRowFirstColumn="0" w:lastRowLastColumn="0"/>
            <w:tcW w:w="1273" w:type="dxa"/>
            <w:tcBorders>
              <w:top w:val="single" w:sz="4" w:space="0" w:color="B6006A" w:themeColor="accent4"/>
              <w:bottom w:val="single" w:sz="4" w:space="0" w:color="B6006A" w:themeColor="accent4"/>
              <w:right w:val="single" w:sz="4" w:space="0" w:color="B6006A" w:themeColor="accent4"/>
            </w:tcBorders>
            <w:shd w:val="clear" w:color="auto" w:fill="FFBDE3" w:themeFill="accent4" w:themeFillTint="33"/>
            <w:vAlign w:val="center"/>
          </w:tcPr>
          <w:p w14:paraId="3788595E" w14:textId="4F3F1887" w:rsidR="00FF738B" w:rsidRPr="002E0458" w:rsidRDefault="00AE6ECF" w:rsidP="002F1714">
            <w:pPr>
              <w:spacing w:after="0" w:line="240" w:lineRule="auto"/>
              <w:rPr>
                <w:rFonts w:eastAsia="Times New Roman" w:cstheme="minorHAnsi"/>
                <w:sz w:val="20"/>
                <w:szCs w:val="20"/>
                <w:lang w:eastAsia="en-AU"/>
              </w:rPr>
            </w:pPr>
            <w:r w:rsidRPr="002E0458">
              <w:rPr>
                <w:rFonts w:eastAsia="Times New Roman" w:cstheme="minorHAnsi"/>
                <w:sz w:val="20"/>
                <w:szCs w:val="20"/>
                <w:lang w:eastAsia="en-AU"/>
              </w:rPr>
              <w:t>Year</w:t>
            </w:r>
          </w:p>
        </w:tc>
        <w:tc>
          <w:tcPr>
            <w:tcW w:w="2977" w:type="dxa"/>
            <w:tcBorders>
              <w:top w:val="single" w:sz="4" w:space="0" w:color="B6006A" w:themeColor="accent4"/>
              <w:left w:val="single" w:sz="4" w:space="0" w:color="B6006A" w:themeColor="accent4"/>
              <w:bottom w:val="single" w:sz="4" w:space="0" w:color="B6006A" w:themeColor="accent4"/>
              <w:right w:val="single" w:sz="4" w:space="0" w:color="B6006A" w:themeColor="accent4"/>
            </w:tcBorders>
            <w:shd w:val="clear" w:color="auto" w:fill="FFBDE3" w:themeFill="accent4" w:themeFillTint="33"/>
            <w:vAlign w:val="center"/>
          </w:tcPr>
          <w:p w14:paraId="04D94478" w14:textId="562FDCF9" w:rsidR="00FF738B" w:rsidRPr="002E0458" w:rsidRDefault="00FF738B" w:rsidP="00F4193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2E0458">
              <w:rPr>
                <w:rFonts w:eastAsia="Times New Roman" w:cstheme="minorHAnsi"/>
                <w:sz w:val="20"/>
                <w:szCs w:val="20"/>
                <w:lang w:eastAsia="en-AU"/>
              </w:rPr>
              <w:t xml:space="preserve">With </w:t>
            </w:r>
            <w:r w:rsidR="00737389" w:rsidRPr="002E0458">
              <w:rPr>
                <w:rFonts w:eastAsia="Times New Roman" w:cstheme="minorHAnsi"/>
                <w:sz w:val="20"/>
                <w:szCs w:val="20"/>
                <w:lang w:eastAsia="en-AU"/>
              </w:rPr>
              <w:t xml:space="preserve">core </w:t>
            </w:r>
            <w:r w:rsidRPr="002E0458">
              <w:rPr>
                <w:rFonts w:eastAsia="Times New Roman" w:cstheme="minorHAnsi"/>
                <w:sz w:val="20"/>
                <w:szCs w:val="20"/>
                <w:lang w:eastAsia="en-AU"/>
              </w:rPr>
              <w:t>STEM units</w:t>
            </w:r>
          </w:p>
        </w:tc>
        <w:tc>
          <w:tcPr>
            <w:tcW w:w="1984" w:type="dxa"/>
            <w:tcBorders>
              <w:top w:val="single" w:sz="4" w:space="0" w:color="B6006A" w:themeColor="accent4"/>
              <w:left w:val="single" w:sz="4" w:space="0" w:color="B6006A" w:themeColor="accent4"/>
              <w:bottom w:val="single" w:sz="4" w:space="0" w:color="B6006A" w:themeColor="accent4"/>
              <w:right w:val="single" w:sz="4" w:space="0" w:color="B6006A" w:themeColor="accent4"/>
            </w:tcBorders>
            <w:shd w:val="clear" w:color="auto" w:fill="FFBDE3" w:themeFill="accent4" w:themeFillTint="33"/>
            <w:vAlign w:val="center"/>
          </w:tcPr>
          <w:p w14:paraId="1E24507D" w14:textId="77777777" w:rsidR="00FF738B" w:rsidRPr="002E0458" w:rsidRDefault="00FF738B" w:rsidP="00F4193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AU"/>
              </w:rPr>
            </w:pPr>
            <w:r w:rsidRPr="002E0458">
              <w:rPr>
                <w:rFonts w:eastAsia="Times New Roman" w:cstheme="minorHAnsi"/>
                <w:sz w:val="20"/>
                <w:szCs w:val="20"/>
                <w:lang w:eastAsia="en-AU"/>
              </w:rPr>
              <w:t>No STEM units</w:t>
            </w:r>
          </w:p>
        </w:tc>
        <w:tc>
          <w:tcPr>
            <w:tcW w:w="2552" w:type="dxa"/>
            <w:tcBorders>
              <w:top w:val="single" w:sz="4" w:space="0" w:color="B6006A" w:themeColor="accent4"/>
              <w:left w:val="single" w:sz="4" w:space="0" w:color="B6006A" w:themeColor="accent4"/>
              <w:bottom w:val="single" w:sz="4" w:space="0" w:color="B6006A" w:themeColor="accent4"/>
            </w:tcBorders>
            <w:shd w:val="clear" w:color="auto" w:fill="FFBDE3" w:themeFill="accent4" w:themeFillTint="33"/>
            <w:vAlign w:val="center"/>
          </w:tcPr>
          <w:p w14:paraId="72309B48" w14:textId="77777777" w:rsidR="00FF738B" w:rsidRPr="002E0458" w:rsidRDefault="00FF738B" w:rsidP="00F4193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E0458">
              <w:rPr>
                <w:rFonts w:cstheme="minorHAnsi"/>
                <w:sz w:val="20"/>
                <w:szCs w:val="20"/>
              </w:rPr>
              <w:t>Proportion of non-STEM completions with STEM unit</w:t>
            </w:r>
          </w:p>
        </w:tc>
      </w:tr>
      <w:tr w:rsidR="00FF738B" w:rsidRPr="002E0458" w14:paraId="47F02E52" w14:textId="77777777" w:rsidTr="002F171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273" w:type="dxa"/>
            <w:tcBorders>
              <w:top w:val="single" w:sz="4" w:space="0" w:color="B6006A" w:themeColor="accent4"/>
            </w:tcBorders>
            <w:shd w:val="clear" w:color="auto" w:fill="FFFFFF" w:themeFill="background1"/>
            <w:vAlign w:val="center"/>
          </w:tcPr>
          <w:p w14:paraId="283188BE" w14:textId="3F59BEEB" w:rsidR="00FF738B" w:rsidRPr="002E0458" w:rsidRDefault="00FF738B" w:rsidP="00454183">
            <w:pPr>
              <w:spacing w:after="0" w:line="240" w:lineRule="auto"/>
              <w:rPr>
                <w:rFonts w:eastAsia="Times New Roman" w:cstheme="minorHAnsi"/>
                <w:sz w:val="20"/>
                <w:szCs w:val="20"/>
                <w:lang w:eastAsia="en-AU"/>
              </w:rPr>
            </w:pPr>
            <w:r w:rsidRPr="002E0458">
              <w:rPr>
                <w:rFonts w:eastAsia="Times New Roman" w:cstheme="minorHAnsi"/>
                <w:sz w:val="20"/>
                <w:szCs w:val="20"/>
                <w:lang w:eastAsia="en-AU"/>
              </w:rPr>
              <w:t>2018</w:t>
            </w:r>
          </w:p>
        </w:tc>
        <w:tc>
          <w:tcPr>
            <w:tcW w:w="2977" w:type="dxa"/>
            <w:tcBorders>
              <w:top w:val="single" w:sz="4" w:space="0" w:color="B6006A" w:themeColor="accent4"/>
            </w:tcBorders>
            <w:shd w:val="clear" w:color="auto" w:fill="FFFFFF" w:themeFill="background1"/>
            <w:vAlign w:val="center"/>
          </w:tcPr>
          <w:p w14:paraId="0F57AAC2" w14:textId="77777777" w:rsidR="00FF738B" w:rsidRPr="002E0458" w:rsidRDefault="00FF738B" w:rsidP="00F419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AU"/>
              </w:rPr>
            </w:pPr>
            <w:r w:rsidRPr="002E0458">
              <w:rPr>
                <w:rFonts w:eastAsia="Times New Roman" w:cstheme="minorHAnsi"/>
                <w:sz w:val="20"/>
                <w:szCs w:val="20"/>
                <w:lang w:eastAsia="en-AU"/>
              </w:rPr>
              <w:t>110,241</w:t>
            </w:r>
          </w:p>
        </w:tc>
        <w:tc>
          <w:tcPr>
            <w:tcW w:w="1984" w:type="dxa"/>
            <w:tcBorders>
              <w:top w:val="single" w:sz="4" w:space="0" w:color="B6006A" w:themeColor="accent4"/>
            </w:tcBorders>
            <w:shd w:val="clear" w:color="auto" w:fill="FFFFFF" w:themeFill="background1"/>
            <w:vAlign w:val="center"/>
          </w:tcPr>
          <w:p w14:paraId="313E7DC3" w14:textId="77777777" w:rsidR="00FF738B" w:rsidRPr="002E0458" w:rsidRDefault="00FF738B" w:rsidP="00F419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AU"/>
              </w:rPr>
            </w:pPr>
            <w:r w:rsidRPr="002E0458">
              <w:rPr>
                <w:rFonts w:eastAsia="Times New Roman" w:cstheme="minorHAnsi"/>
                <w:sz w:val="20"/>
                <w:szCs w:val="20"/>
                <w:lang w:eastAsia="en-AU"/>
              </w:rPr>
              <w:t>149,707</w:t>
            </w:r>
          </w:p>
        </w:tc>
        <w:tc>
          <w:tcPr>
            <w:tcW w:w="2552" w:type="dxa"/>
            <w:tcBorders>
              <w:top w:val="single" w:sz="4" w:space="0" w:color="B6006A" w:themeColor="accent4"/>
            </w:tcBorders>
            <w:shd w:val="clear" w:color="auto" w:fill="FFFFFF" w:themeFill="background1"/>
            <w:vAlign w:val="center"/>
          </w:tcPr>
          <w:p w14:paraId="456B7EE7" w14:textId="77777777" w:rsidR="00FF738B" w:rsidRPr="002E0458" w:rsidRDefault="00FF738B" w:rsidP="00F419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E0458">
              <w:rPr>
                <w:rFonts w:cstheme="minorHAnsi"/>
                <w:sz w:val="20"/>
                <w:szCs w:val="20"/>
              </w:rPr>
              <w:t>42%</w:t>
            </w:r>
          </w:p>
        </w:tc>
      </w:tr>
    </w:tbl>
    <w:p w14:paraId="642DE7CA" w14:textId="77777777" w:rsidR="00204DA3" w:rsidRPr="002E0458" w:rsidRDefault="00204DA3" w:rsidP="00204DA3">
      <w:pPr>
        <w:spacing w:after="0" w:line="252" w:lineRule="auto"/>
      </w:pPr>
    </w:p>
    <w:p w14:paraId="78227A10" w14:textId="77777777" w:rsidR="00204DA3" w:rsidRPr="002E0458" w:rsidRDefault="00204DA3" w:rsidP="00204DA3">
      <w:pPr>
        <w:pStyle w:val="Heading2"/>
      </w:pPr>
      <w:bookmarkStart w:id="9" w:name="_Toc52296779"/>
      <w:r w:rsidRPr="002E0458">
        <w:t>They have professional skills which make them confident to apply their course knowledge</w:t>
      </w:r>
      <w:bookmarkEnd w:id="9"/>
    </w:p>
    <w:p w14:paraId="5DB1C2E1" w14:textId="77777777" w:rsidR="00204DA3" w:rsidRPr="002E0458" w:rsidRDefault="00204DA3" w:rsidP="00EC5A9B">
      <w:r w:rsidRPr="002E0458">
        <w:t>To date,</w:t>
      </w:r>
      <w:r w:rsidR="003E6335" w:rsidRPr="002E0458">
        <w:t xml:space="preserve"> the</w:t>
      </w:r>
      <w:r w:rsidRPr="002E0458">
        <w:t xml:space="preserve"> importance of having opportunities to apply skills gained in a course of study is embraced in the concept of WIL. WIL </w:t>
      </w:r>
      <w:r w:rsidR="00DD1BF8" w:rsidRPr="002E0458">
        <w:t>is an umbrella term</w:t>
      </w:r>
      <w:r w:rsidRPr="002E0458">
        <w:t xml:space="preserve"> used to describe a wide variety of mechanisms through which a practical experience is used to complement the teaching of theoretical concepts.</w:t>
      </w:r>
      <w:r w:rsidRPr="002E0458">
        <w:rPr>
          <w:rStyle w:val="FootnoteReference"/>
        </w:rPr>
        <w:footnoteReference w:id="7"/>
      </w:r>
      <w:r w:rsidRPr="002E0458">
        <w:t xml:space="preserve"> It is </w:t>
      </w:r>
      <w:r w:rsidR="003E6335" w:rsidRPr="002E0458">
        <w:t xml:space="preserve">an </w:t>
      </w:r>
      <w:r w:rsidRPr="002E0458">
        <w:t>educational partnership, a curriculum construct and a pedagogical approach to educate and prepare the future workforce. The benefits of WIL have been well canvassed in the literature and include development of professional identity, professional judgement, teamwork, communication, resilience, enhanced understandings of course content, alongside improved employment outcomes.</w:t>
      </w:r>
      <w:r w:rsidRPr="002E0458">
        <w:rPr>
          <w:rStyle w:val="FootnoteReference"/>
          <w:rFonts w:cstheme="minorHAnsi"/>
        </w:rPr>
        <w:footnoteReference w:id="8"/>
      </w:r>
      <w:r w:rsidRPr="002E0458">
        <w:t xml:space="preserve"> </w:t>
      </w:r>
    </w:p>
    <w:p w14:paraId="7016F628" w14:textId="288E6285" w:rsidR="003E6335" w:rsidRPr="002E0458" w:rsidRDefault="00204DA3" w:rsidP="00EC5A9B">
      <w:pPr>
        <w:rPr>
          <w:rFonts w:ascii="Times New Roman" w:hAnsi="Times New Roman" w:cs="Times New Roman"/>
          <w:sz w:val="24"/>
          <w:szCs w:val="24"/>
          <w:lang w:eastAsia="en-AU"/>
        </w:rPr>
      </w:pPr>
      <w:r w:rsidRPr="002E0458">
        <w:t>A 2019 CSIRO report on internships</w:t>
      </w:r>
      <w:r w:rsidR="00BD64C8" w:rsidRPr="002E0458">
        <w:t>,</w:t>
      </w:r>
      <w:r w:rsidR="0031713A" w:rsidRPr="002E0458">
        <w:t xml:space="preserve"> one of </w:t>
      </w:r>
      <w:r w:rsidR="00335DE1" w:rsidRPr="002E0458">
        <w:t>several types</w:t>
      </w:r>
      <w:r w:rsidR="0031713A" w:rsidRPr="002E0458">
        <w:t xml:space="preserve"> of WIL</w:t>
      </w:r>
      <w:r w:rsidR="00BD64C8" w:rsidRPr="002E0458">
        <w:t>,</w:t>
      </w:r>
      <w:r w:rsidRPr="002E0458">
        <w:t xml:space="preserve"> found that the inclusion of an internship or work component in a course of study is positively correlated with improved graduate employment outcomes across all fields of study.</w:t>
      </w:r>
      <w:r w:rsidRPr="002E0458">
        <w:rPr>
          <w:rStyle w:val="FootnoteReference"/>
        </w:rPr>
        <w:footnoteReference w:id="9"/>
      </w:r>
      <w:r w:rsidRPr="002E0458">
        <w:t xml:space="preserve"> </w:t>
      </w:r>
      <w:r w:rsidR="00293B26" w:rsidRPr="002E0458">
        <w:br/>
      </w:r>
      <w:r w:rsidR="003E6335" w:rsidRPr="002E0458">
        <w:lastRenderedPageBreak/>
        <w:t>While graduate employment and graduate satisfaction are frequently cited measures of the value of WIL, we must recognise that there are other factors affecting these metrics, including the field of study, labour market volatility, equity factors and whether a student has undertaken other work or volunteering experiences.</w:t>
      </w:r>
      <w:r w:rsidR="003E6335" w:rsidRPr="002E0458">
        <w:rPr>
          <w:rStyle w:val="FootnoteReference"/>
        </w:rPr>
        <w:footnoteReference w:id="10"/>
      </w:r>
      <w:r w:rsidR="003E6335" w:rsidRPr="002E0458">
        <w:t xml:space="preserve"> </w:t>
      </w:r>
      <w:r w:rsidR="00CE6615" w:rsidRPr="002E0458">
        <w:t xml:space="preserve">Qualitatively, the most commonly cited benefits of WIL from employers include, the ability to recruit job-ready students (decrease recruitment costs), increased access to fresh ideas and </w:t>
      </w:r>
      <w:r w:rsidR="00CC285D" w:rsidRPr="002E0458">
        <w:t xml:space="preserve">cutting edge </w:t>
      </w:r>
      <w:r w:rsidR="00CE6615" w:rsidRPr="002E0458">
        <w:t>knowledge which can enhance the organisation, as well as the opportunity to give back to the industry and community.</w:t>
      </w:r>
      <w:r w:rsidR="00CE6615" w:rsidRPr="002E0458">
        <w:rPr>
          <w:rStyle w:val="FootnoteReference"/>
          <w:rFonts w:cstheme="minorHAnsi"/>
        </w:rPr>
        <w:footnoteReference w:id="11"/>
      </w:r>
    </w:p>
    <w:p w14:paraId="430F228B" w14:textId="6634F36D" w:rsidR="003E6335" w:rsidRPr="002E0458" w:rsidRDefault="00204DA3" w:rsidP="00956132">
      <w:pPr>
        <w:spacing w:after="0"/>
      </w:pPr>
      <w:r w:rsidRPr="002E0458">
        <w:t>A 2017 national audit of WIL activities conducted by Universities Australia (UA) found that more than one in three undergraduate students (451,263 students or 37.5 per cent) enrolled in Australia had undertaken a WIL experience.</w:t>
      </w:r>
      <w:r w:rsidRPr="002E0458">
        <w:rPr>
          <w:rStyle w:val="FootnoteReference"/>
          <w:rFonts w:cstheme="minorHAnsi"/>
        </w:rPr>
        <w:footnoteReference w:id="12"/>
      </w:r>
      <w:r w:rsidRPr="002E0458">
        <w:t xml:space="preserve"> However, the audit highlighted considerable variation across the sector in how WIL is conceptualised. </w:t>
      </w:r>
      <w:r w:rsidR="00BD64C8" w:rsidRPr="002E0458">
        <w:t xml:space="preserve">Some common examples of WIL </w:t>
      </w:r>
      <w:proofErr w:type="gramStart"/>
      <w:r w:rsidR="00BD64C8" w:rsidRPr="002E0458">
        <w:t>include:</w:t>
      </w:r>
      <w:proofErr w:type="gramEnd"/>
      <w:r w:rsidR="00BD64C8" w:rsidRPr="002E0458">
        <w:t xml:space="preserve"> internships, cooperative education, work placements, industry or community-based learning, clinical rotations and practical projects.</w:t>
      </w:r>
      <w:r w:rsidR="00956132" w:rsidRPr="002E0458">
        <w:t xml:space="preserve"> </w:t>
      </w:r>
      <w:r w:rsidRPr="002E0458">
        <w:t>The nature</w:t>
      </w:r>
      <w:r w:rsidR="009243B4" w:rsidRPr="002E0458">
        <w:t xml:space="preserve"> and likelihood</w:t>
      </w:r>
      <w:r w:rsidRPr="002E0458">
        <w:t xml:space="preserve"> of </w:t>
      </w:r>
      <w:r w:rsidR="00BD64C8" w:rsidRPr="002E0458">
        <w:t xml:space="preserve">a </w:t>
      </w:r>
      <w:r w:rsidRPr="002E0458">
        <w:t>student</w:t>
      </w:r>
      <w:r w:rsidR="009243B4" w:rsidRPr="002E0458">
        <w:t xml:space="preserve"> undertaking WIL</w:t>
      </w:r>
      <w:r w:rsidRPr="002E0458">
        <w:t xml:space="preserve"> depends on many factors including </w:t>
      </w:r>
      <w:r w:rsidR="009243B4" w:rsidRPr="002E0458">
        <w:t xml:space="preserve">if the </w:t>
      </w:r>
      <w:r w:rsidRPr="002E0458">
        <w:t xml:space="preserve">placement </w:t>
      </w:r>
      <w:r w:rsidR="009243B4" w:rsidRPr="002E0458">
        <w:t>i</w:t>
      </w:r>
      <w:r w:rsidRPr="002E0458">
        <w:t>s a requirement for accreditation, a university’s mission and expertise, supply v</w:t>
      </w:r>
      <w:r w:rsidR="00A712F2" w:rsidRPr="002E0458">
        <w:t>ersu</w:t>
      </w:r>
      <w:r w:rsidRPr="002E0458">
        <w:t>s demand</w:t>
      </w:r>
      <w:r w:rsidR="009243B4" w:rsidRPr="002E0458">
        <w:t xml:space="preserve"> of WIL opportunities</w:t>
      </w:r>
      <w:r w:rsidRPr="002E0458">
        <w:t xml:space="preserve"> and </w:t>
      </w:r>
      <w:r w:rsidR="009243B4" w:rsidRPr="002E0458">
        <w:t>if</w:t>
      </w:r>
      <w:r w:rsidRPr="002E0458">
        <w:t xml:space="preserve"> WIL</w:t>
      </w:r>
      <w:r w:rsidR="009243B4" w:rsidRPr="002E0458">
        <w:t xml:space="preserve"> </w:t>
      </w:r>
      <w:r w:rsidR="00B9075A" w:rsidRPr="002E0458">
        <w:t>is</w:t>
      </w:r>
      <w:r w:rsidR="009243B4" w:rsidRPr="002E0458">
        <w:t xml:space="preserve"> </w:t>
      </w:r>
      <w:r w:rsidR="003C3590" w:rsidRPr="002E0458">
        <w:t>typically</w:t>
      </w:r>
      <w:r w:rsidR="009243B4" w:rsidRPr="002E0458">
        <w:t xml:space="preserve"> offered in their course</w:t>
      </w:r>
      <w:r w:rsidRPr="002E0458">
        <w:t>. Increasing the quantity of WIL opportunities may require non-traditional approaches to meet demand</w:t>
      </w:r>
      <w:r w:rsidR="00E14E88" w:rsidRPr="002E0458">
        <w:t xml:space="preserve"> and circumstance</w:t>
      </w:r>
      <w:r w:rsidR="00F03119" w:rsidRPr="002E0458">
        <w:t>s</w:t>
      </w:r>
      <w:r w:rsidR="00E14E88" w:rsidRPr="002E0458">
        <w:t xml:space="preserve"> (including the current COVID-environment)</w:t>
      </w:r>
      <w:r w:rsidRPr="002E0458">
        <w:t>,</w:t>
      </w:r>
      <w:r w:rsidR="00956132" w:rsidRPr="002E0458">
        <w:t xml:space="preserve"> such as competitions, </w:t>
      </w:r>
      <w:r w:rsidR="00EC71EC" w:rsidRPr="002E0458">
        <w:br/>
      </w:r>
      <w:r w:rsidR="00956132" w:rsidRPr="002E0458">
        <w:t>start-ups and entrepreneurship that can translate to “</w:t>
      </w:r>
      <w:proofErr w:type="spellStart"/>
      <w:r w:rsidR="00F03119" w:rsidRPr="002E0458">
        <w:t>i</w:t>
      </w:r>
      <w:r w:rsidR="00335DE1" w:rsidRPr="002E0458">
        <w:t>ntrepreneurship</w:t>
      </w:r>
      <w:proofErr w:type="spellEnd"/>
      <w:r w:rsidR="00956132" w:rsidRPr="002E0458">
        <w:t xml:space="preserve">”, job-share schemes </w:t>
      </w:r>
      <w:r w:rsidR="00EC71EC" w:rsidRPr="002E0458">
        <w:t>among groups of students and co-</w:t>
      </w:r>
      <w:r w:rsidR="00956132" w:rsidRPr="002E0458">
        <w:t>located R&amp;D or project work</w:t>
      </w:r>
      <w:r w:rsidR="00E14E88" w:rsidRPr="002E0458">
        <w:t>.</w:t>
      </w:r>
    </w:p>
    <w:p w14:paraId="2D1BBA28" w14:textId="77777777" w:rsidR="006A290F" w:rsidRPr="002E0458" w:rsidRDefault="006A290F" w:rsidP="00956132">
      <w:pPr>
        <w:spacing w:after="0"/>
      </w:pPr>
    </w:p>
    <w:p w14:paraId="7D2B12D9" w14:textId="4B401ABA" w:rsidR="00B9075A" w:rsidRPr="002E0458" w:rsidRDefault="00204DA3" w:rsidP="00EC5A9B">
      <w:r w:rsidRPr="002E0458">
        <w:t xml:space="preserve">To ensure that the broader ambition of producing more job-ready graduates is met, a definition of WIL in the context of NPILF must be determined. </w:t>
      </w:r>
      <w:r w:rsidR="0074397D" w:rsidRPr="002E0458">
        <w:t>It is important that this is</w:t>
      </w:r>
      <w:r w:rsidR="00A058E4" w:rsidRPr="002E0458">
        <w:t xml:space="preserve"> broad enough to reflect the current reality</w:t>
      </w:r>
      <w:r w:rsidR="00B9075A" w:rsidRPr="002E0458">
        <w:t>,</w:t>
      </w:r>
      <w:r w:rsidR="00A058E4" w:rsidRPr="002E0458">
        <w:t xml:space="preserve"> such as</w:t>
      </w:r>
      <w:r w:rsidR="003C3590" w:rsidRPr="002E0458">
        <w:t>:</w:t>
      </w:r>
      <w:r w:rsidR="00A058E4" w:rsidRPr="002E0458">
        <w:t xml:space="preserve"> </w:t>
      </w:r>
    </w:p>
    <w:p w14:paraId="163762F9" w14:textId="754E38F8" w:rsidR="00B9075A" w:rsidRPr="002E0458" w:rsidRDefault="00B9075A" w:rsidP="00EC5A9B">
      <w:pPr>
        <w:rPr>
          <w:i/>
        </w:rPr>
      </w:pPr>
      <w:r w:rsidRPr="002E0458">
        <w:rPr>
          <w:i/>
        </w:rPr>
        <w:t>W</w:t>
      </w:r>
      <w:r w:rsidR="00A058E4" w:rsidRPr="002E0458">
        <w:rPr>
          <w:i/>
        </w:rPr>
        <w:t>ork integrated learning is purposeful student learning in an academic context</w:t>
      </w:r>
      <w:r w:rsidRPr="002E0458">
        <w:rPr>
          <w:i/>
        </w:rPr>
        <w:t>,</w:t>
      </w:r>
      <w:r w:rsidR="00A058E4" w:rsidRPr="002E0458">
        <w:rPr>
          <w:i/>
        </w:rPr>
        <w:t xml:space="preserve"> which provides preparation for professional roles including authentic industry engagement, supervision and assessment</w:t>
      </w:r>
      <w:r w:rsidR="000C504B" w:rsidRPr="002E0458">
        <w:rPr>
          <w:i/>
        </w:rPr>
        <w:t xml:space="preserve">. </w:t>
      </w:r>
    </w:p>
    <w:p w14:paraId="36AD0603" w14:textId="64B53176" w:rsidR="00204DA3" w:rsidRPr="002E0458" w:rsidRDefault="00204DA3" w:rsidP="00EC5A9B">
      <w:r w:rsidRPr="002E0458">
        <w:t>An agreed definition will provide a basis for which universities can operate, and WIL programs</w:t>
      </w:r>
      <w:r w:rsidR="004D01E6" w:rsidRPr="002E0458">
        <w:t>,</w:t>
      </w:r>
      <w:r w:rsidRPr="002E0458">
        <w:t xml:space="preserve"> that range from traditional to innovative in nature</w:t>
      </w:r>
      <w:r w:rsidR="004D01E6" w:rsidRPr="002E0458">
        <w:t>,</w:t>
      </w:r>
      <w:r w:rsidRPr="002E0458">
        <w:t xml:space="preserve"> can be both implemented and measured. </w:t>
      </w:r>
    </w:p>
    <w:p w14:paraId="14558668" w14:textId="77777777" w:rsidR="00D23B95" w:rsidRPr="002E0458" w:rsidRDefault="00D23B95">
      <w:pPr>
        <w:spacing w:after="160" w:line="259" w:lineRule="auto"/>
        <w:rPr>
          <w:rFonts w:ascii="Calibri" w:eastAsiaTheme="majorEastAsia" w:hAnsi="Calibri" w:cstheme="majorBidi"/>
          <w:b/>
          <w:color w:val="287DB2" w:themeColor="accent6"/>
          <w:sz w:val="30"/>
          <w:szCs w:val="26"/>
        </w:rPr>
      </w:pPr>
      <w:r w:rsidRPr="002E0458">
        <w:br w:type="page"/>
      </w:r>
    </w:p>
    <w:p w14:paraId="26CC80ED" w14:textId="7F81097A" w:rsidR="00204DA3" w:rsidRPr="002E0458" w:rsidRDefault="00204DA3" w:rsidP="00204DA3">
      <w:pPr>
        <w:pStyle w:val="Heading2"/>
      </w:pPr>
      <w:bookmarkStart w:id="10" w:name="_Toc52296780"/>
      <w:r w:rsidRPr="002E0458">
        <w:lastRenderedPageBreak/>
        <w:t>Their study is supported and contextualised by strong industry partnerships</w:t>
      </w:r>
      <w:bookmarkEnd w:id="10"/>
    </w:p>
    <w:p w14:paraId="0E7AC3CA" w14:textId="3A4954AD" w:rsidR="00204DA3" w:rsidRPr="002E0458" w:rsidRDefault="00204DA3" w:rsidP="00EC5A9B">
      <w:r w:rsidRPr="002E0458">
        <w:t>Innovation is an important driver of economic growth, and can be supported by a strong culture of collaboration between universities, industry, businesses (including SMEs), government and the wider commun</w:t>
      </w:r>
      <w:r w:rsidR="003E6335" w:rsidRPr="002E0458">
        <w:t>ity.</w:t>
      </w:r>
      <w:r w:rsidRPr="002E0458">
        <w:rPr>
          <w:vertAlign w:val="superscript"/>
        </w:rPr>
        <w:footnoteReference w:id="13"/>
      </w:r>
      <w:r w:rsidR="003E6335" w:rsidRPr="002E0458">
        <w:t xml:space="preserve"> </w:t>
      </w:r>
      <w:r w:rsidRPr="002E0458">
        <w:t xml:space="preserve">In the context of the Job-ready Graduates </w:t>
      </w:r>
      <w:r w:rsidR="00D0339D" w:rsidRPr="002E0458">
        <w:t>p</w:t>
      </w:r>
      <w:r w:rsidRPr="002E0458">
        <w:t xml:space="preserve">ackage, improving industry-university partnerships and collaboration in teaching and research is critical to ensuring graduates leave the higher education system with the skills and experience needed to succeed in the workforce. </w:t>
      </w:r>
      <w:r w:rsidR="00CC285D" w:rsidRPr="002E0458">
        <w:t>This</w:t>
      </w:r>
      <w:r w:rsidRPr="002E0458">
        <w:t xml:space="preserve"> will require universities and industry to work together more closely than </w:t>
      </w:r>
      <w:r w:rsidR="00D0339D" w:rsidRPr="002E0458">
        <w:t>before</w:t>
      </w:r>
      <w:r w:rsidRPr="002E0458">
        <w:t>, and the incentives in the system need to be realigned to support this outcome. NPILF will incentivise universities to strengthen existing partnerships, create partnerships and expand to new industries. Naturally, the nature of collaboration will vary depending on a university’s mission and strengths, as well as local industry needs.</w:t>
      </w:r>
    </w:p>
    <w:p w14:paraId="16B5DEFF" w14:textId="3E7DFD31" w:rsidR="00A90EB7" w:rsidRPr="002E0458" w:rsidRDefault="00204DA3" w:rsidP="00EC5A9B">
      <w:r w:rsidRPr="002E0458">
        <w:t xml:space="preserve">Research is a central point of collaboration between universities and industry. However, the current state of Australian industry-university research collaboration is mixed, with collaboration appearing relatively strong in some contexts and absent in others. Australian businesses in particular have poorer rates of collaboration with higher education or the publicly-funded research </w:t>
      </w:r>
      <w:r w:rsidR="003E6335" w:rsidRPr="002E0458">
        <w:t>sector, this may be in part due to the Australian business landscape</w:t>
      </w:r>
      <w:r w:rsidR="00A90EB7" w:rsidRPr="002E0458">
        <w:t>,</w:t>
      </w:r>
      <w:r w:rsidR="003E6335" w:rsidRPr="002E0458">
        <w:t xml:space="preserve"> </w:t>
      </w:r>
      <w:r w:rsidR="00A90EB7" w:rsidRPr="002E0458">
        <w:t xml:space="preserve">where ABS data (2019) tells us that </w:t>
      </w:r>
      <w:r w:rsidR="004D01E6" w:rsidRPr="002E0458">
        <w:br/>
      </w:r>
      <w:r w:rsidR="00A90EB7" w:rsidRPr="002E0458">
        <w:t>99.5</w:t>
      </w:r>
      <w:r w:rsidR="007A6047" w:rsidRPr="002E0458">
        <w:t xml:space="preserve"> </w:t>
      </w:r>
      <w:r w:rsidR="00A90EB7" w:rsidRPr="002E0458">
        <w:t xml:space="preserve">per cent of Australian businesses are either small (under 20 employees) or medium (under </w:t>
      </w:r>
      <w:r w:rsidR="00934BB2" w:rsidRPr="002E0458">
        <w:br/>
      </w:r>
      <w:r w:rsidR="00A90EB7" w:rsidRPr="002E0458">
        <w:t>200 employees) enterprises.</w:t>
      </w:r>
      <w:r w:rsidR="00A90EB7" w:rsidRPr="002E0458">
        <w:rPr>
          <w:rStyle w:val="FootnoteReference"/>
          <w:rFonts w:cstheme="minorHAnsi"/>
        </w:rPr>
        <w:footnoteReference w:id="14"/>
      </w:r>
      <w:r w:rsidR="00D70873" w:rsidRPr="002E0458">
        <w:rPr>
          <w:color w:val="B6006A" w:themeColor="accent4"/>
        </w:rPr>
        <w:t xml:space="preserve"> </w:t>
      </w:r>
      <w:r w:rsidR="00D70873" w:rsidRPr="002E0458">
        <w:t>In light of this, it is even more important for universities to work in their jurisdiction as they have the local expertise and influence to be able to respond to the conditions, including the business landscape</w:t>
      </w:r>
      <w:r w:rsidR="00E14E88" w:rsidRPr="002E0458">
        <w:t xml:space="preserve"> of SMEs and their ecosystems and value chains,</w:t>
      </w:r>
      <w:r w:rsidR="00D70873" w:rsidRPr="002E0458">
        <w:t xml:space="preserve"> a</w:t>
      </w:r>
      <w:r w:rsidR="00E14E88" w:rsidRPr="002E0458">
        <w:t>s well as the</w:t>
      </w:r>
      <w:r w:rsidR="00D70873" w:rsidRPr="002E0458">
        <w:t xml:space="preserve"> needs of community.</w:t>
      </w:r>
      <w:r w:rsidR="00D0339D" w:rsidRPr="002E0458">
        <w:t xml:space="preserve"> </w:t>
      </w:r>
    </w:p>
    <w:p w14:paraId="5A38A278" w14:textId="5A41BCDA" w:rsidR="000C504B" w:rsidRPr="002E0458" w:rsidRDefault="000C504B" w:rsidP="00EC5A9B">
      <w:r w:rsidRPr="002E0458">
        <w:t xml:space="preserve">By designating industry </w:t>
      </w:r>
      <w:proofErr w:type="gramStart"/>
      <w:r w:rsidRPr="002E0458">
        <w:t>partnerships</w:t>
      </w:r>
      <w:proofErr w:type="gramEnd"/>
      <w:r w:rsidRPr="002E0458">
        <w:t xml:space="preserve"> a priority under NPILF, it seeks to encourage universit</w:t>
      </w:r>
      <w:r w:rsidR="00D0339D" w:rsidRPr="002E0458">
        <w:t>y-</w:t>
      </w:r>
      <w:r w:rsidR="00697804" w:rsidRPr="002E0458">
        <w:t xml:space="preserve">industry collaboration </w:t>
      </w:r>
      <w:r w:rsidRPr="002E0458">
        <w:t xml:space="preserve">for the purposes of university research, </w:t>
      </w:r>
      <w:r w:rsidR="00957AB6" w:rsidRPr="002E0458">
        <w:t>and allow for</w:t>
      </w:r>
      <w:r w:rsidRPr="002E0458">
        <w:t xml:space="preserve"> co-design </w:t>
      </w:r>
      <w:r w:rsidR="00957AB6" w:rsidRPr="002E0458">
        <w:t xml:space="preserve">of curricula </w:t>
      </w:r>
      <w:r w:rsidRPr="002E0458">
        <w:t xml:space="preserve">and </w:t>
      </w:r>
      <w:r w:rsidR="00957AB6" w:rsidRPr="002E0458">
        <w:t xml:space="preserve">the expansion of </w:t>
      </w:r>
      <w:r w:rsidRPr="002E0458">
        <w:t xml:space="preserve">WIL opportunities. </w:t>
      </w:r>
      <w:r w:rsidR="009D0B03" w:rsidRPr="002E0458">
        <w:t>In this way</w:t>
      </w:r>
      <w:r w:rsidR="003C3590" w:rsidRPr="002E0458">
        <w:t>,</w:t>
      </w:r>
      <w:r w:rsidR="007D0DAF" w:rsidRPr="002E0458">
        <w:t xml:space="preserve"> WIL can </w:t>
      </w:r>
      <w:r w:rsidR="00CC285D" w:rsidRPr="002E0458">
        <w:t xml:space="preserve">also </w:t>
      </w:r>
      <w:r w:rsidR="007D0DAF" w:rsidRPr="002E0458">
        <w:t>be embedded in university</w:t>
      </w:r>
      <w:r w:rsidR="00D0339D" w:rsidRPr="002E0458">
        <w:t>-industry</w:t>
      </w:r>
      <w:r w:rsidR="007D0DAF" w:rsidRPr="002E0458">
        <w:t xml:space="preserve"> research partnerships and supported as part of the ecology of university education.</w:t>
      </w:r>
    </w:p>
    <w:p w14:paraId="49BDBA86" w14:textId="77777777" w:rsidR="0097661F" w:rsidRPr="002E0458" w:rsidRDefault="0097661F" w:rsidP="008F6C35">
      <w:pPr>
        <w:pStyle w:val="Heading3"/>
      </w:pPr>
      <w:r w:rsidRPr="002E0458">
        <w:t>The data is limited – creating a new evidence base</w:t>
      </w:r>
    </w:p>
    <w:p w14:paraId="0EA973DC" w14:textId="31A03D64" w:rsidR="0097661F" w:rsidRPr="002E0458" w:rsidRDefault="0097661F" w:rsidP="00EC5A9B">
      <w:r w:rsidRPr="002E0458">
        <w:t xml:space="preserve">There is scope to have a greater insight into the current status of engagement with industry, particularly as we seek for universities to demonstrate their engagement with priorities as well as innovative models of industry engagement and </w:t>
      </w:r>
      <w:r w:rsidR="00A90EB7" w:rsidRPr="002E0458">
        <w:t>WIL</w:t>
      </w:r>
      <w:r w:rsidRPr="002E0458">
        <w:t xml:space="preserve">. </w:t>
      </w:r>
      <w:r w:rsidR="00F03119" w:rsidRPr="002E0458">
        <w:t xml:space="preserve">There is precedent for this in other countries such as the UK’s Higher Education and Business &amp; Community Interaction Survey. </w:t>
      </w:r>
    </w:p>
    <w:p w14:paraId="15CE75D9" w14:textId="6389F0DC" w:rsidR="0097661F" w:rsidRPr="002E0458" w:rsidRDefault="0097661F" w:rsidP="00EC5A9B">
      <w:r w:rsidRPr="002E0458">
        <w:t xml:space="preserve">While the 2017 </w:t>
      </w:r>
      <w:r w:rsidR="004D01E6" w:rsidRPr="002E0458">
        <w:t>UA</w:t>
      </w:r>
      <w:r w:rsidR="006B3D49" w:rsidRPr="002E0458">
        <w:t xml:space="preserve"> </w:t>
      </w:r>
      <w:r w:rsidRPr="002E0458">
        <w:t xml:space="preserve">report underscored the many and varied WIL activities across Australian universities, data on numbers of domestic </w:t>
      </w:r>
      <w:r w:rsidR="009D0C9A" w:rsidRPr="002E0458">
        <w:t xml:space="preserve">undergraduate </w:t>
      </w:r>
      <w:r w:rsidRPr="002E0458">
        <w:t xml:space="preserve">students undertaking WIL as part of a unit or course of study is not currently collected by the department. Similarly, the department does not </w:t>
      </w:r>
      <w:r w:rsidRPr="002E0458">
        <w:lastRenderedPageBreak/>
        <w:t xml:space="preserve">collect qualitative information regarding student WIL activities, including types being undertaken and student satisfaction. </w:t>
      </w:r>
    </w:p>
    <w:p w14:paraId="2C8BBEC7" w14:textId="2EDAF429" w:rsidR="00FA043D" w:rsidRPr="002E0458" w:rsidRDefault="00FA043D" w:rsidP="00EC5A9B">
      <w:r w:rsidRPr="002E0458">
        <w:t>A positive relationship between university-industry collaboration and productivity has been established in the literature, and subsequently attributed to economic growth. In one study, the productivity gains were identified two to four years after collaboration began, which demonstrates the value of longitudinal data to appreciate the benefits.</w:t>
      </w:r>
    </w:p>
    <w:p w14:paraId="0822B3EF" w14:textId="22812D35" w:rsidR="00204DA3" w:rsidRPr="002E0458" w:rsidRDefault="00204DA3" w:rsidP="00355DB3">
      <w:pPr>
        <w:pStyle w:val="Heading4"/>
        <w:pBdr>
          <w:top w:val="single" w:sz="4" w:space="1" w:color="auto"/>
          <w:left w:val="single" w:sz="4" w:space="4" w:color="auto"/>
          <w:bottom w:val="single" w:sz="4" w:space="1" w:color="auto"/>
          <w:right w:val="single" w:sz="4" w:space="4" w:color="auto"/>
        </w:pBdr>
        <w:shd w:val="clear" w:color="auto" w:fill="FFE5F4"/>
      </w:pPr>
      <w:r w:rsidRPr="002E0458">
        <w:t>HE-BCI Survey</w:t>
      </w:r>
    </w:p>
    <w:p w14:paraId="365D90EC" w14:textId="77777777" w:rsidR="0097661F" w:rsidRPr="002E0458" w:rsidRDefault="005A5ABC" w:rsidP="00355DB3">
      <w:pPr>
        <w:pBdr>
          <w:top w:val="single" w:sz="4" w:space="1" w:color="auto"/>
          <w:left w:val="single" w:sz="4" w:space="4" w:color="auto"/>
          <w:bottom w:val="single" w:sz="4" w:space="1" w:color="auto"/>
          <w:right w:val="single" w:sz="4" w:space="4" w:color="auto"/>
        </w:pBdr>
        <w:shd w:val="clear" w:color="auto" w:fill="FFE5F4"/>
      </w:pPr>
      <w:r w:rsidRPr="002E0458">
        <w:t xml:space="preserve">In the UK, </w:t>
      </w:r>
      <w:r w:rsidR="0097661F" w:rsidRPr="002E0458">
        <w:t xml:space="preserve">the </w:t>
      </w:r>
      <w:r w:rsidR="00AF4428" w:rsidRPr="002E0458">
        <w:t>Higher Education Business &amp; Community Interaction (HE-BCI) survey</w:t>
      </w:r>
      <w:r w:rsidRPr="002E0458">
        <w:t xml:space="preserve"> has been used since 1999</w:t>
      </w:r>
      <w:r w:rsidR="009F70E2" w:rsidRPr="002E0458">
        <w:t xml:space="preserve"> and seeks </w:t>
      </w:r>
      <w:r w:rsidR="0097661F" w:rsidRPr="002E0458">
        <w:t>to capture interactions between research, business and community</w:t>
      </w:r>
      <w:r w:rsidRPr="002E0458">
        <w:t xml:space="preserve"> </w:t>
      </w:r>
      <w:r w:rsidR="00AA4789" w:rsidRPr="002E0458">
        <w:t>–</w:t>
      </w:r>
      <w:r w:rsidRPr="002E0458">
        <w:t xml:space="preserve"> </w:t>
      </w:r>
      <w:r w:rsidR="00AF4428" w:rsidRPr="002E0458">
        <w:t>f</w:t>
      </w:r>
      <w:r w:rsidR="00AA4789" w:rsidRPr="002E0458">
        <w:t xml:space="preserve">rom business and public </w:t>
      </w:r>
      <w:r w:rsidR="00AF4428" w:rsidRPr="002E0458">
        <w:t>sector involvement in research, to consultancy and the commercialisation of intellectual property.</w:t>
      </w:r>
      <w:r w:rsidR="00AA4789" w:rsidRPr="002E0458">
        <w:t xml:space="preserve"> As there is currently no direct data collection for this in Australia, the department may consider establishing a new system of data collection to complement the Government’s focus on job-readiness and industry linkages.</w:t>
      </w:r>
    </w:p>
    <w:p w14:paraId="3E8D70F2" w14:textId="77777777" w:rsidR="00761FC2" w:rsidRPr="002E0458" w:rsidRDefault="00761FC2" w:rsidP="00761FC2">
      <w:pPr>
        <w:pStyle w:val="Heading1"/>
      </w:pPr>
      <w:bookmarkStart w:id="11" w:name="_Toc52296781"/>
      <w:r w:rsidRPr="002E0458">
        <w:t>A specific funding stream to focus on industry linkages and national priorities</w:t>
      </w:r>
      <w:bookmarkEnd w:id="11"/>
    </w:p>
    <w:p w14:paraId="5332CB21" w14:textId="77777777" w:rsidR="00761FC2" w:rsidRPr="002E0458" w:rsidRDefault="00397785" w:rsidP="00761FC2">
      <w:pPr>
        <w:pStyle w:val="Heading2"/>
      </w:pPr>
      <w:bookmarkStart w:id="12" w:name="_Toc52296782"/>
      <w:r w:rsidRPr="002E0458">
        <w:t xml:space="preserve">Introducing the </w:t>
      </w:r>
      <w:r w:rsidR="00761FC2" w:rsidRPr="002E0458">
        <w:t xml:space="preserve">National Priorities and Industry Linkages </w:t>
      </w:r>
      <w:r w:rsidR="009F70E2" w:rsidRPr="002E0458">
        <w:t>Fund</w:t>
      </w:r>
      <w:bookmarkEnd w:id="12"/>
    </w:p>
    <w:p w14:paraId="5EA79B4F" w14:textId="0FDFC60A" w:rsidR="004D01E6" w:rsidRPr="002E0458" w:rsidRDefault="00397785" w:rsidP="00EC5A9B">
      <w:pPr>
        <w:rPr>
          <w:rFonts w:cstheme="minorHAnsi"/>
        </w:rPr>
      </w:pPr>
      <w:r w:rsidRPr="002E0458">
        <w:t xml:space="preserve">Despite a growing expectation for universities to partner with industry and provide </w:t>
      </w:r>
      <w:r w:rsidR="007A6047" w:rsidRPr="002E0458">
        <w:t>WIL</w:t>
      </w:r>
      <w:r w:rsidRPr="002E0458">
        <w:t xml:space="preserve"> opportunities for students, previously this has been without a specific funding stream. </w:t>
      </w:r>
      <w:r w:rsidR="000D24CD" w:rsidRPr="002E0458">
        <w:t xml:space="preserve">The </w:t>
      </w:r>
      <w:r w:rsidR="00934BB2" w:rsidRPr="002E0458">
        <w:br/>
      </w:r>
      <w:r w:rsidR="000D24CD" w:rsidRPr="002E0458">
        <w:t xml:space="preserve">$900 million National Priorities and Industry Linkage Fund </w:t>
      </w:r>
      <w:r w:rsidR="00934BB2" w:rsidRPr="002E0458">
        <w:t xml:space="preserve">(NPILF) </w:t>
      </w:r>
      <w:r w:rsidR="000D24CD" w:rsidRPr="002E0458">
        <w:t>will allocate block grants to universities to support them to engage with industry an</w:t>
      </w:r>
      <w:r w:rsidR="00A712F2" w:rsidRPr="002E0458">
        <w:t xml:space="preserve">d produce job-ready graduates. </w:t>
      </w:r>
      <w:r w:rsidR="000D24CD" w:rsidRPr="002E0458">
        <w:t xml:space="preserve">The NPILF will have a strong focus on </w:t>
      </w:r>
      <w:r w:rsidR="00737389" w:rsidRPr="002E0458">
        <w:t>STEM+</w:t>
      </w:r>
      <w:r w:rsidR="000D24CD" w:rsidRPr="002E0458">
        <w:t xml:space="preserve">, as well as supporting </w:t>
      </w:r>
      <w:r w:rsidR="001345A5" w:rsidRPr="002E0458">
        <w:t>WIL</w:t>
      </w:r>
      <w:r w:rsidR="000D24CD" w:rsidRPr="002E0458">
        <w:t xml:space="preserve"> opportunities.</w:t>
      </w:r>
      <w:r w:rsidR="006337BD" w:rsidRPr="002E0458">
        <w:t xml:space="preserve"> </w:t>
      </w:r>
      <w:r w:rsidR="006C1DED" w:rsidRPr="002E0458">
        <w:t xml:space="preserve">Subject to the passage of legislation, </w:t>
      </w:r>
      <w:r w:rsidR="006C1DED" w:rsidRPr="002E0458">
        <w:rPr>
          <w:rFonts w:cstheme="minorHAnsi"/>
        </w:rPr>
        <w:t xml:space="preserve">the NPILF will operate through Part 2-3 (Other grants) of the </w:t>
      </w:r>
      <w:r w:rsidR="00934BB2" w:rsidRPr="002E0458">
        <w:rPr>
          <w:rFonts w:cstheme="minorHAnsi"/>
        </w:rPr>
        <w:br/>
      </w:r>
      <w:r w:rsidR="006C1DED" w:rsidRPr="002E0458">
        <w:rPr>
          <w:rFonts w:cstheme="minorHAnsi"/>
          <w:i/>
        </w:rPr>
        <w:t xml:space="preserve">Higher Education Support Act 2003 </w:t>
      </w:r>
      <w:r w:rsidR="006C1DED" w:rsidRPr="002E0458">
        <w:rPr>
          <w:rFonts w:cstheme="minorHAnsi"/>
        </w:rPr>
        <w:t xml:space="preserve">(HESA). </w:t>
      </w:r>
    </w:p>
    <w:p w14:paraId="5EFE1C3C" w14:textId="269B66E5" w:rsidR="000D24CD" w:rsidRPr="002E0458" w:rsidRDefault="000D24CD" w:rsidP="00EC5A9B">
      <w:pPr>
        <w:rPr>
          <w:rFonts w:cstheme="minorHAnsi"/>
        </w:rPr>
      </w:pPr>
      <w:r w:rsidRPr="002E0458">
        <w:t xml:space="preserve">Unlike the </w:t>
      </w:r>
      <w:r w:rsidR="002100E4" w:rsidRPr="002E0458">
        <w:t>performance-based funding model</w:t>
      </w:r>
      <w:r w:rsidRPr="002E0458">
        <w:t xml:space="preserve"> which is heavily focused on performance, NPILF seeks to incentivise behaviours and mindsets that are responsive to public funding priorities while supporting new and innovative ways for universities to engage with industry.</w:t>
      </w:r>
      <w:r w:rsidR="00697804" w:rsidRPr="002E0458">
        <w:t xml:space="preserve"> Industry is broadly defined as business, government and </w:t>
      </w:r>
      <w:r w:rsidR="000039D3" w:rsidRPr="002E0458">
        <w:t xml:space="preserve">the </w:t>
      </w:r>
      <w:r w:rsidR="00697804" w:rsidRPr="002E0458">
        <w:t>community sector</w:t>
      </w:r>
      <w:r w:rsidR="00EC71EC" w:rsidRPr="002E0458">
        <w:t>,</w:t>
      </w:r>
      <w:r w:rsidR="00697804" w:rsidRPr="002E0458">
        <w:t xml:space="preserve"> as all play a critical role in our national prosperity and wellbeing.</w:t>
      </w:r>
      <w:r w:rsidRPr="002E0458">
        <w:t xml:space="preserve"> </w:t>
      </w:r>
    </w:p>
    <w:p w14:paraId="558E1146" w14:textId="7B8BDC47" w:rsidR="00761FC2" w:rsidRPr="002E0458" w:rsidRDefault="009C2DB3" w:rsidP="00761FC2">
      <w:pPr>
        <w:pStyle w:val="Heading2"/>
      </w:pPr>
      <w:bookmarkStart w:id="13" w:name="_Toc52296783"/>
      <w:r w:rsidRPr="002E0458">
        <w:t>Priorities</w:t>
      </w:r>
      <w:r w:rsidR="00194FDF" w:rsidRPr="002E0458">
        <w:t xml:space="preserve"> and</w:t>
      </w:r>
      <w:r w:rsidRPr="002E0458">
        <w:t xml:space="preserve"> aspirations </w:t>
      </w:r>
      <w:r w:rsidR="00194FDF" w:rsidRPr="002E0458">
        <w:t>of NPILF</w:t>
      </w:r>
      <w:bookmarkEnd w:id="13"/>
      <w:r w:rsidRPr="002E0458">
        <w:t xml:space="preserve"> </w:t>
      </w:r>
    </w:p>
    <w:p w14:paraId="46397E59" w14:textId="77777777" w:rsidR="00761FC2" w:rsidRPr="002E0458" w:rsidRDefault="00761FC2" w:rsidP="00471DE9">
      <w:pPr>
        <w:spacing w:line="240" w:lineRule="auto"/>
        <w:rPr>
          <w:u w:val="single"/>
        </w:rPr>
      </w:pPr>
      <w:r w:rsidRPr="002E0458">
        <w:t xml:space="preserve">The Government intends the NPILF to broadly support the following </w:t>
      </w:r>
      <w:r w:rsidR="00B419D6" w:rsidRPr="002E0458">
        <w:t xml:space="preserve">three </w:t>
      </w:r>
      <w:r w:rsidRPr="002E0458">
        <w:rPr>
          <w:b/>
        </w:rPr>
        <w:t>priorities</w:t>
      </w:r>
      <w:r w:rsidRPr="002E0458">
        <w:t xml:space="preserve">: </w:t>
      </w:r>
    </w:p>
    <w:p w14:paraId="30FE97F5" w14:textId="0A31B681" w:rsidR="005B38BC" w:rsidRPr="002E0458" w:rsidRDefault="00EB4422" w:rsidP="002F1714">
      <w:pPr>
        <w:pStyle w:val="Heading3"/>
      </w:pPr>
      <w:r w:rsidRPr="002E0458">
        <w:t xml:space="preserve">1. </w:t>
      </w:r>
      <w:r w:rsidR="005B38BC" w:rsidRPr="002E0458">
        <w:t xml:space="preserve">Increase the number of internships, practicums and other innovative approaches to </w:t>
      </w:r>
      <w:r w:rsidR="007A6047" w:rsidRPr="002E0458">
        <w:t>WIL</w:t>
      </w:r>
      <w:r w:rsidR="00FC33C5" w:rsidRPr="002E0458">
        <w:t xml:space="preserve"> </w:t>
      </w:r>
    </w:p>
    <w:p w14:paraId="32184F26" w14:textId="7466F320" w:rsidR="005B38BC" w:rsidRPr="002E0458" w:rsidRDefault="00FC33C5" w:rsidP="0057637C">
      <w:r w:rsidRPr="002E0458">
        <w:t xml:space="preserve">In supporting priority one, there is a need to ensure quality in WIL experiences, encapsulate the range and emerging forms of WIL (particularly those developed in light of COVID-19), seek to enhance equity and access for all student to WIL experiences, as well as seek to establish a </w:t>
      </w:r>
      <w:r w:rsidRPr="002E0458">
        <w:lastRenderedPageBreak/>
        <w:t xml:space="preserve">nationally-led understanding of number of students undertaking a WIL experience. </w:t>
      </w:r>
      <w:r w:rsidR="005B38BC" w:rsidRPr="002E0458">
        <w:t xml:space="preserve"> There is an opportunity to develop more robust measures of </w:t>
      </w:r>
      <w:r w:rsidRPr="002E0458">
        <w:t xml:space="preserve">impact on WIL in the Australian higher education sector. </w:t>
      </w:r>
      <w:r w:rsidR="005C5117" w:rsidRPr="002E0458">
        <w:t>Care is required in this area to prevent use of simplistic metrics which reinforce outdated WIL impact modes such as number of students with internship experiences.</w:t>
      </w:r>
      <w:r w:rsidR="00F72266" w:rsidRPr="002E0458">
        <w:t xml:space="preserve"> Focus needs to include inputs to student quality learning experiences and not only outputs.</w:t>
      </w:r>
      <w:r w:rsidR="005C5117" w:rsidRPr="002E0458">
        <w:t xml:space="preserve"> </w:t>
      </w:r>
      <w:r w:rsidR="005B38BC" w:rsidRPr="002E0458">
        <w:t>Understandings of</w:t>
      </w:r>
      <w:r w:rsidRPr="002E0458">
        <w:t xml:space="preserve"> </w:t>
      </w:r>
      <w:r w:rsidRPr="002E0458">
        <w:rPr>
          <w:b/>
        </w:rPr>
        <w:t>priority 1</w:t>
      </w:r>
      <w:r w:rsidR="005B38BC" w:rsidRPr="002E0458">
        <w:t xml:space="preserve"> need to</w:t>
      </w:r>
      <w:r w:rsidR="001345A5" w:rsidRPr="002E0458">
        <w:t>:</w:t>
      </w:r>
    </w:p>
    <w:p w14:paraId="69A120AC" w14:textId="39D557D7" w:rsidR="005B38BC" w:rsidRPr="002E0458" w:rsidRDefault="007D607B" w:rsidP="00DD3AD9">
      <w:pPr>
        <w:pStyle w:val="ListBullet"/>
        <w:spacing w:line="276" w:lineRule="auto"/>
        <w:ind w:left="709"/>
      </w:pPr>
      <w:r w:rsidRPr="002E0458">
        <w:t>m</w:t>
      </w:r>
      <w:r w:rsidR="005B38BC" w:rsidRPr="002E0458">
        <w:t xml:space="preserve">easure the number of </w:t>
      </w:r>
      <w:r w:rsidR="007B504B" w:rsidRPr="002E0458">
        <w:t xml:space="preserve">students </w:t>
      </w:r>
      <w:r w:rsidR="005B38BC" w:rsidRPr="002E0458">
        <w:t>with a WIL experience, and/or</w:t>
      </w:r>
    </w:p>
    <w:p w14:paraId="656F4557" w14:textId="48979425" w:rsidR="005B38BC" w:rsidRPr="002E0458" w:rsidRDefault="007D607B" w:rsidP="00DD3AD9">
      <w:pPr>
        <w:pStyle w:val="ListBullet"/>
        <w:spacing w:line="276" w:lineRule="auto"/>
        <w:ind w:left="709"/>
      </w:pPr>
      <w:r w:rsidRPr="002E0458">
        <w:t>r</w:t>
      </w:r>
      <w:r w:rsidR="005B38BC" w:rsidRPr="002E0458">
        <w:t>eflect the amount</w:t>
      </w:r>
      <w:r w:rsidR="007D0DAF" w:rsidRPr="002E0458">
        <w:t xml:space="preserve"> and quality</w:t>
      </w:r>
      <w:r w:rsidR="005B38BC" w:rsidRPr="002E0458">
        <w:t xml:space="preserve"> of industry engagement, and/or</w:t>
      </w:r>
    </w:p>
    <w:p w14:paraId="4569DF71" w14:textId="7A1B1C64" w:rsidR="005C5117" w:rsidRPr="002E0458" w:rsidRDefault="007D607B" w:rsidP="00DD3AD9">
      <w:pPr>
        <w:pStyle w:val="ListBullet"/>
        <w:spacing w:line="276" w:lineRule="auto"/>
        <w:ind w:left="709"/>
      </w:pPr>
      <w:r w:rsidRPr="002E0458">
        <w:t>s</w:t>
      </w:r>
      <w:r w:rsidR="005C5117" w:rsidRPr="002E0458">
        <w:t>trategies to enable access and equity, and/or</w:t>
      </w:r>
    </w:p>
    <w:p w14:paraId="78C41928" w14:textId="600AF95C" w:rsidR="005B38BC" w:rsidRPr="002E0458" w:rsidRDefault="007D607B" w:rsidP="00DD3AD9">
      <w:pPr>
        <w:pStyle w:val="ListBullet"/>
        <w:spacing w:line="276" w:lineRule="auto"/>
        <w:ind w:left="709"/>
      </w:pPr>
      <w:r w:rsidRPr="002E0458">
        <w:t>r</w:t>
      </w:r>
      <w:r w:rsidR="005B38BC" w:rsidRPr="002E0458">
        <w:t>eflect student</w:t>
      </w:r>
      <w:r w:rsidRPr="002E0458">
        <w:t xml:space="preserve"> and </w:t>
      </w:r>
      <w:r w:rsidR="005B38BC" w:rsidRPr="002E0458">
        <w:t xml:space="preserve">industry </w:t>
      </w:r>
      <w:r w:rsidR="00741844" w:rsidRPr="002E0458">
        <w:t>sentiment</w:t>
      </w:r>
      <w:r w:rsidR="005B38BC" w:rsidRPr="002E0458">
        <w:t>.</w:t>
      </w:r>
    </w:p>
    <w:p w14:paraId="16060BB8" w14:textId="14AD6315" w:rsidR="005B38BC" w:rsidRPr="002E0458" w:rsidRDefault="00EB4422" w:rsidP="002F1714">
      <w:pPr>
        <w:pStyle w:val="Heading3"/>
      </w:pPr>
      <w:r w:rsidRPr="002E0458">
        <w:t xml:space="preserve">2. </w:t>
      </w:r>
      <w:r w:rsidR="005B38BC" w:rsidRPr="002E0458">
        <w:t xml:space="preserve">Increase the number of STEM-skilled graduates and </w:t>
      </w:r>
      <w:r w:rsidR="007D607B" w:rsidRPr="002E0458">
        <w:t xml:space="preserve">improve </w:t>
      </w:r>
      <w:r w:rsidR="005B38BC" w:rsidRPr="002E0458">
        <w:t>their employment outcomes</w:t>
      </w:r>
      <w:r w:rsidR="00FC33C5" w:rsidRPr="002E0458">
        <w:t xml:space="preserve"> </w:t>
      </w:r>
    </w:p>
    <w:p w14:paraId="00FC52D0" w14:textId="768DB1F3" w:rsidR="005B38BC" w:rsidRPr="002E0458" w:rsidRDefault="005B38BC" w:rsidP="0057637C">
      <w:r w:rsidRPr="002E0458">
        <w:t>The aspiration of this section i</w:t>
      </w:r>
      <w:r w:rsidR="005C5117" w:rsidRPr="002E0458">
        <w:t>s</w:t>
      </w:r>
      <w:r w:rsidRPr="002E0458">
        <w:t xml:space="preserve"> to both increase the number and employability of </w:t>
      </w:r>
      <w:r w:rsidR="00737389" w:rsidRPr="002E0458">
        <w:t>STEM+</w:t>
      </w:r>
      <w:r w:rsidRPr="002E0458">
        <w:t xml:space="preserve"> graduates as well as incorporating as</w:t>
      </w:r>
      <w:r w:rsidR="00EC71EC" w:rsidRPr="002E0458">
        <w:t xml:space="preserve"> appropriate, core STEM-</w:t>
      </w:r>
      <w:r w:rsidRPr="002E0458">
        <w:t xml:space="preserve">skills which are increasingly required in all professions and across the workforce. </w:t>
      </w:r>
      <w:r w:rsidR="00FC33C5" w:rsidRPr="002E0458">
        <w:t xml:space="preserve">Understandings of </w:t>
      </w:r>
      <w:r w:rsidR="00FC33C5" w:rsidRPr="002E0458">
        <w:rPr>
          <w:b/>
        </w:rPr>
        <w:t>priority 2</w:t>
      </w:r>
      <w:r w:rsidR="00FC33C5" w:rsidRPr="002E0458">
        <w:t xml:space="preserve"> need to</w:t>
      </w:r>
      <w:r w:rsidR="001345A5" w:rsidRPr="002E0458">
        <w:t>:</w:t>
      </w:r>
    </w:p>
    <w:p w14:paraId="6B01952E" w14:textId="38E30E76" w:rsidR="005B38BC" w:rsidRPr="002E0458" w:rsidRDefault="005B38BC" w:rsidP="00DD3AD9">
      <w:pPr>
        <w:pStyle w:val="ListParagraph"/>
        <w:numPr>
          <w:ilvl w:val="0"/>
          <w:numId w:val="8"/>
        </w:numPr>
        <w:spacing w:line="276" w:lineRule="auto"/>
        <w:ind w:left="714" w:hanging="357"/>
      </w:pPr>
      <w:r w:rsidRPr="002E0458">
        <w:t>reflect employability</w:t>
      </w:r>
      <w:r w:rsidR="007D607B" w:rsidRPr="002E0458">
        <w:t>,</w:t>
      </w:r>
    </w:p>
    <w:p w14:paraId="36C4F894" w14:textId="7F7F9C12" w:rsidR="005B38BC" w:rsidRPr="002E0458" w:rsidRDefault="005B38BC" w:rsidP="00DD3AD9">
      <w:pPr>
        <w:pStyle w:val="ListParagraph"/>
        <w:numPr>
          <w:ilvl w:val="0"/>
          <w:numId w:val="8"/>
        </w:numPr>
        <w:spacing w:line="276" w:lineRule="auto"/>
        <w:ind w:left="714" w:hanging="357"/>
      </w:pPr>
      <w:r w:rsidRPr="002E0458">
        <w:t>reflect integration of STEM-skills into courses of study</w:t>
      </w:r>
      <w:r w:rsidR="007D607B" w:rsidRPr="002E0458">
        <w:t>.</w:t>
      </w:r>
    </w:p>
    <w:p w14:paraId="3D811650" w14:textId="7B163649" w:rsidR="005B38BC" w:rsidRPr="002E0458" w:rsidRDefault="00EB4422" w:rsidP="002F1714">
      <w:pPr>
        <w:pStyle w:val="Heading3"/>
      </w:pPr>
      <w:r w:rsidRPr="002E0458">
        <w:t xml:space="preserve">3. </w:t>
      </w:r>
      <w:r w:rsidR="003A0B24" w:rsidRPr="002E0458">
        <w:t xml:space="preserve">Supporting </w:t>
      </w:r>
      <w:r w:rsidR="005B38BC" w:rsidRPr="002E0458">
        <w:t>universities for the development of partnerships and collaborations with industry</w:t>
      </w:r>
      <w:r w:rsidR="00FC33C5" w:rsidRPr="002E0458">
        <w:t xml:space="preserve"> </w:t>
      </w:r>
    </w:p>
    <w:p w14:paraId="1C41DF05" w14:textId="56622CDA" w:rsidR="00FC33C5" w:rsidRPr="002E0458" w:rsidRDefault="00A13985" w:rsidP="0057637C">
      <w:r w:rsidRPr="002E0458">
        <w:t xml:space="preserve">One of the </w:t>
      </w:r>
      <w:r w:rsidR="00FD33FC" w:rsidRPr="002E0458">
        <w:t>purposes</w:t>
      </w:r>
      <w:r w:rsidRPr="002E0458">
        <w:t xml:space="preserve"> of university-industry partnerships is to drive new ways of practi</w:t>
      </w:r>
      <w:r w:rsidR="007D607B" w:rsidRPr="002E0458">
        <w:t>c</w:t>
      </w:r>
      <w:r w:rsidRPr="002E0458">
        <w:t xml:space="preserve">ing rather than perpetuating </w:t>
      </w:r>
      <w:r w:rsidR="00F72266" w:rsidRPr="002E0458">
        <w:t>outdated</w:t>
      </w:r>
      <w:r w:rsidRPr="002E0458">
        <w:t xml:space="preserve"> practices. </w:t>
      </w:r>
      <w:r w:rsidR="005B38BC" w:rsidRPr="002E0458">
        <w:t xml:space="preserve">There are </w:t>
      </w:r>
      <w:proofErr w:type="gramStart"/>
      <w:r w:rsidR="005B38BC" w:rsidRPr="002E0458">
        <w:t>a number of</w:t>
      </w:r>
      <w:proofErr w:type="gramEnd"/>
      <w:r w:rsidR="005B38BC" w:rsidRPr="002E0458">
        <w:t xml:space="preserve"> examples of universities engaging with the broad suite of industry linkages including WIL, broader partnerships, as well as innovations and new ventures that demonstrate a level of risk-taking.</w:t>
      </w:r>
      <w:r w:rsidR="00FC33C5" w:rsidRPr="002E0458">
        <w:t xml:space="preserve"> Care is required in this area to prevent use of simplistic metrics which reinforce outdated engagement modes such as number of commercialisations.</w:t>
      </w:r>
      <w:r w:rsidR="001345A5" w:rsidRPr="002E0458">
        <w:t xml:space="preserve"> </w:t>
      </w:r>
      <w:r w:rsidR="00FC33C5" w:rsidRPr="002E0458">
        <w:t xml:space="preserve">Understandings of </w:t>
      </w:r>
      <w:r w:rsidR="00FC33C5" w:rsidRPr="002E0458">
        <w:rPr>
          <w:b/>
        </w:rPr>
        <w:t>priority 3</w:t>
      </w:r>
      <w:r w:rsidR="00FC33C5" w:rsidRPr="002E0458">
        <w:t xml:space="preserve"> need to: </w:t>
      </w:r>
    </w:p>
    <w:p w14:paraId="26158222" w14:textId="0F5F9E42" w:rsidR="00FC33C5" w:rsidRPr="002E0458" w:rsidRDefault="007D607B" w:rsidP="00A132F9">
      <w:pPr>
        <w:pStyle w:val="ListParagraph"/>
        <w:numPr>
          <w:ilvl w:val="0"/>
          <w:numId w:val="8"/>
        </w:numPr>
        <w:spacing w:line="276" w:lineRule="auto"/>
      </w:pPr>
      <w:r w:rsidRPr="002E0458">
        <w:t>m</w:t>
      </w:r>
      <w:r w:rsidR="00FC33C5" w:rsidRPr="002E0458">
        <w:t>easure the role of industry in collaborating on research</w:t>
      </w:r>
      <w:r w:rsidRPr="002E0458">
        <w:t>,</w:t>
      </w:r>
      <w:r w:rsidR="00FC33C5" w:rsidRPr="002E0458">
        <w:t xml:space="preserve"> </w:t>
      </w:r>
    </w:p>
    <w:p w14:paraId="222E187D" w14:textId="62471581" w:rsidR="00FC33C5" w:rsidRPr="002E0458" w:rsidRDefault="007D607B" w:rsidP="00A132F9">
      <w:pPr>
        <w:pStyle w:val="ListParagraph"/>
        <w:numPr>
          <w:ilvl w:val="0"/>
          <w:numId w:val="8"/>
        </w:numPr>
        <w:spacing w:line="276" w:lineRule="auto"/>
      </w:pPr>
      <w:r w:rsidRPr="002E0458">
        <w:t>r</w:t>
      </w:r>
      <w:r w:rsidR="00FC33C5" w:rsidRPr="002E0458">
        <w:t>eflect the importance</w:t>
      </w:r>
      <w:r w:rsidR="001E6100" w:rsidRPr="002E0458">
        <w:t>, breadth and depth</w:t>
      </w:r>
      <w:r w:rsidR="00934BB2" w:rsidRPr="002E0458">
        <w:t xml:space="preserve"> </w:t>
      </w:r>
      <w:r w:rsidR="00FC33C5" w:rsidRPr="002E0458">
        <w:t>of industry partnerships</w:t>
      </w:r>
      <w:r w:rsidRPr="002E0458">
        <w:t>,</w:t>
      </w:r>
    </w:p>
    <w:p w14:paraId="1088AA9B" w14:textId="5C10D34C" w:rsidR="00A13985" w:rsidRPr="002E0458" w:rsidRDefault="007D607B" w:rsidP="00A132F9">
      <w:pPr>
        <w:pStyle w:val="ListParagraph"/>
        <w:numPr>
          <w:ilvl w:val="0"/>
          <w:numId w:val="8"/>
        </w:numPr>
        <w:spacing w:line="276" w:lineRule="auto"/>
      </w:pPr>
      <w:r w:rsidRPr="002E0458">
        <w:t>r</w:t>
      </w:r>
      <w:r w:rsidR="00A13985" w:rsidRPr="002E0458">
        <w:t>eflect the duty of care towards workplace supervisors</w:t>
      </w:r>
      <w:r w:rsidRPr="002E0458">
        <w:t>,</w:t>
      </w:r>
    </w:p>
    <w:p w14:paraId="5D6E277C" w14:textId="0C86F7DC" w:rsidR="005B38BC" w:rsidRPr="002E0458" w:rsidRDefault="007D607B" w:rsidP="00A132F9">
      <w:pPr>
        <w:pStyle w:val="ListParagraph"/>
        <w:numPr>
          <w:ilvl w:val="0"/>
          <w:numId w:val="8"/>
        </w:numPr>
        <w:spacing w:line="276" w:lineRule="auto"/>
      </w:pPr>
      <w:r w:rsidRPr="002E0458">
        <w:t>r</w:t>
      </w:r>
      <w:r w:rsidR="00FC33C5" w:rsidRPr="002E0458">
        <w:t>eflect the importance of curriculum co-design</w:t>
      </w:r>
      <w:r w:rsidRPr="002E0458">
        <w:t>.</w:t>
      </w:r>
    </w:p>
    <w:p w14:paraId="65EDA31A" w14:textId="77777777" w:rsidR="00761FC2" w:rsidRPr="002E0458" w:rsidRDefault="00761FC2" w:rsidP="0057637C">
      <w:pPr>
        <w:rPr>
          <w:u w:val="single"/>
        </w:rPr>
      </w:pPr>
      <w:r w:rsidRPr="002E0458">
        <w:t xml:space="preserve">The </w:t>
      </w:r>
      <w:r w:rsidRPr="002E0458">
        <w:rPr>
          <w:b/>
        </w:rPr>
        <w:t>aspiration</w:t>
      </w:r>
      <w:r w:rsidRPr="002E0458">
        <w:t xml:space="preserve"> of the </w:t>
      </w:r>
      <w:r w:rsidR="004D01E6" w:rsidRPr="002E0458">
        <w:t>NPILF</w:t>
      </w:r>
      <w:r w:rsidRPr="002E0458">
        <w:t xml:space="preserve"> is to:</w:t>
      </w:r>
    </w:p>
    <w:p w14:paraId="6896FB3A" w14:textId="30DF5FF4" w:rsidR="00761FC2" w:rsidRPr="002E0458" w:rsidRDefault="007D607B" w:rsidP="0057637C">
      <w:pPr>
        <w:pStyle w:val="ListParagraph"/>
        <w:numPr>
          <w:ilvl w:val="0"/>
          <w:numId w:val="6"/>
        </w:numPr>
        <w:spacing w:after="0" w:line="276" w:lineRule="auto"/>
        <w:contextualSpacing w:val="0"/>
        <w:rPr>
          <w:u w:val="single"/>
        </w:rPr>
      </w:pPr>
      <w:r w:rsidRPr="002E0458">
        <w:t>e</w:t>
      </w:r>
      <w:r w:rsidR="00761FC2" w:rsidRPr="002E0458">
        <w:t xml:space="preserve">nsure Australia has the skills and capacity to meet </w:t>
      </w:r>
      <w:r w:rsidR="00A13985" w:rsidRPr="002E0458">
        <w:t xml:space="preserve">tomorrow’s </w:t>
      </w:r>
      <w:r w:rsidR="00761FC2" w:rsidRPr="002E0458">
        <w:t xml:space="preserve">workforce needs and drive future economic prosperity for the nation; </w:t>
      </w:r>
    </w:p>
    <w:p w14:paraId="0330D7A9" w14:textId="0470F3DA" w:rsidR="00761FC2" w:rsidRPr="002E0458" w:rsidRDefault="007D607B" w:rsidP="0057637C">
      <w:pPr>
        <w:pStyle w:val="ListParagraph"/>
        <w:numPr>
          <w:ilvl w:val="0"/>
          <w:numId w:val="6"/>
        </w:numPr>
        <w:spacing w:after="0" w:line="276" w:lineRule="auto"/>
        <w:contextualSpacing w:val="0"/>
        <w:rPr>
          <w:u w:val="single"/>
        </w:rPr>
      </w:pPr>
      <w:r w:rsidRPr="002E0458">
        <w:t>s</w:t>
      </w:r>
      <w:r w:rsidR="00761FC2" w:rsidRPr="002E0458">
        <w:t>upport universities as they respond to this evolution by introducing high quality, diverse and innovative approaches;</w:t>
      </w:r>
    </w:p>
    <w:p w14:paraId="03CE1DFA" w14:textId="7C47AE5C" w:rsidR="00761FC2" w:rsidRPr="002E0458" w:rsidRDefault="007D607B" w:rsidP="0057637C">
      <w:pPr>
        <w:pStyle w:val="ListParagraph"/>
        <w:numPr>
          <w:ilvl w:val="0"/>
          <w:numId w:val="6"/>
        </w:numPr>
        <w:spacing w:after="0" w:line="276" w:lineRule="auto"/>
        <w:contextualSpacing w:val="0"/>
        <w:rPr>
          <w:u w:val="single"/>
        </w:rPr>
      </w:pPr>
      <w:r w:rsidRPr="002E0458">
        <w:t>s</w:t>
      </w:r>
      <w:r w:rsidR="00761FC2" w:rsidRPr="002E0458">
        <w:t>upport connectivity between universities and industry as the post-secondary education system evolves.</w:t>
      </w:r>
    </w:p>
    <w:p w14:paraId="1560C06A" w14:textId="77777777" w:rsidR="002F044A" w:rsidRPr="000A1586" w:rsidRDefault="002F044A" w:rsidP="0057637C">
      <w:pPr>
        <w:spacing w:after="0"/>
        <w:ind w:left="360"/>
        <w:rPr>
          <w:u w:val="single"/>
        </w:rPr>
      </w:pPr>
    </w:p>
    <w:p w14:paraId="3BC25CA5" w14:textId="5C247380" w:rsidR="00761FC2" w:rsidRDefault="00761FC2" w:rsidP="0057637C">
      <w:r>
        <w:t xml:space="preserve">In achieving the above, it is important to consider the increasing importance of lifelong learning, which will provide new learning and skills for students in </w:t>
      </w:r>
      <w:r w:rsidR="00AD2BD4">
        <w:t xml:space="preserve">tomorrow’s </w:t>
      </w:r>
      <w:r>
        <w:t xml:space="preserve">workforce. </w:t>
      </w:r>
    </w:p>
    <w:p w14:paraId="0439096F" w14:textId="77777777" w:rsidR="003C3590" w:rsidRPr="002E0458" w:rsidRDefault="003C3590" w:rsidP="003C3590">
      <w:pPr>
        <w:pStyle w:val="Heading3"/>
      </w:pPr>
      <w:r w:rsidRPr="005C483D">
        <w:t xml:space="preserve">Underpinning </w:t>
      </w:r>
      <w:r w:rsidRPr="002E0458">
        <w:t>principles</w:t>
      </w:r>
    </w:p>
    <w:p w14:paraId="15B0E563" w14:textId="13543CCC" w:rsidR="008B4D81" w:rsidRPr="002E0458" w:rsidRDefault="003C3590" w:rsidP="002F1714">
      <w:pPr>
        <w:keepNext/>
        <w:spacing w:after="160" w:line="259" w:lineRule="auto"/>
      </w:pPr>
      <w:r w:rsidRPr="002E0458">
        <w:t xml:space="preserve">The NPILF working group identified the importance of principles to guide the framework of the fund. The five </w:t>
      </w:r>
      <w:r w:rsidR="00EC71EC" w:rsidRPr="002E0458">
        <w:t>underpinning</w:t>
      </w:r>
      <w:r w:rsidRPr="002E0458">
        <w:t xml:space="preserve"> principles outlined in </w:t>
      </w:r>
      <w:r w:rsidR="00620389" w:rsidRPr="002E0458">
        <w:rPr>
          <w:b/>
        </w:rPr>
        <w:t>Figure</w:t>
      </w:r>
      <w:r w:rsidRPr="002E0458">
        <w:rPr>
          <w:b/>
        </w:rPr>
        <w:t xml:space="preserve"> 1 </w:t>
      </w:r>
      <w:r w:rsidRPr="002E0458">
        <w:t>offer a framework against which the fund will be designed; appropriate indicators will be determined; and how performance will be measured. The principles will en</w:t>
      </w:r>
      <w:r w:rsidR="0057637C" w:rsidRPr="002E0458">
        <w:t>sure the aspiration of the fund i</w:t>
      </w:r>
      <w:r w:rsidRPr="002E0458">
        <w:t xml:space="preserve">s met. </w:t>
      </w:r>
    </w:p>
    <w:p w14:paraId="07F5D3C2" w14:textId="0D1A7222" w:rsidR="008B4D81" w:rsidRDefault="008B4D81" w:rsidP="000E7754">
      <w:pPr>
        <w:pStyle w:val="Caption"/>
        <w:keepNext/>
      </w:pPr>
      <w:r w:rsidRPr="002E0458">
        <w:t xml:space="preserve">Figure </w:t>
      </w:r>
      <w:fldSimple w:instr=" SEQ Figure \* ARABIC ">
        <w:r w:rsidR="006724E2">
          <w:rPr>
            <w:noProof/>
          </w:rPr>
          <w:t>1</w:t>
        </w:r>
      </w:fldSimple>
      <w:r w:rsidRPr="002E0458">
        <w:t xml:space="preserve"> NPILF </w:t>
      </w:r>
      <w:r w:rsidR="00EC71EC" w:rsidRPr="002E0458">
        <w:t>principles</w:t>
      </w:r>
    </w:p>
    <w:p w14:paraId="1B59FECD" w14:textId="4D75096B" w:rsidR="003167B2" w:rsidRDefault="008B4D81" w:rsidP="000E7754">
      <w:pPr>
        <w:keepNext/>
        <w:spacing w:after="160" w:line="259" w:lineRule="auto"/>
      </w:pPr>
      <w:r>
        <w:rPr>
          <w:noProof/>
          <w:lang w:eastAsia="en-AU"/>
        </w:rPr>
        <w:drawing>
          <wp:inline distT="0" distB="0" distL="0" distR="0" wp14:anchorId="062B9BE0" wp14:editId="577B1B76">
            <wp:extent cx="5731510" cy="2430145"/>
            <wp:effectExtent l="0" t="0" r="2540" b="8255"/>
            <wp:docPr id="39" name="Picture 39" descr="Figure 1 NPILF values. &#10;&#10;The five NPILF values are one, improves uni-industry engagement to enhance student employability, two, promotes collaboration, three, flexibility across the diversity of universities, four, transparency, and five, activities can be evalu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430145"/>
                    </a:xfrm>
                    <a:prstGeom prst="rect">
                      <a:avLst/>
                    </a:prstGeom>
                  </pic:spPr>
                </pic:pic>
              </a:graphicData>
            </a:graphic>
          </wp:inline>
        </w:drawing>
      </w:r>
      <w:r w:rsidR="003C3590">
        <w:rPr>
          <w:b/>
          <w:highlight w:val="yellow"/>
        </w:rPr>
        <w:br/>
      </w:r>
    </w:p>
    <w:p w14:paraId="2CFBA3A0" w14:textId="77777777" w:rsidR="00C55280" w:rsidRDefault="00C55280">
      <w:pPr>
        <w:spacing w:after="160" w:line="259" w:lineRule="auto"/>
      </w:pPr>
      <w:r>
        <w:br w:type="page"/>
      </w:r>
    </w:p>
    <w:p w14:paraId="6690C607" w14:textId="2814472F" w:rsidR="003C3590" w:rsidRDefault="003C3590" w:rsidP="003C3590">
      <w:pPr>
        <w:spacing w:after="160" w:line="259" w:lineRule="auto"/>
      </w:pPr>
      <w:r>
        <w:lastRenderedPageBreak/>
        <w:t>In addition, the diversity across the three tiers of indicators has resulted in specific values identified for each:</w:t>
      </w:r>
    </w:p>
    <w:p w14:paraId="1ED20DE2" w14:textId="3A5B210A" w:rsidR="0076299C" w:rsidRPr="002F1714" w:rsidRDefault="0076299C" w:rsidP="002F1714">
      <w:pPr>
        <w:rPr>
          <w:b/>
        </w:rPr>
      </w:pPr>
      <w:r w:rsidRPr="004636E0">
        <w:rPr>
          <w:b/>
        </w:rPr>
        <w:t>T</w:t>
      </w:r>
      <w:r w:rsidR="00D23B95">
        <w:rPr>
          <w:b/>
        </w:rPr>
        <w:t>able 3</w:t>
      </w:r>
      <w:r>
        <w:rPr>
          <w:b/>
        </w:rPr>
        <w:t>: Specific principles to each tier</w:t>
      </w:r>
      <w:r w:rsidRPr="004636E0">
        <w:rPr>
          <w:b/>
        </w:rPr>
        <w:t xml:space="preserve"> </w:t>
      </w:r>
    </w:p>
    <w:tbl>
      <w:tblPr>
        <w:tblStyle w:val="TableGrid"/>
        <w:tblW w:w="8931" w:type="dxa"/>
        <w:tblInd w:w="-5" w:type="dxa"/>
        <w:tblLook w:val="04A0" w:firstRow="1" w:lastRow="0" w:firstColumn="1" w:lastColumn="0" w:noHBand="0" w:noVBand="1"/>
        <w:tblCaption w:val="Table 2 specific principles to each tier"/>
        <w:tblDescription w:val="There are three principles under metrics, SMART, simplicity and comparability. SMART refers to be specific, measurable, actionable, reliable and time-bound. Simplicity refers to accessible, easily reported, not resource intensive to set up and maintain. Comparability refers to being able ot internally demonstrate improvement or change, externally to build a data base across the sector, not to be used in an unintended way to game the system. &#10;&#10;There are three principles under demonstrators - longevity, impact and rigorous accountability at institutional level. Longevity refers to having long-term impact, capacity to endure external pressures, able to be embedded in practices, therefore not a one-off exemplar. Impact refers to positively affecting students, evidence of instituional behaviour change. Rigorous accountability at institutional level refers to not needing to be comparable across the sector, but being sufficiently robus to enable identification of success. &#10;&#10;&#10;There are three principles under innovations - revolutionary, unique and entrepreneurship. Revolutionary refers to being large scale, or high value (even if small scale), addressing a hard or wicked problem, entrepreneurial and failure tolerant. Unique refers to taking into account and adding value to local circumstances. Entrepreneurship refers to being innovative and learning from mistakes, tolerant of risks and plans for the future. &#10;"/>
      </w:tblPr>
      <w:tblGrid>
        <w:gridCol w:w="2977"/>
        <w:gridCol w:w="2977"/>
        <w:gridCol w:w="2977"/>
      </w:tblGrid>
      <w:tr w:rsidR="003C3590" w:rsidRPr="007F1CA7" w14:paraId="3182025F" w14:textId="77777777" w:rsidTr="002B1869">
        <w:trPr>
          <w:trHeight w:val="421"/>
          <w:tblHeader/>
        </w:trPr>
        <w:tc>
          <w:tcPr>
            <w:tcW w:w="2977" w:type="dxa"/>
            <w:shd w:val="clear" w:color="auto" w:fill="FFBDE3" w:themeFill="accent4" w:themeFillTint="33"/>
            <w:vAlign w:val="center"/>
          </w:tcPr>
          <w:p w14:paraId="653383B0" w14:textId="6662723D" w:rsidR="003C3590" w:rsidRPr="007F1CA7" w:rsidRDefault="003C3590" w:rsidP="002B1869">
            <w:pPr>
              <w:pStyle w:val="ListParagraph"/>
              <w:spacing w:after="0" w:line="240" w:lineRule="auto"/>
              <w:ind w:left="0"/>
              <w:jc w:val="center"/>
              <w:rPr>
                <w:b/>
              </w:rPr>
            </w:pPr>
            <w:r>
              <w:rPr>
                <w:b/>
              </w:rPr>
              <w:t>Metric</w:t>
            </w:r>
            <w:r w:rsidR="0076299C">
              <w:rPr>
                <w:b/>
              </w:rPr>
              <w:t>s</w:t>
            </w:r>
          </w:p>
        </w:tc>
        <w:tc>
          <w:tcPr>
            <w:tcW w:w="2977" w:type="dxa"/>
            <w:shd w:val="clear" w:color="auto" w:fill="FFBDE3" w:themeFill="accent4" w:themeFillTint="33"/>
            <w:vAlign w:val="center"/>
          </w:tcPr>
          <w:p w14:paraId="044FD1FB" w14:textId="77777777" w:rsidR="003C3590" w:rsidRPr="007F1CA7" w:rsidRDefault="003C3590" w:rsidP="002B1869">
            <w:pPr>
              <w:pStyle w:val="ListParagraph"/>
              <w:spacing w:after="0" w:line="240" w:lineRule="auto"/>
              <w:ind w:left="0"/>
              <w:jc w:val="center"/>
              <w:rPr>
                <w:b/>
              </w:rPr>
            </w:pPr>
            <w:r w:rsidRPr="007F1CA7">
              <w:rPr>
                <w:b/>
              </w:rPr>
              <w:t>Demonstrators</w:t>
            </w:r>
          </w:p>
        </w:tc>
        <w:tc>
          <w:tcPr>
            <w:tcW w:w="2977" w:type="dxa"/>
            <w:shd w:val="clear" w:color="auto" w:fill="FFBDE3" w:themeFill="accent4" w:themeFillTint="33"/>
            <w:vAlign w:val="center"/>
          </w:tcPr>
          <w:p w14:paraId="053731E6" w14:textId="10D84C4C" w:rsidR="003C3590" w:rsidRPr="007F1CA7" w:rsidRDefault="00D56DE1" w:rsidP="002B1869">
            <w:pPr>
              <w:pStyle w:val="ListParagraph"/>
              <w:spacing w:after="0" w:line="240" w:lineRule="auto"/>
              <w:ind w:left="0"/>
              <w:jc w:val="center"/>
              <w:rPr>
                <w:b/>
              </w:rPr>
            </w:pPr>
            <w:r w:rsidRPr="007F1CA7">
              <w:rPr>
                <w:b/>
              </w:rPr>
              <w:t>Innov</w:t>
            </w:r>
            <w:r>
              <w:rPr>
                <w:b/>
              </w:rPr>
              <w:t>ators</w:t>
            </w:r>
          </w:p>
        </w:tc>
      </w:tr>
      <w:tr w:rsidR="003C3590" w:rsidRPr="00F42DF8" w14:paraId="7035DBDF" w14:textId="77777777" w:rsidTr="00B92D77">
        <w:trPr>
          <w:trHeight w:val="1418"/>
        </w:trPr>
        <w:tc>
          <w:tcPr>
            <w:tcW w:w="2977" w:type="dxa"/>
          </w:tcPr>
          <w:p w14:paraId="50EB4811" w14:textId="48CA0956" w:rsidR="003C3590" w:rsidRDefault="003C3590" w:rsidP="00741844">
            <w:pPr>
              <w:spacing w:after="0" w:line="240" w:lineRule="auto"/>
            </w:pPr>
            <w:r w:rsidRPr="0045214E">
              <w:rPr>
                <w:b/>
              </w:rPr>
              <w:t>SMART</w:t>
            </w:r>
          </w:p>
          <w:p w14:paraId="6D388FBC" w14:textId="77777777" w:rsidR="003C3590" w:rsidRPr="00F42DF8" w:rsidRDefault="003C3590" w:rsidP="00741844">
            <w:pPr>
              <w:spacing w:after="0" w:line="240" w:lineRule="auto"/>
              <w:rPr>
                <w:i/>
                <w:sz w:val="20"/>
              </w:rPr>
            </w:pPr>
            <w:r w:rsidRPr="0076533E">
              <w:rPr>
                <w:i/>
                <w:sz w:val="20"/>
              </w:rPr>
              <w:t xml:space="preserve">Specific, </w:t>
            </w:r>
            <w:proofErr w:type="spellStart"/>
            <w:r w:rsidRPr="0076533E">
              <w:rPr>
                <w:i/>
                <w:sz w:val="20"/>
              </w:rPr>
              <w:t>measureable</w:t>
            </w:r>
            <w:proofErr w:type="spellEnd"/>
            <w:r w:rsidRPr="0076533E">
              <w:rPr>
                <w:i/>
                <w:sz w:val="20"/>
              </w:rPr>
              <w:t>, actionable, reliable and time-bound</w:t>
            </w:r>
          </w:p>
        </w:tc>
        <w:tc>
          <w:tcPr>
            <w:tcW w:w="2977" w:type="dxa"/>
          </w:tcPr>
          <w:p w14:paraId="49648593" w14:textId="16743357" w:rsidR="003C3590" w:rsidRDefault="003C3590" w:rsidP="00B92D77">
            <w:pPr>
              <w:pStyle w:val="ListParagraph"/>
              <w:spacing w:after="0" w:line="240" w:lineRule="auto"/>
              <w:ind w:left="0"/>
              <w:rPr>
                <w:i/>
                <w:sz w:val="20"/>
              </w:rPr>
            </w:pPr>
            <w:r w:rsidRPr="00695172">
              <w:rPr>
                <w:b/>
              </w:rPr>
              <w:t>Longevity</w:t>
            </w:r>
          </w:p>
          <w:p w14:paraId="30653637" w14:textId="32E97ACF" w:rsidR="003C3590" w:rsidRPr="00F42DF8" w:rsidRDefault="00BA567E" w:rsidP="003340A9">
            <w:pPr>
              <w:spacing w:after="0" w:line="240" w:lineRule="auto"/>
              <w:rPr>
                <w:i/>
              </w:rPr>
            </w:pPr>
            <w:r>
              <w:rPr>
                <w:i/>
                <w:sz w:val="20"/>
              </w:rPr>
              <w:t xml:space="preserve">Has long-term impact; </w:t>
            </w:r>
            <w:r w:rsidR="003340A9">
              <w:rPr>
                <w:i/>
                <w:sz w:val="20"/>
              </w:rPr>
              <w:t>capacity to endure external pressures; able to be embedded in practices i.e. not a</w:t>
            </w:r>
            <w:r w:rsidR="003C3590">
              <w:rPr>
                <w:i/>
                <w:sz w:val="20"/>
              </w:rPr>
              <w:t xml:space="preserve"> </w:t>
            </w:r>
            <w:proofErr w:type="gramStart"/>
            <w:r w:rsidR="003C3590">
              <w:rPr>
                <w:i/>
                <w:sz w:val="20"/>
              </w:rPr>
              <w:t>one off</w:t>
            </w:r>
            <w:proofErr w:type="gramEnd"/>
            <w:r w:rsidR="003C3590">
              <w:rPr>
                <w:i/>
                <w:sz w:val="20"/>
              </w:rPr>
              <w:t xml:space="preserve"> small </w:t>
            </w:r>
            <w:r w:rsidR="003C3590" w:rsidRPr="00F42DF8">
              <w:rPr>
                <w:i/>
                <w:sz w:val="20"/>
              </w:rPr>
              <w:t xml:space="preserve">exemplar </w:t>
            </w:r>
          </w:p>
        </w:tc>
        <w:tc>
          <w:tcPr>
            <w:tcW w:w="2977" w:type="dxa"/>
          </w:tcPr>
          <w:p w14:paraId="35DD9F58" w14:textId="77777777" w:rsidR="003C3590" w:rsidRPr="00695172" w:rsidRDefault="003C3590" w:rsidP="00741844">
            <w:pPr>
              <w:pStyle w:val="ListParagraph"/>
              <w:spacing w:after="0" w:line="240" w:lineRule="auto"/>
              <w:ind w:left="0"/>
              <w:rPr>
                <w:b/>
              </w:rPr>
            </w:pPr>
            <w:r w:rsidRPr="00695172">
              <w:rPr>
                <w:b/>
              </w:rPr>
              <w:t xml:space="preserve">Revolutionary </w:t>
            </w:r>
          </w:p>
          <w:p w14:paraId="574E418E" w14:textId="5C46EBFB" w:rsidR="003C3590" w:rsidRPr="004870F0" w:rsidRDefault="00BA567E" w:rsidP="00547498">
            <w:pPr>
              <w:pStyle w:val="ListParagraph"/>
              <w:spacing w:after="0" w:line="240" w:lineRule="auto"/>
              <w:ind w:left="0"/>
              <w:rPr>
                <w:i/>
                <w:sz w:val="20"/>
              </w:rPr>
            </w:pPr>
            <w:r>
              <w:rPr>
                <w:i/>
                <w:sz w:val="20"/>
              </w:rPr>
              <w:t>Large</w:t>
            </w:r>
            <w:r w:rsidR="003C3590" w:rsidRPr="00F42DF8">
              <w:rPr>
                <w:i/>
                <w:sz w:val="20"/>
              </w:rPr>
              <w:t xml:space="preserve"> scale</w:t>
            </w:r>
            <w:r>
              <w:rPr>
                <w:i/>
                <w:sz w:val="20"/>
              </w:rPr>
              <w:t>;</w:t>
            </w:r>
            <w:r w:rsidR="003C3590" w:rsidRPr="00F42DF8">
              <w:rPr>
                <w:i/>
                <w:sz w:val="20"/>
              </w:rPr>
              <w:t xml:space="preserve"> </w:t>
            </w:r>
            <w:r w:rsidR="00647707">
              <w:rPr>
                <w:i/>
                <w:sz w:val="20"/>
              </w:rPr>
              <w:t>h</w:t>
            </w:r>
            <w:r>
              <w:rPr>
                <w:i/>
                <w:sz w:val="20"/>
              </w:rPr>
              <w:t xml:space="preserve">igh </w:t>
            </w:r>
            <w:r w:rsidR="003C3590" w:rsidRPr="00F42DF8">
              <w:rPr>
                <w:i/>
                <w:sz w:val="20"/>
              </w:rPr>
              <w:t>value</w:t>
            </w:r>
            <w:r>
              <w:rPr>
                <w:i/>
                <w:sz w:val="20"/>
              </w:rPr>
              <w:t xml:space="preserve"> (even if small scale)</w:t>
            </w:r>
            <w:r w:rsidR="003C3590">
              <w:rPr>
                <w:i/>
                <w:sz w:val="20"/>
              </w:rPr>
              <w:t>;</w:t>
            </w:r>
            <w:r w:rsidR="00647707">
              <w:rPr>
                <w:i/>
                <w:sz w:val="20"/>
              </w:rPr>
              <w:t xml:space="preserve"> a</w:t>
            </w:r>
            <w:r w:rsidR="003C3590" w:rsidRPr="00F42DF8">
              <w:rPr>
                <w:i/>
                <w:sz w:val="20"/>
              </w:rPr>
              <w:t>ddresses a hard/wicked problem</w:t>
            </w:r>
            <w:r w:rsidR="003C3590">
              <w:rPr>
                <w:i/>
                <w:sz w:val="20"/>
              </w:rPr>
              <w:t xml:space="preserve">; </w:t>
            </w:r>
            <w:r w:rsidR="00647707">
              <w:rPr>
                <w:i/>
                <w:sz w:val="20"/>
              </w:rPr>
              <w:t>e</w:t>
            </w:r>
            <w:r w:rsidR="003C3590">
              <w:rPr>
                <w:i/>
                <w:sz w:val="20"/>
              </w:rPr>
              <w:t>ntrepreneurial and failure tolerant</w:t>
            </w:r>
          </w:p>
        </w:tc>
      </w:tr>
      <w:tr w:rsidR="003C3590" w:rsidRPr="00F42DF8" w14:paraId="2BA4B5F6" w14:textId="77777777" w:rsidTr="00B92D77">
        <w:trPr>
          <w:trHeight w:val="1101"/>
        </w:trPr>
        <w:tc>
          <w:tcPr>
            <w:tcW w:w="2977" w:type="dxa"/>
          </w:tcPr>
          <w:p w14:paraId="5D40DA71" w14:textId="77777777" w:rsidR="003C3590" w:rsidRPr="00695172" w:rsidRDefault="003C3590" w:rsidP="00741844">
            <w:pPr>
              <w:spacing w:after="0" w:line="240" w:lineRule="auto"/>
              <w:rPr>
                <w:b/>
              </w:rPr>
            </w:pPr>
            <w:r w:rsidRPr="00695172">
              <w:rPr>
                <w:b/>
              </w:rPr>
              <w:t>Simplicity</w:t>
            </w:r>
          </w:p>
          <w:p w14:paraId="24001B4A" w14:textId="6B4342E1" w:rsidR="003C3590" w:rsidRPr="00F42DF8" w:rsidRDefault="003C3590" w:rsidP="00741844">
            <w:pPr>
              <w:spacing w:after="0" w:line="240" w:lineRule="auto"/>
              <w:rPr>
                <w:i/>
              </w:rPr>
            </w:pPr>
            <w:r w:rsidRPr="00F42DF8">
              <w:rPr>
                <w:i/>
                <w:sz w:val="20"/>
              </w:rPr>
              <w:t>Accessible; easily reported; not resource intensive to set up and maintain</w:t>
            </w:r>
          </w:p>
        </w:tc>
        <w:tc>
          <w:tcPr>
            <w:tcW w:w="2977" w:type="dxa"/>
          </w:tcPr>
          <w:p w14:paraId="3323AA98" w14:textId="626061F3" w:rsidR="003C3590" w:rsidRPr="00695172" w:rsidRDefault="003C3590" w:rsidP="00741844">
            <w:pPr>
              <w:spacing w:after="0" w:line="240" w:lineRule="auto"/>
              <w:rPr>
                <w:b/>
              </w:rPr>
            </w:pPr>
            <w:r w:rsidRPr="00695172">
              <w:rPr>
                <w:b/>
              </w:rPr>
              <w:t>Impact</w:t>
            </w:r>
          </w:p>
          <w:p w14:paraId="0FE804F7" w14:textId="44C8CCCD" w:rsidR="003C3590" w:rsidRPr="00F42DF8" w:rsidRDefault="003340A9" w:rsidP="003340A9">
            <w:pPr>
              <w:spacing w:after="0" w:line="240" w:lineRule="auto"/>
              <w:rPr>
                <w:i/>
              </w:rPr>
            </w:pPr>
            <w:r>
              <w:rPr>
                <w:i/>
                <w:sz w:val="20"/>
              </w:rPr>
              <w:t xml:space="preserve">Positively affects students; evidence of institutional behaviour change; </w:t>
            </w:r>
          </w:p>
        </w:tc>
        <w:tc>
          <w:tcPr>
            <w:tcW w:w="2977" w:type="dxa"/>
          </w:tcPr>
          <w:p w14:paraId="5313291B" w14:textId="77777777" w:rsidR="003C3590" w:rsidRPr="00695172" w:rsidRDefault="003C3590" w:rsidP="00741844">
            <w:pPr>
              <w:pStyle w:val="ListParagraph"/>
              <w:spacing w:after="0" w:line="240" w:lineRule="auto"/>
              <w:ind w:left="0"/>
              <w:rPr>
                <w:b/>
              </w:rPr>
            </w:pPr>
            <w:r w:rsidRPr="00695172">
              <w:rPr>
                <w:b/>
              </w:rPr>
              <w:t>Unique</w:t>
            </w:r>
          </w:p>
          <w:p w14:paraId="6C9F058C" w14:textId="60E7428A" w:rsidR="003C3590" w:rsidRPr="00F42DF8" w:rsidRDefault="003C3590" w:rsidP="00BA567E">
            <w:pPr>
              <w:pStyle w:val="ListParagraph"/>
              <w:spacing w:after="0" w:line="240" w:lineRule="auto"/>
              <w:ind w:left="0"/>
              <w:rPr>
                <w:i/>
              </w:rPr>
            </w:pPr>
            <w:proofErr w:type="gramStart"/>
            <w:r>
              <w:rPr>
                <w:i/>
                <w:sz w:val="20"/>
              </w:rPr>
              <w:t>Takes into account</w:t>
            </w:r>
            <w:proofErr w:type="gramEnd"/>
            <w:r>
              <w:rPr>
                <w:i/>
                <w:sz w:val="20"/>
              </w:rPr>
              <w:t xml:space="preserve"> and adds value</w:t>
            </w:r>
            <w:r w:rsidRPr="00F42DF8">
              <w:rPr>
                <w:i/>
                <w:sz w:val="20"/>
              </w:rPr>
              <w:t xml:space="preserve"> to local circumstances</w:t>
            </w:r>
          </w:p>
        </w:tc>
      </w:tr>
      <w:tr w:rsidR="003C3590" w14:paraId="2D1F984C" w14:textId="77777777" w:rsidTr="00B92D77">
        <w:trPr>
          <w:trHeight w:val="1859"/>
        </w:trPr>
        <w:tc>
          <w:tcPr>
            <w:tcW w:w="2977" w:type="dxa"/>
          </w:tcPr>
          <w:p w14:paraId="68E559A2" w14:textId="77777777" w:rsidR="003C3590" w:rsidRPr="00695172" w:rsidRDefault="003C3590" w:rsidP="00741844">
            <w:pPr>
              <w:spacing w:after="0" w:line="240" w:lineRule="auto"/>
              <w:rPr>
                <w:b/>
              </w:rPr>
            </w:pPr>
            <w:r w:rsidRPr="00695172">
              <w:rPr>
                <w:b/>
              </w:rPr>
              <w:t>Comparability</w:t>
            </w:r>
          </w:p>
          <w:p w14:paraId="1FD1866B" w14:textId="7F0DBF32" w:rsidR="003C3590" w:rsidRPr="00AD121D" w:rsidRDefault="00EB4422" w:rsidP="00AF1CE8">
            <w:pPr>
              <w:spacing w:after="0" w:line="240" w:lineRule="auto"/>
              <w:rPr>
                <w:i/>
                <w:sz w:val="20"/>
              </w:rPr>
            </w:pPr>
            <w:r>
              <w:rPr>
                <w:i/>
                <w:sz w:val="20"/>
              </w:rPr>
              <w:t>I</w:t>
            </w:r>
            <w:r w:rsidR="003C3590">
              <w:rPr>
                <w:i/>
                <w:sz w:val="20"/>
              </w:rPr>
              <w:t>nternally to demonstrate improvement or change</w:t>
            </w:r>
            <w:r>
              <w:rPr>
                <w:i/>
                <w:sz w:val="20"/>
              </w:rPr>
              <w:t>; externally to</w:t>
            </w:r>
            <w:r w:rsidR="003C3590" w:rsidRPr="00F42DF8">
              <w:rPr>
                <w:i/>
                <w:sz w:val="20"/>
              </w:rPr>
              <w:t xml:space="preserve"> </w:t>
            </w:r>
            <w:r>
              <w:rPr>
                <w:i/>
                <w:sz w:val="20"/>
              </w:rPr>
              <w:t xml:space="preserve">build a data base across the </w:t>
            </w:r>
            <w:r w:rsidR="003C3590" w:rsidRPr="00F42DF8">
              <w:rPr>
                <w:i/>
                <w:sz w:val="20"/>
              </w:rPr>
              <w:t>sector</w:t>
            </w:r>
            <w:r>
              <w:rPr>
                <w:i/>
                <w:sz w:val="20"/>
              </w:rPr>
              <w:t>;</w:t>
            </w:r>
            <w:r w:rsidR="003C3590" w:rsidRPr="00F42DF8">
              <w:rPr>
                <w:i/>
                <w:sz w:val="20"/>
              </w:rPr>
              <w:t xml:space="preserve"> not to be used in an unintended way to ‘game’ system</w:t>
            </w:r>
          </w:p>
        </w:tc>
        <w:tc>
          <w:tcPr>
            <w:tcW w:w="2977" w:type="dxa"/>
          </w:tcPr>
          <w:p w14:paraId="441E8851" w14:textId="77777777" w:rsidR="003C3590" w:rsidRPr="00695172" w:rsidRDefault="003C3590" w:rsidP="00741844">
            <w:pPr>
              <w:pStyle w:val="ListParagraph"/>
              <w:spacing w:after="0" w:line="240" w:lineRule="auto"/>
              <w:ind w:left="0"/>
              <w:rPr>
                <w:b/>
              </w:rPr>
            </w:pPr>
            <w:r w:rsidRPr="00695172">
              <w:rPr>
                <w:b/>
              </w:rPr>
              <w:t xml:space="preserve">Rigorous accountability at institutional level </w:t>
            </w:r>
          </w:p>
          <w:p w14:paraId="24E373F5" w14:textId="55769A37" w:rsidR="003C3590" w:rsidRDefault="003C3590" w:rsidP="00741844">
            <w:pPr>
              <w:pStyle w:val="ListParagraph"/>
              <w:spacing w:after="0" w:line="240" w:lineRule="auto"/>
              <w:ind w:left="0"/>
            </w:pPr>
            <w:r>
              <w:rPr>
                <w:i/>
                <w:sz w:val="20"/>
              </w:rPr>
              <w:t>D</w:t>
            </w:r>
            <w:r w:rsidRPr="00F42DF8">
              <w:rPr>
                <w:i/>
                <w:sz w:val="20"/>
              </w:rPr>
              <w:t xml:space="preserve">oes not need to be comparable across the </w:t>
            </w:r>
            <w:r w:rsidRPr="00AD121D">
              <w:rPr>
                <w:i/>
                <w:sz w:val="20"/>
                <w:szCs w:val="20"/>
              </w:rPr>
              <w:t>sector</w:t>
            </w:r>
            <w:r w:rsidR="005E0AC0">
              <w:rPr>
                <w:i/>
                <w:sz w:val="20"/>
                <w:szCs w:val="20"/>
              </w:rPr>
              <w:t xml:space="preserve">; </w:t>
            </w:r>
            <w:r w:rsidR="00647707">
              <w:rPr>
                <w:i/>
                <w:sz w:val="20"/>
                <w:szCs w:val="20"/>
              </w:rPr>
              <w:t>s</w:t>
            </w:r>
            <w:r w:rsidRPr="00AD121D">
              <w:rPr>
                <w:i/>
                <w:sz w:val="20"/>
                <w:szCs w:val="20"/>
              </w:rPr>
              <w:t>ufficiently robust to enable identification of success</w:t>
            </w:r>
          </w:p>
        </w:tc>
        <w:tc>
          <w:tcPr>
            <w:tcW w:w="2977" w:type="dxa"/>
          </w:tcPr>
          <w:p w14:paraId="44E44FFA" w14:textId="77777777" w:rsidR="003C3590" w:rsidRDefault="003C3590" w:rsidP="00741844">
            <w:pPr>
              <w:pStyle w:val="ListParagraph"/>
              <w:spacing w:after="0" w:line="240" w:lineRule="auto"/>
              <w:ind w:left="0"/>
            </w:pPr>
            <w:r>
              <w:rPr>
                <w:b/>
              </w:rPr>
              <w:t>Entrepreneurship</w:t>
            </w:r>
          </w:p>
          <w:p w14:paraId="093E8EF4" w14:textId="54F3B82E" w:rsidR="003C3590" w:rsidRPr="002F1714" w:rsidRDefault="003C3590" w:rsidP="00741844">
            <w:pPr>
              <w:spacing w:line="240" w:lineRule="auto"/>
              <w:rPr>
                <w:i/>
                <w:sz w:val="20"/>
              </w:rPr>
            </w:pPr>
            <w:r>
              <w:rPr>
                <w:i/>
                <w:sz w:val="20"/>
              </w:rPr>
              <w:t>Is innovative and learns from mistakes</w:t>
            </w:r>
            <w:r w:rsidR="00BA567E">
              <w:rPr>
                <w:i/>
                <w:sz w:val="20"/>
              </w:rPr>
              <w:t>;</w:t>
            </w:r>
            <w:r>
              <w:rPr>
                <w:i/>
                <w:sz w:val="20"/>
              </w:rPr>
              <w:t xml:space="preserve"> </w:t>
            </w:r>
            <w:r w:rsidR="00647707">
              <w:rPr>
                <w:i/>
                <w:sz w:val="20"/>
              </w:rPr>
              <w:t>t</w:t>
            </w:r>
            <w:r>
              <w:rPr>
                <w:i/>
                <w:sz w:val="20"/>
              </w:rPr>
              <w:t>olerant of risk</w:t>
            </w:r>
            <w:r w:rsidR="00BA567E">
              <w:rPr>
                <w:i/>
                <w:sz w:val="20"/>
              </w:rPr>
              <w:t>;</w:t>
            </w:r>
            <w:r>
              <w:rPr>
                <w:i/>
                <w:sz w:val="20"/>
              </w:rPr>
              <w:t xml:space="preserve"> </w:t>
            </w:r>
            <w:proofErr w:type="gramStart"/>
            <w:r w:rsidR="00647707">
              <w:rPr>
                <w:i/>
                <w:sz w:val="20"/>
              </w:rPr>
              <w:t>p</w:t>
            </w:r>
            <w:r>
              <w:rPr>
                <w:i/>
                <w:sz w:val="20"/>
              </w:rPr>
              <w:t>lans for the fu</w:t>
            </w:r>
            <w:r w:rsidR="0076299C">
              <w:rPr>
                <w:i/>
                <w:sz w:val="20"/>
              </w:rPr>
              <w:t>t</w:t>
            </w:r>
            <w:r>
              <w:rPr>
                <w:i/>
                <w:sz w:val="20"/>
              </w:rPr>
              <w:t>ure</w:t>
            </w:r>
            <w:proofErr w:type="gramEnd"/>
          </w:p>
          <w:p w14:paraId="3FFECD87" w14:textId="77777777" w:rsidR="003C3590" w:rsidRPr="00AD121D" w:rsidRDefault="003C3590" w:rsidP="00741844">
            <w:pPr>
              <w:spacing w:line="240" w:lineRule="auto"/>
              <w:jc w:val="right"/>
            </w:pPr>
          </w:p>
        </w:tc>
      </w:tr>
    </w:tbl>
    <w:p w14:paraId="2A68EEBC" w14:textId="79D791F6" w:rsidR="00A16A5D" w:rsidRDefault="00194FDF" w:rsidP="00A16A5D">
      <w:pPr>
        <w:pStyle w:val="Heading2"/>
      </w:pPr>
      <w:bookmarkStart w:id="14" w:name="_Toc52296784"/>
      <w:r>
        <w:t>P</w:t>
      </w:r>
      <w:r w:rsidR="00A16A5D">
        <w:t>roposed framework for demonstrating engagement with NPILF</w:t>
      </w:r>
      <w:bookmarkEnd w:id="14"/>
      <w:r w:rsidR="009C2DB3">
        <w:t xml:space="preserve"> </w:t>
      </w:r>
    </w:p>
    <w:p w14:paraId="169B7AB7" w14:textId="37D1010A" w:rsidR="00A52C70" w:rsidRDefault="00194FDF" w:rsidP="00AF1CE8">
      <w:r w:rsidRPr="008A3637">
        <w:t xml:space="preserve">The NPILF seeks to ensure universities </w:t>
      </w:r>
      <w:r w:rsidR="00DF12CE">
        <w:t xml:space="preserve">and industry work together to deliver a </w:t>
      </w:r>
      <w:r w:rsidRPr="008A3637">
        <w:t xml:space="preserve">suite of learning experiences for students which are deeply and coherently connected to the evolving workplace. </w:t>
      </w:r>
      <w:r w:rsidR="00EC71EC">
        <w:br/>
      </w:r>
      <w:r w:rsidR="00A52C70">
        <w:t>In recognising that providers offer varied missions and strengths and encounter different challenges, the Government wants to ensure that the delivery of NPILF funding is fair, dynamic and fit for purpose. A balance must be achieved between certainty of sector responsiveness to national priorities on teaching and learning</w:t>
      </w:r>
      <w:r w:rsidR="001E6100">
        <w:t xml:space="preserve"> and</w:t>
      </w:r>
      <w:r w:rsidR="00A52C70">
        <w:t xml:space="preserve"> industry linkages, while allowing the space for universities to take </w:t>
      </w:r>
      <w:r w:rsidR="00A52C70" w:rsidRPr="001C2419">
        <w:t xml:space="preserve">risks </w:t>
      </w:r>
      <w:r w:rsidR="001E6100">
        <w:t>to engage</w:t>
      </w:r>
      <w:r w:rsidR="00A52C70" w:rsidRPr="001C2419">
        <w:t xml:space="preserve"> new sectors and </w:t>
      </w:r>
      <w:r w:rsidR="001E6100">
        <w:t>deliver</w:t>
      </w:r>
      <w:r w:rsidR="00A52C70" w:rsidRPr="001C2419">
        <w:t xml:space="preserve"> new learning models. </w:t>
      </w:r>
      <w:r w:rsidRPr="008A3637">
        <w:t>At this critical time, universities need to be supported and encouraged to be innovative</w:t>
      </w:r>
      <w:r w:rsidR="00AD2BD4">
        <w:t>, co-produce new work practices</w:t>
      </w:r>
      <w:r w:rsidRPr="008A3637">
        <w:t xml:space="preserve"> and take risks.</w:t>
      </w:r>
    </w:p>
    <w:p w14:paraId="7E71FF6E" w14:textId="0682EFD0" w:rsidR="00FC6F79" w:rsidRPr="00772E85" w:rsidRDefault="00FC6F79" w:rsidP="00B92D77">
      <w:r>
        <w:t xml:space="preserve">The proposed NPILF framework asks </w:t>
      </w:r>
      <w:r w:rsidR="00551D9B">
        <w:t xml:space="preserve">universities </w:t>
      </w:r>
      <w:r>
        <w:t xml:space="preserve">to highlight their commitment to the </w:t>
      </w:r>
      <w:r w:rsidRPr="00B92D77">
        <w:t>three</w:t>
      </w:r>
      <w:r w:rsidRPr="000A1586">
        <w:rPr>
          <w:b/>
        </w:rPr>
        <w:t xml:space="preserve"> </w:t>
      </w:r>
      <w:r w:rsidRPr="00B92D77">
        <w:t>priorities</w:t>
      </w:r>
      <w:r>
        <w:rPr>
          <w:b/>
        </w:rPr>
        <w:t xml:space="preserve"> </w:t>
      </w:r>
      <w:r w:rsidR="00551D9B">
        <w:t>using</w:t>
      </w:r>
      <w:r>
        <w:t xml:space="preserve"> </w:t>
      </w:r>
      <w:r w:rsidRPr="00947853">
        <w:rPr>
          <w:b/>
        </w:rPr>
        <w:t>indicators</w:t>
      </w:r>
      <w:r w:rsidR="00551D9B">
        <w:rPr>
          <w:b/>
        </w:rPr>
        <w:t xml:space="preserve"> </w:t>
      </w:r>
      <w:r w:rsidR="00551D9B" w:rsidRPr="00B92D77">
        <w:t>to demonstrate activities</w:t>
      </w:r>
      <w:r w:rsidRPr="00AF1CE8">
        <w:t>.</w:t>
      </w:r>
    </w:p>
    <w:p w14:paraId="76610C6E" w14:textId="77777777" w:rsidR="0065296E" w:rsidRPr="008A3637" w:rsidRDefault="0045140F" w:rsidP="0065296E">
      <w:pPr>
        <w:pStyle w:val="Heading3"/>
      </w:pPr>
      <w:r>
        <w:t>Indicators</w:t>
      </w:r>
    </w:p>
    <w:p w14:paraId="0426C057" w14:textId="23025779" w:rsidR="00A16A5D" w:rsidRPr="005C483D" w:rsidRDefault="00A16A5D" w:rsidP="005E1E57">
      <w:r w:rsidRPr="008A3637">
        <w:t>A proposed framework for achieving this is to assess university performance</w:t>
      </w:r>
      <w:r w:rsidR="00551D9B">
        <w:t xml:space="preserve"> with</w:t>
      </w:r>
      <w:r w:rsidR="00A90EB7" w:rsidRPr="005C483D">
        <w:t xml:space="preserve"> three </w:t>
      </w:r>
      <w:r w:rsidR="008B0EEE" w:rsidRPr="005C483D">
        <w:t>types</w:t>
      </w:r>
      <w:r w:rsidR="00A90EB7" w:rsidRPr="005C483D">
        <w:t xml:space="preserve"> of indicators</w:t>
      </w:r>
      <w:r w:rsidRPr="005C483D">
        <w:t>:</w:t>
      </w:r>
    </w:p>
    <w:p w14:paraId="5DAD7E21" w14:textId="10DC232D" w:rsidR="00A16A5D" w:rsidRPr="005C483D" w:rsidRDefault="00A16A5D" w:rsidP="00E91C82">
      <w:pPr>
        <w:pStyle w:val="List"/>
        <w:spacing w:line="276" w:lineRule="auto"/>
        <w:ind w:left="709"/>
      </w:pPr>
      <w:r w:rsidRPr="005C483D">
        <w:rPr>
          <w:b/>
        </w:rPr>
        <w:t>Cross-sector metrics –</w:t>
      </w:r>
      <w:r w:rsidRPr="005C483D">
        <w:t xml:space="preserve"> base metrics</w:t>
      </w:r>
      <w:r w:rsidR="000039D3" w:rsidRPr="005C483D">
        <w:t>,</w:t>
      </w:r>
      <w:r w:rsidRPr="005C483D">
        <w:t xml:space="preserve"> </w:t>
      </w:r>
      <w:r w:rsidR="000039D3" w:rsidRPr="005C483D">
        <w:t xml:space="preserve">from a select list of mature data sets that are applicable sector-wide, </w:t>
      </w:r>
      <w:r w:rsidRPr="005C483D">
        <w:t>where the universities exhibit existing performance and trend performance aligned with their missions</w:t>
      </w:r>
      <w:r w:rsidR="000039D3" w:rsidRPr="005C483D">
        <w:t xml:space="preserve">. </w:t>
      </w:r>
    </w:p>
    <w:p w14:paraId="63CC9E7D" w14:textId="26C7EF0F" w:rsidR="00A16A5D" w:rsidRPr="005C483D" w:rsidRDefault="00DD3AD9" w:rsidP="00E91C82">
      <w:pPr>
        <w:pStyle w:val="List"/>
        <w:spacing w:line="276" w:lineRule="auto"/>
        <w:ind w:left="709"/>
      </w:pPr>
      <w:r>
        <w:rPr>
          <w:b/>
        </w:rPr>
        <w:lastRenderedPageBreak/>
        <w:t>D</w:t>
      </w:r>
      <w:r w:rsidR="00A16A5D" w:rsidRPr="005C483D">
        <w:rPr>
          <w:b/>
        </w:rPr>
        <w:t>emonstrators</w:t>
      </w:r>
      <w:r w:rsidR="00A16A5D" w:rsidRPr="005C483D">
        <w:t xml:space="preserve"> </w:t>
      </w:r>
      <w:r w:rsidR="00717B0F" w:rsidRPr="005C483D">
        <w:rPr>
          <w:b/>
        </w:rPr>
        <w:t>–</w:t>
      </w:r>
      <w:r w:rsidR="00EB4422">
        <w:rPr>
          <w:b/>
        </w:rPr>
        <w:t xml:space="preserve"> </w:t>
      </w:r>
      <w:r w:rsidR="00B92D77">
        <w:t>E</w:t>
      </w:r>
      <w:r w:rsidR="00324D4E" w:rsidRPr="005C483D">
        <w:t>ach</w:t>
      </w:r>
      <w:r w:rsidR="00A16A5D" w:rsidRPr="005C483D">
        <w:t xml:space="preserve"> university</w:t>
      </w:r>
      <w:r w:rsidR="00EB4422">
        <w:t xml:space="preserve"> </w:t>
      </w:r>
      <w:r w:rsidR="003943D3" w:rsidRPr="005C483D">
        <w:t>will</w:t>
      </w:r>
      <w:r w:rsidR="00A16A5D" w:rsidRPr="005C483D">
        <w:t xml:space="preserve"> present </w:t>
      </w:r>
      <w:r w:rsidR="00324D4E" w:rsidRPr="005C483D">
        <w:t>institutional data</w:t>
      </w:r>
      <w:r w:rsidR="003943D3" w:rsidRPr="005C483D">
        <w:t>,</w:t>
      </w:r>
      <w:r w:rsidR="00A16A5D" w:rsidRPr="005C483D">
        <w:t xml:space="preserve"> </w:t>
      </w:r>
      <w:r w:rsidR="003943D3" w:rsidRPr="005C483D">
        <w:t>in addition to qualitative evidence</w:t>
      </w:r>
      <w:r w:rsidR="005E1E57" w:rsidRPr="005C483D">
        <w:t>,</w:t>
      </w:r>
      <w:r w:rsidR="003943D3" w:rsidRPr="005C483D">
        <w:t xml:space="preserve"> to demonstrate </w:t>
      </w:r>
      <w:r w:rsidR="00A16A5D" w:rsidRPr="005C483D">
        <w:t>performance in programs specifically designed to achieve the aspirations of the priority area</w:t>
      </w:r>
      <w:r w:rsidR="003943D3" w:rsidRPr="005C483D">
        <w:t>.</w:t>
      </w:r>
    </w:p>
    <w:p w14:paraId="3BE90DD5" w14:textId="697942AC" w:rsidR="00A16A5D" w:rsidRPr="005C483D" w:rsidRDefault="00A16A5D" w:rsidP="00E91C82">
      <w:pPr>
        <w:pStyle w:val="List"/>
        <w:spacing w:line="276" w:lineRule="auto"/>
        <w:ind w:left="709"/>
      </w:pPr>
      <w:r w:rsidRPr="005C483D">
        <w:rPr>
          <w:b/>
        </w:rPr>
        <w:t>Innovat</w:t>
      </w:r>
      <w:r w:rsidR="008B0EEE" w:rsidRPr="005C483D">
        <w:rPr>
          <w:b/>
        </w:rPr>
        <w:t>ors</w:t>
      </w:r>
      <w:r w:rsidR="00934BB2" w:rsidRPr="005C483D">
        <w:rPr>
          <w:b/>
        </w:rPr>
        <w:t xml:space="preserve"> </w:t>
      </w:r>
      <w:r w:rsidR="00717B0F" w:rsidRPr="005C483D">
        <w:rPr>
          <w:b/>
        </w:rPr>
        <w:t>–</w:t>
      </w:r>
      <w:r w:rsidR="003943D3" w:rsidRPr="005C483D">
        <w:t xml:space="preserve"> e</w:t>
      </w:r>
      <w:r w:rsidRPr="005C483D">
        <w:t xml:space="preserve">ach university </w:t>
      </w:r>
      <w:r w:rsidR="003943D3" w:rsidRPr="005C483D">
        <w:t>will</w:t>
      </w:r>
      <w:r w:rsidRPr="005C483D">
        <w:t xml:space="preserve"> describe and commit to </w:t>
      </w:r>
      <w:r w:rsidR="003943D3" w:rsidRPr="005C483D">
        <w:t>an innovative program for each priority area</w:t>
      </w:r>
      <w:r w:rsidR="00DF12CE" w:rsidRPr="005C483D">
        <w:t xml:space="preserve"> that</w:t>
      </w:r>
      <w:r w:rsidRPr="005C483D">
        <w:t xml:space="preserve"> have the potential to ‘turn the dial’ or</w:t>
      </w:r>
      <w:r w:rsidR="003943D3" w:rsidRPr="005C483D">
        <w:t xml:space="preserve"> meet a specific community need.</w:t>
      </w:r>
      <w:r w:rsidR="00741844">
        <w:t xml:space="preserve"> Acknowledging </w:t>
      </w:r>
      <w:r w:rsidR="00741844" w:rsidRPr="002E0458">
        <w:t xml:space="preserve">that transformational change takes time, </w:t>
      </w:r>
      <w:r w:rsidR="000C4774" w:rsidRPr="002E0458">
        <w:t xml:space="preserve">the </w:t>
      </w:r>
      <w:r w:rsidR="00741844" w:rsidRPr="002E0458">
        <w:t xml:space="preserve">same program could be identified </w:t>
      </w:r>
      <w:r w:rsidR="000C4774" w:rsidRPr="002E0458">
        <w:t xml:space="preserve">for multiple </w:t>
      </w:r>
      <w:proofErr w:type="gramStart"/>
      <w:r w:rsidR="000C4774" w:rsidRPr="002E0458">
        <w:t>years</w:t>
      </w:r>
      <w:proofErr w:type="gramEnd"/>
      <w:r w:rsidR="000C4774" w:rsidRPr="002E0458">
        <w:t xml:space="preserve"> but different components must be identified as the interim goal for each year.</w:t>
      </w:r>
    </w:p>
    <w:p w14:paraId="76C477D9" w14:textId="3AAAAF53" w:rsidR="00A52C70" w:rsidRDefault="008B0EEE" w:rsidP="00E91C82">
      <w:r w:rsidRPr="005C483D">
        <w:t xml:space="preserve">Through the three types of indicators, </w:t>
      </w:r>
      <w:r w:rsidR="00A52C70" w:rsidRPr="005C483D">
        <w:t xml:space="preserve">NPILF aims to champion the importance of self-improvement, against </w:t>
      </w:r>
      <w:r w:rsidR="00A828F0" w:rsidRPr="005C483D">
        <w:t xml:space="preserve">an </w:t>
      </w:r>
      <w:r w:rsidR="00A52C70" w:rsidRPr="005C483D">
        <w:t>institution</w:t>
      </w:r>
      <w:r w:rsidR="00E52988">
        <w:t>’</w:t>
      </w:r>
      <w:r w:rsidR="00A52C70" w:rsidRPr="005C483D">
        <w:t>s own missions, goals and priorities</w:t>
      </w:r>
      <w:r w:rsidR="00E52988">
        <w:t>, in addition to maintenance of established excellent performance</w:t>
      </w:r>
      <w:r w:rsidR="00A52C70" w:rsidRPr="005C483D">
        <w:t>.</w:t>
      </w:r>
      <w:r w:rsidR="000B4B57" w:rsidRPr="005C483D">
        <w:t xml:space="preserve"> By hav</w:t>
      </w:r>
      <w:r w:rsidR="005E1E57" w:rsidRPr="005C483D">
        <w:t>ing</w:t>
      </w:r>
      <w:r w:rsidR="000B4B57" w:rsidRPr="005C483D">
        <w:t xml:space="preserve"> the three </w:t>
      </w:r>
      <w:r w:rsidR="00EE4AE4" w:rsidRPr="005C483D">
        <w:t>types</w:t>
      </w:r>
      <w:r w:rsidR="000B4B57" w:rsidRPr="005C483D">
        <w:t xml:space="preserve"> of indicators</w:t>
      </w:r>
      <w:r w:rsidR="003943D3" w:rsidRPr="005C483D">
        <w:t>, with both quantitative and qualitative components,</w:t>
      </w:r>
      <w:r w:rsidR="000B4B57" w:rsidRPr="005C483D">
        <w:t xml:space="preserve"> the framework reduces the need for each indicator or metric to be exhaustive in representing the realms of possibilities in which performance can be demonstrated.</w:t>
      </w:r>
    </w:p>
    <w:p w14:paraId="102D8D9E" w14:textId="3ED371A4" w:rsidR="005D7E1B" w:rsidRDefault="005D7E1B" w:rsidP="00E91C82">
      <w:r>
        <w:t>Indicators will be agreed with the department in accordance with the assessment criteria, which is that they:</w:t>
      </w:r>
    </w:p>
    <w:p w14:paraId="3E9E9262" w14:textId="77777777" w:rsidR="005D7E1B" w:rsidRDefault="005D7E1B" w:rsidP="00E91C82">
      <w:pPr>
        <w:pStyle w:val="ListNumber"/>
        <w:spacing w:line="276" w:lineRule="auto"/>
        <w:ind w:left="709"/>
      </w:pPr>
      <w:r>
        <w:t>Meet the principles</w:t>
      </w:r>
    </w:p>
    <w:p w14:paraId="3AC44131" w14:textId="50BB7180" w:rsidR="005D7E1B" w:rsidRDefault="005D7E1B" w:rsidP="00E91C82">
      <w:pPr>
        <w:pStyle w:val="ListNumber"/>
        <w:spacing w:line="276" w:lineRule="auto"/>
        <w:ind w:left="709"/>
      </w:pPr>
      <w:r>
        <w:t>Deliver on intent</w:t>
      </w:r>
    </w:p>
    <w:p w14:paraId="728E3948" w14:textId="329460AF" w:rsidR="005D7E1B" w:rsidRPr="005C483D" w:rsidRDefault="005D7E1B" w:rsidP="00E91C82">
      <w:pPr>
        <w:pStyle w:val="ListNumber"/>
        <w:spacing w:line="276" w:lineRule="auto"/>
        <w:ind w:left="709"/>
      </w:pPr>
      <w:r>
        <w:t>Demonstrate a contribution toward positive behavioural change.</w:t>
      </w:r>
    </w:p>
    <w:p w14:paraId="2CA06185" w14:textId="77777777" w:rsidR="0057637C" w:rsidRDefault="0057637C" w:rsidP="0057637C">
      <w:pPr>
        <w:pStyle w:val="Heading2"/>
      </w:pPr>
    </w:p>
    <w:p w14:paraId="147A8161" w14:textId="77777777" w:rsidR="00935036" w:rsidRDefault="00935036">
      <w:pPr>
        <w:spacing w:after="160" w:line="259" w:lineRule="auto"/>
        <w:rPr>
          <w:rFonts w:ascii="Calibri" w:eastAsiaTheme="majorEastAsia" w:hAnsi="Calibri" w:cstheme="majorBidi"/>
          <w:b/>
          <w:color w:val="287DB2" w:themeColor="accent6"/>
          <w:sz w:val="30"/>
          <w:szCs w:val="26"/>
        </w:rPr>
      </w:pPr>
      <w:r>
        <w:br w:type="page"/>
      </w:r>
    </w:p>
    <w:p w14:paraId="74F09AD0" w14:textId="585A1F95" w:rsidR="0057637C" w:rsidRDefault="0057637C" w:rsidP="0057637C">
      <w:pPr>
        <w:pStyle w:val="Heading2"/>
      </w:pPr>
      <w:bookmarkStart w:id="15" w:name="_Toc52296785"/>
      <w:r>
        <w:lastRenderedPageBreak/>
        <w:t>The process</w:t>
      </w:r>
      <w:bookmarkEnd w:id="15"/>
    </w:p>
    <w:p w14:paraId="4D7012FA" w14:textId="3A94F4E6" w:rsidR="0057637C" w:rsidRDefault="0057637C" w:rsidP="0057637C">
      <w:r>
        <w:t>This diagram is an outline of the NPILF annual process which is discussed in detail in this paper:</w:t>
      </w:r>
    </w:p>
    <w:p w14:paraId="18559365" w14:textId="0D16658A" w:rsidR="005F675D" w:rsidRDefault="005F675D" w:rsidP="002F1714">
      <w:pPr>
        <w:pStyle w:val="Caption"/>
        <w:keepNext/>
      </w:pPr>
      <w:r>
        <w:t xml:space="preserve">Figure </w:t>
      </w:r>
      <w:fldSimple w:instr=" SEQ Figure \* ARABIC ">
        <w:r w:rsidR="006724E2">
          <w:rPr>
            <w:noProof/>
          </w:rPr>
          <w:t>2</w:t>
        </w:r>
      </w:fldSimple>
      <w:r>
        <w:t xml:space="preserve"> Overview of NPILF process</w:t>
      </w:r>
    </w:p>
    <w:p w14:paraId="5058E0C0" w14:textId="137F48E6" w:rsidR="00DD3AD9" w:rsidRPr="00DD3AD9" w:rsidRDefault="00DD3AD9" w:rsidP="00DD3AD9">
      <w:r>
        <w:rPr>
          <w:noProof/>
          <w:lang w:eastAsia="en-AU"/>
        </w:rPr>
        <w:drawing>
          <wp:inline distT="0" distB="0" distL="0" distR="0" wp14:anchorId="151C4F83" wp14:editId="78D5A16F">
            <wp:extent cx="5731510" cy="3890645"/>
            <wp:effectExtent l="0" t="0" r="2540" b="0"/>
            <wp:docPr id="1" name="Picture 1" descr="Figure provides an overview of the NPILF process. The first step is the NPILF plan. As part of this, the uni comes up with a plan that identifies the 12 indicators it will use to demonstrate engagement with NPILF. Unis must have one metric, demonstrator, and innovator per priority (nine indicators in total). The remaining three indicators are chosen by the university to reflect their mission. The second step is to finalise NPILF agreement. As part of this, DESE will agree to the plan and formalise in a NPILF agreement. The agreement forms part of mission-based compact. The third step is assessment of activities. As part of this, uni is to submit a report on NPILF. Uni considers each indicator and determines if it was satisfactory, or non-satisfactory. DESE will review the report and any issues may be built into following year plan. The final step is about highlighting NPILF. As part of this step, the outcome of assessment will not be reported publically. DESE will publically report on best practice examples of NPILF annually. This is to be used as a communication tool to incentivse and guide greater industry engagement. " title="Figure 2 Overview of NPILF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890645"/>
                    </a:xfrm>
                    <a:prstGeom prst="rect">
                      <a:avLst/>
                    </a:prstGeom>
                  </pic:spPr>
                </pic:pic>
              </a:graphicData>
            </a:graphic>
          </wp:inline>
        </w:drawing>
      </w:r>
    </w:p>
    <w:p w14:paraId="453FDD26" w14:textId="77777777" w:rsidR="00935036" w:rsidRPr="002B1869" w:rsidRDefault="00935036" w:rsidP="002B1869">
      <w:r>
        <w:br w:type="page"/>
      </w:r>
    </w:p>
    <w:p w14:paraId="2088AEB5" w14:textId="55B96AB7" w:rsidR="00947853" w:rsidRDefault="00935036" w:rsidP="0057637C">
      <w:pPr>
        <w:pStyle w:val="Heading3"/>
      </w:pPr>
      <w:r>
        <w:lastRenderedPageBreak/>
        <w:t>W</w:t>
      </w:r>
      <w:r w:rsidR="0056005D">
        <w:t xml:space="preserve">hat indicators will a university </w:t>
      </w:r>
      <w:proofErr w:type="gramStart"/>
      <w:r w:rsidR="0056005D">
        <w:t>use</w:t>
      </w:r>
      <w:proofErr w:type="gramEnd"/>
    </w:p>
    <w:p w14:paraId="5438B58F" w14:textId="60358086" w:rsidR="00F554CB" w:rsidRPr="00AE03B1" w:rsidRDefault="00F554CB" w:rsidP="002F1714">
      <w:pPr>
        <w:pStyle w:val="Heading4"/>
      </w:pPr>
      <w:r w:rsidRPr="00AE03B1">
        <w:t>Proposing a NPILF plan</w:t>
      </w:r>
    </w:p>
    <w:p w14:paraId="35FB0FD4" w14:textId="16FFAD54" w:rsidR="003E1820" w:rsidRPr="003E1820" w:rsidRDefault="00F554CB" w:rsidP="003E1820">
      <w:r>
        <w:t xml:space="preserve">In November of each </w:t>
      </w:r>
      <w:r w:rsidR="005C5C3A" w:rsidRPr="006907E5">
        <w:t xml:space="preserve">year, a university will </w:t>
      </w:r>
      <w:r w:rsidR="005D7E1B">
        <w:t>propose a NP</w:t>
      </w:r>
      <w:r w:rsidR="00B756CA">
        <w:t>IL</w:t>
      </w:r>
      <w:r w:rsidR="005D7E1B">
        <w:t>F plan</w:t>
      </w:r>
      <w:r>
        <w:t xml:space="preserve"> for the subsequent year</w:t>
      </w:r>
      <w:r w:rsidR="005D7E1B">
        <w:t>.</w:t>
      </w:r>
      <w:r w:rsidR="005C5C3A" w:rsidRPr="00EE4AE4">
        <w:t xml:space="preserve"> </w:t>
      </w:r>
      <w:r w:rsidR="005D7E1B">
        <w:t xml:space="preserve">The NPILF plan will </w:t>
      </w:r>
      <w:r w:rsidR="003E1820">
        <w:t>be a selection of</w:t>
      </w:r>
      <w:r w:rsidR="005D7E1B">
        <w:t xml:space="preserve"> 12 indicators</w:t>
      </w:r>
      <w:r w:rsidR="003E1820">
        <w:t xml:space="preserve"> and a description of the corresponding activity. There will be </w:t>
      </w:r>
      <w:r w:rsidR="005D7E1B">
        <w:t xml:space="preserve">at least </w:t>
      </w:r>
      <w:r w:rsidR="005D7E1B" w:rsidRPr="003E1820">
        <w:rPr>
          <w:rFonts w:eastAsia="Times New Roman"/>
        </w:rPr>
        <w:t>one metric, one demonstrator and one innovator from each priority area. The remaining three indicators will be chosen from any priority or tier by the university – this may be in line with the university’s mission or could be an area of focus for the year.</w:t>
      </w:r>
      <w:r w:rsidR="003E1820">
        <w:rPr>
          <w:rFonts w:eastAsia="Times New Roman"/>
        </w:rPr>
        <w:t xml:space="preserve"> A university:</w:t>
      </w:r>
    </w:p>
    <w:p w14:paraId="009C97A0" w14:textId="47FD78D1" w:rsidR="00D90527" w:rsidRPr="00D90527" w:rsidRDefault="003E1820" w:rsidP="002F1714">
      <w:pPr>
        <w:pStyle w:val="ListParagraph"/>
        <w:numPr>
          <w:ilvl w:val="0"/>
          <w:numId w:val="17"/>
        </w:numPr>
        <w:spacing w:line="276" w:lineRule="auto"/>
        <w:rPr>
          <w:b/>
        </w:rPr>
      </w:pPr>
      <w:r>
        <w:t xml:space="preserve">Selects the </w:t>
      </w:r>
      <w:r w:rsidR="005D7E1B" w:rsidRPr="005C483D">
        <w:t>metrics from a set list</w:t>
      </w:r>
      <w:r w:rsidR="005D7E1B">
        <w:t xml:space="preserve"> </w:t>
      </w:r>
      <w:r w:rsidR="00D90527">
        <w:t>(</w:t>
      </w:r>
      <w:r w:rsidR="005D7E1B">
        <w:t xml:space="preserve">refer </w:t>
      </w:r>
      <w:r w:rsidR="00D23B95">
        <w:rPr>
          <w:b/>
        </w:rPr>
        <w:t>Table 4</w:t>
      </w:r>
      <w:r w:rsidR="00D90527" w:rsidRPr="00D90527">
        <w:t xml:space="preserve">) </w:t>
      </w:r>
      <w:r w:rsidR="00D90527">
        <w:t>– and if required, define</w:t>
      </w:r>
      <w:r w:rsidR="00C01F3D">
        <w:t>s</w:t>
      </w:r>
      <w:r w:rsidR="00D90527">
        <w:t xml:space="preserve"> </w:t>
      </w:r>
      <w:r w:rsidR="00C01F3D">
        <w:t>a</w:t>
      </w:r>
      <w:r w:rsidR="00D90527">
        <w:t xml:space="preserve"> goal. </w:t>
      </w:r>
    </w:p>
    <w:p w14:paraId="7A40A790" w14:textId="0B24F783" w:rsidR="00B233C6" w:rsidRDefault="00B233C6" w:rsidP="002F1714">
      <w:pPr>
        <w:pStyle w:val="ListParagraph"/>
        <w:numPr>
          <w:ilvl w:val="1"/>
          <w:numId w:val="17"/>
        </w:numPr>
        <w:spacing w:line="276" w:lineRule="auto"/>
        <w:rPr>
          <w:b/>
        </w:rPr>
      </w:pPr>
      <w:r>
        <w:t xml:space="preserve">For example, a university selects the </w:t>
      </w:r>
      <w:r w:rsidRPr="00D90527">
        <w:rPr>
          <w:i/>
        </w:rPr>
        <w:t>Improvement in employment outcomes</w:t>
      </w:r>
      <w:r>
        <w:t xml:space="preserve"> metric and demonstrates that university performance is already of an excellent standing and therefore maintenance of this position would be the goal. </w:t>
      </w:r>
    </w:p>
    <w:p w14:paraId="09907B87" w14:textId="1A1787DC" w:rsidR="00D90527" w:rsidRDefault="003E1820" w:rsidP="002F1714">
      <w:pPr>
        <w:pStyle w:val="ListParagraph"/>
        <w:numPr>
          <w:ilvl w:val="0"/>
          <w:numId w:val="17"/>
        </w:numPr>
        <w:spacing w:line="276" w:lineRule="auto"/>
        <w:rPr>
          <w:b/>
        </w:rPr>
      </w:pPr>
      <w:r w:rsidRPr="003E1820">
        <w:t>Describe</w:t>
      </w:r>
      <w:r>
        <w:t>s</w:t>
      </w:r>
      <w:r w:rsidRPr="003E1820">
        <w:t xml:space="preserve"> the </w:t>
      </w:r>
      <w:r>
        <w:t xml:space="preserve">activities that will be </w:t>
      </w:r>
      <w:r w:rsidR="005D7E1B" w:rsidRPr="003E1820">
        <w:t>demonstrators</w:t>
      </w:r>
      <w:r w:rsidR="005D7E1B" w:rsidRPr="005C483D">
        <w:t xml:space="preserve"> and innovators</w:t>
      </w:r>
      <w:r w:rsidR="00D90527">
        <w:t xml:space="preserve"> (</w:t>
      </w:r>
      <w:r w:rsidR="00D90527" w:rsidRPr="005C483D">
        <w:t xml:space="preserve">examples in </w:t>
      </w:r>
      <w:r w:rsidR="00D23B95">
        <w:rPr>
          <w:b/>
        </w:rPr>
        <w:t>Table 5</w:t>
      </w:r>
      <w:r w:rsidR="00D90527">
        <w:t xml:space="preserve">) with the measurements that will be used as evidence of </w:t>
      </w:r>
      <w:r w:rsidR="000C4774">
        <w:t>performance</w:t>
      </w:r>
      <w:r w:rsidR="00D90527">
        <w:t>.</w:t>
      </w:r>
    </w:p>
    <w:p w14:paraId="389AD0FE" w14:textId="0499564D" w:rsidR="003E1820" w:rsidRPr="00D90527" w:rsidRDefault="003E1820" w:rsidP="002F1714">
      <w:pPr>
        <w:pStyle w:val="ListParagraph"/>
        <w:numPr>
          <w:ilvl w:val="0"/>
          <w:numId w:val="17"/>
        </w:numPr>
        <w:spacing w:line="276" w:lineRule="auto"/>
        <w:rPr>
          <w:b/>
        </w:rPr>
      </w:pPr>
      <w:r>
        <w:t>May seek i</w:t>
      </w:r>
      <w:r w:rsidR="00CA53BC">
        <w:t>nvolvement from industry in selecting indicators and developing the plan</w:t>
      </w:r>
      <w:r>
        <w:t>, which would</w:t>
      </w:r>
      <w:r w:rsidR="00CA53BC">
        <w:t xml:space="preserve"> reinforce</w:t>
      </w:r>
      <w:r>
        <w:t xml:space="preserve"> a</w:t>
      </w:r>
      <w:r w:rsidR="00CA53BC">
        <w:t>uthentic and meaningful industry partnerships</w:t>
      </w:r>
      <w:r>
        <w:t>.</w:t>
      </w:r>
    </w:p>
    <w:p w14:paraId="45414077" w14:textId="5B93F515" w:rsidR="00C01F3D" w:rsidRDefault="005C5C3A">
      <w:r w:rsidRPr="00EE4AE4">
        <w:t>Th</w:t>
      </w:r>
      <w:r w:rsidR="006E14E0" w:rsidRPr="00EE4AE4">
        <w:t>e</w:t>
      </w:r>
      <w:r w:rsidRPr="00EE4AE4">
        <w:t xml:space="preserve"> </w:t>
      </w:r>
      <w:r w:rsidR="00B14AD3" w:rsidRPr="00EE4AE4">
        <w:t xml:space="preserve">flexible </w:t>
      </w:r>
      <w:r w:rsidRPr="00EE4AE4">
        <w:t xml:space="preserve">design provides universities </w:t>
      </w:r>
      <w:r w:rsidR="00B14AD3" w:rsidRPr="00EE4AE4">
        <w:t>the</w:t>
      </w:r>
      <w:r w:rsidR="007E4C1F" w:rsidRPr="00EE4AE4">
        <w:t xml:space="preserve"> </w:t>
      </w:r>
      <w:r w:rsidRPr="00EE4AE4">
        <w:t>autonomy</w:t>
      </w:r>
      <w:r w:rsidR="006E14E0" w:rsidRPr="00EE4AE4">
        <w:t xml:space="preserve"> to determine the</w:t>
      </w:r>
      <w:r w:rsidR="0057637C">
        <w:t>ir NPILF</w:t>
      </w:r>
      <w:r w:rsidR="006E14E0" w:rsidRPr="00EE4AE4">
        <w:t xml:space="preserve"> activities and how they want </w:t>
      </w:r>
      <w:r w:rsidR="00B756CA">
        <w:t>those activities</w:t>
      </w:r>
      <w:r w:rsidR="00B756CA" w:rsidRPr="00EE4AE4">
        <w:t xml:space="preserve"> </w:t>
      </w:r>
      <w:r w:rsidR="000C4774">
        <w:t xml:space="preserve">to </w:t>
      </w:r>
      <w:r w:rsidR="006E14E0" w:rsidRPr="00EE4AE4">
        <w:t xml:space="preserve">be measured. </w:t>
      </w:r>
      <w:r w:rsidR="00C01F3D">
        <w:t xml:space="preserve">This aims to support institutional growth, rather than competition amongst universities. </w:t>
      </w:r>
    </w:p>
    <w:p w14:paraId="67D4E87A" w14:textId="042E2502" w:rsidR="007E4C1F" w:rsidRDefault="005D591A">
      <w:r w:rsidRPr="00EE4AE4">
        <w:t xml:space="preserve">There is no requirement for </w:t>
      </w:r>
      <w:r w:rsidR="005C5C3A" w:rsidRPr="00EE4AE4">
        <w:t>universities</w:t>
      </w:r>
      <w:r w:rsidRPr="00EE4AE4">
        <w:t xml:space="preserve"> to choose the same </w:t>
      </w:r>
      <w:r w:rsidRPr="00434A76">
        <w:t>indicators each year and there is no one indicator that is required to be submitted by all un</w:t>
      </w:r>
      <w:r w:rsidR="00492570" w:rsidRPr="00434A76">
        <w:t>i</w:t>
      </w:r>
      <w:r w:rsidRPr="00434A76">
        <w:t>versities</w:t>
      </w:r>
      <w:r w:rsidR="005C5C3A" w:rsidRPr="00434A76">
        <w:t xml:space="preserve">. </w:t>
      </w:r>
      <w:r w:rsidR="00C01F3D" w:rsidRPr="00434A76">
        <w:t xml:space="preserve">Additionally, in recognising that some activities, if not many of the demonstrators and innovators, will be multi-year, the NPILF plan will only describe </w:t>
      </w:r>
      <w:r w:rsidR="00561742" w:rsidRPr="00434A76">
        <w:t>interim goals</w:t>
      </w:r>
      <w:r w:rsidR="00C01F3D" w:rsidRPr="00434A76">
        <w:t xml:space="preserve"> for that given year.</w:t>
      </w:r>
      <w:r w:rsidR="00C01F3D">
        <w:t xml:space="preserve"> </w:t>
      </w:r>
    </w:p>
    <w:p w14:paraId="718F5C71" w14:textId="77777777" w:rsidR="00F554CB" w:rsidRPr="00AE03B1" w:rsidRDefault="00F554CB" w:rsidP="002F1714">
      <w:pPr>
        <w:pStyle w:val="Heading4"/>
      </w:pPr>
      <w:r w:rsidRPr="00AE03B1">
        <w:t>NPILF Agreement</w:t>
      </w:r>
    </w:p>
    <w:p w14:paraId="5B0B46C6" w14:textId="77777777" w:rsidR="00B233C6" w:rsidRDefault="00F554CB" w:rsidP="00F554CB">
      <w:r>
        <w:t xml:space="preserve">The plan may form the basis of discussion with the department during the review phase </w:t>
      </w:r>
      <w:r>
        <w:br/>
        <w:t>November-March, before being finalised as the year’s NPILF agreement</w:t>
      </w:r>
      <w:r w:rsidRPr="005C483D">
        <w:t>.</w:t>
      </w:r>
      <w:r>
        <w:t xml:space="preserve"> </w:t>
      </w:r>
    </w:p>
    <w:p w14:paraId="12F2D02F" w14:textId="6EE30B0A" w:rsidR="00F36CED" w:rsidRPr="00E2598C" w:rsidRDefault="00F554CB" w:rsidP="00E2598C">
      <w:r>
        <w:t>The agreement is an important annual document which will be the basis of assessment at the end of the year.</w:t>
      </w:r>
      <w:r w:rsidR="00E2598C">
        <w:t xml:space="preserve"> </w:t>
      </w:r>
      <w:r w:rsidR="00580DD1">
        <w:t>The agreement will be an attachment to the univ</w:t>
      </w:r>
      <w:r w:rsidR="00E2598C">
        <w:t>ersity’s mission-based compact.</w:t>
      </w:r>
    </w:p>
    <w:p w14:paraId="66428800" w14:textId="77777777" w:rsidR="00E2598C" w:rsidRDefault="00E2598C">
      <w:pPr>
        <w:pStyle w:val="Caption"/>
        <w:keepNext/>
      </w:pPr>
      <w:r>
        <w:br w:type="page"/>
      </w:r>
    </w:p>
    <w:p w14:paraId="7BF8BBA9" w14:textId="2017528C" w:rsidR="00CB605B" w:rsidRDefault="00CB605B" w:rsidP="002F1714">
      <w:pPr>
        <w:pStyle w:val="Caption"/>
        <w:keepNext/>
      </w:pPr>
      <w:r>
        <w:lastRenderedPageBreak/>
        <w:t xml:space="preserve">Table </w:t>
      </w:r>
      <w:fldSimple w:instr=" SEQ Table \* ARABIC ">
        <w:r w:rsidR="006724E2">
          <w:rPr>
            <w:noProof/>
          </w:rPr>
          <w:t>1</w:t>
        </w:r>
      </w:fldSimple>
      <w:r>
        <w:t xml:space="preserve"> Draft list of NPILF metrics</w:t>
      </w:r>
    </w:p>
    <w:tbl>
      <w:tblPr>
        <w:tblStyle w:val="TableGrid"/>
        <w:tblW w:w="8931" w:type="dxa"/>
        <w:tblInd w:w="-5" w:type="dxa"/>
        <w:tblLook w:val="04A0" w:firstRow="1" w:lastRow="0" w:firstColumn="1" w:lastColumn="0" w:noHBand="0" w:noVBand="1"/>
        <w:tblCaption w:val="Table 4 draft list of NPILF metrics"/>
        <w:tblDescription w:val="The draft list of metrics under work integrated learning include: increase/proportion of credit bearing, undergraduate WIL at your institution, broken down by field of education and depth; increase/proportion of academic workforce actively from industry; increase/proportion of curriculum that is co-designed and/or reviewed that year by industry, increase/proportion of HDR students undertaking internship/placement within first 18 months (of commencing HDR); and increase/proportion of WEI units with academic positions. &#10;The draft list of metrics under STEM+ include: improvement in employment outcomes for STEM+ course graduates (3 and/or 5 years); increase in STEM+ and STEM-skilled graduates (number of non-STEM graduates with a STEM unit completed); increase/proportion of non-STEM units with STEM-skills embedded; proportion of final year students rated as job ready; increase/proportion of STEM-skills embedded in curriculum; increase/proportion of women in 'core' STEM courses (excluding health/architecture)&#10;The draft list of metrics under industry partnerships include: increase value/number of industry-linked programs, collaboration or partnerships broken down by industry type (e.g. ASX company, local government); increase category 2-4 income; increase in number of industry partners use of facilities/infrastructure or co-location; improvements in graduate outcomes overall; increase in the number of courses co-designed with industry (from short courses to PhDs)&#10;"/>
      </w:tblPr>
      <w:tblGrid>
        <w:gridCol w:w="2977"/>
        <w:gridCol w:w="2977"/>
        <w:gridCol w:w="2977"/>
      </w:tblGrid>
      <w:tr w:rsidR="00464452" w:rsidRPr="00835C0B" w14:paraId="4E744AF5" w14:textId="77777777" w:rsidTr="0015485F">
        <w:trPr>
          <w:trHeight w:hRule="exact" w:val="397"/>
          <w:tblHeader/>
        </w:trPr>
        <w:tc>
          <w:tcPr>
            <w:tcW w:w="2977" w:type="dxa"/>
            <w:tcBorders>
              <w:bottom w:val="single" w:sz="4" w:space="0" w:color="auto"/>
            </w:tcBorders>
            <w:shd w:val="clear" w:color="auto" w:fill="B6006A" w:themeFill="accent4"/>
            <w:vAlign w:val="center"/>
          </w:tcPr>
          <w:p w14:paraId="5F9CE3D6" w14:textId="77777777" w:rsidR="00464452" w:rsidRPr="00653494" w:rsidRDefault="00464452" w:rsidP="005B38BC">
            <w:pPr>
              <w:spacing w:line="240" w:lineRule="auto"/>
              <w:jc w:val="center"/>
              <w:rPr>
                <w:rFonts w:cstheme="minorHAnsi"/>
                <w:b/>
                <w:color w:val="FFFFFF" w:themeColor="background1"/>
                <w:sz w:val="24"/>
                <w:szCs w:val="24"/>
              </w:rPr>
            </w:pPr>
            <w:r w:rsidRPr="00653494">
              <w:rPr>
                <w:rFonts w:cstheme="minorHAnsi"/>
                <w:b/>
                <w:color w:val="FFFFFF" w:themeColor="background1"/>
                <w:sz w:val="24"/>
                <w:szCs w:val="24"/>
              </w:rPr>
              <w:t>WIL</w:t>
            </w:r>
          </w:p>
        </w:tc>
        <w:tc>
          <w:tcPr>
            <w:tcW w:w="2977" w:type="dxa"/>
            <w:tcBorders>
              <w:bottom w:val="single" w:sz="4" w:space="0" w:color="auto"/>
            </w:tcBorders>
            <w:shd w:val="clear" w:color="auto" w:fill="B6006A" w:themeFill="accent4"/>
            <w:vAlign w:val="center"/>
          </w:tcPr>
          <w:p w14:paraId="20DD66A1" w14:textId="794E7B9D" w:rsidR="00464452" w:rsidRPr="00653494" w:rsidRDefault="00737389" w:rsidP="005B38BC">
            <w:pPr>
              <w:spacing w:line="240" w:lineRule="auto"/>
              <w:jc w:val="center"/>
              <w:rPr>
                <w:rFonts w:cstheme="minorHAnsi"/>
                <w:b/>
                <w:color w:val="FFFFFF" w:themeColor="background1"/>
                <w:sz w:val="24"/>
                <w:szCs w:val="24"/>
              </w:rPr>
            </w:pPr>
            <w:r w:rsidRPr="00434A76">
              <w:rPr>
                <w:rFonts w:cstheme="minorHAnsi"/>
                <w:b/>
                <w:color w:val="FFFFFF" w:themeColor="background1"/>
                <w:sz w:val="24"/>
                <w:szCs w:val="24"/>
              </w:rPr>
              <w:t>STEM+</w:t>
            </w:r>
          </w:p>
        </w:tc>
        <w:tc>
          <w:tcPr>
            <w:tcW w:w="2977" w:type="dxa"/>
            <w:shd w:val="clear" w:color="auto" w:fill="B6006A" w:themeFill="accent4"/>
            <w:vAlign w:val="center"/>
          </w:tcPr>
          <w:p w14:paraId="68B6F8D1" w14:textId="77777777" w:rsidR="00464452" w:rsidRPr="00653494" w:rsidRDefault="00464452" w:rsidP="005B38BC">
            <w:pPr>
              <w:spacing w:line="240" w:lineRule="auto"/>
              <w:jc w:val="center"/>
              <w:rPr>
                <w:color w:val="FFFFFF" w:themeColor="background1"/>
              </w:rPr>
            </w:pPr>
            <w:r w:rsidRPr="00653494">
              <w:rPr>
                <w:rFonts w:cstheme="minorHAnsi"/>
                <w:b/>
                <w:color w:val="FFFFFF" w:themeColor="background1"/>
                <w:sz w:val="24"/>
                <w:szCs w:val="24"/>
              </w:rPr>
              <w:t>Industry partnerships</w:t>
            </w:r>
          </w:p>
        </w:tc>
      </w:tr>
      <w:tr w:rsidR="00464452" w:rsidRPr="00573D0B" w14:paraId="24C79D7C" w14:textId="77777777" w:rsidTr="0015485F">
        <w:trPr>
          <w:trHeight w:val="631"/>
        </w:trPr>
        <w:tc>
          <w:tcPr>
            <w:tcW w:w="2977" w:type="dxa"/>
          </w:tcPr>
          <w:p w14:paraId="5A53CF7A" w14:textId="77777777" w:rsidR="00464452" w:rsidRPr="001E5530" w:rsidRDefault="003843EA" w:rsidP="001E5530">
            <w:pPr>
              <w:pStyle w:val="ListParagraph"/>
              <w:numPr>
                <w:ilvl w:val="0"/>
                <w:numId w:val="27"/>
              </w:numPr>
              <w:tabs>
                <w:tab w:val="left" w:pos="6227"/>
              </w:tabs>
              <w:spacing w:line="240" w:lineRule="auto"/>
              <w:ind w:left="357" w:hanging="357"/>
              <w:contextualSpacing w:val="0"/>
              <w:rPr>
                <w:rFonts w:cstheme="minorHAnsi"/>
                <w:i/>
                <w:sz w:val="20"/>
                <w:szCs w:val="20"/>
              </w:rPr>
            </w:pPr>
            <w:r w:rsidRPr="001E5530">
              <w:rPr>
                <w:rFonts w:cstheme="minorHAnsi"/>
                <w:i/>
                <w:sz w:val="20"/>
                <w:szCs w:val="20"/>
              </w:rPr>
              <w:t>Increase/p</w:t>
            </w:r>
            <w:r w:rsidR="00464452" w:rsidRPr="001E5530">
              <w:rPr>
                <w:rFonts w:cstheme="minorHAnsi"/>
                <w:i/>
                <w:sz w:val="20"/>
                <w:szCs w:val="20"/>
              </w:rPr>
              <w:t xml:space="preserve">roportion of credit bearing, undergraduate WIL at your institution, broken down </w:t>
            </w:r>
            <w:proofErr w:type="gramStart"/>
            <w:r w:rsidR="00464452" w:rsidRPr="001E5530">
              <w:rPr>
                <w:rFonts w:cstheme="minorHAnsi"/>
                <w:i/>
                <w:sz w:val="20"/>
                <w:szCs w:val="20"/>
              </w:rPr>
              <w:t>by:</w:t>
            </w:r>
            <w:proofErr w:type="gramEnd"/>
            <w:r w:rsidR="00464452" w:rsidRPr="001E5530">
              <w:rPr>
                <w:rFonts w:cstheme="minorHAnsi"/>
                <w:i/>
                <w:sz w:val="20"/>
                <w:szCs w:val="20"/>
              </w:rPr>
              <w:t xml:space="preserve"> field of education; and depth</w:t>
            </w:r>
          </w:p>
          <w:p w14:paraId="40D51D88" w14:textId="77777777" w:rsidR="00464452" w:rsidRPr="001E5530" w:rsidRDefault="003843EA" w:rsidP="001E5530">
            <w:pPr>
              <w:pStyle w:val="ListParagraph"/>
              <w:numPr>
                <w:ilvl w:val="0"/>
                <w:numId w:val="27"/>
              </w:numPr>
              <w:tabs>
                <w:tab w:val="left" w:pos="6227"/>
              </w:tabs>
              <w:spacing w:line="240" w:lineRule="auto"/>
              <w:ind w:left="357" w:hanging="357"/>
              <w:contextualSpacing w:val="0"/>
              <w:rPr>
                <w:rFonts w:cstheme="minorHAnsi"/>
                <w:i/>
                <w:sz w:val="20"/>
                <w:szCs w:val="20"/>
              </w:rPr>
            </w:pPr>
            <w:r w:rsidRPr="001E5530">
              <w:rPr>
                <w:rFonts w:cstheme="minorHAnsi"/>
                <w:i/>
                <w:sz w:val="20"/>
                <w:szCs w:val="20"/>
              </w:rPr>
              <w:t xml:space="preserve">Increase/proportion </w:t>
            </w:r>
            <w:r w:rsidR="00464452" w:rsidRPr="001E5530">
              <w:rPr>
                <w:rFonts w:cstheme="minorHAnsi"/>
                <w:i/>
                <w:sz w:val="20"/>
                <w:szCs w:val="20"/>
              </w:rPr>
              <w:t>of academic workforce actively from industry</w:t>
            </w:r>
          </w:p>
          <w:p w14:paraId="4ADABF4D" w14:textId="21DFD9D9" w:rsidR="00464452" w:rsidRPr="001E5530" w:rsidRDefault="003843EA" w:rsidP="001E5530">
            <w:pPr>
              <w:pStyle w:val="ListParagraph"/>
              <w:numPr>
                <w:ilvl w:val="0"/>
                <w:numId w:val="27"/>
              </w:numPr>
              <w:tabs>
                <w:tab w:val="left" w:pos="6227"/>
              </w:tabs>
              <w:spacing w:line="240" w:lineRule="auto"/>
              <w:ind w:left="357" w:hanging="357"/>
              <w:contextualSpacing w:val="0"/>
              <w:rPr>
                <w:rFonts w:cstheme="minorHAnsi"/>
                <w:i/>
                <w:sz w:val="20"/>
                <w:szCs w:val="20"/>
              </w:rPr>
            </w:pPr>
            <w:r w:rsidRPr="001E5530">
              <w:rPr>
                <w:rFonts w:cstheme="minorHAnsi"/>
                <w:i/>
                <w:sz w:val="20"/>
                <w:szCs w:val="20"/>
              </w:rPr>
              <w:t>I</w:t>
            </w:r>
            <w:r w:rsidR="00B64C0B" w:rsidRPr="001E5530">
              <w:rPr>
                <w:rFonts w:cstheme="minorHAnsi"/>
                <w:i/>
                <w:sz w:val="20"/>
                <w:szCs w:val="20"/>
              </w:rPr>
              <w:t>nc</w:t>
            </w:r>
            <w:r w:rsidRPr="001E5530">
              <w:rPr>
                <w:rFonts w:cstheme="minorHAnsi"/>
                <w:i/>
                <w:sz w:val="20"/>
                <w:szCs w:val="20"/>
              </w:rPr>
              <w:t xml:space="preserve">rease/proportion </w:t>
            </w:r>
            <w:r w:rsidR="00464452" w:rsidRPr="001E5530">
              <w:rPr>
                <w:rFonts w:cstheme="minorHAnsi"/>
                <w:i/>
                <w:sz w:val="20"/>
                <w:szCs w:val="20"/>
              </w:rPr>
              <w:t>of curriculum that is co-designed and/or reviewed that year by industry</w:t>
            </w:r>
          </w:p>
          <w:p w14:paraId="29162E48" w14:textId="082399DD" w:rsidR="00B33B5E" w:rsidRPr="001E5530" w:rsidRDefault="00B33B5E" w:rsidP="001E5530">
            <w:pPr>
              <w:pStyle w:val="ListParagraph"/>
              <w:numPr>
                <w:ilvl w:val="0"/>
                <w:numId w:val="27"/>
              </w:numPr>
              <w:tabs>
                <w:tab w:val="left" w:pos="6227"/>
              </w:tabs>
              <w:spacing w:line="240" w:lineRule="auto"/>
              <w:ind w:left="357" w:hanging="357"/>
              <w:contextualSpacing w:val="0"/>
              <w:rPr>
                <w:rFonts w:cstheme="minorHAnsi"/>
                <w:i/>
                <w:iCs/>
                <w:sz w:val="20"/>
                <w:szCs w:val="20"/>
              </w:rPr>
            </w:pPr>
            <w:r w:rsidRPr="001E5530">
              <w:rPr>
                <w:rFonts w:cstheme="minorHAnsi"/>
                <w:i/>
                <w:iCs/>
                <w:sz w:val="20"/>
                <w:szCs w:val="20"/>
              </w:rPr>
              <w:t>Increase/proportion of HDR students undertaking internship/placement</w:t>
            </w:r>
            <w:r w:rsidR="00580577" w:rsidRPr="001E5530">
              <w:rPr>
                <w:rFonts w:cstheme="minorHAnsi"/>
                <w:i/>
                <w:iCs/>
                <w:sz w:val="20"/>
                <w:szCs w:val="20"/>
              </w:rPr>
              <w:t xml:space="preserve"> within first 18 months (of commencing HDR)</w:t>
            </w:r>
          </w:p>
          <w:p w14:paraId="44E9BF18" w14:textId="5F2ACA6B" w:rsidR="00291E96" w:rsidRPr="001E5530" w:rsidRDefault="00291E96" w:rsidP="009F11AD">
            <w:pPr>
              <w:pStyle w:val="ListParagraph"/>
              <w:numPr>
                <w:ilvl w:val="0"/>
                <w:numId w:val="27"/>
              </w:numPr>
              <w:tabs>
                <w:tab w:val="left" w:pos="6227"/>
              </w:tabs>
              <w:spacing w:line="240" w:lineRule="auto"/>
              <w:ind w:left="357" w:hanging="357"/>
              <w:contextualSpacing w:val="0"/>
              <w:rPr>
                <w:rFonts w:cstheme="minorHAnsi"/>
                <w:sz w:val="20"/>
                <w:szCs w:val="20"/>
              </w:rPr>
            </w:pPr>
            <w:r w:rsidRPr="001E5530">
              <w:rPr>
                <w:rFonts w:cstheme="minorHAnsi"/>
                <w:sz w:val="20"/>
                <w:szCs w:val="20"/>
              </w:rPr>
              <w:t>Increase/proportion of WEI units</w:t>
            </w:r>
            <w:r w:rsidR="00F72266" w:rsidRPr="001E5530">
              <w:rPr>
                <w:rFonts w:cstheme="minorHAnsi"/>
                <w:sz w:val="20"/>
                <w:szCs w:val="20"/>
              </w:rPr>
              <w:t xml:space="preserve"> </w:t>
            </w:r>
          </w:p>
        </w:tc>
        <w:tc>
          <w:tcPr>
            <w:tcW w:w="2977" w:type="dxa"/>
          </w:tcPr>
          <w:p w14:paraId="5654D88E" w14:textId="52E93796" w:rsidR="00464452" w:rsidRPr="00434A76" w:rsidRDefault="002463EB" w:rsidP="001E5530">
            <w:pPr>
              <w:pStyle w:val="ListParagraph"/>
              <w:numPr>
                <w:ilvl w:val="0"/>
                <w:numId w:val="27"/>
              </w:numPr>
              <w:tabs>
                <w:tab w:val="left" w:pos="6227"/>
              </w:tabs>
              <w:spacing w:line="240" w:lineRule="auto"/>
              <w:ind w:left="357" w:hanging="357"/>
              <w:contextualSpacing w:val="0"/>
              <w:rPr>
                <w:rFonts w:cstheme="minorHAnsi"/>
                <w:sz w:val="20"/>
                <w:szCs w:val="20"/>
              </w:rPr>
            </w:pPr>
            <w:r w:rsidRPr="001E5530">
              <w:rPr>
                <w:rFonts w:cstheme="minorHAnsi"/>
                <w:sz w:val="20"/>
                <w:szCs w:val="20"/>
              </w:rPr>
              <w:t>Improvement in</w:t>
            </w:r>
            <w:r w:rsidR="003125F6" w:rsidRPr="001E5530">
              <w:rPr>
                <w:rFonts w:cstheme="minorHAnsi"/>
                <w:sz w:val="20"/>
                <w:szCs w:val="20"/>
              </w:rPr>
              <w:t xml:space="preserve"> </w:t>
            </w:r>
            <w:r w:rsidR="00464452" w:rsidRPr="001E5530">
              <w:rPr>
                <w:rFonts w:cstheme="minorHAnsi"/>
                <w:sz w:val="20"/>
                <w:szCs w:val="20"/>
              </w:rPr>
              <w:t xml:space="preserve">employment outcomes </w:t>
            </w:r>
            <w:r w:rsidR="00442C5C" w:rsidRPr="00434A76">
              <w:rPr>
                <w:rFonts w:cstheme="minorHAnsi"/>
                <w:sz w:val="20"/>
                <w:szCs w:val="20"/>
              </w:rPr>
              <w:t xml:space="preserve">for </w:t>
            </w:r>
            <w:r w:rsidR="00737389" w:rsidRPr="00434A76">
              <w:rPr>
                <w:rFonts w:cstheme="minorHAnsi"/>
                <w:sz w:val="20"/>
                <w:szCs w:val="20"/>
              </w:rPr>
              <w:t>STEM+</w:t>
            </w:r>
            <w:r w:rsidR="00442C5C" w:rsidRPr="00434A76">
              <w:rPr>
                <w:rFonts w:cstheme="minorHAnsi"/>
                <w:sz w:val="20"/>
                <w:szCs w:val="20"/>
              </w:rPr>
              <w:t xml:space="preserve"> course graduates </w:t>
            </w:r>
            <w:r w:rsidR="00C37C11" w:rsidRPr="00434A76">
              <w:rPr>
                <w:rFonts w:cstheme="minorHAnsi"/>
                <w:sz w:val="20"/>
                <w:szCs w:val="20"/>
              </w:rPr>
              <w:br/>
            </w:r>
            <w:r w:rsidR="00464452" w:rsidRPr="00434A76">
              <w:rPr>
                <w:rFonts w:cstheme="minorHAnsi"/>
                <w:sz w:val="20"/>
                <w:szCs w:val="20"/>
              </w:rPr>
              <w:t>(3</w:t>
            </w:r>
            <w:r w:rsidR="003125F6" w:rsidRPr="00434A76">
              <w:rPr>
                <w:rFonts w:cstheme="minorHAnsi"/>
                <w:sz w:val="20"/>
                <w:szCs w:val="20"/>
              </w:rPr>
              <w:t xml:space="preserve"> and/or 5</w:t>
            </w:r>
            <w:r w:rsidR="00464452" w:rsidRPr="00434A76">
              <w:rPr>
                <w:rFonts w:cstheme="minorHAnsi"/>
                <w:sz w:val="20"/>
                <w:szCs w:val="20"/>
              </w:rPr>
              <w:t xml:space="preserve"> years) </w:t>
            </w:r>
          </w:p>
          <w:p w14:paraId="76BBDD17" w14:textId="58065194" w:rsidR="00C37C11" w:rsidRPr="001E5530" w:rsidRDefault="002463EB" w:rsidP="001E5530">
            <w:pPr>
              <w:pStyle w:val="ListParagraph"/>
              <w:numPr>
                <w:ilvl w:val="0"/>
                <w:numId w:val="27"/>
              </w:numPr>
              <w:tabs>
                <w:tab w:val="left" w:pos="6227"/>
              </w:tabs>
              <w:spacing w:line="240" w:lineRule="auto"/>
              <w:ind w:left="357" w:hanging="357"/>
              <w:contextualSpacing w:val="0"/>
              <w:rPr>
                <w:rFonts w:cstheme="minorHAnsi"/>
                <w:sz w:val="20"/>
                <w:szCs w:val="20"/>
              </w:rPr>
            </w:pPr>
            <w:r w:rsidRPr="00434A76">
              <w:rPr>
                <w:rFonts w:cstheme="minorHAnsi"/>
                <w:sz w:val="20"/>
                <w:szCs w:val="20"/>
              </w:rPr>
              <w:t xml:space="preserve">Increase in </w:t>
            </w:r>
            <w:r w:rsidR="00737389" w:rsidRPr="00434A76">
              <w:rPr>
                <w:rFonts w:cstheme="minorHAnsi"/>
                <w:sz w:val="20"/>
                <w:szCs w:val="20"/>
              </w:rPr>
              <w:t>STEM+</w:t>
            </w:r>
            <w:r w:rsidR="00464452" w:rsidRPr="00434A76">
              <w:rPr>
                <w:rFonts w:cstheme="minorHAnsi"/>
                <w:sz w:val="20"/>
                <w:szCs w:val="20"/>
              </w:rPr>
              <w:t xml:space="preserve"> </w:t>
            </w:r>
            <w:r w:rsidRPr="00434A76">
              <w:rPr>
                <w:rFonts w:cstheme="minorHAnsi"/>
                <w:sz w:val="20"/>
                <w:szCs w:val="20"/>
              </w:rPr>
              <w:t>and STEM</w:t>
            </w:r>
            <w:r w:rsidRPr="00434A76">
              <w:rPr>
                <w:rFonts w:cstheme="minorHAnsi"/>
                <w:sz w:val="20"/>
                <w:szCs w:val="20"/>
              </w:rPr>
              <w:noBreakHyphen/>
              <w:t xml:space="preserve">skilled </w:t>
            </w:r>
            <w:r w:rsidR="00C37C11" w:rsidRPr="00434A76">
              <w:rPr>
                <w:rFonts w:cstheme="minorHAnsi"/>
                <w:sz w:val="20"/>
                <w:szCs w:val="20"/>
              </w:rPr>
              <w:t>graduates</w:t>
            </w:r>
            <w:r w:rsidR="00D53A76" w:rsidRPr="00434A76">
              <w:rPr>
                <w:rFonts w:cstheme="minorHAnsi"/>
                <w:sz w:val="20"/>
                <w:szCs w:val="20"/>
              </w:rPr>
              <w:t xml:space="preserve"> (n</w:t>
            </w:r>
            <w:r w:rsidR="00D53A76" w:rsidRPr="00434A76">
              <w:rPr>
                <w:rFonts w:cstheme="minorHAnsi"/>
                <w:sz w:val="20"/>
              </w:rPr>
              <w:t>umber of non-</w:t>
            </w:r>
            <w:r w:rsidR="00D53A76" w:rsidRPr="001E5530">
              <w:rPr>
                <w:rFonts w:cstheme="minorHAnsi"/>
                <w:sz w:val="20"/>
              </w:rPr>
              <w:t>STEM graduates with a STEM unit completed)</w:t>
            </w:r>
          </w:p>
          <w:p w14:paraId="7D1E00A4" w14:textId="6A5C9953" w:rsidR="00C37C11" w:rsidRPr="001E5530" w:rsidRDefault="003843EA" w:rsidP="001E5530">
            <w:pPr>
              <w:pStyle w:val="ListParagraph"/>
              <w:numPr>
                <w:ilvl w:val="0"/>
                <w:numId w:val="27"/>
              </w:numPr>
              <w:tabs>
                <w:tab w:val="left" w:pos="6227"/>
              </w:tabs>
              <w:spacing w:line="240" w:lineRule="auto"/>
              <w:ind w:left="357" w:hanging="357"/>
              <w:contextualSpacing w:val="0"/>
              <w:rPr>
                <w:rFonts w:cstheme="minorHAnsi"/>
                <w:i/>
                <w:sz w:val="20"/>
                <w:szCs w:val="20"/>
              </w:rPr>
            </w:pPr>
            <w:r w:rsidRPr="001E5530">
              <w:rPr>
                <w:rFonts w:cstheme="minorHAnsi"/>
                <w:i/>
                <w:sz w:val="20"/>
                <w:szCs w:val="20"/>
              </w:rPr>
              <w:t xml:space="preserve">Increase/proportion </w:t>
            </w:r>
            <w:r w:rsidR="00464452" w:rsidRPr="001E5530">
              <w:rPr>
                <w:rFonts w:cstheme="minorHAnsi"/>
                <w:i/>
                <w:sz w:val="20"/>
                <w:szCs w:val="20"/>
              </w:rPr>
              <w:t xml:space="preserve">of </w:t>
            </w:r>
            <w:r w:rsidRPr="001E5530">
              <w:rPr>
                <w:rFonts w:cstheme="minorHAnsi"/>
                <w:i/>
                <w:sz w:val="20"/>
                <w:szCs w:val="20"/>
              </w:rPr>
              <w:br/>
            </w:r>
            <w:r w:rsidR="00464452" w:rsidRPr="001E5530">
              <w:rPr>
                <w:rFonts w:cstheme="minorHAnsi"/>
                <w:i/>
                <w:sz w:val="20"/>
                <w:szCs w:val="20"/>
              </w:rPr>
              <w:t>non-STEM units with STEM-skills embedded</w:t>
            </w:r>
          </w:p>
          <w:p w14:paraId="520145DA" w14:textId="1A9AD17B" w:rsidR="00EB4422" w:rsidRPr="001E5530" w:rsidRDefault="00EB4422" w:rsidP="001E5530">
            <w:pPr>
              <w:pStyle w:val="ListParagraph"/>
              <w:numPr>
                <w:ilvl w:val="0"/>
                <w:numId w:val="27"/>
              </w:numPr>
              <w:tabs>
                <w:tab w:val="left" w:pos="6227"/>
              </w:tabs>
              <w:spacing w:line="240" w:lineRule="auto"/>
              <w:ind w:left="357" w:hanging="357"/>
              <w:contextualSpacing w:val="0"/>
              <w:rPr>
                <w:rFonts w:cstheme="minorHAnsi"/>
                <w:i/>
                <w:sz w:val="20"/>
                <w:szCs w:val="20"/>
              </w:rPr>
            </w:pPr>
            <w:r w:rsidRPr="001E5530">
              <w:rPr>
                <w:rFonts w:cstheme="minorHAnsi"/>
                <w:i/>
                <w:sz w:val="20"/>
                <w:szCs w:val="20"/>
              </w:rPr>
              <w:t>Proportion of final year students rated as job ready</w:t>
            </w:r>
          </w:p>
          <w:p w14:paraId="3B7C22A3" w14:textId="2D21896F" w:rsidR="00EB4422" w:rsidRPr="001E5530" w:rsidRDefault="00EB4422" w:rsidP="001E5530">
            <w:pPr>
              <w:pStyle w:val="ListParagraph"/>
              <w:numPr>
                <w:ilvl w:val="0"/>
                <w:numId w:val="27"/>
              </w:numPr>
              <w:tabs>
                <w:tab w:val="left" w:pos="6227"/>
              </w:tabs>
              <w:spacing w:line="240" w:lineRule="auto"/>
              <w:ind w:left="357" w:hanging="357"/>
              <w:contextualSpacing w:val="0"/>
              <w:rPr>
                <w:rFonts w:cstheme="minorHAnsi"/>
                <w:i/>
                <w:sz w:val="20"/>
                <w:szCs w:val="20"/>
              </w:rPr>
            </w:pPr>
            <w:r w:rsidRPr="001E5530">
              <w:rPr>
                <w:rFonts w:cstheme="minorHAnsi"/>
                <w:i/>
                <w:sz w:val="20"/>
                <w:szCs w:val="20"/>
              </w:rPr>
              <w:t xml:space="preserve">Increase/proportion of </w:t>
            </w:r>
            <w:r w:rsidR="00C37C11" w:rsidRPr="001E5530">
              <w:rPr>
                <w:rFonts w:cstheme="minorHAnsi"/>
                <w:i/>
                <w:sz w:val="20"/>
                <w:szCs w:val="20"/>
              </w:rPr>
              <w:br/>
            </w:r>
            <w:r w:rsidRPr="001E5530">
              <w:rPr>
                <w:rFonts w:cstheme="minorHAnsi"/>
                <w:i/>
                <w:sz w:val="20"/>
                <w:szCs w:val="20"/>
              </w:rPr>
              <w:t>STEM-skills embedded in curriculum</w:t>
            </w:r>
          </w:p>
          <w:p w14:paraId="0976A782" w14:textId="24ED9BDF" w:rsidR="00AE03B1" w:rsidRPr="001E5530" w:rsidRDefault="00AE03B1" w:rsidP="001E5530">
            <w:pPr>
              <w:pStyle w:val="ListParagraph"/>
              <w:numPr>
                <w:ilvl w:val="0"/>
                <w:numId w:val="27"/>
              </w:numPr>
              <w:tabs>
                <w:tab w:val="left" w:pos="6227"/>
              </w:tabs>
              <w:spacing w:line="240" w:lineRule="auto"/>
              <w:ind w:left="357" w:hanging="357"/>
              <w:contextualSpacing w:val="0"/>
              <w:rPr>
                <w:rFonts w:cstheme="minorHAnsi"/>
                <w:i/>
                <w:sz w:val="20"/>
                <w:szCs w:val="20"/>
              </w:rPr>
            </w:pPr>
            <w:r w:rsidRPr="001E5530">
              <w:rPr>
                <w:rFonts w:cstheme="minorHAnsi"/>
                <w:i/>
                <w:sz w:val="20"/>
                <w:szCs w:val="20"/>
              </w:rPr>
              <w:t xml:space="preserve">Increase/proportion of women in </w:t>
            </w:r>
            <w:r w:rsidR="00C37C11" w:rsidRPr="001E5530">
              <w:rPr>
                <w:rFonts w:cstheme="minorHAnsi"/>
                <w:i/>
                <w:sz w:val="20"/>
                <w:szCs w:val="20"/>
              </w:rPr>
              <w:t xml:space="preserve">‘core’ </w:t>
            </w:r>
            <w:r w:rsidRPr="001E5530">
              <w:rPr>
                <w:rFonts w:cstheme="minorHAnsi"/>
                <w:i/>
                <w:sz w:val="20"/>
                <w:szCs w:val="20"/>
              </w:rPr>
              <w:t>STEM courses</w:t>
            </w:r>
            <w:r w:rsidR="005C464F" w:rsidRPr="001E5530">
              <w:rPr>
                <w:rFonts w:cstheme="minorHAnsi"/>
                <w:i/>
                <w:sz w:val="20"/>
                <w:szCs w:val="20"/>
              </w:rPr>
              <w:t xml:space="preserve"> (excluding health/architecture)</w:t>
            </w:r>
          </w:p>
        </w:tc>
        <w:tc>
          <w:tcPr>
            <w:tcW w:w="2977" w:type="dxa"/>
          </w:tcPr>
          <w:p w14:paraId="5CE722A6" w14:textId="77777777" w:rsidR="00FD77C7" w:rsidRPr="001E5530" w:rsidRDefault="003843EA" w:rsidP="001E5530">
            <w:pPr>
              <w:pStyle w:val="ListParagraph"/>
              <w:numPr>
                <w:ilvl w:val="0"/>
                <w:numId w:val="27"/>
              </w:numPr>
              <w:spacing w:line="240" w:lineRule="auto"/>
              <w:ind w:left="357" w:hanging="357"/>
              <w:contextualSpacing w:val="0"/>
              <w:rPr>
                <w:i/>
                <w:sz w:val="20"/>
                <w:szCs w:val="20"/>
              </w:rPr>
            </w:pPr>
            <w:r w:rsidRPr="001E5530">
              <w:rPr>
                <w:i/>
                <w:sz w:val="20"/>
                <w:szCs w:val="20"/>
              </w:rPr>
              <w:t>Increase v</w:t>
            </w:r>
            <w:r w:rsidR="00FD77C7" w:rsidRPr="001E5530">
              <w:rPr>
                <w:i/>
                <w:sz w:val="20"/>
                <w:szCs w:val="20"/>
              </w:rPr>
              <w:t>alue</w:t>
            </w:r>
            <w:r w:rsidR="00AD6BA9" w:rsidRPr="001E5530">
              <w:rPr>
                <w:i/>
                <w:sz w:val="20"/>
                <w:szCs w:val="20"/>
              </w:rPr>
              <w:t xml:space="preserve">/number of industry-linked programs, </w:t>
            </w:r>
            <w:r w:rsidR="0050188D" w:rsidRPr="001E5530">
              <w:rPr>
                <w:i/>
                <w:sz w:val="20"/>
                <w:szCs w:val="20"/>
              </w:rPr>
              <w:t xml:space="preserve">collaboration or </w:t>
            </w:r>
            <w:r w:rsidR="00AD6BA9" w:rsidRPr="001E5530">
              <w:rPr>
                <w:i/>
                <w:sz w:val="20"/>
                <w:szCs w:val="20"/>
              </w:rPr>
              <w:t>partnerships</w:t>
            </w:r>
            <w:r w:rsidR="0050188D" w:rsidRPr="001E5530">
              <w:rPr>
                <w:i/>
                <w:sz w:val="20"/>
                <w:szCs w:val="20"/>
              </w:rPr>
              <w:t xml:space="preserve"> broken down by industry type (e.g. ASX company, local government)</w:t>
            </w:r>
          </w:p>
          <w:p w14:paraId="2A291964" w14:textId="54AAC13B" w:rsidR="00B330CA" w:rsidRPr="001E5530" w:rsidRDefault="000B4B57" w:rsidP="001E5530">
            <w:pPr>
              <w:pStyle w:val="ListParagraph"/>
              <w:numPr>
                <w:ilvl w:val="0"/>
                <w:numId w:val="27"/>
              </w:numPr>
              <w:spacing w:line="240" w:lineRule="auto"/>
              <w:ind w:left="357" w:hanging="357"/>
              <w:contextualSpacing w:val="0"/>
              <w:rPr>
                <w:sz w:val="20"/>
                <w:szCs w:val="20"/>
              </w:rPr>
            </w:pPr>
            <w:r w:rsidRPr="001E5530">
              <w:rPr>
                <w:sz w:val="20"/>
                <w:szCs w:val="20"/>
              </w:rPr>
              <w:t>Increase cat 2-4 income</w:t>
            </w:r>
          </w:p>
          <w:p w14:paraId="05BFD810" w14:textId="77777777" w:rsidR="00B330CA" w:rsidRPr="001E5530" w:rsidRDefault="00CE73F6" w:rsidP="001E5530">
            <w:pPr>
              <w:pStyle w:val="ListParagraph"/>
              <w:numPr>
                <w:ilvl w:val="0"/>
                <w:numId w:val="27"/>
              </w:numPr>
              <w:spacing w:line="240" w:lineRule="auto"/>
              <w:ind w:left="357" w:hanging="357"/>
              <w:contextualSpacing w:val="0"/>
              <w:rPr>
                <w:i/>
                <w:sz w:val="20"/>
                <w:szCs w:val="20"/>
              </w:rPr>
            </w:pPr>
            <w:r w:rsidRPr="001E5530">
              <w:rPr>
                <w:i/>
                <w:sz w:val="20"/>
                <w:szCs w:val="20"/>
              </w:rPr>
              <w:t>Increase in number of industry partners u</w:t>
            </w:r>
            <w:r w:rsidR="00B330CA" w:rsidRPr="001E5530">
              <w:rPr>
                <w:i/>
                <w:sz w:val="20"/>
                <w:szCs w:val="20"/>
              </w:rPr>
              <w:t xml:space="preserve">se of facilities/infrastructure </w:t>
            </w:r>
            <w:r w:rsidRPr="001E5530">
              <w:rPr>
                <w:i/>
                <w:sz w:val="20"/>
                <w:szCs w:val="20"/>
              </w:rPr>
              <w:t>or</w:t>
            </w:r>
            <w:r w:rsidR="00B330CA" w:rsidRPr="001E5530">
              <w:rPr>
                <w:i/>
                <w:sz w:val="20"/>
                <w:szCs w:val="20"/>
              </w:rPr>
              <w:t xml:space="preserve"> </w:t>
            </w:r>
            <w:r w:rsidRPr="001E5530">
              <w:rPr>
                <w:i/>
                <w:sz w:val="20"/>
                <w:szCs w:val="20"/>
              </w:rPr>
              <w:br/>
            </w:r>
            <w:r w:rsidR="00B330CA" w:rsidRPr="001E5530">
              <w:rPr>
                <w:i/>
                <w:sz w:val="20"/>
                <w:szCs w:val="20"/>
              </w:rPr>
              <w:t>co-location</w:t>
            </w:r>
          </w:p>
          <w:p w14:paraId="61CF0241" w14:textId="77777777" w:rsidR="00F8143E" w:rsidRPr="001E5530" w:rsidRDefault="0050188D" w:rsidP="001E5530">
            <w:pPr>
              <w:pStyle w:val="ListParagraph"/>
              <w:numPr>
                <w:ilvl w:val="0"/>
                <w:numId w:val="27"/>
              </w:numPr>
              <w:spacing w:line="240" w:lineRule="auto"/>
              <w:ind w:left="357" w:hanging="357"/>
              <w:contextualSpacing w:val="0"/>
              <w:rPr>
                <w:sz w:val="20"/>
                <w:szCs w:val="20"/>
              </w:rPr>
            </w:pPr>
            <w:r w:rsidRPr="001E5530">
              <w:rPr>
                <w:sz w:val="20"/>
                <w:szCs w:val="20"/>
              </w:rPr>
              <w:t>Improvement in g</w:t>
            </w:r>
            <w:r w:rsidR="005A3D8C" w:rsidRPr="001E5530">
              <w:rPr>
                <w:sz w:val="20"/>
                <w:szCs w:val="20"/>
              </w:rPr>
              <w:t>raduate employment outcomes</w:t>
            </w:r>
            <w:r w:rsidR="001D52B6" w:rsidRPr="001E5530">
              <w:rPr>
                <w:sz w:val="20"/>
                <w:szCs w:val="20"/>
              </w:rPr>
              <w:t xml:space="preserve"> overall</w:t>
            </w:r>
          </w:p>
          <w:p w14:paraId="31B91782" w14:textId="543900AE" w:rsidR="00552B1A" w:rsidRPr="001E5530" w:rsidRDefault="00552B1A" w:rsidP="001E5530">
            <w:pPr>
              <w:pStyle w:val="ListParagraph"/>
              <w:numPr>
                <w:ilvl w:val="0"/>
                <w:numId w:val="27"/>
              </w:numPr>
              <w:spacing w:line="240" w:lineRule="auto"/>
              <w:ind w:left="357" w:hanging="357"/>
              <w:contextualSpacing w:val="0"/>
              <w:rPr>
                <w:i/>
                <w:iCs/>
                <w:sz w:val="20"/>
                <w:szCs w:val="20"/>
              </w:rPr>
            </w:pPr>
            <w:r w:rsidRPr="001E5530">
              <w:rPr>
                <w:i/>
                <w:iCs/>
                <w:sz w:val="20"/>
                <w:szCs w:val="20"/>
              </w:rPr>
              <w:t>Increase in the number of courses co-</w:t>
            </w:r>
            <w:r w:rsidR="00C37C11" w:rsidRPr="001E5530">
              <w:rPr>
                <w:i/>
                <w:iCs/>
                <w:sz w:val="20"/>
                <w:szCs w:val="20"/>
              </w:rPr>
              <w:t xml:space="preserve">designed with industry </w:t>
            </w:r>
            <w:r w:rsidRPr="001E5530">
              <w:rPr>
                <w:i/>
                <w:iCs/>
                <w:sz w:val="20"/>
                <w:szCs w:val="20"/>
              </w:rPr>
              <w:t>(from short courses to PhDs)</w:t>
            </w:r>
          </w:p>
        </w:tc>
      </w:tr>
    </w:tbl>
    <w:p w14:paraId="2DEA1208" w14:textId="4A8187B6" w:rsidR="001C325B" w:rsidRPr="001C325B" w:rsidRDefault="001C325B" w:rsidP="001C325B">
      <w:pPr>
        <w:spacing w:after="0"/>
        <w:rPr>
          <w:sz w:val="20"/>
          <w:highlight w:val="yellow"/>
        </w:rPr>
      </w:pPr>
      <w:r w:rsidRPr="001C325B">
        <w:rPr>
          <w:sz w:val="20"/>
        </w:rPr>
        <w:t xml:space="preserve">‘Increase/proportion’ also </w:t>
      </w:r>
      <w:proofErr w:type="gramStart"/>
      <w:r w:rsidR="00D56DE1">
        <w:rPr>
          <w:sz w:val="20"/>
        </w:rPr>
        <w:t>takes into account</w:t>
      </w:r>
      <w:proofErr w:type="gramEnd"/>
      <w:r w:rsidR="00D56DE1">
        <w:rPr>
          <w:sz w:val="20"/>
        </w:rPr>
        <w:t xml:space="preserve"> institutional</w:t>
      </w:r>
      <w:r w:rsidRPr="001C325B">
        <w:rPr>
          <w:sz w:val="20"/>
        </w:rPr>
        <w:t xml:space="preserve"> maintenance of </w:t>
      </w:r>
      <w:r w:rsidR="00AE03B1">
        <w:rPr>
          <w:sz w:val="20"/>
        </w:rPr>
        <w:t xml:space="preserve">top </w:t>
      </w:r>
      <w:r w:rsidRPr="001C325B">
        <w:rPr>
          <w:sz w:val="20"/>
        </w:rPr>
        <w:t xml:space="preserve">performance </w:t>
      </w:r>
    </w:p>
    <w:p w14:paraId="36E696D4" w14:textId="77777777" w:rsidR="002B1869" w:rsidRDefault="001C325B" w:rsidP="0057637C">
      <w:pPr>
        <w:spacing w:after="0"/>
        <w:rPr>
          <w:rFonts w:cstheme="minorHAnsi"/>
          <w:iCs/>
          <w:sz w:val="20"/>
        </w:rPr>
      </w:pPr>
      <w:r w:rsidRPr="001C325B">
        <w:rPr>
          <w:rFonts w:cstheme="minorHAnsi"/>
          <w:i/>
          <w:iCs/>
          <w:sz w:val="20"/>
        </w:rPr>
        <w:t>Italics</w:t>
      </w:r>
      <w:r w:rsidRPr="001C325B">
        <w:rPr>
          <w:rFonts w:cstheme="minorHAnsi"/>
          <w:iCs/>
          <w:sz w:val="20"/>
        </w:rPr>
        <w:t xml:space="preserve"> denotes non-government data collection</w:t>
      </w:r>
    </w:p>
    <w:p w14:paraId="14DE29D8" w14:textId="7C89AB98" w:rsidR="000B4B57" w:rsidRPr="005C483D" w:rsidRDefault="00EF07A0" w:rsidP="002B1869">
      <w:pPr>
        <w:spacing w:before="360"/>
      </w:pPr>
      <w:r>
        <w:rPr>
          <w:b/>
        </w:rPr>
        <w:t>Table 4</w:t>
      </w:r>
      <w:r w:rsidR="005D7E1B" w:rsidRPr="005D7E1B">
        <w:rPr>
          <w:b/>
        </w:rPr>
        <w:t xml:space="preserve"> </w:t>
      </w:r>
      <w:r w:rsidR="005D7E1B" w:rsidRPr="005C483D">
        <w:t xml:space="preserve">provides an extended list of metrics </w:t>
      </w:r>
      <w:r w:rsidR="005E0AC0">
        <w:t>that are proposed. O</w:t>
      </w:r>
      <w:r w:rsidR="005D7E1B" w:rsidRPr="005C483D">
        <w:t xml:space="preserve">nce finalised, the list will comprise approximately four metrics per priority. </w:t>
      </w:r>
      <w:r w:rsidR="000B4B57" w:rsidRPr="005C483D">
        <w:t xml:space="preserve">While some of the proposed indictors already exist, others will need to be developed and trialled during the pilot period to ensure they </w:t>
      </w:r>
      <w:r w:rsidR="0057637C">
        <w:t>are suitable for the sector</w:t>
      </w:r>
      <w:r w:rsidR="000B4B57" w:rsidRPr="005C483D">
        <w:t xml:space="preserve">. </w:t>
      </w:r>
      <w:r w:rsidR="00D53A76">
        <w:t>By having</w:t>
      </w:r>
      <w:r w:rsidR="000B4B57" w:rsidRPr="005C483D">
        <w:t xml:space="preserve"> metrics </w:t>
      </w:r>
      <w:r w:rsidR="00D53A76">
        <w:t xml:space="preserve">which sit alongside </w:t>
      </w:r>
      <w:r w:rsidR="000B4B57" w:rsidRPr="005C483D">
        <w:t xml:space="preserve">demonstrators and </w:t>
      </w:r>
      <w:r w:rsidR="003943D3" w:rsidRPr="005C483D">
        <w:t>innovators</w:t>
      </w:r>
      <w:r w:rsidR="000B4B57" w:rsidRPr="005C483D">
        <w:t xml:space="preserve">, </w:t>
      </w:r>
      <w:r w:rsidR="0057637C">
        <w:t>i</w:t>
      </w:r>
      <w:r w:rsidR="0057637C" w:rsidRPr="0057637C">
        <w:t>t provides ti</w:t>
      </w:r>
      <w:r w:rsidR="0057637C">
        <w:t>me for metrics to be developed, and means the</w:t>
      </w:r>
      <w:r w:rsidR="0057637C" w:rsidRPr="0057637C">
        <w:t>y do not need to be wholly representative of performance i</w:t>
      </w:r>
      <w:r w:rsidR="0057637C">
        <w:t xml:space="preserve">n a priority. It also mitigates </w:t>
      </w:r>
      <w:r w:rsidR="000B4B57" w:rsidRPr="005C483D">
        <w:t xml:space="preserve">against simplistic metrics driving unintentional behaviours and </w:t>
      </w:r>
      <w:r w:rsidR="00246747">
        <w:br/>
      </w:r>
      <w:r w:rsidR="000B4B57" w:rsidRPr="005C483D">
        <w:t>“system gaming”.</w:t>
      </w:r>
    </w:p>
    <w:p w14:paraId="09A08822" w14:textId="48D092C0" w:rsidR="00E2598C" w:rsidRPr="00EF07A0" w:rsidRDefault="000433BC" w:rsidP="00EF07A0">
      <w:r w:rsidRPr="005C483D">
        <w:t xml:space="preserve">Demonstrators and innovators are developed by each university. They will be in line with university missions and vary greatly. In these areas, universities are encouraged to take risk in order to achieve </w:t>
      </w:r>
      <w:r w:rsidR="004F0DFA" w:rsidRPr="005C483D">
        <w:t xml:space="preserve">good outcomes. </w:t>
      </w:r>
      <w:r w:rsidR="000B4B57" w:rsidRPr="005C483D">
        <w:t xml:space="preserve">They are not simplistic case studies and require both quantitative and qualitative evidence to demonstrate outcomes. </w:t>
      </w:r>
      <w:r w:rsidR="004F0DFA" w:rsidRPr="005C483D">
        <w:t xml:space="preserve">The demonstrators and innovators will be agreed </w:t>
      </w:r>
      <w:r w:rsidR="00FC329A" w:rsidRPr="005C483D">
        <w:t xml:space="preserve">with </w:t>
      </w:r>
      <w:r w:rsidR="004F0DFA" w:rsidRPr="005C483D">
        <w:t xml:space="preserve">the department </w:t>
      </w:r>
      <w:r w:rsidR="00FC329A" w:rsidRPr="005C483D">
        <w:t>and</w:t>
      </w:r>
      <w:r w:rsidR="004F0DFA" w:rsidRPr="005C483D">
        <w:t xml:space="preserve"> the university in the NPILF agreement, refer examples at </w:t>
      </w:r>
      <w:r w:rsidR="004F0DFA" w:rsidRPr="005C483D">
        <w:rPr>
          <w:b/>
        </w:rPr>
        <w:t xml:space="preserve">Table </w:t>
      </w:r>
      <w:r w:rsidR="005F675D">
        <w:rPr>
          <w:b/>
        </w:rPr>
        <w:t>5</w:t>
      </w:r>
      <w:r w:rsidR="004F0DFA" w:rsidRPr="005C483D">
        <w:t xml:space="preserve">. </w:t>
      </w:r>
      <w:r w:rsidR="00D57C47" w:rsidRPr="005C483D">
        <w:t>It is important to recognise that</w:t>
      </w:r>
      <w:r w:rsidR="004F0DFA" w:rsidRPr="005C483D">
        <w:t xml:space="preserve"> </w:t>
      </w:r>
      <w:r w:rsidR="00D57C47" w:rsidRPr="005C483D">
        <w:t xml:space="preserve">where a university does </w:t>
      </w:r>
      <w:r w:rsidR="004F0DFA" w:rsidRPr="005C483D">
        <w:t>not achi</w:t>
      </w:r>
      <w:r w:rsidR="00D57C47" w:rsidRPr="005C483D">
        <w:t xml:space="preserve">eve </w:t>
      </w:r>
      <w:r w:rsidR="004F0DFA" w:rsidRPr="005C483D">
        <w:t xml:space="preserve">the expected outcome </w:t>
      </w:r>
      <w:r w:rsidR="00D57C47" w:rsidRPr="005C483D">
        <w:t>of an</w:t>
      </w:r>
      <w:r w:rsidR="0057637C">
        <w:t>y</w:t>
      </w:r>
      <w:r w:rsidR="00D57C47" w:rsidRPr="005C483D">
        <w:t xml:space="preserve"> indicator</w:t>
      </w:r>
      <w:r w:rsidR="0057637C">
        <w:t xml:space="preserve"> (metric, demonstrator or innovator)</w:t>
      </w:r>
      <w:r w:rsidR="00D57C47" w:rsidRPr="005C483D">
        <w:t>, the requirements</w:t>
      </w:r>
      <w:r w:rsidR="004F0DFA" w:rsidRPr="005C483D">
        <w:t xml:space="preserve"> can still </w:t>
      </w:r>
      <w:r w:rsidR="00D57C47" w:rsidRPr="005C483D">
        <w:t>be met</w:t>
      </w:r>
      <w:r w:rsidR="004F0DFA" w:rsidRPr="005C483D">
        <w:t xml:space="preserve"> by providing</w:t>
      </w:r>
      <w:r w:rsidR="004F0DFA" w:rsidRPr="00EE4AE4">
        <w:t xml:space="preserve"> evidence of </w:t>
      </w:r>
      <w:r w:rsidR="00FC329A" w:rsidRPr="00EE4AE4">
        <w:t>what was implemented</w:t>
      </w:r>
      <w:r w:rsidR="00E442A5" w:rsidRPr="00EE4AE4">
        <w:t xml:space="preserve"> and what was learned from the process</w:t>
      </w:r>
      <w:r w:rsidR="004F0DFA" w:rsidRPr="00EE4AE4">
        <w:t xml:space="preserve">. </w:t>
      </w:r>
      <w:r w:rsidR="00E442A5" w:rsidRPr="00EE4AE4">
        <w:t xml:space="preserve">Additionally, where an indicator is not achieved, it can still form part of the agreement in subsequent years if the university wants to </w:t>
      </w:r>
      <w:r w:rsidR="00E442A5" w:rsidRPr="00EE4AE4">
        <w:lastRenderedPageBreak/>
        <w:t>continue to try to achieve in that area.</w:t>
      </w:r>
      <w:r w:rsidR="00D53A76">
        <w:t xml:space="preserve"> </w:t>
      </w:r>
      <w:r w:rsidR="00D53A76" w:rsidRPr="00EE4AE4">
        <w:t>This failure tolerance is an essential component of the framework to encourage risk and drive behavioural change across the sector.</w:t>
      </w:r>
    </w:p>
    <w:p w14:paraId="1EE78E11" w14:textId="726D3795" w:rsidR="00CB605B" w:rsidRDefault="00CB605B" w:rsidP="002F1714">
      <w:pPr>
        <w:pStyle w:val="Caption"/>
        <w:keepNext/>
      </w:pPr>
      <w:r>
        <w:t xml:space="preserve">Table </w:t>
      </w:r>
      <w:fldSimple w:instr=" SEQ Table \* ARABIC ">
        <w:r w:rsidR="006724E2">
          <w:rPr>
            <w:noProof/>
          </w:rPr>
          <w:t>2</w:t>
        </w:r>
      </w:fldSimple>
      <w:r>
        <w:t xml:space="preserve"> Examples of demonstrators and innovators under each priority</w:t>
      </w:r>
    </w:p>
    <w:tbl>
      <w:tblPr>
        <w:tblStyle w:val="TableGrid"/>
        <w:tblW w:w="8931" w:type="dxa"/>
        <w:tblInd w:w="-5" w:type="dxa"/>
        <w:tblLook w:val="04A0" w:firstRow="1" w:lastRow="0" w:firstColumn="1" w:lastColumn="0" w:noHBand="0" w:noVBand="1"/>
        <w:tblCaption w:val="Table 5 Examples of demonstrators and innovators under each priority"/>
        <w:tblDescription w:val="Table 5 provides examples of demonstrators and innovators for each priority. For work integrated learning, demonstrators may be programs which target internships in small-medium enterprises, virtual internship programs, entrepreneurship centres and other programs to increase WIL. For STEM+demonstrators may be business incubator programs to enhance STEM employability and attractiveness of STEM careers, programs which increase accessability of STEM programs to school students, STEM-based microcredentials taught to industry partners to upskill existing workshop as well as endorsement of a skills needs framework i.e. scope of practice for STEM+ students, honours and HDR students. Lastly, examples of demonstrators under indsutry partnerships may be evidence of new education offerings, higher apprenticeships, diplomas and microcredentials, SME engagement programs, start-up and entrepreneurship programs, increase in number of repeat business/scaled up partnerships, as well as evidence of and increase in professional development programs for workplace supervisors, evaluation of partnerships and researching WIL practices. &#10;In terms of innvoators under each priority, for WIL these may me internships in student start-ups and founder matching programs as well as trialling a new innovative WIL approach. For STEM, it might be embedding STEM-skills across all degree programs. For industry partnerships, this may be increased scale of joint marketing or recruitment initiative. "/>
      </w:tblPr>
      <w:tblGrid>
        <w:gridCol w:w="2977"/>
        <w:gridCol w:w="2977"/>
        <w:gridCol w:w="2977"/>
      </w:tblGrid>
      <w:tr w:rsidR="00464452" w:rsidRPr="00835C0B" w14:paraId="4CD3AFD0" w14:textId="77777777" w:rsidTr="0015485F">
        <w:trPr>
          <w:trHeight w:hRule="exact" w:val="397"/>
          <w:tblHeader/>
        </w:trPr>
        <w:tc>
          <w:tcPr>
            <w:tcW w:w="2977" w:type="dxa"/>
            <w:tcBorders>
              <w:bottom w:val="single" w:sz="4" w:space="0" w:color="auto"/>
            </w:tcBorders>
            <w:shd w:val="clear" w:color="auto" w:fill="B6006A" w:themeFill="accent4"/>
            <w:vAlign w:val="center"/>
          </w:tcPr>
          <w:p w14:paraId="47B641A5" w14:textId="77777777" w:rsidR="00464452" w:rsidRPr="00653494" w:rsidRDefault="00464452" w:rsidP="005B38BC">
            <w:pPr>
              <w:spacing w:line="240" w:lineRule="auto"/>
              <w:jc w:val="center"/>
              <w:rPr>
                <w:rFonts w:cstheme="minorHAnsi"/>
                <w:b/>
                <w:color w:val="FFFFFF" w:themeColor="background1"/>
                <w:sz w:val="24"/>
                <w:szCs w:val="24"/>
              </w:rPr>
            </w:pPr>
            <w:r w:rsidRPr="00653494">
              <w:rPr>
                <w:rFonts w:cstheme="minorHAnsi"/>
                <w:b/>
                <w:color w:val="FFFFFF" w:themeColor="background1"/>
                <w:sz w:val="24"/>
                <w:szCs w:val="24"/>
              </w:rPr>
              <w:t>WIL</w:t>
            </w:r>
          </w:p>
        </w:tc>
        <w:tc>
          <w:tcPr>
            <w:tcW w:w="2977" w:type="dxa"/>
            <w:tcBorders>
              <w:bottom w:val="single" w:sz="4" w:space="0" w:color="auto"/>
            </w:tcBorders>
            <w:shd w:val="clear" w:color="auto" w:fill="B6006A" w:themeFill="accent4"/>
            <w:vAlign w:val="center"/>
          </w:tcPr>
          <w:p w14:paraId="36014011" w14:textId="05747DAD" w:rsidR="00464452" w:rsidRPr="00653494" w:rsidRDefault="00737389" w:rsidP="005B38BC">
            <w:pPr>
              <w:spacing w:line="240" w:lineRule="auto"/>
              <w:jc w:val="center"/>
              <w:rPr>
                <w:rFonts w:cstheme="minorHAnsi"/>
                <w:b/>
                <w:color w:val="FFFFFF" w:themeColor="background1"/>
                <w:sz w:val="24"/>
                <w:szCs w:val="24"/>
              </w:rPr>
            </w:pPr>
            <w:r>
              <w:rPr>
                <w:rFonts w:cstheme="minorHAnsi"/>
                <w:b/>
                <w:color w:val="FFFFFF" w:themeColor="background1"/>
                <w:sz w:val="24"/>
                <w:szCs w:val="24"/>
              </w:rPr>
              <w:t>STEM+</w:t>
            </w:r>
          </w:p>
        </w:tc>
        <w:tc>
          <w:tcPr>
            <w:tcW w:w="2977" w:type="dxa"/>
            <w:shd w:val="clear" w:color="auto" w:fill="B6006A" w:themeFill="accent4"/>
            <w:vAlign w:val="center"/>
          </w:tcPr>
          <w:p w14:paraId="6903AB68" w14:textId="77777777" w:rsidR="00464452" w:rsidRPr="00653494" w:rsidRDefault="00464452" w:rsidP="005B38BC">
            <w:pPr>
              <w:spacing w:line="240" w:lineRule="auto"/>
              <w:jc w:val="center"/>
              <w:rPr>
                <w:color w:val="FFFFFF" w:themeColor="background1"/>
              </w:rPr>
            </w:pPr>
            <w:r w:rsidRPr="00653494">
              <w:rPr>
                <w:rFonts w:cstheme="minorHAnsi"/>
                <w:b/>
                <w:color w:val="FFFFFF" w:themeColor="background1"/>
                <w:sz w:val="24"/>
                <w:szCs w:val="24"/>
              </w:rPr>
              <w:t>Industry partnerships</w:t>
            </w:r>
          </w:p>
        </w:tc>
      </w:tr>
      <w:tr w:rsidR="00464452" w:rsidRPr="00CA74DA" w14:paraId="2FB52847" w14:textId="77777777" w:rsidTr="002F1714">
        <w:trPr>
          <w:trHeight w:hRule="exact" w:val="340"/>
          <w:tblHeader/>
        </w:trPr>
        <w:tc>
          <w:tcPr>
            <w:tcW w:w="8931" w:type="dxa"/>
            <w:gridSpan w:val="3"/>
            <w:tcBorders>
              <w:bottom w:val="single" w:sz="4" w:space="0" w:color="auto"/>
            </w:tcBorders>
            <w:shd w:val="clear" w:color="auto" w:fill="FFBDE3" w:themeFill="accent4" w:themeFillTint="33"/>
          </w:tcPr>
          <w:p w14:paraId="700CA224" w14:textId="036177A6" w:rsidR="00464452" w:rsidRPr="00CA74DA" w:rsidRDefault="00464452" w:rsidP="005B38BC">
            <w:pPr>
              <w:spacing w:line="240" w:lineRule="auto"/>
              <w:rPr>
                <w:rFonts w:cstheme="minorHAnsi"/>
                <w:b/>
                <w:sz w:val="24"/>
                <w:szCs w:val="24"/>
              </w:rPr>
            </w:pPr>
            <w:r>
              <w:rPr>
                <w:rFonts w:cstheme="minorHAnsi"/>
                <w:b/>
                <w:sz w:val="24"/>
                <w:szCs w:val="24"/>
              </w:rPr>
              <w:t>Demonstrators – to be provided by each university. These are examples only.</w:t>
            </w:r>
          </w:p>
        </w:tc>
      </w:tr>
      <w:tr w:rsidR="00464452" w:rsidRPr="00740CBB" w14:paraId="3D32643E" w14:textId="77777777" w:rsidTr="0015485F">
        <w:trPr>
          <w:trHeight w:val="403"/>
        </w:trPr>
        <w:tc>
          <w:tcPr>
            <w:tcW w:w="2977" w:type="dxa"/>
          </w:tcPr>
          <w:p w14:paraId="53D70688" w14:textId="4064F518" w:rsidR="00464452" w:rsidRPr="002F1714" w:rsidRDefault="003943D3" w:rsidP="002F1714">
            <w:pPr>
              <w:pStyle w:val="ListParagraph"/>
              <w:numPr>
                <w:ilvl w:val="0"/>
                <w:numId w:val="19"/>
              </w:numPr>
              <w:tabs>
                <w:tab w:val="left" w:pos="6227"/>
              </w:tabs>
              <w:spacing w:line="240" w:lineRule="auto"/>
              <w:ind w:left="357" w:hanging="357"/>
              <w:contextualSpacing w:val="0"/>
              <w:rPr>
                <w:sz w:val="20"/>
              </w:rPr>
            </w:pPr>
            <w:r w:rsidRPr="002F1714">
              <w:rPr>
                <w:sz w:val="20"/>
              </w:rPr>
              <w:t>P</w:t>
            </w:r>
            <w:r w:rsidR="00464452" w:rsidRPr="002F1714">
              <w:rPr>
                <w:sz w:val="20"/>
              </w:rPr>
              <w:t>rograms which target internships in SME</w:t>
            </w:r>
            <w:r w:rsidR="00F56BBF">
              <w:rPr>
                <w:sz w:val="20"/>
              </w:rPr>
              <w:t>s</w:t>
            </w:r>
          </w:p>
          <w:p w14:paraId="7B2267F8" w14:textId="3B799234" w:rsidR="00464452" w:rsidRPr="002F1714" w:rsidRDefault="003943D3" w:rsidP="002F1714">
            <w:pPr>
              <w:pStyle w:val="ListParagraph"/>
              <w:numPr>
                <w:ilvl w:val="0"/>
                <w:numId w:val="19"/>
              </w:numPr>
              <w:tabs>
                <w:tab w:val="left" w:pos="6227"/>
              </w:tabs>
              <w:spacing w:line="240" w:lineRule="auto"/>
              <w:ind w:left="357" w:hanging="357"/>
              <w:contextualSpacing w:val="0"/>
              <w:rPr>
                <w:sz w:val="20"/>
              </w:rPr>
            </w:pPr>
            <w:r w:rsidRPr="002F1714">
              <w:rPr>
                <w:sz w:val="20"/>
              </w:rPr>
              <w:t>V</w:t>
            </w:r>
            <w:r w:rsidR="00464452" w:rsidRPr="002F1714">
              <w:rPr>
                <w:sz w:val="20"/>
              </w:rPr>
              <w:t>irtual internship programs</w:t>
            </w:r>
          </w:p>
          <w:p w14:paraId="71FB89C1" w14:textId="6080BFC7" w:rsidR="00464452" w:rsidRPr="002F1714" w:rsidRDefault="00464452" w:rsidP="002F1714">
            <w:pPr>
              <w:pStyle w:val="ListParagraph"/>
              <w:numPr>
                <w:ilvl w:val="0"/>
                <w:numId w:val="19"/>
              </w:numPr>
              <w:tabs>
                <w:tab w:val="left" w:pos="6227"/>
              </w:tabs>
              <w:spacing w:line="240" w:lineRule="auto"/>
              <w:ind w:left="357" w:hanging="357"/>
              <w:contextualSpacing w:val="0"/>
              <w:rPr>
                <w:sz w:val="20"/>
              </w:rPr>
            </w:pPr>
            <w:r w:rsidRPr="002F1714">
              <w:rPr>
                <w:sz w:val="20"/>
              </w:rPr>
              <w:t>Entrepreneurship centres</w:t>
            </w:r>
          </w:p>
          <w:p w14:paraId="59E0AA45" w14:textId="30E90C51" w:rsidR="00464452" w:rsidRPr="002F1714" w:rsidRDefault="003943D3" w:rsidP="002F1714">
            <w:pPr>
              <w:pStyle w:val="ListParagraph"/>
              <w:numPr>
                <w:ilvl w:val="0"/>
                <w:numId w:val="19"/>
              </w:numPr>
              <w:tabs>
                <w:tab w:val="left" w:pos="6227"/>
              </w:tabs>
              <w:spacing w:line="240" w:lineRule="auto"/>
              <w:ind w:left="357" w:hanging="357"/>
              <w:contextualSpacing w:val="0"/>
              <w:rPr>
                <w:sz w:val="20"/>
              </w:rPr>
            </w:pPr>
            <w:r w:rsidRPr="002F1714">
              <w:rPr>
                <w:sz w:val="20"/>
              </w:rPr>
              <w:t>P</w:t>
            </w:r>
            <w:r w:rsidR="00464452" w:rsidRPr="002F1714">
              <w:rPr>
                <w:sz w:val="20"/>
              </w:rPr>
              <w:t>rograms to increase WIL</w:t>
            </w:r>
          </w:p>
        </w:tc>
        <w:tc>
          <w:tcPr>
            <w:tcW w:w="2977" w:type="dxa"/>
          </w:tcPr>
          <w:p w14:paraId="1AF10E55" w14:textId="3E8A2CC6" w:rsidR="00464452" w:rsidRPr="002F1714" w:rsidRDefault="003943D3" w:rsidP="002F1714">
            <w:pPr>
              <w:pStyle w:val="ListParagraph"/>
              <w:numPr>
                <w:ilvl w:val="0"/>
                <w:numId w:val="19"/>
              </w:numPr>
              <w:tabs>
                <w:tab w:val="left" w:pos="6227"/>
              </w:tabs>
              <w:spacing w:line="240" w:lineRule="auto"/>
              <w:ind w:left="357" w:hanging="357"/>
              <w:contextualSpacing w:val="0"/>
              <w:rPr>
                <w:sz w:val="20"/>
              </w:rPr>
            </w:pPr>
            <w:r w:rsidRPr="002F1714">
              <w:rPr>
                <w:sz w:val="20"/>
              </w:rPr>
              <w:t>B</w:t>
            </w:r>
            <w:r w:rsidR="00464452" w:rsidRPr="002F1714">
              <w:rPr>
                <w:sz w:val="20"/>
              </w:rPr>
              <w:t>usiness incubator programs to enhance STEM employability and attractiveness of STEM careers</w:t>
            </w:r>
          </w:p>
          <w:p w14:paraId="2CBF909F" w14:textId="58CA5D01" w:rsidR="00464452" w:rsidRPr="002F1714" w:rsidRDefault="003943D3" w:rsidP="002F1714">
            <w:pPr>
              <w:pStyle w:val="ListParagraph"/>
              <w:numPr>
                <w:ilvl w:val="0"/>
                <w:numId w:val="19"/>
              </w:numPr>
              <w:tabs>
                <w:tab w:val="left" w:pos="6227"/>
              </w:tabs>
              <w:spacing w:line="240" w:lineRule="auto"/>
              <w:ind w:left="357" w:hanging="357"/>
              <w:contextualSpacing w:val="0"/>
              <w:rPr>
                <w:sz w:val="20"/>
              </w:rPr>
            </w:pPr>
            <w:r w:rsidRPr="002F1714">
              <w:rPr>
                <w:sz w:val="20"/>
              </w:rPr>
              <w:t>P</w:t>
            </w:r>
            <w:r w:rsidR="00464452" w:rsidRPr="002F1714">
              <w:rPr>
                <w:sz w:val="20"/>
              </w:rPr>
              <w:t>rogra</w:t>
            </w:r>
            <w:r w:rsidRPr="002F1714">
              <w:rPr>
                <w:sz w:val="20"/>
              </w:rPr>
              <w:t>ms which increas</w:t>
            </w:r>
            <w:r w:rsidR="00552B1A" w:rsidRPr="002F1714">
              <w:rPr>
                <w:sz w:val="20"/>
              </w:rPr>
              <w:t>e</w:t>
            </w:r>
            <w:r w:rsidR="00464452" w:rsidRPr="002F1714">
              <w:rPr>
                <w:sz w:val="20"/>
              </w:rPr>
              <w:t xml:space="preserve"> accessibility of </w:t>
            </w:r>
            <w:r w:rsidR="000C4774">
              <w:rPr>
                <w:sz w:val="20"/>
              </w:rPr>
              <w:t xml:space="preserve">core </w:t>
            </w:r>
            <w:r w:rsidR="00464452" w:rsidRPr="002F1714">
              <w:rPr>
                <w:sz w:val="20"/>
              </w:rPr>
              <w:t>STEM programs to school students</w:t>
            </w:r>
          </w:p>
          <w:p w14:paraId="4C1BF103" w14:textId="11DB02BA" w:rsidR="00464452" w:rsidRPr="002F1714" w:rsidRDefault="00215804" w:rsidP="002F1714">
            <w:pPr>
              <w:pStyle w:val="ListParagraph"/>
              <w:numPr>
                <w:ilvl w:val="0"/>
                <w:numId w:val="19"/>
              </w:numPr>
              <w:tabs>
                <w:tab w:val="left" w:pos="6227"/>
              </w:tabs>
              <w:spacing w:line="240" w:lineRule="auto"/>
              <w:ind w:left="357" w:hanging="357"/>
              <w:contextualSpacing w:val="0"/>
              <w:rPr>
                <w:sz w:val="20"/>
                <w:szCs w:val="20"/>
              </w:rPr>
            </w:pPr>
            <w:r w:rsidRPr="002F1714">
              <w:rPr>
                <w:sz w:val="20"/>
              </w:rPr>
              <w:t xml:space="preserve">STEM-based </w:t>
            </w:r>
            <w:proofErr w:type="spellStart"/>
            <w:r w:rsidRPr="002F1714">
              <w:rPr>
                <w:sz w:val="20"/>
              </w:rPr>
              <w:t>micro</w:t>
            </w:r>
            <w:r w:rsidR="00464452" w:rsidRPr="002F1714">
              <w:rPr>
                <w:sz w:val="20"/>
              </w:rPr>
              <w:t>credentials</w:t>
            </w:r>
            <w:proofErr w:type="spellEnd"/>
            <w:r w:rsidR="00464452" w:rsidRPr="002F1714">
              <w:rPr>
                <w:sz w:val="20"/>
              </w:rPr>
              <w:t xml:space="preserve"> </w:t>
            </w:r>
            <w:r w:rsidR="00464452" w:rsidRPr="002F1714">
              <w:rPr>
                <w:sz w:val="20"/>
                <w:szCs w:val="20"/>
              </w:rPr>
              <w:t xml:space="preserve">taught to industry partners </w:t>
            </w:r>
            <w:r w:rsidRPr="002F1714">
              <w:rPr>
                <w:sz w:val="20"/>
                <w:szCs w:val="20"/>
              </w:rPr>
              <w:t>to upskill</w:t>
            </w:r>
            <w:r w:rsidR="00464452" w:rsidRPr="002F1714">
              <w:rPr>
                <w:sz w:val="20"/>
                <w:szCs w:val="20"/>
              </w:rPr>
              <w:t xml:space="preserve"> existing workforce</w:t>
            </w:r>
          </w:p>
          <w:p w14:paraId="66F9E458" w14:textId="5FBBFF83" w:rsidR="007301E7" w:rsidRPr="009D22FA" w:rsidRDefault="00736282" w:rsidP="002F1714">
            <w:pPr>
              <w:pStyle w:val="ListParagraph"/>
              <w:numPr>
                <w:ilvl w:val="0"/>
                <w:numId w:val="19"/>
              </w:numPr>
              <w:tabs>
                <w:tab w:val="left" w:pos="6227"/>
              </w:tabs>
              <w:spacing w:line="240" w:lineRule="auto"/>
              <w:ind w:left="357" w:hanging="357"/>
              <w:contextualSpacing w:val="0"/>
              <w:rPr>
                <w:sz w:val="18"/>
              </w:rPr>
            </w:pPr>
            <w:r w:rsidRPr="002F1714">
              <w:rPr>
                <w:sz w:val="20"/>
                <w:szCs w:val="20"/>
              </w:rPr>
              <w:t>Endorse</w:t>
            </w:r>
            <w:r w:rsidR="00F56BBF">
              <w:rPr>
                <w:sz w:val="20"/>
                <w:szCs w:val="20"/>
              </w:rPr>
              <w:t>ment of</w:t>
            </w:r>
            <w:r w:rsidR="007301E7" w:rsidRPr="002F1714">
              <w:rPr>
                <w:sz w:val="20"/>
                <w:szCs w:val="20"/>
              </w:rPr>
              <w:t xml:space="preserve"> skills needs framework i.e. scope of practice for STEM</w:t>
            </w:r>
            <w:r w:rsidR="00737389" w:rsidRPr="002F1714">
              <w:rPr>
                <w:sz w:val="20"/>
                <w:szCs w:val="20"/>
              </w:rPr>
              <w:t>+</w:t>
            </w:r>
            <w:r w:rsidR="007301E7" w:rsidRPr="002F1714">
              <w:rPr>
                <w:sz w:val="20"/>
                <w:szCs w:val="20"/>
              </w:rPr>
              <w:t xml:space="preserve"> students</w:t>
            </w:r>
            <w:r w:rsidRPr="002F1714">
              <w:rPr>
                <w:sz w:val="20"/>
                <w:szCs w:val="20"/>
              </w:rPr>
              <w:t xml:space="preserve"> (all years)</w:t>
            </w:r>
            <w:r w:rsidR="007301E7" w:rsidRPr="002F1714">
              <w:rPr>
                <w:sz w:val="20"/>
                <w:szCs w:val="20"/>
              </w:rPr>
              <w:t>, Honours and HDR.</w:t>
            </w:r>
          </w:p>
        </w:tc>
        <w:tc>
          <w:tcPr>
            <w:tcW w:w="2977" w:type="dxa"/>
          </w:tcPr>
          <w:p w14:paraId="1BB9DF29" w14:textId="77777777" w:rsidR="00464452" w:rsidRPr="002F1714" w:rsidRDefault="00464452" w:rsidP="002F1714">
            <w:pPr>
              <w:pStyle w:val="ListParagraph"/>
              <w:numPr>
                <w:ilvl w:val="0"/>
                <w:numId w:val="19"/>
              </w:numPr>
              <w:tabs>
                <w:tab w:val="left" w:pos="6227"/>
              </w:tabs>
              <w:spacing w:line="240" w:lineRule="auto"/>
              <w:ind w:left="357" w:hanging="357"/>
              <w:contextualSpacing w:val="0"/>
              <w:rPr>
                <w:sz w:val="20"/>
              </w:rPr>
            </w:pPr>
            <w:r w:rsidRPr="002F1714">
              <w:rPr>
                <w:sz w:val="20"/>
              </w:rPr>
              <w:t xml:space="preserve">Evidence of new education offerings, higher apprenticeships, diplomas, </w:t>
            </w:r>
            <w:proofErr w:type="spellStart"/>
            <w:r w:rsidRPr="002F1714">
              <w:rPr>
                <w:sz w:val="20"/>
              </w:rPr>
              <w:t>microcredentials</w:t>
            </w:r>
            <w:proofErr w:type="spellEnd"/>
            <w:r w:rsidRPr="002F1714">
              <w:rPr>
                <w:sz w:val="20"/>
              </w:rPr>
              <w:t>.</w:t>
            </w:r>
          </w:p>
          <w:p w14:paraId="44B2DD8B" w14:textId="77777777" w:rsidR="00464452" w:rsidRPr="002F1714" w:rsidRDefault="00464452" w:rsidP="002F1714">
            <w:pPr>
              <w:pStyle w:val="ListParagraph"/>
              <w:numPr>
                <w:ilvl w:val="0"/>
                <w:numId w:val="19"/>
              </w:numPr>
              <w:tabs>
                <w:tab w:val="left" w:pos="6227"/>
              </w:tabs>
              <w:spacing w:line="240" w:lineRule="auto"/>
              <w:ind w:left="357" w:hanging="357"/>
              <w:contextualSpacing w:val="0"/>
              <w:rPr>
                <w:sz w:val="20"/>
              </w:rPr>
            </w:pPr>
            <w:r w:rsidRPr="002F1714">
              <w:rPr>
                <w:sz w:val="20"/>
              </w:rPr>
              <w:t>SME engagement programs</w:t>
            </w:r>
          </w:p>
          <w:p w14:paraId="5712EC4B" w14:textId="77777777" w:rsidR="00464452" w:rsidRPr="002F1714" w:rsidRDefault="00464452" w:rsidP="002F1714">
            <w:pPr>
              <w:pStyle w:val="ListParagraph"/>
              <w:numPr>
                <w:ilvl w:val="0"/>
                <w:numId w:val="19"/>
              </w:numPr>
              <w:tabs>
                <w:tab w:val="left" w:pos="6227"/>
              </w:tabs>
              <w:spacing w:line="240" w:lineRule="auto"/>
              <w:ind w:left="357" w:hanging="357"/>
              <w:contextualSpacing w:val="0"/>
              <w:rPr>
                <w:sz w:val="20"/>
              </w:rPr>
            </w:pPr>
            <w:r w:rsidRPr="002F1714">
              <w:rPr>
                <w:sz w:val="20"/>
              </w:rPr>
              <w:t>Start-up and entrepreneurship programs</w:t>
            </w:r>
          </w:p>
          <w:p w14:paraId="1F14DCE9" w14:textId="77777777" w:rsidR="00EE4AE4" w:rsidRPr="002F1714" w:rsidRDefault="00EE4AE4" w:rsidP="002F1714">
            <w:pPr>
              <w:pStyle w:val="ListParagraph"/>
              <w:numPr>
                <w:ilvl w:val="0"/>
                <w:numId w:val="19"/>
              </w:numPr>
              <w:spacing w:line="240" w:lineRule="auto"/>
              <w:ind w:left="357" w:hanging="357"/>
              <w:contextualSpacing w:val="0"/>
              <w:rPr>
                <w:sz w:val="20"/>
              </w:rPr>
            </w:pPr>
            <w:r w:rsidRPr="002F1714">
              <w:rPr>
                <w:sz w:val="20"/>
              </w:rPr>
              <w:t>Increase number of r</w:t>
            </w:r>
            <w:r w:rsidR="005E1E57" w:rsidRPr="002F1714">
              <w:rPr>
                <w:sz w:val="20"/>
              </w:rPr>
              <w:t>epeat business/</w:t>
            </w:r>
            <w:r w:rsidR="00215804" w:rsidRPr="002F1714">
              <w:rPr>
                <w:sz w:val="20"/>
              </w:rPr>
              <w:t>scaled up partnership</w:t>
            </w:r>
            <w:r w:rsidR="005E1E57" w:rsidRPr="002F1714">
              <w:rPr>
                <w:sz w:val="20"/>
              </w:rPr>
              <w:t>s</w:t>
            </w:r>
          </w:p>
          <w:p w14:paraId="703505F4" w14:textId="333F844D" w:rsidR="00E45179" w:rsidRPr="002F1714" w:rsidRDefault="00E45179" w:rsidP="002F1714">
            <w:pPr>
              <w:pStyle w:val="ListParagraph"/>
              <w:numPr>
                <w:ilvl w:val="0"/>
                <w:numId w:val="19"/>
              </w:numPr>
              <w:spacing w:line="240" w:lineRule="auto"/>
              <w:ind w:left="357" w:hanging="357"/>
              <w:contextualSpacing w:val="0"/>
              <w:rPr>
                <w:sz w:val="20"/>
              </w:rPr>
            </w:pPr>
            <w:r w:rsidRPr="002F1714">
              <w:rPr>
                <w:sz w:val="20"/>
              </w:rPr>
              <w:t>Evidence of</w:t>
            </w:r>
            <w:r w:rsidR="00B233C6" w:rsidRPr="002F1714">
              <w:rPr>
                <w:sz w:val="20"/>
              </w:rPr>
              <w:t>,</w:t>
            </w:r>
            <w:r w:rsidRPr="002F1714">
              <w:rPr>
                <w:sz w:val="20"/>
              </w:rPr>
              <w:t xml:space="preserve"> and increase in</w:t>
            </w:r>
            <w:r w:rsidR="00B233C6" w:rsidRPr="002F1714">
              <w:rPr>
                <w:sz w:val="20"/>
              </w:rPr>
              <w:t>,</w:t>
            </w:r>
            <w:r w:rsidRPr="002F1714">
              <w:rPr>
                <w:sz w:val="20"/>
              </w:rPr>
              <w:t xml:space="preserve"> professional development programs for workplace supervisors, evaluation of partnerships and researching WIL practices</w:t>
            </w:r>
          </w:p>
        </w:tc>
      </w:tr>
      <w:tr w:rsidR="00464452" w:rsidRPr="00CA74DA" w14:paraId="1597F3D8" w14:textId="77777777" w:rsidTr="00653494">
        <w:trPr>
          <w:trHeight w:hRule="exact" w:val="340"/>
        </w:trPr>
        <w:tc>
          <w:tcPr>
            <w:tcW w:w="8931" w:type="dxa"/>
            <w:gridSpan w:val="3"/>
            <w:tcBorders>
              <w:bottom w:val="single" w:sz="4" w:space="0" w:color="auto"/>
            </w:tcBorders>
            <w:shd w:val="clear" w:color="auto" w:fill="FFBDE3" w:themeFill="accent4" w:themeFillTint="33"/>
          </w:tcPr>
          <w:p w14:paraId="513C6914" w14:textId="77777777" w:rsidR="00464452" w:rsidRPr="005C483D" w:rsidRDefault="000433BC" w:rsidP="005B38BC">
            <w:pPr>
              <w:spacing w:line="240" w:lineRule="auto"/>
              <w:rPr>
                <w:rFonts w:cstheme="minorHAnsi"/>
                <w:b/>
                <w:sz w:val="24"/>
                <w:szCs w:val="24"/>
              </w:rPr>
            </w:pPr>
            <w:r w:rsidRPr="005C483D">
              <w:rPr>
                <w:rFonts w:cstheme="minorHAnsi"/>
                <w:b/>
                <w:sz w:val="24"/>
                <w:szCs w:val="24"/>
              </w:rPr>
              <w:t>Innovators</w:t>
            </w:r>
            <w:r w:rsidR="00464452" w:rsidRPr="005C483D">
              <w:rPr>
                <w:rFonts w:cstheme="minorHAnsi"/>
                <w:b/>
                <w:sz w:val="24"/>
                <w:szCs w:val="24"/>
              </w:rPr>
              <w:t xml:space="preserve"> – to be provided by each university. These are examples only.</w:t>
            </w:r>
          </w:p>
        </w:tc>
      </w:tr>
      <w:tr w:rsidR="00464452" w:rsidRPr="00740CBB" w14:paraId="4E077601" w14:textId="77777777" w:rsidTr="0015485F">
        <w:trPr>
          <w:trHeight w:val="403"/>
        </w:trPr>
        <w:tc>
          <w:tcPr>
            <w:tcW w:w="2977" w:type="dxa"/>
          </w:tcPr>
          <w:p w14:paraId="1B7D5492" w14:textId="77777777" w:rsidR="00464452" w:rsidRPr="002F1714" w:rsidRDefault="00464452" w:rsidP="0015485F">
            <w:pPr>
              <w:pStyle w:val="ListParagraph"/>
              <w:numPr>
                <w:ilvl w:val="0"/>
                <w:numId w:val="20"/>
              </w:numPr>
              <w:spacing w:line="240" w:lineRule="auto"/>
              <w:ind w:left="326" w:hanging="357"/>
              <w:contextualSpacing w:val="0"/>
              <w:rPr>
                <w:sz w:val="20"/>
              </w:rPr>
            </w:pPr>
            <w:r w:rsidRPr="002F1714">
              <w:rPr>
                <w:sz w:val="20"/>
              </w:rPr>
              <w:t>Internship in student start-ups and founder matching program</w:t>
            </w:r>
          </w:p>
          <w:p w14:paraId="01725534" w14:textId="15CF3B0D" w:rsidR="00E14E88" w:rsidRPr="002F1714" w:rsidRDefault="00E14E88" w:rsidP="0015485F">
            <w:pPr>
              <w:pStyle w:val="ListParagraph"/>
              <w:numPr>
                <w:ilvl w:val="0"/>
                <w:numId w:val="20"/>
              </w:numPr>
              <w:spacing w:line="240" w:lineRule="auto"/>
              <w:ind w:left="326" w:hanging="357"/>
              <w:contextualSpacing w:val="0"/>
              <w:rPr>
                <w:sz w:val="20"/>
              </w:rPr>
            </w:pPr>
            <w:r w:rsidRPr="002F1714">
              <w:rPr>
                <w:sz w:val="20"/>
              </w:rPr>
              <w:t xml:space="preserve">Trialling </w:t>
            </w:r>
            <w:r w:rsidR="00F36CED" w:rsidRPr="002F1714">
              <w:rPr>
                <w:sz w:val="20"/>
              </w:rPr>
              <w:t xml:space="preserve">a </w:t>
            </w:r>
            <w:r w:rsidRPr="002F1714">
              <w:rPr>
                <w:sz w:val="20"/>
              </w:rPr>
              <w:t>new, innovative WIL approach</w:t>
            </w:r>
          </w:p>
        </w:tc>
        <w:tc>
          <w:tcPr>
            <w:tcW w:w="2977" w:type="dxa"/>
          </w:tcPr>
          <w:p w14:paraId="71145E59" w14:textId="61060055" w:rsidR="00464452" w:rsidRPr="002F1714" w:rsidRDefault="00464452" w:rsidP="002F1714">
            <w:pPr>
              <w:pStyle w:val="ListParagraph"/>
              <w:numPr>
                <w:ilvl w:val="0"/>
                <w:numId w:val="20"/>
              </w:numPr>
              <w:spacing w:line="240" w:lineRule="auto"/>
              <w:rPr>
                <w:sz w:val="20"/>
              </w:rPr>
            </w:pPr>
            <w:r w:rsidRPr="002F1714">
              <w:rPr>
                <w:sz w:val="20"/>
              </w:rPr>
              <w:t>STEM</w:t>
            </w:r>
            <w:r w:rsidR="00737389" w:rsidRPr="002F1714">
              <w:rPr>
                <w:sz w:val="20"/>
              </w:rPr>
              <w:t>-</w:t>
            </w:r>
            <w:r w:rsidRPr="002F1714">
              <w:rPr>
                <w:sz w:val="20"/>
              </w:rPr>
              <w:t>skills embedded across all degree programs</w:t>
            </w:r>
          </w:p>
        </w:tc>
        <w:tc>
          <w:tcPr>
            <w:tcW w:w="2977" w:type="dxa"/>
          </w:tcPr>
          <w:p w14:paraId="357469B1" w14:textId="4A256900" w:rsidR="00464452" w:rsidRPr="002F1714" w:rsidRDefault="00215804" w:rsidP="002F1714">
            <w:pPr>
              <w:pStyle w:val="ListParagraph"/>
              <w:numPr>
                <w:ilvl w:val="0"/>
                <w:numId w:val="20"/>
              </w:numPr>
              <w:spacing w:line="240" w:lineRule="auto"/>
              <w:rPr>
                <w:sz w:val="20"/>
              </w:rPr>
            </w:pPr>
            <w:r w:rsidRPr="002F1714">
              <w:rPr>
                <w:sz w:val="20"/>
              </w:rPr>
              <w:t>Increased scale of joint marketing or recruitment initiative</w:t>
            </w:r>
          </w:p>
        </w:tc>
      </w:tr>
    </w:tbl>
    <w:p w14:paraId="2411BAE4" w14:textId="148F086A" w:rsidR="000A0214" w:rsidRDefault="000A0214" w:rsidP="002B1869">
      <w:pPr>
        <w:spacing w:before="240"/>
      </w:pPr>
      <w:r>
        <w:t xml:space="preserve">While one metric, demonstrator and innovator must come from each priority, the remaining three indicators may be from any priority and any tier. Each tier </w:t>
      </w:r>
      <w:proofErr w:type="gramStart"/>
      <w:r>
        <w:t>in itself does</w:t>
      </w:r>
      <w:proofErr w:type="gramEnd"/>
      <w:r>
        <w:t xml:space="preserve"> not have to be mutually exclusive or collectively exhaustive. An appropriate mixture of indicators across tiers and priorities will be endorsed by the department in the agreement, see example at </w:t>
      </w:r>
      <w:r>
        <w:rPr>
          <w:b/>
        </w:rPr>
        <w:t xml:space="preserve">Table </w:t>
      </w:r>
      <w:r w:rsidR="008B4D81">
        <w:rPr>
          <w:b/>
        </w:rPr>
        <w:t>6</w:t>
      </w:r>
      <w:r>
        <w:t>.</w:t>
      </w:r>
    </w:p>
    <w:p w14:paraId="6F0CA4DE" w14:textId="77777777" w:rsidR="00F36CED" w:rsidRDefault="00F36CED">
      <w:pPr>
        <w:spacing w:after="160" w:line="259" w:lineRule="auto"/>
        <w:rPr>
          <w:b/>
        </w:rPr>
      </w:pPr>
      <w:r>
        <w:rPr>
          <w:b/>
        </w:rPr>
        <w:br w:type="page"/>
      </w:r>
    </w:p>
    <w:p w14:paraId="61E7B179" w14:textId="04ED4C1A" w:rsidR="008B4D81" w:rsidRDefault="008B4D81" w:rsidP="000E7754">
      <w:pPr>
        <w:pStyle w:val="Caption"/>
        <w:keepNext/>
      </w:pPr>
      <w:r>
        <w:lastRenderedPageBreak/>
        <w:t xml:space="preserve">Table </w:t>
      </w:r>
      <w:fldSimple w:instr=" SEQ Table \* ARABIC ">
        <w:r w:rsidR="006724E2">
          <w:rPr>
            <w:noProof/>
          </w:rPr>
          <w:t>3</w:t>
        </w:r>
      </w:fldSimple>
      <w:r>
        <w:t xml:space="preserve"> </w:t>
      </w:r>
      <w:r w:rsidRPr="00EA4A65">
        <w:t>Example of indicator combination of 12 indicators</w:t>
      </w:r>
    </w:p>
    <w:p w14:paraId="573B917F" w14:textId="59C3F55D" w:rsidR="000A0214" w:rsidRDefault="008B4D81" w:rsidP="002F1714">
      <w:pPr>
        <w:spacing w:after="0" w:line="259" w:lineRule="auto"/>
        <w:rPr>
          <w:b/>
        </w:rPr>
      </w:pPr>
      <w:r>
        <w:rPr>
          <w:noProof/>
          <w:lang w:eastAsia="en-AU"/>
        </w:rPr>
        <w:drawing>
          <wp:inline distT="0" distB="0" distL="0" distR="0" wp14:anchorId="2A15EEAF" wp14:editId="3028A134">
            <wp:extent cx="5311302" cy="1591743"/>
            <wp:effectExtent l="0" t="0" r="3810" b="8890"/>
            <wp:docPr id="41" name="Picture 41" descr="This table provides an example of how a university may wish to demonstrate each indicator. As mentioned, a minium of one metric, demonstrator and innovator per priority. In this example, a university has chosen to have two metrics (one required, one optional), two demonstrators (one required, one optional) and one innovator (required) for WIL totalling 5. They have chosen one metric, one demonstrator and one inovator for STEM, totalling three. Lastly, they have chosen two metrics (one required, one optional), one demonstrator and one innovator for industry partnerships, totalling four. " title="Table 6 Exampler of indicator combination of 12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34826" cy="1598793"/>
                    </a:xfrm>
                    <a:prstGeom prst="rect">
                      <a:avLst/>
                    </a:prstGeom>
                  </pic:spPr>
                </pic:pic>
              </a:graphicData>
            </a:graphic>
          </wp:inline>
        </w:drawing>
      </w:r>
    </w:p>
    <w:p w14:paraId="24DF6269" w14:textId="6896C324" w:rsidR="004126DB" w:rsidRDefault="00470BA9" w:rsidP="008F6C35">
      <w:pPr>
        <w:pStyle w:val="Heading3"/>
      </w:pPr>
      <w:r>
        <w:t>End of year assessment of NPILF activities</w:t>
      </w:r>
    </w:p>
    <w:p w14:paraId="566E84E5" w14:textId="26BD7F7A" w:rsidR="008E23EC" w:rsidRPr="00434A76" w:rsidRDefault="00893FFA" w:rsidP="00454B8E">
      <w:r w:rsidRPr="00434A76">
        <w:t>In November each year</w:t>
      </w:r>
      <w:r w:rsidR="00EE68EB" w:rsidRPr="00434A76">
        <w:t>, t</w:t>
      </w:r>
      <w:r w:rsidR="00737C5E" w:rsidRPr="00434A76">
        <w:t xml:space="preserve">he university </w:t>
      </w:r>
      <w:r w:rsidR="008E23EC" w:rsidRPr="00434A76">
        <w:t xml:space="preserve">will </w:t>
      </w:r>
      <w:r w:rsidR="006006BA" w:rsidRPr="00434A76">
        <w:t>submit a report against</w:t>
      </w:r>
      <w:r w:rsidR="008E23EC" w:rsidRPr="00434A76">
        <w:t xml:space="preserve"> the NPILF activities undertaken. </w:t>
      </w:r>
      <w:r w:rsidRPr="00434A76">
        <w:t xml:space="preserve">The </w:t>
      </w:r>
      <w:r w:rsidR="006006BA" w:rsidRPr="00434A76">
        <w:t>report</w:t>
      </w:r>
      <w:r w:rsidRPr="00434A76">
        <w:t xml:space="preserve"> will not be onerous on the university, as it is expected that the </w:t>
      </w:r>
      <w:r w:rsidR="002E0458">
        <w:t>report</w:t>
      </w:r>
      <w:r w:rsidRPr="00434A76">
        <w:t xml:space="preserve"> will be a direct response to </w:t>
      </w:r>
      <w:r w:rsidR="00470BA9" w:rsidRPr="00434A76">
        <w:t xml:space="preserve">(1) </w:t>
      </w:r>
      <w:r w:rsidRPr="00434A76">
        <w:t xml:space="preserve">the requirements </w:t>
      </w:r>
      <w:r w:rsidR="00DF044D" w:rsidRPr="00434A76">
        <w:t>established</w:t>
      </w:r>
      <w:r w:rsidRPr="00434A76">
        <w:t xml:space="preserve"> in their NPILF agreement for that year</w:t>
      </w:r>
      <w:r w:rsidR="00DF044D" w:rsidRPr="00434A76">
        <w:t xml:space="preserve"> and </w:t>
      </w:r>
      <w:r w:rsidR="00470BA9" w:rsidRPr="00434A76">
        <w:br/>
        <w:t xml:space="preserve">(2) </w:t>
      </w:r>
      <w:r w:rsidR="00DF044D" w:rsidRPr="00434A76">
        <w:t xml:space="preserve">the assessment criteria </w:t>
      </w:r>
      <w:r w:rsidR="00470BA9" w:rsidRPr="00434A76">
        <w:t xml:space="preserve">which is </w:t>
      </w:r>
      <w:r w:rsidR="00DF044D" w:rsidRPr="00434A76">
        <w:t xml:space="preserve">set out in </w:t>
      </w:r>
      <w:r w:rsidR="00DF044D" w:rsidRPr="00434A76">
        <w:rPr>
          <w:b/>
        </w:rPr>
        <w:t xml:space="preserve">Table </w:t>
      </w:r>
      <w:r w:rsidR="008B4D81" w:rsidRPr="00434A76">
        <w:rPr>
          <w:b/>
        </w:rPr>
        <w:t>7</w:t>
      </w:r>
      <w:r w:rsidR="00DF044D" w:rsidRPr="00434A76">
        <w:t xml:space="preserve">. </w:t>
      </w:r>
      <w:r w:rsidR="006006BA" w:rsidRPr="00434A76">
        <w:t>In t</w:t>
      </w:r>
      <w:r w:rsidRPr="00434A76">
        <w:t xml:space="preserve">he </w:t>
      </w:r>
      <w:r w:rsidR="006006BA" w:rsidRPr="00434A76">
        <w:t>report, the university</w:t>
      </w:r>
      <w:r w:rsidRPr="00434A76">
        <w:t xml:space="preserve"> will determine if </w:t>
      </w:r>
      <w:r w:rsidR="006006BA" w:rsidRPr="00434A76">
        <w:t>it</w:t>
      </w:r>
      <w:r w:rsidRPr="00434A76">
        <w:t xml:space="preserve"> was satisfactory or non-satisfactory </w:t>
      </w:r>
      <w:r w:rsidR="006006BA" w:rsidRPr="00434A76">
        <w:t>regarding</w:t>
      </w:r>
      <w:r w:rsidRPr="00434A76">
        <w:t xml:space="preserve"> each indicator and briefly demonstrate why (quantitative and qualitative evidence). </w:t>
      </w:r>
      <w:r w:rsidR="006006BA" w:rsidRPr="00434A76">
        <w:t>A satisfactory rating</w:t>
      </w:r>
      <w:r w:rsidR="00F554CB" w:rsidRPr="00434A76">
        <w:t xml:space="preserve"> does not necessarily </w:t>
      </w:r>
      <w:r w:rsidR="006006BA" w:rsidRPr="00434A76">
        <w:t xml:space="preserve">require </w:t>
      </w:r>
      <w:r w:rsidR="00F554CB" w:rsidRPr="00434A76">
        <w:t xml:space="preserve">a </w:t>
      </w:r>
      <w:r w:rsidR="00A227E6" w:rsidRPr="00434A76">
        <w:t>‘</w:t>
      </w:r>
      <w:r w:rsidR="00F554CB" w:rsidRPr="00434A76">
        <w:t>successful</w:t>
      </w:r>
      <w:r w:rsidR="00BA205B" w:rsidRPr="00434A76">
        <w:t>’ or ‘complete’</w:t>
      </w:r>
      <w:r w:rsidR="00F554CB" w:rsidRPr="00434A76">
        <w:t xml:space="preserve"> outcome,</w:t>
      </w:r>
      <w:r w:rsidR="008E23EC" w:rsidRPr="00434A76">
        <w:t xml:space="preserve"> as </w:t>
      </w:r>
      <w:r w:rsidR="00F554CB" w:rsidRPr="00434A76">
        <w:t xml:space="preserve">the intent of NPILF is to </w:t>
      </w:r>
      <w:r w:rsidR="00A227E6" w:rsidRPr="00434A76">
        <w:t>encourage</w:t>
      </w:r>
      <w:r w:rsidR="00F554CB" w:rsidRPr="00434A76">
        <w:t xml:space="preserve"> </w:t>
      </w:r>
      <w:r w:rsidR="00470BA9" w:rsidRPr="00434A76">
        <w:t xml:space="preserve">risk, </w:t>
      </w:r>
      <w:r w:rsidR="008E23EC" w:rsidRPr="00434A76">
        <w:t>innovation</w:t>
      </w:r>
      <w:r w:rsidR="000C4774">
        <w:t xml:space="preserve"> and reward noble failure, which </w:t>
      </w:r>
      <w:r w:rsidR="00A227E6" w:rsidRPr="00434A76">
        <w:t>support</w:t>
      </w:r>
      <w:r w:rsidR="000C4774">
        <w:t>s the</w:t>
      </w:r>
      <w:r w:rsidR="00F554CB" w:rsidRPr="00434A76">
        <w:t xml:space="preserve"> </w:t>
      </w:r>
      <w:r w:rsidR="008E23EC" w:rsidRPr="00434A76">
        <w:t xml:space="preserve">behaviour </w:t>
      </w:r>
      <w:r w:rsidR="00A2355D" w:rsidRPr="00434A76">
        <w:t xml:space="preserve">change </w:t>
      </w:r>
      <w:r w:rsidR="008E23EC" w:rsidRPr="00434A76">
        <w:t>of universities more broadly</w:t>
      </w:r>
      <w:r w:rsidR="00A227E6" w:rsidRPr="00434A76">
        <w:t>.</w:t>
      </w:r>
      <w:r w:rsidR="00B35E8B" w:rsidRPr="00434A76">
        <w:t xml:space="preserve"> </w:t>
      </w:r>
      <w:r w:rsidR="000C4774">
        <w:t>Regarding assessment, l</w:t>
      </w:r>
      <w:r w:rsidR="00DF044D" w:rsidRPr="00434A76">
        <w:t xml:space="preserve">ocal variance may also be taken </w:t>
      </w:r>
      <w:proofErr w:type="gramStart"/>
      <w:r w:rsidR="00DF044D" w:rsidRPr="00434A76">
        <w:t>in to</w:t>
      </w:r>
      <w:proofErr w:type="gramEnd"/>
      <w:r w:rsidR="00DF044D" w:rsidRPr="00434A76">
        <w:t xml:space="preserve"> account, these might include regional or economic circumstances, for example a bushfire, flood or closure of a major business.</w:t>
      </w:r>
    </w:p>
    <w:p w14:paraId="39C03836" w14:textId="3C7AA026" w:rsidR="00A227E6" w:rsidRPr="00434A76" w:rsidRDefault="00A227E6" w:rsidP="006006BA">
      <w:pPr>
        <w:rPr>
          <w:color w:val="000000"/>
          <w:lang w:eastAsia="en-AU"/>
        </w:rPr>
      </w:pPr>
      <w:r w:rsidRPr="00434A76">
        <w:t xml:space="preserve">The university will submit their </w:t>
      </w:r>
      <w:r w:rsidR="006006BA" w:rsidRPr="00434A76">
        <w:t>report</w:t>
      </w:r>
      <w:r w:rsidRPr="00434A76">
        <w:t xml:space="preserve"> in addition to their plan for the subsequent year at the same time.</w:t>
      </w:r>
      <w:r w:rsidR="00E05C1D" w:rsidRPr="00434A76">
        <w:t xml:space="preserve"> </w:t>
      </w:r>
      <w:r w:rsidR="00194B01" w:rsidRPr="00434A76">
        <w:t xml:space="preserve">The department will have from November-March to review both the </w:t>
      </w:r>
      <w:r w:rsidR="002E0458">
        <w:t>report</w:t>
      </w:r>
      <w:r w:rsidR="00194B01" w:rsidRPr="00434A76">
        <w:t xml:space="preserve"> and plan in parallel. This timeframe is important as </w:t>
      </w:r>
      <w:r w:rsidR="006006BA" w:rsidRPr="00434A76">
        <w:t>any</w:t>
      </w:r>
      <w:r w:rsidR="006006BA" w:rsidRPr="00434A76">
        <w:rPr>
          <w:color w:val="000000"/>
          <w:lang w:eastAsia="en-AU"/>
        </w:rPr>
        <w:t xml:space="preserve"> concerns the department has regarding the report </w:t>
      </w:r>
      <w:r w:rsidR="004D26F0" w:rsidRPr="00434A76">
        <w:t xml:space="preserve">will </w:t>
      </w:r>
      <w:r w:rsidR="00194B01" w:rsidRPr="00434A76">
        <w:t>inform the department’s discussion with the university regarding the</w:t>
      </w:r>
      <w:r w:rsidR="004D26F0" w:rsidRPr="00434A76">
        <w:t>ir</w:t>
      </w:r>
      <w:r w:rsidR="00194B01" w:rsidRPr="00434A76">
        <w:t xml:space="preserve"> new NPILF plan</w:t>
      </w:r>
      <w:r w:rsidR="004D26F0" w:rsidRPr="00434A76">
        <w:t xml:space="preserve"> and potential areas for focus</w:t>
      </w:r>
      <w:r w:rsidR="00194B01" w:rsidRPr="00434A76">
        <w:t xml:space="preserve">. </w:t>
      </w:r>
      <w:r w:rsidR="00FB77E4" w:rsidRPr="00434A76">
        <w:rPr>
          <w:color w:val="000000"/>
          <w:lang w:eastAsia="en-AU"/>
        </w:rPr>
        <w:t>Before March, t</w:t>
      </w:r>
      <w:r w:rsidRPr="00434A76">
        <w:rPr>
          <w:color w:val="000000"/>
          <w:lang w:eastAsia="en-AU"/>
        </w:rPr>
        <w:t xml:space="preserve">he department will </w:t>
      </w:r>
      <w:r w:rsidR="00FB77E4" w:rsidRPr="00434A76">
        <w:rPr>
          <w:color w:val="000000"/>
          <w:lang w:eastAsia="en-AU"/>
        </w:rPr>
        <w:t>negotiate and finalise with</w:t>
      </w:r>
      <w:r w:rsidRPr="00434A76">
        <w:rPr>
          <w:color w:val="000000"/>
          <w:lang w:eastAsia="en-AU"/>
        </w:rPr>
        <w:t xml:space="preserve"> the university:</w:t>
      </w:r>
    </w:p>
    <w:p w14:paraId="3597CA44" w14:textId="5128F8E9" w:rsidR="00FB77E4" w:rsidRPr="00434A76" w:rsidRDefault="00FB77E4" w:rsidP="00A132F9">
      <w:pPr>
        <w:pStyle w:val="ListParagraph"/>
        <w:numPr>
          <w:ilvl w:val="0"/>
          <w:numId w:val="16"/>
        </w:numPr>
        <w:rPr>
          <w:color w:val="000000"/>
          <w:lang w:eastAsia="en-AU"/>
        </w:rPr>
      </w:pPr>
      <w:r w:rsidRPr="00434A76">
        <w:rPr>
          <w:color w:val="000000"/>
          <w:lang w:eastAsia="en-AU"/>
        </w:rPr>
        <w:t>acceptance</w:t>
      </w:r>
      <w:r w:rsidR="00A227E6" w:rsidRPr="00434A76">
        <w:rPr>
          <w:color w:val="000000"/>
          <w:lang w:eastAsia="en-AU"/>
        </w:rPr>
        <w:t xml:space="preserve"> of</w:t>
      </w:r>
      <w:r w:rsidRPr="00434A76">
        <w:rPr>
          <w:color w:val="000000"/>
          <w:lang w:eastAsia="en-AU"/>
        </w:rPr>
        <w:t xml:space="preserve"> the</w:t>
      </w:r>
      <w:r w:rsidR="00A227E6" w:rsidRPr="00434A76">
        <w:rPr>
          <w:color w:val="000000"/>
          <w:lang w:eastAsia="en-AU"/>
        </w:rPr>
        <w:t xml:space="preserve"> </w:t>
      </w:r>
      <w:r w:rsidR="006006BA" w:rsidRPr="00434A76">
        <w:rPr>
          <w:color w:val="000000"/>
          <w:lang w:eastAsia="en-AU"/>
        </w:rPr>
        <w:t>report</w:t>
      </w:r>
    </w:p>
    <w:p w14:paraId="229C5F15" w14:textId="5434C49D" w:rsidR="00FB77E4" w:rsidRPr="00434A76" w:rsidRDefault="00A227E6" w:rsidP="00A132F9">
      <w:pPr>
        <w:pStyle w:val="ListParagraph"/>
        <w:numPr>
          <w:ilvl w:val="0"/>
          <w:numId w:val="16"/>
        </w:numPr>
        <w:rPr>
          <w:color w:val="000000"/>
          <w:lang w:eastAsia="en-AU"/>
        </w:rPr>
      </w:pPr>
      <w:r w:rsidRPr="00434A76">
        <w:rPr>
          <w:color w:val="000000"/>
          <w:lang w:eastAsia="en-AU"/>
        </w:rPr>
        <w:t>agree</w:t>
      </w:r>
      <w:r w:rsidR="00FB77E4" w:rsidRPr="00434A76">
        <w:rPr>
          <w:color w:val="000000"/>
          <w:lang w:eastAsia="en-AU"/>
        </w:rPr>
        <w:t>ment to new NPILF plan</w:t>
      </w:r>
      <w:r w:rsidR="00BA205B" w:rsidRPr="00434A76">
        <w:rPr>
          <w:color w:val="000000"/>
          <w:lang w:eastAsia="en-AU"/>
        </w:rPr>
        <w:t>.</w:t>
      </w:r>
    </w:p>
    <w:p w14:paraId="44248A55" w14:textId="129053C1" w:rsidR="003C5C2E" w:rsidRPr="00434A76" w:rsidRDefault="00142E6C">
      <w:pPr>
        <w:spacing w:after="160" w:line="259" w:lineRule="auto"/>
      </w:pPr>
      <w:r w:rsidRPr="00434A76">
        <w:t>NPILF funding</w:t>
      </w:r>
      <w:r w:rsidR="00B72177" w:rsidRPr="00434A76">
        <w:t xml:space="preserve"> does not have to be spent on NPILF activities. </w:t>
      </w:r>
      <w:r w:rsidRPr="00434A76">
        <w:t xml:space="preserve"> </w:t>
      </w:r>
      <w:r w:rsidR="00D8630D" w:rsidRPr="00434A76">
        <w:t xml:space="preserve">Outlined </w:t>
      </w:r>
      <w:r w:rsidR="00D8630D" w:rsidRPr="00434A76">
        <w:rPr>
          <w:b/>
        </w:rPr>
        <w:t>below</w:t>
      </w:r>
      <w:r w:rsidR="00D8630D" w:rsidRPr="00434A76">
        <w:t xml:space="preserve"> is</w:t>
      </w:r>
      <w:r w:rsidRPr="00434A76">
        <w:t xml:space="preserve"> the proposed methodology for </w:t>
      </w:r>
      <w:r w:rsidR="00B72177" w:rsidRPr="00434A76">
        <w:t>establishing a funding agreement with the department if the NPILF indicators are not met.</w:t>
      </w:r>
      <w:r w:rsidR="00561742" w:rsidRPr="00434A76">
        <w:t xml:space="preserve"> </w:t>
      </w:r>
      <w:r w:rsidR="003C5C2E" w:rsidRPr="00434A76">
        <w:br w:type="page"/>
      </w:r>
    </w:p>
    <w:p w14:paraId="54CB6455" w14:textId="318D58D6" w:rsidR="005F675D" w:rsidRPr="00434A76" w:rsidRDefault="005F675D" w:rsidP="002F1714">
      <w:pPr>
        <w:pStyle w:val="Caption"/>
        <w:keepNext/>
      </w:pPr>
      <w:r w:rsidRPr="00434A76">
        <w:lastRenderedPageBreak/>
        <w:t xml:space="preserve">Table </w:t>
      </w:r>
      <w:fldSimple w:instr=" SEQ Table \* ARABIC ">
        <w:r w:rsidR="006724E2">
          <w:rPr>
            <w:noProof/>
          </w:rPr>
          <w:t>4</w:t>
        </w:r>
      </w:fldSimple>
      <w:r w:rsidRPr="00434A76">
        <w:t xml:space="preserve"> Proposed NPILF assessment criteria</w:t>
      </w:r>
    </w:p>
    <w:tbl>
      <w:tblPr>
        <w:tblStyle w:val="GridTable1Light-Accent4"/>
        <w:tblW w:w="8926" w:type="dxa"/>
        <w:tblBorders>
          <w:top w:val="single" w:sz="4" w:space="0" w:color="B6006A" w:themeColor="accent4"/>
          <w:left w:val="single" w:sz="4" w:space="0" w:color="B6006A" w:themeColor="accent4"/>
          <w:bottom w:val="single" w:sz="4" w:space="0" w:color="B6006A" w:themeColor="accent4"/>
          <w:right w:val="single" w:sz="4" w:space="0" w:color="B6006A" w:themeColor="accent4"/>
          <w:insideH w:val="single" w:sz="4" w:space="0" w:color="B6006A" w:themeColor="accent4"/>
          <w:insideV w:val="single" w:sz="4" w:space="0" w:color="B6006A" w:themeColor="accent4"/>
        </w:tblBorders>
        <w:tblLayout w:type="fixed"/>
        <w:tblLook w:val="04A0" w:firstRow="1" w:lastRow="0" w:firstColumn="1" w:lastColumn="0" w:noHBand="0" w:noVBand="1"/>
        <w:tblCaption w:val="Table 6 Proposed NPILF assessment criteria"/>
        <w:tblDescription w:val="Table outlines the basis against which metrics, demonstrators and innovators are deemed satisfactory. For metrics, satisfactory performance is defined as demonstrating an increase or improvement in active, or the maintenance of established excellent performance/standing. &#10;For demonstrators and innovators, satisfactory performance is defined in numerous ways depending on activity. It may involve engagement or deep involvement with industry e.g. curriculum design with industry feedback sought and/or evaluation loop implemented. It may be a WIL experience which resulted in professional skills, employment or direct link to employment, it might showcase industry satisfaction which has a flow on student impact or employment outcome, it may an activity implemented with success and/or scale and/or student impact, it may be commercialisation (with scale or impact), it may be new partnerships or expansion of industry engagement considering importance of new sectors, wicked problems, traditional challenges. It may be a new program being implemented consider originality, entrepreneurial qualities, risk taking. It may expansion of existing program (e.g. scaled up; replicated), or demonstrated student satisfaction (internally captured/not SES data).&#10;"/>
      </w:tblPr>
      <w:tblGrid>
        <w:gridCol w:w="1696"/>
        <w:gridCol w:w="7230"/>
      </w:tblGrid>
      <w:tr w:rsidR="00590071" w:rsidRPr="00434A76" w14:paraId="583473E2" w14:textId="77777777" w:rsidTr="006C0E2A">
        <w:trPr>
          <w:cnfStyle w:val="100000000000" w:firstRow="1" w:lastRow="0" w:firstColumn="0" w:lastColumn="0" w:oddVBand="0" w:evenVBand="0" w:oddHBand="0" w:evenHBand="0" w:firstRowFirstColumn="0" w:firstRowLastColumn="0" w:lastRowFirstColumn="0" w:lastRowLastColumn="0"/>
          <w:trHeight w:val="388"/>
          <w:tblHeader/>
        </w:trPr>
        <w:tc>
          <w:tcPr>
            <w:cnfStyle w:val="001000000000" w:firstRow="0" w:lastRow="0" w:firstColumn="1" w:lastColumn="0" w:oddVBand="0" w:evenVBand="0" w:oddHBand="0" w:evenHBand="0" w:firstRowFirstColumn="0" w:firstRowLastColumn="0" w:lastRowFirstColumn="0" w:lastRowLastColumn="0"/>
            <w:tcW w:w="1696" w:type="dxa"/>
            <w:tcBorders>
              <w:bottom w:val="none" w:sz="0" w:space="0" w:color="auto"/>
            </w:tcBorders>
            <w:shd w:val="clear" w:color="auto" w:fill="FFBDE3" w:themeFill="accent4" w:themeFillTint="33"/>
            <w:vAlign w:val="center"/>
          </w:tcPr>
          <w:p w14:paraId="008C2944" w14:textId="5E208210" w:rsidR="00590071" w:rsidRPr="00434A76" w:rsidRDefault="003167B2" w:rsidP="005930BC">
            <w:pPr>
              <w:spacing w:after="0" w:line="240" w:lineRule="auto"/>
            </w:pPr>
            <w:r w:rsidRPr="00434A76">
              <w:t>Indicator</w:t>
            </w:r>
          </w:p>
        </w:tc>
        <w:tc>
          <w:tcPr>
            <w:tcW w:w="7230" w:type="dxa"/>
            <w:tcBorders>
              <w:bottom w:val="none" w:sz="0" w:space="0" w:color="auto"/>
            </w:tcBorders>
            <w:shd w:val="clear" w:color="auto" w:fill="FFBDE3" w:themeFill="accent4" w:themeFillTint="33"/>
            <w:vAlign w:val="center"/>
          </w:tcPr>
          <w:p w14:paraId="1C17CD87" w14:textId="77777777" w:rsidR="00590071" w:rsidRPr="00434A76" w:rsidRDefault="00590071" w:rsidP="005930BC">
            <w:pPr>
              <w:spacing w:after="0" w:line="240" w:lineRule="auto"/>
              <w:cnfStyle w:val="100000000000" w:firstRow="1" w:lastRow="0" w:firstColumn="0" w:lastColumn="0" w:oddVBand="0" w:evenVBand="0" w:oddHBand="0" w:evenHBand="0" w:firstRowFirstColumn="0" w:firstRowLastColumn="0" w:lastRowFirstColumn="0" w:lastRowLastColumn="0"/>
            </w:pPr>
            <w:r w:rsidRPr="00434A76">
              <w:t>Satisfactory</w:t>
            </w:r>
          </w:p>
        </w:tc>
      </w:tr>
      <w:tr w:rsidR="00590071" w:rsidRPr="00434A76" w14:paraId="1AF930FA" w14:textId="77777777" w:rsidTr="003E2F15">
        <w:trPr>
          <w:trHeight w:val="325"/>
        </w:trPr>
        <w:tc>
          <w:tcPr>
            <w:cnfStyle w:val="001000000000" w:firstRow="0" w:lastRow="0" w:firstColumn="1" w:lastColumn="0" w:oddVBand="0" w:evenVBand="0" w:oddHBand="0" w:evenHBand="0" w:firstRowFirstColumn="0" w:firstRowLastColumn="0" w:lastRowFirstColumn="0" w:lastRowLastColumn="0"/>
            <w:tcW w:w="1696" w:type="dxa"/>
          </w:tcPr>
          <w:p w14:paraId="6F4E8126" w14:textId="77777777" w:rsidR="00590071" w:rsidRPr="00434A76" w:rsidRDefault="00590071" w:rsidP="008E23EC">
            <w:pPr>
              <w:spacing w:after="0" w:line="240" w:lineRule="auto"/>
              <w:rPr>
                <w:b w:val="0"/>
              </w:rPr>
            </w:pPr>
            <w:r w:rsidRPr="00434A76">
              <w:rPr>
                <w:b w:val="0"/>
              </w:rPr>
              <w:t>Metrics</w:t>
            </w:r>
          </w:p>
        </w:tc>
        <w:tc>
          <w:tcPr>
            <w:tcW w:w="7230" w:type="dxa"/>
          </w:tcPr>
          <w:p w14:paraId="31BD8172" w14:textId="51AF04E3" w:rsidR="00590071" w:rsidRPr="00434A76" w:rsidRDefault="00590071" w:rsidP="000E7754">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pPr>
            <w:r w:rsidRPr="00434A76">
              <w:t>Metric demonstrates inc</w:t>
            </w:r>
            <w:r w:rsidR="008E36F1">
              <w:t>rease or improvement</w:t>
            </w:r>
          </w:p>
          <w:p w14:paraId="4E1BC8F5" w14:textId="7D947060" w:rsidR="00590071" w:rsidRPr="00434A76" w:rsidRDefault="00590071" w:rsidP="000E7754">
            <w:pPr>
              <w:pStyle w:val="ListParagraph"/>
              <w:numPr>
                <w:ilvl w:val="0"/>
                <w:numId w:val="21"/>
              </w:numPr>
              <w:spacing w:after="0" w:line="240" w:lineRule="auto"/>
              <w:cnfStyle w:val="000000000000" w:firstRow="0" w:lastRow="0" w:firstColumn="0" w:lastColumn="0" w:oddVBand="0" w:evenVBand="0" w:oddHBand="0" w:evenHBand="0" w:firstRowFirstColumn="0" w:firstRowLastColumn="0" w:lastRowFirstColumn="0" w:lastRowLastColumn="0"/>
            </w:pPr>
            <w:r w:rsidRPr="00434A76">
              <w:t xml:space="preserve">Some metrics allow maintenance of </w:t>
            </w:r>
            <w:r w:rsidR="00AE03B1" w:rsidRPr="00434A76">
              <w:t>established</w:t>
            </w:r>
            <w:r w:rsidRPr="00434A76">
              <w:t xml:space="preserve"> </w:t>
            </w:r>
            <w:r w:rsidR="00DF044D" w:rsidRPr="00434A76">
              <w:t>excellent</w:t>
            </w:r>
            <w:r w:rsidRPr="00434A76">
              <w:t xml:space="preserve"> performance</w:t>
            </w:r>
            <w:r w:rsidR="00DF044D" w:rsidRPr="00434A76">
              <w:t>/standing</w:t>
            </w:r>
          </w:p>
        </w:tc>
      </w:tr>
      <w:tr w:rsidR="00900C47" w:rsidRPr="00434A76" w14:paraId="312F3288" w14:textId="77777777" w:rsidTr="00376FD7">
        <w:trPr>
          <w:trHeight w:val="3638"/>
        </w:trPr>
        <w:tc>
          <w:tcPr>
            <w:cnfStyle w:val="001000000000" w:firstRow="0" w:lastRow="0" w:firstColumn="1" w:lastColumn="0" w:oddVBand="0" w:evenVBand="0" w:oddHBand="0" w:evenHBand="0" w:firstRowFirstColumn="0" w:firstRowLastColumn="0" w:lastRowFirstColumn="0" w:lastRowLastColumn="0"/>
            <w:tcW w:w="1696" w:type="dxa"/>
          </w:tcPr>
          <w:p w14:paraId="64D8B5B8" w14:textId="77777777" w:rsidR="00900C47" w:rsidRPr="00434A76" w:rsidRDefault="00900C47" w:rsidP="008E23EC">
            <w:pPr>
              <w:rPr>
                <w:b w:val="0"/>
              </w:rPr>
            </w:pPr>
            <w:r w:rsidRPr="00434A76">
              <w:rPr>
                <w:b w:val="0"/>
              </w:rPr>
              <w:t>Demonstrators and innovators</w:t>
            </w:r>
          </w:p>
        </w:tc>
        <w:tc>
          <w:tcPr>
            <w:tcW w:w="7230" w:type="dxa"/>
          </w:tcPr>
          <w:p w14:paraId="438302E2" w14:textId="77777777" w:rsidR="00900C47" w:rsidRPr="00434A76" w:rsidRDefault="00900C47" w:rsidP="000E7754">
            <w:pPr>
              <w:pStyle w:val="ListParagraph"/>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pPr>
            <w:r w:rsidRPr="00434A76">
              <w:t>Demonstrated engagement or deep involvement with industry e.g. curriculum design; sought industry feedback; evaluation loop implemented</w:t>
            </w:r>
          </w:p>
          <w:p w14:paraId="1412752A" w14:textId="77777777" w:rsidR="00900C47" w:rsidRPr="00434A76" w:rsidRDefault="00900C47" w:rsidP="000E7754">
            <w:pPr>
              <w:pStyle w:val="ListParagraph"/>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pPr>
            <w:r w:rsidRPr="00434A76">
              <w:t>WIL experience resulted in professional skills, employment or direct link to employment</w:t>
            </w:r>
          </w:p>
          <w:p w14:paraId="232596AA" w14:textId="77777777" w:rsidR="00900C47" w:rsidRPr="00434A76" w:rsidRDefault="00900C47" w:rsidP="000E7754">
            <w:pPr>
              <w:pStyle w:val="ListParagraph"/>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pPr>
            <w:r w:rsidRPr="00434A76">
              <w:t>Industry satisfaction, has a flow on student impact or employment outcome</w:t>
            </w:r>
          </w:p>
          <w:p w14:paraId="7411B964" w14:textId="77777777" w:rsidR="00900C47" w:rsidRPr="00434A76" w:rsidRDefault="00900C47" w:rsidP="000E7754">
            <w:pPr>
              <w:pStyle w:val="ListParagraph"/>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pPr>
            <w:r w:rsidRPr="00434A76">
              <w:t>Implemented with success and/or scale and/or student impact</w:t>
            </w:r>
          </w:p>
          <w:p w14:paraId="67023606" w14:textId="77777777" w:rsidR="00900C47" w:rsidRPr="00434A76" w:rsidRDefault="00900C47" w:rsidP="000E7754">
            <w:pPr>
              <w:pStyle w:val="ListParagraph"/>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rPr>
                <w:b/>
              </w:rPr>
            </w:pPr>
            <w:r w:rsidRPr="00434A76">
              <w:t>Commercialisation (with scale or impact)</w:t>
            </w:r>
          </w:p>
          <w:p w14:paraId="5ADF7864" w14:textId="59A30C30" w:rsidR="00900C47" w:rsidRPr="00434A76" w:rsidRDefault="00900C47" w:rsidP="000E7754">
            <w:pPr>
              <w:pStyle w:val="ListParagraph"/>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pPr>
            <w:r w:rsidRPr="00434A76">
              <w:t>New partnerships or expansion of industry engagement – consider importance of new sectors, wicked p</w:t>
            </w:r>
            <w:r w:rsidR="008E36F1">
              <w:t>roblems, traditional challenges</w:t>
            </w:r>
          </w:p>
          <w:p w14:paraId="4A1A89F7" w14:textId="77777777" w:rsidR="00900C47" w:rsidRPr="00434A76" w:rsidRDefault="00900C47" w:rsidP="000E7754">
            <w:pPr>
              <w:pStyle w:val="ListParagraph"/>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pPr>
            <w:r w:rsidRPr="00434A76">
              <w:t>New program implemented – consider originality, entrepreneurial qualities, risk taking</w:t>
            </w:r>
          </w:p>
          <w:p w14:paraId="772BA94F" w14:textId="77777777" w:rsidR="00900C47" w:rsidRPr="00434A76" w:rsidRDefault="00900C47" w:rsidP="000E7754">
            <w:pPr>
              <w:pStyle w:val="ListParagraph"/>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pPr>
            <w:r w:rsidRPr="00434A76">
              <w:t>Existing program expanded (e.g. scaled up; replicated)</w:t>
            </w:r>
          </w:p>
          <w:p w14:paraId="68C037F2" w14:textId="2E7661C5" w:rsidR="00900C47" w:rsidRPr="00434A76" w:rsidRDefault="00900C47" w:rsidP="000E7754">
            <w:pPr>
              <w:pStyle w:val="ListParagraph"/>
              <w:numPr>
                <w:ilvl w:val="0"/>
                <w:numId w:val="22"/>
              </w:numPr>
              <w:spacing w:after="0" w:line="240" w:lineRule="auto"/>
              <w:cnfStyle w:val="000000000000" w:firstRow="0" w:lastRow="0" w:firstColumn="0" w:lastColumn="0" w:oddVBand="0" w:evenVBand="0" w:oddHBand="0" w:evenHBand="0" w:firstRowFirstColumn="0" w:firstRowLastColumn="0" w:lastRowFirstColumn="0" w:lastRowLastColumn="0"/>
            </w:pPr>
            <w:r w:rsidRPr="00434A76">
              <w:t>Demonstrated student sa</w:t>
            </w:r>
            <w:r w:rsidR="008E36F1">
              <w:t xml:space="preserve">tisfaction (internally captured; </w:t>
            </w:r>
            <w:r w:rsidRPr="00434A76">
              <w:t>not SES data)</w:t>
            </w:r>
          </w:p>
        </w:tc>
      </w:tr>
    </w:tbl>
    <w:p w14:paraId="19FAADED" w14:textId="6A85F523" w:rsidR="00B72177" w:rsidRPr="00434A76" w:rsidRDefault="003C5C2E" w:rsidP="002947BD">
      <w:pPr>
        <w:rPr>
          <w:color w:val="000000"/>
          <w:lang w:eastAsia="en-AU"/>
        </w:rPr>
      </w:pPr>
      <w:r w:rsidRPr="00434A76">
        <w:rPr>
          <w:color w:val="000000"/>
          <w:lang w:eastAsia="en-AU"/>
        </w:rPr>
        <w:br/>
      </w:r>
      <w:r w:rsidR="002947BD" w:rsidRPr="00434A76">
        <w:rPr>
          <w:color w:val="000000"/>
          <w:lang w:eastAsia="en-AU"/>
        </w:rPr>
        <w:t xml:space="preserve">If the assessment resulted in </w:t>
      </w:r>
      <w:r w:rsidR="00142E6C" w:rsidRPr="00434A76">
        <w:rPr>
          <w:color w:val="000000"/>
          <w:lang w:eastAsia="en-AU"/>
        </w:rPr>
        <w:t>nine or less</w:t>
      </w:r>
      <w:r w:rsidR="002947BD" w:rsidRPr="00434A76">
        <w:rPr>
          <w:color w:val="000000"/>
          <w:lang w:eastAsia="en-AU"/>
        </w:rPr>
        <w:t xml:space="preserve"> indicators being met, then a university will </w:t>
      </w:r>
      <w:r w:rsidR="00142E6C" w:rsidRPr="00434A76">
        <w:rPr>
          <w:color w:val="000000"/>
          <w:lang w:eastAsia="en-AU"/>
        </w:rPr>
        <w:t xml:space="preserve">have </w:t>
      </w:r>
      <w:r w:rsidR="002947BD" w:rsidRPr="00434A76">
        <w:rPr>
          <w:color w:val="000000"/>
          <w:lang w:eastAsia="en-AU"/>
        </w:rPr>
        <w:t>an amount of funding withheld in the following year</w:t>
      </w:r>
      <w:r w:rsidR="00142E6C" w:rsidRPr="00434A76">
        <w:rPr>
          <w:color w:val="000000"/>
          <w:lang w:eastAsia="en-AU"/>
        </w:rPr>
        <w:t>. The university will have the year to demonstrate improved performance to receive the withheld amount. If performance is still inadequate after this time, the withheld amount will be re-allocated</w:t>
      </w:r>
      <w:r w:rsidR="00D8630D" w:rsidRPr="00434A76">
        <w:rPr>
          <w:color w:val="000000"/>
          <w:lang w:eastAsia="en-AU"/>
        </w:rPr>
        <w:t xml:space="preserve">. </w:t>
      </w:r>
      <w:r w:rsidR="00B72177" w:rsidRPr="00434A76">
        <w:rPr>
          <w:color w:val="000000"/>
          <w:lang w:eastAsia="en-AU"/>
        </w:rPr>
        <w:t>In the future, consideration could be given to changing this benchmark to 11 or less.</w:t>
      </w:r>
    </w:p>
    <w:p w14:paraId="7F2449DE" w14:textId="75FB1DD3" w:rsidR="00924BED" w:rsidRPr="00434A76" w:rsidRDefault="0033523B" w:rsidP="00B35E8B">
      <w:r w:rsidRPr="00434A76">
        <w:t xml:space="preserve">At the end of the year, a report will be published to showcase the efforts of the sector in striving toward the NPILF priorities. This report will be a communication tool to incentivise </w:t>
      </w:r>
      <w:r w:rsidR="007A4491" w:rsidRPr="00434A76">
        <w:t xml:space="preserve">and guide </w:t>
      </w:r>
      <w:r w:rsidRPr="00434A76">
        <w:t>greater industry engagement, it will not report directly on assessment outcomes of each university.</w:t>
      </w:r>
      <w:r w:rsidR="00924BED" w:rsidRPr="00434A76">
        <w:t xml:space="preserve"> </w:t>
      </w:r>
      <w:r w:rsidR="00DF044D" w:rsidRPr="00434A76">
        <w:t xml:space="preserve">This reporting system provides </w:t>
      </w:r>
      <w:r w:rsidR="00924BED" w:rsidRPr="00434A76">
        <w:t xml:space="preserve">transparency </w:t>
      </w:r>
      <w:r w:rsidR="00DF044D" w:rsidRPr="00434A76">
        <w:t>that is</w:t>
      </w:r>
      <w:r w:rsidR="00924BED" w:rsidRPr="00434A76">
        <w:t xml:space="preserve"> critical in ensuring the underpinning policy driver is achieved. The demonstrators and innovators will enable universities and industry across the country to identify and share best practice and successful models which can be modified or implemented elsewhere.</w:t>
      </w:r>
    </w:p>
    <w:p w14:paraId="3E5A7957" w14:textId="77777777" w:rsidR="003F60F1" w:rsidRPr="00434A76" w:rsidRDefault="00E0616C" w:rsidP="00E0616C">
      <w:pPr>
        <w:pStyle w:val="Heading3"/>
      </w:pPr>
      <w:r w:rsidRPr="00434A76">
        <w:t>Funding allocation based on submission</w:t>
      </w:r>
    </w:p>
    <w:p w14:paraId="01C51BF1" w14:textId="39FFB190" w:rsidR="00AD7864" w:rsidRPr="00434A76" w:rsidRDefault="00BE74EE" w:rsidP="00454B8E">
      <w:r w:rsidRPr="00434A76">
        <w:t>Each year, a</w:t>
      </w:r>
      <w:r w:rsidR="0033523B" w:rsidRPr="00434A76">
        <w:t xml:space="preserve"> university </w:t>
      </w:r>
      <w:r w:rsidR="00673479" w:rsidRPr="00434A76">
        <w:t xml:space="preserve">will </w:t>
      </w:r>
      <w:r w:rsidR="00AD7864" w:rsidRPr="00434A76">
        <w:t>report</w:t>
      </w:r>
      <w:r w:rsidR="00194B01" w:rsidRPr="00434A76">
        <w:t xml:space="preserve"> their NPILF activities and t</w:t>
      </w:r>
      <w:r w:rsidR="00DF044D" w:rsidRPr="00434A76">
        <w:t xml:space="preserve">he department will either accept or negotiate the </w:t>
      </w:r>
      <w:r w:rsidR="00AD7864" w:rsidRPr="00434A76">
        <w:t>report</w:t>
      </w:r>
      <w:r w:rsidR="00DF044D" w:rsidRPr="00434A76">
        <w:t>.</w:t>
      </w:r>
      <w:r w:rsidR="00673479" w:rsidRPr="00434A76">
        <w:t xml:space="preserve"> </w:t>
      </w:r>
    </w:p>
    <w:p w14:paraId="47A777AC" w14:textId="07C3834C" w:rsidR="00E70C8A" w:rsidRPr="00434A76" w:rsidRDefault="00AD7864" w:rsidP="00E2598C">
      <w:r w:rsidRPr="00434A76">
        <w:rPr>
          <w:rFonts w:eastAsia="Times New Roman"/>
        </w:rPr>
        <w:t>The proposed allocation model is designed to be simple and to incentivise universities to achieve 12/12</w:t>
      </w:r>
      <w:r w:rsidRPr="00434A76">
        <w:t xml:space="preserve">. Meeting less than 12 </w:t>
      </w:r>
      <w:r w:rsidRPr="002E0458">
        <w:t xml:space="preserve">indicators </w:t>
      </w:r>
      <w:r w:rsidR="008E36F1" w:rsidRPr="002E0458">
        <w:t>will impact the subsequent year’s plan</w:t>
      </w:r>
      <w:r w:rsidRPr="002E0458">
        <w:t xml:space="preserve"> </w:t>
      </w:r>
      <w:r w:rsidR="008E36F1" w:rsidRPr="002E0458">
        <w:t xml:space="preserve">and may mean funds are withheld, </w:t>
      </w:r>
      <w:r w:rsidR="00CB605B" w:rsidRPr="002E0458">
        <w:t>as detailed below.</w:t>
      </w:r>
      <w:r w:rsidR="00CB605B" w:rsidRPr="00434A76">
        <w:t xml:space="preserve"> </w:t>
      </w:r>
      <w:r w:rsidR="00EB1D55" w:rsidRPr="00434A76">
        <w:rPr>
          <w:b/>
        </w:rPr>
        <w:t xml:space="preserve"> </w:t>
      </w:r>
    </w:p>
    <w:p w14:paraId="07339735" w14:textId="53C93AA2" w:rsidR="00AD7864" w:rsidRPr="00434A76" w:rsidRDefault="006C7FB7" w:rsidP="002F1714">
      <w:pPr>
        <w:pStyle w:val="Heading3"/>
      </w:pPr>
      <w:r w:rsidRPr="00434A76">
        <w:lastRenderedPageBreak/>
        <w:t>Proportion of funding received based on submission</w:t>
      </w:r>
      <w:r w:rsidR="00E63DA5" w:rsidRPr="00434A76">
        <w:t xml:space="preserve"> – proposal</w:t>
      </w:r>
    </w:p>
    <w:p w14:paraId="6F9C0306" w14:textId="77777777" w:rsidR="00CB605B" w:rsidRPr="00434A76" w:rsidRDefault="00CB605B" w:rsidP="002F1714">
      <w:pPr>
        <w:pStyle w:val="Heading4"/>
        <w:rPr>
          <w:rFonts w:eastAsia="Times New Roman"/>
        </w:rPr>
      </w:pPr>
      <w:r w:rsidRPr="00434A76">
        <w:rPr>
          <w:rFonts w:eastAsia="Times New Roman"/>
        </w:rPr>
        <w:t>Pilot (2021-23)</w:t>
      </w:r>
    </w:p>
    <w:p w14:paraId="2117B508" w14:textId="63EA8E07" w:rsidR="00CB605B" w:rsidRPr="00434A76" w:rsidRDefault="00CB605B" w:rsidP="00CB605B">
      <w:pPr>
        <w:spacing w:after="160" w:line="259" w:lineRule="auto"/>
      </w:pPr>
      <w:r w:rsidRPr="00434A76">
        <w:rPr>
          <w:rFonts w:eastAsia="Times New Roman"/>
        </w:rPr>
        <w:t xml:space="preserve">The Pilot aims to </w:t>
      </w:r>
      <w:r w:rsidRPr="00434A76">
        <w:t>encourage early engagement with the fund</w:t>
      </w:r>
      <w:r w:rsidRPr="00434A76">
        <w:rPr>
          <w:rFonts w:eastAsia="Times New Roman"/>
        </w:rPr>
        <w:t>. In 2021 and 2022, universities will select 12 indicators but will only aim to meet 8 and 10 respectively. At the end of each of the years, f</w:t>
      </w:r>
      <w:r w:rsidRPr="00434A76">
        <w:t xml:space="preserve">eedback will be provided to universities regarding their </w:t>
      </w:r>
      <w:proofErr w:type="gramStart"/>
      <w:r w:rsidRPr="00434A76">
        <w:t>submission</w:t>
      </w:r>
      <w:proofErr w:type="gramEnd"/>
      <w:r w:rsidRPr="00434A76">
        <w:t xml:space="preserve"> but the assessment is not tied to funding.</w:t>
      </w:r>
    </w:p>
    <w:p w14:paraId="1944DC1D" w14:textId="301A2F22" w:rsidR="00CB605B" w:rsidRPr="00434A76" w:rsidRDefault="00CB605B" w:rsidP="000E7754">
      <w:pPr>
        <w:pStyle w:val="Heading4"/>
        <w:rPr>
          <w:rFonts w:eastAsia="Times New Roman"/>
        </w:rPr>
      </w:pPr>
      <w:r w:rsidRPr="00434A76">
        <w:rPr>
          <w:rFonts w:eastAsia="Times New Roman"/>
        </w:rPr>
        <w:t xml:space="preserve">Years following pilot </w:t>
      </w:r>
    </w:p>
    <w:p w14:paraId="7F9DCCDE" w14:textId="77777777" w:rsidR="00D05AD0" w:rsidRPr="00434A76" w:rsidRDefault="001E5530" w:rsidP="00F25024">
      <w:pPr>
        <w:pStyle w:val="ListParagraph"/>
        <w:numPr>
          <w:ilvl w:val="0"/>
          <w:numId w:val="24"/>
        </w:numPr>
      </w:pPr>
      <w:r w:rsidRPr="00434A76">
        <w:t>12/12 = 100 per cent allocation</w:t>
      </w:r>
    </w:p>
    <w:p w14:paraId="63C9516A" w14:textId="77777777" w:rsidR="00D05AD0" w:rsidRPr="00434A76" w:rsidRDefault="001E5530" w:rsidP="00F25024">
      <w:pPr>
        <w:pStyle w:val="ListParagraph"/>
        <w:numPr>
          <w:ilvl w:val="0"/>
          <w:numId w:val="24"/>
        </w:numPr>
      </w:pPr>
      <w:r w:rsidRPr="00434A76">
        <w:t>10-11/12 = 100 per cent allocation*</w:t>
      </w:r>
    </w:p>
    <w:p w14:paraId="1571AB84" w14:textId="674E3B21" w:rsidR="008E05D8" w:rsidRPr="00434A76" w:rsidRDefault="001E5530" w:rsidP="008E05D8">
      <w:pPr>
        <w:pStyle w:val="ListParagraph"/>
        <w:numPr>
          <w:ilvl w:val="0"/>
          <w:numId w:val="24"/>
        </w:numPr>
      </w:pPr>
      <w:r w:rsidRPr="00434A76">
        <w:t>0-9/12 = allocated by 100</w:t>
      </w:r>
      <w:r w:rsidR="00EA7AAC" w:rsidRPr="00434A76">
        <w:t xml:space="preserve"> </w:t>
      </w:r>
      <w:r w:rsidRPr="00434A76">
        <w:t xml:space="preserve">- (50 X z/12) </w:t>
      </w:r>
      <w:r w:rsidR="00EA7AAC" w:rsidRPr="00434A76">
        <w:t>per cent**</w:t>
      </w:r>
      <w:r w:rsidR="00EA7AAC" w:rsidRPr="00434A76">
        <w:br/>
        <w:t>(</w:t>
      </w:r>
      <w:r w:rsidRPr="00434A76">
        <w:t>where z is no</w:t>
      </w:r>
      <w:r w:rsidR="00EA7AAC" w:rsidRPr="00434A76">
        <w:t>.</w:t>
      </w:r>
      <w:r w:rsidRPr="00434A76">
        <w:t xml:space="preserve"> of in</w:t>
      </w:r>
      <w:r w:rsidR="000D3F8F">
        <w:t>dicators deemed non-</w:t>
      </w:r>
      <w:r w:rsidRPr="00434A76">
        <w:t xml:space="preserve">satisfactory) </w:t>
      </w:r>
    </w:p>
    <w:p w14:paraId="56845B07" w14:textId="4F39C69B" w:rsidR="00376FD7" w:rsidRPr="00434A76" w:rsidRDefault="00376FD7" w:rsidP="000E7754">
      <w:r w:rsidRPr="00434A76">
        <w:t>*For universities who achieve less than 12/12 indicators, the non-satisfactory areas may form part of the following year’s negotiated NPILF plan between university and department as way to ensure universities are improving in NPILF priorities.</w:t>
      </w:r>
    </w:p>
    <w:p w14:paraId="2EA50318" w14:textId="6414E944" w:rsidR="00376FD7" w:rsidRPr="00434A76" w:rsidRDefault="00EA7AAC" w:rsidP="000E7754">
      <w:r w:rsidRPr="00434A76">
        <w:t>**</w:t>
      </w:r>
      <w:r w:rsidR="00376FD7" w:rsidRPr="00434A76">
        <w:t>For u</w:t>
      </w:r>
      <w:r w:rsidR="000D3F8F">
        <w:t>niversities who achieve 0-9 indicators</w:t>
      </w:r>
      <w:r w:rsidR="00376FD7" w:rsidRPr="00434A76">
        <w:t xml:space="preserve">, funding will be withheld in accordance with above formula, </w:t>
      </w:r>
      <w:r w:rsidR="000D3F8F">
        <w:t>which allows for</w:t>
      </w:r>
      <w:r w:rsidR="00376FD7" w:rsidRPr="00434A76">
        <w:t xml:space="preserve"> a floor of 50%. For </w:t>
      </w:r>
      <w:proofErr w:type="gramStart"/>
      <w:r w:rsidR="00376FD7" w:rsidRPr="00434A76">
        <w:t>example</w:t>
      </w:r>
      <w:proofErr w:type="gramEnd"/>
      <w:r w:rsidR="00376FD7" w:rsidRPr="00434A76">
        <w:t xml:space="preserve"> 9/12 indicators would mean receipt of 87.5% of funding. The university has 12 months after the assessment to demonstrate performance and receive the withheld amount</w:t>
      </w:r>
      <w:r w:rsidR="000D3F8F">
        <w:t xml:space="preserve"> of 12.5%</w:t>
      </w:r>
      <w:r w:rsidR="00376FD7" w:rsidRPr="00434A76">
        <w:t xml:space="preserve">. If performance does not improve, the withheld funding will be re-allocated. Additionally, if a university </w:t>
      </w:r>
      <w:r w:rsidR="000D3F8F">
        <w:t>achieves</w:t>
      </w:r>
      <w:r w:rsidR="00376FD7" w:rsidRPr="00434A76">
        <w:t xml:space="preserve"> below 4/12, </w:t>
      </w:r>
      <w:r w:rsidR="00376FD7" w:rsidRPr="00434A76">
        <w:rPr>
          <w:b/>
          <w:i/>
        </w:rPr>
        <w:t>total allocation</w:t>
      </w:r>
      <w:r w:rsidR="00376FD7" w:rsidRPr="00434A76">
        <w:t xml:space="preserve"> is withheld while department and university agree on a path forward to meet aspirations of the NPILF.</w:t>
      </w:r>
    </w:p>
    <w:p w14:paraId="2CFC10A6" w14:textId="77777777" w:rsidR="00BA205B" w:rsidRPr="00434A76" w:rsidRDefault="00BA205B" w:rsidP="00BA205B">
      <w:pPr>
        <w:pStyle w:val="Heading3"/>
      </w:pPr>
      <w:r w:rsidRPr="00434A76">
        <w:t>Re-allocation of funding</w:t>
      </w:r>
    </w:p>
    <w:p w14:paraId="5D178712" w14:textId="5C8AC298" w:rsidR="00BA205B" w:rsidRPr="00434A76" w:rsidRDefault="00BA205B" w:rsidP="00BA205B">
      <w:r w:rsidRPr="00434A76">
        <w:t>Any amount of withheld funding that is not adequately addressed in the subsequent year would lead to that amount being returned to the overall pool for re-allocation.</w:t>
      </w:r>
    </w:p>
    <w:p w14:paraId="46B37C26" w14:textId="3F078FBC" w:rsidR="006410F3" w:rsidRPr="00434A76" w:rsidRDefault="00BA205B" w:rsidP="00BA205B">
      <w:r w:rsidRPr="00434A76">
        <w:t xml:space="preserve">By March each year, when the </w:t>
      </w:r>
      <w:r w:rsidR="000D3F8F">
        <w:t>reports</w:t>
      </w:r>
      <w:r w:rsidRPr="00434A76">
        <w:t xml:space="preserve"> have been </w:t>
      </w:r>
      <w:r w:rsidR="002E0458">
        <w:t>accepted</w:t>
      </w:r>
      <w:r w:rsidRPr="00434A76">
        <w:t>, the department will divide any withheld amounts that were not adequately addressed between the universities who achieved 12/12 for that year. There would be no extra submission process or requirement on the universities.</w:t>
      </w:r>
    </w:p>
    <w:p w14:paraId="525821A7" w14:textId="7E960055" w:rsidR="00BA205B" w:rsidRPr="00434A76" w:rsidRDefault="006410F3" w:rsidP="00BA205B">
      <w:r w:rsidRPr="00434A76">
        <w:t xml:space="preserve">As the funding allocation model commences in 2024, any funds would be withheld from 2025 and re-allocated funds be available from 2026. </w:t>
      </w:r>
    </w:p>
    <w:p w14:paraId="0CF3BF0E" w14:textId="2090499C" w:rsidR="000126FE" w:rsidRPr="00434A76" w:rsidRDefault="000126FE" w:rsidP="00B62F58">
      <w:pPr>
        <w:pStyle w:val="Heading2"/>
      </w:pPr>
      <w:bookmarkStart w:id="16" w:name="_Toc52296786"/>
      <w:r w:rsidRPr="00434A76">
        <w:t xml:space="preserve">NPILF </w:t>
      </w:r>
      <w:r w:rsidR="00807243" w:rsidRPr="00434A76">
        <w:t>timeline</w:t>
      </w:r>
      <w:r w:rsidRPr="00434A76">
        <w:t xml:space="preserve"> and </w:t>
      </w:r>
      <w:r w:rsidR="00423DCB" w:rsidRPr="00434A76">
        <w:t xml:space="preserve">distribution </w:t>
      </w:r>
      <w:r w:rsidR="00807243" w:rsidRPr="00434A76">
        <w:t>options</w:t>
      </w:r>
      <w:bookmarkEnd w:id="16"/>
    </w:p>
    <w:p w14:paraId="7DF52A9D" w14:textId="77777777" w:rsidR="000126FE" w:rsidRPr="00434A76" w:rsidRDefault="000126FE" w:rsidP="00454B8E">
      <w:r w:rsidRPr="00434A76">
        <w:t xml:space="preserve">The </w:t>
      </w:r>
      <w:proofErr w:type="gramStart"/>
      <w:r w:rsidRPr="00434A76">
        <w:t>four year</w:t>
      </w:r>
      <w:proofErr w:type="gramEnd"/>
      <w:r w:rsidRPr="00434A76">
        <w:t xml:space="preserve"> period allows for a</w:t>
      </w:r>
      <w:r w:rsidR="00AB2B20" w:rsidRPr="00434A76">
        <w:t xml:space="preserve"> pilot and </w:t>
      </w:r>
      <w:r w:rsidRPr="00434A76">
        <w:t>transitional phase from 2021–23</w:t>
      </w:r>
      <w:r w:rsidR="005706FC" w:rsidRPr="00434A76">
        <w:t xml:space="preserve"> to allow for sector consultation</w:t>
      </w:r>
      <w:r w:rsidRPr="00434A76">
        <w:t xml:space="preserve">, with the finalised NPILF model to be implemented from 2024. </w:t>
      </w:r>
    </w:p>
    <w:p w14:paraId="4170C185" w14:textId="77777777" w:rsidR="001F49FD" w:rsidRPr="00EE4AE4" w:rsidRDefault="000126FE" w:rsidP="00454B8E">
      <w:r w:rsidRPr="00434A76">
        <w:t>During the transition phase</w:t>
      </w:r>
      <w:r w:rsidR="001F49FD" w:rsidRPr="00434A76">
        <w:t xml:space="preserve"> from 2021–23</w:t>
      </w:r>
      <w:r w:rsidRPr="00434A76">
        <w:t xml:space="preserve">, it is important to note that all universities will receive </w:t>
      </w:r>
      <w:r w:rsidR="001F49FD" w:rsidRPr="00434A76">
        <w:br/>
      </w:r>
      <w:r w:rsidRPr="00434A76">
        <w:t>1</w:t>
      </w:r>
      <w:r w:rsidR="006A0A62" w:rsidRPr="00434A76">
        <w:t>00 per cent of their allocation.</w:t>
      </w:r>
    </w:p>
    <w:p w14:paraId="1DBCE828" w14:textId="77777777" w:rsidR="00CA290F" w:rsidRPr="00EE4AE4" w:rsidRDefault="001F49FD" w:rsidP="00454B8E">
      <w:r w:rsidRPr="00EE4AE4">
        <w:lastRenderedPageBreak/>
        <w:t>The pilot of the NPILF</w:t>
      </w:r>
      <w:r w:rsidR="000126FE" w:rsidRPr="00EE4AE4">
        <w:t xml:space="preserve"> </w:t>
      </w:r>
      <w:r w:rsidRPr="00EE4AE4">
        <w:t xml:space="preserve">framework </w:t>
      </w:r>
      <w:r w:rsidR="000126FE" w:rsidRPr="00EE4AE4">
        <w:t xml:space="preserve">will </w:t>
      </w:r>
      <w:r w:rsidRPr="00EE4AE4">
        <w:t>begin</w:t>
      </w:r>
      <w:r w:rsidR="000126FE" w:rsidRPr="00EE4AE4">
        <w:t xml:space="preserve"> </w:t>
      </w:r>
      <w:r w:rsidRPr="00EE4AE4">
        <w:t xml:space="preserve">in </w:t>
      </w:r>
      <w:r w:rsidR="000126FE" w:rsidRPr="00EE4AE4">
        <w:t xml:space="preserve">2021 to encourage </w:t>
      </w:r>
      <w:r w:rsidR="00CA290F" w:rsidRPr="00EE4AE4">
        <w:t>early engagement with the fund:</w:t>
      </w:r>
    </w:p>
    <w:p w14:paraId="7322FC07" w14:textId="3A2202D7" w:rsidR="00CA290F" w:rsidRPr="00EE4AE4" w:rsidRDefault="000126FE" w:rsidP="00A132F9">
      <w:pPr>
        <w:pStyle w:val="ListParagraph"/>
        <w:numPr>
          <w:ilvl w:val="0"/>
          <w:numId w:val="15"/>
        </w:numPr>
        <w:spacing w:line="276" w:lineRule="auto"/>
      </w:pPr>
      <w:r w:rsidRPr="00EE4AE4">
        <w:t xml:space="preserve">In 2021, universities will select </w:t>
      </w:r>
      <w:r w:rsidR="00CA290F" w:rsidRPr="00EE4AE4">
        <w:t>1</w:t>
      </w:r>
      <w:r w:rsidR="0033523B" w:rsidRPr="00EE4AE4">
        <w:t xml:space="preserve">2 </w:t>
      </w:r>
      <w:r w:rsidR="00CA290F" w:rsidRPr="00EE4AE4">
        <w:t xml:space="preserve">indicators </w:t>
      </w:r>
      <w:r w:rsidR="00155C61" w:rsidRPr="00EE4AE4">
        <w:t>(</w:t>
      </w:r>
      <w:r w:rsidRPr="00EE4AE4">
        <w:t>metrics</w:t>
      </w:r>
      <w:r w:rsidR="00155C61" w:rsidRPr="00EE4AE4">
        <w:t>,</w:t>
      </w:r>
      <w:r w:rsidRPr="00EE4AE4">
        <w:t xml:space="preserve"> demonstrators and innovators</w:t>
      </w:r>
      <w:r w:rsidR="00155C61" w:rsidRPr="00EE4AE4">
        <w:t>)</w:t>
      </w:r>
      <w:r w:rsidR="00CA290F" w:rsidRPr="00EE4AE4">
        <w:t xml:space="preserve"> to be</w:t>
      </w:r>
      <w:r w:rsidRPr="00EE4AE4">
        <w:t xml:space="preserve"> agreed to by the department</w:t>
      </w:r>
      <w:r w:rsidR="00CA290F" w:rsidRPr="00EE4AE4">
        <w:t xml:space="preserve"> but will</w:t>
      </w:r>
      <w:r w:rsidRPr="00EE4AE4">
        <w:t xml:space="preserve"> </w:t>
      </w:r>
      <w:r w:rsidR="00CA290F" w:rsidRPr="00EE4AE4">
        <w:t xml:space="preserve">only </w:t>
      </w:r>
      <w:r w:rsidR="003E2F15">
        <w:t>aim</w:t>
      </w:r>
      <w:r w:rsidR="00CA290F" w:rsidRPr="00EE4AE4">
        <w:t xml:space="preserve"> to meet </w:t>
      </w:r>
      <w:r w:rsidR="0033523B" w:rsidRPr="00EE4AE4">
        <w:t>8.</w:t>
      </w:r>
      <w:r w:rsidR="00CA290F" w:rsidRPr="00EE4AE4">
        <w:t xml:space="preserve"> At the end of the year, t</w:t>
      </w:r>
      <w:r w:rsidRPr="00EE4AE4">
        <w:t xml:space="preserve">he university will </w:t>
      </w:r>
      <w:r w:rsidR="00877B27">
        <w:t>report on their NPILF activities.</w:t>
      </w:r>
    </w:p>
    <w:p w14:paraId="202B8CE9" w14:textId="727D9DF4" w:rsidR="00EC5A9B" w:rsidRPr="00454B8E" w:rsidRDefault="000126FE" w:rsidP="00A132F9">
      <w:pPr>
        <w:pStyle w:val="ListParagraph"/>
        <w:numPr>
          <w:ilvl w:val="0"/>
          <w:numId w:val="15"/>
        </w:numPr>
        <w:spacing w:line="276" w:lineRule="auto"/>
        <w:rPr>
          <w:bCs/>
        </w:rPr>
      </w:pPr>
      <w:r w:rsidRPr="00EE4AE4">
        <w:t>In 2022, universities will</w:t>
      </w:r>
      <w:r w:rsidR="00CA290F" w:rsidRPr="00EE4AE4">
        <w:t xml:space="preserve"> select 1</w:t>
      </w:r>
      <w:r w:rsidR="0033523B" w:rsidRPr="00EE4AE4">
        <w:t xml:space="preserve">2 </w:t>
      </w:r>
      <w:r w:rsidR="00CA290F" w:rsidRPr="00EE4AE4">
        <w:t>indicators,</w:t>
      </w:r>
      <w:r w:rsidRPr="00EE4AE4">
        <w:t xml:space="preserve"> follow</w:t>
      </w:r>
      <w:r w:rsidR="00CA290F" w:rsidRPr="00EE4AE4">
        <w:t>ing</w:t>
      </w:r>
      <w:r w:rsidRPr="00EE4AE4">
        <w:t xml:space="preserve"> the same </w:t>
      </w:r>
      <w:r w:rsidR="00155C61" w:rsidRPr="00EE4AE4">
        <w:t xml:space="preserve">agreement </w:t>
      </w:r>
      <w:r w:rsidRPr="00EE4AE4">
        <w:t>process</w:t>
      </w:r>
      <w:r w:rsidR="00CA290F" w:rsidRPr="00EE4AE4">
        <w:t xml:space="preserve"> but will only </w:t>
      </w:r>
      <w:r w:rsidR="003E2F15">
        <w:t>aim</w:t>
      </w:r>
      <w:r w:rsidR="00CA290F" w:rsidRPr="00EE4AE4">
        <w:t xml:space="preserve"> to meet </w:t>
      </w:r>
      <w:r w:rsidR="0033523B" w:rsidRPr="00EE4AE4">
        <w:t>10.</w:t>
      </w:r>
    </w:p>
    <w:p w14:paraId="69E302FB" w14:textId="77777777" w:rsidR="00CA290F" w:rsidRPr="00EE4AE4" w:rsidRDefault="00CA290F" w:rsidP="00454B8E">
      <w:r w:rsidRPr="00EE4AE4">
        <w:t xml:space="preserve">During the pilot, feedback will be provided to universities regarding their </w:t>
      </w:r>
      <w:proofErr w:type="gramStart"/>
      <w:r w:rsidRPr="00EE4AE4">
        <w:t>submission</w:t>
      </w:r>
      <w:proofErr w:type="gramEnd"/>
      <w:r w:rsidRPr="00EE4AE4">
        <w:t xml:space="preserve"> but the assessment is not tied to funding.</w:t>
      </w:r>
    </w:p>
    <w:p w14:paraId="44F6592F" w14:textId="1BD9E496" w:rsidR="00155C61" w:rsidRPr="00EE4AE4" w:rsidRDefault="00155C61" w:rsidP="00454B8E">
      <w:r w:rsidRPr="00EE4AE4">
        <w:t xml:space="preserve">At the completion of the pilot, the department will consult with the working group and review the allocation framework, the agreement and </w:t>
      </w:r>
      <w:r w:rsidR="002E0458">
        <w:t>reporting</w:t>
      </w:r>
      <w:r w:rsidRPr="00EE4AE4">
        <w:t xml:space="preserve"> processes and robustness of </w:t>
      </w:r>
      <w:r w:rsidR="00CA290F" w:rsidRPr="00EE4AE4">
        <w:t>metrics</w:t>
      </w:r>
      <w:r w:rsidRPr="00EE4AE4">
        <w:t xml:space="preserve"> </w:t>
      </w:r>
      <w:r w:rsidR="009F6D02" w:rsidRPr="00EE4AE4">
        <w:t>to determine the structure for 2023.</w:t>
      </w:r>
    </w:p>
    <w:p w14:paraId="39C83F89" w14:textId="77777777" w:rsidR="000126FE" w:rsidRPr="00EE4AE4" w:rsidRDefault="000126FE" w:rsidP="00454B8E">
      <w:r w:rsidRPr="00EE4AE4">
        <w:t>The finalised NPILF model will be implemented from 2024.</w:t>
      </w:r>
    </w:p>
    <w:p w14:paraId="523A2DFB" w14:textId="11595B14" w:rsidR="007A6047" w:rsidRDefault="000126FE" w:rsidP="00454B8E">
      <w:pPr>
        <w:rPr>
          <w:b/>
        </w:rPr>
      </w:pPr>
      <w:r w:rsidRPr="00EE4AE4">
        <w:t>During the transition phase, the amount granted to each university is</w:t>
      </w:r>
      <w:r>
        <w:t xml:space="preserve"> determined by a set of bands, which are weighted to support smaller universities and regional institutions. Universities fall into </w:t>
      </w:r>
      <w:r w:rsidR="00155C61">
        <w:t xml:space="preserve">one of four </w:t>
      </w:r>
      <w:r>
        <w:t xml:space="preserve">funding bands, depending on the number of </w:t>
      </w:r>
      <w:r w:rsidR="007A6047">
        <w:t xml:space="preserve">Commonwealth Supported Places (CSPs) </w:t>
      </w:r>
      <w:r>
        <w:t>enrolled in 2018</w:t>
      </w:r>
      <w:r>
        <w:rPr>
          <w:b/>
        </w:rPr>
        <w:t>.</w:t>
      </w:r>
      <w:r>
        <w:t xml:space="preserve"> The final model for distribution may be based on other criteria. The model will need to be fair to all Table A universities, which may include accounting for small and regional factors in addition to </w:t>
      </w:r>
      <w:proofErr w:type="gramStart"/>
      <w:r>
        <w:t>being</w:t>
      </w:r>
      <w:proofErr w:type="gramEnd"/>
      <w:r>
        <w:t xml:space="preserve"> a reflection of the actual cost of the required activities. Some allocation models for distribution of NPILF from 2024 are outlined in </w:t>
      </w:r>
      <w:r w:rsidR="006C7FB7">
        <w:rPr>
          <w:b/>
        </w:rPr>
        <w:t>T</w:t>
      </w:r>
      <w:r w:rsidR="00E2598C">
        <w:rPr>
          <w:b/>
        </w:rPr>
        <w:t xml:space="preserve">able </w:t>
      </w:r>
      <w:r w:rsidR="008B4D81">
        <w:rPr>
          <w:b/>
        </w:rPr>
        <w:t>8</w:t>
      </w:r>
      <w:r>
        <w:rPr>
          <w:b/>
        </w:rPr>
        <w:t>.</w:t>
      </w:r>
    </w:p>
    <w:p w14:paraId="3C334FA9" w14:textId="1B962826" w:rsidR="00CB605B" w:rsidRDefault="00CB605B" w:rsidP="002F1714">
      <w:pPr>
        <w:pStyle w:val="Caption"/>
        <w:keepNext/>
      </w:pPr>
      <w:r>
        <w:t xml:space="preserve">Table </w:t>
      </w:r>
      <w:fldSimple w:instr=" SEQ Table \* ARABIC ">
        <w:r w:rsidR="006724E2">
          <w:rPr>
            <w:noProof/>
          </w:rPr>
          <w:t>5</w:t>
        </w:r>
      </w:fldSimple>
      <w:r>
        <w:t xml:space="preserve"> NPILF distribution options</w:t>
      </w:r>
    </w:p>
    <w:tbl>
      <w:tblPr>
        <w:tblW w:w="8926" w:type="dxa"/>
        <w:tblBorders>
          <w:top w:val="single" w:sz="4" w:space="0" w:color="B6006A" w:themeColor="accent4"/>
          <w:left w:val="single" w:sz="4" w:space="0" w:color="B6006A" w:themeColor="accent4"/>
          <w:bottom w:val="single" w:sz="4" w:space="0" w:color="B6006A" w:themeColor="accent4"/>
          <w:right w:val="single" w:sz="4" w:space="0" w:color="B6006A" w:themeColor="accent4"/>
          <w:insideH w:val="single" w:sz="4" w:space="0" w:color="B6006A" w:themeColor="accent4"/>
        </w:tblBorders>
        <w:tblCellMar>
          <w:left w:w="0" w:type="dxa"/>
          <w:right w:w="0" w:type="dxa"/>
        </w:tblCellMar>
        <w:tblLook w:val="0420" w:firstRow="1" w:lastRow="0" w:firstColumn="0" w:lastColumn="0" w:noHBand="0" w:noVBand="1"/>
        <w:tblCaption w:val="NPILF Distribution Options"/>
        <w:tblDescription w:val="This table provides four options for ways that the NPILF fund could be distributed between Table A universities. The four options are: (1) Per-EFTSL rate; (2) Per-EFTSL rate + base; (3) Per-EFTSL rate + base + loading; and (4) Banded allocation.&#10;"/>
      </w:tblPr>
      <w:tblGrid>
        <w:gridCol w:w="3140"/>
        <w:gridCol w:w="5786"/>
      </w:tblGrid>
      <w:tr w:rsidR="002D3A6B" w:rsidRPr="002D3A6B" w14:paraId="4DD6ACB4" w14:textId="77777777" w:rsidTr="002F1714">
        <w:trPr>
          <w:trHeight w:val="151"/>
          <w:tblHeader/>
        </w:trPr>
        <w:tc>
          <w:tcPr>
            <w:tcW w:w="3140" w:type="dxa"/>
            <w:shd w:val="clear" w:color="auto" w:fill="B6006A" w:themeFill="accent4"/>
            <w:tcMar>
              <w:top w:w="72" w:type="dxa"/>
              <w:left w:w="144" w:type="dxa"/>
              <w:bottom w:w="72" w:type="dxa"/>
              <w:right w:w="144" w:type="dxa"/>
            </w:tcMar>
            <w:hideMark/>
          </w:tcPr>
          <w:p w14:paraId="6343049E" w14:textId="77BEE991" w:rsidR="002D3A6B" w:rsidRPr="002D3A6B" w:rsidRDefault="00423DCB" w:rsidP="002D3A6B">
            <w:pPr>
              <w:spacing w:after="0" w:line="240" w:lineRule="auto"/>
              <w:rPr>
                <w:rFonts w:ascii="Arial" w:eastAsia="Times New Roman" w:hAnsi="Arial" w:cs="Arial"/>
                <w:lang w:eastAsia="en-AU"/>
              </w:rPr>
            </w:pPr>
            <w:r w:rsidRPr="00430A13">
              <w:rPr>
                <w:rFonts w:ascii="Calibri" w:eastAsia="Times New Roman" w:hAnsi="Calibri" w:cs="Calibri"/>
                <w:b/>
                <w:bCs/>
                <w:color w:val="FFFFFF" w:themeColor="background1"/>
                <w:kern w:val="24"/>
                <w:lang w:eastAsia="en-AU"/>
              </w:rPr>
              <w:t xml:space="preserve">Distribution </w:t>
            </w:r>
            <w:r w:rsidR="002D3A6B" w:rsidRPr="00430A13">
              <w:rPr>
                <w:rFonts w:ascii="Calibri" w:eastAsia="Times New Roman" w:hAnsi="Calibri" w:cs="Calibri"/>
                <w:b/>
                <w:bCs/>
                <w:color w:val="FFFFFF" w:themeColor="background1"/>
                <w:kern w:val="24"/>
                <w:lang w:eastAsia="en-AU"/>
              </w:rPr>
              <w:t>option</w:t>
            </w:r>
            <w:r w:rsidR="00E05C1D">
              <w:rPr>
                <w:rFonts w:ascii="Calibri" w:eastAsia="Times New Roman" w:hAnsi="Calibri" w:cs="Calibri"/>
                <w:b/>
                <w:bCs/>
                <w:color w:val="FFFFFF" w:themeColor="background1"/>
                <w:kern w:val="24"/>
                <w:lang w:eastAsia="en-AU"/>
              </w:rPr>
              <w:t>s</w:t>
            </w:r>
          </w:p>
        </w:tc>
        <w:tc>
          <w:tcPr>
            <w:tcW w:w="5786" w:type="dxa"/>
            <w:shd w:val="clear" w:color="auto" w:fill="B6006A" w:themeFill="accent4"/>
            <w:tcMar>
              <w:top w:w="72" w:type="dxa"/>
              <w:left w:w="144" w:type="dxa"/>
              <w:bottom w:w="72" w:type="dxa"/>
              <w:right w:w="144" w:type="dxa"/>
            </w:tcMar>
            <w:hideMark/>
          </w:tcPr>
          <w:p w14:paraId="1D151BC2" w14:textId="77777777" w:rsidR="002D3A6B" w:rsidRPr="002D3A6B" w:rsidRDefault="002D3A6B" w:rsidP="002D3A6B">
            <w:pPr>
              <w:spacing w:after="0" w:line="240" w:lineRule="auto"/>
              <w:rPr>
                <w:rFonts w:ascii="Arial" w:eastAsia="Times New Roman" w:hAnsi="Arial" w:cs="Arial"/>
                <w:lang w:eastAsia="en-AU"/>
              </w:rPr>
            </w:pPr>
            <w:r w:rsidRPr="002D3A6B">
              <w:rPr>
                <w:rFonts w:ascii="Calibri" w:eastAsia="Times New Roman" w:hAnsi="Calibri" w:cs="Calibri"/>
                <w:b/>
                <w:bCs/>
                <w:color w:val="FFFFFF"/>
                <w:kern w:val="24"/>
                <w:lang w:eastAsia="en-AU"/>
              </w:rPr>
              <w:t>Description</w:t>
            </w:r>
          </w:p>
        </w:tc>
      </w:tr>
      <w:tr w:rsidR="008963BF" w:rsidRPr="00EE4AE4" w14:paraId="74EAD20B" w14:textId="77777777" w:rsidTr="008963BF">
        <w:trPr>
          <w:trHeight w:val="379"/>
        </w:trPr>
        <w:tc>
          <w:tcPr>
            <w:tcW w:w="3140" w:type="dxa"/>
            <w:shd w:val="clear" w:color="auto" w:fill="auto"/>
            <w:tcMar>
              <w:top w:w="72" w:type="dxa"/>
              <w:left w:w="144" w:type="dxa"/>
              <w:bottom w:w="72" w:type="dxa"/>
              <w:right w:w="144" w:type="dxa"/>
            </w:tcMar>
          </w:tcPr>
          <w:p w14:paraId="5ADFE43C" w14:textId="77777777" w:rsidR="008963BF" w:rsidRPr="002F1714" w:rsidRDefault="008963BF" w:rsidP="008963BF">
            <w:pPr>
              <w:spacing w:after="0" w:line="240" w:lineRule="auto"/>
              <w:rPr>
                <w:rFonts w:ascii="Calibri" w:eastAsia="Times New Roman" w:hAnsi="Calibri" w:cs="Calibri"/>
                <w:b/>
                <w:color w:val="000000"/>
                <w:kern w:val="24"/>
                <w:lang w:eastAsia="en-AU"/>
              </w:rPr>
            </w:pPr>
            <w:r w:rsidRPr="002F1714">
              <w:rPr>
                <w:rFonts w:ascii="Calibri" w:eastAsia="Times New Roman" w:hAnsi="Calibri" w:cs="Calibri"/>
                <w:b/>
                <w:color w:val="000000"/>
                <w:kern w:val="24"/>
                <w:lang w:eastAsia="en-AU"/>
              </w:rPr>
              <w:t>Per-EFTSL rate</w:t>
            </w:r>
          </w:p>
        </w:tc>
        <w:tc>
          <w:tcPr>
            <w:tcW w:w="5786" w:type="dxa"/>
            <w:shd w:val="clear" w:color="auto" w:fill="auto"/>
            <w:tcMar>
              <w:top w:w="72" w:type="dxa"/>
              <w:left w:w="144" w:type="dxa"/>
              <w:bottom w:w="72" w:type="dxa"/>
              <w:right w:w="144" w:type="dxa"/>
            </w:tcMar>
          </w:tcPr>
          <w:p w14:paraId="5A43C509" w14:textId="77777777" w:rsidR="008963BF" w:rsidRPr="00EE4AE4" w:rsidRDefault="008963BF" w:rsidP="008963BF">
            <w:pPr>
              <w:spacing w:after="0" w:line="240" w:lineRule="auto"/>
              <w:rPr>
                <w:rFonts w:ascii="Calibri" w:eastAsia="Times New Roman" w:hAnsi="Calibri" w:cs="Calibri"/>
                <w:color w:val="000000"/>
                <w:kern w:val="24"/>
                <w:lang w:eastAsia="en-AU"/>
              </w:rPr>
            </w:pPr>
            <w:r w:rsidRPr="00EE4AE4">
              <w:rPr>
                <w:rFonts w:ascii="Calibri" w:eastAsia="Times New Roman" w:hAnsi="Calibri" w:cs="Calibri"/>
                <w:color w:val="000000"/>
                <w:kern w:val="24"/>
                <w:lang w:eastAsia="en-AU"/>
              </w:rPr>
              <w:t>Allocation based on CSP EFTSL, no bands, has a floor.</w:t>
            </w:r>
          </w:p>
        </w:tc>
      </w:tr>
      <w:tr w:rsidR="002D3A6B" w:rsidRPr="00EE4AE4" w14:paraId="607F35EF" w14:textId="77777777" w:rsidTr="00D1753C">
        <w:trPr>
          <w:trHeight w:val="880"/>
        </w:trPr>
        <w:tc>
          <w:tcPr>
            <w:tcW w:w="3140" w:type="dxa"/>
            <w:shd w:val="clear" w:color="auto" w:fill="auto"/>
            <w:tcMar>
              <w:top w:w="72" w:type="dxa"/>
              <w:left w:w="144" w:type="dxa"/>
              <w:bottom w:w="72" w:type="dxa"/>
              <w:right w:w="144" w:type="dxa"/>
            </w:tcMar>
            <w:hideMark/>
          </w:tcPr>
          <w:p w14:paraId="6F88DFC9" w14:textId="77777777" w:rsidR="002D3A6B" w:rsidRPr="002F1714" w:rsidRDefault="008963BF" w:rsidP="008963BF">
            <w:pPr>
              <w:spacing w:after="0" w:line="240" w:lineRule="auto"/>
              <w:rPr>
                <w:rFonts w:ascii="Arial" w:eastAsia="Times New Roman" w:hAnsi="Arial" w:cs="Arial"/>
                <w:b/>
                <w:lang w:eastAsia="en-AU"/>
              </w:rPr>
            </w:pPr>
            <w:r w:rsidRPr="002F1714">
              <w:rPr>
                <w:rFonts w:ascii="Calibri" w:eastAsia="Times New Roman" w:hAnsi="Calibri" w:cs="Calibri"/>
                <w:b/>
                <w:color w:val="000000"/>
                <w:kern w:val="24"/>
                <w:lang w:eastAsia="en-AU"/>
              </w:rPr>
              <w:t>P</w:t>
            </w:r>
            <w:r w:rsidR="002D3A6B" w:rsidRPr="002F1714">
              <w:rPr>
                <w:rFonts w:ascii="Calibri" w:eastAsia="Times New Roman" w:hAnsi="Calibri" w:cs="Calibri"/>
                <w:b/>
                <w:color w:val="000000"/>
                <w:kern w:val="24"/>
                <w:lang w:eastAsia="en-AU"/>
              </w:rPr>
              <w:t xml:space="preserve">er-EFTSL </w:t>
            </w:r>
            <w:r w:rsidRPr="002F1714">
              <w:rPr>
                <w:rFonts w:ascii="Calibri" w:eastAsia="Times New Roman" w:hAnsi="Calibri" w:cs="Calibri"/>
                <w:b/>
                <w:color w:val="000000"/>
                <w:kern w:val="24"/>
                <w:lang w:eastAsia="en-AU"/>
              </w:rPr>
              <w:t>rate + base</w:t>
            </w:r>
          </w:p>
        </w:tc>
        <w:tc>
          <w:tcPr>
            <w:tcW w:w="5786" w:type="dxa"/>
            <w:shd w:val="clear" w:color="auto" w:fill="auto"/>
            <w:tcMar>
              <w:top w:w="72" w:type="dxa"/>
              <w:left w:w="144" w:type="dxa"/>
              <w:bottom w:w="72" w:type="dxa"/>
              <w:right w:w="144" w:type="dxa"/>
            </w:tcMar>
            <w:hideMark/>
          </w:tcPr>
          <w:p w14:paraId="70FE2285" w14:textId="77777777" w:rsidR="008963BF" w:rsidRPr="00EE4AE4" w:rsidRDefault="002D3A6B" w:rsidP="002D3A6B">
            <w:pPr>
              <w:spacing w:after="0" w:line="240" w:lineRule="auto"/>
              <w:rPr>
                <w:rFonts w:ascii="Calibri" w:eastAsia="Times New Roman" w:hAnsi="Calibri" w:cs="Calibri"/>
                <w:color w:val="000000"/>
                <w:kern w:val="24"/>
                <w:lang w:eastAsia="en-AU"/>
              </w:rPr>
            </w:pPr>
            <w:r w:rsidRPr="00EE4AE4">
              <w:rPr>
                <w:rFonts w:ascii="Calibri" w:eastAsia="Times New Roman" w:hAnsi="Calibri" w:cs="Calibri"/>
                <w:color w:val="000000"/>
                <w:kern w:val="24"/>
                <w:lang w:eastAsia="en-AU"/>
              </w:rPr>
              <w:t>Fixed base amount to all universities to reflect the cost of a base level of industry engagement irrespective of student load (no bands, no floor).</w:t>
            </w:r>
            <w:r w:rsidR="00D1753C" w:rsidRPr="00EE4AE4">
              <w:rPr>
                <w:rFonts w:ascii="Calibri" w:eastAsia="Times New Roman" w:hAnsi="Calibri" w:cs="Calibri"/>
                <w:color w:val="000000"/>
                <w:kern w:val="24"/>
                <w:lang w:eastAsia="en-AU"/>
              </w:rPr>
              <w:t xml:space="preserve"> Remaining allocation based on CSP EFTSL.</w:t>
            </w:r>
          </w:p>
        </w:tc>
      </w:tr>
      <w:tr w:rsidR="002D3A6B" w:rsidRPr="002D3A6B" w14:paraId="674945CD" w14:textId="77777777" w:rsidTr="00D1753C">
        <w:trPr>
          <w:trHeight w:val="1122"/>
        </w:trPr>
        <w:tc>
          <w:tcPr>
            <w:tcW w:w="3140" w:type="dxa"/>
            <w:shd w:val="clear" w:color="auto" w:fill="auto"/>
            <w:tcMar>
              <w:top w:w="72" w:type="dxa"/>
              <w:left w:w="144" w:type="dxa"/>
              <w:bottom w:w="72" w:type="dxa"/>
              <w:right w:w="144" w:type="dxa"/>
            </w:tcMar>
            <w:hideMark/>
          </w:tcPr>
          <w:p w14:paraId="0B450824" w14:textId="77777777" w:rsidR="002D3A6B" w:rsidRPr="002F1714" w:rsidRDefault="008963BF" w:rsidP="008963BF">
            <w:pPr>
              <w:spacing w:after="0" w:line="240" w:lineRule="auto"/>
              <w:rPr>
                <w:rFonts w:ascii="Arial" w:eastAsia="Times New Roman" w:hAnsi="Arial" w:cs="Arial"/>
                <w:b/>
                <w:lang w:eastAsia="en-AU"/>
              </w:rPr>
            </w:pPr>
            <w:r w:rsidRPr="002F1714">
              <w:rPr>
                <w:rFonts w:ascii="Calibri" w:eastAsia="Times New Roman" w:hAnsi="Calibri" w:cs="Calibri"/>
                <w:b/>
                <w:color w:val="000000"/>
                <w:kern w:val="24"/>
                <w:lang w:eastAsia="en-AU"/>
              </w:rPr>
              <w:t>P</w:t>
            </w:r>
            <w:r w:rsidR="002D3A6B" w:rsidRPr="002F1714">
              <w:rPr>
                <w:rFonts w:ascii="Calibri" w:eastAsia="Times New Roman" w:hAnsi="Calibri" w:cs="Calibri"/>
                <w:b/>
                <w:color w:val="000000"/>
                <w:kern w:val="24"/>
                <w:lang w:eastAsia="en-AU"/>
              </w:rPr>
              <w:t xml:space="preserve">er-EFTSL </w:t>
            </w:r>
            <w:r w:rsidRPr="002F1714">
              <w:rPr>
                <w:rFonts w:ascii="Calibri" w:eastAsia="Times New Roman" w:hAnsi="Calibri" w:cs="Calibri"/>
                <w:b/>
                <w:color w:val="000000"/>
                <w:kern w:val="24"/>
                <w:lang w:eastAsia="en-AU"/>
              </w:rPr>
              <w:t xml:space="preserve">rate + base + </w:t>
            </w:r>
            <w:r w:rsidR="002D3A6B" w:rsidRPr="002F1714">
              <w:rPr>
                <w:rFonts w:ascii="Calibri" w:eastAsia="Times New Roman" w:hAnsi="Calibri" w:cs="Calibri"/>
                <w:b/>
                <w:color w:val="000000"/>
                <w:kern w:val="24"/>
                <w:lang w:eastAsia="en-AU"/>
              </w:rPr>
              <w:t>loading</w:t>
            </w:r>
          </w:p>
        </w:tc>
        <w:tc>
          <w:tcPr>
            <w:tcW w:w="5786" w:type="dxa"/>
            <w:shd w:val="clear" w:color="auto" w:fill="auto"/>
            <w:tcMar>
              <w:top w:w="72" w:type="dxa"/>
              <w:left w:w="144" w:type="dxa"/>
              <w:bottom w:w="72" w:type="dxa"/>
              <w:right w:w="144" w:type="dxa"/>
            </w:tcMar>
            <w:hideMark/>
          </w:tcPr>
          <w:p w14:paraId="7255F948" w14:textId="77777777" w:rsidR="002D3A6B" w:rsidRPr="00EE4AE4" w:rsidRDefault="002D3A6B" w:rsidP="003253D2">
            <w:pPr>
              <w:spacing w:after="0" w:line="240" w:lineRule="auto"/>
              <w:rPr>
                <w:rFonts w:ascii="Arial" w:eastAsia="Times New Roman" w:hAnsi="Arial" w:cs="Arial"/>
                <w:lang w:eastAsia="en-AU"/>
              </w:rPr>
            </w:pPr>
            <w:r w:rsidRPr="00EE4AE4">
              <w:rPr>
                <w:rFonts w:ascii="Calibri" w:eastAsia="Times New Roman" w:hAnsi="Calibri" w:cs="Calibri"/>
                <w:color w:val="000000"/>
                <w:kern w:val="24"/>
                <w:lang w:eastAsia="en-AU"/>
              </w:rPr>
              <w:t>Fixed base amount to all universities to reflect the cost of a base level of industry engagement irrespective of student load (no bands, no floor). Remaining allocation based on CSP EFTSL plus a loading fo</w:t>
            </w:r>
            <w:r w:rsidR="00D1753C" w:rsidRPr="00EE4AE4">
              <w:rPr>
                <w:rFonts w:ascii="Calibri" w:eastAsia="Times New Roman" w:hAnsi="Calibri" w:cs="Calibri"/>
                <w:color w:val="000000"/>
                <w:kern w:val="24"/>
                <w:lang w:eastAsia="en-AU"/>
              </w:rPr>
              <w:t xml:space="preserve">r </w:t>
            </w:r>
            <w:r w:rsidR="003253D2" w:rsidRPr="00EE4AE4">
              <w:rPr>
                <w:rFonts w:ascii="Calibri" w:eastAsia="Times New Roman" w:hAnsi="Calibri" w:cs="Calibri"/>
                <w:color w:val="000000"/>
                <w:kern w:val="24"/>
                <w:lang w:eastAsia="en-AU"/>
              </w:rPr>
              <w:t>regional and small institutions</w:t>
            </w:r>
          </w:p>
        </w:tc>
      </w:tr>
      <w:tr w:rsidR="000D72C5" w:rsidRPr="002D3A6B" w14:paraId="230E9EAF" w14:textId="77777777" w:rsidTr="00561742">
        <w:trPr>
          <w:trHeight w:val="1138"/>
        </w:trPr>
        <w:tc>
          <w:tcPr>
            <w:tcW w:w="3140" w:type="dxa"/>
            <w:shd w:val="clear" w:color="auto" w:fill="auto"/>
            <w:tcMar>
              <w:top w:w="72" w:type="dxa"/>
              <w:left w:w="144" w:type="dxa"/>
              <w:bottom w:w="72" w:type="dxa"/>
              <w:right w:w="144" w:type="dxa"/>
            </w:tcMar>
            <w:hideMark/>
          </w:tcPr>
          <w:p w14:paraId="0D8C0F72" w14:textId="692C0A21" w:rsidR="000D72C5" w:rsidRPr="002F1714" w:rsidRDefault="000D72C5" w:rsidP="00561742">
            <w:pPr>
              <w:spacing w:after="0" w:line="240" w:lineRule="auto"/>
              <w:rPr>
                <w:rFonts w:ascii="Arial" w:eastAsia="Times New Roman" w:hAnsi="Arial" w:cs="Arial"/>
                <w:b/>
                <w:lang w:eastAsia="en-AU"/>
              </w:rPr>
            </w:pPr>
            <w:r w:rsidRPr="002F1714">
              <w:rPr>
                <w:rFonts w:ascii="Calibri" w:eastAsia="Times New Roman" w:hAnsi="Calibri" w:cs="Calibri"/>
                <w:b/>
                <w:color w:val="000000"/>
                <w:kern w:val="24"/>
                <w:lang w:eastAsia="en-AU"/>
              </w:rPr>
              <w:t>Banded allocation</w:t>
            </w:r>
          </w:p>
        </w:tc>
        <w:tc>
          <w:tcPr>
            <w:tcW w:w="5786" w:type="dxa"/>
            <w:shd w:val="clear" w:color="auto" w:fill="auto"/>
            <w:tcMar>
              <w:top w:w="72" w:type="dxa"/>
              <w:left w:w="144" w:type="dxa"/>
              <w:bottom w:w="72" w:type="dxa"/>
              <w:right w:w="144" w:type="dxa"/>
            </w:tcMar>
            <w:hideMark/>
          </w:tcPr>
          <w:p w14:paraId="51394F38" w14:textId="77777777" w:rsidR="000D72C5" w:rsidRPr="002D3A6B" w:rsidRDefault="000D72C5" w:rsidP="00561742">
            <w:pPr>
              <w:spacing w:after="0" w:line="240" w:lineRule="auto"/>
              <w:rPr>
                <w:rFonts w:ascii="Arial" w:eastAsia="Times New Roman" w:hAnsi="Arial" w:cs="Arial"/>
                <w:lang w:eastAsia="en-AU"/>
              </w:rPr>
            </w:pPr>
            <w:r w:rsidRPr="002D3A6B">
              <w:rPr>
                <w:rFonts w:ascii="Calibri" w:eastAsia="Times New Roman" w:hAnsi="Calibri" w:cs="Calibri"/>
                <w:color w:val="000000"/>
                <w:kern w:val="24"/>
                <w:lang w:eastAsia="en-AU"/>
              </w:rPr>
              <w:t xml:space="preserve">Banded allocation based on CSP EFTSL. There are four bands, with the corresponding amounts ranging from </w:t>
            </w:r>
            <w:r>
              <w:rPr>
                <w:rFonts w:ascii="Calibri" w:eastAsia="Times New Roman" w:hAnsi="Calibri" w:cs="Calibri"/>
                <w:color w:val="000000"/>
                <w:kern w:val="24"/>
                <w:lang w:eastAsia="en-AU"/>
              </w:rPr>
              <w:br/>
            </w:r>
            <w:r w:rsidRPr="002D3A6B">
              <w:rPr>
                <w:rFonts w:ascii="Calibri" w:eastAsia="Times New Roman" w:hAnsi="Calibri" w:cs="Calibri"/>
                <w:color w:val="000000"/>
                <w:kern w:val="24"/>
                <w:lang w:eastAsia="en-AU"/>
              </w:rPr>
              <w:t xml:space="preserve">$3.25mil – $8.75mil. </w:t>
            </w:r>
          </w:p>
          <w:p w14:paraId="1EA10A23" w14:textId="77777777" w:rsidR="000D72C5" w:rsidRPr="002D3A6B" w:rsidRDefault="000D72C5" w:rsidP="00561742">
            <w:pPr>
              <w:spacing w:after="0" w:line="240" w:lineRule="auto"/>
              <w:rPr>
                <w:rFonts w:ascii="Arial" w:eastAsia="Times New Roman" w:hAnsi="Arial" w:cs="Arial"/>
                <w:i/>
                <w:lang w:eastAsia="en-AU"/>
              </w:rPr>
            </w:pPr>
            <w:r w:rsidRPr="002D3A6B">
              <w:rPr>
                <w:rFonts w:ascii="Calibri" w:eastAsia="Times New Roman" w:hAnsi="Calibri" w:cs="Calibri"/>
                <w:i/>
                <w:color w:val="000000"/>
                <w:kern w:val="24"/>
                <w:sz w:val="20"/>
                <w:lang w:eastAsia="en-AU"/>
              </w:rPr>
              <w:t xml:space="preserve">*This arrangement is to be </w:t>
            </w:r>
            <w:r>
              <w:rPr>
                <w:rFonts w:ascii="Calibri" w:eastAsia="Times New Roman" w:hAnsi="Calibri" w:cs="Calibri"/>
                <w:i/>
                <w:color w:val="000000"/>
                <w:kern w:val="24"/>
                <w:sz w:val="20"/>
                <w:lang w:eastAsia="en-AU"/>
              </w:rPr>
              <w:t>implemented</w:t>
            </w:r>
            <w:r w:rsidRPr="002D3A6B">
              <w:rPr>
                <w:rFonts w:ascii="Calibri" w:eastAsia="Times New Roman" w:hAnsi="Calibri" w:cs="Calibri"/>
                <w:i/>
                <w:color w:val="000000"/>
                <w:kern w:val="24"/>
                <w:sz w:val="20"/>
                <w:lang w:eastAsia="en-AU"/>
              </w:rPr>
              <w:t xml:space="preserve"> from 2021–24</w:t>
            </w:r>
          </w:p>
        </w:tc>
      </w:tr>
    </w:tbl>
    <w:p w14:paraId="0107B30D" w14:textId="546F9A48" w:rsidR="000126FE" w:rsidRDefault="000126FE" w:rsidP="000126FE">
      <w:pPr>
        <w:spacing w:line="240" w:lineRule="auto"/>
      </w:pPr>
    </w:p>
    <w:p w14:paraId="1F6CAA94" w14:textId="77777777" w:rsidR="00822FB0" w:rsidRPr="005C3A05" w:rsidRDefault="000126FE" w:rsidP="00947853">
      <w:r>
        <w:br w:type="page"/>
      </w:r>
    </w:p>
    <w:p w14:paraId="26D8B3BB" w14:textId="1BC80EBE" w:rsidR="005D10D1" w:rsidRDefault="00E70C8A" w:rsidP="008F6C35">
      <w:pPr>
        <w:pStyle w:val="Heading1"/>
      </w:pPr>
      <w:bookmarkStart w:id="17" w:name="_Toc52296787"/>
      <w:r>
        <w:lastRenderedPageBreak/>
        <w:t>Consultation</w:t>
      </w:r>
      <w:bookmarkEnd w:id="17"/>
    </w:p>
    <w:p w14:paraId="4D4B6364" w14:textId="1705A92D" w:rsidR="00E70C8A" w:rsidRDefault="009D22FA" w:rsidP="00E70C8A">
      <w:pPr>
        <w:pStyle w:val="Heading2"/>
      </w:pPr>
      <w:bookmarkStart w:id="18" w:name="_Toc52296788"/>
      <w:r>
        <w:t>Contribute your ideas</w:t>
      </w:r>
      <w:bookmarkEnd w:id="18"/>
    </w:p>
    <w:p w14:paraId="4E1282C8" w14:textId="39F0ECF4" w:rsidR="00E2598C" w:rsidRPr="00434A76" w:rsidRDefault="00E2598C" w:rsidP="00E2598C">
      <w:pPr>
        <w:spacing w:before="240"/>
      </w:pPr>
      <w:r w:rsidRPr="00434A76">
        <w:t xml:space="preserve">The working group now wish to invite members of the public to take the opportunity to contribute their ideas on the consultation paper. Available below is some discussion questions, which may provide a useful prompt to guide your submission. </w:t>
      </w:r>
    </w:p>
    <w:p w14:paraId="03251D0A" w14:textId="71D3312D" w:rsidR="00E2598C" w:rsidRPr="00434A76" w:rsidRDefault="00E2598C" w:rsidP="00E2598C">
      <w:pPr>
        <w:spacing w:before="240"/>
      </w:pPr>
      <w:r w:rsidRPr="00434A76">
        <w:t xml:space="preserve">Please email your submission (of no more than two pages) to the department at </w:t>
      </w:r>
      <w:hyperlink r:id="rId17" w:history="1">
        <w:r w:rsidRPr="00434A76">
          <w:rPr>
            <w:rStyle w:val="Hyperlink"/>
          </w:rPr>
          <w:t>JobReadyGrads@dese.gov.au</w:t>
        </w:r>
      </w:hyperlink>
      <w:r w:rsidRPr="00434A76">
        <w:t>. Please note, all submissions will be made publicly available after submission closes unless advised otherwise by the submitter.</w:t>
      </w:r>
    </w:p>
    <w:p w14:paraId="41D7BEF5" w14:textId="76AC9D7D" w:rsidR="00E2598C" w:rsidRPr="00434A76" w:rsidRDefault="00E2598C" w:rsidP="00E2598C">
      <w:pPr>
        <w:rPr>
          <w:b/>
        </w:rPr>
      </w:pPr>
      <w:r w:rsidRPr="00434A76">
        <w:rPr>
          <w:b/>
        </w:rPr>
        <w:t>Submissions on the NPILF co</w:t>
      </w:r>
      <w:r w:rsidR="008E05D8">
        <w:rPr>
          <w:b/>
        </w:rPr>
        <w:t xml:space="preserve">nsultation paper </w:t>
      </w:r>
      <w:r w:rsidR="00BE4692">
        <w:rPr>
          <w:b/>
        </w:rPr>
        <w:t>will close</w:t>
      </w:r>
      <w:r w:rsidR="008E05D8">
        <w:rPr>
          <w:b/>
        </w:rPr>
        <w:t xml:space="preserve"> </w:t>
      </w:r>
      <w:r w:rsidR="00BE4692">
        <w:rPr>
          <w:b/>
        </w:rPr>
        <w:t xml:space="preserve">at </w:t>
      </w:r>
      <w:r w:rsidRPr="00434A76">
        <w:rPr>
          <w:b/>
        </w:rPr>
        <w:t>11.59pm AEDT Friday</w:t>
      </w:r>
      <w:r w:rsidR="008E05D8">
        <w:rPr>
          <w:b/>
        </w:rPr>
        <w:t>,</w:t>
      </w:r>
      <w:r w:rsidRPr="00434A76">
        <w:rPr>
          <w:b/>
        </w:rPr>
        <w:t xml:space="preserve"> 30 October 2020</w:t>
      </w:r>
      <w:r w:rsidR="00BE4692">
        <w:rPr>
          <w:b/>
        </w:rPr>
        <w:t>.</w:t>
      </w:r>
    </w:p>
    <w:p w14:paraId="72AB4704" w14:textId="0AB0AFF4" w:rsidR="00E70C8A" w:rsidRPr="00434A76" w:rsidRDefault="009D22FA" w:rsidP="002F1714">
      <w:pPr>
        <w:pStyle w:val="Heading2"/>
      </w:pPr>
      <w:bookmarkStart w:id="19" w:name="_Toc52296789"/>
      <w:r w:rsidRPr="00434A76">
        <w:t>Questions for discussion</w:t>
      </w:r>
      <w:bookmarkEnd w:id="19"/>
    </w:p>
    <w:bookmarkEnd w:id="3"/>
    <w:p w14:paraId="42CFF1F8" w14:textId="77777777" w:rsidR="008A61AD" w:rsidRPr="00434A76" w:rsidRDefault="008A61AD" w:rsidP="002F1714">
      <w:pPr>
        <w:pStyle w:val="Heading3"/>
      </w:pPr>
      <w:r w:rsidRPr="00434A76">
        <w:t>Principles</w:t>
      </w:r>
    </w:p>
    <w:p w14:paraId="3E828B17" w14:textId="77777777" w:rsidR="002C5840" w:rsidRPr="00434A76" w:rsidRDefault="002C5840" w:rsidP="00A132F9">
      <w:pPr>
        <w:pStyle w:val="ListNumber"/>
        <w:numPr>
          <w:ilvl w:val="0"/>
          <w:numId w:val="18"/>
        </w:numPr>
        <w:rPr>
          <w:rFonts w:cstheme="minorHAnsi"/>
        </w:rPr>
      </w:pPr>
      <w:r w:rsidRPr="00434A76">
        <w:t xml:space="preserve">Do the principles </w:t>
      </w:r>
      <w:r w:rsidR="00A46919" w:rsidRPr="00434A76">
        <w:t>provide clear guidance on what is expected of an indicator?</w:t>
      </w:r>
    </w:p>
    <w:p w14:paraId="311EBC96" w14:textId="77777777" w:rsidR="002C5840" w:rsidRPr="00434A76" w:rsidRDefault="002C5840" w:rsidP="002F1714">
      <w:pPr>
        <w:pStyle w:val="Heading3"/>
      </w:pPr>
      <w:r w:rsidRPr="00434A76">
        <w:t>Tiered indicators</w:t>
      </w:r>
    </w:p>
    <w:p w14:paraId="0335880F" w14:textId="443BF353" w:rsidR="002C5840" w:rsidRPr="00434A76" w:rsidRDefault="007F2319" w:rsidP="00EE4AE4">
      <w:pPr>
        <w:pStyle w:val="ListNumber"/>
      </w:pPr>
      <w:r w:rsidRPr="00434A76">
        <w:t xml:space="preserve">How many indicators (i.e. 10, 12, </w:t>
      </w:r>
      <w:r w:rsidR="00335DE1" w:rsidRPr="00434A76">
        <w:t>or 15</w:t>
      </w:r>
      <w:r w:rsidRPr="00434A76">
        <w:t>) might universities need</w:t>
      </w:r>
      <w:r w:rsidR="00924BED" w:rsidRPr="00434A76">
        <w:t xml:space="preserve"> to meet,</w:t>
      </w:r>
      <w:r w:rsidRPr="00434A76">
        <w:t xml:space="preserve"> to achieve the outcomes of NPILF</w:t>
      </w:r>
      <w:r w:rsidR="001A3C53" w:rsidRPr="00434A76">
        <w:t>, while also accounting for university missions</w:t>
      </w:r>
      <w:r w:rsidRPr="00434A76">
        <w:t>?</w:t>
      </w:r>
    </w:p>
    <w:p w14:paraId="076E4DB7" w14:textId="68675FBA" w:rsidR="00FA5D20" w:rsidRPr="00434A76" w:rsidRDefault="00FA5D20" w:rsidP="00EE4AE4">
      <w:pPr>
        <w:pStyle w:val="ListNumber"/>
      </w:pPr>
      <w:r w:rsidRPr="00434A76">
        <w:t>Do the indicators provide enough flexibility to meet the varied needs of business</w:t>
      </w:r>
      <w:r w:rsidR="00676F9C" w:rsidRPr="00434A76">
        <w:t>?</w:t>
      </w:r>
    </w:p>
    <w:p w14:paraId="37B15874" w14:textId="3313EA14" w:rsidR="00A46919" w:rsidRPr="00434A76" w:rsidRDefault="00A46919" w:rsidP="00EE4AE4">
      <w:pPr>
        <w:pStyle w:val="ListNumber"/>
      </w:pPr>
      <w:r w:rsidRPr="00434A76">
        <w:t xml:space="preserve">Do you agree with </w:t>
      </w:r>
      <w:r w:rsidR="00941CDE" w:rsidRPr="00434A76">
        <w:t xml:space="preserve">the </w:t>
      </w:r>
      <w:r w:rsidRPr="00434A76">
        <w:t>metrics list</w:t>
      </w:r>
      <w:r w:rsidR="007A4491" w:rsidRPr="00434A76">
        <w:t>ed</w:t>
      </w:r>
      <w:r w:rsidRPr="00434A76">
        <w:t xml:space="preserve">? </w:t>
      </w:r>
      <w:r w:rsidR="007A4491" w:rsidRPr="00434A76">
        <w:t xml:space="preserve">Which are the most valuable? </w:t>
      </w:r>
      <w:r w:rsidRPr="00434A76">
        <w:t>Would you add other metrics?</w:t>
      </w:r>
    </w:p>
    <w:p w14:paraId="299B2C0B" w14:textId="77777777" w:rsidR="002C5840" w:rsidRPr="00434A76" w:rsidRDefault="002C5840" w:rsidP="00EE4AE4">
      <w:pPr>
        <w:pStyle w:val="ListNumber"/>
      </w:pPr>
      <w:r w:rsidRPr="00434A76">
        <w:t>To be able to measure industry linkages, is there an appetite to create a new system of data collection?</w:t>
      </w:r>
    </w:p>
    <w:p w14:paraId="40F55A91" w14:textId="21135633" w:rsidR="002C5840" w:rsidRPr="00434A76" w:rsidRDefault="00DC616C" w:rsidP="002F1714">
      <w:pPr>
        <w:pStyle w:val="Heading3"/>
      </w:pPr>
      <w:r w:rsidRPr="00434A76">
        <w:t>A</w:t>
      </w:r>
      <w:r w:rsidR="002C5840" w:rsidRPr="00434A76">
        <w:t>llocation</w:t>
      </w:r>
      <w:r w:rsidRPr="00434A76">
        <w:t xml:space="preserve"> methodology</w:t>
      </w:r>
    </w:p>
    <w:p w14:paraId="1FA04BD6" w14:textId="71E30A29" w:rsidR="00A56FC7" w:rsidRPr="00434A76" w:rsidRDefault="00E05C1D" w:rsidP="00EE4AE4">
      <w:pPr>
        <w:pStyle w:val="ListNumber"/>
      </w:pPr>
      <w:r w:rsidRPr="00434A76">
        <w:t xml:space="preserve">Is the </w:t>
      </w:r>
      <w:r w:rsidR="002C5840" w:rsidRPr="00434A76">
        <w:t xml:space="preserve">proposed mechanism for allocation </w:t>
      </w:r>
      <w:r w:rsidRPr="00434A76">
        <w:t>appropriate as a mechanism to incentivise new behaviours in the sector</w:t>
      </w:r>
      <w:r w:rsidR="002C5840" w:rsidRPr="00434A76">
        <w:t xml:space="preserve">? </w:t>
      </w:r>
      <w:r w:rsidRPr="00434A76">
        <w:rPr>
          <w:i/>
        </w:rPr>
        <w:t>C</w:t>
      </w:r>
      <w:r w:rsidR="007E2394" w:rsidRPr="00434A76">
        <w:rPr>
          <w:i/>
        </w:rPr>
        <w:t>ould re-allocation</w:t>
      </w:r>
      <w:r w:rsidR="002C5840" w:rsidRPr="00434A76">
        <w:rPr>
          <w:i/>
        </w:rPr>
        <w:t xml:space="preserve"> b</w:t>
      </w:r>
      <w:r w:rsidR="007E2394" w:rsidRPr="00434A76">
        <w:rPr>
          <w:i/>
        </w:rPr>
        <w:t>e introduced earlier/not at all</w:t>
      </w:r>
      <w:r w:rsidRPr="00434A76">
        <w:rPr>
          <w:i/>
        </w:rPr>
        <w:t>?</w:t>
      </w:r>
    </w:p>
    <w:p w14:paraId="638A1E71" w14:textId="17D867D8" w:rsidR="005C7AA0" w:rsidRPr="00434A76" w:rsidRDefault="00DC616C" w:rsidP="002F1714">
      <w:pPr>
        <w:pStyle w:val="Heading3"/>
      </w:pPr>
      <w:r w:rsidRPr="00434A76">
        <w:t>Distribution options</w:t>
      </w:r>
    </w:p>
    <w:p w14:paraId="44BEBCC0" w14:textId="775CFAE5" w:rsidR="005C7AA0" w:rsidRPr="00434A76" w:rsidRDefault="00EE4AE4" w:rsidP="00676F9C">
      <w:pPr>
        <w:pStyle w:val="ListNumber"/>
      </w:pPr>
      <w:r w:rsidRPr="00434A76">
        <w:t>Which</w:t>
      </w:r>
      <w:r w:rsidR="007A4491" w:rsidRPr="00434A76">
        <w:t xml:space="preserve"> distribution method </w:t>
      </w:r>
      <w:r w:rsidR="00676F9C" w:rsidRPr="00434A76">
        <w:t xml:space="preserve">(i.e. </w:t>
      </w:r>
      <w:r w:rsidR="00941CDE" w:rsidRPr="00434A76">
        <w:t>banded</w:t>
      </w:r>
      <w:r w:rsidR="00676F9C" w:rsidRPr="00434A76">
        <w:t>; per EFTSL-rate; base; loadings) makes most sense?</w:t>
      </w:r>
      <w:r w:rsidR="00941CDE" w:rsidRPr="00434A76">
        <w:t xml:space="preserve"> Or can you propose another method?</w:t>
      </w:r>
    </w:p>
    <w:p w14:paraId="30EC5872" w14:textId="4AF2A093" w:rsidR="007A4491" w:rsidRPr="00434A76" w:rsidRDefault="007A4491" w:rsidP="002F1714">
      <w:pPr>
        <w:pStyle w:val="Heading3"/>
      </w:pPr>
      <w:r w:rsidRPr="00434A76">
        <w:t>Priorities – WIL</w:t>
      </w:r>
      <w:r w:rsidR="00FA5D20" w:rsidRPr="00434A76">
        <w:t>,</w:t>
      </w:r>
      <w:r w:rsidRPr="00434A76">
        <w:t xml:space="preserve"> STEM</w:t>
      </w:r>
      <w:r w:rsidR="009539B4" w:rsidRPr="00434A76">
        <w:t>-skills and Industry p</w:t>
      </w:r>
      <w:r w:rsidR="00FA5D20" w:rsidRPr="00434A76">
        <w:t>artnerships</w:t>
      </w:r>
    </w:p>
    <w:p w14:paraId="52A99200" w14:textId="45122125" w:rsidR="00B9075A" w:rsidRPr="00434A76" w:rsidRDefault="00B9075A" w:rsidP="00EE4AE4">
      <w:pPr>
        <w:pStyle w:val="ListNumber"/>
      </w:pPr>
      <w:r w:rsidRPr="00434A76">
        <w:t xml:space="preserve">Do you </w:t>
      </w:r>
      <w:r w:rsidR="00B52D6C" w:rsidRPr="00434A76">
        <w:t>agree with</w:t>
      </w:r>
      <w:r w:rsidRPr="00434A76">
        <w:t xml:space="preserve"> the definition</w:t>
      </w:r>
      <w:r w:rsidR="00B52D6C" w:rsidRPr="00434A76">
        <w:t xml:space="preserve">s of WIL, </w:t>
      </w:r>
      <w:r w:rsidR="00737389" w:rsidRPr="00434A76">
        <w:t>STEM+</w:t>
      </w:r>
      <w:r w:rsidR="00B52D6C" w:rsidRPr="00434A76">
        <w:t xml:space="preserve"> and Industry partnerships</w:t>
      </w:r>
      <w:r w:rsidR="003E2F15" w:rsidRPr="00434A76">
        <w:t xml:space="preserve"> in the context</w:t>
      </w:r>
      <w:r w:rsidR="00B52D6C" w:rsidRPr="00434A76">
        <w:t xml:space="preserve"> of NPILF?</w:t>
      </w:r>
    </w:p>
    <w:p w14:paraId="11CA8078" w14:textId="2513DD27" w:rsidR="00FA5D20" w:rsidRPr="00434A76" w:rsidRDefault="00FA5D20" w:rsidP="00EE4AE4">
      <w:pPr>
        <w:pStyle w:val="ListNumber"/>
      </w:pPr>
      <w:r w:rsidRPr="00434A76">
        <w:lastRenderedPageBreak/>
        <w:t xml:space="preserve">How </w:t>
      </w:r>
      <w:r w:rsidR="00941CDE" w:rsidRPr="00434A76">
        <w:t>does a university</w:t>
      </w:r>
      <w:r w:rsidRPr="00434A76">
        <w:t xml:space="preserve"> measure and maintain the quality of WIL activities? </w:t>
      </w:r>
      <w:r w:rsidRPr="00434A76">
        <w:rPr>
          <w:i/>
        </w:rPr>
        <w:t xml:space="preserve">– consider if </w:t>
      </w:r>
      <w:r w:rsidR="00941CDE" w:rsidRPr="00434A76">
        <w:rPr>
          <w:i/>
        </w:rPr>
        <w:t xml:space="preserve">a current </w:t>
      </w:r>
      <w:r w:rsidRPr="00434A76">
        <w:rPr>
          <w:i/>
        </w:rPr>
        <w:t>program/framework</w:t>
      </w:r>
      <w:r w:rsidR="00877B27">
        <w:rPr>
          <w:i/>
        </w:rPr>
        <w:t xml:space="preserve"> could</w:t>
      </w:r>
      <w:r w:rsidRPr="00434A76">
        <w:rPr>
          <w:i/>
        </w:rPr>
        <w:t xml:space="preserve"> be used broadly across the sector.</w:t>
      </w:r>
    </w:p>
    <w:p w14:paraId="20AF3B5C" w14:textId="23F3EA4A" w:rsidR="00FA5D20" w:rsidRPr="00434A76" w:rsidRDefault="00FA5D20" w:rsidP="00EE4AE4">
      <w:pPr>
        <w:pStyle w:val="ListNumber"/>
        <w:rPr>
          <w:rFonts w:cstheme="minorHAnsi"/>
        </w:rPr>
      </w:pPr>
      <w:r w:rsidRPr="00434A76">
        <w:rPr>
          <w:rFonts w:eastAsia="Times New Roman"/>
          <w:lang w:eastAsia="en-AU"/>
        </w:rPr>
        <w:t>How does a university promote WIL</w:t>
      </w:r>
      <w:r w:rsidR="00941CDE" w:rsidRPr="00434A76">
        <w:rPr>
          <w:rFonts w:eastAsia="Times New Roman"/>
          <w:lang w:eastAsia="en-AU"/>
        </w:rPr>
        <w:t>,</w:t>
      </w:r>
      <w:r w:rsidRPr="00434A76">
        <w:rPr>
          <w:rFonts w:eastAsia="Times New Roman"/>
          <w:lang w:eastAsia="en-AU"/>
        </w:rPr>
        <w:t xml:space="preserve"> and the benefits of WIL (especially new, innovative or ‘remote’ approaches) to SMEs and large organisations, and is there a role for Government? </w:t>
      </w:r>
    </w:p>
    <w:p w14:paraId="2884F463" w14:textId="5F6FE5AF" w:rsidR="00676F9C" w:rsidRPr="00434A76" w:rsidRDefault="00676F9C" w:rsidP="00676F9C">
      <w:pPr>
        <w:pStyle w:val="ListNumber"/>
        <w:rPr>
          <w:rFonts w:cstheme="minorHAnsi"/>
        </w:rPr>
      </w:pPr>
      <w:r w:rsidRPr="00434A76">
        <w:rPr>
          <w:rFonts w:cstheme="minorHAnsi"/>
          <w:lang w:val="en-US"/>
        </w:rPr>
        <w:t xml:space="preserve">How can </w:t>
      </w:r>
      <w:r w:rsidR="00941CDE" w:rsidRPr="00434A76">
        <w:rPr>
          <w:rFonts w:cstheme="minorHAnsi"/>
          <w:lang w:val="en-US"/>
        </w:rPr>
        <w:t xml:space="preserve">universities </w:t>
      </w:r>
      <w:r w:rsidRPr="00434A76">
        <w:rPr>
          <w:rFonts w:cstheme="minorHAnsi"/>
          <w:lang w:val="en-US"/>
        </w:rPr>
        <w:t>best engage industry, particularly SMEs, with WIL?</w:t>
      </w:r>
    </w:p>
    <w:p w14:paraId="17DBD456" w14:textId="62CB4B61" w:rsidR="00EE4AE4" w:rsidRPr="00434A76" w:rsidRDefault="007A4491" w:rsidP="00EE4AE4">
      <w:pPr>
        <w:pStyle w:val="ListNumber"/>
        <w:rPr>
          <w:rFonts w:cstheme="minorHAnsi"/>
        </w:rPr>
      </w:pPr>
      <w:r w:rsidRPr="00434A76">
        <w:rPr>
          <w:rFonts w:cstheme="minorHAnsi"/>
        </w:rPr>
        <w:t xml:space="preserve">How can universities help </w:t>
      </w:r>
      <w:r w:rsidR="00737389" w:rsidRPr="00434A76">
        <w:rPr>
          <w:rFonts w:cstheme="minorHAnsi"/>
        </w:rPr>
        <w:t>STEM+</w:t>
      </w:r>
      <w:r w:rsidRPr="00434A76">
        <w:rPr>
          <w:rFonts w:cstheme="minorHAnsi"/>
        </w:rPr>
        <w:t xml:space="preserve"> students “think beyond the lab” and expose them to the vast employment landscape they can access?</w:t>
      </w:r>
    </w:p>
    <w:p w14:paraId="7ADB492F" w14:textId="05AC6DA5" w:rsidR="00EE4AE4" w:rsidRPr="00434A76" w:rsidRDefault="00FA5D20" w:rsidP="00EE4AE4">
      <w:pPr>
        <w:pStyle w:val="ListNumber"/>
        <w:rPr>
          <w:rFonts w:cstheme="minorHAnsi"/>
        </w:rPr>
      </w:pPr>
      <w:r w:rsidRPr="00434A76">
        <w:rPr>
          <w:rFonts w:cstheme="minorHAnsi"/>
        </w:rPr>
        <w:t xml:space="preserve">Are there specific challenges for SME’s in engaging with universities that need to be addressed in the </w:t>
      </w:r>
      <w:r w:rsidR="0026104B" w:rsidRPr="00434A76">
        <w:rPr>
          <w:rFonts w:cstheme="minorHAnsi"/>
        </w:rPr>
        <w:t>framework?</w:t>
      </w:r>
    </w:p>
    <w:p w14:paraId="42F71315" w14:textId="2C17BC27" w:rsidR="00E05C1D" w:rsidRPr="00434A76" w:rsidRDefault="00E05C1D">
      <w:pPr>
        <w:pStyle w:val="ListNumber"/>
        <w:rPr>
          <w:rFonts w:cstheme="minorHAnsi"/>
        </w:rPr>
      </w:pPr>
      <w:r w:rsidRPr="00434A76">
        <w:t xml:space="preserve">Does the framework allow </w:t>
      </w:r>
      <w:proofErr w:type="gramStart"/>
      <w:r w:rsidRPr="00434A76">
        <w:t>sufficient</w:t>
      </w:r>
      <w:proofErr w:type="gramEnd"/>
      <w:r w:rsidRPr="00434A76">
        <w:t xml:space="preserve"> knowledge sharing to enable universities and industry to build on successful models?</w:t>
      </w:r>
    </w:p>
    <w:p w14:paraId="464B00E5" w14:textId="77777777" w:rsidR="00941CDE" w:rsidRPr="00434A76" w:rsidRDefault="00941CDE" w:rsidP="002F1714">
      <w:pPr>
        <w:pStyle w:val="Heading3"/>
      </w:pPr>
      <w:r w:rsidRPr="00434A76">
        <w:t>Existing practice</w:t>
      </w:r>
    </w:p>
    <w:p w14:paraId="466E3200" w14:textId="4CA8B104" w:rsidR="00941CDE" w:rsidRPr="00434A76" w:rsidRDefault="00941CDE" w:rsidP="00941CDE">
      <w:pPr>
        <w:pStyle w:val="ListNumber"/>
      </w:pPr>
      <w:r w:rsidRPr="00434A76">
        <w:t>Does your business or university have good examples of WIL, or partnerships, which can be used as exemplars?</w:t>
      </w:r>
    </w:p>
    <w:p w14:paraId="7A062F40" w14:textId="37703A1A" w:rsidR="00CC285D" w:rsidRPr="00434A76" w:rsidRDefault="00CC285D" w:rsidP="002F1714">
      <w:pPr>
        <w:pStyle w:val="Heading3"/>
      </w:pPr>
      <w:r w:rsidRPr="00434A76">
        <w:t>General</w:t>
      </w:r>
    </w:p>
    <w:p w14:paraId="4F50DD1E" w14:textId="77777777" w:rsidR="00CC285D" w:rsidRPr="002B1869" w:rsidRDefault="00CC285D" w:rsidP="00CC285D">
      <w:pPr>
        <w:pStyle w:val="ListNumber"/>
      </w:pPr>
      <w:r w:rsidRPr="00434A76">
        <w:rPr>
          <w:lang w:eastAsia="en-AU"/>
        </w:rPr>
        <w:t>Does the framework</w:t>
      </w:r>
      <w:r w:rsidRPr="00434A76">
        <w:rPr>
          <w:rFonts w:eastAsia="Times New Roman"/>
          <w:lang w:eastAsia="en-AU"/>
        </w:rPr>
        <w:t xml:space="preserve"> sufficiently address the lifetime of learning challenge facing the workforce?</w:t>
      </w:r>
    </w:p>
    <w:p w14:paraId="6B5FF472" w14:textId="5EA275ED" w:rsidR="00CC285D" w:rsidRPr="00434A76" w:rsidRDefault="00877B27" w:rsidP="00547498">
      <w:pPr>
        <w:pStyle w:val="ListNumber"/>
        <w:rPr>
          <w:rFonts w:cstheme="minorHAnsi"/>
        </w:rPr>
      </w:pPr>
      <w:r>
        <w:rPr>
          <w:rFonts w:cstheme="minorHAnsi"/>
        </w:rPr>
        <w:t>Doe</w:t>
      </w:r>
      <w:r w:rsidR="00941CDE" w:rsidRPr="00434A76">
        <w:rPr>
          <w:rFonts w:cstheme="minorHAnsi"/>
        </w:rPr>
        <w:t xml:space="preserve">s the </w:t>
      </w:r>
      <w:proofErr w:type="gramStart"/>
      <w:r w:rsidR="00941CDE" w:rsidRPr="00434A76">
        <w:rPr>
          <w:rFonts w:cstheme="minorHAnsi"/>
        </w:rPr>
        <w:t>12 month</w:t>
      </w:r>
      <w:proofErr w:type="gramEnd"/>
      <w:r w:rsidR="00941CDE" w:rsidRPr="00434A76">
        <w:rPr>
          <w:rFonts w:cstheme="minorHAnsi"/>
        </w:rPr>
        <w:t xml:space="preserve"> NPILF cycle</w:t>
      </w:r>
      <w:r>
        <w:rPr>
          <w:rFonts w:cstheme="minorHAnsi"/>
        </w:rPr>
        <w:t xml:space="preserve"> (as </w:t>
      </w:r>
      <w:r w:rsidR="00CC285D" w:rsidRPr="00434A76">
        <w:rPr>
          <w:rFonts w:cstheme="minorHAnsi"/>
        </w:rPr>
        <w:t>set out above</w:t>
      </w:r>
      <w:r>
        <w:rPr>
          <w:rFonts w:cstheme="minorHAnsi"/>
        </w:rPr>
        <w:t>)</w:t>
      </w:r>
      <w:r w:rsidR="00CC285D" w:rsidRPr="00434A76">
        <w:rPr>
          <w:rFonts w:cstheme="minorHAnsi"/>
        </w:rPr>
        <w:t xml:space="preserve"> allow enough time to implement </w:t>
      </w:r>
      <w:r>
        <w:rPr>
          <w:rFonts w:cstheme="minorHAnsi"/>
        </w:rPr>
        <w:t>and report on</w:t>
      </w:r>
      <w:r w:rsidR="00CC285D" w:rsidRPr="00434A76">
        <w:rPr>
          <w:rFonts w:cstheme="minorHAnsi"/>
        </w:rPr>
        <w:t xml:space="preserve"> activities?</w:t>
      </w:r>
    </w:p>
    <w:p w14:paraId="3D3374E6" w14:textId="0AF32F38" w:rsidR="00B233C6" w:rsidRPr="002B1869" w:rsidRDefault="00941CDE" w:rsidP="002B1869">
      <w:pPr>
        <w:pStyle w:val="ListNumber"/>
        <w:rPr>
          <w:rFonts w:cstheme="minorHAnsi"/>
        </w:rPr>
      </w:pPr>
      <w:r w:rsidRPr="00434A76">
        <w:rPr>
          <w:rFonts w:cstheme="minorHAnsi"/>
        </w:rPr>
        <w:t>Do you have any other feedback or comments?</w:t>
      </w:r>
    </w:p>
    <w:sectPr w:rsidR="00B233C6" w:rsidRPr="002B1869" w:rsidSect="005D14CB">
      <w:headerReference w:type="default" r:id="rId18"/>
      <w:footerReference w:type="default" r:id="rId19"/>
      <w:type w:val="continuous"/>
      <w:pgSz w:w="11906" w:h="16838"/>
      <w:pgMar w:top="2268" w:right="1440" w:bottom="1276"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C2784" w14:textId="77777777" w:rsidR="007E472F" w:rsidRDefault="007E472F" w:rsidP="0051352E">
      <w:pPr>
        <w:spacing w:after="0" w:line="240" w:lineRule="auto"/>
      </w:pPr>
      <w:r>
        <w:separator/>
      </w:r>
    </w:p>
  </w:endnote>
  <w:endnote w:type="continuationSeparator" w:id="0">
    <w:p w14:paraId="6F1C0593" w14:textId="77777777" w:rsidR="007E472F" w:rsidRDefault="007E472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F2DB3" w14:textId="77777777" w:rsidR="00D23B95" w:rsidRDefault="00D23B95">
    <w:pPr>
      <w:pStyle w:val="Footer"/>
      <w:jc w:val="right"/>
    </w:pPr>
  </w:p>
  <w:p w14:paraId="07C9257D" w14:textId="77777777" w:rsidR="00D23B95" w:rsidRDefault="00D23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DC0DC" w14:textId="64DE2788" w:rsidR="00D23B95" w:rsidRDefault="00D23B95">
    <w:pPr>
      <w:pStyle w:val="Footer"/>
      <w:jc w:val="right"/>
    </w:pPr>
    <w:r>
      <w:t xml:space="preserve">NPILF Consultation Paper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E4692">
          <w:rPr>
            <w:noProof/>
          </w:rPr>
          <w:t>22</w:t>
        </w:r>
        <w:r>
          <w:rPr>
            <w:noProof/>
          </w:rPr>
          <w:fldChar w:fldCharType="end"/>
        </w:r>
      </w:sdtContent>
    </w:sdt>
  </w:p>
  <w:p w14:paraId="6CDC8D6A" w14:textId="77777777" w:rsidR="00D23B95" w:rsidRDefault="00D23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5C5CD" w14:textId="77777777" w:rsidR="007E472F" w:rsidRDefault="007E472F" w:rsidP="0051352E">
      <w:pPr>
        <w:spacing w:after="0" w:line="240" w:lineRule="auto"/>
      </w:pPr>
      <w:r>
        <w:separator/>
      </w:r>
    </w:p>
  </w:footnote>
  <w:footnote w:type="continuationSeparator" w:id="0">
    <w:p w14:paraId="41C9073B" w14:textId="77777777" w:rsidR="007E472F" w:rsidRDefault="007E472F" w:rsidP="0051352E">
      <w:pPr>
        <w:spacing w:after="0" w:line="240" w:lineRule="auto"/>
      </w:pPr>
      <w:r>
        <w:continuationSeparator/>
      </w:r>
    </w:p>
  </w:footnote>
  <w:footnote w:id="1">
    <w:p w14:paraId="4EF8F1F5" w14:textId="77777777" w:rsidR="00D23B95" w:rsidRDefault="00D23B95" w:rsidP="00204DA3">
      <w:pPr>
        <w:pStyle w:val="FootnoteText"/>
      </w:pPr>
      <w:r>
        <w:rPr>
          <w:rStyle w:val="FootnoteReference"/>
        </w:rPr>
        <w:footnoteRef/>
      </w:r>
      <w:r>
        <w:t xml:space="preserve"> </w:t>
      </w:r>
      <w:hyperlink r:id="rId1" w:history="1">
        <w:r w:rsidRPr="004A166D">
          <w:rPr>
            <w:rStyle w:val="Hyperlink"/>
          </w:rPr>
          <w:t>Science, Technology, Engineering and Mathematics in the National Interest: A Strategic Approach (Position paper)</w:t>
        </w:r>
      </w:hyperlink>
      <w:r>
        <w:t xml:space="preserve">, </w:t>
      </w:r>
      <w:r>
        <w:rPr>
          <w:i/>
        </w:rPr>
        <w:t xml:space="preserve">Office of the Chief Scientist </w:t>
      </w:r>
      <w:r>
        <w:t xml:space="preserve">(2013) </w:t>
      </w:r>
    </w:p>
  </w:footnote>
  <w:footnote w:id="2">
    <w:p w14:paraId="3F672B55" w14:textId="77777777" w:rsidR="00D23B95" w:rsidRDefault="00D23B95" w:rsidP="00204DA3">
      <w:pPr>
        <w:pStyle w:val="FootnoteText"/>
      </w:pPr>
      <w:r>
        <w:rPr>
          <w:rStyle w:val="FootnoteReference"/>
        </w:rPr>
        <w:footnoteRef/>
      </w:r>
      <w:r>
        <w:t xml:space="preserve"> </w:t>
      </w:r>
      <w:hyperlink r:id="rId2" w:history="1">
        <w:r w:rsidRPr="004A166D">
          <w:rPr>
            <w:rStyle w:val="Hyperlink"/>
          </w:rPr>
          <w:t>STEM-trained and Job-ready</w:t>
        </w:r>
      </w:hyperlink>
      <w:r>
        <w:t xml:space="preserve">, </w:t>
      </w:r>
      <w:r>
        <w:rPr>
          <w:i/>
        </w:rPr>
        <w:t xml:space="preserve">Office of the Chief Scientist </w:t>
      </w:r>
      <w:r>
        <w:t>(2015)</w:t>
      </w:r>
    </w:p>
  </w:footnote>
  <w:footnote w:id="3">
    <w:p w14:paraId="73F621DC" w14:textId="77777777" w:rsidR="00D23B95" w:rsidRPr="00B2729C" w:rsidRDefault="00D23B95" w:rsidP="00204DA3">
      <w:pPr>
        <w:pStyle w:val="FootnoteText"/>
      </w:pPr>
      <w:r w:rsidRPr="00B2729C">
        <w:rPr>
          <w:rStyle w:val="FootnoteReference"/>
        </w:rPr>
        <w:footnoteRef/>
      </w:r>
      <w:r w:rsidRPr="00B2729C">
        <w:t xml:space="preserve"> </w:t>
      </w:r>
      <w:hyperlink r:id="rId3" w:history="1">
        <w:r w:rsidRPr="00B2729C">
          <w:rPr>
            <w:rStyle w:val="Hyperlink"/>
          </w:rPr>
          <w:t>Australia’s STEM Workforce</w:t>
        </w:r>
      </w:hyperlink>
      <w:r w:rsidRPr="00B2729C">
        <w:t xml:space="preserve">, </w:t>
      </w:r>
      <w:r w:rsidRPr="008978F4">
        <w:rPr>
          <w:i/>
        </w:rPr>
        <w:t>Office of the Chief Scientist</w:t>
      </w:r>
      <w:r w:rsidRPr="008610B1">
        <w:t xml:space="preserve"> (2016)</w:t>
      </w:r>
      <w:r w:rsidRPr="00B2729C">
        <w:t xml:space="preserve"> </w:t>
      </w:r>
    </w:p>
  </w:footnote>
  <w:footnote w:id="4">
    <w:p w14:paraId="447DE7C9" w14:textId="77777777" w:rsidR="00D23B95" w:rsidRPr="00A9003C" w:rsidRDefault="00D23B95" w:rsidP="00204DA3">
      <w:pPr>
        <w:pStyle w:val="FootnoteText"/>
        <w:rPr>
          <w:rFonts w:asciiTheme="minorHAnsi" w:hAnsiTheme="minorHAnsi" w:cstheme="minorHAnsi"/>
        </w:rPr>
      </w:pPr>
      <w:r w:rsidRPr="00A9003C">
        <w:rPr>
          <w:rStyle w:val="FootnoteReference"/>
          <w:rFonts w:asciiTheme="minorHAnsi" w:hAnsiTheme="minorHAnsi" w:cstheme="minorHAnsi"/>
        </w:rPr>
        <w:footnoteRef/>
      </w:r>
      <w:r w:rsidRPr="00A9003C">
        <w:rPr>
          <w:rFonts w:asciiTheme="minorHAnsi" w:hAnsiTheme="minorHAnsi" w:cstheme="minorHAnsi"/>
        </w:rPr>
        <w:t xml:space="preserve"> </w:t>
      </w:r>
      <w:hyperlink r:id="rId4" w:history="1">
        <w:r w:rsidRPr="00A9003C">
          <w:rPr>
            <w:rStyle w:val="Hyperlink"/>
            <w:rFonts w:asciiTheme="minorHAnsi" w:hAnsiTheme="minorHAnsi" w:cstheme="minorHAnsi"/>
          </w:rPr>
          <w:t>Science, Technology, Engineering and Mathematics in the National Interest: A Strategic Approach (Position paper)</w:t>
        </w:r>
      </w:hyperlink>
      <w:r w:rsidRPr="00A9003C">
        <w:rPr>
          <w:rFonts w:asciiTheme="minorHAnsi" w:hAnsiTheme="minorHAnsi" w:cstheme="minorHAnsi"/>
        </w:rPr>
        <w:t xml:space="preserve">, </w:t>
      </w:r>
      <w:r w:rsidRPr="00A9003C">
        <w:rPr>
          <w:rFonts w:asciiTheme="minorHAnsi" w:hAnsiTheme="minorHAnsi" w:cstheme="minorHAnsi"/>
          <w:i/>
        </w:rPr>
        <w:t xml:space="preserve">Office of the Chief Scientist </w:t>
      </w:r>
      <w:r w:rsidRPr="00A9003C">
        <w:rPr>
          <w:rFonts w:asciiTheme="minorHAnsi" w:hAnsiTheme="minorHAnsi" w:cstheme="minorHAnsi"/>
        </w:rPr>
        <w:t xml:space="preserve">(2013) </w:t>
      </w:r>
    </w:p>
  </w:footnote>
  <w:footnote w:id="5">
    <w:p w14:paraId="3615B6D2" w14:textId="77777777" w:rsidR="00D23B95" w:rsidRDefault="00D23B95" w:rsidP="00900C47">
      <w:pPr>
        <w:pStyle w:val="FootnoteText"/>
      </w:pPr>
      <w:r>
        <w:rPr>
          <w:rStyle w:val="FootnoteReference"/>
        </w:rPr>
        <w:footnoteRef/>
      </w:r>
      <w:r>
        <w:t xml:space="preserve"> STEM defined as ‘</w:t>
      </w:r>
      <w:r w:rsidRPr="00E71A0B">
        <w:t>Natural and Physical Sciences’, ‘Information Technology’ and ‘Engineering and Related Technologies’</w:t>
      </w:r>
      <w:r>
        <w:t>; ‘STEM-skilled’ defined as undertaking a STEM unit prior to completion (2009-2019).</w:t>
      </w:r>
    </w:p>
  </w:footnote>
  <w:footnote w:id="6">
    <w:p w14:paraId="58B3CDD0" w14:textId="77777777" w:rsidR="00AE6ECF" w:rsidRDefault="00AE6ECF" w:rsidP="00AE6ECF">
      <w:pPr>
        <w:pStyle w:val="FootnoteText"/>
      </w:pPr>
      <w:r>
        <w:rPr>
          <w:rStyle w:val="FootnoteReference"/>
        </w:rPr>
        <w:footnoteRef/>
      </w:r>
      <w:r>
        <w:t xml:space="preserve"> Department of Education, Skills and Employment (2019)</w:t>
      </w:r>
    </w:p>
  </w:footnote>
  <w:footnote w:id="7">
    <w:p w14:paraId="40BAAB06" w14:textId="77777777" w:rsidR="00D23B95" w:rsidRPr="00934BB2" w:rsidRDefault="00D23B95" w:rsidP="00204DA3">
      <w:pPr>
        <w:pStyle w:val="FootnoteText"/>
        <w:rPr>
          <w:rFonts w:cstheme="minorHAnsi"/>
        </w:rPr>
      </w:pPr>
      <w:r w:rsidRPr="00934BB2">
        <w:rPr>
          <w:rStyle w:val="FootnoteReference"/>
        </w:rPr>
        <w:footnoteRef/>
      </w:r>
      <w:r w:rsidRPr="00934BB2">
        <w:t xml:space="preserve"> </w:t>
      </w:r>
      <w:hyperlink r:id="rId5" w:history="1">
        <w:r w:rsidRPr="00934BB2">
          <w:rPr>
            <w:rStyle w:val="Hyperlink"/>
            <w:rFonts w:cstheme="minorHAnsi"/>
          </w:rPr>
          <w:t>Good Practice Guide for Work based and Placement Learning in Higher Education</w:t>
        </w:r>
      </w:hyperlink>
      <w:r w:rsidRPr="00934BB2">
        <w:rPr>
          <w:rFonts w:cstheme="minorHAnsi"/>
        </w:rPr>
        <w:t xml:space="preserve">, </w:t>
      </w:r>
      <w:r w:rsidRPr="00934BB2">
        <w:rPr>
          <w:rFonts w:cstheme="minorHAnsi"/>
          <w:i/>
        </w:rPr>
        <w:t>ASET</w:t>
      </w:r>
      <w:r w:rsidRPr="00934BB2">
        <w:rPr>
          <w:rFonts w:cstheme="minorHAnsi"/>
        </w:rPr>
        <w:t xml:space="preserve"> (2014)</w:t>
      </w:r>
    </w:p>
  </w:footnote>
  <w:footnote w:id="8">
    <w:p w14:paraId="543FDE6B" w14:textId="77777777" w:rsidR="00D23B95" w:rsidRPr="00934BB2" w:rsidRDefault="00D23B95" w:rsidP="00204DA3">
      <w:pPr>
        <w:pStyle w:val="FootnoteText"/>
        <w:rPr>
          <w:rFonts w:cstheme="minorHAnsi"/>
        </w:rPr>
      </w:pPr>
      <w:r w:rsidRPr="00934BB2">
        <w:rPr>
          <w:rStyle w:val="FootnoteReference"/>
          <w:rFonts w:cstheme="minorHAnsi"/>
        </w:rPr>
        <w:footnoteRef/>
      </w:r>
      <w:hyperlink r:id="rId6" w:history="1">
        <w:r w:rsidRPr="00934BB2">
          <w:rPr>
            <w:rStyle w:val="Hyperlink"/>
            <w:rFonts w:cstheme="minorHAnsi"/>
            <w:shd w:val="clear" w:color="auto" w:fill="FFFFFF"/>
          </w:rPr>
          <w:t>The impact of work integrated learning on student work-readiness</w:t>
        </w:r>
      </w:hyperlink>
      <w:r w:rsidRPr="00934BB2">
        <w:rPr>
          <w:rFonts w:cstheme="minorHAnsi"/>
          <w:color w:val="222222"/>
          <w:shd w:val="clear" w:color="auto" w:fill="FFFFFF"/>
        </w:rPr>
        <w:t xml:space="preserve">, </w:t>
      </w:r>
      <w:r w:rsidRPr="00934BB2">
        <w:rPr>
          <w:rFonts w:cstheme="minorHAnsi"/>
          <w:i/>
          <w:color w:val="222222"/>
          <w:shd w:val="clear" w:color="auto" w:fill="FFFFFF"/>
        </w:rPr>
        <w:t>Office for Learning and Teaching</w:t>
      </w:r>
      <w:r w:rsidRPr="00934BB2">
        <w:rPr>
          <w:rFonts w:cstheme="minorHAnsi"/>
          <w:color w:val="222222"/>
          <w:shd w:val="clear" w:color="auto" w:fill="FFFFFF"/>
        </w:rPr>
        <w:t xml:space="preserve"> (2014)</w:t>
      </w:r>
    </w:p>
  </w:footnote>
  <w:footnote w:id="9">
    <w:p w14:paraId="31449586" w14:textId="77777777" w:rsidR="00D23B95" w:rsidRPr="00934BB2" w:rsidRDefault="00D23B95" w:rsidP="00204DA3">
      <w:pPr>
        <w:pStyle w:val="FootnoteText"/>
      </w:pPr>
      <w:r w:rsidRPr="00934BB2">
        <w:rPr>
          <w:rStyle w:val="FootnoteReference"/>
        </w:rPr>
        <w:footnoteRef/>
      </w:r>
      <w:r w:rsidRPr="00934BB2">
        <w:t xml:space="preserve"> </w:t>
      </w:r>
      <w:hyperlink r:id="rId7" w:history="1">
        <w:r w:rsidRPr="00934BB2">
          <w:rPr>
            <w:rStyle w:val="Hyperlink"/>
          </w:rPr>
          <w:t>Higher education and employment in Australia: the impact of internships</w:t>
        </w:r>
      </w:hyperlink>
      <w:r w:rsidRPr="00934BB2">
        <w:t xml:space="preserve">, </w:t>
      </w:r>
      <w:r w:rsidRPr="00934BB2">
        <w:rPr>
          <w:i/>
        </w:rPr>
        <w:t>CSIRO</w:t>
      </w:r>
      <w:r w:rsidRPr="00934BB2">
        <w:t xml:space="preserve"> (2019)</w:t>
      </w:r>
    </w:p>
  </w:footnote>
  <w:footnote w:id="10">
    <w:p w14:paraId="2F2909AD" w14:textId="77777777" w:rsidR="00D23B95" w:rsidRPr="00934BB2" w:rsidRDefault="00D23B95" w:rsidP="003E6335">
      <w:pPr>
        <w:pStyle w:val="FootnoteText"/>
      </w:pPr>
      <w:r w:rsidRPr="00934BB2">
        <w:rPr>
          <w:rStyle w:val="FootnoteReference"/>
        </w:rPr>
        <w:footnoteRef/>
      </w:r>
      <w:r w:rsidRPr="00934BB2">
        <w:t xml:space="preserve"> </w:t>
      </w:r>
      <w:hyperlink r:id="rId8" w:history="1">
        <w:r w:rsidRPr="00934BB2">
          <w:rPr>
            <w:rStyle w:val="Hyperlink"/>
          </w:rPr>
          <w:t>Good practice report: Work-integrated learning</w:t>
        </w:r>
      </w:hyperlink>
      <w:r w:rsidRPr="00934BB2">
        <w:t xml:space="preserve">, </w:t>
      </w:r>
      <w:r w:rsidRPr="00934BB2">
        <w:t>Orrell J. (2011)</w:t>
      </w:r>
    </w:p>
  </w:footnote>
  <w:footnote w:id="11">
    <w:p w14:paraId="4E9C84A8" w14:textId="77777777" w:rsidR="00D23B95" w:rsidRDefault="00D23B95" w:rsidP="00CE6615">
      <w:pPr>
        <w:pStyle w:val="FootnoteText"/>
      </w:pPr>
      <w:r>
        <w:rPr>
          <w:rStyle w:val="FootnoteReference"/>
        </w:rPr>
        <w:footnoteRef/>
      </w:r>
      <w:r>
        <w:t xml:space="preserve"> </w:t>
      </w:r>
      <w:r w:rsidRPr="008E1B13">
        <w:rPr>
          <w:rFonts w:cstheme="minorHAnsi"/>
        </w:rPr>
        <w:t>Work integrated learning: AWPA</w:t>
      </w:r>
      <w:r>
        <w:t xml:space="preserve"> scoping paper, Australian Workforce and Productivity Agency (2014)</w:t>
      </w:r>
    </w:p>
  </w:footnote>
  <w:footnote w:id="12">
    <w:p w14:paraId="5464FD13" w14:textId="77777777" w:rsidR="00D23B95" w:rsidRPr="008E1B13" w:rsidRDefault="00D23B95" w:rsidP="00204DA3">
      <w:pPr>
        <w:pStyle w:val="FootnoteText"/>
        <w:rPr>
          <w:rFonts w:cstheme="minorHAnsi"/>
        </w:rPr>
      </w:pPr>
      <w:r w:rsidRPr="00934BB2">
        <w:rPr>
          <w:rStyle w:val="FootnoteReference"/>
        </w:rPr>
        <w:footnoteRef/>
      </w:r>
      <w:r w:rsidRPr="00934BB2">
        <w:t xml:space="preserve"> </w:t>
      </w:r>
      <w:hyperlink w:history="1">
        <w:r w:rsidRPr="00934BB2">
          <w:rPr>
            <w:rStyle w:val="Hyperlink"/>
            <w:rFonts w:cstheme="minorHAnsi"/>
          </w:rPr>
          <w:t>Career Ready Graduates</w:t>
        </w:r>
      </w:hyperlink>
      <w:r w:rsidRPr="00934BB2">
        <w:rPr>
          <w:rStyle w:val="Hyperlink"/>
          <w:rFonts w:cstheme="minorHAnsi"/>
        </w:rPr>
        <w:t xml:space="preserve">, </w:t>
      </w:r>
      <w:r w:rsidRPr="00934BB2">
        <w:rPr>
          <w:rFonts w:cstheme="minorHAnsi"/>
          <w:i/>
        </w:rPr>
        <w:t>Universities Australia</w:t>
      </w:r>
      <w:r w:rsidRPr="00934BB2">
        <w:rPr>
          <w:rFonts w:cstheme="minorHAnsi"/>
        </w:rPr>
        <w:t xml:space="preserve"> (2017)</w:t>
      </w:r>
    </w:p>
  </w:footnote>
  <w:footnote w:id="13">
    <w:p w14:paraId="414DA9D4" w14:textId="77777777" w:rsidR="00D23B95" w:rsidRDefault="00D23B95" w:rsidP="00204DA3">
      <w:pPr>
        <w:pStyle w:val="FootnoteText"/>
      </w:pPr>
      <w:r>
        <w:rPr>
          <w:rStyle w:val="FootnoteReference"/>
        </w:rPr>
        <w:footnoteRef/>
      </w:r>
      <w:r>
        <w:t xml:space="preserve"> Department of Industry, Innovation and Science 2018, </w:t>
      </w:r>
      <w:hyperlink r:id="rId9" w:history="1">
        <w:r w:rsidRPr="00FA75B3">
          <w:rPr>
            <w:rStyle w:val="Hyperlink"/>
          </w:rPr>
          <w:t>‘Economic insight: Competition or collaboration – from which well does innovation spring?’</w:t>
        </w:r>
      </w:hyperlink>
      <w:r>
        <w:t xml:space="preserve">, </w:t>
      </w:r>
      <w:r w:rsidRPr="00934BB2">
        <w:rPr>
          <w:i/>
        </w:rPr>
        <w:t>Office of the Chief Economist</w:t>
      </w:r>
      <w:r>
        <w:t xml:space="preserve">, Canberra. </w:t>
      </w:r>
    </w:p>
  </w:footnote>
  <w:footnote w:id="14">
    <w:p w14:paraId="5B790161" w14:textId="77777777" w:rsidR="00D23B95" w:rsidRDefault="00D23B95" w:rsidP="00A90EB7">
      <w:pPr>
        <w:pStyle w:val="FootnoteText"/>
      </w:pPr>
      <w:r>
        <w:rPr>
          <w:rStyle w:val="FootnoteReference"/>
        </w:rPr>
        <w:footnoteRef/>
      </w:r>
      <w:r>
        <w:t xml:space="preserve"> </w:t>
      </w:r>
      <w:hyperlink r:id="rId10" w:history="1">
        <w:r>
          <w:rPr>
            <w:rStyle w:val="Hyperlink"/>
          </w:rPr>
          <w:t>Australian Bureau of Statistics. 8165.0—Counts of Australian Businesses, Including Entries and Exits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67BE8" w14:textId="77777777" w:rsidR="00D23B95" w:rsidRDefault="00D23B95">
    <w:pPr>
      <w:pStyle w:val="Header"/>
    </w:pPr>
    <w:r>
      <w:rPr>
        <w:noProof/>
        <w:lang w:eastAsia="en-AU"/>
      </w:rPr>
      <w:drawing>
        <wp:inline distT="0" distB="0" distL="0" distR="0" wp14:anchorId="1EB354B9" wp14:editId="60C5FE65">
          <wp:extent cx="7783200" cy="1393200"/>
          <wp:effectExtent l="0" t="0" r="8255" b="0"/>
          <wp:docPr id="3" name="Picture 3"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4A47E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11AA9AC"/>
    <w:lvl w:ilvl="0">
      <w:start w:val="1"/>
      <w:numFmt w:val="decimal"/>
      <w:lvlText w:val="%1."/>
      <w:lvlJc w:val="left"/>
      <w:pPr>
        <w:tabs>
          <w:tab w:val="num" w:pos="360"/>
        </w:tabs>
        <w:ind w:left="360" w:hanging="360"/>
      </w:pPr>
    </w:lvl>
  </w:abstractNum>
  <w:abstractNum w:abstractNumId="2" w15:restartNumberingAfterBreak="0">
    <w:nsid w:val="078A7642"/>
    <w:multiLevelType w:val="hybridMultilevel"/>
    <w:tmpl w:val="50868BEE"/>
    <w:lvl w:ilvl="0" w:tplc="D832A974">
      <w:start w:val="8"/>
      <w:numFmt w:val="bullet"/>
      <w:lvlText w:val=""/>
      <w:lvlJc w:val="left"/>
      <w:pPr>
        <w:ind w:left="720" w:hanging="360"/>
      </w:pPr>
      <w:rPr>
        <w:rFonts w:ascii="Symbol" w:eastAsiaTheme="minorHAnsi"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765C4"/>
    <w:multiLevelType w:val="hybridMultilevel"/>
    <w:tmpl w:val="A85C5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141110"/>
    <w:multiLevelType w:val="hybridMultilevel"/>
    <w:tmpl w:val="48A8D9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8986E53"/>
    <w:multiLevelType w:val="hybridMultilevel"/>
    <w:tmpl w:val="7AE4FD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8D8677B"/>
    <w:multiLevelType w:val="hybridMultilevel"/>
    <w:tmpl w:val="526453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490815"/>
    <w:multiLevelType w:val="hybridMultilevel"/>
    <w:tmpl w:val="BEF8B5C6"/>
    <w:lvl w:ilvl="0" w:tplc="A3AEF52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82184D"/>
    <w:multiLevelType w:val="hybridMultilevel"/>
    <w:tmpl w:val="D180A0CA"/>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157457"/>
    <w:multiLevelType w:val="multilevel"/>
    <w:tmpl w:val="E05A72D8"/>
    <w:name w:val="List number"/>
    <w:lvl w:ilvl="0">
      <w:start w:val="1"/>
      <w:numFmt w:val="decimal"/>
      <w:pStyle w:val="ListNumber"/>
      <w:lvlText w:val="%1."/>
      <w:lvlJc w:val="left"/>
      <w:pPr>
        <w:ind w:left="357" w:hanging="357"/>
      </w:pPr>
      <w:rPr>
        <w:rFonts w:hint="default"/>
        <w:b w:val="0"/>
        <w:color w:val="auto"/>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18E70A19"/>
    <w:multiLevelType w:val="hybridMultilevel"/>
    <w:tmpl w:val="C59C70B6"/>
    <w:lvl w:ilvl="0" w:tplc="61BE30C0">
      <w:start w:val="8"/>
      <w:numFmt w:val="bullet"/>
      <w:lvlText w:val=""/>
      <w:lvlJc w:val="left"/>
      <w:pPr>
        <w:ind w:left="720" w:hanging="360"/>
      </w:pPr>
      <w:rPr>
        <w:rFonts w:ascii="Symbol" w:eastAsia="Times New Roman" w:hAnsi="Symbol" w:cstheme="minorBidi" w:hint="default"/>
      </w:rPr>
    </w:lvl>
    <w:lvl w:ilvl="1" w:tplc="0C090003">
      <w:start w:val="1"/>
      <w:numFmt w:val="bullet"/>
      <w:lvlText w:val="o"/>
      <w:lvlJc w:val="left"/>
      <w:pPr>
        <w:ind w:left="1003"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0EF23DD"/>
    <w:multiLevelType w:val="hybridMultilevel"/>
    <w:tmpl w:val="12A22F5C"/>
    <w:lvl w:ilvl="0" w:tplc="0C090001">
      <w:start w:val="1"/>
      <w:numFmt w:val="bullet"/>
      <w:lvlText w:val=""/>
      <w:lvlJc w:val="left"/>
      <w:pPr>
        <w:ind w:left="771" w:hanging="360"/>
      </w:pPr>
      <w:rPr>
        <w:rFonts w:ascii="Symbol" w:hAnsi="Symbol" w:hint="default"/>
      </w:rPr>
    </w:lvl>
    <w:lvl w:ilvl="1" w:tplc="0C090003">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3" w15:restartNumberingAfterBreak="0">
    <w:nsid w:val="29DE7515"/>
    <w:multiLevelType w:val="hybridMultilevel"/>
    <w:tmpl w:val="14381252"/>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34B0F7A"/>
    <w:multiLevelType w:val="hybridMultilevel"/>
    <w:tmpl w:val="B6E28E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8D3595"/>
    <w:multiLevelType w:val="hybridMultilevel"/>
    <w:tmpl w:val="9844E6C8"/>
    <w:lvl w:ilvl="0" w:tplc="27DEC140">
      <w:start w:val="1"/>
      <w:numFmt w:val="bullet"/>
      <w:lvlText w:val=""/>
      <w:lvlJc w:val="left"/>
      <w:pPr>
        <w:tabs>
          <w:tab w:val="num" w:pos="720"/>
        </w:tabs>
        <w:ind w:left="720" w:hanging="360"/>
      </w:pPr>
      <w:rPr>
        <w:rFonts w:ascii="Symbol" w:hAnsi="Symbol" w:hint="default"/>
      </w:rPr>
    </w:lvl>
    <w:lvl w:ilvl="1" w:tplc="3506A496" w:tentative="1">
      <w:start w:val="1"/>
      <w:numFmt w:val="bullet"/>
      <w:lvlText w:val=""/>
      <w:lvlJc w:val="left"/>
      <w:pPr>
        <w:tabs>
          <w:tab w:val="num" w:pos="1440"/>
        </w:tabs>
        <w:ind w:left="1440" w:hanging="360"/>
      </w:pPr>
      <w:rPr>
        <w:rFonts w:ascii="Symbol" w:hAnsi="Symbol" w:hint="default"/>
      </w:rPr>
    </w:lvl>
    <w:lvl w:ilvl="2" w:tplc="96B8889E" w:tentative="1">
      <w:start w:val="1"/>
      <w:numFmt w:val="bullet"/>
      <w:lvlText w:val=""/>
      <w:lvlJc w:val="left"/>
      <w:pPr>
        <w:tabs>
          <w:tab w:val="num" w:pos="2160"/>
        </w:tabs>
        <w:ind w:left="2160" w:hanging="360"/>
      </w:pPr>
      <w:rPr>
        <w:rFonts w:ascii="Symbol" w:hAnsi="Symbol" w:hint="default"/>
      </w:rPr>
    </w:lvl>
    <w:lvl w:ilvl="3" w:tplc="B2E236B0" w:tentative="1">
      <w:start w:val="1"/>
      <w:numFmt w:val="bullet"/>
      <w:lvlText w:val=""/>
      <w:lvlJc w:val="left"/>
      <w:pPr>
        <w:tabs>
          <w:tab w:val="num" w:pos="2880"/>
        </w:tabs>
        <w:ind w:left="2880" w:hanging="360"/>
      </w:pPr>
      <w:rPr>
        <w:rFonts w:ascii="Symbol" w:hAnsi="Symbol" w:hint="default"/>
      </w:rPr>
    </w:lvl>
    <w:lvl w:ilvl="4" w:tplc="5522949A" w:tentative="1">
      <w:start w:val="1"/>
      <w:numFmt w:val="bullet"/>
      <w:lvlText w:val=""/>
      <w:lvlJc w:val="left"/>
      <w:pPr>
        <w:tabs>
          <w:tab w:val="num" w:pos="3600"/>
        </w:tabs>
        <w:ind w:left="3600" w:hanging="360"/>
      </w:pPr>
      <w:rPr>
        <w:rFonts w:ascii="Symbol" w:hAnsi="Symbol" w:hint="default"/>
      </w:rPr>
    </w:lvl>
    <w:lvl w:ilvl="5" w:tplc="792888E8" w:tentative="1">
      <w:start w:val="1"/>
      <w:numFmt w:val="bullet"/>
      <w:lvlText w:val=""/>
      <w:lvlJc w:val="left"/>
      <w:pPr>
        <w:tabs>
          <w:tab w:val="num" w:pos="4320"/>
        </w:tabs>
        <w:ind w:left="4320" w:hanging="360"/>
      </w:pPr>
      <w:rPr>
        <w:rFonts w:ascii="Symbol" w:hAnsi="Symbol" w:hint="default"/>
      </w:rPr>
    </w:lvl>
    <w:lvl w:ilvl="6" w:tplc="BE58CE5A" w:tentative="1">
      <w:start w:val="1"/>
      <w:numFmt w:val="bullet"/>
      <w:lvlText w:val=""/>
      <w:lvlJc w:val="left"/>
      <w:pPr>
        <w:tabs>
          <w:tab w:val="num" w:pos="5040"/>
        </w:tabs>
        <w:ind w:left="5040" w:hanging="360"/>
      </w:pPr>
      <w:rPr>
        <w:rFonts w:ascii="Symbol" w:hAnsi="Symbol" w:hint="default"/>
      </w:rPr>
    </w:lvl>
    <w:lvl w:ilvl="7" w:tplc="02782D42" w:tentative="1">
      <w:start w:val="1"/>
      <w:numFmt w:val="bullet"/>
      <w:lvlText w:val=""/>
      <w:lvlJc w:val="left"/>
      <w:pPr>
        <w:tabs>
          <w:tab w:val="num" w:pos="5760"/>
        </w:tabs>
        <w:ind w:left="5760" w:hanging="360"/>
      </w:pPr>
      <w:rPr>
        <w:rFonts w:ascii="Symbol" w:hAnsi="Symbol" w:hint="default"/>
      </w:rPr>
    </w:lvl>
    <w:lvl w:ilvl="8" w:tplc="C860855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4291AF5"/>
    <w:multiLevelType w:val="hybridMultilevel"/>
    <w:tmpl w:val="A0100D22"/>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9" w15:restartNumberingAfterBreak="0">
    <w:nsid w:val="45AC0EA2"/>
    <w:multiLevelType w:val="hybridMultilevel"/>
    <w:tmpl w:val="274C0A28"/>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EB5628"/>
    <w:multiLevelType w:val="hybridMultilevel"/>
    <w:tmpl w:val="EAD6D540"/>
    <w:lvl w:ilvl="0" w:tplc="E60E32D6">
      <w:start w:val="2"/>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232A16"/>
    <w:multiLevelType w:val="hybridMultilevel"/>
    <w:tmpl w:val="911C4D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251A74"/>
    <w:multiLevelType w:val="hybridMultilevel"/>
    <w:tmpl w:val="2AA8F3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2F4AF3"/>
    <w:multiLevelType w:val="hybridMultilevel"/>
    <w:tmpl w:val="1DE68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DC545B"/>
    <w:multiLevelType w:val="hybridMultilevel"/>
    <w:tmpl w:val="F606E6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543D71"/>
    <w:multiLevelType w:val="hybridMultilevel"/>
    <w:tmpl w:val="C21C34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1B4B98"/>
    <w:multiLevelType w:val="hybridMultilevel"/>
    <w:tmpl w:val="A050B9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14"/>
  </w:num>
  <w:num w:numId="4">
    <w:abstractNumId w:val="1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0"/>
  </w:num>
  <w:num w:numId="8">
    <w:abstractNumId w:val="7"/>
  </w:num>
  <w:num w:numId="9">
    <w:abstractNumId w:val="12"/>
  </w:num>
  <w:num w:numId="10">
    <w:abstractNumId w:val="11"/>
  </w:num>
  <w:num w:numId="11">
    <w:abstractNumId w:val="26"/>
  </w:num>
  <w:num w:numId="12">
    <w:abstractNumId w:val="5"/>
  </w:num>
  <w:num w:numId="13">
    <w:abstractNumId w:val="15"/>
  </w:num>
  <w:num w:numId="14">
    <w:abstractNumId w:val="18"/>
  </w:num>
  <w:num w:numId="15">
    <w:abstractNumId w:val="3"/>
  </w:num>
  <w:num w:numId="16">
    <w:abstractNumId w:val="6"/>
  </w:num>
  <w:num w:numId="17">
    <w:abstractNumId w:val="21"/>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3"/>
  </w:num>
  <w:num w:numId="21">
    <w:abstractNumId w:val="24"/>
  </w:num>
  <w:num w:numId="22">
    <w:abstractNumId w:val="25"/>
  </w:num>
  <w:num w:numId="23">
    <w:abstractNumId w:val="11"/>
  </w:num>
  <w:num w:numId="24">
    <w:abstractNumId w:val="23"/>
  </w:num>
  <w:num w:numId="25">
    <w:abstractNumId w:val="1"/>
  </w:num>
  <w:num w:numId="26">
    <w:abstractNumId w:val="17"/>
  </w:num>
  <w:num w:numId="27">
    <w:abstractNumId w:val="22"/>
  </w:num>
  <w:num w:numId="28">
    <w:abstractNumId w:val="19"/>
  </w:num>
  <w:num w:numId="2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FC2"/>
    <w:rsid w:val="00003574"/>
    <w:rsid w:val="000039D3"/>
    <w:rsid w:val="000126FE"/>
    <w:rsid w:val="00020719"/>
    <w:rsid w:val="00024CA7"/>
    <w:rsid w:val="0002658B"/>
    <w:rsid w:val="000309CC"/>
    <w:rsid w:val="00031EAE"/>
    <w:rsid w:val="00036B46"/>
    <w:rsid w:val="0004116E"/>
    <w:rsid w:val="000433BC"/>
    <w:rsid w:val="000433ED"/>
    <w:rsid w:val="0004724C"/>
    <w:rsid w:val="00052BBC"/>
    <w:rsid w:val="00053082"/>
    <w:rsid w:val="000632CD"/>
    <w:rsid w:val="000658FA"/>
    <w:rsid w:val="00066B7B"/>
    <w:rsid w:val="000706BE"/>
    <w:rsid w:val="00072F8E"/>
    <w:rsid w:val="000771B1"/>
    <w:rsid w:val="0009563A"/>
    <w:rsid w:val="00096E20"/>
    <w:rsid w:val="000A0214"/>
    <w:rsid w:val="000A1586"/>
    <w:rsid w:val="000A453D"/>
    <w:rsid w:val="000B3794"/>
    <w:rsid w:val="000B4B57"/>
    <w:rsid w:val="000C041E"/>
    <w:rsid w:val="000C196C"/>
    <w:rsid w:val="000C4774"/>
    <w:rsid w:val="000C504B"/>
    <w:rsid w:val="000C54F1"/>
    <w:rsid w:val="000D150D"/>
    <w:rsid w:val="000D24CD"/>
    <w:rsid w:val="000D3F8F"/>
    <w:rsid w:val="000D3FC5"/>
    <w:rsid w:val="000D6229"/>
    <w:rsid w:val="000D72C5"/>
    <w:rsid w:val="000E3D80"/>
    <w:rsid w:val="000E7754"/>
    <w:rsid w:val="000F71F5"/>
    <w:rsid w:val="00102436"/>
    <w:rsid w:val="00107F50"/>
    <w:rsid w:val="00112C34"/>
    <w:rsid w:val="00114EE3"/>
    <w:rsid w:val="0011528A"/>
    <w:rsid w:val="0011619B"/>
    <w:rsid w:val="00117481"/>
    <w:rsid w:val="00131E8C"/>
    <w:rsid w:val="001345A5"/>
    <w:rsid w:val="00142E6C"/>
    <w:rsid w:val="001443B5"/>
    <w:rsid w:val="0015485F"/>
    <w:rsid w:val="00155C61"/>
    <w:rsid w:val="00157F35"/>
    <w:rsid w:val="00163ECB"/>
    <w:rsid w:val="001724CF"/>
    <w:rsid w:val="00172D1F"/>
    <w:rsid w:val="0017631B"/>
    <w:rsid w:val="00186C43"/>
    <w:rsid w:val="00190515"/>
    <w:rsid w:val="00194B01"/>
    <w:rsid w:val="00194FDF"/>
    <w:rsid w:val="001A20BA"/>
    <w:rsid w:val="001A3A83"/>
    <w:rsid w:val="001A3C53"/>
    <w:rsid w:val="001A60E9"/>
    <w:rsid w:val="001B2DD5"/>
    <w:rsid w:val="001B3FFE"/>
    <w:rsid w:val="001B77B6"/>
    <w:rsid w:val="001C203C"/>
    <w:rsid w:val="001C325B"/>
    <w:rsid w:val="001C3CF5"/>
    <w:rsid w:val="001C4A21"/>
    <w:rsid w:val="001C4B3C"/>
    <w:rsid w:val="001D29FD"/>
    <w:rsid w:val="001D4198"/>
    <w:rsid w:val="001D52B6"/>
    <w:rsid w:val="001D659A"/>
    <w:rsid w:val="001D6F27"/>
    <w:rsid w:val="001E5530"/>
    <w:rsid w:val="001E6100"/>
    <w:rsid w:val="001F49FD"/>
    <w:rsid w:val="001F6240"/>
    <w:rsid w:val="001F6A6F"/>
    <w:rsid w:val="00204AC3"/>
    <w:rsid w:val="00204DA3"/>
    <w:rsid w:val="00206A11"/>
    <w:rsid w:val="002100E4"/>
    <w:rsid w:val="00214D46"/>
    <w:rsid w:val="00215804"/>
    <w:rsid w:val="00215A8C"/>
    <w:rsid w:val="00216228"/>
    <w:rsid w:val="00217EAB"/>
    <w:rsid w:val="00221F9D"/>
    <w:rsid w:val="0022498C"/>
    <w:rsid w:val="00231B3A"/>
    <w:rsid w:val="00236D04"/>
    <w:rsid w:val="002426E2"/>
    <w:rsid w:val="002463EB"/>
    <w:rsid w:val="00246747"/>
    <w:rsid w:val="00251DB2"/>
    <w:rsid w:val="0026104B"/>
    <w:rsid w:val="00261FCD"/>
    <w:rsid w:val="00263311"/>
    <w:rsid w:val="002646DE"/>
    <w:rsid w:val="002724D0"/>
    <w:rsid w:val="00280C94"/>
    <w:rsid w:val="00291E96"/>
    <w:rsid w:val="00293B26"/>
    <w:rsid w:val="00294686"/>
    <w:rsid w:val="002947BD"/>
    <w:rsid w:val="00294F65"/>
    <w:rsid w:val="00297DBB"/>
    <w:rsid w:val="002A7C1D"/>
    <w:rsid w:val="002A7EE4"/>
    <w:rsid w:val="002B1869"/>
    <w:rsid w:val="002B1CE5"/>
    <w:rsid w:val="002B4AE9"/>
    <w:rsid w:val="002C156D"/>
    <w:rsid w:val="002C5840"/>
    <w:rsid w:val="002C72CC"/>
    <w:rsid w:val="002D3A6B"/>
    <w:rsid w:val="002D6D95"/>
    <w:rsid w:val="002E0458"/>
    <w:rsid w:val="002E10A2"/>
    <w:rsid w:val="002F044A"/>
    <w:rsid w:val="002F1714"/>
    <w:rsid w:val="002F4DB3"/>
    <w:rsid w:val="002F640D"/>
    <w:rsid w:val="00301B7D"/>
    <w:rsid w:val="00303A48"/>
    <w:rsid w:val="00304216"/>
    <w:rsid w:val="00304278"/>
    <w:rsid w:val="00306750"/>
    <w:rsid w:val="00310FE3"/>
    <w:rsid w:val="003125F6"/>
    <w:rsid w:val="0031276B"/>
    <w:rsid w:val="003167B2"/>
    <w:rsid w:val="0031713A"/>
    <w:rsid w:val="00324D4E"/>
    <w:rsid w:val="003253D2"/>
    <w:rsid w:val="00326FCC"/>
    <w:rsid w:val="003340A9"/>
    <w:rsid w:val="0033523B"/>
    <w:rsid w:val="00335DE1"/>
    <w:rsid w:val="00345748"/>
    <w:rsid w:val="00346F2D"/>
    <w:rsid w:val="00350FFA"/>
    <w:rsid w:val="003527C9"/>
    <w:rsid w:val="00355DB3"/>
    <w:rsid w:val="00364972"/>
    <w:rsid w:val="00365084"/>
    <w:rsid w:val="00366D99"/>
    <w:rsid w:val="00370138"/>
    <w:rsid w:val="00373472"/>
    <w:rsid w:val="00376FD7"/>
    <w:rsid w:val="003816C5"/>
    <w:rsid w:val="00382F07"/>
    <w:rsid w:val="003843EA"/>
    <w:rsid w:val="0038500C"/>
    <w:rsid w:val="003943D3"/>
    <w:rsid w:val="00394F1F"/>
    <w:rsid w:val="00397785"/>
    <w:rsid w:val="003A0B24"/>
    <w:rsid w:val="003A6E7F"/>
    <w:rsid w:val="003A7E6B"/>
    <w:rsid w:val="003C3590"/>
    <w:rsid w:val="003C5C2E"/>
    <w:rsid w:val="003C6AD5"/>
    <w:rsid w:val="003E076F"/>
    <w:rsid w:val="003E1820"/>
    <w:rsid w:val="003E2F15"/>
    <w:rsid w:val="003E6335"/>
    <w:rsid w:val="003E7F16"/>
    <w:rsid w:val="003F126C"/>
    <w:rsid w:val="003F15D5"/>
    <w:rsid w:val="003F2B93"/>
    <w:rsid w:val="003F60F1"/>
    <w:rsid w:val="00405592"/>
    <w:rsid w:val="00410908"/>
    <w:rsid w:val="004126DB"/>
    <w:rsid w:val="00414177"/>
    <w:rsid w:val="0041711D"/>
    <w:rsid w:val="0041732D"/>
    <w:rsid w:val="00423DCB"/>
    <w:rsid w:val="00430A13"/>
    <w:rsid w:val="00434A76"/>
    <w:rsid w:val="00441B52"/>
    <w:rsid w:val="00442C5C"/>
    <w:rsid w:val="00450CE9"/>
    <w:rsid w:val="0045140F"/>
    <w:rsid w:val="00451449"/>
    <w:rsid w:val="0045214E"/>
    <w:rsid w:val="00453C04"/>
    <w:rsid w:val="00454183"/>
    <w:rsid w:val="00454B8E"/>
    <w:rsid w:val="004636E0"/>
    <w:rsid w:val="00464452"/>
    <w:rsid w:val="00464579"/>
    <w:rsid w:val="00470BA9"/>
    <w:rsid w:val="00471DE9"/>
    <w:rsid w:val="00474225"/>
    <w:rsid w:val="00475646"/>
    <w:rsid w:val="00483B5E"/>
    <w:rsid w:val="004870F0"/>
    <w:rsid w:val="0048745D"/>
    <w:rsid w:val="00487D75"/>
    <w:rsid w:val="00491988"/>
    <w:rsid w:val="00492570"/>
    <w:rsid w:val="0049368E"/>
    <w:rsid w:val="00497764"/>
    <w:rsid w:val="004A2AB4"/>
    <w:rsid w:val="004A4ACB"/>
    <w:rsid w:val="004B00D1"/>
    <w:rsid w:val="004B15D2"/>
    <w:rsid w:val="004B1628"/>
    <w:rsid w:val="004C64FF"/>
    <w:rsid w:val="004D01E6"/>
    <w:rsid w:val="004D26F0"/>
    <w:rsid w:val="004D290C"/>
    <w:rsid w:val="004D2951"/>
    <w:rsid w:val="004D3248"/>
    <w:rsid w:val="004E3209"/>
    <w:rsid w:val="004E4F4C"/>
    <w:rsid w:val="004E545E"/>
    <w:rsid w:val="004E66EE"/>
    <w:rsid w:val="004F0DFA"/>
    <w:rsid w:val="004F23A9"/>
    <w:rsid w:val="004F29C1"/>
    <w:rsid w:val="004F75B8"/>
    <w:rsid w:val="0050188D"/>
    <w:rsid w:val="00502037"/>
    <w:rsid w:val="00502D84"/>
    <w:rsid w:val="005031A5"/>
    <w:rsid w:val="0051352E"/>
    <w:rsid w:val="00517DA7"/>
    <w:rsid w:val="00520869"/>
    <w:rsid w:val="00520A33"/>
    <w:rsid w:val="005242E0"/>
    <w:rsid w:val="0052608A"/>
    <w:rsid w:val="00526619"/>
    <w:rsid w:val="00527AE4"/>
    <w:rsid w:val="00533D64"/>
    <w:rsid w:val="00533DC9"/>
    <w:rsid w:val="00547498"/>
    <w:rsid w:val="00551D9B"/>
    <w:rsid w:val="00552B1A"/>
    <w:rsid w:val="00557ECA"/>
    <w:rsid w:val="0056005D"/>
    <w:rsid w:val="00560744"/>
    <w:rsid w:val="00560768"/>
    <w:rsid w:val="00561742"/>
    <w:rsid w:val="00561B16"/>
    <w:rsid w:val="005706FC"/>
    <w:rsid w:val="00571390"/>
    <w:rsid w:val="005747A7"/>
    <w:rsid w:val="0057637C"/>
    <w:rsid w:val="00576CAC"/>
    <w:rsid w:val="00580577"/>
    <w:rsid w:val="00580D2A"/>
    <w:rsid w:val="00580DD1"/>
    <w:rsid w:val="00584633"/>
    <w:rsid w:val="0058535E"/>
    <w:rsid w:val="005858B9"/>
    <w:rsid w:val="00590071"/>
    <w:rsid w:val="00591133"/>
    <w:rsid w:val="005930BC"/>
    <w:rsid w:val="005A02A2"/>
    <w:rsid w:val="005A0D43"/>
    <w:rsid w:val="005A3D8C"/>
    <w:rsid w:val="005A5ABC"/>
    <w:rsid w:val="005A6F40"/>
    <w:rsid w:val="005A7E48"/>
    <w:rsid w:val="005B10A5"/>
    <w:rsid w:val="005B38BC"/>
    <w:rsid w:val="005C3697"/>
    <w:rsid w:val="005C3A05"/>
    <w:rsid w:val="005C464F"/>
    <w:rsid w:val="005C46A8"/>
    <w:rsid w:val="005C483D"/>
    <w:rsid w:val="005C50EE"/>
    <w:rsid w:val="005C5117"/>
    <w:rsid w:val="005C5C3A"/>
    <w:rsid w:val="005C7A1B"/>
    <w:rsid w:val="005C7AA0"/>
    <w:rsid w:val="005D10D1"/>
    <w:rsid w:val="005D14CB"/>
    <w:rsid w:val="005D591A"/>
    <w:rsid w:val="005D7E1B"/>
    <w:rsid w:val="005E0236"/>
    <w:rsid w:val="005E0AC0"/>
    <w:rsid w:val="005E1E57"/>
    <w:rsid w:val="005E22E0"/>
    <w:rsid w:val="005E3805"/>
    <w:rsid w:val="005E4ACD"/>
    <w:rsid w:val="005F008D"/>
    <w:rsid w:val="005F180C"/>
    <w:rsid w:val="005F3C7D"/>
    <w:rsid w:val="005F40C5"/>
    <w:rsid w:val="005F41DF"/>
    <w:rsid w:val="005F675D"/>
    <w:rsid w:val="006006BA"/>
    <w:rsid w:val="006035EF"/>
    <w:rsid w:val="00617BAA"/>
    <w:rsid w:val="00620389"/>
    <w:rsid w:val="00622792"/>
    <w:rsid w:val="00622A64"/>
    <w:rsid w:val="006305B0"/>
    <w:rsid w:val="00630DDF"/>
    <w:rsid w:val="0063222A"/>
    <w:rsid w:val="006337BD"/>
    <w:rsid w:val="006410F3"/>
    <w:rsid w:val="00642CC5"/>
    <w:rsid w:val="00647707"/>
    <w:rsid w:val="0065296E"/>
    <w:rsid w:val="00653494"/>
    <w:rsid w:val="00661011"/>
    <w:rsid w:val="006724E2"/>
    <w:rsid w:val="00672E26"/>
    <w:rsid w:val="00673479"/>
    <w:rsid w:val="0067545B"/>
    <w:rsid w:val="00675835"/>
    <w:rsid w:val="00676F9C"/>
    <w:rsid w:val="00682E3D"/>
    <w:rsid w:val="006907E5"/>
    <w:rsid w:val="00695172"/>
    <w:rsid w:val="00696363"/>
    <w:rsid w:val="00697804"/>
    <w:rsid w:val="006A0A62"/>
    <w:rsid w:val="006A290F"/>
    <w:rsid w:val="006A60E8"/>
    <w:rsid w:val="006B37AE"/>
    <w:rsid w:val="006B3D49"/>
    <w:rsid w:val="006C0E2A"/>
    <w:rsid w:val="006C1DED"/>
    <w:rsid w:val="006C5ACA"/>
    <w:rsid w:val="006C77A3"/>
    <w:rsid w:val="006C7FB7"/>
    <w:rsid w:val="006D3D8C"/>
    <w:rsid w:val="006D74A1"/>
    <w:rsid w:val="006E14E0"/>
    <w:rsid w:val="006E5D6E"/>
    <w:rsid w:val="006E694D"/>
    <w:rsid w:val="006F5E04"/>
    <w:rsid w:val="0070002C"/>
    <w:rsid w:val="00704E7C"/>
    <w:rsid w:val="007067B4"/>
    <w:rsid w:val="00710134"/>
    <w:rsid w:val="007151D7"/>
    <w:rsid w:val="00717B0F"/>
    <w:rsid w:val="00721051"/>
    <w:rsid w:val="00721B03"/>
    <w:rsid w:val="007224EA"/>
    <w:rsid w:val="007241BF"/>
    <w:rsid w:val="00724280"/>
    <w:rsid w:val="007301E7"/>
    <w:rsid w:val="00733050"/>
    <w:rsid w:val="00733102"/>
    <w:rsid w:val="00735726"/>
    <w:rsid w:val="00736282"/>
    <w:rsid w:val="00737389"/>
    <w:rsid w:val="00737C5E"/>
    <w:rsid w:val="0074077A"/>
    <w:rsid w:val="00740CBB"/>
    <w:rsid w:val="00741844"/>
    <w:rsid w:val="00742C86"/>
    <w:rsid w:val="0074397D"/>
    <w:rsid w:val="00744B85"/>
    <w:rsid w:val="007552AF"/>
    <w:rsid w:val="007559FE"/>
    <w:rsid w:val="00761FC2"/>
    <w:rsid w:val="0076299C"/>
    <w:rsid w:val="0076533E"/>
    <w:rsid w:val="007661C9"/>
    <w:rsid w:val="00766DC7"/>
    <w:rsid w:val="00772E85"/>
    <w:rsid w:val="007855CC"/>
    <w:rsid w:val="007929B1"/>
    <w:rsid w:val="007A0A4D"/>
    <w:rsid w:val="007A4491"/>
    <w:rsid w:val="007A6047"/>
    <w:rsid w:val="007B0FD3"/>
    <w:rsid w:val="007B1ABA"/>
    <w:rsid w:val="007B49AB"/>
    <w:rsid w:val="007B504B"/>
    <w:rsid w:val="007B5901"/>
    <w:rsid w:val="007B74C5"/>
    <w:rsid w:val="007C3BEC"/>
    <w:rsid w:val="007D0DAF"/>
    <w:rsid w:val="007D3802"/>
    <w:rsid w:val="007D607B"/>
    <w:rsid w:val="007E1B17"/>
    <w:rsid w:val="007E2394"/>
    <w:rsid w:val="007E472F"/>
    <w:rsid w:val="007E4C1F"/>
    <w:rsid w:val="007E65EA"/>
    <w:rsid w:val="007E7835"/>
    <w:rsid w:val="007F2319"/>
    <w:rsid w:val="007F30BF"/>
    <w:rsid w:val="007F3356"/>
    <w:rsid w:val="007F4D26"/>
    <w:rsid w:val="0080038E"/>
    <w:rsid w:val="00807243"/>
    <w:rsid w:val="008228CA"/>
    <w:rsid w:val="00822FB0"/>
    <w:rsid w:val="00833AB5"/>
    <w:rsid w:val="00834884"/>
    <w:rsid w:val="00834ECC"/>
    <w:rsid w:val="008507C1"/>
    <w:rsid w:val="00850B4E"/>
    <w:rsid w:val="00853B40"/>
    <w:rsid w:val="0085692A"/>
    <w:rsid w:val="00856D89"/>
    <w:rsid w:val="00861156"/>
    <w:rsid w:val="00861934"/>
    <w:rsid w:val="00875F2B"/>
    <w:rsid w:val="00877B27"/>
    <w:rsid w:val="00887648"/>
    <w:rsid w:val="00893FFA"/>
    <w:rsid w:val="00895B4B"/>
    <w:rsid w:val="008963BF"/>
    <w:rsid w:val="00896A0F"/>
    <w:rsid w:val="00896EFA"/>
    <w:rsid w:val="008A3637"/>
    <w:rsid w:val="008A4C66"/>
    <w:rsid w:val="008A5CCF"/>
    <w:rsid w:val="008A61AD"/>
    <w:rsid w:val="008B0EEE"/>
    <w:rsid w:val="008B4039"/>
    <w:rsid w:val="008B4D81"/>
    <w:rsid w:val="008B7515"/>
    <w:rsid w:val="008C186B"/>
    <w:rsid w:val="008C5649"/>
    <w:rsid w:val="008D0B21"/>
    <w:rsid w:val="008D125F"/>
    <w:rsid w:val="008D2977"/>
    <w:rsid w:val="008D50FE"/>
    <w:rsid w:val="008E05D8"/>
    <w:rsid w:val="008E23EC"/>
    <w:rsid w:val="008E2854"/>
    <w:rsid w:val="008E324B"/>
    <w:rsid w:val="008E36F1"/>
    <w:rsid w:val="008E44DF"/>
    <w:rsid w:val="008F071B"/>
    <w:rsid w:val="008F0AC9"/>
    <w:rsid w:val="008F69D6"/>
    <w:rsid w:val="008F6C35"/>
    <w:rsid w:val="00900C47"/>
    <w:rsid w:val="00904885"/>
    <w:rsid w:val="00907E62"/>
    <w:rsid w:val="00910277"/>
    <w:rsid w:val="00917B99"/>
    <w:rsid w:val="009243B4"/>
    <w:rsid w:val="00924BED"/>
    <w:rsid w:val="00927F79"/>
    <w:rsid w:val="00930CDA"/>
    <w:rsid w:val="0093359C"/>
    <w:rsid w:val="0093473D"/>
    <w:rsid w:val="00934BB2"/>
    <w:rsid w:val="00935036"/>
    <w:rsid w:val="009361B9"/>
    <w:rsid w:val="00941CDE"/>
    <w:rsid w:val="00947853"/>
    <w:rsid w:val="00950336"/>
    <w:rsid w:val="00951898"/>
    <w:rsid w:val="009539B4"/>
    <w:rsid w:val="009560C6"/>
    <w:rsid w:val="00956132"/>
    <w:rsid w:val="0095636C"/>
    <w:rsid w:val="00957AB6"/>
    <w:rsid w:val="00966762"/>
    <w:rsid w:val="00972040"/>
    <w:rsid w:val="00972F57"/>
    <w:rsid w:val="009740EE"/>
    <w:rsid w:val="0097661F"/>
    <w:rsid w:val="00995280"/>
    <w:rsid w:val="00996656"/>
    <w:rsid w:val="00996D59"/>
    <w:rsid w:val="009A1C93"/>
    <w:rsid w:val="009C2DB3"/>
    <w:rsid w:val="009C6584"/>
    <w:rsid w:val="009D06EA"/>
    <w:rsid w:val="009D0B03"/>
    <w:rsid w:val="009D0C9A"/>
    <w:rsid w:val="009D1C1C"/>
    <w:rsid w:val="009D22FA"/>
    <w:rsid w:val="009D44C4"/>
    <w:rsid w:val="009E02CC"/>
    <w:rsid w:val="009F11AD"/>
    <w:rsid w:val="009F6D02"/>
    <w:rsid w:val="009F70E2"/>
    <w:rsid w:val="00A058E4"/>
    <w:rsid w:val="00A05970"/>
    <w:rsid w:val="00A100C6"/>
    <w:rsid w:val="00A11D94"/>
    <w:rsid w:val="00A132F9"/>
    <w:rsid w:val="00A13341"/>
    <w:rsid w:val="00A13985"/>
    <w:rsid w:val="00A16A5D"/>
    <w:rsid w:val="00A227E6"/>
    <w:rsid w:val="00A22849"/>
    <w:rsid w:val="00A2355D"/>
    <w:rsid w:val="00A24E6E"/>
    <w:rsid w:val="00A3115D"/>
    <w:rsid w:val="00A31452"/>
    <w:rsid w:val="00A314B9"/>
    <w:rsid w:val="00A35008"/>
    <w:rsid w:val="00A412E3"/>
    <w:rsid w:val="00A427B0"/>
    <w:rsid w:val="00A43694"/>
    <w:rsid w:val="00A45104"/>
    <w:rsid w:val="00A45C1D"/>
    <w:rsid w:val="00A46919"/>
    <w:rsid w:val="00A479D9"/>
    <w:rsid w:val="00A52C70"/>
    <w:rsid w:val="00A56FC7"/>
    <w:rsid w:val="00A61896"/>
    <w:rsid w:val="00A62883"/>
    <w:rsid w:val="00A7051F"/>
    <w:rsid w:val="00A712F2"/>
    <w:rsid w:val="00A72575"/>
    <w:rsid w:val="00A74071"/>
    <w:rsid w:val="00A828F0"/>
    <w:rsid w:val="00A83EA4"/>
    <w:rsid w:val="00A84B73"/>
    <w:rsid w:val="00A876A8"/>
    <w:rsid w:val="00A87727"/>
    <w:rsid w:val="00A90EB7"/>
    <w:rsid w:val="00A95147"/>
    <w:rsid w:val="00A95C5C"/>
    <w:rsid w:val="00AA03F4"/>
    <w:rsid w:val="00AA124A"/>
    <w:rsid w:val="00AA2A96"/>
    <w:rsid w:val="00AA2D21"/>
    <w:rsid w:val="00AA4789"/>
    <w:rsid w:val="00AB064D"/>
    <w:rsid w:val="00AB0F46"/>
    <w:rsid w:val="00AB13CD"/>
    <w:rsid w:val="00AB2294"/>
    <w:rsid w:val="00AB2B20"/>
    <w:rsid w:val="00AC523C"/>
    <w:rsid w:val="00AD121D"/>
    <w:rsid w:val="00AD19A1"/>
    <w:rsid w:val="00AD2BD4"/>
    <w:rsid w:val="00AD62D8"/>
    <w:rsid w:val="00AD6BA9"/>
    <w:rsid w:val="00AD7864"/>
    <w:rsid w:val="00AE03B1"/>
    <w:rsid w:val="00AE6ECF"/>
    <w:rsid w:val="00AE6F46"/>
    <w:rsid w:val="00AF1CE8"/>
    <w:rsid w:val="00AF24E4"/>
    <w:rsid w:val="00AF43AF"/>
    <w:rsid w:val="00AF4428"/>
    <w:rsid w:val="00AF6BC9"/>
    <w:rsid w:val="00B06A20"/>
    <w:rsid w:val="00B100CC"/>
    <w:rsid w:val="00B14AD3"/>
    <w:rsid w:val="00B14B2B"/>
    <w:rsid w:val="00B14F8F"/>
    <w:rsid w:val="00B233C6"/>
    <w:rsid w:val="00B330CA"/>
    <w:rsid w:val="00B33B5E"/>
    <w:rsid w:val="00B35E8B"/>
    <w:rsid w:val="00B4145E"/>
    <w:rsid w:val="00B419D6"/>
    <w:rsid w:val="00B46667"/>
    <w:rsid w:val="00B526B0"/>
    <w:rsid w:val="00B52D6C"/>
    <w:rsid w:val="00B62F58"/>
    <w:rsid w:val="00B64C0B"/>
    <w:rsid w:val="00B6689D"/>
    <w:rsid w:val="00B70D26"/>
    <w:rsid w:val="00B72177"/>
    <w:rsid w:val="00B72368"/>
    <w:rsid w:val="00B756CA"/>
    <w:rsid w:val="00B9075A"/>
    <w:rsid w:val="00B92D77"/>
    <w:rsid w:val="00B945BA"/>
    <w:rsid w:val="00B9786D"/>
    <w:rsid w:val="00BA205B"/>
    <w:rsid w:val="00BA3245"/>
    <w:rsid w:val="00BA452C"/>
    <w:rsid w:val="00BA567E"/>
    <w:rsid w:val="00BA7020"/>
    <w:rsid w:val="00BB2251"/>
    <w:rsid w:val="00BB7856"/>
    <w:rsid w:val="00BC1315"/>
    <w:rsid w:val="00BC5424"/>
    <w:rsid w:val="00BD04C1"/>
    <w:rsid w:val="00BD3050"/>
    <w:rsid w:val="00BD64C8"/>
    <w:rsid w:val="00BE3FEB"/>
    <w:rsid w:val="00BE4692"/>
    <w:rsid w:val="00BE74EE"/>
    <w:rsid w:val="00BF04D5"/>
    <w:rsid w:val="00BF1C0B"/>
    <w:rsid w:val="00BF2E36"/>
    <w:rsid w:val="00BF312D"/>
    <w:rsid w:val="00C00321"/>
    <w:rsid w:val="00C01F3D"/>
    <w:rsid w:val="00C10C85"/>
    <w:rsid w:val="00C12332"/>
    <w:rsid w:val="00C16156"/>
    <w:rsid w:val="00C23A76"/>
    <w:rsid w:val="00C33412"/>
    <w:rsid w:val="00C37C11"/>
    <w:rsid w:val="00C37EC6"/>
    <w:rsid w:val="00C507C8"/>
    <w:rsid w:val="00C51A39"/>
    <w:rsid w:val="00C54D58"/>
    <w:rsid w:val="00C55280"/>
    <w:rsid w:val="00C55908"/>
    <w:rsid w:val="00C570F7"/>
    <w:rsid w:val="00C57292"/>
    <w:rsid w:val="00C573E1"/>
    <w:rsid w:val="00C628E3"/>
    <w:rsid w:val="00C63D93"/>
    <w:rsid w:val="00C67F02"/>
    <w:rsid w:val="00C720C9"/>
    <w:rsid w:val="00C75919"/>
    <w:rsid w:val="00C8057D"/>
    <w:rsid w:val="00C84F49"/>
    <w:rsid w:val="00C86C94"/>
    <w:rsid w:val="00C9599C"/>
    <w:rsid w:val="00C95DF6"/>
    <w:rsid w:val="00CA23CD"/>
    <w:rsid w:val="00CA290F"/>
    <w:rsid w:val="00CA53BC"/>
    <w:rsid w:val="00CA6509"/>
    <w:rsid w:val="00CA6E34"/>
    <w:rsid w:val="00CA74DA"/>
    <w:rsid w:val="00CB0C38"/>
    <w:rsid w:val="00CB0EC5"/>
    <w:rsid w:val="00CB605B"/>
    <w:rsid w:val="00CC1492"/>
    <w:rsid w:val="00CC285D"/>
    <w:rsid w:val="00CD0B80"/>
    <w:rsid w:val="00CD1E44"/>
    <w:rsid w:val="00CD6E82"/>
    <w:rsid w:val="00CD7C62"/>
    <w:rsid w:val="00CE1014"/>
    <w:rsid w:val="00CE58FB"/>
    <w:rsid w:val="00CE6615"/>
    <w:rsid w:val="00CE73F6"/>
    <w:rsid w:val="00CF4C70"/>
    <w:rsid w:val="00D0339D"/>
    <w:rsid w:val="00D037B7"/>
    <w:rsid w:val="00D03DA0"/>
    <w:rsid w:val="00D055B8"/>
    <w:rsid w:val="00D05AD0"/>
    <w:rsid w:val="00D1663B"/>
    <w:rsid w:val="00D1753C"/>
    <w:rsid w:val="00D23B95"/>
    <w:rsid w:val="00D32793"/>
    <w:rsid w:val="00D36127"/>
    <w:rsid w:val="00D370AA"/>
    <w:rsid w:val="00D37BEE"/>
    <w:rsid w:val="00D4797B"/>
    <w:rsid w:val="00D53A76"/>
    <w:rsid w:val="00D56DE1"/>
    <w:rsid w:val="00D57C47"/>
    <w:rsid w:val="00D63537"/>
    <w:rsid w:val="00D70873"/>
    <w:rsid w:val="00D72B8F"/>
    <w:rsid w:val="00D75957"/>
    <w:rsid w:val="00D75BB5"/>
    <w:rsid w:val="00D81D84"/>
    <w:rsid w:val="00D8350E"/>
    <w:rsid w:val="00D8630D"/>
    <w:rsid w:val="00D90527"/>
    <w:rsid w:val="00D9153A"/>
    <w:rsid w:val="00D92A92"/>
    <w:rsid w:val="00D96E77"/>
    <w:rsid w:val="00DA0474"/>
    <w:rsid w:val="00DA1B7B"/>
    <w:rsid w:val="00DA3991"/>
    <w:rsid w:val="00DA3CAF"/>
    <w:rsid w:val="00DA5C71"/>
    <w:rsid w:val="00DB79DF"/>
    <w:rsid w:val="00DC3221"/>
    <w:rsid w:val="00DC616C"/>
    <w:rsid w:val="00DD1BF8"/>
    <w:rsid w:val="00DD3AD9"/>
    <w:rsid w:val="00DE2435"/>
    <w:rsid w:val="00DE2D7A"/>
    <w:rsid w:val="00DE35F4"/>
    <w:rsid w:val="00DF044D"/>
    <w:rsid w:val="00DF12CE"/>
    <w:rsid w:val="00DF153F"/>
    <w:rsid w:val="00E02F7E"/>
    <w:rsid w:val="00E05C1D"/>
    <w:rsid w:val="00E0616C"/>
    <w:rsid w:val="00E14E88"/>
    <w:rsid w:val="00E2598C"/>
    <w:rsid w:val="00E32F52"/>
    <w:rsid w:val="00E36A7D"/>
    <w:rsid w:val="00E442A5"/>
    <w:rsid w:val="00E45179"/>
    <w:rsid w:val="00E52988"/>
    <w:rsid w:val="00E53FB2"/>
    <w:rsid w:val="00E618CE"/>
    <w:rsid w:val="00E6388B"/>
    <w:rsid w:val="00E63DA5"/>
    <w:rsid w:val="00E65BA9"/>
    <w:rsid w:val="00E70C8A"/>
    <w:rsid w:val="00E77F14"/>
    <w:rsid w:val="00E81C77"/>
    <w:rsid w:val="00E82924"/>
    <w:rsid w:val="00E83518"/>
    <w:rsid w:val="00E859DA"/>
    <w:rsid w:val="00E866AC"/>
    <w:rsid w:val="00E87B1B"/>
    <w:rsid w:val="00E91C82"/>
    <w:rsid w:val="00E92A53"/>
    <w:rsid w:val="00EA32F7"/>
    <w:rsid w:val="00EA67FC"/>
    <w:rsid w:val="00EA7AAC"/>
    <w:rsid w:val="00EB1D55"/>
    <w:rsid w:val="00EB2F13"/>
    <w:rsid w:val="00EB4422"/>
    <w:rsid w:val="00EC5A9B"/>
    <w:rsid w:val="00EC71EC"/>
    <w:rsid w:val="00ED061E"/>
    <w:rsid w:val="00ED2A12"/>
    <w:rsid w:val="00ED3309"/>
    <w:rsid w:val="00ED35E4"/>
    <w:rsid w:val="00EE11B3"/>
    <w:rsid w:val="00EE4AE4"/>
    <w:rsid w:val="00EE68EB"/>
    <w:rsid w:val="00EF07A0"/>
    <w:rsid w:val="00EF0EC4"/>
    <w:rsid w:val="00EF4A6C"/>
    <w:rsid w:val="00F03119"/>
    <w:rsid w:val="00F0541A"/>
    <w:rsid w:val="00F113ED"/>
    <w:rsid w:val="00F11911"/>
    <w:rsid w:val="00F13583"/>
    <w:rsid w:val="00F15112"/>
    <w:rsid w:val="00F219EE"/>
    <w:rsid w:val="00F2224D"/>
    <w:rsid w:val="00F230CD"/>
    <w:rsid w:val="00F25024"/>
    <w:rsid w:val="00F25CB0"/>
    <w:rsid w:val="00F260BF"/>
    <w:rsid w:val="00F300A3"/>
    <w:rsid w:val="00F317EF"/>
    <w:rsid w:val="00F36CED"/>
    <w:rsid w:val="00F4193E"/>
    <w:rsid w:val="00F42FB2"/>
    <w:rsid w:val="00F46262"/>
    <w:rsid w:val="00F4767C"/>
    <w:rsid w:val="00F477D8"/>
    <w:rsid w:val="00F51C18"/>
    <w:rsid w:val="00F53D00"/>
    <w:rsid w:val="00F554CB"/>
    <w:rsid w:val="00F56BBF"/>
    <w:rsid w:val="00F65470"/>
    <w:rsid w:val="00F66DFF"/>
    <w:rsid w:val="00F72266"/>
    <w:rsid w:val="00F724F1"/>
    <w:rsid w:val="00F8143E"/>
    <w:rsid w:val="00F83753"/>
    <w:rsid w:val="00F93E07"/>
    <w:rsid w:val="00F9639D"/>
    <w:rsid w:val="00F96F0E"/>
    <w:rsid w:val="00FA043D"/>
    <w:rsid w:val="00FA229B"/>
    <w:rsid w:val="00FA31E2"/>
    <w:rsid w:val="00FA5D20"/>
    <w:rsid w:val="00FB0162"/>
    <w:rsid w:val="00FB77E4"/>
    <w:rsid w:val="00FC329A"/>
    <w:rsid w:val="00FC33C5"/>
    <w:rsid w:val="00FC6F79"/>
    <w:rsid w:val="00FD33FC"/>
    <w:rsid w:val="00FD77BF"/>
    <w:rsid w:val="00FD77C7"/>
    <w:rsid w:val="00FE0F3E"/>
    <w:rsid w:val="00FE4FF2"/>
    <w:rsid w:val="00FF5B70"/>
    <w:rsid w:val="00FF5BB9"/>
    <w:rsid w:val="00FF61BE"/>
    <w:rsid w:val="00FF738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AD180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5BB5"/>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6C5ACA"/>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
      </w:numPr>
    </w:pPr>
  </w:style>
  <w:style w:type="paragraph" w:styleId="ListBullet">
    <w:name w:val="List Bullet"/>
    <w:basedOn w:val="ListParagraph"/>
    <w:uiPriority w:val="99"/>
    <w:unhideWhenUsed/>
    <w:qFormat/>
    <w:rsid w:val="00A56FC7"/>
    <w:pPr>
      <w:numPr>
        <w:numId w:val="3"/>
      </w:numPr>
    </w:pPr>
  </w:style>
  <w:style w:type="paragraph" w:styleId="List">
    <w:name w:val="List"/>
    <w:basedOn w:val="ListBullet"/>
    <w:uiPriority w:val="99"/>
    <w:unhideWhenUsed/>
    <w:qFormat/>
    <w:rsid w:val="00A56FC7"/>
    <w:pPr>
      <w:numPr>
        <w:numId w:val="4"/>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EF07A0"/>
    <w:pPr>
      <w:tabs>
        <w:tab w:val="right" w:leader="dot" w:pos="9016"/>
      </w:tabs>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5"/>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ListBullet2">
    <w:name w:val="List Bullet 2"/>
    <w:basedOn w:val="Normal"/>
    <w:uiPriority w:val="99"/>
    <w:unhideWhenUsed/>
    <w:rsid w:val="00EF4A6C"/>
    <w:pPr>
      <w:numPr>
        <w:numId w:val="1"/>
      </w:numPr>
      <w:contextualSpacing/>
    </w:pPr>
  </w:style>
  <w:style w:type="character" w:styleId="CommentReference">
    <w:name w:val="annotation reference"/>
    <w:basedOn w:val="DefaultParagraphFont"/>
    <w:uiPriority w:val="99"/>
    <w:semiHidden/>
    <w:unhideWhenUsed/>
    <w:rsid w:val="00204AC3"/>
    <w:rPr>
      <w:sz w:val="16"/>
      <w:szCs w:val="16"/>
    </w:rPr>
  </w:style>
  <w:style w:type="paragraph" w:styleId="CommentText">
    <w:name w:val="annotation text"/>
    <w:basedOn w:val="Normal"/>
    <w:link w:val="CommentTextChar"/>
    <w:uiPriority w:val="99"/>
    <w:unhideWhenUsed/>
    <w:rsid w:val="00204AC3"/>
    <w:pPr>
      <w:spacing w:line="240" w:lineRule="auto"/>
    </w:pPr>
    <w:rPr>
      <w:sz w:val="20"/>
      <w:szCs w:val="20"/>
    </w:rPr>
  </w:style>
  <w:style w:type="character" w:customStyle="1" w:styleId="CommentTextChar">
    <w:name w:val="Comment Text Char"/>
    <w:basedOn w:val="DefaultParagraphFont"/>
    <w:link w:val="CommentText"/>
    <w:uiPriority w:val="99"/>
    <w:rsid w:val="00204AC3"/>
    <w:rPr>
      <w:sz w:val="20"/>
      <w:szCs w:val="20"/>
    </w:rPr>
  </w:style>
  <w:style w:type="paragraph" w:styleId="CommentSubject">
    <w:name w:val="annotation subject"/>
    <w:basedOn w:val="CommentText"/>
    <w:next w:val="CommentText"/>
    <w:link w:val="CommentSubjectChar"/>
    <w:uiPriority w:val="99"/>
    <w:semiHidden/>
    <w:unhideWhenUsed/>
    <w:rsid w:val="00204AC3"/>
    <w:rPr>
      <w:b/>
      <w:bCs/>
    </w:rPr>
  </w:style>
  <w:style w:type="character" w:customStyle="1" w:styleId="CommentSubjectChar">
    <w:name w:val="Comment Subject Char"/>
    <w:basedOn w:val="CommentTextChar"/>
    <w:link w:val="CommentSubject"/>
    <w:uiPriority w:val="99"/>
    <w:semiHidden/>
    <w:rsid w:val="00204AC3"/>
    <w:rPr>
      <w:b/>
      <w:bCs/>
      <w:sz w:val="20"/>
      <w:szCs w:val="20"/>
    </w:rPr>
  </w:style>
  <w:style w:type="character" w:customStyle="1" w:styleId="Heading7Char">
    <w:name w:val="Heading 7 Char"/>
    <w:basedOn w:val="DefaultParagraphFont"/>
    <w:link w:val="Heading7"/>
    <w:uiPriority w:val="9"/>
    <w:rsid w:val="006C5ACA"/>
    <w:rPr>
      <w:rFonts w:asciiTheme="majorHAnsi" w:eastAsiaTheme="majorEastAsia" w:hAnsiTheme="majorHAnsi" w:cstheme="majorBidi"/>
      <w:i/>
      <w:iCs/>
      <w:color w:val="00161F" w:themeColor="accent1" w:themeShade="7F"/>
    </w:rPr>
  </w:style>
  <w:style w:type="paragraph" w:styleId="FootnoteText">
    <w:name w:val="footnote text"/>
    <w:basedOn w:val="Normal"/>
    <w:link w:val="FootnoteTextChar"/>
    <w:uiPriority w:val="99"/>
    <w:semiHidden/>
    <w:unhideWhenUsed/>
    <w:rsid w:val="00B419D6"/>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B419D6"/>
    <w:rPr>
      <w:rFonts w:ascii="Calibri" w:hAnsi="Calibri" w:cs="Calibri"/>
      <w:sz w:val="20"/>
      <w:szCs w:val="20"/>
    </w:rPr>
  </w:style>
  <w:style w:type="character" w:styleId="FootnoteReference">
    <w:name w:val="footnote reference"/>
    <w:basedOn w:val="DefaultParagraphFont"/>
    <w:uiPriority w:val="99"/>
    <w:semiHidden/>
    <w:unhideWhenUsed/>
    <w:rsid w:val="00B419D6"/>
    <w:rPr>
      <w:vertAlign w:val="superscript"/>
    </w:rPr>
  </w:style>
  <w:style w:type="table" w:styleId="GridTable1Light-Accent6">
    <w:name w:val="Grid Table 1 Light Accent 6"/>
    <w:basedOn w:val="TableNormal"/>
    <w:uiPriority w:val="46"/>
    <w:rsid w:val="00B419D6"/>
    <w:pPr>
      <w:spacing w:after="0" w:line="240" w:lineRule="auto"/>
    </w:pPr>
    <w:tblPr>
      <w:tblStyleRowBandSize w:val="1"/>
      <w:tblStyleColBandSize w:val="1"/>
      <w:tblBorders>
        <w:top w:val="single" w:sz="4" w:space="0" w:color="9FCDE9" w:themeColor="accent6" w:themeTint="66"/>
        <w:left w:val="single" w:sz="4" w:space="0" w:color="9FCDE9" w:themeColor="accent6" w:themeTint="66"/>
        <w:bottom w:val="single" w:sz="4" w:space="0" w:color="9FCDE9" w:themeColor="accent6" w:themeTint="66"/>
        <w:right w:val="single" w:sz="4" w:space="0" w:color="9FCDE9" w:themeColor="accent6" w:themeTint="66"/>
        <w:insideH w:val="single" w:sz="4" w:space="0" w:color="9FCDE9" w:themeColor="accent6" w:themeTint="66"/>
        <w:insideV w:val="single" w:sz="4" w:space="0" w:color="9FCDE9" w:themeColor="accent6" w:themeTint="66"/>
      </w:tblBorders>
    </w:tblPr>
    <w:tblStylePr w:type="firstRow">
      <w:rPr>
        <w:b/>
        <w:bCs/>
      </w:rPr>
      <w:tblPr/>
      <w:tcPr>
        <w:tcBorders>
          <w:bottom w:val="single" w:sz="12" w:space="0" w:color="6FB4DE" w:themeColor="accent6" w:themeTint="99"/>
        </w:tcBorders>
      </w:tcPr>
    </w:tblStylePr>
    <w:tblStylePr w:type="lastRow">
      <w:rPr>
        <w:b/>
        <w:bCs/>
      </w:rPr>
      <w:tblPr/>
      <w:tcPr>
        <w:tcBorders>
          <w:top w:val="double" w:sz="2" w:space="0" w:color="6FB4DE" w:themeColor="accent6" w:themeTint="99"/>
        </w:tcBorders>
      </w:tcPr>
    </w:tblStylePr>
    <w:tblStylePr w:type="firstCol">
      <w:rPr>
        <w:b/>
        <w:bCs/>
      </w:rPr>
    </w:tblStylePr>
    <w:tblStylePr w:type="lastCol">
      <w:rPr>
        <w:b/>
        <w:bCs/>
      </w:rPr>
    </w:tblStyle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194FDF"/>
  </w:style>
  <w:style w:type="table" w:styleId="GridTable2-Accent6">
    <w:name w:val="Grid Table 2 Accent 6"/>
    <w:basedOn w:val="TableNormal"/>
    <w:uiPriority w:val="47"/>
    <w:rsid w:val="00204DA3"/>
    <w:pPr>
      <w:spacing w:after="0" w:line="240" w:lineRule="auto"/>
    </w:pPr>
    <w:tblPr>
      <w:tblStyleRowBandSize w:val="1"/>
      <w:tblStyleColBandSize w:val="1"/>
      <w:tblBorders>
        <w:top w:val="single" w:sz="2" w:space="0" w:color="6FB4DE" w:themeColor="accent6" w:themeTint="99"/>
        <w:bottom w:val="single" w:sz="2" w:space="0" w:color="6FB4DE" w:themeColor="accent6" w:themeTint="99"/>
        <w:insideH w:val="single" w:sz="2" w:space="0" w:color="6FB4DE" w:themeColor="accent6" w:themeTint="99"/>
        <w:insideV w:val="single" w:sz="2" w:space="0" w:color="6FB4DE" w:themeColor="accent6" w:themeTint="99"/>
      </w:tblBorders>
    </w:tblPr>
    <w:tblStylePr w:type="firstRow">
      <w:rPr>
        <w:b/>
        <w:bCs/>
      </w:rPr>
      <w:tblPr/>
      <w:tcPr>
        <w:tcBorders>
          <w:top w:val="nil"/>
          <w:bottom w:val="single" w:sz="12" w:space="0" w:color="6FB4DE" w:themeColor="accent6" w:themeTint="99"/>
          <w:insideH w:val="nil"/>
          <w:insideV w:val="nil"/>
        </w:tcBorders>
        <w:shd w:val="clear" w:color="auto" w:fill="FFFFFF" w:themeFill="background1"/>
      </w:tcPr>
    </w:tblStylePr>
    <w:tblStylePr w:type="lastRow">
      <w:rPr>
        <w:b/>
        <w:bCs/>
      </w:rPr>
      <w:tblPr/>
      <w:tcPr>
        <w:tcBorders>
          <w:top w:val="double" w:sz="2" w:space="0" w:color="6FB4D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 w:type="table" w:styleId="GridTable1Light-Accent4">
    <w:name w:val="Grid Table 1 Light Accent 4"/>
    <w:basedOn w:val="TableNormal"/>
    <w:uiPriority w:val="46"/>
    <w:rsid w:val="002D6D95"/>
    <w:pPr>
      <w:spacing w:after="0" w:line="240" w:lineRule="auto"/>
    </w:pPr>
    <w:tblPr>
      <w:tblStyleRowBandSize w:val="1"/>
      <w:tblStyleColBandSize w:val="1"/>
      <w:tblBorders>
        <w:top w:val="single" w:sz="4" w:space="0" w:color="FF7BC7" w:themeColor="accent4" w:themeTint="66"/>
        <w:left w:val="single" w:sz="4" w:space="0" w:color="FF7BC7" w:themeColor="accent4" w:themeTint="66"/>
        <w:bottom w:val="single" w:sz="4" w:space="0" w:color="FF7BC7" w:themeColor="accent4" w:themeTint="66"/>
        <w:right w:val="single" w:sz="4" w:space="0" w:color="FF7BC7" w:themeColor="accent4" w:themeTint="66"/>
        <w:insideH w:val="single" w:sz="4" w:space="0" w:color="FF7BC7" w:themeColor="accent4" w:themeTint="66"/>
        <w:insideV w:val="single" w:sz="4" w:space="0" w:color="FF7BC7" w:themeColor="accent4" w:themeTint="66"/>
      </w:tblBorders>
    </w:tblPr>
    <w:tblStylePr w:type="firstRow">
      <w:rPr>
        <w:b/>
        <w:bCs/>
      </w:rPr>
      <w:tblPr/>
      <w:tcPr>
        <w:tcBorders>
          <w:bottom w:val="single" w:sz="12" w:space="0" w:color="FF3AAC" w:themeColor="accent4" w:themeTint="99"/>
        </w:tcBorders>
      </w:tcPr>
    </w:tblStylePr>
    <w:tblStylePr w:type="lastRow">
      <w:rPr>
        <w:b/>
        <w:bCs/>
      </w:rPr>
      <w:tblPr/>
      <w:tcPr>
        <w:tcBorders>
          <w:top w:val="double" w:sz="2" w:space="0" w:color="FF3AAC" w:themeColor="accent4"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3125F6"/>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PlaceholderText">
    <w:name w:val="Placeholder Text"/>
    <w:basedOn w:val="DefaultParagraphFont"/>
    <w:uiPriority w:val="99"/>
    <w:semiHidden/>
    <w:rsid w:val="007E65EA"/>
    <w:rPr>
      <w:color w:val="808080"/>
    </w:rPr>
  </w:style>
  <w:style w:type="paragraph" w:styleId="Revision">
    <w:name w:val="Revision"/>
    <w:hidden/>
    <w:uiPriority w:val="99"/>
    <w:semiHidden/>
    <w:rsid w:val="00EF07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9642">
      <w:bodyDiv w:val="1"/>
      <w:marLeft w:val="0"/>
      <w:marRight w:val="0"/>
      <w:marTop w:val="0"/>
      <w:marBottom w:val="0"/>
      <w:divBdr>
        <w:top w:val="none" w:sz="0" w:space="0" w:color="auto"/>
        <w:left w:val="none" w:sz="0" w:space="0" w:color="auto"/>
        <w:bottom w:val="none" w:sz="0" w:space="0" w:color="auto"/>
        <w:right w:val="none" w:sz="0" w:space="0" w:color="auto"/>
      </w:divBdr>
    </w:div>
    <w:div w:id="68891793">
      <w:bodyDiv w:val="1"/>
      <w:marLeft w:val="0"/>
      <w:marRight w:val="0"/>
      <w:marTop w:val="0"/>
      <w:marBottom w:val="0"/>
      <w:divBdr>
        <w:top w:val="none" w:sz="0" w:space="0" w:color="auto"/>
        <w:left w:val="none" w:sz="0" w:space="0" w:color="auto"/>
        <w:bottom w:val="none" w:sz="0" w:space="0" w:color="auto"/>
        <w:right w:val="none" w:sz="0" w:space="0" w:color="auto"/>
      </w:divBdr>
    </w:div>
    <w:div w:id="73162681">
      <w:bodyDiv w:val="1"/>
      <w:marLeft w:val="0"/>
      <w:marRight w:val="0"/>
      <w:marTop w:val="0"/>
      <w:marBottom w:val="0"/>
      <w:divBdr>
        <w:top w:val="none" w:sz="0" w:space="0" w:color="auto"/>
        <w:left w:val="none" w:sz="0" w:space="0" w:color="auto"/>
        <w:bottom w:val="none" w:sz="0" w:space="0" w:color="auto"/>
        <w:right w:val="none" w:sz="0" w:space="0" w:color="auto"/>
      </w:divBdr>
      <w:divsChild>
        <w:div w:id="867067941">
          <w:marLeft w:val="547"/>
          <w:marRight w:val="0"/>
          <w:marTop w:val="0"/>
          <w:marBottom w:val="0"/>
          <w:divBdr>
            <w:top w:val="none" w:sz="0" w:space="0" w:color="auto"/>
            <w:left w:val="none" w:sz="0" w:space="0" w:color="auto"/>
            <w:bottom w:val="none" w:sz="0" w:space="0" w:color="auto"/>
            <w:right w:val="none" w:sz="0" w:space="0" w:color="auto"/>
          </w:divBdr>
        </w:div>
      </w:divsChild>
    </w:div>
    <w:div w:id="98111663">
      <w:bodyDiv w:val="1"/>
      <w:marLeft w:val="0"/>
      <w:marRight w:val="0"/>
      <w:marTop w:val="0"/>
      <w:marBottom w:val="0"/>
      <w:divBdr>
        <w:top w:val="none" w:sz="0" w:space="0" w:color="auto"/>
        <w:left w:val="none" w:sz="0" w:space="0" w:color="auto"/>
        <w:bottom w:val="none" w:sz="0" w:space="0" w:color="auto"/>
        <w:right w:val="none" w:sz="0" w:space="0" w:color="auto"/>
      </w:divBdr>
      <w:divsChild>
        <w:div w:id="1583565859">
          <w:marLeft w:val="547"/>
          <w:marRight w:val="0"/>
          <w:marTop w:val="0"/>
          <w:marBottom w:val="0"/>
          <w:divBdr>
            <w:top w:val="none" w:sz="0" w:space="0" w:color="auto"/>
            <w:left w:val="none" w:sz="0" w:space="0" w:color="auto"/>
            <w:bottom w:val="none" w:sz="0" w:space="0" w:color="auto"/>
            <w:right w:val="none" w:sz="0" w:space="0" w:color="auto"/>
          </w:divBdr>
        </w:div>
      </w:divsChild>
    </w:div>
    <w:div w:id="109861108">
      <w:bodyDiv w:val="1"/>
      <w:marLeft w:val="0"/>
      <w:marRight w:val="0"/>
      <w:marTop w:val="0"/>
      <w:marBottom w:val="0"/>
      <w:divBdr>
        <w:top w:val="none" w:sz="0" w:space="0" w:color="auto"/>
        <w:left w:val="none" w:sz="0" w:space="0" w:color="auto"/>
        <w:bottom w:val="none" w:sz="0" w:space="0" w:color="auto"/>
        <w:right w:val="none" w:sz="0" w:space="0" w:color="auto"/>
      </w:divBdr>
    </w:div>
    <w:div w:id="219250262">
      <w:bodyDiv w:val="1"/>
      <w:marLeft w:val="0"/>
      <w:marRight w:val="0"/>
      <w:marTop w:val="0"/>
      <w:marBottom w:val="0"/>
      <w:divBdr>
        <w:top w:val="none" w:sz="0" w:space="0" w:color="auto"/>
        <w:left w:val="none" w:sz="0" w:space="0" w:color="auto"/>
        <w:bottom w:val="none" w:sz="0" w:space="0" w:color="auto"/>
        <w:right w:val="none" w:sz="0" w:space="0" w:color="auto"/>
      </w:divBdr>
    </w:div>
    <w:div w:id="248972824">
      <w:bodyDiv w:val="1"/>
      <w:marLeft w:val="0"/>
      <w:marRight w:val="0"/>
      <w:marTop w:val="0"/>
      <w:marBottom w:val="0"/>
      <w:divBdr>
        <w:top w:val="none" w:sz="0" w:space="0" w:color="auto"/>
        <w:left w:val="none" w:sz="0" w:space="0" w:color="auto"/>
        <w:bottom w:val="none" w:sz="0" w:space="0" w:color="auto"/>
        <w:right w:val="none" w:sz="0" w:space="0" w:color="auto"/>
      </w:divBdr>
    </w:div>
    <w:div w:id="344019793">
      <w:bodyDiv w:val="1"/>
      <w:marLeft w:val="0"/>
      <w:marRight w:val="0"/>
      <w:marTop w:val="0"/>
      <w:marBottom w:val="0"/>
      <w:divBdr>
        <w:top w:val="none" w:sz="0" w:space="0" w:color="auto"/>
        <w:left w:val="none" w:sz="0" w:space="0" w:color="auto"/>
        <w:bottom w:val="none" w:sz="0" w:space="0" w:color="auto"/>
        <w:right w:val="none" w:sz="0" w:space="0" w:color="auto"/>
      </w:divBdr>
      <w:divsChild>
        <w:div w:id="80833451">
          <w:marLeft w:val="547"/>
          <w:marRight w:val="0"/>
          <w:marTop w:val="0"/>
          <w:marBottom w:val="0"/>
          <w:divBdr>
            <w:top w:val="none" w:sz="0" w:space="0" w:color="auto"/>
            <w:left w:val="none" w:sz="0" w:space="0" w:color="auto"/>
            <w:bottom w:val="none" w:sz="0" w:space="0" w:color="auto"/>
            <w:right w:val="none" w:sz="0" w:space="0" w:color="auto"/>
          </w:divBdr>
        </w:div>
      </w:divsChild>
    </w:div>
    <w:div w:id="367923383">
      <w:bodyDiv w:val="1"/>
      <w:marLeft w:val="0"/>
      <w:marRight w:val="0"/>
      <w:marTop w:val="0"/>
      <w:marBottom w:val="0"/>
      <w:divBdr>
        <w:top w:val="none" w:sz="0" w:space="0" w:color="auto"/>
        <w:left w:val="none" w:sz="0" w:space="0" w:color="auto"/>
        <w:bottom w:val="none" w:sz="0" w:space="0" w:color="auto"/>
        <w:right w:val="none" w:sz="0" w:space="0" w:color="auto"/>
      </w:divBdr>
    </w:div>
    <w:div w:id="437063052">
      <w:bodyDiv w:val="1"/>
      <w:marLeft w:val="0"/>
      <w:marRight w:val="0"/>
      <w:marTop w:val="0"/>
      <w:marBottom w:val="0"/>
      <w:divBdr>
        <w:top w:val="none" w:sz="0" w:space="0" w:color="auto"/>
        <w:left w:val="none" w:sz="0" w:space="0" w:color="auto"/>
        <w:bottom w:val="none" w:sz="0" w:space="0" w:color="auto"/>
        <w:right w:val="none" w:sz="0" w:space="0" w:color="auto"/>
      </w:divBdr>
    </w:div>
    <w:div w:id="522674773">
      <w:bodyDiv w:val="1"/>
      <w:marLeft w:val="0"/>
      <w:marRight w:val="0"/>
      <w:marTop w:val="0"/>
      <w:marBottom w:val="0"/>
      <w:divBdr>
        <w:top w:val="none" w:sz="0" w:space="0" w:color="auto"/>
        <w:left w:val="none" w:sz="0" w:space="0" w:color="auto"/>
        <w:bottom w:val="none" w:sz="0" w:space="0" w:color="auto"/>
        <w:right w:val="none" w:sz="0" w:space="0" w:color="auto"/>
      </w:divBdr>
    </w:div>
    <w:div w:id="525293536">
      <w:bodyDiv w:val="1"/>
      <w:marLeft w:val="0"/>
      <w:marRight w:val="0"/>
      <w:marTop w:val="0"/>
      <w:marBottom w:val="0"/>
      <w:divBdr>
        <w:top w:val="none" w:sz="0" w:space="0" w:color="auto"/>
        <w:left w:val="none" w:sz="0" w:space="0" w:color="auto"/>
        <w:bottom w:val="none" w:sz="0" w:space="0" w:color="auto"/>
        <w:right w:val="none" w:sz="0" w:space="0" w:color="auto"/>
      </w:divBdr>
    </w:div>
    <w:div w:id="563639557">
      <w:bodyDiv w:val="1"/>
      <w:marLeft w:val="0"/>
      <w:marRight w:val="0"/>
      <w:marTop w:val="0"/>
      <w:marBottom w:val="0"/>
      <w:divBdr>
        <w:top w:val="none" w:sz="0" w:space="0" w:color="auto"/>
        <w:left w:val="none" w:sz="0" w:space="0" w:color="auto"/>
        <w:bottom w:val="none" w:sz="0" w:space="0" w:color="auto"/>
        <w:right w:val="none" w:sz="0" w:space="0" w:color="auto"/>
      </w:divBdr>
    </w:div>
    <w:div w:id="860709038">
      <w:bodyDiv w:val="1"/>
      <w:marLeft w:val="0"/>
      <w:marRight w:val="0"/>
      <w:marTop w:val="0"/>
      <w:marBottom w:val="0"/>
      <w:divBdr>
        <w:top w:val="none" w:sz="0" w:space="0" w:color="auto"/>
        <w:left w:val="none" w:sz="0" w:space="0" w:color="auto"/>
        <w:bottom w:val="none" w:sz="0" w:space="0" w:color="auto"/>
        <w:right w:val="none" w:sz="0" w:space="0" w:color="auto"/>
      </w:divBdr>
    </w:div>
    <w:div w:id="898368143">
      <w:bodyDiv w:val="1"/>
      <w:marLeft w:val="0"/>
      <w:marRight w:val="0"/>
      <w:marTop w:val="0"/>
      <w:marBottom w:val="0"/>
      <w:divBdr>
        <w:top w:val="none" w:sz="0" w:space="0" w:color="auto"/>
        <w:left w:val="none" w:sz="0" w:space="0" w:color="auto"/>
        <w:bottom w:val="none" w:sz="0" w:space="0" w:color="auto"/>
        <w:right w:val="none" w:sz="0" w:space="0" w:color="auto"/>
      </w:divBdr>
    </w:div>
    <w:div w:id="967007405">
      <w:bodyDiv w:val="1"/>
      <w:marLeft w:val="0"/>
      <w:marRight w:val="0"/>
      <w:marTop w:val="0"/>
      <w:marBottom w:val="0"/>
      <w:divBdr>
        <w:top w:val="none" w:sz="0" w:space="0" w:color="auto"/>
        <w:left w:val="none" w:sz="0" w:space="0" w:color="auto"/>
        <w:bottom w:val="none" w:sz="0" w:space="0" w:color="auto"/>
        <w:right w:val="none" w:sz="0" w:space="0" w:color="auto"/>
      </w:divBdr>
    </w:div>
    <w:div w:id="1008943764">
      <w:bodyDiv w:val="1"/>
      <w:marLeft w:val="0"/>
      <w:marRight w:val="0"/>
      <w:marTop w:val="0"/>
      <w:marBottom w:val="0"/>
      <w:divBdr>
        <w:top w:val="none" w:sz="0" w:space="0" w:color="auto"/>
        <w:left w:val="none" w:sz="0" w:space="0" w:color="auto"/>
        <w:bottom w:val="none" w:sz="0" w:space="0" w:color="auto"/>
        <w:right w:val="none" w:sz="0" w:space="0" w:color="auto"/>
      </w:divBdr>
      <w:divsChild>
        <w:div w:id="372080263">
          <w:marLeft w:val="547"/>
          <w:marRight w:val="0"/>
          <w:marTop w:val="0"/>
          <w:marBottom w:val="0"/>
          <w:divBdr>
            <w:top w:val="none" w:sz="0" w:space="0" w:color="auto"/>
            <w:left w:val="none" w:sz="0" w:space="0" w:color="auto"/>
            <w:bottom w:val="none" w:sz="0" w:space="0" w:color="auto"/>
            <w:right w:val="none" w:sz="0" w:space="0" w:color="auto"/>
          </w:divBdr>
        </w:div>
      </w:divsChild>
    </w:div>
    <w:div w:id="1020005403">
      <w:bodyDiv w:val="1"/>
      <w:marLeft w:val="0"/>
      <w:marRight w:val="0"/>
      <w:marTop w:val="0"/>
      <w:marBottom w:val="0"/>
      <w:divBdr>
        <w:top w:val="none" w:sz="0" w:space="0" w:color="auto"/>
        <w:left w:val="none" w:sz="0" w:space="0" w:color="auto"/>
        <w:bottom w:val="none" w:sz="0" w:space="0" w:color="auto"/>
        <w:right w:val="none" w:sz="0" w:space="0" w:color="auto"/>
      </w:divBdr>
    </w:div>
    <w:div w:id="1132551696">
      <w:bodyDiv w:val="1"/>
      <w:marLeft w:val="0"/>
      <w:marRight w:val="0"/>
      <w:marTop w:val="0"/>
      <w:marBottom w:val="0"/>
      <w:divBdr>
        <w:top w:val="none" w:sz="0" w:space="0" w:color="auto"/>
        <w:left w:val="none" w:sz="0" w:space="0" w:color="auto"/>
        <w:bottom w:val="none" w:sz="0" w:space="0" w:color="auto"/>
        <w:right w:val="none" w:sz="0" w:space="0" w:color="auto"/>
      </w:divBdr>
    </w:div>
    <w:div w:id="1134257781">
      <w:bodyDiv w:val="1"/>
      <w:marLeft w:val="0"/>
      <w:marRight w:val="0"/>
      <w:marTop w:val="0"/>
      <w:marBottom w:val="0"/>
      <w:divBdr>
        <w:top w:val="none" w:sz="0" w:space="0" w:color="auto"/>
        <w:left w:val="none" w:sz="0" w:space="0" w:color="auto"/>
        <w:bottom w:val="none" w:sz="0" w:space="0" w:color="auto"/>
        <w:right w:val="none" w:sz="0" w:space="0" w:color="auto"/>
      </w:divBdr>
      <w:divsChild>
        <w:div w:id="909344505">
          <w:marLeft w:val="547"/>
          <w:marRight w:val="0"/>
          <w:marTop w:val="0"/>
          <w:marBottom w:val="0"/>
          <w:divBdr>
            <w:top w:val="none" w:sz="0" w:space="0" w:color="auto"/>
            <w:left w:val="none" w:sz="0" w:space="0" w:color="auto"/>
            <w:bottom w:val="none" w:sz="0" w:space="0" w:color="auto"/>
            <w:right w:val="none" w:sz="0" w:space="0" w:color="auto"/>
          </w:divBdr>
        </w:div>
      </w:divsChild>
    </w:div>
    <w:div w:id="1145587842">
      <w:bodyDiv w:val="1"/>
      <w:marLeft w:val="0"/>
      <w:marRight w:val="0"/>
      <w:marTop w:val="0"/>
      <w:marBottom w:val="0"/>
      <w:divBdr>
        <w:top w:val="none" w:sz="0" w:space="0" w:color="auto"/>
        <w:left w:val="none" w:sz="0" w:space="0" w:color="auto"/>
        <w:bottom w:val="none" w:sz="0" w:space="0" w:color="auto"/>
        <w:right w:val="none" w:sz="0" w:space="0" w:color="auto"/>
      </w:divBdr>
      <w:divsChild>
        <w:div w:id="404257185">
          <w:marLeft w:val="547"/>
          <w:marRight w:val="0"/>
          <w:marTop w:val="0"/>
          <w:marBottom w:val="0"/>
          <w:divBdr>
            <w:top w:val="none" w:sz="0" w:space="0" w:color="auto"/>
            <w:left w:val="none" w:sz="0" w:space="0" w:color="auto"/>
            <w:bottom w:val="none" w:sz="0" w:space="0" w:color="auto"/>
            <w:right w:val="none" w:sz="0" w:space="0" w:color="auto"/>
          </w:divBdr>
        </w:div>
      </w:divsChild>
    </w:div>
    <w:div w:id="1228801486">
      <w:bodyDiv w:val="1"/>
      <w:marLeft w:val="0"/>
      <w:marRight w:val="0"/>
      <w:marTop w:val="0"/>
      <w:marBottom w:val="0"/>
      <w:divBdr>
        <w:top w:val="none" w:sz="0" w:space="0" w:color="auto"/>
        <w:left w:val="none" w:sz="0" w:space="0" w:color="auto"/>
        <w:bottom w:val="none" w:sz="0" w:space="0" w:color="auto"/>
        <w:right w:val="none" w:sz="0" w:space="0" w:color="auto"/>
      </w:divBdr>
      <w:divsChild>
        <w:div w:id="2126462809">
          <w:marLeft w:val="187"/>
          <w:marRight w:val="0"/>
          <w:marTop w:val="0"/>
          <w:marBottom w:val="54"/>
          <w:divBdr>
            <w:top w:val="none" w:sz="0" w:space="0" w:color="auto"/>
            <w:left w:val="none" w:sz="0" w:space="0" w:color="auto"/>
            <w:bottom w:val="none" w:sz="0" w:space="0" w:color="auto"/>
            <w:right w:val="none" w:sz="0" w:space="0" w:color="auto"/>
          </w:divBdr>
        </w:div>
      </w:divsChild>
    </w:div>
    <w:div w:id="1275405429">
      <w:bodyDiv w:val="1"/>
      <w:marLeft w:val="0"/>
      <w:marRight w:val="0"/>
      <w:marTop w:val="0"/>
      <w:marBottom w:val="0"/>
      <w:divBdr>
        <w:top w:val="none" w:sz="0" w:space="0" w:color="auto"/>
        <w:left w:val="none" w:sz="0" w:space="0" w:color="auto"/>
        <w:bottom w:val="none" w:sz="0" w:space="0" w:color="auto"/>
        <w:right w:val="none" w:sz="0" w:space="0" w:color="auto"/>
      </w:divBdr>
      <w:divsChild>
        <w:div w:id="356277890">
          <w:marLeft w:val="547"/>
          <w:marRight w:val="0"/>
          <w:marTop w:val="0"/>
          <w:marBottom w:val="0"/>
          <w:divBdr>
            <w:top w:val="none" w:sz="0" w:space="0" w:color="auto"/>
            <w:left w:val="none" w:sz="0" w:space="0" w:color="auto"/>
            <w:bottom w:val="none" w:sz="0" w:space="0" w:color="auto"/>
            <w:right w:val="none" w:sz="0" w:space="0" w:color="auto"/>
          </w:divBdr>
        </w:div>
      </w:divsChild>
    </w:div>
    <w:div w:id="1440757350">
      <w:bodyDiv w:val="1"/>
      <w:marLeft w:val="0"/>
      <w:marRight w:val="0"/>
      <w:marTop w:val="0"/>
      <w:marBottom w:val="0"/>
      <w:divBdr>
        <w:top w:val="none" w:sz="0" w:space="0" w:color="auto"/>
        <w:left w:val="none" w:sz="0" w:space="0" w:color="auto"/>
        <w:bottom w:val="none" w:sz="0" w:space="0" w:color="auto"/>
        <w:right w:val="none" w:sz="0" w:space="0" w:color="auto"/>
      </w:divBdr>
    </w:div>
    <w:div w:id="1464275848">
      <w:bodyDiv w:val="1"/>
      <w:marLeft w:val="0"/>
      <w:marRight w:val="0"/>
      <w:marTop w:val="0"/>
      <w:marBottom w:val="0"/>
      <w:divBdr>
        <w:top w:val="none" w:sz="0" w:space="0" w:color="auto"/>
        <w:left w:val="none" w:sz="0" w:space="0" w:color="auto"/>
        <w:bottom w:val="none" w:sz="0" w:space="0" w:color="auto"/>
        <w:right w:val="none" w:sz="0" w:space="0" w:color="auto"/>
      </w:divBdr>
    </w:div>
    <w:div w:id="1543863189">
      <w:bodyDiv w:val="1"/>
      <w:marLeft w:val="0"/>
      <w:marRight w:val="0"/>
      <w:marTop w:val="0"/>
      <w:marBottom w:val="0"/>
      <w:divBdr>
        <w:top w:val="none" w:sz="0" w:space="0" w:color="auto"/>
        <w:left w:val="none" w:sz="0" w:space="0" w:color="auto"/>
        <w:bottom w:val="none" w:sz="0" w:space="0" w:color="auto"/>
        <w:right w:val="none" w:sz="0" w:space="0" w:color="auto"/>
      </w:divBdr>
    </w:div>
    <w:div w:id="1655144035">
      <w:bodyDiv w:val="1"/>
      <w:marLeft w:val="0"/>
      <w:marRight w:val="0"/>
      <w:marTop w:val="0"/>
      <w:marBottom w:val="0"/>
      <w:divBdr>
        <w:top w:val="none" w:sz="0" w:space="0" w:color="auto"/>
        <w:left w:val="none" w:sz="0" w:space="0" w:color="auto"/>
        <w:bottom w:val="none" w:sz="0" w:space="0" w:color="auto"/>
        <w:right w:val="none" w:sz="0" w:space="0" w:color="auto"/>
      </w:divBdr>
      <w:divsChild>
        <w:div w:id="379205011">
          <w:marLeft w:val="1166"/>
          <w:marRight w:val="0"/>
          <w:marTop w:val="0"/>
          <w:marBottom w:val="0"/>
          <w:divBdr>
            <w:top w:val="none" w:sz="0" w:space="0" w:color="auto"/>
            <w:left w:val="none" w:sz="0" w:space="0" w:color="auto"/>
            <w:bottom w:val="none" w:sz="0" w:space="0" w:color="auto"/>
            <w:right w:val="none" w:sz="0" w:space="0" w:color="auto"/>
          </w:divBdr>
        </w:div>
      </w:divsChild>
    </w:div>
    <w:div w:id="1725257220">
      <w:bodyDiv w:val="1"/>
      <w:marLeft w:val="0"/>
      <w:marRight w:val="0"/>
      <w:marTop w:val="0"/>
      <w:marBottom w:val="0"/>
      <w:divBdr>
        <w:top w:val="none" w:sz="0" w:space="0" w:color="auto"/>
        <w:left w:val="none" w:sz="0" w:space="0" w:color="auto"/>
        <w:bottom w:val="none" w:sz="0" w:space="0" w:color="auto"/>
        <w:right w:val="none" w:sz="0" w:space="0" w:color="auto"/>
      </w:divBdr>
    </w:div>
    <w:div w:id="1941133369">
      <w:bodyDiv w:val="1"/>
      <w:marLeft w:val="0"/>
      <w:marRight w:val="0"/>
      <w:marTop w:val="0"/>
      <w:marBottom w:val="0"/>
      <w:divBdr>
        <w:top w:val="none" w:sz="0" w:space="0" w:color="auto"/>
        <w:left w:val="none" w:sz="0" w:space="0" w:color="auto"/>
        <w:bottom w:val="none" w:sz="0" w:space="0" w:color="auto"/>
        <w:right w:val="none" w:sz="0" w:space="0" w:color="auto"/>
      </w:divBdr>
    </w:div>
    <w:div w:id="1959217173">
      <w:bodyDiv w:val="1"/>
      <w:marLeft w:val="0"/>
      <w:marRight w:val="0"/>
      <w:marTop w:val="0"/>
      <w:marBottom w:val="0"/>
      <w:divBdr>
        <w:top w:val="none" w:sz="0" w:space="0" w:color="auto"/>
        <w:left w:val="none" w:sz="0" w:space="0" w:color="auto"/>
        <w:bottom w:val="none" w:sz="0" w:space="0" w:color="auto"/>
        <w:right w:val="none" w:sz="0" w:space="0" w:color="auto"/>
      </w:divBdr>
    </w:div>
    <w:div w:id="2022275317">
      <w:bodyDiv w:val="1"/>
      <w:marLeft w:val="0"/>
      <w:marRight w:val="0"/>
      <w:marTop w:val="0"/>
      <w:marBottom w:val="0"/>
      <w:divBdr>
        <w:top w:val="none" w:sz="0" w:space="0" w:color="auto"/>
        <w:left w:val="none" w:sz="0" w:space="0" w:color="auto"/>
        <w:bottom w:val="none" w:sz="0" w:space="0" w:color="auto"/>
        <w:right w:val="none" w:sz="0" w:space="0" w:color="auto"/>
      </w:divBdr>
      <w:divsChild>
        <w:div w:id="444080503">
          <w:marLeft w:val="547"/>
          <w:marRight w:val="0"/>
          <w:marTop w:val="0"/>
          <w:marBottom w:val="0"/>
          <w:divBdr>
            <w:top w:val="none" w:sz="0" w:space="0" w:color="auto"/>
            <w:left w:val="none" w:sz="0" w:space="0" w:color="auto"/>
            <w:bottom w:val="none" w:sz="0" w:space="0" w:color="auto"/>
            <w:right w:val="none" w:sz="0" w:space="0" w:color="auto"/>
          </w:divBdr>
        </w:div>
        <w:div w:id="7024492">
          <w:marLeft w:val="547"/>
          <w:marRight w:val="0"/>
          <w:marTop w:val="0"/>
          <w:marBottom w:val="0"/>
          <w:divBdr>
            <w:top w:val="none" w:sz="0" w:space="0" w:color="auto"/>
            <w:left w:val="none" w:sz="0" w:space="0" w:color="auto"/>
            <w:bottom w:val="none" w:sz="0" w:space="0" w:color="auto"/>
            <w:right w:val="none" w:sz="0" w:space="0" w:color="auto"/>
          </w:divBdr>
        </w:div>
        <w:div w:id="1319190832">
          <w:marLeft w:val="547"/>
          <w:marRight w:val="0"/>
          <w:marTop w:val="0"/>
          <w:marBottom w:val="200"/>
          <w:divBdr>
            <w:top w:val="none" w:sz="0" w:space="0" w:color="auto"/>
            <w:left w:val="none" w:sz="0" w:space="0" w:color="auto"/>
            <w:bottom w:val="none" w:sz="0" w:space="0" w:color="auto"/>
            <w:right w:val="none" w:sz="0" w:space="0" w:color="auto"/>
          </w:divBdr>
        </w:div>
      </w:divsChild>
    </w:div>
    <w:div w:id="203824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JobReadyGrads@dese.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ww.voced.edu.au/content/ngv%3A51931" TargetMode="External"/><Relationship Id="rId3" Type="http://schemas.openxmlformats.org/officeDocument/2006/relationships/hyperlink" Target="https://www.chiefscientist.gov.au/2016/03/report-australias-stem-workforce" TargetMode="External"/><Relationship Id="rId7" Type="http://schemas.openxmlformats.org/officeDocument/2006/relationships/hyperlink" Target="http://production-ribit.s3.amazonaws.com/documents/Ribit-Research-Higher-Education-Australia.pdf" TargetMode="External"/><Relationship Id="rId2" Type="http://schemas.openxmlformats.org/officeDocument/2006/relationships/hyperlink" Target="https://www.chiefscientist.gov.au/sites/default/files/OPS12-WIL_web.pdf" TargetMode="External"/><Relationship Id="rId1" Type="http://schemas.openxmlformats.org/officeDocument/2006/relationships/hyperlink" Target="https://www.chiefscientist.gov.au/sites/default/files/STEMstrategy290713FINALweb.pdf" TargetMode="External"/><Relationship Id="rId6" Type="http://schemas.openxmlformats.org/officeDocument/2006/relationships/hyperlink" Target="https://espace.curtin.edu.au/bitstream/handle/20.500.11937/55398/255434.pdf?sequence=2" TargetMode="External"/><Relationship Id="rId5" Type="http://schemas.openxmlformats.org/officeDocument/2006/relationships/hyperlink" Target="http://www.asetonline.org/wp-content/uploads/2014/11/ASET-Good-Practice-Guide-2014.pdf" TargetMode="External"/><Relationship Id="rId10" Type="http://schemas.openxmlformats.org/officeDocument/2006/relationships/hyperlink" Target="https://www.abs.gov.au/AUSSTATS/abs@.nsf/DetailsPage/8165.0June%202015%20to%20June%202019?OpenDocument" TargetMode="External"/><Relationship Id="rId4" Type="http://schemas.openxmlformats.org/officeDocument/2006/relationships/hyperlink" Target="https://www.chiefscientist.gov.au/sites/default/files/STEMstrategy290713FINALweb.pdf" TargetMode="External"/><Relationship Id="rId9" Type="http://schemas.openxmlformats.org/officeDocument/2006/relationships/hyperlink" Target="https://mailchi.mp/4fcf2f2ada80/economic-insight-industry-monitor-update-1165899?e=40b183a3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88E56DB62107479100E901051F1581" ma:contentTypeVersion="15" ma:contentTypeDescription="Create a new document." ma:contentTypeScope="" ma:versionID="4a6f2dfb40fc948062c4b1b66209ca1a">
  <xsd:schema xmlns:xsd="http://www.w3.org/2001/XMLSchema" xmlns:xs="http://www.w3.org/2001/XMLSchema" xmlns:p="http://schemas.microsoft.com/office/2006/metadata/properties" xmlns:ns1="http://schemas.microsoft.com/sharepoint/v3" xmlns:ns3="1da2096a-d69d-4dd7-8423-904a3381ff4a" xmlns:ns4="e6d125c4-7173-4b1b-93c7-fc495897927a" targetNamespace="http://schemas.microsoft.com/office/2006/metadata/properties" ma:root="true" ma:fieldsID="db3b1643b48e7ecf8ef8c0ec0003dc56" ns1:_="" ns3:_="" ns4:_="">
    <xsd:import namespace="http://schemas.microsoft.com/sharepoint/v3"/>
    <xsd:import namespace="1da2096a-d69d-4dd7-8423-904a3381ff4a"/>
    <xsd:import namespace="e6d125c4-7173-4b1b-93c7-fc495897927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2096a-d69d-4dd7-8423-904a3381f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125c4-7173-4b1b-93c7-fc495897927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7F5DF-33D1-4219-842E-306ACE206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a2096a-d69d-4dd7-8423-904a3381ff4a"/>
    <ds:schemaRef ds:uri="e6d125c4-7173-4b1b-93c7-fc4958979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328D505E-F375-4EA0-9D13-0EA9F010F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6818</Words>
  <Characters>38867</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National Priorities and Industry Linkage Fund (NPILF) Consultation Paper</vt:lpstr>
    </vt:vector>
  </TitlesOfParts>
  <Manager/>
  <Company/>
  <LinksUpToDate>false</LinksUpToDate>
  <CharactersWithSpaces>45594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Priorities and Industry Linkage Fund (NPILF) Consultation Paper</dc:title>
  <dc:subject/>
  <dc:creator/>
  <cp:keywords/>
  <dc:description/>
  <cp:lastModifiedBy/>
  <cp:revision>1</cp:revision>
  <dcterms:created xsi:type="dcterms:W3CDTF">2020-11-05T22:23:00Z</dcterms:created>
  <dcterms:modified xsi:type="dcterms:W3CDTF">2020-11-05T22:23:00Z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0x0101007688E56DB62107479100E901051F1581</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