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38A16" w14:textId="77777777" w:rsidR="00A576D7" w:rsidRDefault="006418B0" w:rsidP="00D41791">
      <w:pPr>
        <w:spacing w:after="0" w:line="240" w:lineRule="auto"/>
        <w:sectPr w:rsidR="00A576D7" w:rsidSect="006418B0">
          <w:type w:val="continuous"/>
          <w:pgSz w:w="16838" w:h="11906" w:orient="landscape"/>
          <w:pgMar w:top="0" w:right="0" w:bottom="0" w:left="0" w:header="720" w:footer="720" w:gutter="0"/>
          <w:cols w:space="113"/>
          <w:noEndnote/>
          <w:docGrid w:linePitch="218"/>
        </w:sectPr>
      </w:pPr>
      <w:r>
        <w:rPr>
          <w:noProof/>
          <w:lang w:eastAsia="en-AU"/>
        </w:rPr>
        <w:drawing>
          <wp:inline distT="0" distB="0" distL="0" distR="0" wp14:anchorId="561313F0" wp14:editId="34F0CCC8">
            <wp:extent cx="10692000" cy="1493466"/>
            <wp:effectExtent l="0" t="0" r="0" b="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19-0168 - HE - BEAP infographic_AC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149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521EB" w14:textId="77777777" w:rsidR="00A576D7" w:rsidRPr="007008FD" w:rsidRDefault="00A576D7" w:rsidP="00026266">
      <w:pPr>
        <w:pStyle w:val="Heading1"/>
      </w:pPr>
      <w:bookmarkStart w:id="0" w:name="_GoBack"/>
      <w:r w:rsidRPr="007008FD">
        <w:t xml:space="preserve">Better understanding the impact of health and social factors on student </w:t>
      </w:r>
      <w:r w:rsidRPr="00026266">
        <w:t>completion</w:t>
      </w:r>
    </w:p>
    <w:bookmarkEnd w:id="0"/>
    <w:p w14:paraId="30E3097E" w14:textId="171FE475" w:rsidR="00511DC3" w:rsidRPr="00D41791" w:rsidRDefault="00A576D7" w:rsidP="00D41791">
      <w:pPr>
        <w:spacing w:after="160"/>
      </w:pPr>
      <w:r w:rsidRPr="00D41791">
        <w:t>We combined health, tax, welfare and demographic data with bachelor’s degree student data</w:t>
      </w:r>
      <w:r w:rsidR="00A028F7">
        <w:t>,</w:t>
      </w:r>
      <w:r w:rsidRPr="00D41791">
        <w:t xml:space="preserve"> </w:t>
      </w:r>
      <w:r w:rsidR="00A028F7">
        <w:t xml:space="preserve">and simulated a randomised control trial, </w:t>
      </w:r>
      <w:r w:rsidRPr="00D41791">
        <w:t xml:space="preserve">to show the significant social and health risk factors that prevent Australians from completing their bachelor’s degree studies within six years. </w:t>
      </w:r>
      <w:r w:rsidR="00FF3E70">
        <w:t xml:space="preserve">While institution attended and study load </w:t>
      </w:r>
      <w:r w:rsidR="00A028F7">
        <w:t xml:space="preserve">still </w:t>
      </w:r>
      <w:r w:rsidR="00FF3E70">
        <w:t>ha</w:t>
      </w:r>
      <w:r w:rsidR="00C23F13">
        <w:t>d</w:t>
      </w:r>
      <w:r w:rsidR="00FF3E70">
        <w:t xml:space="preserve"> the largest impact on student completion rates, we were able to unearth new factors that drive student success and predict student completions with 80 per cent accuracy.</w:t>
      </w:r>
    </w:p>
    <w:p w14:paraId="10EFE771" w14:textId="53BF360E" w:rsidR="006218DC" w:rsidRPr="00B11A39" w:rsidRDefault="006218DC" w:rsidP="00026266">
      <w:pPr>
        <w:pStyle w:val="Heading2"/>
      </w:pPr>
      <w:r w:rsidRPr="00B11A39">
        <w:t>Impact o</w:t>
      </w:r>
      <w:r w:rsidR="00445FE6">
        <w:t>n</w:t>
      </w:r>
      <w:r w:rsidRPr="00B11A39">
        <w:t xml:space="preserve"> higher education bachelor completion rate, 2011–2016, all other variables being equal</w:t>
      </w:r>
    </w:p>
    <w:p w14:paraId="5E8E8429" w14:textId="77777777" w:rsidR="006218DC" w:rsidRDefault="006218DC" w:rsidP="00B11A39">
      <w:pPr>
        <w:rPr>
          <w:spacing w:val="-2"/>
        </w:rPr>
        <w:sectPr w:rsidR="006218DC" w:rsidSect="006418B0">
          <w:type w:val="continuous"/>
          <w:pgSz w:w="16838" w:h="11906" w:orient="landscape"/>
          <w:pgMar w:top="0" w:right="454" w:bottom="454" w:left="454" w:header="720" w:footer="720" w:gutter="0"/>
          <w:cols w:space="113"/>
          <w:noEndnote/>
          <w:docGrid w:linePitch="218"/>
        </w:sect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3982"/>
        <w:gridCol w:w="3983"/>
        <w:gridCol w:w="3983"/>
      </w:tblGrid>
      <w:tr w:rsidR="0024663F" w14:paraId="361773D5" w14:textId="77777777" w:rsidTr="00C93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  <w:tblHeader/>
        </w:trPr>
        <w:tc>
          <w:tcPr>
            <w:tcW w:w="3982" w:type="dxa"/>
            <w:shd w:val="clear" w:color="auto" w:fill="D4E5F0"/>
            <w:tcMar>
              <w:bottom w:w="0" w:type="dxa"/>
            </w:tcMar>
          </w:tcPr>
          <w:p w14:paraId="1C70F5E2" w14:textId="32DD2E8E" w:rsidR="00511DC3" w:rsidRPr="00B11A39" w:rsidRDefault="00511DC3" w:rsidP="00026266">
            <w:pPr>
              <w:pStyle w:val="Heading3"/>
            </w:pPr>
            <w:r w:rsidRPr="00B11A39">
              <w:t xml:space="preserve">Work </w:t>
            </w:r>
            <w:r w:rsidRPr="00026266">
              <w:t>and</w:t>
            </w:r>
            <w:r w:rsidRPr="00B11A39">
              <w:t xml:space="preserve"> study</w:t>
            </w:r>
            <w:r w:rsidR="00175A0F">
              <w:t xml:space="preserve"> </w:t>
            </w:r>
            <w:r w:rsidR="00175A0F">
              <w:tab/>
            </w:r>
            <w:r w:rsidR="001D7AF3">
              <w:t>(+13%)</w:t>
            </w:r>
          </w:p>
        </w:tc>
        <w:tc>
          <w:tcPr>
            <w:tcW w:w="3982" w:type="dxa"/>
            <w:shd w:val="clear" w:color="auto" w:fill="F3D4E6"/>
            <w:tcMar>
              <w:bottom w:w="0" w:type="dxa"/>
            </w:tcMar>
          </w:tcPr>
          <w:p w14:paraId="3495A28A" w14:textId="32418972" w:rsidR="00511DC3" w:rsidRPr="00B11A39" w:rsidRDefault="00511DC3" w:rsidP="00026266">
            <w:pPr>
              <w:pStyle w:val="Heading3"/>
            </w:pPr>
            <w:r w:rsidRPr="00B11A39">
              <w:t>Students who receive study assistance</w:t>
            </w:r>
            <w:r w:rsidR="00175A0F">
              <w:tab/>
            </w:r>
            <w:r w:rsidR="001D7AF3">
              <w:t xml:space="preserve"> (+7%)</w:t>
            </w:r>
          </w:p>
        </w:tc>
        <w:tc>
          <w:tcPr>
            <w:tcW w:w="3983" w:type="dxa"/>
            <w:shd w:val="clear" w:color="auto" w:fill="EDEDEE"/>
            <w:tcMar>
              <w:bottom w:w="0" w:type="dxa"/>
            </w:tcMar>
          </w:tcPr>
          <w:p w14:paraId="6B894DE4" w14:textId="66EEA2BE" w:rsidR="00511DC3" w:rsidRPr="00B11A39" w:rsidRDefault="00511DC3" w:rsidP="00026266">
            <w:pPr>
              <w:pStyle w:val="Heading3"/>
              <w:tabs>
                <w:tab w:val="clear" w:pos="3156"/>
                <w:tab w:val="left" w:pos="2703"/>
              </w:tabs>
            </w:pPr>
            <w:r w:rsidRPr="00B11A39">
              <w:t>Gap year</w:t>
            </w:r>
            <w:r w:rsidR="001D7AF3">
              <w:t xml:space="preserve"> </w:t>
            </w:r>
            <w:r w:rsidR="00175A0F">
              <w:tab/>
            </w:r>
            <w:r w:rsidR="001D7AF3">
              <w:t>(no impact)</w:t>
            </w:r>
          </w:p>
        </w:tc>
        <w:tc>
          <w:tcPr>
            <w:tcW w:w="3983" w:type="dxa"/>
            <w:shd w:val="clear" w:color="auto" w:fill="E7F6F9"/>
            <w:tcMar>
              <w:bottom w:w="0" w:type="dxa"/>
            </w:tcMar>
          </w:tcPr>
          <w:p w14:paraId="0D7E01CB" w14:textId="4645BEDF" w:rsidR="00511DC3" w:rsidRPr="00B11A39" w:rsidRDefault="00511DC3" w:rsidP="00026266">
            <w:pPr>
              <w:pStyle w:val="Heading3"/>
              <w:tabs>
                <w:tab w:val="clear" w:pos="3156"/>
                <w:tab w:val="left" w:pos="3249"/>
              </w:tabs>
            </w:pPr>
            <w:r w:rsidRPr="00B11A39">
              <w:t>Students with disability</w:t>
            </w:r>
            <w:r w:rsidR="001D7AF3">
              <w:t xml:space="preserve"> </w:t>
            </w:r>
            <w:r w:rsidR="00175A0F">
              <w:tab/>
            </w:r>
            <w:r w:rsidR="001D7AF3">
              <w:t>(-2%)</w:t>
            </w:r>
          </w:p>
        </w:tc>
      </w:tr>
      <w:tr w:rsidR="0024663F" w14:paraId="6FD74DC4" w14:textId="77777777" w:rsidTr="00C93ECE">
        <w:trPr>
          <w:trHeight w:val="286"/>
        </w:trPr>
        <w:tc>
          <w:tcPr>
            <w:tcW w:w="3982" w:type="dxa"/>
            <w:shd w:val="clear" w:color="auto" w:fill="D4E5F0"/>
            <w:tcMar>
              <w:top w:w="28" w:type="dxa"/>
            </w:tcMar>
          </w:tcPr>
          <w:p w14:paraId="3CC376DD" w14:textId="1A155C8F" w:rsidR="00511DC3" w:rsidRDefault="006218DC" w:rsidP="00B11A39">
            <w:r>
              <w:t>F</w:t>
            </w:r>
            <w:r w:rsidR="00511DC3">
              <w:t xml:space="preserve">ull-time students who worked while studying </w:t>
            </w:r>
            <w:r w:rsidR="00A028F7">
              <w:t>we</w:t>
            </w:r>
            <w:r w:rsidR="00511DC3">
              <w:t>re 13</w:t>
            </w:r>
            <w:r w:rsidR="00890E8D">
              <w:t xml:space="preserve"> percentage points</w:t>
            </w:r>
            <w:r w:rsidR="00511DC3">
              <w:t xml:space="preserve"> more likely to complete. Earning up to $30,000 per year for full-time students </w:t>
            </w:r>
            <w:r w:rsidR="00A028F7">
              <w:t xml:space="preserve">was </w:t>
            </w:r>
            <w:r w:rsidR="00511DC3">
              <w:t>associated with higher completion rates.</w:t>
            </w:r>
          </w:p>
          <w:p w14:paraId="31B3D6E0" w14:textId="77777777" w:rsidR="00511DC3" w:rsidRDefault="00511DC3" w:rsidP="00B11A39">
            <w:r>
              <w:t>80% of students worked while studying.</w:t>
            </w:r>
          </w:p>
        </w:tc>
        <w:tc>
          <w:tcPr>
            <w:tcW w:w="3982" w:type="dxa"/>
            <w:shd w:val="clear" w:color="auto" w:fill="F3D4E6"/>
            <w:tcMar>
              <w:top w:w="28" w:type="dxa"/>
            </w:tcMar>
          </w:tcPr>
          <w:p w14:paraId="5B471A01" w14:textId="6ABDA8D9" w:rsidR="00511DC3" w:rsidRDefault="00A028F7" w:rsidP="00E27CF5">
            <w:r>
              <w:t>Full-time s</w:t>
            </w:r>
            <w:r w:rsidR="00511DC3">
              <w:t>tudents who receive</w:t>
            </w:r>
            <w:r>
              <w:t>d</w:t>
            </w:r>
            <w:r w:rsidR="00511DC3">
              <w:t xml:space="preserve"> study assistance </w:t>
            </w:r>
            <w:r>
              <w:t>we</w:t>
            </w:r>
            <w:r w:rsidR="00511DC3">
              <w:t xml:space="preserve">re </w:t>
            </w:r>
            <w:r w:rsidR="00960D5C">
              <w:t>seven</w:t>
            </w:r>
            <w:r w:rsidR="00890E8D">
              <w:t xml:space="preserve"> percentage points</w:t>
            </w:r>
            <w:r w:rsidR="00511DC3">
              <w:t xml:space="preserve"> more likely to complete. </w:t>
            </w:r>
            <w:r>
              <w:t>This e</w:t>
            </w:r>
            <w:r w:rsidR="00511DC3">
              <w:t>ffect</w:t>
            </w:r>
            <w:r w:rsidR="00E27CF5">
              <w:t xml:space="preserve"> </w:t>
            </w:r>
            <w:r>
              <w:t xml:space="preserve">was </w:t>
            </w:r>
            <w:r w:rsidR="00511DC3">
              <w:t>higher for some students; up to 18 percentage points for full-time students in the 25–29 age bracket, and up to 12 percentage points for students living with disadvantage.</w:t>
            </w:r>
          </w:p>
        </w:tc>
        <w:tc>
          <w:tcPr>
            <w:tcW w:w="3983" w:type="dxa"/>
            <w:shd w:val="clear" w:color="auto" w:fill="EDEDEE"/>
            <w:tcMar>
              <w:top w:w="28" w:type="dxa"/>
            </w:tcMar>
          </w:tcPr>
          <w:p w14:paraId="51BD6EE8" w14:textId="3129C334" w:rsidR="00511DC3" w:rsidRDefault="006218DC" w:rsidP="00B11A39">
            <w:r>
              <w:t xml:space="preserve">There </w:t>
            </w:r>
            <w:r w:rsidR="00A028F7">
              <w:t>was</w:t>
            </w:r>
            <w:r>
              <w:t xml:space="preserve"> no statistically significant difference in the completion rates of students who took a gap-year. These students</w:t>
            </w:r>
            <w:r w:rsidR="00511DC3">
              <w:t xml:space="preserve"> </w:t>
            </w:r>
            <w:r w:rsidR="00A028F7">
              <w:t>were</w:t>
            </w:r>
            <w:r w:rsidR="00511DC3">
              <w:t xml:space="preserve"> </w:t>
            </w:r>
            <w:r>
              <w:t>one</w:t>
            </w:r>
            <w:r w:rsidR="00890E8D">
              <w:t xml:space="preserve"> percentage point</w:t>
            </w:r>
            <w:r w:rsidR="00511DC3">
              <w:t xml:space="preserve"> more likely to complete</w:t>
            </w:r>
            <w:r>
              <w:t xml:space="preserve"> their studies, relative to their peers</w:t>
            </w:r>
            <w:r w:rsidR="00511DC3">
              <w:t>.</w:t>
            </w:r>
          </w:p>
        </w:tc>
        <w:tc>
          <w:tcPr>
            <w:tcW w:w="3983" w:type="dxa"/>
            <w:shd w:val="clear" w:color="auto" w:fill="E7F6F9"/>
            <w:tcMar>
              <w:top w:w="28" w:type="dxa"/>
            </w:tcMar>
          </w:tcPr>
          <w:p w14:paraId="6B548C40" w14:textId="50087A50" w:rsidR="00511DC3" w:rsidRDefault="006218DC" w:rsidP="00B11A39">
            <w:r>
              <w:t>S</w:t>
            </w:r>
            <w:r w:rsidR="00511DC3">
              <w:t xml:space="preserve">tudents </w:t>
            </w:r>
            <w:r>
              <w:t>who live</w:t>
            </w:r>
            <w:r w:rsidR="00A028F7">
              <w:t>d</w:t>
            </w:r>
            <w:r>
              <w:t xml:space="preserve"> with disability </w:t>
            </w:r>
            <w:r w:rsidR="00A028F7">
              <w:t>we</w:t>
            </w:r>
            <w:r w:rsidR="00511DC3">
              <w:t xml:space="preserve">re </w:t>
            </w:r>
            <w:r>
              <w:t>two</w:t>
            </w:r>
            <w:r w:rsidR="00890E8D">
              <w:t xml:space="preserve"> percentage points</w:t>
            </w:r>
            <w:r w:rsidR="00511DC3">
              <w:t xml:space="preserve"> less likely to complete</w:t>
            </w:r>
            <w:r>
              <w:t xml:space="preserve"> once all other factors </w:t>
            </w:r>
            <w:r w:rsidR="00A028F7">
              <w:t>we</w:t>
            </w:r>
            <w:r>
              <w:t xml:space="preserve">re </w:t>
            </w:r>
            <w:proofErr w:type="gramStart"/>
            <w:r>
              <w:t>taken into account</w:t>
            </w:r>
            <w:proofErr w:type="gramEnd"/>
            <w:r w:rsidR="00511DC3">
              <w:t xml:space="preserve">. </w:t>
            </w:r>
          </w:p>
          <w:p w14:paraId="25956884" w14:textId="77777777" w:rsidR="00511DC3" w:rsidRDefault="006218DC" w:rsidP="00B11A39">
            <w:r>
              <w:t>There is a g</w:t>
            </w:r>
            <w:r w:rsidR="00511DC3">
              <w:t>rowing proportion of students</w:t>
            </w:r>
            <w:r>
              <w:t xml:space="preserve"> who</w:t>
            </w:r>
            <w:r w:rsidR="00511DC3">
              <w:t xml:space="preserve"> identify as living with disability.</w:t>
            </w:r>
          </w:p>
        </w:tc>
      </w:tr>
    </w:tbl>
    <w:p w14:paraId="31CF52C9" w14:textId="77777777" w:rsidR="006D4E26" w:rsidRPr="006D4E26" w:rsidRDefault="006D4E26" w:rsidP="00B11A39">
      <w:pPr>
        <w:pStyle w:val="Smallspace"/>
      </w:pPr>
    </w:p>
    <w:p w14:paraId="79A7C926" w14:textId="77777777" w:rsidR="007008FD" w:rsidRDefault="007008FD" w:rsidP="00B11A39">
      <w:pPr>
        <w:rPr>
          <w:b/>
          <w:bCs/>
        </w:rPr>
        <w:sectPr w:rsidR="007008FD" w:rsidSect="006D4E26">
          <w:type w:val="continuous"/>
          <w:pgSz w:w="16838" w:h="11906" w:orient="landscape"/>
          <w:pgMar w:top="0" w:right="454" w:bottom="454" w:left="454" w:header="720" w:footer="720" w:gutter="0"/>
          <w:cols w:space="454"/>
          <w:noEndnote/>
          <w:docGrid w:linePitch="218"/>
        </w:sectPr>
      </w:pPr>
      <w:r>
        <w:rPr>
          <w:b/>
          <w:bCs/>
          <w:noProof/>
          <w:lang w:eastAsia="en-AU"/>
        </w:rPr>
        <w:drawing>
          <wp:inline distT="0" distB="0" distL="0" distR="0" wp14:anchorId="14ECF265" wp14:editId="611BC915">
            <wp:extent cx="10115461" cy="1977390"/>
            <wp:effectExtent l="0" t="0" r="635" b="3810"/>
            <wp:docPr id="13" name="Picture 13" descr="Bar graph using graduation caps, showing percentages stated in the text box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E2_Word-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461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  <w:gridCol w:w="5310"/>
      </w:tblGrid>
      <w:tr w:rsidR="006D4E26" w14:paraId="46737F39" w14:textId="77777777" w:rsidTr="00C93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10" w:type="dxa"/>
            <w:shd w:val="clear" w:color="auto" w:fill="FCE0D3"/>
            <w:tcMar>
              <w:bottom w:w="0" w:type="dxa"/>
            </w:tcMar>
          </w:tcPr>
          <w:p w14:paraId="12A7B694" w14:textId="6E6B052C" w:rsidR="006D4E26" w:rsidRPr="00B11A39" w:rsidRDefault="00B11A39" w:rsidP="00026266">
            <w:pPr>
              <w:pStyle w:val="Heading3"/>
              <w:tabs>
                <w:tab w:val="clear" w:pos="3156"/>
                <w:tab w:val="left" w:pos="4573"/>
              </w:tabs>
            </w:pPr>
            <w:r w:rsidRPr="00B11A39">
              <w:t>Mental Health</w:t>
            </w:r>
            <w:r w:rsidR="001D7AF3">
              <w:t xml:space="preserve"> </w:t>
            </w:r>
            <w:r w:rsidR="00175A0F">
              <w:tab/>
            </w:r>
            <w:r w:rsidR="001D7AF3">
              <w:t>(-9%)</w:t>
            </w:r>
          </w:p>
        </w:tc>
        <w:tc>
          <w:tcPr>
            <w:tcW w:w="5310" w:type="dxa"/>
            <w:shd w:val="clear" w:color="auto" w:fill="CCE6E4"/>
            <w:tcMar>
              <w:bottom w:w="0" w:type="dxa"/>
            </w:tcMar>
          </w:tcPr>
          <w:p w14:paraId="4713FAAC" w14:textId="668584E4" w:rsidR="006D4E26" w:rsidRPr="00B11A39" w:rsidRDefault="00B11A39" w:rsidP="00026266">
            <w:pPr>
              <w:pStyle w:val="Heading3"/>
              <w:tabs>
                <w:tab w:val="clear" w:pos="3156"/>
                <w:tab w:val="left" w:pos="4508"/>
              </w:tabs>
            </w:pPr>
            <w:r w:rsidRPr="00B11A39">
              <w:t>Aboriginal and Torres Strait Islander students</w:t>
            </w:r>
            <w:r w:rsidR="001D7AF3">
              <w:t xml:space="preserve"> </w:t>
            </w:r>
            <w:r w:rsidR="00175A0F">
              <w:tab/>
            </w:r>
            <w:r w:rsidR="001D7AF3">
              <w:t>(-15%)</w:t>
            </w:r>
          </w:p>
        </w:tc>
        <w:tc>
          <w:tcPr>
            <w:tcW w:w="5310" w:type="dxa"/>
            <w:shd w:val="clear" w:color="auto" w:fill="FBEED0"/>
            <w:tcMar>
              <w:bottom w:w="0" w:type="dxa"/>
            </w:tcMar>
          </w:tcPr>
          <w:p w14:paraId="64846715" w14:textId="4893C40E" w:rsidR="006D4E26" w:rsidRPr="00B11A39" w:rsidRDefault="00B11A39" w:rsidP="00026266">
            <w:pPr>
              <w:pStyle w:val="Heading3"/>
              <w:tabs>
                <w:tab w:val="clear" w:pos="3156"/>
                <w:tab w:val="left" w:pos="4584"/>
              </w:tabs>
            </w:pPr>
            <w:r w:rsidRPr="00B11A39">
              <w:t>Multiple equity groups</w:t>
            </w:r>
            <w:r w:rsidR="001D7AF3">
              <w:t xml:space="preserve"> </w:t>
            </w:r>
            <w:r w:rsidR="00175A0F">
              <w:tab/>
            </w:r>
            <w:r w:rsidR="001D7AF3">
              <w:t>(-17%)</w:t>
            </w:r>
          </w:p>
        </w:tc>
      </w:tr>
      <w:tr w:rsidR="006D4E26" w14:paraId="6E855D26" w14:textId="77777777" w:rsidTr="00C93ECE">
        <w:tc>
          <w:tcPr>
            <w:tcW w:w="5310" w:type="dxa"/>
            <w:shd w:val="clear" w:color="auto" w:fill="FCE0D3"/>
            <w:tcMar>
              <w:top w:w="28" w:type="dxa"/>
            </w:tcMar>
          </w:tcPr>
          <w:p w14:paraId="57E48B71" w14:textId="512E8FB3" w:rsidR="00B11A39" w:rsidRDefault="00B11A39" w:rsidP="00B11A39">
            <w:r>
              <w:t xml:space="preserve">All other variables being equal, students </w:t>
            </w:r>
            <w:r w:rsidR="0006386B">
              <w:t xml:space="preserve">accessing mental health services </w:t>
            </w:r>
            <w:r w:rsidR="00A028F7">
              <w:t>we</w:t>
            </w:r>
            <w:r>
              <w:t xml:space="preserve">re </w:t>
            </w:r>
            <w:r w:rsidR="00960D5C">
              <w:t>nine</w:t>
            </w:r>
            <w:r w:rsidR="00890E8D">
              <w:t xml:space="preserve"> percentage points</w:t>
            </w:r>
            <w:r>
              <w:t xml:space="preserve"> less likely to complete. Students with a known mental health condition that </w:t>
            </w:r>
            <w:r w:rsidR="00A028F7">
              <w:t xml:space="preserve">accessed </w:t>
            </w:r>
            <w:r>
              <w:t>mental health services during study ha</w:t>
            </w:r>
            <w:r w:rsidR="00A028F7">
              <w:t>d</w:t>
            </w:r>
            <w:r>
              <w:t xml:space="preserve"> a higher chance of completing their studies.</w:t>
            </w:r>
          </w:p>
          <w:p w14:paraId="75C650CE" w14:textId="7AFB9826" w:rsidR="006D4E26" w:rsidRDefault="00B11A39" w:rsidP="00B11A39">
            <w:r>
              <w:t>30% of students used mental health services</w:t>
            </w:r>
            <w:r w:rsidR="00A028F7">
              <w:t xml:space="preserve"> and this proportion is growing</w:t>
            </w:r>
            <w:r>
              <w:t>.</w:t>
            </w:r>
          </w:p>
        </w:tc>
        <w:tc>
          <w:tcPr>
            <w:tcW w:w="5310" w:type="dxa"/>
            <w:shd w:val="clear" w:color="auto" w:fill="CCE6E4"/>
            <w:tcMar>
              <w:top w:w="28" w:type="dxa"/>
            </w:tcMar>
          </w:tcPr>
          <w:p w14:paraId="5416D81C" w14:textId="5B9FE8E7" w:rsidR="008B18FC" w:rsidRDefault="00B11A39" w:rsidP="00B11A39">
            <w:r>
              <w:t>A</w:t>
            </w:r>
            <w:r w:rsidR="008B18FC">
              <w:t>boriginal and Torres Strait Islander</w:t>
            </w:r>
            <w:r>
              <w:t xml:space="preserve"> students </w:t>
            </w:r>
            <w:r w:rsidR="00A028F7">
              <w:t>we</w:t>
            </w:r>
            <w:r w:rsidR="008B18FC">
              <w:t xml:space="preserve">re on average </w:t>
            </w:r>
            <w:r>
              <w:t>15</w:t>
            </w:r>
            <w:r w:rsidR="00890E8D">
              <w:t xml:space="preserve"> percentage points</w:t>
            </w:r>
            <w:r>
              <w:t xml:space="preserve"> less likely to complete. </w:t>
            </w:r>
            <w:r w:rsidR="008B18FC">
              <w:t>These students also tend</w:t>
            </w:r>
            <w:r w:rsidR="00A028F7">
              <w:t>ed</w:t>
            </w:r>
            <w:r w:rsidR="008B18FC">
              <w:t xml:space="preserve"> to start university at an older age.</w:t>
            </w:r>
          </w:p>
          <w:p w14:paraId="0B6D8BF5" w14:textId="711F94D4" w:rsidR="006D4E26" w:rsidRDefault="008B18FC" w:rsidP="00B11A39">
            <w:r>
              <w:t xml:space="preserve">The </w:t>
            </w:r>
            <w:r w:rsidR="00960D5C">
              <w:t>reduction in</w:t>
            </w:r>
            <w:r w:rsidR="0006386B">
              <w:t xml:space="preserve"> </w:t>
            </w:r>
            <w:r>
              <w:t xml:space="preserve">completion rates </w:t>
            </w:r>
            <w:r w:rsidR="00A028F7">
              <w:t xml:space="preserve">was </w:t>
            </w:r>
            <w:r>
              <w:t xml:space="preserve">mitigated with </w:t>
            </w:r>
            <w:r w:rsidR="0006386B">
              <w:t xml:space="preserve">study assistance, in some cases by </w:t>
            </w:r>
            <w:r>
              <w:t>up to 21 percentage points.</w:t>
            </w:r>
          </w:p>
        </w:tc>
        <w:tc>
          <w:tcPr>
            <w:tcW w:w="5310" w:type="dxa"/>
            <w:shd w:val="clear" w:color="auto" w:fill="FBEED0"/>
            <w:tcMar>
              <w:top w:w="28" w:type="dxa"/>
            </w:tcMar>
          </w:tcPr>
          <w:p w14:paraId="049EEB0F" w14:textId="33DE4B1C" w:rsidR="00B11A39" w:rsidRDefault="008B18FC" w:rsidP="00B11A39">
            <w:r>
              <w:t>Belonging to multiple equity groups reduce</w:t>
            </w:r>
            <w:r w:rsidR="00A028F7">
              <w:t>d</w:t>
            </w:r>
            <w:r>
              <w:t xml:space="preserve"> completion rates on average by 17 percentage points. In some cases</w:t>
            </w:r>
            <w:r w:rsidR="00A028F7">
              <w:t>,</w:t>
            </w:r>
            <w:r>
              <w:t xml:space="preserve"> the reduction </w:t>
            </w:r>
            <w:r w:rsidR="00A028F7">
              <w:t xml:space="preserve">was </w:t>
            </w:r>
            <w:r>
              <w:t>as high as 30 percentage points.</w:t>
            </w:r>
          </w:p>
          <w:p w14:paraId="5FAC42A3" w14:textId="4E5D80A7" w:rsidR="006D4E26" w:rsidRDefault="00B11A39" w:rsidP="00B11A39">
            <w:r>
              <w:t>Income support help</w:t>
            </w:r>
            <w:r w:rsidR="00A028F7">
              <w:t>ed</w:t>
            </w:r>
            <w:r>
              <w:t xml:space="preserve"> overcome these disadvantages, increasing completion rates for students with low </w:t>
            </w:r>
            <w:r w:rsidR="0006386B">
              <w:t xml:space="preserve">Australian Tertiary Admission Ranks </w:t>
            </w:r>
            <w:r>
              <w:t>and/or belonging to multiple equity groups.</w:t>
            </w:r>
          </w:p>
        </w:tc>
      </w:tr>
    </w:tbl>
    <w:p w14:paraId="0D537744" w14:textId="77777777" w:rsidR="006D4E26" w:rsidRPr="006D4E26" w:rsidRDefault="006D4E26" w:rsidP="00D41791">
      <w:pPr>
        <w:pStyle w:val="SourceBody"/>
      </w:pPr>
      <w:r>
        <w:t xml:space="preserve">Source: Multi-Agency Data </w:t>
      </w:r>
      <w:r w:rsidRPr="00D41791">
        <w:t>Integration</w:t>
      </w:r>
      <w:r>
        <w:t xml:space="preserve"> Project (2016)</w:t>
      </w:r>
    </w:p>
    <w:sectPr w:rsidR="006D4E26" w:rsidRPr="006D4E26" w:rsidSect="006D4E26">
      <w:type w:val="continuous"/>
      <w:pgSz w:w="16838" w:h="11906" w:orient="landscape"/>
      <w:pgMar w:top="0" w:right="454" w:bottom="454" w:left="454" w:header="720" w:footer="720" w:gutter="0"/>
      <w:cols w:space="454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6560E" w14:textId="77777777" w:rsidR="006B5B79" w:rsidRDefault="006B5B79" w:rsidP="00CE7A12">
      <w:pPr>
        <w:spacing w:after="0" w:line="240" w:lineRule="auto"/>
      </w:pPr>
      <w:r>
        <w:separator/>
      </w:r>
    </w:p>
  </w:endnote>
  <w:endnote w:type="continuationSeparator" w:id="0">
    <w:p w14:paraId="5E117F4D" w14:textId="77777777" w:rsidR="006B5B79" w:rsidRDefault="006B5B79" w:rsidP="00CE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Com">
    <w:altName w:val="Cambria"/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News Gothic Com Medium">
    <w:altName w:val="Calibri"/>
    <w:charset w:val="00"/>
    <w:family w:val="swiss"/>
    <w:pitch w:val="variable"/>
    <w:sig w:usb0="800000AF" w:usb1="5000204A" w:usb2="00000000" w:usb3="00000000" w:csb0="0000009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3930" w14:textId="77777777" w:rsidR="006B5B79" w:rsidRDefault="006B5B79" w:rsidP="00CE7A12">
      <w:pPr>
        <w:spacing w:after="0" w:line="240" w:lineRule="auto"/>
      </w:pPr>
      <w:r>
        <w:separator/>
      </w:r>
    </w:p>
  </w:footnote>
  <w:footnote w:type="continuationSeparator" w:id="0">
    <w:p w14:paraId="30E2C66D" w14:textId="77777777" w:rsidR="006B5B79" w:rsidRDefault="006B5B79" w:rsidP="00CE7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6C"/>
    <w:rsid w:val="00026266"/>
    <w:rsid w:val="00037637"/>
    <w:rsid w:val="0006386B"/>
    <w:rsid w:val="000B5ED7"/>
    <w:rsid w:val="00175A0F"/>
    <w:rsid w:val="001C49AC"/>
    <w:rsid w:val="001D7AF3"/>
    <w:rsid w:val="0024663F"/>
    <w:rsid w:val="002C54C9"/>
    <w:rsid w:val="002F015A"/>
    <w:rsid w:val="00301D6C"/>
    <w:rsid w:val="00314BF0"/>
    <w:rsid w:val="00351C11"/>
    <w:rsid w:val="004308DC"/>
    <w:rsid w:val="00445FE6"/>
    <w:rsid w:val="00464560"/>
    <w:rsid w:val="0049672E"/>
    <w:rsid w:val="004F07B7"/>
    <w:rsid w:val="00511DC3"/>
    <w:rsid w:val="005A7532"/>
    <w:rsid w:val="005F7E9F"/>
    <w:rsid w:val="006218DC"/>
    <w:rsid w:val="006418B0"/>
    <w:rsid w:val="00677C83"/>
    <w:rsid w:val="006B5B79"/>
    <w:rsid w:val="006D05F8"/>
    <w:rsid w:val="006D4E26"/>
    <w:rsid w:val="007008FD"/>
    <w:rsid w:val="008409DB"/>
    <w:rsid w:val="00890E8D"/>
    <w:rsid w:val="008B18FC"/>
    <w:rsid w:val="008F17F3"/>
    <w:rsid w:val="008F2987"/>
    <w:rsid w:val="00960D5C"/>
    <w:rsid w:val="00A028F7"/>
    <w:rsid w:val="00A5241E"/>
    <w:rsid w:val="00A576D7"/>
    <w:rsid w:val="00B11A39"/>
    <w:rsid w:val="00B4278D"/>
    <w:rsid w:val="00C23F13"/>
    <w:rsid w:val="00C93ECE"/>
    <w:rsid w:val="00CA1228"/>
    <w:rsid w:val="00CE7A12"/>
    <w:rsid w:val="00D41791"/>
    <w:rsid w:val="00DD46D8"/>
    <w:rsid w:val="00DD6013"/>
    <w:rsid w:val="00E27CF5"/>
    <w:rsid w:val="00F118DB"/>
    <w:rsid w:val="00FE3AC2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E6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1791"/>
    <w:pPr>
      <w:spacing w:after="40" w:line="230" w:lineRule="atLeast"/>
    </w:pPr>
    <w:rPr>
      <w:sz w:val="18"/>
    </w:rPr>
  </w:style>
  <w:style w:type="paragraph" w:styleId="Heading1">
    <w:name w:val="heading 1"/>
    <w:basedOn w:val="H1"/>
    <w:next w:val="Normal"/>
    <w:link w:val="Heading1Char"/>
    <w:uiPriority w:val="9"/>
    <w:qFormat/>
    <w:rsid w:val="00026266"/>
    <w:pPr>
      <w:spacing w:line="24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266"/>
    <w:pPr>
      <w:spacing w:after="60"/>
      <w:outlineLvl w:val="1"/>
    </w:pPr>
    <w:rPr>
      <w:b/>
      <w:bCs/>
      <w:color w:val="002D3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266"/>
    <w:pPr>
      <w:tabs>
        <w:tab w:val="left" w:pos="3156"/>
      </w:tabs>
      <w:outlineLvl w:val="2"/>
    </w:pPr>
    <w:rPr>
      <w:color w:val="002D3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Headings">
    <w:name w:val="H1 (Headings)"/>
    <w:basedOn w:val="Normal"/>
    <w:uiPriority w:val="99"/>
    <w:rsid w:val="00B11A39"/>
    <w:pPr>
      <w:framePr w:wrap="notBeside" w:vAnchor="text" w:hAnchor="text" w:y="1"/>
      <w:suppressAutoHyphens/>
      <w:autoSpaceDE w:val="0"/>
      <w:autoSpaceDN w:val="0"/>
      <w:adjustRightInd w:val="0"/>
      <w:spacing w:after="80" w:line="340" w:lineRule="atLeast"/>
      <w:textAlignment w:val="center"/>
    </w:pPr>
    <w:rPr>
      <w:rFonts w:ascii="Calibri" w:hAnsi="Calibri" w:cs="News Gothic Com"/>
      <w:b/>
      <w:bCs/>
      <w:color w:val="002D3F"/>
      <w:sz w:val="30"/>
      <w:szCs w:val="38"/>
      <w:lang w:val="en-GB"/>
    </w:rPr>
  </w:style>
  <w:style w:type="paragraph" w:customStyle="1" w:styleId="Bodywithbox">
    <w:name w:val="Body with box"/>
    <w:basedOn w:val="Normal"/>
    <w:uiPriority w:val="99"/>
    <w:rsid w:val="00511DC3"/>
    <w:pPr>
      <w:pBdr>
        <w:top w:val="single" w:sz="8" w:space="5" w:color="EBEDF6"/>
        <w:left w:val="single" w:sz="8" w:space="4" w:color="EBEDF6"/>
        <w:bottom w:val="single" w:sz="8" w:space="0" w:color="EBEDF6"/>
        <w:right w:val="single" w:sz="8" w:space="4" w:color="EBEDF6"/>
      </w:pBdr>
      <w:shd w:val="clear" w:color="EBEDF6" w:fill="EBEDF6"/>
      <w:tabs>
        <w:tab w:val="left" w:pos="17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Calibri" w:hAnsi="Calibri" w:cs="News Gothic Com Light"/>
      <w:color w:val="000000"/>
      <w:szCs w:val="18"/>
      <w:lang w:val="en-GB"/>
    </w:rPr>
  </w:style>
  <w:style w:type="paragraph" w:customStyle="1" w:styleId="H2Headings">
    <w:name w:val="H2 (Headings)"/>
    <w:basedOn w:val="Bodywithbox"/>
    <w:uiPriority w:val="99"/>
    <w:rsid w:val="00F118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line="240" w:lineRule="auto"/>
    </w:pPr>
    <w:rPr>
      <w:rFonts w:cs="News Gothic Com Medium"/>
      <w:b/>
      <w:caps/>
      <w:color w:val="404A9A"/>
      <w:sz w:val="17"/>
      <w:szCs w:val="19"/>
    </w:rPr>
  </w:style>
  <w:style w:type="paragraph" w:customStyle="1" w:styleId="Iconbody">
    <w:name w:val="Icon body"/>
    <w:basedOn w:val="Bodywithbox"/>
    <w:qFormat/>
    <w:rsid w:val="000376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EBEDF6" w:fill="auto"/>
      <w:spacing w:line="240" w:lineRule="auto"/>
    </w:pPr>
    <w:rPr>
      <w:rFonts w:cs="Wingdings 3"/>
      <w:sz w:val="17"/>
    </w:rPr>
  </w:style>
  <w:style w:type="paragraph" w:customStyle="1" w:styleId="Iconspace">
    <w:name w:val="Icon space"/>
    <w:basedOn w:val="Normal"/>
    <w:qFormat/>
    <w:rsid w:val="00351C11"/>
    <w:pPr>
      <w:jc w:val="center"/>
    </w:pPr>
  </w:style>
  <w:style w:type="paragraph" w:customStyle="1" w:styleId="linespace">
    <w:name w:val="line space"/>
    <w:basedOn w:val="Normal"/>
    <w:qFormat/>
    <w:rsid w:val="00037637"/>
    <w:pPr>
      <w:spacing w:before="80"/>
      <w:jc w:val="center"/>
    </w:pPr>
  </w:style>
  <w:style w:type="paragraph" w:customStyle="1" w:styleId="H2normalcaseHeadings">
    <w:name w:val="H2 normal case (Headings)"/>
    <w:basedOn w:val="H2Headings"/>
    <w:uiPriority w:val="99"/>
    <w:rsid w:val="00037637"/>
    <w:pPr>
      <w:spacing w:after="0"/>
    </w:pPr>
    <w:rPr>
      <w:caps w:val="0"/>
    </w:rPr>
  </w:style>
  <w:style w:type="paragraph" w:customStyle="1" w:styleId="SourceBody">
    <w:name w:val="Source (Body)"/>
    <w:basedOn w:val="Bodywithbox"/>
    <w:uiPriority w:val="99"/>
    <w:rsid w:val="00D41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50" w:lineRule="atLeast"/>
    </w:pPr>
    <w:rPr>
      <w:rFonts w:asciiTheme="minorHAnsi" w:hAnsiTheme="minorHAnsi"/>
      <w:sz w:val="14"/>
      <w:szCs w:val="12"/>
    </w:rPr>
  </w:style>
  <w:style w:type="character" w:styleId="Hyperlink">
    <w:name w:val="Hyperlink"/>
    <w:basedOn w:val="DefaultParagraphFont"/>
    <w:uiPriority w:val="99"/>
    <w:rsid w:val="00F118DB"/>
    <w:rPr>
      <w:color w:val="404A9A"/>
      <w:u w:val="single"/>
    </w:rPr>
  </w:style>
  <w:style w:type="paragraph" w:customStyle="1" w:styleId="lastline">
    <w:name w:val="last line"/>
    <w:basedOn w:val="Normal"/>
    <w:qFormat/>
    <w:rsid w:val="00F118DB"/>
    <w:pPr>
      <w:tabs>
        <w:tab w:val="left" w:pos="170"/>
      </w:tabs>
      <w:suppressAutoHyphens/>
      <w:autoSpaceDE w:val="0"/>
      <w:autoSpaceDN w:val="0"/>
      <w:adjustRightInd w:val="0"/>
      <w:spacing w:before="360" w:line="240" w:lineRule="auto"/>
      <w:jc w:val="center"/>
      <w:textAlignment w:val="center"/>
    </w:pPr>
    <w:rPr>
      <w:rFonts w:ascii="News Gothic Com" w:hAnsi="News Gothic Com" w:cs="News Gothic Com"/>
      <w:b/>
      <w:bCs/>
      <w:color w:val="404A9A"/>
      <w:szCs w:val="18"/>
      <w:lang w:val="en-GB"/>
    </w:rPr>
  </w:style>
  <w:style w:type="paragraph" w:customStyle="1" w:styleId="H1">
    <w:name w:val="H1"/>
    <w:basedOn w:val="Normal"/>
    <w:uiPriority w:val="99"/>
    <w:rsid w:val="006418B0"/>
    <w:pPr>
      <w:suppressAutoHyphens/>
      <w:autoSpaceDE w:val="0"/>
      <w:autoSpaceDN w:val="0"/>
      <w:adjustRightInd w:val="0"/>
      <w:spacing w:after="80" w:line="360" w:lineRule="atLeast"/>
      <w:textAlignment w:val="center"/>
    </w:pPr>
    <w:rPr>
      <w:rFonts w:ascii="Calibri" w:hAnsi="Calibri" w:cs="Calibri"/>
      <w:b/>
      <w:bCs/>
      <w:color w:val="002D3F"/>
      <w:sz w:val="30"/>
      <w:szCs w:val="30"/>
      <w:lang w:val="en-US"/>
    </w:rPr>
  </w:style>
  <w:style w:type="paragraph" w:customStyle="1" w:styleId="BasicParagraph">
    <w:name w:val="[Basic Paragraph]"/>
    <w:basedOn w:val="Normal"/>
    <w:uiPriority w:val="99"/>
    <w:rsid w:val="00A576D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source">
    <w:name w:val="source"/>
    <w:basedOn w:val="Normal"/>
    <w:qFormat/>
    <w:rsid w:val="00B11A39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Calibri" w:hAnsi="Calibri" w:cs="Calibri"/>
      <w:color w:val="000000"/>
      <w:szCs w:val="16"/>
      <w:lang w:val="en-US"/>
    </w:rPr>
  </w:style>
  <w:style w:type="paragraph" w:customStyle="1" w:styleId="Bodyboxcolbreak">
    <w:name w:val="Body box col break"/>
    <w:basedOn w:val="Bodywithbox"/>
    <w:qFormat/>
    <w:rsid w:val="00511DC3"/>
    <w:pPr>
      <w:spacing w:before="40"/>
    </w:pPr>
  </w:style>
  <w:style w:type="table" w:styleId="TableGrid">
    <w:name w:val="Table Grid"/>
    <w:basedOn w:val="TableNormal"/>
    <w:uiPriority w:val="39"/>
    <w:rsid w:val="006418B0"/>
    <w:pPr>
      <w:spacing w:after="0" w:line="240" w:lineRule="auto"/>
    </w:pPr>
    <w:rPr>
      <w:sz w:val="18"/>
    </w:rPr>
    <w:tblPr>
      <w:tblBorders>
        <w:insideV w:val="single" w:sz="24" w:space="0" w:color="FFFFFF" w:themeColor="background1"/>
      </w:tblBorders>
    </w:tblPr>
    <w:tcPr>
      <w:shd w:val="clear" w:color="auto" w:fill="E7E6E6" w:themeFill="background2"/>
      <w:tcMar>
        <w:top w:w="102" w:type="dxa"/>
        <w:bottom w:w="102" w:type="dxa"/>
      </w:tcMar>
    </w:tcPr>
    <w:tblStylePr w:type="firstRow">
      <w:rPr>
        <w:rFonts w:asciiTheme="minorHAnsi" w:hAnsiTheme="minorHAnsi"/>
        <w:b/>
        <w:sz w:val="18"/>
      </w:rPr>
    </w:tblStylePr>
  </w:style>
  <w:style w:type="paragraph" w:customStyle="1" w:styleId="Smallspace">
    <w:name w:val="Small space"/>
    <w:basedOn w:val="Normal"/>
    <w:qFormat/>
    <w:rsid w:val="00D41791"/>
    <w:pPr>
      <w:suppressAutoHyphens/>
      <w:autoSpaceDE w:val="0"/>
      <w:autoSpaceDN w:val="0"/>
      <w:adjustRightInd w:val="0"/>
      <w:spacing w:line="360" w:lineRule="auto"/>
      <w:textAlignment w:val="center"/>
    </w:pPr>
    <w:rPr>
      <w:rFonts w:ascii="Calibri" w:hAnsi="Calibri" w:cs="Calibri"/>
      <w:color w:val="000000"/>
      <w:sz w:val="4"/>
      <w:szCs w:val="18"/>
      <w:lang w:val="en-US"/>
    </w:rPr>
  </w:style>
  <w:style w:type="table" w:styleId="TableGridLight">
    <w:name w:val="Grid Table Light"/>
    <w:basedOn w:val="TableNormal"/>
    <w:uiPriority w:val="40"/>
    <w:rsid w:val="00B11A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CF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7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CF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7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A12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CE7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A12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266"/>
    <w:rPr>
      <w:rFonts w:ascii="Calibri" w:hAnsi="Calibri" w:cs="Calibri"/>
      <w:b/>
      <w:bCs/>
      <w:color w:val="002D3F"/>
      <w:sz w:val="30"/>
      <w:szCs w:val="3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26266"/>
    <w:rPr>
      <w:b/>
      <w:bCs/>
      <w:color w:val="002D3F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26266"/>
    <w:rPr>
      <w:color w:val="002D3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DF13-10DC-4FD9-8596-7A40DD67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understanding the impact of health and social factors on student completion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understanding the impact of health and social factors on student completion</dc:title>
  <dc:subject/>
  <dc:creator/>
  <cp:keywords/>
  <dc:description/>
  <cp:lastModifiedBy/>
  <cp:revision>1</cp:revision>
  <dcterms:created xsi:type="dcterms:W3CDTF">2020-09-28T02:11:00Z</dcterms:created>
  <dcterms:modified xsi:type="dcterms:W3CDTF">2020-09-28T02:14:00Z</dcterms:modified>
</cp:coreProperties>
</file>