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24F9F" w14:textId="598256A1" w:rsidR="00991DEB" w:rsidRPr="002426BD" w:rsidRDefault="00E8540E" w:rsidP="002426BD">
      <w:pPr>
        <w:spacing w:after="0" w:line="240" w:lineRule="auto"/>
        <w:rPr>
          <w:rFonts w:ascii="Tw Cen MT" w:hAnsi="Tw Cen MT"/>
          <w:b/>
          <w:bCs/>
        </w:rPr>
      </w:pPr>
      <w:r w:rsidRPr="00A857A0">
        <w:rPr>
          <w:i/>
          <w:noProof/>
          <w:color w:val="FF0000"/>
          <w:shd w:val="clear" w:color="auto" w:fill="E6E6E6"/>
        </w:rPr>
        <w:drawing>
          <wp:anchor distT="0" distB="0" distL="114300" distR="114300" simplePos="0" relativeHeight="251659264" behindDoc="1" locked="0" layoutInCell="1" allowOverlap="1" wp14:anchorId="2C47B2BF" wp14:editId="3F9C339C">
            <wp:simplePos x="0" y="0"/>
            <wp:positionH relativeFrom="margin">
              <wp:posOffset>7515225</wp:posOffset>
            </wp:positionH>
            <wp:positionV relativeFrom="paragraph">
              <wp:posOffset>0</wp:posOffset>
            </wp:positionV>
            <wp:extent cx="1595755" cy="571500"/>
            <wp:effectExtent l="0" t="0" r="4445" b="0"/>
            <wp:wrapSquare wrapText="bothSides"/>
            <wp:docPr id="1" name="Picture 1" descr="P:\ELECTIONS\2 Academic Board\2017 Election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LECTIONS\2 Academic Board\2017 Elections\Log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368" t="17857" r="6904" b="17411"/>
                    <a:stretch/>
                  </pic:blipFill>
                  <pic:spPr bwMode="auto">
                    <a:xfrm>
                      <a:off x="0" y="0"/>
                      <a:ext cx="1595755"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26BD" w:rsidRPr="002426BD">
        <w:rPr>
          <w:rFonts w:ascii="Tw Cen MT" w:hAnsi="Tw Cen MT"/>
          <w:b/>
          <w:bCs/>
        </w:rPr>
        <w:t>Access and Participation Plan 2020</w:t>
      </w:r>
    </w:p>
    <w:p w14:paraId="4BAA325B" w14:textId="300F6429" w:rsidR="002426BD" w:rsidRDefault="002426BD" w:rsidP="002426BD">
      <w:pPr>
        <w:spacing w:after="0" w:line="240" w:lineRule="auto"/>
        <w:rPr>
          <w:rFonts w:ascii="Tw Cen MT" w:hAnsi="Tw Cen MT"/>
        </w:rPr>
      </w:pPr>
    </w:p>
    <w:p w14:paraId="44717D3F" w14:textId="0C34FC5A" w:rsidR="002426BD" w:rsidRDefault="002426BD" w:rsidP="002426BD">
      <w:pPr>
        <w:spacing w:after="0" w:line="240" w:lineRule="auto"/>
        <w:rPr>
          <w:rFonts w:ascii="Tw Cen MT" w:hAnsi="Tw Cen MT"/>
        </w:rPr>
      </w:pPr>
      <w:r>
        <w:rPr>
          <w:rFonts w:ascii="Tw Cen MT" w:hAnsi="Tw Cen MT"/>
        </w:rPr>
        <w:t>“At the University of Sydney, we believe that the brightest and most promising students, regardless of their cultural or social background, can thrive and realise their potential through higher education.”</w:t>
      </w:r>
    </w:p>
    <w:p w14:paraId="67C1BDD1" w14:textId="45BA06F6" w:rsidR="002426BD" w:rsidRDefault="002426BD" w:rsidP="002426BD">
      <w:pPr>
        <w:spacing w:after="0" w:line="240" w:lineRule="auto"/>
        <w:rPr>
          <w:rFonts w:ascii="Tw Cen MT" w:hAnsi="Tw Cen MT"/>
          <w:i/>
          <w:iCs/>
        </w:rPr>
      </w:pPr>
      <w:r>
        <w:rPr>
          <w:rFonts w:ascii="Tw Cen MT" w:hAnsi="Tw Cen MT"/>
          <w:i/>
          <w:iCs/>
        </w:rPr>
        <w:t>The University of Sydney Strategic Plan 2016-2020</w:t>
      </w:r>
    </w:p>
    <w:p w14:paraId="0CA9F279" w14:textId="5B5AB249" w:rsidR="002426BD" w:rsidRDefault="002426BD" w:rsidP="002426BD">
      <w:pPr>
        <w:spacing w:after="0" w:line="240" w:lineRule="auto"/>
        <w:rPr>
          <w:rFonts w:ascii="Tw Cen MT" w:hAnsi="Tw Cen MT"/>
          <w:i/>
          <w:iCs/>
        </w:rPr>
      </w:pPr>
    </w:p>
    <w:p w14:paraId="41768392" w14:textId="36EA1055" w:rsidR="002426BD" w:rsidRDefault="002426BD" w:rsidP="002426BD">
      <w:pPr>
        <w:spacing w:after="0" w:line="240" w:lineRule="auto"/>
        <w:rPr>
          <w:rFonts w:ascii="Tw Cen MT" w:hAnsi="Tw Cen MT"/>
        </w:rPr>
      </w:pPr>
      <w:r>
        <w:rPr>
          <w:rFonts w:ascii="Tw Cen MT" w:hAnsi="Tw Cen MT"/>
        </w:rPr>
        <w:t xml:space="preserve">The University of Sydney’s Access and Participation Plan 2020 outlines the University’s strategic and practical commitment to increasing access to and participation in higher education for people from traditionally underrepresented backgrounds.   </w:t>
      </w:r>
    </w:p>
    <w:p w14:paraId="4C81502B" w14:textId="17ED5073" w:rsidR="002426BD" w:rsidRDefault="002426BD" w:rsidP="002426BD">
      <w:pPr>
        <w:spacing w:after="0" w:line="240" w:lineRule="auto"/>
        <w:rPr>
          <w:rFonts w:ascii="Tw Cen MT" w:hAnsi="Tw Cen MT"/>
        </w:rPr>
      </w:pPr>
    </w:p>
    <w:p w14:paraId="0634028E" w14:textId="43422BCC" w:rsidR="002426BD" w:rsidRDefault="002426BD" w:rsidP="002426BD">
      <w:pPr>
        <w:spacing w:after="0" w:line="240" w:lineRule="auto"/>
        <w:rPr>
          <w:rFonts w:ascii="Tw Cen MT" w:hAnsi="Tw Cen MT"/>
        </w:rPr>
      </w:pPr>
      <w:r>
        <w:rPr>
          <w:rFonts w:ascii="Tw Cen MT" w:hAnsi="Tw Cen MT"/>
        </w:rPr>
        <w:t>The Plan draws upon the collective work of Widening Participation and Outreach (Sydney Future Students),</w:t>
      </w:r>
      <w:r w:rsidR="0006253A">
        <w:rPr>
          <w:rFonts w:ascii="Tw Cen MT" w:hAnsi="Tw Cen MT"/>
        </w:rPr>
        <w:t xml:space="preserve"> Domestic Recruitment (Sydney Future Students), </w:t>
      </w:r>
      <w:r>
        <w:rPr>
          <w:rFonts w:ascii="Tw Cen MT" w:hAnsi="Tw Cen MT"/>
        </w:rPr>
        <w:t xml:space="preserve">Pro Vice-Chancellor Student Life (DVC Education), the Pro Vice-Chancellor Educational Innovation (DVC Education) and significant collaboration with Indigenous Strategy and Services. </w:t>
      </w:r>
    </w:p>
    <w:p w14:paraId="49E2DEA1" w14:textId="3C328173" w:rsidR="002426BD" w:rsidRDefault="002426BD" w:rsidP="002426BD">
      <w:pPr>
        <w:spacing w:after="0" w:line="240" w:lineRule="auto"/>
        <w:rPr>
          <w:rFonts w:ascii="Tw Cen MT" w:hAnsi="Tw Cen MT"/>
        </w:rPr>
      </w:pPr>
    </w:p>
    <w:p w14:paraId="789CFF0D" w14:textId="52EB593A" w:rsidR="002426BD" w:rsidRDefault="002426BD" w:rsidP="002426BD">
      <w:pPr>
        <w:spacing w:after="0" w:line="240" w:lineRule="auto"/>
        <w:rPr>
          <w:rFonts w:ascii="Tw Cen MT" w:hAnsi="Tw Cen MT"/>
        </w:rPr>
      </w:pPr>
      <w:r>
        <w:rPr>
          <w:rFonts w:ascii="Tw Cen MT" w:hAnsi="Tw Cen MT"/>
        </w:rPr>
        <w:t>Underpinning this collaborative work is a commitment in 2020 to:</w:t>
      </w:r>
    </w:p>
    <w:p w14:paraId="29CADA37" w14:textId="0EBD85F5" w:rsidR="002426BD" w:rsidRPr="00A1717B" w:rsidRDefault="00A1717B" w:rsidP="00A1717B">
      <w:pPr>
        <w:pStyle w:val="ListParagraph"/>
        <w:numPr>
          <w:ilvl w:val="0"/>
          <w:numId w:val="1"/>
        </w:numPr>
        <w:spacing w:after="0" w:line="240" w:lineRule="auto"/>
        <w:rPr>
          <w:rFonts w:ascii="Tw Cen MT" w:hAnsi="Tw Cen MT"/>
        </w:rPr>
      </w:pPr>
      <w:r w:rsidRPr="00A1717B">
        <w:rPr>
          <w:rFonts w:ascii="Tw Cen MT" w:hAnsi="Tw Cen MT"/>
        </w:rPr>
        <w:t>Alignment of access and participation initiatives with institutional strategy</w:t>
      </w:r>
      <w:r>
        <w:rPr>
          <w:rFonts w:ascii="Tw Cen MT" w:hAnsi="Tw Cen MT"/>
        </w:rPr>
        <w:t>;</w:t>
      </w:r>
    </w:p>
    <w:p w14:paraId="6E20E2C4" w14:textId="17C8B723" w:rsidR="00A1717B" w:rsidRPr="00A1717B" w:rsidRDefault="00A1717B" w:rsidP="00A1717B">
      <w:pPr>
        <w:pStyle w:val="ListParagraph"/>
        <w:numPr>
          <w:ilvl w:val="0"/>
          <w:numId w:val="1"/>
        </w:numPr>
        <w:spacing w:after="0" w:line="240" w:lineRule="auto"/>
        <w:rPr>
          <w:rFonts w:ascii="Tw Cen MT" w:hAnsi="Tw Cen MT"/>
        </w:rPr>
      </w:pPr>
      <w:r w:rsidRPr="00A1717B">
        <w:rPr>
          <w:rFonts w:ascii="Tw Cen MT" w:hAnsi="Tw Cen MT"/>
        </w:rPr>
        <w:t>Development of cohesive cross-institutional widening participation strategy and cohesive offerings</w:t>
      </w:r>
      <w:r>
        <w:rPr>
          <w:rFonts w:ascii="Tw Cen MT" w:hAnsi="Tw Cen MT"/>
        </w:rPr>
        <w:t>;</w:t>
      </w:r>
    </w:p>
    <w:p w14:paraId="69D37EB9" w14:textId="0D4EBCCF" w:rsidR="00A1717B" w:rsidRPr="00A1717B" w:rsidRDefault="00A1717B" w:rsidP="00A1717B">
      <w:pPr>
        <w:pStyle w:val="ListParagraph"/>
        <w:numPr>
          <w:ilvl w:val="0"/>
          <w:numId w:val="1"/>
        </w:numPr>
        <w:spacing w:after="0" w:line="240" w:lineRule="auto"/>
        <w:rPr>
          <w:rFonts w:ascii="Tw Cen MT" w:hAnsi="Tw Cen MT"/>
        </w:rPr>
      </w:pPr>
      <w:r w:rsidRPr="00A1717B">
        <w:rPr>
          <w:rFonts w:ascii="Tw Cen MT" w:hAnsi="Tw Cen MT"/>
        </w:rPr>
        <w:t>Review of impact measurement ensuring transition and success data is captured and evaluated</w:t>
      </w:r>
      <w:r>
        <w:rPr>
          <w:rFonts w:ascii="Tw Cen MT" w:hAnsi="Tw Cen MT"/>
        </w:rPr>
        <w:t>; and</w:t>
      </w:r>
    </w:p>
    <w:p w14:paraId="3D2E97BA" w14:textId="6FE8F3C9" w:rsidR="00A1717B" w:rsidRDefault="00A1717B" w:rsidP="00A1717B">
      <w:pPr>
        <w:pStyle w:val="ListParagraph"/>
        <w:numPr>
          <w:ilvl w:val="0"/>
          <w:numId w:val="1"/>
        </w:numPr>
        <w:spacing w:after="0" w:line="240" w:lineRule="auto"/>
        <w:rPr>
          <w:rFonts w:ascii="Tw Cen MT" w:hAnsi="Tw Cen MT"/>
        </w:rPr>
      </w:pPr>
      <w:r w:rsidRPr="26F19A40">
        <w:rPr>
          <w:rFonts w:ascii="Tw Cen MT" w:hAnsi="Tw Cen MT"/>
        </w:rPr>
        <w:t xml:space="preserve">Development and trial of initiatives that </w:t>
      </w:r>
      <w:r w:rsidR="660D38F2" w:rsidRPr="26F19A40">
        <w:rPr>
          <w:rFonts w:ascii="Tw Cen MT" w:hAnsi="Tw Cen MT"/>
        </w:rPr>
        <w:t xml:space="preserve">offer </w:t>
      </w:r>
      <w:r w:rsidRPr="26F19A40">
        <w:rPr>
          <w:rFonts w:ascii="Tw Cen MT" w:hAnsi="Tw Cen MT"/>
        </w:rPr>
        <w:t xml:space="preserve">underrepresented students an opportunity to have their involvement in the University’s widening participation schemes formally recognised as part of their application to enrol.   </w:t>
      </w:r>
    </w:p>
    <w:p w14:paraId="0BF33EA2" w14:textId="77777777" w:rsidR="00875DA6" w:rsidRDefault="00875DA6">
      <w:pPr>
        <w:rPr>
          <w:rFonts w:ascii="Tw Cen MT" w:hAnsi="Tw Cen MT"/>
          <w:b/>
          <w:bCs/>
        </w:rPr>
      </w:pPr>
    </w:p>
    <w:p w14:paraId="13B0A7AA" w14:textId="19BD3DA9" w:rsidR="00607FDF" w:rsidRPr="00595335" w:rsidRDefault="00607FDF">
      <w:pPr>
        <w:rPr>
          <w:rFonts w:ascii="Tw Cen MT" w:hAnsi="Tw Cen MT"/>
          <w:b/>
          <w:bCs/>
        </w:rPr>
      </w:pPr>
      <w:r w:rsidRPr="00595335">
        <w:rPr>
          <w:rFonts w:ascii="Tw Cen MT" w:hAnsi="Tw Cen MT"/>
          <w:b/>
          <w:bCs/>
        </w:rPr>
        <w:t>Partnerships and Collaboration</w:t>
      </w:r>
    </w:p>
    <w:p w14:paraId="7FD2CE13" w14:textId="77777777" w:rsidR="00607FDF" w:rsidRDefault="00607FDF">
      <w:pPr>
        <w:rPr>
          <w:rFonts w:ascii="Tw Cen MT" w:hAnsi="Tw Cen MT"/>
        </w:rPr>
      </w:pPr>
      <w:r>
        <w:rPr>
          <w:rFonts w:ascii="Tw Cen MT" w:hAnsi="Tw Cen MT"/>
        </w:rPr>
        <w:t>To achieve the outcomes set out in the Access and Participation Plan, the following stakeholders will be engaged:</w:t>
      </w:r>
    </w:p>
    <w:tbl>
      <w:tblPr>
        <w:tblStyle w:val="TableGrid"/>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3988"/>
        <w:gridCol w:w="3658"/>
        <w:gridCol w:w="2977"/>
      </w:tblGrid>
      <w:tr w:rsidR="00595335" w14:paraId="49B0836F" w14:textId="4FBC5EEE" w:rsidTr="00875DA6">
        <w:tc>
          <w:tcPr>
            <w:tcW w:w="3973" w:type="dxa"/>
          </w:tcPr>
          <w:p w14:paraId="3B0F36E1" w14:textId="1FE856BB" w:rsidR="00595335" w:rsidRPr="00595335" w:rsidRDefault="00595335" w:rsidP="00595335">
            <w:pPr>
              <w:rPr>
                <w:rFonts w:ascii="Tw Cen MT" w:hAnsi="Tw Cen MT"/>
                <w:b/>
                <w:bCs/>
              </w:rPr>
            </w:pPr>
            <w:r w:rsidRPr="00595335">
              <w:rPr>
                <w:rFonts w:ascii="Tw Cen MT" w:hAnsi="Tw Cen MT"/>
                <w:b/>
                <w:bCs/>
              </w:rPr>
              <w:t>University of Sydney</w:t>
            </w:r>
          </w:p>
        </w:tc>
        <w:tc>
          <w:tcPr>
            <w:tcW w:w="3988" w:type="dxa"/>
          </w:tcPr>
          <w:p w14:paraId="51B93845" w14:textId="3BC321E6" w:rsidR="00595335" w:rsidRDefault="00595335" w:rsidP="00595335">
            <w:pPr>
              <w:rPr>
                <w:rFonts w:ascii="Tw Cen MT" w:hAnsi="Tw Cen MT"/>
              </w:rPr>
            </w:pPr>
          </w:p>
        </w:tc>
        <w:tc>
          <w:tcPr>
            <w:tcW w:w="3658" w:type="dxa"/>
          </w:tcPr>
          <w:p w14:paraId="0892B6BE" w14:textId="52D64ABB" w:rsidR="00595335" w:rsidRPr="00595335" w:rsidRDefault="00595335" w:rsidP="00595335">
            <w:pPr>
              <w:rPr>
                <w:rFonts w:ascii="Tw Cen MT" w:hAnsi="Tw Cen MT"/>
                <w:b/>
                <w:bCs/>
              </w:rPr>
            </w:pPr>
            <w:r w:rsidRPr="00595335">
              <w:rPr>
                <w:rFonts w:ascii="Tw Cen MT" w:hAnsi="Tw Cen MT"/>
                <w:b/>
                <w:bCs/>
              </w:rPr>
              <w:t>External Stakeholders</w:t>
            </w:r>
          </w:p>
        </w:tc>
        <w:tc>
          <w:tcPr>
            <w:tcW w:w="2977" w:type="dxa"/>
          </w:tcPr>
          <w:p w14:paraId="7F79482C" w14:textId="77777777" w:rsidR="00595335" w:rsidRDefault="00595335" w:rsidP="00595335">
            <w:pPr>
              <w:rPr>
                <w:rFonts w:ascii="Tw Cen MT" w:hAnsi="Tw Cen MT"/>
              </w:rPr>
            </w:pPr>
          </w:p>
        </w:tc>
      </w:tr>
      <w:tr w:rsidR="00595335" w14:paraId="780A4954" w14:textId="6AD2C62E" w:rsidTr="00875DA6">
        <w:trPr>
          <w:trHeight w:val="2825"/>
        </w:trPr>
        <w:tc>
          <w:tcPr>
            <w:tcW w:w="3973" w:type="dxa"/>
          </w:tcPr>
          <w:p w14:paraId="680ADDB1" w14:textId="3CBF23C6" w:rsidR="00194838" w:rsidRDefault="00194838" w:rsidP="00194838">
            <w:pPr>
              <w:pStyle w:val="ListParagraph"/>
              <w:numPr>
                <w:ilvl w:val="0"/>
                <w:numId w:val="2"/>
              </w:numPr>
              <w:rPr>
                <w:rFonts w:ascii="Tw Cen MT" w:hAnsi="Tw Cen MT"/>
              </w:rPr>
            </w:pPr>
            <w:r w:rsidRPr="00194838">
              <w:rPr>
                <w:rFonts w:ascii="Tw Cen MT" w:hAnsi="Tw Cen MT"/>
              </w:rPr>
              <w:t>Widening Participation and Outreach</w:t>
            </w:r>
          </w:p>
          <w:p w14:paraId="0BCC3CC6" w14:textId="0003E20D" w:rsidR="00194838" w:rsidRPr="00194838" w:rsidRDefault="00194838" w:rsidP="00194838">
            <w:pPr>
              <w:pStyle w:val="ListParagraph"/>
              <w:numPr>
                <w:ilvl w:val="0"/>
                <w:numId w:val="2"/>
              </w:numPr>
              <w:rPr>
                <w:rFonts w:ascii="Tw Cen MT" w:hAnsi="Tw Cen MT"/>
              </w:rPr>
            </w:pPr>
            <w:r>
              <w:rPr>
                <w:rFonts w:ascii="Tw Cen MT" w:hAnsi="Tw Cen MT"/>
              </w:rPr>
              <w:t>Faculties and Schools</w:t>
            </w:r>
          </w:p>
          <w:p w14:paraId="681C174A" w14:textId="3704FB5D" w:rsidR="00194838" w:rsidRDefault="00194838" w:rsidP="00194838">
            <w:pPr>
              <w:pStyle w:val="ListParagraph"/>
              <w:numPr>
                <w:ilvl w:val="0"/>
                <w:numId w:val="2"/>
              </w:numPr>
              <w:rPr>
                <w:rFonts w:ascii="Tw Cen MT" w:hAnsi="Tw Cen MT"/>
              </w:rPr>
            </w:pPr>
            <w:r w:rsidRPr="00194838">
              <w:rPr>
                <w:rFonts w:ascii="Tw Cen MT" w:hAnsi="Tw Cen MT"/>
              </w:rPr>
              <w:t>DVC-Education including Educational Innovation</w:t>
            </w:r>
            <w:r>
              <w:rPr>
                <w:rFonts w:ascii="Tw Cen MT" w:hAnsi="Tw Cen MT"/>
              </w:rPr>
              <w:t>, Student Life</w:t>
            </w:r>
            <w:r w:rsidRPr="00194838">
              <w:rPr>
                <w:rFonts w:ascii="Tw Cen MT" w:hAnsi="Tw Cen MT"/>
              </w:rPr>
              <w:t xml:space="preserve"> and Student Experience Program</w:t>
            </w:r>
          </w:p>
          <w:p w14:paraId="425FA0C0" w14:textId="0134594D" w:rsidR="00194838" w:rsidRDefault="00194838" w:rsidP="00194838">
            <w:pPr>
              <w:pStyle w:val="ListParagraph"/>
              <w:numPr>
                <w:ilvl w:val="0"/>
                <w:numId w:val="2"/>
              </w:numPr>
              <w:rPr>
                <w:rFonts w:ascii="Tw Cen MT" w:hAnsi="Tw Cen MT"/>
              </w:rPr>
            </w:pPr>
            <w:r>
              <w:rPr>
                <w:rFonts w:ascii="Tw Cen MT" w:hAnsi="Tw Cen MT"/>
              </w:rPr>
              <w:t>DVC-Indigenous Strategy and Services</w:t>
            </w:r>
          </w:p>
          <w:p w14:paraId="50528F3A" w14:textId="134A96D7" w:rsidR="00194838" w:rsidRDefault="00194838" w:rsidP="00194838">
            <w:pPr>
              <w:pStyle w:val="ListParagraph"/>
              <w:numPr>
                <w:ilvl w:val="0"/>
                <w:numId w:val="2"/>
              </w:numPr>
              <w:rPr>
                <w:rFonts w:ascii="Tw Cen MT" w:hAnsi="Tw Cen MT"/>
              </w:rPr>
            </w:pPr>
            <w:r>
              <w:rPr>
                <w:rFonts w:ascii="Tw Cen MT" w:hAnsi="Tw Cen MT"/>
              </w:rPr>
              <w:t>Domestic Recruitment &amp; Admissions</w:t>
            </w:r>
          </w:p>
          <w:p w14:paraId="7AE2E14D" w14:textId="77777777" w:rsidR="00194838" w:rsidRDefault="00194838" w:rsidP="00595335">
            <w:pPr>
              <w:rPr>
                <w:rFonts w:ascii="Tw Cen MT" w:hAnsi="Tw Cen MT"/>
              </w:rPr>
            </w:pPr>
          </w:p>
          <w:p w14:paraId="6B44C53F" w14:textId="77777777" w:rsidR="00194838" w:rsidRDefault="00194838" w:rsidP="00595335">
            <w:pPr>
              <w:rPr>
                <w:rFonts w:ascii="Tw Cen MT" w:hAnsi="Tw Cen MT"/>
              </w:rPr>
            </w:pPr>
          </w:p>
          <w:p w14:paraId="13AF2766" w14:textId="2B4EDA27" w:rsidR="00595335" w:rsidRDefault="00595335" w:rsidP="00595335">
            <w:pPr>
              <w:rPr>
                <w:rFonts w:ascii="Tw Cen MT" w:hAnsi="Tw Cen MT"/>
              </w:rPr>
            </w:pPr>
          </w:p>
        </w:tc>
        <w:tc>
          <w:tcPr>
            <w:tcW w:w="3988" w:type="dxa"/>
          </w:tcPr>
          <w:p w14:paraId="75B9AE7A" w14:textId="77777777" w:rsidR="00194838" w:rsidRDefault="00194838" w:rsidP="00194838">
            <w:pPr>
              <w:pStyle w:val="ListParagraph"/>
              <w:numPr>
                <w:ilvl w:val="0"/>
                <w:numId w:val="2"/>
              </w:numPr>
              <w:rPr>
                <w:rFonts w:ascii="Tw Cen MT" w:hAnsi="Tw Cen MT"/>
              </w:rPr>
            </w:pPr>
            <w:r>
              <w:rPr>
                <w:rFonts w:ascii="Tw Cen MT" w:hAnsi="Tw Cen MT"/>
              </w:rPr>
              <w:t>Student Support Services</w:t>
            </w:r>
          </w:p>
          <w:p w14:paraId="6F677FCB" w14:textId="77777777" w:rsidR="00194838" w:rsidRDefault="00194838" w:rsidP="00194838">
            <w:pPr>
              <w:pStyle w:val="ListParagraph"/>
              <w:numPr>
                <w:ilvl w:val="0"/>
                <w:numId w:val="2"/>
              </w:numPr>
              <w:rPr>
                <w:rFonts w:ascii="Tw Cen MT" w:hAnsi="Tw Cen MT"/>
              </w:rPr>
            </w:pPr>
            <w:r>
              <w:rPr>
                <w:rFonts w:ascii="Tw Cen MT" w:hAnsi="Tw Cen MT"/>
              </w:rPr>
              <w:t xml:space="preserve">Research teams from Sydney School of Education and Social Work </w:t>
            </w:r>
          </w:p>
          <w:p w14:paraId="41872103" w14:textId="7B6275A4" w:rsidR="00595335" w:rsidRPr="00875DA6" w:rsidRDefault="00194838" w:rsidP="00875DA6">
            <w:pPr>
              <w:pStyle w:val="ListParagraph"/>
              <w:numPr>
                <w:ilvl w:val="0"/>
                <w:numId w:val="2"/>
              </w:numPr>
              <w:rPr>
                <w:rFonts w:ascii="Tw Cen MT" w:hAnsi="Tw Cen MT"/>
              </w:rPr>
            </w:pPr>
            <w:r w:rsidRPr="00875DA6">
              <w:rPr>
                <w:rFonts w:ascii="Tw Cen MT" w:hAnsi="Tw Cen MT"/>
              </w:rPr>
              <w:t>Professional Services including Analytics &amp; Planning, Alumni &amp;</w:t>
            </w:r>
            <w:r w:rsidR="00875DA6" w:rsidRPr="00875DA6">
              <w:rPr>
                <w:rFonts w:ascii="Tw Cen MT" w:hAnsi="Tw Cen MT"/>
              </w:rPr>
              <w:t xml:space="preserve"> Development, Enterprise &amp; </w:t>
            </w:r>
            <w:r w:rsidR="00875DA6">
              <w:rPr>
                <w:rFonts w:ascii="Tw Cen MT" w:hAnsi="Tw Cen MT"/>
              </w:rPr>
              <w:t>En</w:t>
            </w:r>
            <w:r w:rsidR="00875DA6" w:rsidRPr="00875DA6">
              <w:rPr>
                <w:rFonts w:ascii="Tw Cen MT" w:hAnsi="Tw Cen MT"/>
              </w:rPr>
              <w:t>gagement</w:t>
            </w:r>
          </w:p>
        </w:tc>
        <w:tc>
          <w:tcPr>
            <w:tcW w:w="3658" w:type="dxa"/>
          </w:tcPr>
          <w:p w14:paraId="51D030C3" w14:textId="77777777" w:rsidR="00595335" w:rsidRDefault="00595335" w:rsidP="00194838">
            <w:pPr>
              <w:pStyle w:val="ListParagraph"/>
              <w:numPr>
                <w:ilvl w:val="0"/>
                <w:numId w:val="3"/>
              </w:numPr>
              <w:rPr>
                <w:rFonts w:ascii="Tw Cen MT" w:hAnsi="Tw Cen MT"/>
              </w:rPr>
            </w:pPr>
            <w:r w:rsidRPr="00194838">
              <w:rPr>
                <w:rFonts w:ascii="Tw Cen MT" w:hAnsi="Tw Cen MT"/>
              </w:rPr>
              <w:t xml:space="preserve">Universities Admissions Centre </w:t>
            </w:r>
            <w:r w:rsidR="00194838">
              <w:rPr>
                <w:rFonts w:ascii="Tw Cen MT" w:hAnsi="Tw Cen MT"/>
              </w:rPr>
              <w:t>(</w:t>
            </w:r>
            <w:r w:rsidRPr="00194838">
              <w:rPr>
                <w:rFonts w:ascii="Tw Cen MT" w:hAnsi="Tw Cen MT"/>
              </w:rPr>
              <w:t>UAC)</w:t>
            </w:r>
          </w:p>
          <w:p w14:paraId="709122BD" w14:textId="77777777" w:rsidR="00194838" w:rsidRDefault="00194838" w:rsidP="00194838">
            <w:pPr>
              <w:pStyle w:val="ListParagraph"/>
              <w:numPr>
                <w:ilvl w:val="0"/>
                <w:numId w:val="3"/>
              </w:numPr>
              <w:rPr>
                <w:rFonts w:ascii="Tw Cen MT" w:hAnsi="Tw Cen MT"/>
              </w:rPr>
            </w:pPr>
            <w:r>
              <w:rPr>
                <w:rFonts w:ascii="Tw Cen MT" w:hAnsi="Tw Cen MT"/>
              </w:rPr>
              <w:t>Country Education Foundation</w:t>
            </w:r>
          </w:p>
          <w:p w14:paraId="71DE51C1" w14:textId="77777777" w:rsidR="00194838" w:rsidRDefault="00194838" w:rsidP="00194838">
            <w:pPr>
              <w:pStyle w:val="ListParagraph"/>
              <w:numPr>
                <w:ilvl w:val="0"/>
                <w:numId w:val="3"/>
              </w:numPr>
              <w:rPr>
                <w:rFonts w:ascii="Tw Cen MT" w:hAnsi="Tw Cen MT"/>
              </w:rPr>
            </w:pPr>
            <w:r>
              <w:rPr>
                <w:rFonts w:ascii="Tw Cen MT" w:hAnsi="Tw Cen MT"/>
              </w:rPr>
              <w:t>Harding Miller Education Foundation</w:t>
            </w:r>
          </w:p>
          <w:p w14:paraId="3C297B0E" w14:textId="77777777" w:rsidR="00194838" w:rsidRDefault="00194838" w:rsidP="00194838">
            <w:pPr>
              <w:pStyle w:val="ListParagraph"/>
              <w:numPr>
                <w:ilvl w:val="0"/>
                <w:numId w:val="3"/>
              </w:numPr>
              <w:rPr>
                <w:rFonts w:ascii="Tw Cen MT" w:hAnsi="Tw Cen MT"/>
              </w:rPr>
            </w:pPr>
            <w:r>
              <w:rPr>
                <w:rFonts w:ascii="Tw Cen MT" w:hAnsi="Tw Cen MT"/>
              </w:rPr>
              <w:t>Education and Training Out West</w:t>
            </w:r>
          </w:p>
          <w:p w14:paraId="1833D62A" w14:textId="77777777" w:rsidR="00194838" w:rsidRDefault="00194838" w:rsidP="00194838">
            <w:pPr>
              <w:pStyle w:val="ListParagraph"/>
              <w:numPr>
                <w:ilvl w:val="0"/>
                <w:numId w:val="3"/>
              </w:numPr>
              <w:rPr>
                <w:rFonts w:ascii="Tw Cen MT" w:hAnsi="Tw Cen MT"/>
              </w:rPr>
            </w:pPr>
            <w:r>
              <w:rPr>
                <w:rFonts w:ascii="Tw Cen MT" w:hAnsi="Tw Cen MT"/>
              </w:rPr>
              <w:t>The Smith Family</w:t>
            </w:r>
          </w:p>
          <w:p w14:paraId="3309B8D7" w14:textId="3FBDEEAF" w:rsidR="00194838" w:rsidRPr="00194838" w:rsidRDefault="00194838" w:rsidP="00194838">
            <w:pPr>
              <w:pStyle w:val="ListParagraph"/>
              <w:numPr>
                <w:ilvl w:val="0"/>
                <w:numId w:val="3"/>
              </w:numPr>
              <w:rPr>
                <w:rFonts w:ascii="Tw Cen MT" w:hAnsi="Tw Cen MT"/>
              </w:rPr>
            </w:pPr>
            <w:r>
              <w:rPr>
                <w:rFonts w:ascii="Tw Cen MT" w:hAnsi="Tw Cen MT"/>
              </w:rPr>
              <w:t>Clontarf Foundation</w:t>
            </w:r>
          </w:p>
        </w:tc>
        <w:tc>
          <w:tcPr>
            <w:tcW w:w="2977" w:type="dxa"/>
          </w:tcPr>
          <w:p w14:paraId="1DAE4565" w14:textId="77777777" w:rsidR="00595335" w:rsidRDefault="00595335" w:rsidP="00194838">
            <w:pPr>
              <w:pStyle w:val="ListParagraph"/>
              <w:numPr>
                <w:ilvl w:val="0"/>
                <w:numId w:val="3"/>
              </w:numPr>
              <w:rPr>
                <w:rFonts w:ascii="Tw Cen MT" w:hAnsi="Tw Cen MT"/>
              </w:rPr>
            </w:pPr>
            <w:r w:rsidRPr="00194838">
              <w:rPr>
                <w:rFonts w:ascii="Tw Cen MT" w:hAnsi="Tw Cen MT"/>
              </w:rPr>
              <w:t>NSW Department of Education</w:t>
            </w:r>
          </w:p>
          <w:p w14:paraId="6F9ABA19" w14:textId="77777777" w:rsidR="00194838" w:rsidRDefault="00194838" w:rsidP="00194838">
            <w:pPr>
              <w:pStyle w:val="ListParagraph"/>
              <w:numPr>
                <w:ilvl w:val="0"/>
                <w:numId w:val="3"/>
              </w:numPr>
              <w:rPr>
                <w:rFonts w:ascii="Tw Cen MT" w:hAnsi="Tw Cen MT"/>
              </w:rPr>
            </w:pPr>
            <w:r>
              <w:rPr>
                <w:rFonts w:ascii="Tw Cen MT" w:hAnsi="Tw Cen MT"/>
              </w:rPr>
              <w:t>University of Canberra</w:t>
            </w:r>
          </w:p>
          <w:p w14:paraId="18EF9FBE" w14:textId="77777777" w:rsidR="00194838" w:rsidRDefault="00194838" w:rsidP="00194838">
            <w:pPr>
              <w:pStyle w:val="ListParagraph"/>
              <w:numPr>
                <w:ilvl w:val="0"/>
                <w:numId w:val="3"/>
              </w:numPr>
              <w:rPr>
                <w:rFonts w:ascii="Tw Cen MT" w:hAnsi="Tw Cen MT"/>
              </w:rPr>
            </w:pPr>
            <w:r>
              <w:rPr>
                <w:rFonts w:ascii="Tw Cen MT" w:hAnsi="Tw Cen MT"/>
              </w:rPr>
              <w:t>University of Wollongong</w:t>
            </w:r>
          </w:p>
          <w:p w14:paraId="05AB8C6D" w14:textId="77777777" w:rsidR="00194838" w:rsidRDefault="00194838" w:rsidP="00194838">
            <w:pPr>
              <w:pStyle w:val="ListParagraph"/>
              <w:numPr>
                <w:ilvl w:val="0"/>
                <w:numId w:val="3"/>
              </w:numPr>
              <w:rPr>
                <w:rFonts w:ascii="Tw Cen MT" w:hAnsi="Tw Cen MT"/>
              </w:rPr>
            </w:pPr>
            <w:r>
              <w:rPr>
                <w:rFonts w:ascii="Tw Cen MT" w:hAnsi="Tw Cen MT"/>
              </w:rPr>
              <w:t>ThreeFourFive</w:t>
            </w:r>
          </w:p>
          <w:p w14:paraId="626540E6" w14:textId="77777777" w:rsidR="00194838" w:rsidRDefault="00194838" w:rsidP="00194838">
            <w:pPr>
              <w:pStyle w:val="ListParagraph"/>
              <w:numPr>
                <w:ilvl w:val="0"/>
                <w:numId w:val="3"/>
              </w:numPr>
              <w:rPr>
                <w:rFonts w:ascii="Tw Cen MT" w:hAnsi="Tw Cen MT"/>
              </w:rPr>
            </w:pPr>
            <w:r>
              <w:rPr>
                <w:rFonts w:ascii="Tw Cen MT" w:hAnsi="Tw Cen MT"/>
              </w:rPr>
              <w:t>InspireEd</w:t>
            </w:r>
          </w:p>
          <w:p w14:paraId="1704D9C3" w14:textId="0905CCF7" w:rsidR="00194838" w:rsidRPr="00194838" w:rsidRDefault="00194838" w:rsidP="00194838">
            <w:pPr>
              <w:pStyle w:val="ListParagraph"/>
              <w:numPr>
                <w:ilvl w:val="0"/>
                <w:numId w:val="3"/>
              </w:numPr>
              <w:rPr>
                <w:rFonts w:ascii="Tw Cen MT" w:hAnsi="Tw Cen MT"/>
              </w:rPr>
            </w:pPr>
            <w:r>
              <w:rPr>
                <w:rFonts w:ascii="Tw Cen MT" w:hAnsi="Tw Cen MT"/>
              </w:rPr>
              <w:t>The Story Factory</w:t>
            </w:r>
          </w:p>
        </w:tc>
      </w:tr>
    </w:tbl>
    <w:p w14:paraId="7CD2D72A" w14:textId="41D7688D" w:rsidR="00607FDF" w:rsidRPr="00194838" w:rsidRDefault="00607FDF" w:rsidP="00194838">
      <w:pPr>
        <w:rPr>
          <w:rFonts w:ascii="Tw Cen MT" w:hAnsi="Tw Cen MT"/>
        </w:rPr>
      </w:pPr>
      <w:r w:rsidRPr="00194838">
        <w:rPr>
          <w:rFonts w:ascii="Tw Cen MT" w:hAnsi="Tw Cen MT"/>
        </w:rPr>
        <w:br w:type="page"/>
      </w:r>
    </w:p>
    <w:p w14:paraId="0CFDA661" w14:textId="77777777" w:rsidR="00607FDF" w:rsidRDefault="00607FDF">
      <w:pPr>
        <w:rPr>
          <w:rFonts w:ascii="Tw Cen MT" w:hAnsi="Tw Cen MT"/>
        </w:rPr>
      </w:pPr>
    </w:p>
    <w:p w14:paraId="79BFBE4F" w14:textId="77777777" w:rsidR="00607FDF" w:rsidRPr="00607FDF" w:rsidRDefault="00607FDF" w:rsidP="00607FDF">
      <w:pPr>
        <w:spacing w:after="0" w:line="240" w:lineRule="auto"/>
        <w:rPr>
          <w:rFonts w:ascii="Tw Cen MT" w:hAnsi="Tw Cen MT"/>
        </w:rPr>
      </w:pPr>
    </w:p>
    <w:tbl>
      <w:tblPr>
        <w:tblW w:w="14454" w:type="dxa"/>
        <w:tblLook w:val="04A0" w:firstRow="1" w:lastRow="0" w:firstColumn="1" w:lastColumn="0" w:noHBand="0" w:noVBand="1"/>
      </w:tblPr>
      <w:tblGrid>
        <w:gridCol w:w="3420"/>
        <w:gridCol w:w="5931"/>
        <w:gridCol w:w="5103"/>
      </w:tblGrid>
      <w:tr w:rsidR="00607FDF" w:rsidRPr="00607FDF" w14:paraId="7CA3259F" w14:textId="77777777" w:rsidTr="00607FDF">
        <w:trPr>
          <w:trHeight w:val="28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EAB18" w14:textId="77777777" w:rsidR="00607FDF" w:rsidRPr="00607FDF" w:rsidRDefault="00607FDF" w:rsidP="00607FDF">
            <w:pPr>
              <w:spacing w:after="0" w:line="240" w:lineRule="auto"/>
              <w:rPr>
                <w:rFonts w:ascii="Tw Cen MT" w:eastAsia="Times New Roman" w:hAnsi="Tw Cen MT" w:cs="Calibri"/>
                <w:b/>
                <w:bCs/>
                <w:color w:val="000000"/>
                <w:lang w:eastAsia="en-AU"/>
              </w:rPr>
            </w:pPr>
            <w:r w:rsidRPr="00607FDF">
              <w:rPr>
                <w:rFonts w:ascii="Tw Cen MT" w:eastAsia="Times New Roman" w:hAnsi="Tw Cen MT" w:cs="Calibri"/>
                <w:b/>
                <w:bCs/>
                <w:color w:val="000000"/>
                <w:lang w:eastAsia="en-AU"/>
              </w:rPr>
              <w:t>Target Cohort</w:t>
            </w:r>
          </w:p>
        </w:tc>
        <w:tc>
          <w:tcPr>
            <w:tcW w:w="5931" w:type="dxa"/>
            <w:tcBorders>
              <w:top w:val="single" w:sz="4" w:space="0" w:color="auto"/>
              <w:left w:val="nil"/>
              <w:bottom w:val="single" w:sz="4" w:space="0" w:color="auto"/>
              <w:right w:val="single" w:sz="4" w:space="0" w:color="auto"/>
            </w:tcBorders>
            <w:shd w:val="clear" w:color="auto" w:fill="auto"/>
            <w:noWrap/>
            <w:vAlign w:val="bottom"/>
            <w:hideMark/>
          </w:tcPr>
          <w:p w14:paraId="6CF69C32" w14:textId="77777777" w:rsidR="00607FDF" w:rsidRPr="00607FDF" w:rsidRDefault="00607FDF" w:rsidP="00607FDF">
            <w:pPr>
              <w:spacing w:after="0" w:line="240" w:lineRule="auto"/>
              <w:rPr>
                <w:rFonts w:ascii="Tw Cen MT" w:eastAsia="Times New Roman" w:hAnsi="Tw Cen MT" w:cs="Calibri"/>
                <w:b/>
                <w:bCs/>
                <w:color w:val="000000"/>
                <w:lang w:eastAsia="en-AU"/>
              </w:rPr>
            </w:pPr>
            <w:r w:rsidRPr="00607FDF">
              <w:rPr>
                <w:rFonts w:ascii="Tw Cen MT" w:eastAsia="Times New Roman" w:hAnsi="Tw Cen MT" w:cs="Calibri"/>
                <w:b/>
                <w:bCs/>
                <w:color w:val="000000"/>
                <w:lang w:eastAsia="en-AU"/>
              </w:rPr>
              <w:t>Programs and Initiatives</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4BD31A42" w14:textId="77777777" w:rsidR="00607FDF" w:rsidRPr="00607FDF" w:rsidRDefault="00607FDF" w:rsidP="00607FDF">
            <w:pPr>
              <w:spacing w:after="0" w:line="240" w:lineRule="auto"/>
              <w:rPr>
                <w:rFonts w:ascii="Tw Cen MT" w:eastAsia="Times New Roman" w:hAnsi="Tw Cen MT" w:cs="Calibri"/>
                <w:b/>
                <w:bCs/>
                <w:color w:val="000000"/>
                <w:lang w:eastAsia="en-AU"/>
              </w:rPr>
            </w:pPr>
            <w:r w:rsidRPr="00607FDF">
              <w:rPr>
                <w:rFonts w:ascii="Tw Cen MT" w:eastAsia="Times New Roman" w:hAnsi="Tw Cen MT" w:cs="Calibri"/>
                <w:b/>
                <w:bCs/>
                <w:color w:val="000000"/>
                <w:lang w:eastAsia="en-AU"/>
              </w:rPr>
              <w:t>Evaluation Instruments and Outcomes</w:t>
            </w:r>
          </w:p>
        </w:tc>
      </w:tr>
      <w:tr w:rsidR="00607FDF" w:rsidRPr="00607FDF" w14:paraId="58C923FD" w14:textId="77777777" w:rsidTr="00607FDF">
        <w:trPr>
          <w:trHeight w:val="280"/>
        </w:trPr>
        <w:tc>
          <w:tcPr>
            <w:tcW w:w="14454" w:type="dxa"/>
            <w:gridSpan w:val="3"/>
            <w:tcBorders>
              <w:top w:val="single" w:sz="4" w:space="0" w:color="auto"/>
              <w:left w:val="single" w:sz="4" w:space="0" w:color="auto"/>
              <w:bottom w:val="single" w:sz="4" w:space="0" w:color="auto"/>
              <w:right w:val="single" w:sz="4" w:space="0" w:color="auto"/>
            </w:tcBorders>
            <w:shd w:val="clear" w:color="000000" w:fill="D9D9D9"/>
            <w:vAlign w:val="bottom"/>
            <w:hideMark/>
          </w:tcPr>
          <w:p w14:paraId="19E74830" w14:textId="77777777" w:rsidR="00607FDF" w:rsidRPr="00607FDF" w:rsidRDefault="00607FDF" w:rsidP="00607FDF">
            <w:pPr>
              <w:spacing w:after="0" w:line="240" w:lineRule="auto"/>
              <w:jc w:val="center"/>
              <w:rPr>
                <w:rFonts w:ascii="Tw Cen MT" w:eastAsia="Times New Roman" w:hAnsi="Tw Cen MT" w:cs="Calibri"/>
                <w:color w:val="000000"/>
                <w:lang w:eastAsia="en-AU"/>
              </w:rPr>
            </w:pPr>
            <w:r w:rsidRPr="00607FDF">
              <w:rPr>
                <w:rFonts w:ascii="Tw Cen MT" w:eastAsia="Times New Roman" w:hAnsi="Tw Cen MT" w:cs="Calibri"/>
                <w:color w:val="000000"/>
                <w:lang w:eastAsia="en-AU"/>
              </w:rPr>
              <w:t>ASPIRATION: Pre-tertiary personal and academic capacity building programs to increase access and participation in higher education.</w:t>
            </w:r>
          </w:p>
        </w:tc>
      </w:tr>
      <w:tr w:rsidR="00607FDF" w:rsidRPr="00607FDF" w14:paraId="7C6D1D62" w14:textId="77777777" w:rsidTr="00607FDF">
        <w:trPr>
          <w:trHeight w:val="840"/>
        </w:trPr>
        <w:tc>
          <w:tcPr>
            <w:tcW w:w="3420" w:type="dxa"/>
            <w:tcBorders>
              <w:top w:val="nil"/>
              <w:left w:val="single" w:sz="4" w:space="0" w:color="auto"/>
              <w:bottom w:val="nil"/>
              <w:right w:val="single" w:sz="4" w:space="0" w:color="auto"/>
            </w:tcBorders>
            <w:shd w:val="clear" w:color="auto" w:fill="auto"/>
            <w:vAlign w:val="bottom"/>
            <w:hideMark/>
          </w:tcPr>
          <w:p w14:paraId="377696D9"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Low SES secondary school students and teachers</w:t>
            </w:r>
          </w:p>
        </w:tc>
        <w:tc>
          <w:tcPr>
            <w:tcW w:w="5931" w:type="dxa"/>
            <w:tcBorders>
              <w:top w:val="nil"/>
              <w:left w:val="nil"/>
              <w:bottom w:val="single" w:sz="4" w:space="0" w:color="auto"/>
              <w:right w:val="single" w:sz="4" w:space="0" w:color="auto"/>
            </w:tcBorders>
            <w:shd w:val="clear" w:color="auto" w:fill="auto"/>
            <w:vAlign w:val="bottom"/>
            <w:hideMark/>
          </w:tcPr>
          <w:p w14:paraId="5B85D8EC" w14:textId="77777777" w:rsidR="00607FDF" w:rsidRPr="00607FDF" w:rsidRDefault="00607FDF" w:rsidP="00607FDF">
            <w:pPr>
              <w:spacing w:after="0" w:line="240" w:lineRule="auto"/>
              <w:rPr>
                <w:rFonts w:ascii="Tw Cen MT" w:eastAsia="Times New Roman" w:hAnsi="Tw Cen MT" w:cs="Calibri"/>
                <w:b/>
                <w:bCs/>
                <w:color w:val="000000"/>
                <w:lang w:eastAsia="en-AU"/>
              </w:rPr>
            </w:pPr>
            <w:r w:rsidRPr="00607FDF">
              <w:rPr>
                <w:rFonts w:ascii="Tw Cen MT" w:eastAsia="Times New Roman" w:hAnsi="Tw Cen MT" w:cs="Calibri"/>
                <w:b/>
                <w:bCs/>
                <w:color w:val="000000"/>
                <w:lang w:eastAsia="en-AU"/>
              </w:rPr>
              <w:t xml:space="preserve">On campus learning: </w:t>
            </w:r>
            <w:r w:rsidRPr="00607FDF">
              <w:rPr>
                <w:rFonts w:ascii="Tw Cen MT" w:eastAsia="Times New Roman" w:hAnsi="Tw Cen MT" w:cs="Calibri"/>
                <w:color w:val="000000"/>
                <w:lang w:eastAsia="en-AU"/>
              </w:rPr>
              <w:t>Future Fridays for Year 12 students, Regional Careers Advisors conference and professional learning, Digital Narratives professional learning.</w:t>
            </w:r>
          </w:p>
        </w:tc>
        <w:tc>
          <w:tcPr>
            <w:tcW w:w="5103" w:type="dxa"/>
            <w:tcBorders>
              <w:top w:val="nil"/>
              <w:left w:val="nil"/>
              <w:bottom w:val="single" w:sz="4" w:space="0" w:color="auto"/>
              <w:right w:val="single" w:sz="4" w:space="0" w:color="auto"/>
            </w:tcBorders>
            <w:shd w:val="clear" w:color="auto" w:fill="auto"/>
            <w:noWrap/>
            <w:vAlign w:val="bottom"/>
            <w:hideMark/>
          </w:tcPr>
          <w:p w14:paraId="38DFCAA0"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b/>
                <w:bCs/>
                <w:color w:val="000000"/>
                <w:lang w:eastAsia="en-AU"/>
              </w:rPr>
              <w:t xml:space="preserve">Outcome: </w:t>
            </w:r>
            <w:r w:rsidRPr="00607FDF">
              <w:rPr>
                <w:rFonts w:ascii="Tw Cen MT" w:eastAsia="Times New Roman" w:hAnsi="Tw Cen MT" w:cs="Calibri"/>
                <w:color w:val="000000"/>
                <w:lang w:eastAsia="en-AU"/>
              </w:rPr>
              <w:t>Increased E12, Gadigal and other admissions pathways applications</w:t>
            </w:r>
          </w:p>
        </w:tc>
      </w:tr>
      <w:tr w:rsidR="00607FDF" w:rsidRPr="00607FDF" w14:paraId="670CACA3" w14:textId="77777777" w:rsidTr="00607FDF">
        <w:trPr>
          <w:trHeight w:val="840"/>
        </w:trPr>
        <w:tc>
          <w:tcPr>
            <w:tcW w:w="3420" w:type="dxa"/>
            <w:tcBorders>
              <w:top w:val="nil"/>
              <w:left w:val="single" w:sz="4" w:space="0" w:color="auto"/>
              <w:bottom w:val="nil"/>
              <w:right w:val="single" w:sz="4" w:space="0" w:color="auto"/>
            </w:tcBorders>
            <w:shd w:val="clear" w:color="auto" w:fill="auto"/>
            <w:vAlign w:val="bottom"/>
            <w:hideMark/>
          </w:tcPr>
          <w:p w14:paraId="010D40D3"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Aboriginal and/or Torres Strait Islander students</w:t>
            </w:r>
          </w:p>
        </w:tc>
        <w:tc>
          <w:tcPr>
            <w:tcW w:w="5931" w:type="dxa"/>
            <w:tcBorders>
              <w:top w:val="nil"/>
              <w:left w:val="nil"/>
              <w:bottom w:val="single" w:sz="4" w:space="0" w:color="auto"/>
              <w:right w:val="single" w:sz="4" w:space="0" w:color="auto"/>
            </w:tcBorders>
            <w:shd w:val="clear" w:color="auto" w:fill="auto"/>
            <w:vAlign w:val="bottom"/>
            <w:hideMark/>
          </w:tcPr>
          <w:p w14:paraId="747C9AD1" w14:textId="2F2C436E" w:rsidR="00607FDF" w:rsidRPr="00607FDF" w:rsidRDefault="00607FDF" w:rsidP="00607FDF">
            <w:pPr>
              <w:spacing w:after="0" w:line="240" w:lineRule="auto"/>
              <w:rPr>
                <w:rFonts w:ascii="Tw Cen MT" w:eastAsia="Times New Roman" w:hAnsi="Tw Cen MT" w:cs="Calibri"/>
                <w:b/>
                <w:bCs/>
                <w:color w:val="000000"/>
                <w:lang w:eastAsia="en-AU"/>
              </w:rPr>
            </w:pPr>
            <w:r w:rsidRPr="00607FDF">
              <w:rPr>
                <w:rFonts w:ascii="Tw Cen MT" w:eastAsia="Times New Roman" w:hAnsi="Tw Cen MT" w:cs="Calibri"/>
                <w:b/>
                <w:bCs/>
                <w:color w:val="000000"/>
                <w:lang w:eastAsia="en-AU"/>
              </w:rPr>
              <w:t xml:space="preserve">Digital outreach: </w:t>
            </w:r>
            <w:r w:rsidRPr="00607FDF">
              <w:rPr>
                <w:rFonts w:ascii="Tw Cen MT" w:eastAsia="Times New Roman" w:hAnsi="Tw Cen MT" w:cs="Calibri"/>
                <w:color w:val="000000"/>
                <w:lang w:eastAsia="en-AU"/>
              </w:rPr>
              <w:t>Bunga Barrabugu Winter Program, Future Fridays for Year 10 and 11 students, Innovation in Practice competition, Year 12 pilot transition program, Student leader social media campaigns</w:t>
            </w:r>
          </w:p>
        </w:tc>
        <w:tc>
          <w:tcPr>
            <w:tcW w:w="5103" w:type="dxa"/>
            <w:tcBorders>
              <w:top w:val="nil"/>
              <w:left w:val="nil"/>
              <w:bottom w:val="nil"/>
              <w:right w:val="single" w:sz="4" w:space="0" w:color="auto"/>
            </w:tcBorders>
            <w:shd w:val="clear" w:color="auto" w:fill="auto"/>
            <w:vAlign w:val="bottom"/>
            <w:hideMark/>
          </w:tcPr>
          <w:p w14:paraId="6B4C3EA8" w14:textId="77777777" w:rsidR="00607FDF" w:rsidRPr="00607FDF" w:rsidRDefault="00607FDF" w:rsidP="00607FDF">
            <w:pPr>
              <w:spacing w:after="0" w:line="240" w:lineRule="auto"/>
              <w:rPr>
                <w:rFonts w:ascii="Tw Cen MT" w:eastAsia="Times New Roman" w:hAnsi="Tw Cen MT" w:cs="Calibri"/>
                <w:b/>
                <w:bCs/>
                <w:color w:val="000000"/>
                <w:lang w:eastAsia="en-AU"/>
              </w:rPr>
            </w:pPr>
            <w:r w:rsidRPr="00607FDF">
              <w:rPr>
                <w:rFonts w:ascii="Tw Cen MT" w:eastAsia="Times New Roman" w:hAnsi="Tw Cen MT" w:cs="Calibri"/>
                <w:b/>
                <w:bCs/>
                <w:color w:val="000000"/>
                <w:lang w:eastAsia="en-AU"/>
              </w:rPr>
              <w:t xml:space="preserve">Evaluation: </w:t>
            </w:r>
            <w:r w:rsidRPr="00607FDF">
              <w:rPr>
                <w:rFonts w:ascii="Tw Cen MT" w:eastAsia="Times New Roman" w:hAnsi="Tw Cen MT" w:cs="Calibri"/>
                <w:b/>
                <w:bCs/>
                <w:color w:val="000000"/>
                <w:lang w:eastAsia="en-AU"/>
              </w:rPr>
              <w:br/>
            </w:r>
            <w:r w:rsidRPr="00607FDF">
              <w:rPr>
                <w:rFonts w:ascii="Tw Cen MT" w:eastAsia="Times New Roman" w:hAnsi="Tw Cen MT" w:cs="Calibri"/>
                <w:color w:val="000000"/>
                <w:lang w:eastAsia="en-AU"/>
              </w:rPr>
              <w:t>Longitudinal Evaluation Project (2018-2020)</w:t>
            </w:r>
          </w:p>
        </w:tc>
      </w:tr>
      <w:tr w:rsidR="00607FDF" w:rsidRPr="00607FDF" w14:paraId="3F57CE28" w14:textId="77777777" w:rsidTr="00607FDF">
        <w:trPr>
          <w:trHeight w:val="280"/>
        </w:trPr>
        <w:tc>
          <w:tcPr>
            <w:tcW w:w="3420" w:type="dxa"/>
            <w:tcBorders>
              <w:top w:val="nil"/>
              <w:left w:val="single" w:sz="4" w:space="0" w:color="auto"/>
              <w:bottom w:val="nil"/>
              <w:right w:val="single" w:sz="4" w:space="0" w:color="auto"/>
            </w:tcBorders>
            <w:shd w:val="clear" w:color="auto" w:fill="auto"/>
            <w:noWrap/>
            <w:vAlign w:val="bottom"/>
            <w:hideMark/>
          </w:tcPr>
          <w:p w14:paraId="6C47E1EC"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c>
          <w:tcPr>
            <w:tcW w:w="5931" w:type="dxa"/>
            <w:tcBorders>
              <w:top w:val="nil"/>
              <w:left w:val="nil"/>
              <w:bottom w:val="single" w:sz="4" w:space="0" w:color="auto"/>
              <w:right w:val="single" w:sz="4" w:space="0" w:color="auto"/>
            </w:tcBorders>
            <w:shd w:val="clear" w:color="auto" w:fill="auto"/>
            <w:vAlign w:val="bottom"/>
            <w:hideMark/>
          </w:tcPr>
          <w:p w14:paraId="1CB30C7A" w14:textId="77777777" w:rsidR="00607FDF" w:rsidRPr="00607FDF" w:rsidRDefault="00607FDF" w:rsidP="00607FDF">
            <w:pPr>
              <w:spacing w:after="0" w:line="240" w:lineRule="auto"/>
              <w:rPr>
                <w:rFonts w:ascii="Tw Cen MT" w:eastAsia="Times New Roman" w:hAnsi="Tw Cen MT" w:cs="Calibri"/>
                <w:b/>
                <w:bCs/>
                <w:color w:val="000000"/>
                <w:lang w:eastAsia="en-AU"/>
              </w:rPr>
            </w:pPr>
            <w:r w:rsidRPr="00607FDF">
              <w:rPr>
                <w:rFonts w:ascii="Tw Cen MT" w:eastAsia="Times New Roman" w:hAnsi="Tw Cen MT" w:cs="Calibri"/>
                <w:b/>
                <w:bCs/>
                <w:color w:val="000000"/>
                <w:lang w:eastAsia="en-AU"/>
              </w:rPr>
              <w:t xml:space="preserve">In School programs: </w:t>
            </w:r>
            <w:r w:rsidRPr="00607FDF">
              <w:rPr>
                <w:rFonts w:ascii="Tw Cen MT" w:eastAsia="Times New Roman" w:hAnsi="Tw Cen MT" w:cs="Calibri"/>
                <w:color w:val="000000"/>
                <w:lang w:eastAsia="en-AU"/>
              </w:rPr>
              <w:t>Year 9 Preparation for NAPLAN</w:t>
            </w:r>
          </w:p>
        </w:tc>
        <w:tc>
          <w:tcPr>
            <w:tcW w:w="5103" w:type="dxa"/>
            <w:tcBorders>
              <w:top w:val="nil"/>
              <w:left w:val="nil"/>
              <w:bottom w:val="nil"/>
              <w:right w:val="single" w:sz="4" w:space="0" w:color="auto"/>
            </w:tcBorders>
            <w:shd w:val="clear" w:color="auto" w:fill="auto"/>
            <w:noWrap/>
            <w:vAlign w:val="bottom"/>
            <w:hideMark/>
          </w:tcPr>
          <w:p w14:paraId="1BF273F9"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Participant pre- and post- responses measured against WPO Theory of Change</w:t>
            </w:r>
          </w:p>
        </w:tc>
      </w:tr>
      <w:tr w:rsidR="00607FDF" w:rsidRPr="00607FDF" w14:paraId="040B51C4" w14:textId="77777777" w:rsidTr="00607FDF">
        <w:trPr>
          <w:trHeight w:val="840"/>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268C9EF0"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Secondary school teachers and teachers from regional and remote NSW</w:t>
            </w:r>
          </w:p>
        </w:tc>
        <w:tc>
          <w:tcPr>
            <w:tcW w:w="5931" w:type="dxa"/>
            <w:tcBorders>
              <w:top w:val="nil"/>
              <w:left w:val="nil"/>
              <w:bottom w:val="single" w:sz="4" w:space="0" w:color="auto"/>
              <w:right w:val="single" w:sz="4" w:space="0" w:color="auto"/>
            </w:tcBorders>
            <w:shd w:val="clear" w:color="auto" w:fill="auto"/>
            <w:vAlign w:val="bottom"/>
            <w:hideMark/>
          </w:tcPr>
          <w:p w14:paraId="7BBA1ED2" w14:textId="77777777" w:rsidR="00607FDF" w:rsidRPr="00607FDF" w:rsidRDefault="00607FDF" w:rsidP="00607FDF">
            <w:pPr>
              <w:spacing w:after="0" w:line="240" w:lineRule="auto"/>
              <w:rPr>
                <w:rFonts w:ascii="Tw Cen MT" w:eastAsia="Times New Roman" w:hAnsi="Tw Cen MT" w:cs="Calibri"/>
                <w:b/>
                <w:bCs/>
                <w:color w:val="000000"/>
                <w:lang w:eastAsia="en-AU"/>
              </w:rPr>
            </w:pPr>
            <w:r w:rsidRPr="00607FDF">
              <w:rPr>
                <w:rFonts w:ascii="Tw Cen MT" w:eastAsia="Times New Roman" w:hAnsi="Tw Cen MT" w:cs="Calibri"/>
                <w:b/>
                <w:bCs/>
                <w:color w:val="000000"/>
                <w:lang w:eastAsia="en-AU"/>
              </w:rPr>
              <w:t xml:space="preserve">Residential programs (where possible): </w:t>
            </w:r>
            <w:r w:rsidRPr="00607FDF">
              <w:rPr>
                <w:rFonts w:ascii="Tw Cen MT" w:eastAsia="Times New Roman" w:hAnsi="Tw Cen MT" w:cs="Calibri"/>
                <w:color w:val="000000"/>
                <w:lang w:eastAsia="en-AU"/>
              </w:rPr>
              <w:t>Wingara Mura Bunga Barrabugu Summer Program, Open Day Residential Program, Life at Sydney Residential Program</w:t>
            </w:r>
          </w:p>
        </w:tc>
        <w:tc>
          <w:tcPr>
            <w:tcW w:w="5103" w:type="dxa"/>
            <w:tcBorders>
              <w:top w:val="nil"/>
              <w:left w:val="nil"/>
              <w:bottom w:val="single" w:sz="4" w:space="0" w:color="auto"/>
              <w:right w:val="single" w:sz="4" w:space="0" w:color="auto"/>
            </w:tcBorders>
            <w:shd w:val="clear" w:color="auto" w:fill="auto"/>
            <w:vAlign w:val="bottom"/>
            <w:hideMark/>
          </w:tcPr>
          <w:p w14:paraId="2E3D62FD"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Participant numbers and rates of engagement for digital resources</w:t>
            </w:r>
            <w:r w:rsidRPr="00607FDF">
              <w:rPr>
                <w:rFonts w:ascii="Tw Cen MT" w:eastAsia="Times New Roman" w:hAnsi="Tw Cen MT" w:cs="Calibri"/>
                <w:color w:val="000000"/>
                <w:lang w:eastAsia="en-AU"/>
              </w:rPr>
              <w:br/>
              <w:t>Application and enrolment statistics (UAC and University)</w:t>
            </w:r>
          </w:p>
        </w:tc>
      </w:tr>
      <w:tr w:rsidR="00607FDF" w:rsidRPr="00607FDF" w14:paraId="2D35BA1F" w14:textId="77777777" w:rsidTr="00607FDF">
        <w:trPr>
          <w:trHeight w:val="280"/>
        </w:trPr>
        <w:tc>
          <w:tcPr>
            <w:tcW w:w="14454" w:type="dxa"/>
            <w:gridSpan w:val="3"/>
            <w:tcBorders>
              <w:top w:val="single" w:sz="4" w:space="0" w:color="auto"/>
              <w:left w:val="nil"/>
              <w:bottom w:val="nil"/>
              <w:right w:val="nil"/>
            </w:tcBorders>
            <w:shd w:val="clear" w:color="000000" w:fill="D9D9D9"/>
            <w:noWrap/>
            <w:vAlign w:val="bottom"/>
            <w:hideMark/>
          </w:tcPr>
          <w:p w14:paraId="414C751D" w14:textId="77777777" w:rsidR="00607FDF" w:rsidRPr="00607FDF" w:rsidRDefault="00607FDF" w:rsidP="00607FDF">
            <w:pPr>
              <w:spacing w:after="0" w:line="240" w:lineRule="auto"/>
              <w:jc w:val="center"/>
              <w:rPr>
                <w:rFonts w:ascii="Tw Cen MT" w:eastAsia="Times New Roman" w:hAnsi="Tw Cen MT" w:cs="Calibri"/>
                <w:color w:val="000000"/>
                <w:lang w:eastAsia="en-AU"/>
              </w:rPr>
            </w:pPr>
            <w:r w:rsidRPr="00607FDF">
              <w:rPr>
                <w:rFonts w:ascii="Tw Cen MT" w:eastAsia="Times New Roman" w:hAnsi="Tw Cen MT" w:cs="Calibri"/>
                <w:color w:val="000000"/>
                <w:lang w:eastAsia="en-AU"/>
              </w:rPr>
              <w:t>ACCESS: Delivery of admission pathway programs, selection criteria tools, scholarship and integrated policy framework on equity-related issues.</w:t>
            </w:r>
          </w:p>
        </w:tc>
      </w:tr>
      <w:tr w:rsidR="00607FDF" w:rsidRPr="00607FDF" w14:paraId="14E322D3" w14:textId="77777777" w:rsidTr="00607FDF">
        <w:trPr>
          <w:trHeight w:val="820"/>
        </w:trPr>
        <w:tc>
          <w:tcPr>
            <w:tcW w:w="3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31EFE9"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Low SES school-leavers including Aboriginal and/or Torres Strait Islander students and students from regional and remote NSW</w:t>
            </w:r>
          </w:p>
        </w:tc>
        <w:tc>
          <w:tcPr>
            <w:tcW w:w="5931" w:type="dxa"/>
            <w:tcBorders>
              <w:top w:val="single" w:sz="4" w:space="0" w:color="auto"/>
              <w:left w:val="nil"/>
              <w:bottom w:val="single" w:sz="4" w:space="0" w:color="auto"/>
              <w:right w:val="single" w:sz="4" w:space="0" w:color="auto"/>
            </w:tcBorders>
            <w:shd w:val="clear" w:color="auto" w:fill="auto"/>
            <w:hideMark/>
          </w:tcPr>
          <w:p w14:paraId="73CD7D68" w14:textId="01925E34" w:rsidR="00607FDF" w:rsidRPr="00607FDF" w:rsidRDefault="00607FDF" w:rsidP="00607FDF">
            <w:pPr>
              <w:spacing w:after="240" w:line="240" w:lineRule="auto"/>
              <w:rPr>
                <w:rFonts w:ascii="Tw Cen MT" w:eastAsia="Times New Roman" w:hAnsi="Tw Cen MT" w:cs="Calibri"/>
                <w:color w:val="000000"/>
                <w:lang w:eastAsia="en-AU"/>
              </w:rPr>
            </w:pPr>
            <w:r w:rsidRPr="00607FDF">
              <w:rPr>
                <w:rFonts w:ascii="Tw Cen MT" w:eastAsia="Times New Roman" w:hAnsi="Tw Cen MT" w:cs="Calibri"/>
                <w:b/>
                <w:bCs/>
                <w:color w:val="000000"/>
                <w:lang w:eastAsia="en-AU"/>
              </w:rPr>
              <w:t>Early Offer Year 12 (E12) Schem</w:t>
            </w:r>
            <w:r w:rsidRPr="00607FDF">
              <w:rPr>
                <w:rFonts w:ascii="Tw Cen MT" w:eastAsia="Times New Roman" w:hAnsi="Tw Cen MT" w:cs="Calibri"/>
                <w:color w:val="000000"/>
                <w:lang w:eastAsia="en-AU"/>
              </w:rPr>
              <w:t>e providing an opportunity for an early conditional offer and a $5950 first year scholarship for eligible students from low SES, regional and remote and students who have experienced financial hardship.</w:t>
            </w:r>
            <w:r w:rsidRPr="00607FDF">
              <w:rPr>
                <w:rFonts w:ascii="Tw Cen MT" w:eastAsia="Times New Roman" w:hAnsi="Tw Cen MT" w:cs="Calibri"/>
                <w:color w:val="000000"/>
                <w:lang w:eastAsia="en-AU"/>
              </w:rPr>
              <w:br/>
            </w:r>
            <w:r w:rsidRPr="00607FDF">
              <w:rPr>
                <w:rFonts w:ascii="Tw Cen MT" w:eastAsia="Times New Roman" w:hAnsi="Tw Cen MT" w:cs="Calibri"/>
                <w:color w:val="000000"/>
                <w:lang w:eastAsia="en-AU"/>
              </w:rPr>
              <w:br/>
            </w:r>
          </w:p>
        </w:tc>
        <w:tc>
          <w:tcPr>
            <w:tcW w:w="5103" w:type="dxa"/>
            <w:tcBorders>
              <w:top w:val="single" w:sz="4" w:space="0" w:color="auto"/>
              <w:left w:val="nil"/>
              <w:bottom w:val="nil"/>
              <w:right w:val="single" w:sz="4" w:space="0" w:color="auto"/>
            </w:tcBorders>
            <w:shd w:val="clear" w:color="auto" w:fill="auto"/>
            <w:noWrap/>
            <w:vAlign w:val="bottom"/>
            <w:hideMark/>
          </w:tcPr>
          <w:p w14:paraId="2D50EEBA" w14:textId="77777777" w:rsidR="00607FDF" w:rsidRPr="00607FDF" w:rsidRDefault="00607FDF" w:rsidP="00607FDF">
            <w:pPr>
              <w:spacing w:after="0" w:line="240" w:lineRule="auto"/>
              <w:rPr>
                <w:rFonts w:ascii="Tw Cen MT" w:eastAsia="Times New Roman" w:hAnsi="Tw Cen MT" w:cs="Calibri"/>
                <w:b/>
                <w:bCs/>
                <w:color w:val="000000"/>
                <w:lang w:eastAsia="en-AU"/>
              </w:rPr>
            </w:pPr>
            <w:r w:rsidRPr="00607FDF">
              <w:rPr>
                <w:rFonts w:ascii="Tw Cen MT" w:eastAsia="Times New Roman" w:hAnsi="Tw Cen MT" w:cs="Calibri"/>
                <w:b/>
                <w:bCs/>
                <w:color w:val="000000"/>
                <w:lang w:eastAsia="en-AU"/>
              </w:rPr>
              <w:t>Outcome:</w:t>
            </w:r>
            <w:r w:rsidRPr="00607FDF">
              <w:rPr>
                <w:rFonts w:ascii="Tw Cen MT" w:eastAsia="Times New Roman" w:hAnsi="Tw Cen MT" w:cs="Calibri"/>
                <w:color w:val="000000"/>
                <w:lang w:eastAsia="en-AU"/>
              </w:rPr>
              <w:t xml:space="preserve"> Increased E12, Gadigal and other admissions pathways applications</w:t>
            </w:r>
          </w:p>
        </w:tc>
      </w:tr>
      <w:tr w:rsidR="00607FDF" w:rsidRPr="00607FDF" w14:paraId="35F3EC6E" w14:textId="77777777" w:rsidTr="00607FDF">
        <w:trPr>
          <w:trHeight w:val="560"/>
        </w:trPr>
        <w:tc>
          <w:tcPr>
            <w:tcW w:w="3420" w:type="dxa"/>
            <w:vMerge/>
            <w:tcBorders>
              <w:top w:val="single" w:sz="4" w:space="0" w:color="auto"/>
              <w:left w:val="single" w:sz="4" w:space="0" w:color="auto"/>
              <w:bottom w:val="single" w:sz="4" w:space="0" w:color="000000"/>
              <w:right w:val="single" w:sz="4" w:space="0" w:color="auto"/>
            </w:tcBorders>
            <w:vAlign w:val="center"/>
            <w:hideMark/>
          </w:tcPr>
          <w:p w14:paraId="68BBB68A" w14:textId="77777777" w:rsidR="00607FDF" w:rsidRPr="00607FDF" w:rsidRDefault="00607FDF" w:rsidP="00607FDF">
            <w:pPr>
              <w:spacing w:after="0" w:line="240" w:lineRule="auto"/>
              <w:rPr>
                <w:rFonts w:ascii="Tw Cen MT" w:eastAsia="Times New Roman" w:hAnsi="Tw Cen MT" w:cs="Calibri"/>
                <w:color w:val="000000"/>
                <w:lang w:eastAsia="en-AU"/>
              </w:rPr>
            </w:pPr>
          </w:p>
        </w:tc>
        <w:tc>
          <w:tcPr>
            <w:tcW w:w="5931" w:type="dxa"/>
            <w:tcBorders>
              <w:top w:val="nil"/>
              <w:left w:val="nil"/>
              <w:bottom w:val="single" w:sz="4" w:space="0" w:color="auto"/>
              <w:right w:val="single" w:sz="4" w:space="0" w:color="auto"/>
            </w:tcBorders>
            <w:shd w:val="clear" w:color="auto" w:fill="auto"/>
            <w:vAlign w:val="bottom"/>
            <w:hideMark/>
          </w:tcPr>
          <w:p w14:paraId="0456CDB0"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b/>
                <w:bCs/>
                <w:color w:val="000000"/>
                <w:lang w:eastAsia="en-AU"/>
              </w:rPr>
              <w:t>Gadigal Early Offer Scheme</w:t>
            </w:r>
            <w:r w:rsidRPr="00607FDF">
              <w:rPr>
                <w:rFonts w:ascii="Tw Cen MT" w:eastAsia="Times New Roman" w:hAnsi="Tw Cen MT" w:cs="Calibri"/>
                <w:color w:val="000000"/>
                <w:lang w:eastAsia="en-AU"/>
              </w:rPr>
              <w:t xml:space="preserve"> and streamlining of Gadigal application process into University Admission Centre (UAC) platform.</w:t>
            </w:r>
          </w:p>
        </w:tc>
        <w:tc>
          <w:tcPr>
            <w:tcW w:w="5103" w:type="dxa"/>
            <w:tcBorders>
              <w:top w:val="nil"/>
              <w:left w:val="nil"/>
              <w:bottom w:val="nil"/>
              <w:right w:val="single" w:sz="4" w:space="0" w:color="auto"/>
            </w:tcBorders>
            <w:shd w:val="clear" w:color="auto" w:fill="auto"/>
            <w:noWrap/>
            <w:vAlign w:val="bottom"/>
            <w:hideMark/>
          </w:tcPr>
          <w:p w14:paraId="111D8E97" w14:textId="77777777" w:rsidR="00607FDF" w:rsidRPr="00607FDF" w:rsidRDefault="00607FDF" w:rsidP="00607FDF">
            <w:pPr>
              <w:spacing w:after="0" w:line="240" w:lineRule="auto"/>
              <w:rPr>
                <w:rFonts w:ascii="Tw Cen MT" w:eastAsia="Times New Roman" w:hAnsi="Tw Cen MT" w:cs="Calibri"/>
                <w:b/>
                <w:bCs/>
                <w:color w:val="000000"/>
                <w:lang w:eastAsia="en-AU"/>
              </w:rPr>
            </w:pPr>
            <w:r w:rsidRPr="00607FDF">
              <w:rPr>
                <w:rFonts w:ascii="Tw Cen MT" w:eastAsia="Times New Roman" w:hAnsi="Tw Cen MT" w:cs="Calibri"/>
                <w:b/>
                <w:bCs/>
                <w:color w:val="000000"/>
                <w:lang w:eastAsia="en-AU"/>
              </w:rPr>
              <w:t xml:space="preserve">Outcome: </w:t>
            </w:r>
            <w:r w:rsidRPr="00607FDF">
              <w:rPr>
                <w:rFonts w:ascii="Tw Cen MT" w:eastAsia="Times New Roman" w:hAnsi="Tw Cen MT" w:cs="Calibri"/>
                <w:color w:val="000000"/>
                <w:lang w:eastAsia="en-AU"/>
              </w:rPr>
              <w:t>Passport Program trialled in 2020 for 2021 admission</w:t>
            </w:r>
          </w:p>
        </w:tc>
      </w:tr>
      <w:tr w:rsidR="00607FDF" w:rsidRPr="00607FDF" w14:paraId="76765F6C" w14:textId="77777777" w:rsidTr="00607FDF">
        <w:trPr>
          <w:trHeight w:val="560"/>
        </w:trPr>
        <w:tc>
          <w:tcPr>
            <w:tcW w:w="3420" w:type="dxa"/>
            <w:vMerge/>
            <w:tcBorders>
              <w:top w:val="single" w:sz="4" w:space="0" w:color="auto"/>
              <w:left w:val="single" w:sz="4" w:space="0" w:color="auto"/>
              <w:bottom w:val="single" w:sz="4" w:space="0" w:color="000000"/>
              <w:right w:val="single" w:sz="4" w:space="0" w:color="auto"/>
            </w:tcBorders>
            <w:vAlign w:val="center"/>
            <w:hideMark/>
          </w:tcPr>
          <w:p w14:paraId="69C20CED" w14:textId="77777777" w:rsidR="00607FDF" w:rsidRPr="00607FDF" w:rsidRDefault="00607FDF" w:rsidP="00607FDF">
            <w:pPr>
              <w:spacing w:after="0" w:line="240" w:lineRule="auto"/>
              <w:rPr>
                <w:rFonts w:ascii="Tw Cen MT" w:eastAsia="Times New Roman" w:hAnsi="Tw Cen MT" w:cs="Calibri"/>
                <w:color w:val="000000"/>
                <w:lang w:eastAsia="en-AU"/>
              </w:rPr>
            </w:pPr>
          </w:p>
        </w:tc>
        <w:tc>
          <w:tcPr>
            <w:tcW w:w="5931" w:type="dxa"/>
            <w:tcBorders>
              <w:top w:val="nil"/>
              <w:left w:val="nil"/>
              <w:bottom w:val="single" w:sz="4" w:space="0" w:color="auto"/>
              <w:right w:val="single" w:sz="4" w:space="0" w:color="auto"/>
            </w:tcBorders>
            <w:shd w:val="clear" w:color="auto" w:fill="auto"/>
            <w:vAlign w:val="bottom"/>
            <w:hideMark/>
          </w:tcPr>
          <w:p w14:paraId="5476DF8D" w14:textId="2152E570"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b/>
                <w:bCs/>
                <w:color w:val="000000"/>
                <w:lang w:eastAsia="en-AU"/>
              </w:rPr>
              <w:t>Pilot Passport Program</w:t>
            </w:r>
            <w:r w:rsidRPr="00607FDF">
              <w:rPr>
                <w:rFonts w:ascii="Tw Cen MT" w:eastAsia="Times New Roman" w:hAnsi="Tw Cen MT" w:cs="Calibri"/>
                <w:color w:val="000000"/>
                <w:lang w:eastAsia="en-AU"/>
              </w:rPr>
              <w:t xml:space="preserve"> to assign formal </w:t>
            </w:r>
            <w:r w:rsidR="00875DA6">
              <w:rPr>
                <w:rFonts w:ascii="Tw Cen MT" w:eastAsia="Times New Roman" w:hAnsi="Tw Cen MT" w:cs="Calibri"/>
                <w:color w:val="000000"/>
                <w:lang w:eastAsia="en-AU"/>
              </w:rPr>
              <w:t>recognition</w:t>
            </w:r>
            <w:r w:rsidRPr="00607FDF">
              <w:rPr>
                <w:rFonts w:ascii="Tw Cen MT" w:eastAsia="Times New Roman" w:hAnsi="Tw Cen MT" w:cs="Calibri"/>
                <w:color w:val="000000"/>
                <w:lang w:eastAsia="en-AU"/>
              </w:rPr>
              <w:t xml:space="preserve"> of outreach program participation.</w:t>
            </w:r>
          </w:p>
        </w:tc>
        <w:tc>
          <w:tcPr>
            <w:tcW w:w="5103" w:type="dxa"/>
            <w:tcBorders>
              <w:top w:val="nil"/>
              <w:left w:val="nil"/>
              <w:bottom w:val="nil"/>
              <w:right w:val="single" w:sz="4" w:space="0" w:color="auto"/>
            </w:tcBorders>
            <w:shd w:val="clear" w:color="auto" w:fill="auto"/>
            <w:vAlign w:val="bottom"/>
            <w:hideMark/>
          </w:tcPr>
          <w:p w14:paraId="6F6AFCEF" w14:textId="4F3E6DE4" w:rsidR="00607FDF" w:rsidRPr="00607FDF" w:rsidRDefault="00607FDF" w:rsidP="00607FDF">
            <w:pPr>
              <w:spacing w:after="0" w:line="240" w:lineRule="auto"/>
              <w:rPr>
                <w:rFonts w:ascii="Tw Cen MT" w:eastAsia="Times New Roman" w:hAnsi="Tw Cen MT" w:cs="Calibri"/>
                <w:b/>
                <w:bCs/>
                <w:color w:val="000000"/>
                <w:lang w:eastAsia="en-AU"/>
              </w:rPr>
            </w:pPr>
            <w:r w:rsidRPr="00607FDF">
              <w:rPr>
                <w:rFonts w:ascii="Tw Cen MT" w:eastAsia="Times New Roman" w:hAnsi="Tw Cen MT" w:cs="Calibri"/>
                <w:b/>
                <w:bCs/>
                <w:color w:val="000000"/>
                <w:lang w:eastAsia="en-AU"/>
              </w:rPr>
              <w:t xml:space="preserve">Evaluation: </w:t>
            </w:r>
            <w:r w:rsidRPr="00607FDF">
              <w:rPr>
                <w:rFonts w:ascii="Tw Cen MT" w:eastAsia="Times New Roman" w:hAnsi="Tw Cen MT" w:cs="Calibri"/>
                <w:color w:val="000000"/>
                <w:lang w:eastAsia="en-AU"/>
              </w:rPr>
              <w:t>Gadigal E12 and other pathway application, offer and enrolment numbers, subscription numbers to Gap Year resources</w:t>
            </w:r>
          </w:p>
        </w:tc>
      </w:tr>
      <w:tr w:rsidR="00607FDF" w:rsidRPr="00607FDF" w14:paraId="0871B851" w14:textId="77777777" w:rsidTr="00607FDF">
        <w:trPr>
          <w:trHeight w:val="560"/>
        </w:trPr>
        <w:tc>
          <w:tcPr>
            <w:tcW w:w="3420" w:type="dxa"/>
            <w:vMerge/>
            <w:tcBorders>
              <w:top w:val="single" w:sz="4" w:space="0" w:color="auto"/>
              <w:left w:val="single" w:sz="4" w:space="0" w:color="auto"/>
              <w:bottom w:val="single" w:sz="4" w:space="0" w:color="000000"/>
              <w:right w:val="single" w:sz="4" w:space="0" w:color="auto"/>
            </w:tcBorders>
            <w:vAlign w:val="center"/>
            <w:hideMark/>
          </w:tcPr>
          <w:p w14:paraId="3637A327" w14:textId="77777777" w:rsidR="00607FDF" w:rsidRPr="00607FDF" w:rsidRDefault="00607FDF" w:rsidP="00607FDF">
            <w:pPr>
              <w:spacing w:after="0" w:line="240" w:lineRule="auto"/>
              <w:rPr>
                <w:rFonts w:ascii="Tw Cen MT" w:eastAsia="Times New Roman" w:hAnsi="Tw Cen MT" w:cs="Calibri"/>
                <w:color w:val="000000"/>
                <w:lang w:eastAsia="en-AU"/>
              </w:rPr>
            </w:pPr>
          </w:p>
        </w:tc>
        <w:tc>
          <w:tcPr>
            <w:tcW w:w="5931" w:type="dxa"/>
            <w:tcBorders>
              <w:top w:val="nil"/>
              <w:left w:val="nil"/>
              <w:bottom w:val="single" w:sz="4" w:space="0" w:color="auto"/>
              <w:right w:val="single" w:sz="4" w:space="0" w:color="auto"/>
            </w:tcBorders>
            <w:shd w:val="clear" w:color="auto" w:fill="auto"/>
            <w:vAlign w:val="bottom"/>
            <w:hideMark/>
          </w:tcPr>
          <w:p w14:paraId="177667EB" w14:textId="193824CF" w:rsid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b/>
                <w:bCs/>
                <w:color w:val="000000"/>
                <w:lang w:eastAsia="en-AU"/>
              </w:rPr>
              <w:t>Re-inventing the Gap Year</w:t>
            </w:r>
            <w:r w:rsidRPr="00607FDF">
              <w:rPr>
                <w:rFonts w:ascii="Tw Cen MT" w:eastAsia="Times New Roman" w:hAnsi="Tw Cen MT" w:cs="Calibri"/>
                <w:color w:val="000000"/>
                <w:lang w:eastAsia="en-AU"/>
              </w:rPr>
              <w:t xml:space="preserve">, a digital initiative to dispel myths about university and encouraging transition to university for regional students. </w:t>
            </w:r>
          </w:p>
          <w:p w14:paraId="497DFE8B" w14:textId="46C245EE" w:rsidR="00607FDF" w:rsidRDefault="00607FDF" w:rsidP="00607FDF">
            <w:pPr>
              <w:spacing w:after="0" w:line="240" w:lineRule="auto"/>
              <w:rPr>
                <w:rFonts w:ascii="Tw Cen MT" w:eastAsia="Times New Roman" w:hAnsi="Tw Cen MT" w:cs="Calibri"/>
                <w:color w:val="000000"/>
                <w:lang w:eastAsia="en-AU"/>
              </w:rPr>
            </w:pPr>
          </w:p>
          <w:p w14:paraId="2601917B" w14:textId="2536E33E" w:rsidR="00607FDF" w:rsidRDefault="00607FDF" w:rsidP="00607FDF">
            <w:pPr>
              <w:spacing w:after="0" w:line="240" w:lineRule="auto"/>
              <w:rPr>
                <w:rFonts w:ascii="Tw Cen MT" w:eastAsia="Times New Roman" w:hAnsi="Tw Cen MT" w:cs="Calibri"/>
                <w:color w:val="000000"/>
                <w:lang w:eastAsia="en-AU"/>
              </w:rPr>
            </w:pPr>
          </w:p>
          <w:p w14:paraId="45B886E8" w14:textId="531C53C3" w:rsidR="00607FDF" w:rsidRDefault="00607FDF" w:rsidP="00607FDF">
            <w:pPr>
              <w:spacing w:after="0" w:line="240" w:lineRule="auto"/>
              <w:rPr>
                <w:rFonts w:ascii="Tw Cen MT" w:eastAsia="Times New Roman" w:hAnsi="Tw Cen MT" w:cs="Calibri"/>
                <w:color w:val="000000"/>
                <w:lang w:eastAsia="en-AU"/>
              </w:rPr>
            </w:pPr>
          </w:p>
          <w:p w14:paraId="00C645BF" w14:textId="516E6510" w:rsidR="00607FDF" w:rsidRDefault="00607FDF" w:rsidP="00607FDF">
            <w:pPr>
              <w:spacing w:after="0" w:line="240" w:lineRule="auto"/>
              <w:rPr>
                <w:rFonts w:ascii="Tw Cen MT" w:eastAsia="Times New Roman" w:hAnsi="Tw Cen MT" w:cs="Calibri"/>
                <w:color w:val="000000"/>
                <w:lang w:eastAsia="en-AU"/>
              </w:rPr>
            </w:pPr>
          </w:p>
          <w:p w14:paraId="1327E4E4" w14:textId="77777777" w:rsidR="00607FDF" w:rsidRDefault="00607FDF" w:rsidP="00607FDF">
            <w:pPr>
              <w:spacing w:after="0" w:line="240" w:lineRule="auto"/>
              <w:rPr>
                <w:rFonts w:ascii="Tw Cen MT" w:eastAsia="Times New Roman" w:hAnsi="Tw Cen MT" w:cs="Calibri"/>
                <w:color w:val="000000"/>
                <w:lang w:eastAsia="en-AU"/>
              </w:rPr>
            </w:pPr>
          </w:p>
          <w:p w14:paraId="3214E7F9" w14:textId="77777777" w:rsidR="00607FDF" w:rsidRDefault="00607FDF" w:rsidP="00607FDF">
            <w:pPr>
              <w:spacing w:after="0" w:line="240" w:lineRule="auto"/>
              <w:rPr>
                <w:rFonts w:ascii="Tw Cen MT" w:eastAsia="Times New Roman" w:hAnsi="Tw Cen MT" w:cs="Calibri"/>
                <w:color w:val="000000"/>
                <w:lang w:eastAsia="en-AU"/>
              </w:rPr>
            </w:pPr>
          </w:p>
          <w:p w14:paraId="08064759" w14:textId="77777777" w:rsidR="00607FDF" w:rsidRDefault="00607FDF" w:rsidP="00607FDF">
            <w:pPr>
              <w:spacing w:after="0" w:line="240" w:lineRule="auto"/>
              <w:rPr>
                <w:rFonts w:ascii="Tw Cen MT" w:eastAsia="Times New Roman" w:hAnsi="Tw Cen MT" w:cs="Calibri"/>
                <w:color w:val="000000"/>
                <w:lang w:eastAsia="en-AU"/>
              </w:rPr>
            </w:pPr>
          </w:p>
          <w:p w14:paraId="0F7ADED2" w14:textId="67141213" w:rsidR="00607FDF" w:rsidRPr="00607FDF" w:rsidRDefault="00607FDF" w:rsidP="00607FDF">
            <w:pPr>
              <w:spacing w:after="0" w:line="240" w:lineRule="auto"/>
              <w:rPr>
                <w:rFonts w:ascii="Tw Cen MT" w:eastAsia="Times New Roman" w:hAnsi="Tw Cen MT" w:cs="Calibri"/>
                <w:color w:val="000000"/>
                <w:lang w:eastAsia="en-AU"/>
              </w:rPr>
            </w:pPr>
          </w:p>
        </w:tc>
        <w:tc>
          <w:tcPr>
            <w:tcW w:w="5103" w:type="dxa"/>
            <w:tcBorders>
              <w:top w:val="nil"/>
              <w:left w:val="nil"/>
              <w:bottom w:val="single" w:sz="4" w:space="0" w:color="auto"/>
              <w:right w:val="single" w:sz="4" w:space="0" w:color="auto"/>
            </w:tcBorders>
            <w:shd w:val="clear" w:color="auto" w:fill="auto"/>
            <w:vAlign w:val="bottom"/>
            <w:hideMark/>
          </w:tcPr>
          <w:p w14:paraId="77C2D4FC"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r>
      <w:tr w:rsidR="00607FDF" w:rsidRPr="00607FDF" w14:paraId="033CCD06" w14:textId="77777777" w:rsidTr="00607FDF">
        <w:trPr>
          <w:trHeight w:val="280"/>
        </w:trPr>
        <w:tc>
          <w:tcPr>
            <w:tcW w:w="14454" w:type="dxa"/>
            <w:gridSpan w:val="3"/>
            <w:tcBorders>
              <w:top w:val="single" w:sz="4" w:space="0" w:color="auto"/>
              <w:left w:val="nil"/>
              <w:bottom w:val="nil"/>
              <w:right w:val="nil"/>
            </w:tcBorders>
            <w:shd w:val="clear" w:color="000000" w:fill="D9D9D9"/>
            <w:noWrap/>
            <w:vAlign w:val="bottom"/>
            <w:hideMark/>
          </w:tcPr>
          <w:p w14:paraId="0DB8BD24" w14:textId="77777777" w:rsidR="00607FDF" w:rsidRPr="00607FDF" w:rsidRDefault="00607FDF" w:rsidP="00607FDF">
            <w:pPr>
              <w:spacing w:after="0" w:line="240" w:lineRule="auto"/>
              <w:jc w:val="center"/>
              <w:rPr>
                <w:rFonts w:ascii="Tw Cen MT" w:eastAsia="Times New Roman" w:hAnsi="Tw Cen MT" w:cs="Calibri"/>
                <w:color w:val="000000"/>
                <w:lang w:eastAsia="en-AU"/>
              </w:rPr>
            </w:pPr>
            <w:r w:rsidRPr="00607FDF">
              <w:rPr>
                <w:rFonts w:ascii="Tw Cen MT" w:eastAsia="Times New Roman" w:hAnsi="Tw Cen MT" w:cs="Calibri"/>
                <w:color w:val="000000"/>
                <w:lang w:eastAsia="en-AU"/>
              </w:rPr>
              <w:lastRenderedPageBreak/>
              <w:t xml:space="preserve">PARTICIPATION: Provision and promotion of support programs which address the challenges faced by identified student cohorts - transition, retention and success programs. </w:t>
            </w:r>
          </w:p>
        </w:tc>
      </w:tr>
      <w:tr w:rsidR="00607FDF" w:rsidRPr="00607FDF" w14:paraId="7921A561" w14:textId="77777777" w:rsidTr="00607FDF">
        <w:trPr>
          <w:trHeight w:val="1000"/>
        </w:trPr>
        <w:tc>
          <w:tcPr>
            <w:tcW w:w="3420" w:type="dxa"/>
            <w:tcBorders>
              <w:top w:val="single" w:sz="4" w:space="0" w:color="auto"/>
              <w:left w:val="single" w:sz="4" w:space="0" w:color="auto"/>
              <w:bottom w:val="nil"/>
              <w:right w:val="single" w:sz="4" w:space="0" w:color="auto"/>
            </w:tcBorders>
            <w:shd w:val="clear" w:color="auto" w:fill="auto"/>
            <w:vAlign w:val="bottom"/>
            <w:hideMark/>
          </w:tcPr>
          <w:p w14:paraId="4E920278"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c>
          <w:tcPr>
            <w:tcW w:w="5931" w:type="dxa"/>
            <w:tcBorders>
              <w:top w:val="single" w:sz="4" w:space="0" w:color="auto"/>
              <w:left w:val="nil"/>
              <w:bottom w:val="single" w:sz="4" w:space="0" w:color="auto"/>
              <w:right w:val="single" w:sz="4" w:space="0" w:color="auto"/>
            </w:tcBorders>
            <w:shd w:val="clear" w:color="auto" w:fill="auto"/>
            <w:vAlign w:val="center"/>
            <w:hideMark/>
          </w:tcPr>
          <w:p w14:paraId="5275A4A4" w14:textId="3795F834" w:rsidR="00607FDF" w:rsidRPr="00607FDF" w:rsidRDefault="00607FDF" w:rsidP="00607FDF">
            <w:pPr>
              <w:spacing w:after="240" w:line="240" w:lineRule="auto"/>
              <w:rPr>
                <w:rFonts w:ascii="Tw Cen MT" w:eastAsia="Times New Roman" w:hAnsi="Tw Cen MT" w:cs="Calibri"/>
                <w:color w:val="000000"/>
                <w:lang w:eastAsia="en-AU"/>
              </w:rPr>
            </w:pPr>
            <w:r w:rsidRPr="00607FDF">
              <w:rPr>
                <w:rFonts w:ascii="Tw Cen MT" w:eastAsia="Times New Roman" w:hAnsi="Tw Cen MT" w:cs="Calibri"/>
                <w:b/>
                <w:bCs/>
                <w:color w:val="000000"/>
                <w:lang w:eastAsia="en-AU"/>
              </w:rPr>
              <w:t>Open-access online Transition Canvas modul</w:t>
            </w:r>
            <w:r w:rsidRPr="00607FDF">
              <w:rPr>
                <w:rFonts w:ascii="Tw Cen MT" w:eastAsia="Times New Roman" w:hAnsi="Tw Cen MT" w:cs="Calibri"/>
                <w:color w:val="000000"/>
                <w:lang w:eastAsia="en-AU"/>
              </w:rPr>
              <w:t>e for future and new students and their key influencers to support transition to University for students from Low SES backgrounds.</w:t>
            </w:r>
            <w:r w:rsidRPr="00607FDF">
              <w:rPr>
                <w:rFonts w:ascii="Tw Cen MT" w:eastAsia="Times New Roman" w:hAnsi="Tw Cen MT" w:cs="Calibri"/>
                <w:color w:val="000000"/>
                <w:lang w:eastAsia="en-AU"/>
              </w:rPr>
              <w:br/>
            </w:r>
          </w:p>
        </w:tc>
        <w:tc>
          <w:tcPr>
            <w:tcW w:w="5103" w:type="dxa"/>
            <w:tcBorders>
              <w:top w:val="single" w:sz="4" w:space="0" w:color="auto"/>
              <w:left w:val="nil"/>
              <w:bottom w:val="nil"/>
              <w:right w:val="single" w:sz="4" w:space="0" w:color="auto"/>
            </w:tcBorders>
            <w:shd w:val="clear" w:color="auto" w:fill="auto"/>
            <w:noWrap/>
            <w:vAlign w:val="bottom"/>
            <w:hideMark/>
          </w:tcPr>
          <w:p w14:paraId="0639F967" w14:textId="65E3CE99" w:rsidR="00607FDF" w:rsidRPr="00607FDF" w:rsidRDefault="00607FDF" w:rsidP="00607FDF">
            <w:pPr>
              <w:spacing w:after="0" w:line="240" w:lineRule="auto"/>
              <w:rPr>
                <w:rFonts w:ascii="Tw Cen MT" w:eastAsia="Times New Roman" w:hAnsi="Tw Cen MT" w:cs="Calibri"/>
                <w:b/>
                <w:bCs/>
                <w:color w:val="000000"/>
                <w:lang w:eastAsia="en-AU"/>
              </w:rPr>
            </w:pPr>
            <w:r w:rsidRPr="00607FDF">
              <w:rPr>
                <w:rFonts w:ascii="Tw Cen MT" w:eastAsia="Times New Roman" w:hAnsi="Tw Cen MT" w:cs="Calibri"/>
                <w:b/>
                <w:bCs/>
                <w:color w:val="000000"/>
                <w:lang w:eastAsia="en-AU"/>
              </w:rPr>
              <w:t xml:space="preserve">Outcome: </w:t>
            </w:r>
            <w:r w:rsidRPr="00607FDF">
              <w:rPr>
                <w:rFonts w:ascii="Tw Cen MT" w:eastAsia="Times New Roman" w:hAnsi="Tw Cen MT" w:cs="Calibri"/>
                <w:color w:val="000000"/>
                <w:lang w:eastAsia="en-AU"/>
              </w:rPr>
              <w:t>Increase in target cohort retention and success rates</w:t>
            </w:r>
          </w:p>
        </w:tc>
      </w:tr>
      <w:tr w:rsidR="00607FDF" w:rsidRPr="00607FDF" w14:paraId="75A2B5DA" w14:textId="77777777" w:rsidTr="00607FDF">
        <w:trPr>
          <w:trHeight w:val="1680"/>
        </w:trPr>
        <w:tc>
          <w:tcPr>
            <w:tcW w:w="3420" w:type="dxa"/>
            <w:tcBorders>
              <w:top w:val="nil"/>
              <w:left w:val="single" w:sz="4" w:space="0" w:color="auto"/>
              <w:bottom w:val="nil"/>
              <w:right w:val="single" w:sz="4" w:space="0" w:color="auto"/>
            </w:tcBorders>
            <w:shd w:val="clear" w:color="auto" w:fill="auto"/>
            <w:vAlign w:val="bottom"/>
            <w:hideMark/>
          </w:tcPr>
          <w:p w14:paraId="1AD26696"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Enrolled Low SES tertiary student cohorts</w:t>
            </w:r>
          </w:p>
        </w:tc>
        <w:tc>
          <w:tcPr>
            <w:tcW w:w="5931" w:type="dxa"/>
            <w:tcBorders>
              <w:top w:val="nil"/>
              <w:left w:val="nil"/>
              <w:bottom w:val="single" w:sz="4" w:space="0" w:color="auto"/>
              <w:right w:val="single" w:sz="4" w:space="0" w:color="auto"/>
            </w:tcBorders>
            <w:shd w:val="clear" w:color="auto" w:fill="auto"/>
            <w:vAlign w:val="bottom"/>
            <w:hideMark/>
          </w:tcPr>
          <w:p w14:paraId="14B65526" w14:textId="0F1E0FCD"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b/>
                <w:bCs/>
                <w:color w:val="000000"/>
                <w:lang w:eastAsia="en-AU"/>
              </w:rPr>
              <w:t>2020 Strategic Education Grants – Widening Participation category:</w:t>
            </w:r>
            <w:r w:rsidRPr="00607FDF">
              <w:rPr>
                <w:rFonts w:ascii="Tw Cen MT" w:eastAsia="Times New Roman" w:hAnsi="Tw Cen MT" w:cs="Calibri"/>
                <w:color w:val="000000"/>
                <w:lang w:eastAsia="en-AU"/>
              </w:rPr>
              <w:br/>
              <w:t>Developing transition and learning networks amongst Social Science students</w:t>
            </w:r>
            <w:r w:rsidRPr="00607FDF">
              <w:rPr>
                <w:rFonts w:ascii="Tw Cen MT" w:eastAsia="Times New Roman" w:hAnsi="Tw Cen MT" w:cs="Calibri"/>
                <w:color w:val="000000"/>
                <w:lang w:eastAsia="en-AU"/>
              </w:rPr>
              <w:br/>
              <w:t>Communities of Support:  First Generation Students and Transition to University</w:t>
            </w:r>
          </w:p>
        </w:tc>
        <w:tc>
          <w:tcPr>
            <w:tcW w:w="5103" w:type="dxa"/>
            <w:tcBorders>
              <w:top w:val="nil"/>
              <w:left w:val="nil"/>
              <w:bottom w:val="nil"/>
              <w:right w:val="single" w:sz="4" w:space="0" w:color="auto"/>
            </w:tcBorders>
            <w:shd w:val="clear" w:color="auto" w:fill="auto"/>
            <w:noWrap/>
            <w:vAlign w:val="bottom"/>
            <w:hideMark/>
          </w:tcPr>
          <w:p w14:paraId="31ED3F50" w14:textId="77777777" w:rsidR="00607FDF" w:rsidRPr="00607FDF" w:rsidRDefault="00607FDF" w:rsidP="00607FDF">
            <w:pPr>
              <w:spacing w:after="0" w:line="240" w:lineRule="auto"/>
              <w:rPr>
                <w:rFonts w:ascii="Tw Cen MT" w:eastAsia="Times New Roman" w:hAnsi="Tw Cen MT" w:cs="Calibri"/>
                <w:b/>
                <w:bCs/>
                <w:color w:val="000000"/>
                <w:lang w:eastAsia="en-AU"/>
              </w:rPr>
            </w:pPr>
            <w:r w:rsidRPr="00607FDF">
              <w:rPr>
                <w:rFonts w:ascii="Tw Cen MT" w:eastAsia="Times New Roman" w:hAnsi="Tw Cen MT" w:cs="Calibri"/>
                <w:b/>
                <w:bCs/>
                <w:color w:val="000000"/>
                <w:lang w:eastAsia="en-AU"/>
              </w:rPr>
              <w:t xml:space="preserve">Evaluation: </w:t>
            </w:r>
          </w:p>
        </w:tc>
      </w:tr>
      <w:tr w:rsidR="00607FDF" w:rsidRPr="00607FDF" w14:paraId="156F773C" w14:textId="77777777" w:rsidTr="00607FDF">
        <w:trPr>
          <w:trHeight w:val="560"/>
        </w:trPr>
        <w:tc>
          <w:tcPr>
            <w:tcW w:w="3420" w:type="dxa"/>
            <w:tcBorders>
              <w:top w:val="nil"/>
              <w:left w:val="single" w:sz="4" w:space="0" w:color="auto"/>
              <w:bottom w:val="nil"/>
              <w:right w:val="single" w:sz="4" w:space="0" w:color="auto"/>
            </w:tcBorders>
            <w:shd w:val="clear" w:color="auto" w:fill="auto"/>
            <w:vAlign w:val="bottom"/>
            <w:hideMark/>
          </w:tcPr>
          <w:p w14:paraId="7E276B92"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c>
          <w:tcPr>
            <w:tcW w:w="5931" w:type="dxa"/>
            <w:tcBorders>
              <w:top w:val="nil"/>
              <w:left w:val="nil"/>
              <w:bottom w:val="single" w:sz="4" w:space="0" w:color="auto"/>
              <w:right w:val="single" w:sz="4" w:space="0" w:color="auto"/>
            </w:tcBorders>
            <w:shd w:val="clear" w:color="auto" w:fill="auto"/>
            <w:vAlign w:val="bottom"/>
            <w:hideMark/>
          </w:tcPr>
          <w:p w14:paraId="4956B826"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b/>
                <w:bCs/>
                <w:color w:val="000000"/>
                <w:lang w:eastAsia="en-AU"/>
              </w:rPr>
              <w:t xml:space="preserve">Faculty-led (FASS) pilot initiatives </w:t>
            </w:r>
            <w:r w:rsidRPr="00607FDF">
              <w:rPr>
                <w:rFonts w:ascii="Tw Cen MT" w:eastAsia="Times New Roman" w:hAnsi="Tw Cen MT" w:cs="Calibri"/>
                <w:color w:val="000000"/>
                <w:lang w:eastAsia="en-AU"/>
              </w:rPr>
              <w:t>focussed on first year experience, online and peer enabled mentoring.</w:t>
            </w:r>
          </w:p>
        </w:tc>
        <w:tc>
          <w:tcPr>
            <w:tcW w:w="5103" w:type="dxa"/>
            <w:tcBorders>
              <w:top w:val="nil"/>
              <w:left w:val="nil"/>
              <w:bottom w:val="nil"/>
              <w:right w:val="single" w:sz="4" w:space="0" w:color="auto"/>
            </w:tcBorders>
            <w:shd w:val="clear" w:color="auto" w:fill="auto"/>
            <w:noWrap/>
            <w:vAlign w:val="bottom"/>
            <w:hideMark/>
          </w:tcPr>
          <w:p w14:paraId="1EE36A3D"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Engagement metrics for online modules and portals</w:t>
            </w:r>
          </w:p>
        </w:tc>
      </w:tr>
      <w:tr w:rsidR="00607FDF" w:rsidRPr="00607FDF" w14:paraId="75596086" w14:textId="77777777" w:rsidTr="00607FDF">
        <w:trPr>
          <w:trHeight w:val="560"/>
        </w:trPr>
        <w:tc>
          <w:tcPr>
            <w:tcW w:w="3420" w:type="dxa"/>
            <w:tcBorders>
              <w:top w:val="nil"/>
              <w:left w:val="single" w:sz="4" w:space="0" w:color="auto"/>
              <w:bottom w:val="nil"/>
              <w:right w:val="single" w:sz="4" w:space="0" w:color="auto"/>
            </w:tcBorders>
            <w:shd w:val="clear" w:color="auto" w:fill="auto"/>
            <w:vAlign w:val="bottom"/>
            <w:hideMark/>
          </w:tcPr>
          <w:p w14:paraId="703E00CD"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Tertiary education practitioners and academics</w:t>
            </w:r>
          </w:p>
        </w:tc>
        <w:tc>
          <w:tcPr>
            <w:tcW w:w="5931" w:type="dxa"/>
            <w:tcBorders>
              <w:top w:val="nil"/>
              <w:left w:val="nil"/>
              <w:bottom w:val="single" w:sz="4" w:space="0" w:color="auto"/>
              <w:right w:val="single" w:sz="4" w:space="0" w:color="auto"/>
            </w:tcBorders>
            <w:shd w:val="clear" w:color="auto" w:fill="auto"/>
            <w:vAlign w:val="bottom"/>
            <w:hideMark/>
          </w:tcPr>
          <w:p w14:paraId="15B1A7AB"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b/>
                <w:bCs/>
                <w:color w:val="000000"/>
                <w:lang w:eastAsia="en-AU"/>
              </w:rPr>
              <w:t>Widening Participation Network (WPN)</w:t>
            </w:r>
            <w:r w:rsidRPr="00607FDF">
              <w:rPr>
                <w:rFonts w:ascii="Tw Cen MT" w:eastAsia="Times New Roman" w:hAnsi="Tw Cen MT" w:cs="Calibri"/>
                <w:color w:val="000000"/>
                <w:lang w:eastAsia="en-AU"/>
              </w:rPr>
              <w:t xml:space="preserve"> communities of practice initiatives.</w:t>
            </w:r>
          </w:p>
        </w:tc>
        <w:tc>
          <w:tcPr>
            <w:tcW w:w="5103" w:type="dxa"/>
            <w:tcBorders>
              <w:top w:val="nil"/>
              <w:left w:val="nil"/>
              <w:bottom w:val="nil"/>
              <w:right w:val="single" w:sz="4" w:space="0" w:color="auto"/>
            </w:tcBorders>
            <w:shd w:val="clear" w:color="auto" w:fill="auto"/>
            <w:noWrap/>
            <w:vAlign w:val="bottom"/>
            <w:hideMark/>
          </w:tcPr>
          <w:p w14:paraId="5B7A13E0"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Support program/s participation numbers and participant feedback</w:t>
            </w:r>
          </w:p>
        </w:tc>
      </w:tr>
      <w:tr w:rsidR="00607FDF" w:rsidRPr="00607FDF" w14:paraId="48FBB378" w14:textId="77777777" w:rsidTr="00607FDF">
        <w:trPr>
          <w:trHeight w:val="560"/>
        </w:trPr>
        <w:tc>
          <w:tcPr>
            <w:tcW w:w="3420" w:type="dxa"/>
            <w:tcBorders>
              <w:top w:val="nil"/>
              <w:left w:val="single" w:sz="4" w:space="0" w:color="auto"/>
              <w:bottom w:val="nil"/>
              <w:right w:val="single" w:sz="4" w:space="0" w:color="auto"/>
            </w:tcBorders>
            <w:shd w:val="clear" w:color="auto" w:fill="auto"/>
            <w:vAlign w:val="bottom"/>
            <w:hideMark/>
          </w:tcPr>
          <w:p w14:paraId="00D8E0F5"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c>
          <w:tcPr>
            <w:tcW w:w="5931" w:type="dxa"/>
            <w:tcBorders>
              <w:top w:val="nil"/>
              <w:left w:val="nil"/>
              <w:bottom w:val="single" w:sz="4" w:space="0" w:color="auto"/>
              <w:right w:val="single" w:sz="4" w:space="0" w:color="auto"/>
            </w:tcBorders>
            <w:shd w:val="clear" w:color="auto" w:fill="auto"/>
            <w:vAlign w:val="bottom"/>
            <w:hideMark/>
          </w:tcPr>
          <w:p w14:paraId="1B3AB640"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b/>
                <w:bCs/>
                <w:color w:val="000000"/>
                <w:lang w:eastAsia="en-AU"/>
              </w:rPr>
              <w:t>Modular Professional Learning Framework (MPLF)</w:t>
            </w:r>
            <w:r w:rsidRPr="00607FDF">
              <w:rPr>
                <w:rFonts w:ascii="Tw Cen MT" w:eastAsia="Times New Roman" w:hAnsi="Tw Cen MT" w:cs="Calibri"/>
                <w:color w:val="000000"/>
                <w:lang w:eastAsia="en-AU"/>
              </w:rPr>
              <w:t xml:space="preserve"> Inclusivity and Diversity Module review and update</w:t>
            </w:r>
          </w:p>
        </w:tc>
        <w:tc>
          <w:tcPr>
            <w:tcW w:w="5103" w:type="dxa"/>
            <w:tcBorders>
              <w:top w:val="nil"/>
              <w:left w:val="nil"/>
              <w:bottom w:val="nil"/>
              <w:right w:val="single" w:sz="4" w:space="0" w:color="auto"/>
            </w:tcBorders>
            <w:shd w:val="clear" w:color="auto" w:fill="auto"/>
            <w:noWrap/>
            <w:vAlign w:val="bottom"/>
            <w:hideMark/>
          </w:tcPr>
          <w:p w14:paraId="366E8547"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Student Experience Survey results</w:t>
            </w:r>
          </w:p>
        </w:tc>
      </w:tr>
      <w:tr w:rsidR="00607FDF" w:rsidRPr="00607FDF" w14:paraId="3A333FAB" w14:textId="77777777" w:rsidTr="00607FDF">
        <w:trPr>
          <w:trHeight w:val="471"/>
        </w:trPr>
        <w:tc>
          <w:tcPr>
            <w:tcW w:w="3420" w:type="dxa"/>
            <w:tcBorders>
              <w:top w:val="nil"/>
              <w:left w:val="single" w:sz="4" w:space="0" w:color="auto"/>
              <w:bottom w:val="nil"/>
              <w:right w:val="single" w:sz="4" w:space="0" w:color="auto"/>
            </w:tcBorders>
            <w:shd w:val="clear" w:color="auto" w:fill="auto"/>
            <w:vAlign w:val="bottom"/>
            <w:hideMark/>
          </w:tcPr>
          <w:p w14:paraId="7B20ED70"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c>
          <w:tcPr>
            <w:tcW w:w="5931" w:type="dxa"/>
            <w:tcBorders>
              <w:top w:val="nil"/>
              <w:left w:val="nil"/>
              <w:bottom w:val="single" w:sz="4" w:space="0" w:color="auto"/>
              <w:right w:val="single" w:sz="4" w:space="0" w:color="auto"/>
            </w:tcBorders>
            <w:shd w:val="clear" w:color="auto" w:fill="auto"/>
            <w:vAlign w:val="bottom"/>
            <w:hideMark/>
          </w:tcPr>
          <w:p w14:paraId="3941E2A4" w14:textId="73EBD46E"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b/>
                <w:bCs/>
                <w:color w:val="000000"/>
                <w:lang w:eastAsia="en-AU"/>
              </w:rPr>
              <w:t>Student Experience project collaboration</w:t>
            </w:r>
            <w:r w:rsidRPr="00607FDF">
              <w:rPr>
                <w:rFonts w:ascii="Tw Cen MT" w:eastAsia="Times New Roman" w:hAnsi="Tw Cen MT" w:cs="Calibri"/>
                <w:color w:val="000000"/>
                <w:lang w:eastAsia="en-AU"/>
              </w:rPr>
              <w:t xml:space="preserve"> </w:t>
            </w:r>
          </w:p>
        </w:tc>
        <w:tc>
          <w:tcPr>
            <w:tcW w:w="5103" w:type="dxa"/>
            <w:tcBorders>
              <w:top w:val="nil"/>
              <w:left w:val="nil"/>
              <w:bottom w:val="nil"/>
              <w:right w:val="single" w:sz="4" w:space="0" w:color="auto"/>
            </w:tcBorders>
            <w:shd w:val="clear" w:color="auto" w:fill="auto"/>
            <w:noWrap/>
            <w:vAlign w:val="bottom"/>
            <w:hideMark/>
          </w:tcPr>
          <w:p w14:paraId="2FA07848"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Student Life Survey results</w:t>
            </w:r>
          </w:p>
        </w:tc>
      </w:tr>
      <w:tr w:rsidR="00607FDF" w:rsidRPr="00607FDF" w14:paraId="6D751BF6" w14:textId="77777777" w:rsidTr="00607FDF">
        <w:trPr>
          <w:trHeight w:val="280"/>
        </w:trPr>
        <w:tc>
          <w:tcPr>
            <w:tcW w:w="3420" w:type="dxa"/>
            <w:tcBorders>
              <w:top w:val="nil"/>
              <w:left w:val="single" w:sz="4" w:space="0" w:color="auto"/>
              <w:bottom w:val="nil"/>
              <w:right w:val="single" w:sz="4" w:space="0" w:color="auto"/>
            </w:tcBorders>
            <w:shd w:val="clear" w:color="auto" w:fill="auto"/>
            <w:vAlign w:val="bottom"/>
            <w:hideMark/>
          </w:tcPr>
          <w:p w14:paraId="5B1E50F8"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c>
          <w:tcPr>
            <w:tcW w:w="5931" w:type="dxa"/>
            <w:tcBorders>
              <w:top w:val="nil"/>
              <w:left w:val="nil"/>
              <w:bottom w:val="single" w:sz="4" w:space="0" w:color="auto"/>
              <w:right w:val="single" w:sz="4" w:space="0" w:color="auto"/>
            </w:tcBorders>
            <w:shd w:val="clear" w:color="auto" w:fill="auto"/>
            <w:vAlign w:val="center"/>
            <w:hideMark/>
          </w:tcPr>
          <w:p w14:paraId="35152FBB"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xml:space="preserve">Development and design of a </w:t>
            </w:r>
            <w:r w:rsidRPr="00607FDF">
              <w:rPr>
                <w:rFonts w:ascii="Tw Cen MT" w:eastAsia="Times New Roman" w:hAnsi="Tw Cen MT" w:cs="Calibri"/>
                <w:b/>
                <w:bCs/>
                <w:color w:val="000000"/>
                <w:lang w:eastAsia="en-AU"/>
              </w:rPr>
              <w:t>University-wide approach to mentoring</w:t>
            </w:r>
            <w:r w:rsidRPr="00607FDF">
              <w:rPr>
                <w:rFonts w:ascii="Tw Cen MT" w:eastAsia="Times New Roman" w:hAnsi="Tw Cen MT" w:cs="Calibri"/>
                <w:color w:val="000000"/>
                <w:lang w:eastAsia="en-AU"/>
              </w:rPr>
              <w:t>.</w:t>
            </w:r>
          </w:p>
        </w:tc>
        <w:tc>
          <w:tcPr>
            <w:tcW w:w="5103" w:type="dxa"/>
            <w:tcBorders>
              <w:top w:val="nil"/>
              <w:left w:val="nil"/>
              <w:bottom w:val="nil"/>
              <w:right w:val="single" w:sz="4" w:space="0" w:color="auto"/>
            </w:tcBorders>
            <w:shd w:val="clear" w:color="auto" w:fill="auto"/>
            <w:noWrap/>
            <w:vAlign w:val="bottom"/>
            <w:hideMark/>
          </w:tcPr>
          <w:p w14:paraId="08D4F985"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r>
      <w:tr w:rsidR="00607FDF" w:rsidRPr="00607FDF" w14:paraId="17980DC8" w14:textId="77777777" w:rsidTr="00607FDF">
        <w:trPr>
          <w:trHeight w:val="640"/>
        </w:trPr>
        <w:tc>
          <w:tcPr>
            <w:tcW w:w="3420" w:type="dxa"/>
            <w:tcBorders>
              <w:top w:val="nil"/>
              <w:left w:val="single" w:sz="4" w:space="0" w:color="auto"/>
              <w:bottom w:val="nil"/>
              <w:right w:val="single" w:sz="4" w:space="0" w:color="auto"/>
            </w:tcBorders>
            <w:shd w:val="clear" w:color="auto" w:fill="auto"/>
            <w:vAlign w:val="bottom"/>
            <w:hideMark/>
          </w:tcPr>
          <w:p w14:paraId="40BE927F"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c>
          <w:tcPr>
            <w:tcW w:w="5931" w:type="dxa"/>
            <w:tcBorders>
              <w:top w:val="nil"/>
              <w:left w:val="nil"/>
              <w:bottom w:val="single" w:sz="4" w:space="0" w:color="auto"/>
              <w:right w:val="single" w:sz="4" w:space="0" w:color="auto"/>
            </w:tcBorders>
            <w:shd w:val="clear" w:color="auto" w:fill="auto"/>
            <w:vAlign w:val="bottom"/>
            <w:hideMark/>
          </w:tcPr>
          <w:p w14:paraId="6A06DBCA" w14:textId="2031337A"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b/>
                <w:bCs/>
                <w:color w:val="000000"/>
                <w:lang w:eastAsia="en-AU"/>
              </w:rPr>
              <w:t>Streamline current use of resources and siloing of mentoring program</w:t>
            </w:r>
            <w:r w:rsidRPr="00607FDF">
              <w:rPr>
                <w:rFonts w:ascii="Tw Cen MT" w:eastAsia="Times New Roman" w:hAnsi="Tw Cen MT" w:cs="Calibri"/>
                <w:color w:val="000000"/>
                <w:lang w:eastAsia="en-AU"/>
              </w:rPr>
              <w:t xml:space="preserve"> coordination across the university.</w:t>
            </w:r>
          </w:p>
        </w:tc>
        <w:tc>
          <w:tcPr>
            <w:tcW w:w="5103" w:type="dxa"/>
            <w:tcBorders>
              <w:top w:val="nil"/>
              <w:left w:val="nil"/>
              <w:bottom w:val="nil"/>
              <w:right w:val="single" w:sz="4" w:space="0" w:color="auto"/>
            </w:tcBorders>
            <w:shd w:val="clear" w:color="auto" w:fill="auto"/>
            <w:noWrap/>
            <w:vAlign w:val="bottom"/>
            <w:hideMark/>
          </w:tcPr>
          <w:p w14:paraId="242AC36E"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r>
      <w:tr w:rsidR="00607FDF" w:rsidRPr="00607FDF" w14:paraId="1D9B124D" w14:textId="77777777" w:rsidTr="00607FDF">
        <w:trPr>
          <w:trHeight w:val="560"/>
        </w:trPr>
        <w:tc>
          <w:tcPr>
            <w:tcW w:w="3420" w:type="dxa"/>
            <w:tcBorders>
              <w:top w:val="nil"/>
              <w:left w:val="single" w:sz="4" w:space="0" w:color="auto"/>
              <w:bottom w:val="nil"/>
              <w:right w:val="single" w:sz="4" w:space="0" w:color="auto"/>
            </w:tcBorders>
            <w:shd w:val="clear" w:color="auto" w:fill="auto"/>
            <w:vAlign w:val="bottom"/>
            <w:hideMark/>
          </w:tcPr>
          <w:p w14:paraId="3F557BB0"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c>
          <w:tcPr>
            <w:tcW w:w="5931" w:type="dxa"/>
            <w:tcBorders>
              <w:top w:val="nil"/>
              <w:left w:val="nil"/>
              <w:bottom w:val="single" w:sz="4" w:space="0" w:color="auto"/>
              <w:right w:val="single" w:sz="4" w:space="0" w:color="auto"/>
            </w:tcBorders>
            <w:shd w:val="clear" w:color="auto" w:fill="auto"/>
            <w:vAlign w:val="bottom"/>
            <w:hideMark/>
          </w:tcPr>
          <w:p w14:paraId="4D76D419"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Ensure a</w:t>
            </w:r>
            <w:r w:rsidRPr="00607FDF">
              <w:rPr>
                <w:rFonts w:ascii="Tw Cen MT" w:eastAsia="Times New Roman" w:hAnsi="Tw Cen MT" w:cs="Calibri"/>
                <w:b/>
                <w:bCs/>
                <w:color w:val="000000"/>
                <w:lang w:eastAsia="en-AU"/>
              </w:rPr>
              <w:t xml:space="preserve"> student-centred approach to program design</w:t>
            </w:r>
            <w:r w:rsidRPr="00607FDF">
              <w:rPr>
                <w:rFonts w:ascii="Tw Cen MT" w:eastAsia="Times New Roman" w:hAnsi="Tw Cen MT" w:cs="Calibri"/>
                <w:color w:val="000000"/>
                <w:lang w:eastAsia="en-AU"/>
              </w:rPr>
              <w:t xml:space="preserve"> for future support.    </w:t>
            </w:r>
          </w:p>
        </w:tc>
        <w:tc>
          <w:tcPr>
            <w:tcW w:w="5103" w:type="dxa"/>
            <w:tcBorders>
              <w:top w:val="nil"/>
              <w:left w:val="nil"/>
              <w:bottom w:val="nil"/>
              <w:right w:val="single" w:sz="4" w:space="0" w:color="auto"/>
            </w:tcBorders>
            <w:shd w:val="clear" w:color="auto" w:fill="auto"/>
            <w:noWrap/>
            <w:vAlign w:val="bottom"/>
            <w:hideMark/>
          </w:tcPr>
          <w:p w14:paraId="62B38FA8"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r>
      <w:tr w:rsidR="00607FDF" w:rsidRPr="00607FDF" w14:paraId="2A95490D" w14:textId="77777777" w:rsidTr="00607FDF">
        <w:trPr>
          <w:trHeight w:val="560"/>
        </w:trPr>
        <w:tc>
          <w:tcPr>
            <w:tcW w:w="3420" w:type="dxa"/>
            <w:tcBorders>
              <w:top w:val="nil"/>
              <w:left w:val="single" w:sz="4" w:space="0" w:color="auto"/>
              <w:bottom w:val="nil"/>
              <w:right w:val="single" w:sz="4" w:space="0" w:color="auto"/>
            </w:tcBorders>
            <w:shd w:val="clear" w:color="auto" w:fill="auto"/>
            <w:vAlign w:val="bottom"/>
            <w:hideMark/>
          </w:tcPr>
          <w:p w14:paraId="6119C786"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c>
          <w:tcPr>
            <w:tcW w:w="5931" w:type="dxa"/>
            <w:tcBorders>
              <w:top w:val="nil"/>
              <w:left w:val="nil"/>
              <w:bottom w:val="single" w:sz="4" w:space="0" w:color="auto"/>
              <w:right w:val="single" w:sz="4" w:space="0" w:color="auto"/>
            </w:tcBorders>
            <w:shd w:val="clear" w:color="auto" w:fill="auto"/>
            <w:vAlign w:val="bottom"/>
            <w:hideMark/>
          </w:tcPr>
          <w:p w14:paraId="35083852"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b/>
                <w:bCs/>
                <w:color w:val="000000"/>
                <w:lang w:eastAsia="en-AU"/>
              </w:rPr>
              <w:t>Design curricula and content for transition support programs</w:t>
            </w:r>
            <w:r w:rsidRPr="00607FDF">
              <w:rPr>
                <w:rFonts w:ascii="Tw Cen MT" w:eastAsia="Times New Roman" w:hAnsi="Tw Cen MT" w:cs="Calibri"/>
                <w:color w:val="000000"/>
                <w:lang w:eastAsia="en-AU"/>
              </w:rPr>
              <w:t xml:space="preserve"> for target cohorts in preparation for 2021 pilot.                               </w:t>
            </w:r>
          </w:p>
        </w:tc>
        <w:tc>
          <w:tcPr>
            <w:tcW w:w="5103" w:type="dxa"/>
            <w:tcBorders>
              <w:top w:val="nil"/>
              <w:left w:val="nil"/>
              <w:bottom w:val="nil"/>
              <w:right w:val="single" w:sz="4" w:space="0" w:color="auto"/>
            </w:tcBorders>
            <w:shd w:val="clear" w:color="auto" w:fill="auto"/>
            <w:noWrap/>
            <w:vAlign w:val="bottom"/>
            <w:hideMark/>
          </w:tcPr>
          <w:p w14:paraId="1765770F"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r>
      <w:tr w:rsidR="00607FDF" w:rsidRPr="00607FDF" w14:paraId="3529B3C3" w14:textId="77777777" w:rsidTr="00607FDF">
        <w:trPr>
          <w:trHeight w:val="560"/>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3C203FF4"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c>
          <w:tcPr>
            <w:tcW w:w="5931" w:type="dxa"/>
            <w:tcBorders>
              <w:top w:val="nil"/>
              <w:left w:val="nil"/>
              <w:bottom w:val="single" w:sz="4" w:space="0" w:color="auto"/>
              <w:right w:val="single" w:sz="4" w:space="0" w:color="auto"/>
            </w:tcBorders>
            <w:shd w:val="clear" w:color="auto" w:fill="auto"/>
            <w:vAlign w:val="bottom"/>
            <w:hideMark/>
          </w:tcPr>
          <w:p w14:paraId="3C425160" w14:textId="6F79A1FD"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xml:space="preserve">New </w:t>
            </w:r>
            <w:r w:rsidRPr="00607FDF">
              <w:rPr>
                <w:rFonts w:ascii="Tw Cen MT" w:eastAsia="Times New Roman" w:hAnsi="Tw Cen MT" w:cs="Calibri"/>
                <w:b/>
                <w:bCs/>
                <w:color w:val="000000"/>
                <w:lang w:eastAsia="en-AU"/>
              </w:rPr>
              <w:t>Student Mental Wellbeing</w:t>
            </w:r>
            <w:r w:rsidRPr="00607FDF">
              <w:rPr>
                <w:rFonts w:ascii="Tw Cen MT" w:eastAsia="Times New Roman" w:hAnsi="Tw Cen MT" w:cs="Calibri"/>
                <w:color w:val="000000"/>
                <w:lang w:eastAsia="en-AU"/>
              </w:rPr>
              <w:t xml:space="preserve"> and </w:t>
            </w:r>
            <w:r w:rsidRPr="00607FDF">
              <w:rPr>
                <w:rFonts w:ascii="Tw Cen MT" w:eastAsia="Times New Roman" w:hAnsi="Tw Cen MT" w:cs="Calibri"/>
                <w:b/>
                <w:bCs/>
                <w:color w:val="000000"/>
                <w:lang w:eastAsia="en-AU"/>
              </w:rPr>
              <w:t>English Language Support Strategies</w:t>
            </w:r>
            <w:r w:rsidRPr="00607FDF">
              <w:rPr>
                <w:rFonts w:ascii="Tw Cen MT" w:eastAsia="Times New Roman" w:hAnsi="Tw Cen MT" w:cs="Calibri"/>
                <w:color w:val="000000"/>
                <w:lang w:eastAsia="en-AU"/>
              </w:rPr>
              <w:t>.</w:t>
            </w:r>
          </w:p>
        </w:tc>
        <w:tc>
          <w:tcPr>
            <w:tcW w:w="5103" w:type="dxa"/>
            <w:tcBorders>
              <w:top w:val="nil"/>
              <w:left w:val="nil"/>
              <w:bottom w:val="single" w:sz="4" w:space="0" w:color="auto"/>
              <w:right w:val="single" w:sz="4" w:space="0" w:color="auto"/>
            </w:tcBorders>
            <w:shd w:val="clear" w:color="auto" w:fill="auto"/>
            <w:noWrap/>
            <w:vAlign w:val="bottom"/>
            <w:hideMark/>
          </w:tcPr>
          <w:p w14:paraId="5738B2A1"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r>
      <w:tr w:rsidR="00607FDF" w:rsidRPr="00607FDF" w14:paraId="4D2DCC4E" w14:textId="77777777" w:rsidTr="00607FDF">
        <w:trPr>
          <w:trHeight w:val="280"/>
        </w:trPr>
        <w:tc>
          <w:tcPr>
            <w:tcW w:w="14454" w:type="dxa"/>
            <w:gridSpan w:val="3"/>
            <w:tcBorders>
              <w:top w:val="single" w:sz="4" w:space="0" w:color="auto"/>
              <w:left w:val="nil"/>
              <w:bottom w:val="nil"/>
              <w:right w:val="nil"/>
            </w:tcBorders>
            <w:shd w:val="clear" w:color="000000" w:fill="D9D9D9"/>
            <w:noWrap/>
            <w:vAlign w:val="bottom"/>
            <w:hideMark/>
          </w:tcPr>
          <w:p w14:paraId="1BE2218D" w14:textId="77777777" w:rsidR="00607FDF" w:rsidRPr="00607FDF" w:rsidRDefault="00607FDF" w:rsidP="00607FDF">
            <w:pPr>
              <w:spacing w:after="0" w:line="240" w:lineRule="auto"/>
              <w:jc w:val="center"/>
              <w:rPr>
                <w:rFonts w:ascii="Tw Cen MT" w:eastAsia="Times New Roman" w:hAnsi="Tw Cen MT" w:cs="Calibri"/>
                <w:color w:val="000000"/>
                <w:lang w:eastAsia="en-AU"/>
              </w:rPr>
            </w:pPr>
            <w:r w:rsidRPr="00607FDF">
              <w:rPr>
                <w:rFonts w:ascii="Tw Cen MT" w:eastAsia="Times New Roman" w:hAnsi="Tw Cen MT" w:cs="Calibri"/>
                <w:color w:val="000000"/>
                <w:lang w:eastAsia="en-AU"/>
              </w:rPr>
              <w:t>PROGRESS AND ATTAINMENT: Ensuring successful completion and preparation for employment.</w:t>
            </w:r>
          </w:p>
        </w:tc>
      </w:tr>
      <w:tr w:rsidR="00607FDF" w:rsidRPr="00607FDF" w14:paraId="0CC1D424" w14:textId="77777777" w:rsidTr="00607FDF">
        <w:trPr>
          <w:trHeight w:val="560"/>
        </w:trPr>
        <w:tc>
          <w:tcPr>
            <w:tcW w:w="3420" w:type="dxa"/>
            <w:tcBorders>
              <w:top w:val="single" w:sz="4" w:space="0" w:color="auto"/>
              <w:left w:val="single" w:sz="4" w:space="0" w:color="auto"/>
              <w:bottom w:val="nil"/>
              <w:right w:val="single" w:sz="4" w:space="0" w:color="auto"/>
            </w:tcBorders>
            <w:shd w:val="clear" w:color="auto" w:fill="auto"/>
            <w:vAlign w:val="bottom"/>
            <w:hideMark/>
          </w:tcPr>
          <w:p w14:paraId="71039B02"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Graduating students from target cohorts</w:t>
            </w:r>
          </w:p>
        </w:tc>
        <w:tc>
          <w:tcPr>
            <w:tcW w:w="5931" w:type="dxa"/>
            <w:tcBorders>
              <w:top w:val="single" w:sz="4" w:space="0" w:color="auto"/>
              <w:left w:val="nil"/>
              <w:bottom w:val="nil"/>
              <w:right w:val="single" w:sz="4" w:space="0" w:color="auto"/>
            </w:tcBorders>
            <w:shd w:val="clear" w:color="auto" w:fill="auto"/>
            <w:vAlign w:val="bottom"/>
            <w:hideMark/>
          </w:tcPr>
          <w:p w14:paraId="325E914A"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Review and analysis of the student experience and graduate destinations for students from target cohorts</w:t>
            </w:r>
          </w:p>
        </w:tc>
        <w:tc>
          <w:tcPr>
            <w:tcW w:w="5103" w:type="dxa"/>
            <w:tcBorders>
              <w:top w:val="single" w:sz="4" w:space="0" w:color="auto"/>
              <w:left w:val="nil"/>
              <w:bottom w:val="nil"/>
              <w:right w:val="single" w:sz="4" w:space="0" w:color="auto"/>
            </w:tcBorders>
            <w:shd w:val="clear" w:color="auto" w:fill="auto"/>
            <w:vAlign w:val="bottom"/>
            <w:hideMark/>
          </w:tcPr>
          <w:p w14:paraId="70F89D92" w14:textId="77777777" w:rsidR="00607FDF" w:rsidRPr="00607FDF" w:rsidRDefault="00607FDF" w:rsidP="00607FDF">
            <w:pPr>
              <w:spacing w:after="0" w:line="240" w:lineRule="auto"/>
              <w:rPr>
                <w:rFonts w:ascii="Tw Cen MT" w:eastAsia="Times New Roman" w:hAnsi="Tw Cen MT" w:cs="Calibri"/>
                <w:b/>
                <w:bCs/>
                <w:color w:val="000000"/>
                <w:lang w:eastAsia="en-AU"/>
              </w:rPr>
            </w:pPr>
            <w:r w:rsidRPr="00607FDF">
              <w:rPr>
                <w:rFonts w:ascii="Tw Cen MT" w:eastAsia="Times New Roman" w:hAnsi="Tw Cen MT" w:cs="Calibri"/>
                <w:b/>
                <w:bCs/>
                <w:color w:val="000000"/>
                <w:lang w:eastAsia="en-AU"/>
              </w:rPr>
              <w:t xml:space="preserve">Outcome: </w:t>
            </w:r>
            <w:r w:rsidRPr="00607FDF">
              <w:rPr>
                <w:rFonts w:ascii="Tw Cen MT" w:eastAsia="Times New Roman" w:hAnsi="Tw Cen MT" w:cs="Calibri"/>
                <w:color w:val="000000"/>
                <w:lang w:eastAsia="en-AU"/>
              </w:rPr>
              <w:t>Increased completion rates for target cohorts, increased rates of graduate employment or postgraduate study by target cohorts</w:t>
            </w:r>
          </w:p>
        </w:tc>
      </w:tr>
      <w:tr w:rsidR="00607FDF" w:rsidRPr="00607FDF" w14:paraId="234B6677" w14:textId="77777777" w:rsidTr="00607FDF">
        <w:trPr>
          <w:trHeight w:val="28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02F4245A"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c>
          <w:tcPr>
            <w:tcW w:w="5931" w:type="dxa"/>
            <w:tcBorders>
              <w:top w:val="nil"/>
              <w:left w:val="nil"/>
              <w:bottom w:val="single" w:sz="4" w:space="0" w:color="auto"/>
              <w:right w:val="single" w:sz="4" w:space="0" w:color="auto"/>
            </w:tcBorders>
            <w:shd w:val="clear" w:color="auto" w:fill="auto"/>
            <w:noWrap/>
            <w:vAlign w:val="bottom"/>
            <w:hideMark/>
          </w:tcPr>
          <w:p w14:paraId="6B2337CE" w14:textId="77777777" w:rsidR="00607FDF" w:rsidRPr="00607FDF" w:rsidRDefault="00607FDF" w:rsidP="00607FDF">
            <w:pPr>
              <w:spacing w:after="0" w:line="240" w:lineRule="auto"/>
              <w:rPr>
                <w:rFonts w:ascii="Tw Cen MT" w:eastAsia="Times New Roman" w:hAnsi="Tw Cen MT" w:cs="Calibri"/>
                <w:color w:val="000000"/>
                <w:lang w:eastAsia="en-AU"/>
              </w:rPr>
            </w:pPr>
            <w:r w:rsidRPr="00607FDF">
              <w:rPr>
                <w:rFonts w:ascii="Tw Cen MT" w:eastAsia="Times New Roman" w:hAnsi="Tw Cen MT" w:cs="Calibri"/>
                <w:color w:val="000000"/>
                <w:lang w:eastAsia="en-AU"/>
              </w:rPr>
              <w:t> </w:t>
            </w:r>
          </w:p>
        </w:tc>
        <w:tc>
          <w:tcPr>
            <w:tcW w:w="5103" w:type="dxa"/>
            <w:tcBorders>
              <w:top w:val="nil"/>
              <w:left w:val="nil"/>
              <w:bottom w:val="single" w:sz="4" w:space="0" w:color="auto"/>
              <w:right w:val="single" w:sz="4" w:space="0" w:color="auto"/>
            </w:tcBorders>
            <w:shd w:val="clear" w:color="auto" w:fill="auto"/>
            <w:noWrap/>
            <w:vAlign w:val="bottom"/>
            <w:hideMark/>
          </w:tcPr>
          <w:p w14:paraId="4120D2FF" w14:textId="77777777" w:rsidR="00607FDF" w:rsidRPr="00607FDF" w:rsidRDefault="00607FDF" w:rsidP="00607FDF">
            <w:pPr>
              <w:spacing w:after="0" w:line="240" w:lineRule="auto"/>
              <w:rPr>
                <w:rFonts w:ascii="Tw Cen MT" w:eastAsia="Times New Roman" w:hAnsi="Tw Cen MT" w:cs="Calibri"/>
                <w:b/>
                <w:bCs/>
                <w:color w:val="000000"/>
                <w:lang w:eastAsia="en-AU"/>
              </w:rPr>
            </w:pPr>
            <w:r w:rsidRPr="00607FDF">
              <w:rPr>
                <w:rFonts w:ascii="Tw Cen MT" w:eastAsia="Times New Roman" w:hAnsi="Tw Cen MT" w:cs="Calibri"/>
                <w:b/>
                <w:bCs/>
                <w:color w:val="000000"/>
                <w:lang w:eastAsia="en-AU"/>
              </w:rPr>
              <w:t xml:space="preserve">Evaluation: </w:t>
            </w:r>
            <w:r w:rsidRPr="00607FDF">
              <w:rPr>
                <w:rFonts w:ascii="Tw Cen MT" w:eastAsia="Times New Roman" w:hAnsi="Tw Cen MT" w:cs="Calibri"/>
                <w:color w:val="000000"/>
                <w:lang w:eastAsia="en-AU"/>
              </w:rPr>
              <w:t>Graduate Destination Survey</w:t>
            </w:r>
          </w:p>
        </w:tc>
      </w:tr>
    </w:tbl>
    <w:p w14:paraId="7FABDB22" w14:textId="77777777" w:rsidR="002426BD" w:rsidRPr="002426BD" w:rsidRDefault="002426BD" w:rsidP="002426BD">
      <w:pPr>
        <w:spacing w:after="0" w:line="240" w:lineRule="auto"/>
        <w:rPr>
          <w:rFonts w:ascii="Tw Cen MT" w:hAnsi="Tw Cen MT"/>
        </w:rPr>
      </w:pPr>
    </w:p>
    <w:sectPr w:rsidR="002426BD" w:rsidRPr="002426BD" w:rsidSect="00607FDF">
      <w:pgSz w:w="16838" w:h="11906" w:orient="landscape"/>
      <w:pgMar w:top="993" w:right="709"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246C3" w14:textId="77777777" w:rsidR="00981BF4" w:rsidRDefault="00981BF4" w:rsidP="00E8540E">
      <w:pPr>
        <w:spacing w:after="0" w:line="240" w:lineRule="auto"/>
      </w:pPr>
      <w:r>
        <w:separator/>
      </w:r>
    </w:p>
  </w:endnote>
  <w:endnote w:type="continuationSeparator" w:id="0">
    <w:p w14:paraId="7A36DF3F" w14:textId="77777777" w:rsidR="00981BF4" w:rsidRDefault="00981BF4" w:rsidP="00E8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altName w:val="Calibri"/>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8F233" w14:textId="77777777" w:rsidR="00981BF4" w:rsidRDefault="00981BF4" w:rsidP="00E8540E">
      <w:pPr>
        <w:spacing w:after="0" w:line="240" w:lineRule="auto"/>
      </w:pPr>
      <w:r>
        <w:separator/>
      </w:r>
    </w:p>
  </w:footnote>
  <w:footnote w:type="continuationSeparator" w:id="0">
    <w:p w14:paraId="7EAEA358" w14:textId="77777777" w:rsidR="00981BF4" w:rsidRDefault="00981BF4" w:rsidP="00E8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32A2D"/>
    <w:multiLevelType w:val="hybridMultilevel"/>
    <w:tmpl w:val="55369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3C470C"/>
    <w:multiLevelType w:val="hybridMultilevel"/>
    <w:tmpl w:val="D1CE5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E9718A"/>
    <w:multiLevelType w:val="hybridMultilevel"/>
    <w:tmpl w:val="87265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AB4AF7"/>
    <w:multiLevelType w:val="hybridMultilevel"/>
    <w:tmpl w:val="60D2E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BD"/>
    <w:rsid w:val="00012238"/>
    <w:rsid w:val="0006253A"/>
    <w:rsid w:val="00165A88"/>
    <w:rsid w:val="00194838"/>
    <w:rsid w:val="002426BD"/>
    <w:rsid w:val="0038296D"/>
    <w:rsid w:val="00595335"/>
    <w:rsid w:val="00607FDF"/>
    <w:rsid w:val="00856557"/>
    <w:rsid w:val="00875DA6"/>
    <w:rsid w:val="00981BF4"/>
    <w:rsid w:val="00991DEB"/>
    <w:rsid w:val="00A1717B"/>
    <w:rsid w:val="00C753BC"/>
    <w:rsid w:val="00E8540E"/>
    <w:rsid w:val="08109CEC"/>
    <w:rsid w:val="26F19A40"/>
    <w:rsid w:val="660D38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BD429"/>
  <w15:chartTrackingRefBased/>
  <w15:docId w15:val="{73F6A287-879B-4D86-9D53-ED3BCEDC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17B"/>
    <w:pPr>
      <w:ind w:left="720"/>
      <w:contextualSpacing/>
    </w:pPr>
  </w:style>
  <w:style w:type="table" w:styleId="TableGrid">
    <w:name w:val="Table Grid"/>
    <w:basedOn w:val="TableNormal"/>
    <w:uiPriority w:val="39"/>
    <w:rsid w:val="00607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5A88"/>
    <w:rPr>
      <w:sz w:val="16"/>
      <w:szCs w:val="16"/>
    </w:rPr>
  </w:style>
  <w:style w:type="paragraph" w:styleId="CommentText">
    <w:name w:val="annotation text"/>
    <w:basedOn w:val="Normal"/>
    <w:link w:val="CommentTextChar"/>
    <w:uiPriority w:val="99"/>
    <w:semiHidden/>
    <w:unhideWhenUsed/>
    <w:rsid w:val="00165A88"/>
    <w:pPr>
      <w:spacing w:line="240" w:lineRule="auto"/>
    </w:pPr>
    <w:rPr>
      <w:sz w:val="20"/>
      <w:szCs w:val="20"/>
    </w:rPr>
  </w:style>
  <w:style w:type="character" w:customStyle="1" w:styleId="CommentTextChar">
    <w:name w:val="Comment Text Char"/>
    <w:basedOn w:val="DefaultParagraphFont"/>
    <w:link w:val="CommentText"/>
    <w:uiPriority w:val="99"/>
    <w:semiHidden/>
    <w:rsid w:val="00165A88"/>
    <w:rPr>
      <w:sz w:val="20"/>
      <w:szCs w:val="20"/>
    </w:rPr>
  </w:style>
  <w:style w:type="paragraph" w:styleId="CommentSubject">
    <w:name w:val="annotation subject"/>
    <w:basedOn w:val="CommentText"/>
    <w:next w:val="CommentText"/>
    <w:link w:val="CommentSubjectChar"/>
    <w:uiPriority w:val="99"/>
    <w:semiHidden/>
    <w:unhideWhenUsed/>
    <w:rsid w:val="00165A88"/>
    <w:rPr>
      <w:b/>
      <w:bCs/>
    </w:rPr>
  </w:style>
  <w:style w:type="character" w:customStyle="1" w:styleId="CommentSubjectChar">
    <w:name w:val="Comment Subject Char"/>
    <w:basedOn w:val="CommentTextChar"/>
    <w:link w:val="CommentSubject"/>
    <w:uiPriority w:val="99"/>
    <w:semiHidden/>
    <w:rsid w:val="00165A88"/>
    <w:rPr>
      <w:b/>
      <w:bCs/>
      <w:sz w:val="20"/>
      <w:szCs w:val="20"/>
    </w:rPr>
  </w:style>
  <w:style w:type="paragraph" w:styleId="BalloonText">
    <w:name w:val="Balloon Text"/>
    <w:basedOn w:val="Normal"/>
    <w:link w:val="BalloonTextChar"/>
    <w:uiPriority w:val="99"/>
    <w:semiHidden/>
    <w:unhideWhenUsed/>
    <w:rsid w:val="00165A8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5A88"/>
    <w:rPr>
      <w:rFonts w:ascii="Times New Roman" w:hAnsi="Times New Roman" w:cs="Times New Roman"/>
      <w:sz w:val="18"/>
      <w:szCs w:val="18"/>
    </w:rPr>
  </w:style>
  <w:style w:type="paragraph" w:styleId="Header">
    <w:name w:val="header"/>
    <w:basedOn w:val="Normal"/>
    <w:link w:val="HeaderChar"/>
    <w:uiPriority w:val="99"/>
    <w:unhideWhenUsed/>
    <w:rsid w:val="00E854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40E"/>
  </w:style>
  <w:style w:type="paragraph" w:styleId="Footer">
    <w:name w:val="footer"/>
    <w:basedOn w:val="Normal"/>
    <w:link w:val="FooterChar"/>
    <w:uiPriority w:val="99"/>
    <w:unhideWhenUsed/>
    <w:rsid w:val="00E854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59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36F7FA18AC634AAB53E2D0309CEED6" ma:contentTypeVersion="13" ma:contentTypeDescription="Create a new document." ma:contentTypeScope="" ma:versionID="be5f1f23d25c0caeaa9e65865d918ccc">
  <xsd:schema xmlns:xsd="http://www.w3.org/2001/XMLSchema" xmlns:xs="http://www.w3.org/2001/XMLSchema" xmlns:p="http://schemas.microsoft.com/office/2006/metadata/properties" xmlns:ns3="6e5dd713-678f-4771-8422-0f4a6124df97" xmlns:ns4="90f7d666-7a8f-4219-b738-dfe9b19ddd06" targetNamespace="http://schemas.microsoft.com/office/2006/metadata/properties" ma:root="true" ma:fieldsID="a402e0b89155e9c458e3824d458775da" ns3:_="" ns4:_="">
    <xsd:import namespace="6e5dd713-678f-4771-8422-0f4a6124df97"/>
    <xsd:import namespace="90f7d666-7a8f-4219-b738-dfe9b19ddd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dd713-678f-4771-8422-0f4a6124d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7d666-7a8f-4219-b738-dfe9b19ddd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55AE7-1524-44A8-9832-66DFD3A3E7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4E1112-C0B0-4B74-8C7C-D0E7F17EF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dd713-678f-4771-8422-0f4a6124df97"/>
    <ds:schemaRef ds:uri="90f7d666-7a8f-4219-b738-dfe9b19dd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E5BD6-A18C-47D1-87C3-E3971A809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Stanhope</dc:creator>
  <cp:keywords/>
  <dc:description/>
  <cp:lastModifiedBy>Michelle Stanhope</cp:lastModifiedBy>
  <cp:revision>3</cp:revision>
  <dcterms:created xsi:type="dcterms:W3CDTF">2020-06-10T04:05:00Z</dcterms:created>
  <dcterms:modified xsi:type="dcterms:W3CDTF">2020-06-10T06:49:00Z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0x0101009836F7FA18AC634AAB53E2D0309CEED6</vt:lpwstr>
  </property>
</Properties>
</file>