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66F0A" w14:textId="77777777" w:rsidR="0052071B" w:rsidRPr="004B472D" w:rsidRDefault="0052071B" w:rsidP="007A759F">
      <w:pPr>
        <w:jc w:val="both"/>
        <w:rPr>
          <w:rFonts w:cstheme="minorHAnsi"/>
          <w:b/>
          <w:sz w:val="22"/>
          <w:szCs w:val="22"/>
        </w:rPr>
      </w:pPr>
      <w:bookmarkStart w:id="0" w:name="_GoBack"/>
      <w:bookmarkEnd w:id="0"/>
      <w:r w:rsidRPr="004B472D">
        <w:rPr>
          <w:rFonts w:cstheme="minorHAnsi"/>
          <w:b/>
          <w:sz w:val="22"/>
          <w:szCs w:val="22"/>
        </w:rPr>
        <w:t>University of Newcastle</w:t>
      </w:r>
    </w:p>
    <w:p w14:paraId="3ABEE0EC" w14:textId="01EF301B" w:rsidR="005565D5" w:rsidRPr="007A759F" w:rsidRDefault="002D1015" w:rsidP="007A759F">
      <w:pPr>
        <w:pBdr>
          <w:bottom w:val="single" w:sz="12" w:space="1" w:color="auto"/>
        </w:pBdr>
        <w:jc w:val="both"/>
        <w:rPr>
          <w:rFonts w:cstheme="minorHAnsi"/>
          <w:b/>
          <w:sz w:val="22"/>
          <w:szCs w:val="22"/>
        </w:rPr>
      </w:pPr>
      <w:r w:rsidRPr="007A759F">
        <w:rPr>
          <w:rFonts w:cstheme="minorHAnsi"/>
          <w:b/>
          <w:sz w:val="22"/>
          <w:szCs w:val="22"/>
        </w:rPr>
        <w:t xml:space="preserve">Student Equity and Social Justice </w:t>
      </w:r>
      <w:r w:rsidR="00A23178">
        <w:rPr>
          <w:rFonts w:cstheme="minorHAnsi"/>
          <w:b/>
          <w:sz w:val="22"/>
          <w:szCs w:val="22"/>
        </w:rPr>
        <w:t>Plan 2020</w:t>
      </w:r>
    </w:p>
    <w:p w14:paraId="47C7952D" w14:textId="77777777" w:rsidR="0052071B" w:rsidRPr="007A759F" w:rsidRDefault="0052071B" w:rsidP="007A759F">
      <w:pPr>
        <w:pBdr>
          <w:bottom w:val="single" w:sz="12" w:space="1" w:color="auto"/>
        </w:pBdr>
        <w:jc w:val="both"/>
        <w:rPr>
          <w:rFonts w:cstheme="minorHAnsi"/>
          <w:b/>
          <w:sz w:val="22"/>
          <w:szCs w:val="22"/>
        </w:rPr>
      </w:pPr>
    </w:p>
    <w:p w14:paraId="4EB2B836" w14:textId="77777777" w:rsidR="002D1015" w:rsidRPr="007A759F" w:rsidRDefault="002D1015" w:rsidP="007A759F">
      <w:pPr>
        <w:jc w:val="both"/>
        <w:rPr>
          <w:rFonts w:cstheme="minorHAnsi"/>
          <w:sz w:val="22"/>
          <w:szCs w:val="22"/>
        </w:rPr>
      </w:pPr>
    </w:p>
    <w:p w14:paraId="3951D9CB" w14:textId="77777777" w:rsidR="0004399C" w:rsidRPr="007A759F" w:rsidRDefault="0004399C" w:rsidP="007A759F">
      <w:pPr>
        <w:jc w:val="both"/>
        <w:rPr>
          <w:rFonts w:cstheme="minorHAnsi"/>
          <w:b/>
          <w:sz w:val="22"/>
          <w:szCs w:val="22"/>
        </w:rPr>
      </w:pPr>
      <w:r w:rsidRPr="007A759F">
        <w:rPr>
          <w:rFonts w:cstheme="minorHAnsi"/>
          <w:b/>
          <w:sz w:val="22"/>
          <w:szCs w:val="22"/>
        </w:rPr>
        <w:t>Background</w:t>
      </w:r>
    </w:p>
    <w:p w14:paraId="141D02FC" w14:textId="77777777" w:rsidR="00515055" w:rsidRPr="007A759F" w:rsidRDefault="00515055" w:rsidP="007A759F">
      <w:pPr>
        <w:jc w:val="both"/>
        <w:rPr>
          <w:rFonts w:cstheme="minorHAnsi"/>
          <w:sz w:val="22"/>
          <w:szCs w:val="22"/>
        </w:rPr>
      </w:pPr>
    </w:p>
    <w:p w14:paraId="380846E7" w14:textId="4829CBAF" w:rsidR="00426466" w:rsidRPr="007A759F" w:rsidRDefault="00515055" w:rsidP="007A759F">
      <w:pPr>
        <w:spacing w:before="120" w:after="120"/>
        <w:jc w:val="both"/>
        <w:rPr>
          <w:rFonts w:cstheme="minorHAnsi"/>
          <w:sz w:val="22"/>
          <w:szCs w:val="22"/>
        </w:rPr>
      </w:pPr>
      <w:r w:rsidRPr="007A759F">
        <w:rPr>
          <w:rFonts w:eastAsia="Calibri" w:cstheme="minorHAnsi"/>
          <w:sz w:val="22"/>
          <w:szCs w:val="22"/>
        </w:rPr>
        <w:t>The University of Newcastle</w:t>
      </w:r>
      <w:r w:rsidR="008C7A0C" w:rsidRPr="007A759F">
        <w:rPr>
          <w:rFonts w:eastAsia="Calibri" w:cstheme="minorHAnsi"/>
          <w:sz w:val="22"/>
          <w:szCs w:val="22"/>
        </w:rPr>
        <w:t xml:space="preserve"> (University)</w:t>
      </w:r>
      <w:r w:rsidRPr="007A759F">
        <w:rPr>
          <w:rFonts w:eastAsia="Calibri" w:cstheme="minorHAnsi"/>
          <w:sz w:val="22"/>
          <w:szCs w:val="22"/>
        </w:rPr>
        <w:t xml:space="preserve"> </w:t>
      </w:r>
      <w:r w:rsidR="00426466" w:rsidRPr="007A759F">
        <w:rPr>
          <w:rFonts w:eastAsia="Calibri" w:cstheme="minorHAnsi"/>
          <w:sz w:val="22"/>
          <w:szCs w:val="22"/>
        </w:rPr>
        <w:t xml:space="preserve">is proud to be </w:t>
      </w:r>
      <w:r w:rsidRPr="007A759F">
        <w:rPr>
          <w:rFonts w:cstheme="minorHAnsi"/>
          <w:sz w:val="22"/>
          <w:szCs w:val="22"/>
        </w:rPr>
        <w:t xml:space="preserve">recognised for its distinctive </w:t>
      </w:r>
      <w:r w:rsidR="00620C69" w:rsidRPr="007A759F">
        <w:rPr>
          <w:rFonts w:cstheme="minorHAnsi"/>
          <w:sz w:val="22"/>
          <w:szCs w:val="22"/>
        </w:rPr>
        <w:t xml:space="preserve">commitment to equity and excellence. This </w:t>
      </w:r>
      <w:r w:rsidRPr="007A759F">
        <w:rPr>
          <w:rFonts w:cstheme="minorHAnsi"/>
          <w:sz w:val="22"/>
          <w:szCs w:val="22"/>
        </w:rPr>
        <w:t xml:space="preserve">commitment </w:t>
      </w:r>
      <w:r w:rsidR="00545D41">
        <w:rPr>
          <w:rFonts w:cstheme="minorHAnsi"/>
          <w:sz w:val="22"/>
          <w:szCs w:val="22"/>
        </w:rPr>
        <w:t xml:space="preserve">is </w:t>
      </w:r>
      <w:r w:rsidRPr="007A759F">
        <w:rPr>
          <w:rFonts w:cstheme="minorHAnsi"/>
          <w:sz w:val="22"/>
          <w:szCs w:val="22"/>
        </w:rPr>
        <w:t xml:space="preserve">embedded </w:t>
      </w:r>
      <w:r w:rsidR="00D647FA" w:rsidRPr="007A759F">
        <w:rPr>
          <w:rFonts w:cstheme="minorHAnsi"/>
          <w:sz w:val="22"/>
          <w:szCs w:val="22"/>
        </w:rPr>
        <w:t>with</w:t>
      </w:r>
      <w:r w:rsidRPr="007A759F">
        <w:rPr>
          <w:rFonts w:cstheme="minorHAnsi"/>
          <w:sz w:val="22"/>
          <w:szCs w:val="22"/>
        </w:rPr>
        <w:t>in institutional strategies, practice, research</w:t>
      </w:r>
      <w:r w:rsidR="00E068DA" w:rsidRPr="007A759F">
        <w:rPr>
          <w:rFonts w:cstheme="minorHAnsi"/>
          <w:sz w:val="22"/>
          <w:szCs w:val="22"/>
        </w:rPr>
        <w:t>, evaluation</w:t>
      </w:r>
      <w:r w:rsidRPr="007A759F">
        <w:rPr>
          <w:rFonts w:cstheme="minorHAnsi"/>
          <w:sz w:val="22"/>
          <w:szCs w:val="22"/>
        </w:rPr>
        <w:t xml:space="preserve"> and pedagogy. </w:t>
      </w:r>
      <w:r w:rsidR="00620C69" w:rsidRPr="007A759F">
        <w:rPr>
          <w:rFonts w:cstheme="minorHAnsi"/>
          <w:sz w:val="22"/>
          <w:szCs w:val="22"/>
        </w:rPr>
        <w:t>It</w:t>
      </w:r>
      <w:r w:rsidRPr="007A759F">
        <w:rPr>
          <w:rFonts w:cstheme="minorHAnsi"/>
          <w:sz w:val="22"/>
          <w:szCs w:val="22"/>
        </w:rPr>
        <w:t xml:space="preserve"> is ongoing </w:t>
      </w:r>
      <w:r w:rsidR="00426466" w:rsidRPr="007A759F">
        <w:rPr>
          <w:rFonts w:cstheme="minorHAnsi"/>
          <w:sz w:val="22"/>
          <w:szCs w:val="22"/>
        </w:rPr>
        <w:t xml:space="preserve">as </w:t>
      </w:r>
      <w:r w:rsidRPr="007A759F">
        <w:rPr>
          <w:rFonts w:cstheme="minorHAnsi"/>
          <w:sz w:val="22"/>
          <w:szCs w:val="22"/>
        </w:rPr>
        <w:t>we</w:t>
      </w:r>
      <w:r w:rsidR="00426466" w:rsidRPr="007A759F">
        <w:rPr>
          <w:rFonts w:cstheme="minorHAnsi"/>
          <w:sz w:val="22"/>
          <w:szCs w:val="22"/>
        </w:rPr>
        <w:t xml:space="preserve"> </w:t>
      </w:r>
      <w:r w:rsidRPr="007A759F">
        <w:rPr>
          <w:rFonts w:cstheme="minorHAnsi"/>
          <w:sz w:val="22"/>
          <w:szCs w:val="22"/>
        </w:rPr>
        <w:t xml:space="preserve">continue to work toward our goal of parity of participation and to strengthen our impact for local and international communities. </w:t>
      </w:r>
      <w:r w:rsidR="006567C6" w:rsidRPr="007A759F">
        <w:rPr>
          <w:rFonts w:cstheme="minorHAnsi"/>
          <w:sz w:val="22"/>
          <w:szCs w:val="22"/>
        </w:rPr>
        <w:t xml:space="preserve">The Student Equity and Social Justice </w:t>
      </w:r>
      <w:r w:rsidR="00AB2530">
        <w:rPr>
          <w:rFonts w:cstheme="minorHAnsi"/>
          <w:sz w:val="22"/>
          <w:szCs w:val="22"/>
        </w:rPr>
        <w:t>Plan</w:t>
      </w:r>
      <w:r w:rsidR="006567C6" w:rsidRPr="007A759F">
        <w:rPr>
          <w:rFonts w:cstheme="minorHAnsi"/>
          <w:sz w:val="22"/>
          <w:szCs w:val="22"/>
        </w:rPr>
        <w:t xml:space="preserve"> strongly supports </w:t>
      </w:r>
      <w:r w:rsidR="00F2379F" w:rsidRPr="007A759F">
        <w:rPr>
          <w:rFonts w:cstheme="minorHAnsi"/>
          <w:sz w:val="22"/>
          <w:szCs w:val="22"/>
        </w:rPr>
        <w:t xml:space="preserve">and deepens </w:t>
      </w:r>
      <w:r w:rsidR="006567C6" w:rsidRPr="007A759F">
        <w:rPr>
          <w:rFonts w:cstheme="minorHAnsi"/>
          <w:sz w:val="22"/>
          <w:szCs w:val="22"/>
        </w:rPr>
        <w:t>UON’s lived values of equity, excellence, engagement and sustainability.</w:t>
      </w:r>
    </w:p>
    <w:p w14:paraId="3094DF17" w14:textId="77777777" w:rsidR="00620C69" w:rsidRPr="007A759F" w:rsidRDefault="00620C69" w:rsidP="007A759F">
      <w:pPr>
        <w:spacing w:before="120" w:after="120"/>
        <w:jc w:val="both"/>
        <w:rPr>
          <w:rFonts w:eastAsia="Calibri" w:cstheme="minorHAnsi"/>
          <w:sz w:val="22"/>
          <w:szCs w:val="22"/>
        </w:rPr>
      </w:pPr>
      <w:r w:rsidRPr="007A759F">
        <w:rPr>
          <w:rFonts w:eastAsia="Calibri" w:cstheme="minorHAnsi"/>
          <w:sz w:val="22"/>
          <w:szCs w:val="22"/>
        </w:rPr>
        <w:t>Looking Ahead 2020-2025, the University’s new Strategic Plan affirms our commitment to widening participation, promoting diversity and fairness, overcoming injustice, and increasing success for all through the delivery of an outstanding and inspiring student experience, as well as research that engages locally and globally.</w:t>
      </w:r>
    </w:p>
    <w:p w14:paraId="5A3F40A8" w14:textId="77777777" w:rsidR="00426466" w:rsidRPr="007A759F" w:rsidRDefault="00620C69" w:rsidP="007A759F">
      <w:pPr>
        <w:spacing w:before="120" w:after="120"/>
        <w:jc w:val="both"/>
        <w:rPr>
          <w:rFonts w:eastAsia="Calibri" w:cstheme="minorHAnsi"/>
          <w:sz w:val="22"/>
          <w:szCs w:val="22"/>
        </w:rPr>
      </w:pPr>
      <w:r w:rsidRPr="007A759F">
        <w:rPr>
          <w:rFonts w:eastAsia="Calibri" w:cstheme="minorHAnsi"/>
          <w:sz w:val="22"/>
          <w:szCs w:val="22"/>
        </w:rPr>
        <w:t>The strategic plan is supported by t</w:t>
      </w:r>
      <w:r w:rsidR="00515055" w:rsidRPr="007A759F">
        <w:rPr>
          <w:rFonts w:eastAsia="Calibri" w:cstheme="minorHAnsi"/>
          <w:sz w:val="22"/>
          <w:szCs w:val="22"/>
        </w:rPr>
        <w:t xml:space="preserve">he </w:t>
      </w:r>
      <w:proofErr w:type="spellStart"/>
      <w:r w:rsidR="00515055" w:rsidRPr="007A759F">
        <w:rPr>
          <w:rFonts w:eastAsia="Calibri" w:cstheme="minorHAnsi"/>
          <w:sz w:val="22"/>
          <w:szCs w:val="22"/>
        </w:rPr>
        <w:t>NeW</w:t>
      </w:r>
      <w:proofErr w:type="spellEnd"/>
      <w:r w:rsidR="00515055" w:rsidRPr="007A759F">
        <w:rPr>
          <w:rFonts w:eastAsia="Calibri" w:cstheme="minorHAnsi"/>
          <w:sz w:val="22"/>
          <w:szCs w:val="22"/>
        </w:rPr>
        <w:t xml:space="preserve"> Education Framework</w:t>
      </w:r>
      <w:r w:rsidRPr="007A759F">
        <w:rPr>
          <w:rFonts w:eastAsia="Calibri" w:cstheme="minorHAnsi"/>
          <w:sz w:val="22"/>
          <w:szCs w:val="22"/>
        </w:rPr>
        <w:t>,</w:t>
      </w:r>
      <w:r w:rsidR="00515055" w:rsidRPr="007A759F">
        <w:rPr>
          <w:rFonts w:eastAsia="Calibri" w:cstheme="minorHAnsi"/>
          <w:sz w:val="22"/>
          <w:szCs w:val="22"/>
        </w:rPr>
        <w:t xml:space="preserve"> </w:t>
      </w:r>
      <w:r w:rsidRPr="007A759F">
        <w:rPr>
          <w:rFonts w:eastAsia="Calibri" w:cstheme="minorHAnsi"/>
          <w:sz w:val="22"/>
          <w:szCs w:val="22"/>
        </w:rPr>
        <w:t xml:space="preserve">which </w:t>
      </w:r>
      <w:r w:rsidR="00515055" w:rsidRPr="007A759F">
        <w:rPr>
          <w:rFonts w:eastAsia="Calibri" w:cstheme="minorHAnsi"/>
          <w:sz w:val="22"/>
          <w:szCs w:val="22"/>
        </w:rPr>
        <w:t>provides an integrated and transformative strategy for responding to the changing higher education landscape and is aimed at supporting the access and success of all students, especially those from historically underrepresented backgrounds.</w:t>
      </w:r>
      <w:r w:rsidR="00D647FA" w:rsidRPr="007A759F">
        <w:rPr>
          <w:rFonts w:eastAsia="Calibri" w:cstheme="minorHAnsi"/>
          <w:sz w:val="22"/>
          <w:szCs w:val="22"/>
        </w:rPr>
        <w:t xml:space="preserve"> </w:t>
      </w:r>
    </w:p>
    <w:p w14:paraId="47A05BED" w14:textId="77777777" w:rsidR="00515055" w:rsidRPr="007A759F" w:rsidRDefault="00620C69" w:rsidP="007A759F">
      <w:pPr>
        <w:spacing w:before="120" w:after="120"/>
        <w:jc w:val="both"/>
        <w:rPr>
          <w:rFonts w:eastAsia="Calibri" w:cstheme="minorHAnsi"/>
          <w:sz w:val="22"/>
          <w:szCs w:val="22"/>
        </w:rPr>
      </w:pPr>
      <w:r w:rsidRPr="007A759F">
        <w:rPr>
          <w:rFonts w:eastAsia="Calibri" w:cstheme="minorHAnsi"/>
          <w:sz w:val="22"/>
          <w:szCs w:val="22"/>
        </w:rPr>
        <w:t>Our planning instruments</w:t>
      </w:r>
      <w:r w:rsidR="00515055" w:rsidRPr="007A759F">
        <w:rPr>
          <w:rFonts w:eastAsia="Calibri" w:cstheme="minorHAnsi"/>
          <w:sz w:val="22"/>
          <w:szCs w:val="22"/>
        </w:rPr>
        <w:t xml:space="preserve"> provide a roadmap for ensuring that our forty-year commitment to equity and social justice continues within a higher education landscape that is adapting to rapidly changing </w:t>
      </w:r>
      <w:proofErr w:type="gramStart"/>
      <w:r w:rsidR="00515055" w:rsidRPr="007A759F">
        <w:rPr>
          <w:rFonts w:eastAsia="Calibri" w:cstheme="minorHAnsi"/>
          <w:sz w:val="22"/>
          <w:szCs w:val="22"/>
        </w:rPr>
        <w:t>technological</w:t>
      </w:r>
      <w:proofErr w:type="gramEnd"/>
      <w:r w:rsidR="00515055" w:rsidRPr="007A759F">
        <w:rPr>
          <w:rFonts w:eastAsia="Calibri" w:cstheme="minorHAnsi"/>
          <w:sz w:val="22"/>
          <w:szCs w:val="22"/>
        </w:rPr>
        <w:t xml:space="preserve"> and learning environments. </w:t>
      </w:r>
    </w:p>
    <w:p w14:paraId="6DF36657" w14:textId="37B019EB" w:rsidR="0004399C" w:rsidRPr="007A759F" w:rsidRDefault="0004399C" w:rsidP="007A759F">
      <w:pPr>
        <w:spacing w:before="120" w:after="120"/>
        <w:jc w:val="both"/>
        <w:rPr>
          <w:rFonts w:eastAsia="Calibri" w:cstheme="minorHAnsi"/>
          <w:sz w:val="22"/>
          <w:szCs w:val="22"/>
        </w:rPr>
      </w:pPr>
      <w:r w:rsidRPr="007A759F">
        <w:rPr>
          <w:rFonts w:eastAsia="Calibri" w:cstheme="minorHAnsi"/>
          <w:sz w:val="22"/>
          <w:szCs w:val="22"/>
        </w:rPr>
        <w:t xml:space="preserve">The Student Equity </w:t>
      </w:r>
      <w:r w:rsidR="00E068DA" w:rsidRPr="007A759F">
        <w:rPr>
          <w:rFonts w:eastAsia="Calibri" w:cstheme="minorHAnsi"/>
          <w:sz w:val="22"/>
          <w:szCs w:val="22"/>
        </w:rPr>
        <w:t>and</w:t>
      </w:r>
      <w:r w:rsidR="00AB2530">
        <w:rPr>
          <w:rFonts w:eastAsia="Calibri" w:cstheme="minorHAnsi"/>
          <w:sz w:val="22"/>
          <w:szCs w:val="22"/>
        </w:rPr>
        <w:t xml:space="preserve"> Social Justice Plan</w:t>
      </w:r>
      <w:r w:rsidR="008C7A0C" w:rsidRPr="007A759F">
        <w:rPr>
          <w:rFonts w:eastAsia="Calibri" w:cstheme="minorHAnsi"/>
          <w:sz w:val="22"/>
          <w:szCs w:val="22"/>
        </w:rPr>
        <w:t xml:space="preserve"> comple</w:t>
      </w:r>
      <w:r w:rsidRPr="007A759F">
        <w:rPr>
          <w:rFonts w:eastAsia="Calibri" w:cstheme="minorHAnsi"/>
          <w:sz w:val="22"/>
          <w:szCs w:val="22"/>
        </w:rPr>
        <w:t xml:space="preserve">ments </w:t>
      </w:r>
      <w:r w:rsidR="00620C69" w:rsidRPr="007A759F">
        <w:rPr>
          <w:rFonts w:eastAsia="Calibri" w:cstheme="minorHAnsi"/>
          <w:sz w:val="22"/>
          <w:szCs w:val="22"/>
        </w:rPr>
        <w:t>Looking Ahead</w:t>
      </w:r>
      <w:r w:rsidRPr="007A759F">
        <w:rPr>
          <w:rFonts w:eastAsia="Calibri" w:cstheme="minorHAnsi"/>
          <w:sz w:val="22"/>
          <w:szCs w:val="22"/>
        </w:rPr>
        <w:t xml:space="preserve">, through guiding decisions </w:t>
      </w:r>
      <w:r w:rsidR="008C7A0C" w:rsidRPr="007A759F">
        <w:rPr>
          <w:rFonts w:eastAsia="Calibri" w:cstheme="minorHAnsi"/>
          <w:sz w:val="22"/>
          <w:szCs w:val="22"/>
        </w:rPr>
        <w:t>as</w:t>
      </w:r>
      <w:r w:rsidRPr="007A759F">
        <w:rPr>
          <w:rFonts w:eastAsia="Calibri" w:cstheme="minorHAnsi"/>
          <w:sz w:val="22"/>
          <w:szCs w:val="22"/>
        </w:rPr>
        <w:t xml:space="preserve"> to where and how we allocate resources to address the ongoing and systematic inequities that exist in access, </w:t>
      </w:r>
      <w:r w:rsidR="00E068DA" w:rsidRPr="007A759F">
        <w:rPr>
          <w:rFonts w:eastAsia="Calibri" w:cstheme="minorHAnsi"/>
          <w:sz w:val="22"/>
          <w:szCs w:val="22"/>
        </w:rPr>
        <w:t xml:space="preserve">participation, </w:t>
      </w:r>
      <w:r w:rsidRPr="007A759F">
        <w:rPr>
          <w:rFonts w:eastAsia="Calibri" w:cstheme="minorHAnsi"/>
          <w:sz w:val="22"/>
          <w:szCs w:val="22"/>
        </w:rPr>
        <w:t xml:space="preserve">success and graduate outcomes for students. </w:t>
      </w:r>
    </w:p>
    <w:p w14:paraId="2DAA103E" w14:textId="77777777" w:rsidR="00426466" w:rsidRPr="007A759F" w:rsidRDefault="008C7A0C" w:rsidP="007A759F">
      <w:pPr>
        <w:spacing w:before="120" w:after="120"/>
        <w:jc w:val="both"/>
        <w:rPr>
          <w:rFonts w:cstheme="minorHAnsi"/>
          <w:spacing w:val="-3"/>
          <w:sz w:val="22"/>
          <w:szCs w:val="22"/>
          <w:lang w:val="en-US"/>
        </w:rPr>
      </w:pPr>
      <w:r w:rsidRPr="007A759F">
        <w:rPr>
          <w:rFonts w:cstheme="minorHAnsi"/>
          <w:sz w:val="22"/>
          <w:szCs w:val="22"/>
        </w:rPr>
        <w:t xml:space="preserve">The </w:t>
      </w:r>
      <w:r w:rsidR="00515055" w:rsidRPr="007A759F">
        <w:rPr>
          <w:rFonts w:cstheme="minorHAnsi"/>
          <w:sz w:val="22"/>
          <w:szCs w:val="22"/>
        </w:rPr>
        <w:t xml:space="preserve">Centre of Excellence for Equity in Higher Education (CEEHE) plays a critical role in the University’s </w:t>
      </w:r>
      <w:r w:rsidR="0004399C" w:rsidRPr="007A759F">
        <w:rPr>
          <w:rFonts w:cstheme="minorHAnsi"/>
          <w:sz w:val="22"/>
          <w:szCs w:val="22"/>
        </w:rPr>
        <w:t>e</w:t>
      </w:r>
      <w:r w:rsidR="00515055" w:rsidRPr="007A759F">
        <w:rPr>
          <w:rFonts w:cstheme="minorHAnsi"/>
          <w:sz w:val="22"/>
          <w:szCs w:val="22"/>
        </w:rPr>
        <w:t xml:space="preserve">quity </w:t>
      </w:r>
      <w:r w:rsidRPr="007A759F">
        <w:rPr>
          <w:rFonts w:cstheme="minorHAnsi"/>
          <w:sz w:val="22"/>
          <w:szCs w:val="22"/>
        </w:rPr>
        <w:t>and</w:t>
      </w:r>
      <w:r w:rsidR="00515055" w:rsidRPr="007A759F">
        <w:rPr>
          <w:rFonts w:cstheme="minorHAnsi"/>
          <w:sz w:val="22"/>
          <w:szCs w:val="22"/>
        </w:rPr>
        <w:t xml:space="preserve"> </w:t>
      </w:r>
      <w:r w:rsidR="0004399C" w:rsidRPr="007A759F">
        <w:rPr>
          <w:rFonts w:cstheme="minorHAnsi"/>
          <w:sz w:val="22"/>
          <w:szCs w:val="22"/>
        </w:rPr>
        <w:t xml:space="preserve">social justice </w:t>
      </w:r>
      <w:r w:rsidR="00515055" w:rsidRPr="007A759F">
        <w:rPr>
          <w:rFonts w:cstheme="minorHAnsi"/>
          <w:sz w:val="22"/>
          <w:szCs w:val="22"/>
        </w:rPr>
        <w:t xml:space="preserve">agenda by </w:t>
      </w:r>
      <w:r w:rsidR="00515055" w:rsidRPr="007A759F">
        <w:rPr>
          <w:rFonts w:cstheme="minorHAnsi"/>
          <w:sz w:val="22"/>
          <w:szCs w:val="22"/>
          <w:lang w:val="en-US"/>
        </w:rPr>
        <w:t>a</w:t>
      </w:r>
      <w:r w:rsidR="00515055" w:rsidRPr="007A759F">
        <w:rPr>
          <w:rFonts w:cstheme="minorHAnsi"/>
          <w:spacing w:val="-1"/>
          <w:sz w:val="22"/>
          <w:szCs w:val="22"/>
          <w:lang w:val="en-US"/>
        </w:rPr>
        <w:t>li</w:t>
      </w:r>
      <w:r w:rsidR="00515055" w:rsidRPr="007A759F">
        <w:rPr>
          <w:rFonts w:cstheme="minorHAnsi"/>
          <w:spacing w:val="2"/>
          <w:sz w:val="22"/>
          <w:szCs w:val="22"/>
          <w:lang w:val="en-US"/>
        </w:rPr>
        <w:t>g</w:t>
      </w:r>
      <w:r w:rsidR="00515055" w:rsidRPr="007A759F">
        <w:rPr>
          <w:rFonts w:cstheme="minorHAnsi"/>
          <w:sz w:val="22"/>
          <w:szCs w:val="22"/>
          <w:lang w:val="en-US"/>
        </w:rPr>
        <w:t>n</w:t>
      </w:r>
      <w:r w:rsidR="00515055" w:rsidRPr="007A759F">
        <w:rPr>
          <w:rFonts w:cstheme="minorHAnsi"/>
          <w:spacing w:val="-1"/>
          <w:sz w:val="22"/>
          <w:szCs w:val="22"/>
          <w:lang w:val="en-US"/>
        </w:rPr>
        <w:t>i</w:t>
      </w:r>
      <w:r w:rsidR="00515055" w:rsidRPr="007A759F">
        <w:rPr>
          <w:rFonts w:cstheme="minorHAnsi"/>
          <w:sz w:val="22"/>
          <w:szCs w:val="22"/>
          <w:lang w:val="en-US"/>
        </w:rPr>
        <w:t>ng</w:t>
      </w:r>
      <w:r w:rsidR="00515055" w:rsidRPr="007A759F">
        <w:rPr>
          <w:rFonts w:cstheme="minorHAnsi"/>
          <w:spacing w:val="3"/>
          <w:sz w:val="22"/>
          <w:szCs w:val="22"/>
          <w:lang w:val="en-US"/>
        </w:rPr>
        <w:t>,</w:t>
      </w:r>
      <w:r w:rsidR="00515055" w:rsidRPr="007A759F">
        <w:rPr>
          <w:rFonts w:cstheme="minorHAnsi"/>
          <w:spacing w:val="-1"/>
          <w:sz w:val="22"/>
          <w:szCs w:val="22"/>
          <w:lang w:val="en-US"/>
        </w:rPr>
        <w:t xml:space="preserve"> </w:t>
      </w:r>
      <w:r w:rsidR="00515055" w:rsidRPr="007A759F">
        <w:rPr>
          <w:rFonts w:cstheme="minorHAnsi"/>
          <w:sz w:val="22"/>
          <w:szCs w:val="22"/>
          <w:lang w:val="en-US"/>
        </w:rPr>
        <w:t>coo</w:t>
      </w:r>
      <w:r w:rsidR="00515055" w:rsidRPr="007A759F">
        <w:rPr>
          <w:rFonts w:cstheme="minorHAnsi"/>
          <w:spacing w:val="1"/>
          <w:sz w:val="22"/>
          <w:szCs w:val="22"/>
          <w:lang w:val="en-US"/>
        </w:rPr>
        <w:t>r</w:t>
      </w:r>
      <w:r w:rsidR="00515055" w:rsidRPr="007A759F">
        <w:rPr>
          <w:rFonts w:cstheme="minorHAnsi"/>
          <w:sz w:val="22"/>
          <w:szCs w:val="22"/>
          <w:lang w:val="en-US"/>
        </w:rPr>
        <w:t>d</w:t>
      </w:r>
      <w:r w:rsidR="00515055" w:rsidRPr="007A759F">
        <w:rPr>
          <w:rFonts w:cstheme="minorHAnsi"/>
          <w:spacing w:val="-1"/>
          <w:sz w:val="22"/>
          <w:szCs w:val="22"/>
          <w:lang w:val="en-US"/>
        </w:rPr>
        <w:t>i</w:t>
      </w:r>
      <w:r w:rsidR="00515055" w:rsidRPr="007A759F">
        <w:rPr>
          <w:rFonts w:cstheme="minorHAnsi"/>
          <w:sz w:val="22"/>
          <w:szCs w:val="22"/>
          <w:lang w:val="en-US"/>
        </w:rPr>
        <w:t>na</w:t>
      </w:r>
      <w:r w:rsidR="00515055" w:rsidRPr="007A759F">
        <w:rPr>
          <w:rFonts w:cstheme="minorHAnsi"/>
          <w:spacing w:val="1"/>
          <w:sz w:val="22"/>
          <w:szCs w:val="22"/>
          <w:lang w:val="en-US"/>
        </w:rPr>
        <w:t>t</w:t>
      </w:r>
      <w:r w:rsidR="00515055" w:rsidRPr="007A759F">
        <w:rPr>
          <w:rFonts w:cstheme="minorHAnsi"/>
          <w:spacing w:val="-1"/>
          <w:sz w:val="22"/>
          <w:szCs w:val="22"/>
          <w:lang w:val="en-US"/>
        </w:rPr>
        <w:t>i</w:t>
      </w:r>
      <w:r w:rsidR="00515055" w:rsidRPr="007A759F">
        <w:rPr>
          <w:rFonts w:cstheme="minorHAnsi"/>
          <w:spacing w:val="-3"/>
          <w:sz w:val="22"/>
          <w:szCs w:val="22"/>
          <w:lang w:val="en-US"/>
        </w:rPr>
        <w:t>n</w:t>
      </w:r>
      <w:r w:rsidR="00515055" w:rsidRPr="007A759F">
        <w:rPr>
          <w:rFonts w:cstheme="minorHAnsi"/>
          <w:sz w:val="22"/>
          <w:szCs w:val="22"/>
          <w:lang w:val="en-US"/>
        </w:rPr>
        <w:t>g</w:t>
      </w:r>
      <w:r w:rsidRPr="007A759F">
        <w:rPr>
          <w:rFonts w:cstheme="minorHAnsi"/>
          <w:spacing w:val="1"/>
          <w:sz w:val="22"/>
          <w:szCs w:val="22"/>
          <w:lang w:val="en-US"/>
        </w:rPr>
        <w:t xml:space="preserve"> and</w:t>
      </w:r>
      <w:r w:rsidR="00515055" w:rsidRPr="007A759F">
        <w:rPr>
          <w:rFonts w:cstheme="minorHAnsi"/>
          <w:spacing w:val="1"/>
          <w:sz w:val="22"/>
          <w:szCs w:val="22"/>
          <w:lang w:val="en-US"/>
        </w:rPr>
        <w:t xml:space="preserve"> evaluating our strategies</w:t>
      </w:r>
      <w:r w:rsidR="00515055" w:rsidRPr="007A759F">
        <w:rPr>
          <w:rFonts w:cstheme="minorHAnsi"/>
          <w:spacing w:val="-3"/>
          <w:sz w:val="22"/>
          <w:szCs w:val="22"/>
          <w:lang w:val="en-US"/>
        </w:rPr>
        <w:t xml:space="preserve"> to create cultural change and </w:t>
      </w:r>
      <w:r w:rsidR="00D647FA" w:rsidRPr="007A759F">
        <w:rPr>
          <w:rFonts w:cstheme="minorHAnsi"/>
          <w:spacing w:val="-3"/>
          <w:sz w:val="22"/>
          <w:szCs w:val="22"/>
          <w:lang w:val="en-US"/>
        </w:rPr>
        <w:t>generate</w:t>
      </w:r>
      <w:r w:rsidR="00515055" w:rsidRPr="007A759F">
        <w:rPr>
          <w:rFonts w:cstheme="minorHAnsi"/>
          <w:spacing w:val="-3"/>
          <w:sz w:val="22"/>
          <w:szCs w:val="22"/>
          <w:lang w:val="en-US"/>
        </w:rPr>
        <w:t xml:space="preserve"> high quality, inclusive and equitable practice across the University. </w:t>
      </w:r>
    </w:p>
    <w:p w14:paraId="703DDF15" w14:textId="77777777" w:rsidR="00515055" w:rsidRPr="007A759F" w:rsidRDefault="00515055" w:rsidP="007A759F">
      <w:pPr>
        <w:spacing w:before="120" w:after="120"/>
        <w:jc w:val="both"/>
        <w:rPr>
          <w:rFonts w:eastAsia="Calibri" w:cstheme="minorHAnsi"/>
          <w:sz w:val="22"/>
          <w:szCs w:val="22"/>
        </w:rPr>
      </w:pPr>
      <w:r w:rsidRPr="007A759F">
        <w:rPr>
          <w:rFonts w:eastAsia="Calibri" w:cstheme="minorHAnsi"/>
          <w:sz w:val="22"/>
          <w:szCs w:val="22"/>
        </w:rPr>
        <w:t>Through the CEEHE, the University is committed to developing an agenda that brings equity practice and research together and</w:t>
      </w:r>
      <w:r w:rsidR="008C7A0C" w:rsidRPr="007A759F">
        <w:rPr>
          <w:rFonts w:eastAsia="Calibri" w:cstheme="minorHAnsi"/>
          <w:sz w:val="22"/>
          <w:szCs w:val="22"/>
        </w:rPr>
        <w:t>,</w:t>
      </w:r>
      <w:r w:rsidRPr="007A759F">
        <w:rPr>
          <w:rFonts w:eastAsia="Calibri" w:cstheme="minorHAnsi"/>
          <w:sz w:val="22"/>
          <w:szCs w:val="22"/>
        </w:rPr>
        <w:t xml:space="preserve"> in doing so</w:t>
      </w:r>
      <w:r w:rsidR="008C7A0C" w:rsidRPr="007A759F">
        <w:rPr>
          <w:rFonts w:eastAsia="Calibri" w:cstheme="minorHAnsi"/>
          <w:sz w:val="22"/>
          <w:szCs w:val="22"/>
        </w:rPr>
        <w:t>,</w:t>
      </w:r>
      <w:r w:rsidRPr="007A759F">
        <w:rPr>
          <w:rFonts w:eastAsia="Calibri" w:cstheme="minorHAnsi"/>
          <w:sz w:val="22"/>
          <w:szCs w:val="22"/>
        </w:rPr>
        <w:t xml:space="preserve"> </w:t>
      </w:r>
      <w:r w:rsidR="008C7A0C" w:rsidRPr="007A759F">
        <w:rPr>
          <w:rFonts w:eastAsia="Calibri" w:cstheme="minorHAnsi"/>
          <w:sz w:val="22"/>
          <w:szCs w:val="22"/>
        </w:rPr>
        <w:t>generat</w:t>
      </w:r>
      <w:r w:rsidR="00D647FA" w:rsidRPr="007A759F">
        <w:rPr>
          <w:rFonts w:eastAsia="Calibri" w:cstheme="minorHAnsi"/>
          <w:sz w:val="22"/>
          <w:szCs w:val="22"/>
        </w:rPr>
        <w:t>es</w:t>
      </w:r>
      <w:r w:rsidRPr="007A759F">
        <w:rPr>
          <w:rFonts w:eastAsia="Calibri" w:cstheme="minorHAnsi"/>
          <w:sz w:val="22"/>
          <w:szCs w:val="22"/>
        </w:rPr>
        <w:t xml:space="preserve"> a robust suite of multidisciplinary research</w:t>
      </w:r>
      <w:r w:rsidR="00E068DA" w:rsidRPr="007A759F">
        <w:rPr>
          <w:rFonts w:eastAsia="Calibri" w:cstheme="minorHAnsi"/>
          <w:sz w:val="22"/>
          <w:szCs w:val="22"/>
        </w:rPr>
        <w:t>, evaluation</w:t>
      </w:r>
      <w:r w:rsidRPr="007A759F">
        <w:rPr>
          <w:rFonts w:eastAsia="Calibri" w:cstheme="minorHAnsi"/>
          <w:sz w:val="22"/>
          <w:szCs w:val="22"/>
        </w:rPr>
        <w:t xml:space="preserve"> and practice to offer </w:t>
      </w:r>
      <w:r w:rsidR="00A663A9" w:rsidRPr="007A759F">
        <w:rPr>
          <w:rFonts w:eastAsia="Calibri" w:cstheme="minorHAnsi"/>
          <w:sz w:val="22"/>
          <w:szCs w:val="22"/>
        </w:rPr>
        <w:t xml:space="preserve">equity </w:t>
      </w:r>
      <w:r w:rsidRPr="007A759F">
        <w:rPr>
          <w:rFonts w:eastAsia="Calibri" w:cstheme="minorHAnsi"/>
          <w:sz w:val="22"/>
          <w:szCs w:val="22"/>
        </w:rPr>
        <w:t>leaders</w:t>
      </w:r>
      <w:r w:rsidR="00A663A9" w:rsidRPr="007A759F">
        <w:rPr>
          <w:rFonts w:eastAsia="Calibri" w:cstheme="minorHAnsi"/>
          <w:sz w:val="22"/>
          <w:szCs w:val="22"/>
        </w:rPr>
        <w:t>,</w:t>
      </w:r>
      <w:r w:rsidRPr="007A759F">
        <w:rPr>
          <w:rFonts w:eastAsia="Calibri" w:cstheme="minorHAnsi"/>
          <w:sz w:val="22"/>
          <w:szCs w:val="22"/>
        </w:rPr>
        <w:t xml:space="preserve"> both nationally and internationally.</w:t>
      </w:r>
    </w:p>
    <w:p w14:paraId="10A40A30" w14:textId="77777777" w:rsidR="00EB1728" w:rsidRPr="004B472D" w:rsidRDefault="00EB1728" w:rsidP="007A759F">
      <w:pPr>
        <w:jc w:val="both"/>
        <w:rPr>
          <w:rFonts w:cstheme="minorHAnsi"/>
          <w:sz w:val="22"/>
          <w:szCs w:val="22"/>
        </w:rPr>
      </w:pPr>
    </w:p>
    <w:p w14:paraId="00279A19" w14:textId="07BEE81C" w:rsidR="00EB1728" w:rsidRPr="007A759F" w:rsidRDefault="00C0114D" w:rsidP="007A759F">
      <w:pPr>
        <w:jc w:val="both"/>
        <w:rPr>
          <w:rFonts w:cstheme="minorHAnsi"/>
          <w:b/>
          <w:sz w:val="22"/>
          <w:szCs w:val="22"/>
        </w:rPr>
      </w:pPr>
      <w:r w:rsidRPr="007A759F">
        <w:rPr>
          <w:rFonts w:cstheme="minorHAnsi"/>
          <w:b/>
          <w:sz w:val="22"/>
          <w:szCs w:val="22"/>
        </w:rPr>
        <w:t>S</w:t>
      </w:r>
      <w:r w:rsidR="00EB1728" w:rsidRPr="007A759F">
        <w:rPr>
          <w:rFonts w:cstheme="minorHAnsi"/>
          <w:b/>
          <w:sz w:val="22"/>
          <w:szCs w:val="22"/>
        </w:rPr>
        <w:t>cope</w:t>
      </w:r>
    </w:p>
    <w:p w14:paraId="0A4F6F93" w14:textId="77777777" w:rsidR="00EB1728" w:rsidRPr="007A759F" w:rsidRDefault="00EB1728" w:rsidP="007A759F">
      <w:pPr>
        <w:jc w:val="both"/>
        <w:rPr>
          <w:rFonts w:cstheme="minorHAnsi"/>
          <w:b/>
          <w:sz w:val="22"/>
          <w:szCs w:val="22"/>
        </w:rPr>
      </w:pPr>
    </w:p>
    <w:p w14:paraId="2478209D" w14:textId="3EC21990" w:rsidR="00FE1F71" w:rsidRPr="007A759F" w:rsidRDefault="00661DA6" w:rsidP="007A759F">
      <w:pPr>
        <w:jc w:val="both"/>
        <w:rPr>
          <w:rFonts w:cstheme="minorHAnsi"/>
          <w:sz w:val="22"/>
          <w:szCs w:val="22"/>
        </w:rPr>
      </w:pPr>
      <w:r w:rsidRPr="007A759F">
        <w:rPr>
          <w:rFonts w:cstheme="minorHAnsi"/>
          <w:sz w:val="22"/>
          <w:szCs w:val="22"/>
        </w:rPr>
        <w:t xml:space="preserve">The </w:t>
      </w:r>
      <w:r w:rsidR="006A1E08" w:rsidRPr="007A759F">
        <w:rPr>
          <w:rFonts w:cstheme="minorHAnsi"/>
          <w:sz w:val="22"/>
          <w:szCs w:val="22"/>
        </w:rPr>
        <w:t>Student Equity and Social Justice</w:t>
      </w:r>
      <w:r w:rsidRPr="007A759F">
        <w:rPr>
          <w:rFonts w:cstheme="minorHAnsi"/>
          <w:sz w:val="22"/>
          <w:szCs w:val="22"/>
        </w:rPr>
        <w:t xml:space="preserve"> </w:t>
      </w:r>
      <w:r w:rsidR="00AB2530">
        <w:rPr>
          <w:rFonts w:cstheme="minorHAnsi"/>
          <w:sz w:val="22"/>
          <w:szCs w:val="22"/>
        </w:rPr>
        <w:t>Plan</w:t>
      </w:r>
      <w:r w:rsidRPr="007A759F">
        <w:rPr>
          <w:rFonts w:cstheme="minorHAnsi"/>
          <w:sz w:val="22"/>
          <w:szCs w:val="22"/>
        </w:rPr>
        <w:t xml:space="preserve"> </w:t>
      </w:r>
      <w:r w:rsidR="00FE1F71" w:rsidRPr="007A759F">
        <w:rPr>
          <w:rFonts w:cstheme="minorHAnsi"/>
          <w:sz w:val="22"/>
          <w:szCs w:val="22"/>
        </w:rPr>
        <w:t xml:space="preserve">directs </w:t>
      </w:r>
      <w:r w:rsidRPr="007A759F">
        <w:rPr>
          <w:rFonts w:cstheme="minorHAnsi"/>
          <w:sz w:val="22"/>
          <w:szCs w:val="22"/>
        </w:rPr>
        <w:t xml:space="preserve">a principled, whole-of-institution approach </w:t>
      </w:r>
      <w:r w:rsidR="00C0114D" w:rsidRPr="007A759F">
        <w:rPr>
          <w:rFonts w:cstheme="minorHAnsi"/>
          <w:sz w:val="22"/>
          <w:szCs w:val="22"/>
        </w:rPr>
        <w:t>for</w:t>
      </w:r>
      <w:r w:rsidRPr="007A759F">
        <w:rPr>
          <w:rFonts w:cstheme="minorHAnsi"/>
          <w:sz w:val="22"/>
          <w:szCs w:val="22"/>
        </w:rPr>
        <w:t xml:space="preserve"> the allocation of resources</w:t>
      </w:r>
      <w:r w:rsidR="00426466" w:rsidRPr="007A759F">
        <w:rPr>
          <w:rFonts w:cstheme="minorHAnsi"/>
          <w:sz w:val="22"/>
          <w:szCs w:val="22"/>
        </w:rPr>
        <w:t xml:space="preserve"> (specifically </w:t>
      </w:r>
      <w:r w:rsidR="00D522B9" w:rsidRPr="007A759F">
        <w:rPr>
          <w:rFonts w:cstheme="minorHAnsi"/>
          <w:sz w:val="22"/>
          <w:szCs w:val="22"/>
        </w:rPr>
        <w:t>HEPPP</w:t>
      </w:r>
      <w:r w:rsidR="00426466" w:rsidRPr="007A759F">
        <w:rPr>
          <w:rFonts w:cstheme="minorHAnsi"/>
          <w:sz w:val="22"/>
          <w:szCs w:val="22"/>
        </w:rPr>
        <w:t>); i</w:t>
      </w:r>
      <w:r w:rsidRPr="007A759F">
        <w:rPr>
          <w:rFonts w:cstheme="minorHAnsi"/>
          <w:sz w:val="22"/>
          <w:szCs w:val="22"/>
        </w:rPr>
        <w:t>nclusive design of frameworks</w:t>
      </w:r>
      <w:r w:rsidR="00C851C2" w:rsidRPr="007A759F">
        <w:rPr>
          <w:rFonts w:cstheme="minorHAnsi"/>
          <w:sz w:val="22"/>
          <w:szCs w:val="22"/>
        </w:rPr>
        <w:t>, projects and</w:t>
      </w:r>
      <w:r w:rsidRPr="007A759F">
        <w:rPr>
          <w:rFonts w:cstheme="minorHAnsi"/>
          <w:sz w:val="22"/>
          <w:szCs w:val="22"/>
        </w:rPr>
        <w:t xml:space="preserve"> initiatives</w:t>
      </w:r>
      <w:r w:rsidR="00F17192" w:rsidRPr="007A759F">
        <w:rPr>
          <w:rFonts w:cstheme="minorHAnsi"/>
          <w:sz w:val="22"/>
          <w:szCs w:val="22"/>
        </w:rPr>
        <w:t>;</w:t>
      </w:r>
      <w:r w:rsidRPr="007A759F">
        <w:rPr>
          <w:rFonts w:cstheme="minorHAnsi"/>
          <w:sz w:val="22"/>
          <w:szCs w:val="22"/>
        </w:rPr>
        <w:t xml:space="preserve"> and </w:t>
      </w:r>
      <w:r w:rsidR="00C0114D" w:rsidRPr="007A759F">
        <w:rPr>
          <w:rFonts w:cstheme="minorHAnsi"/>
          <w:sz w:val="22"/>
          <w:szCs w:val="22"/>
        </w:rPr>
        <w:t xml:space="preserve">the </w:t>
      </w:r>
      <w:r w:rsidRPr="007A759F">
        <w:rPr>
          <w:rFonts w:cstheme="minorHAnsi"/>
          <w:sz w:val="22"/>
          <w:szCs w:val="22"/>
        </w:rPr>
        <w:t xml:space="preserve">recognition of the diversity and difference in our communities. </w:t>
      </w:r>
    </w:p>
    <w:p w14:paraId="2F87F075" w14:textId="77777777" w:rsidR="00FE1F71" w:rsidRPr="007A759F" w:rsidRDefault="00FE1F71" w:rsidP="007A759F">
      <w:pPr>
        <w:jc w:val="both"/>
        <w:rPr>
          <w:rFonts w:cstheme="minorHAnsi"/>
          <w:b/>
          <w:sz w:val="22"/>
          <w:szCs w:val="22"/>
        </w:rPr>
      </w:pPr>
    </w:p>
    <w:p w14:paraId="0D208366" w14:textId="77777777" w:rsidR="00426466" w:rsidRPr="007A759F" w:rsidRDefault="009D00C2" w:rsidP="007A759F">
      <w:pPr>
        <w:jc w:val="both"/>
        <w:rPr>
          <w:rFonts w:cstheme="minorHAnsi"/>
          <w:sz w:val="22"/>
          <w:szCs w:val="22"/>
        </w:rPr>
      </w:pPr>
      <w:r w:rsidRPr="007A759F">
        <w:rPr>
          <w:rFonts w:cstheme="minorHAnsi"/>
          <w:sz w:val="22"/>
          <w:szCs w:val="22"/>
        </w:rPr>
        <w:t>Strategies</w:t>
      </w:r>
      <w:r w:rsidR="00C851C2" w:rsidRPr="007A759F">
        <w:rPr>
          <w:rFonts w:cstheme="minorHAnsi"/>
          <w:sz w:val="22"/>
          <w:szCs w:val="22"/>
        </w:rPr>
        <w:t>, projects and initiatives</w:t>
      </w:r>
      <w:r w:rsidR="00EB1728" w:rsidRPr="007A759F">
        <w:rPr>
          <w:rFonts w:cstheme="minorHAnsi"/>
          <w:sz w:val="22"/>
          <w:szCs w:val="22"/>
        </w:rPr>
        <w:t xml:space="preserve"> directly related to equity of access, participation and success in higher education work best when aligned with broader institutional commitments and strategie</w:t>
      </w:r>
      <w:r w:rsidR="00C851C2" w:rsidRPr="007A759F">
        <w:rPr>
          <w:rFonts w:cstheme="minorHAnsi"/>
          <w:sz w:val="22"/>
          <w:szCs w:val="22"/>
        </w:rPr>
        <w:t>s; that is, when</w:t>
      </w:r>
      <w:r w:rsidR="00EB1728" w:rsidRPr="007A759F">
        <w:rPr>
          <w:rFonts w:cstheme="minorHAnsi"/>
          <w:sz w:val="22"/>
          <w:szCs w:val="22"/>
        </w:rPr>
        <w:t xml:space="preserve"> equity </w:t>
      </w:r>
      <w:r w:rsidR="00C851C2" w:rsidRPr="007A759F">
        <w:rPr>
          <w:rFonts w:cstheme="minorHAnsi"/>
          <w:sz w:val="22"/>
          <w:szCs w:val="22"/>
        </w:rPr>
        <w:t xml:space="preserve">is embedded </w:t>
      </w:r>
      <w:r w:rsidR="00EB1728" w:rsidRPr="007A759F">
        <w:rPr>
          <w:rFonts w:cstheme="minorHAnsi"/>
          <w:sz w:val="22"/>
          <w:szCs w:val="22"/>
        </w:rPr>
        <w:t>in all of our</w:t>
      </w:r>
      <w:r w:rsidR="00426466" w:rsidRPr="007A759F">
        <w:rPr>
          <w:rFonts w:cstheme="minorHAnsi"/>
          <w:sz w:val="22"/>
          <w:szCs w:val="22"/>
        </w:rPr>
        <w:t xml:space="preserve"> </w:t>
      </w:r>
      <w:r w:rsidR="00EB1728" w:rsidRPr="007A759F">
        <w:rPr>
          <w:rFonts w:cstheme="minorHAnsi"/>
          <w:sz w:val="22"/>
          <w:szCs w:val="22"/>
        </w:rPr>
        <w:t>teaching, learning</w:t>
      </w:r>
      <w:r w:rsidR="00C0114D" w:rsidRPr="007A759F">
        <w:rPr>
          <w:rFonts w:cstheme="minorHAnsi"/>
          <w:sz w:val="22"/>
          <w:szCs w:val="22"/>
        </w:rPr>
        <w:t>,</w:t>
      </w:r>
      <w:r w:rsidR="00EB1728" w:rsidRPr="007A759F">
        <w:rPr>
          <w:rFonts w:cstheme="minorHAnsi"/>
          <w:sz w:val="22"/>
          <w:szCs w:val="22"/>
        </w:rPr>
        <w:t xml:space="preserve"> research</w:t>
      </w:r>
      <w:r w:rsidR="00426466" w:rsidRPr="007A759F">
        <w:rPr>
          <w:rFonts w:cstheme="minorHAnsi"/>
          <w:sz w:val="22"/>
          <w:szCs w:val="22"/>
        </w:rPr>
        <w:t xml:space="preserve">, </w:t>
      </w:r>
      <w:r w:rsidR="00C0114D" w:rsidRPr="007A759F">
        <w:rPr>
          <w:rFonts w:cstheme="minorHAnsi"/>
          <w:sz w:val="22"/>
          <w:szCs w:val="22"/>
        </w:rPr>
        <w:t>engagement</w:t>
      </w:r>
      <w:r w:rsidR="00EB1728" w:rsidRPr="007A759F">
        <w:rPr>
          <w:rFonts w:cstheme="minorHAnsi"/>
          <w:sz w:val="22"/>
          <w:szCs w:val="22"/>
        </w:rPr>
        <w:t xml:space="preserve"> </w:t>
      </w:r>
      <w:r w:rsidR="00426466" w:rsidRPr="007A759F">
        <w:rPr>
          <w:rFonts w:cstheme="minorHAnsi"/>
          <w:sz w:val="22"/>
          <w:szCs w:val="22"/>
        </w:rPr>
        <w:t xml:space="preserve">and governance </w:t>
      </w:r>
      <w:r w:rsidR="00EB1728" w:rsidRPr="007A759F">
        <w:rPr>
          <w:rFonts w:cstheme="minorHAnsi"/>
          <w:sz w:val="22"/>
          <w:szCs w:val="22"/>
        </w:rPr>
        <w:t xml:space="preserve">practices. </w:t>
      </w:r>
      <w:r w:rsidR="00C851C2" w:rsidRPr="007A759F">
        <w:rPr>
          <w:rFonts w:cstheme="minorHAnsi"/>
          <w:sz w:val="22"/>
          <w:szCs w:val="22"/>
        </w:rPr>
        <w:t xml:space="preserve"> </w:t>
      </w:r>
    </w:p>
    <w:p w14:paraId="335D9571" w14:textId="77777777" w:rsidR="00426466" w:rsidRPr="007A759F" w:rsidRDefault="00426466" w:rsidP="007A759F">
      <w:pPr>
        <w:jc w:val="both"/>
        <w:rPr>
          <w:rFonts w:cstheme="minorHAnsi"/>
          <w:sz w:val="22"/>
          <w:szCs w:val="22"/>
        </w:rPr>
      </w:pPr>
    </w:p>
    <w:p w14:paraId="283AE6C8" w14:textId="5FAB5DFA" w:rsidR="00426466" w:rsidRDefault="00C851C2" w:rsidP="007A759F">
      <w:pPr>
        <w:jc w:val="both"/>
        <w:rPr>
          <w:rFonts w:cstheme="minorHAnsi"/>
          <w:sz w:val="22"/>
          <w:szCs w:val="22"/>
        </w:rPr>
      </w:pPr>
      <w:r w:rsidRPr="007A759F">
        <w:rPr>
          <w:rFonts w:cstheme="minorHAnsi"/>
          <w:sz w:val="22"/>
          <w:szCs w:val="22"/>
        </w:rPr>
        <w:t>Th</w:t>
      </w:r>
      <w:r w:rsidR="006A1E08" w:rsidRPr="007A759F">
        <w:rPr>
          <w:rFonts w:cstheme="minorHAnsi"/>
          <w:sz w:val="22"/>
          <w:szCs w:val="22"/>
        </w:rPr>
        <w:t>is</w:t>
      </w:r>
      <w:r w:rsidRPr="007A759F">
        <w:rPr>
          <w:rFonts w:cstheme="minorHAnsi"/>
          <w:sz w:val="22"/>
          <w:szCs w:val="22"/>
        </w:rPr>
        <w:t xml:space="preserve"> </w:t>
      </w:r>
      <w:r w:rsidR="00545D41">
        <w:rPr>
          <w:rFonts w:cstheme="minorHAnsi"/>
          <w:sz w:val="22"/>
          <w:szCs w:val="22"/>
        </w:rPr>
        <w:t>Plan and its framework</w:t>
      </w:r>
      <w:r w:rsidR="009D00C2" w:rsidRPr="007A759F">
        <w:rPr>
          <w:rFonts w:cstheme="minorHAnsi"/>
          <w:sz w:val="22"/>
          <w:szCs w:val="22"/>
        </w:rPr>
        <w:t xml:space="preserve"> </w:t>
      </w:r>
      <w:r w:rsidR="006A1E08" w:rsidRPr="007A759F">
        <w:rPr>
          <w:rFonts w:cstheme="minorHAnsi"/>
          <w:sz w:val="22"/>
          <w:szCs w:val="22"/>
        </w:rPr>
        <w:t>demonstrates how our commitments and goals are applied and embedded</w:t>
      </w:r>
      <w:r w:rsidR="00426466" w:rsidRPr="007A759F">
        <w:rPr>
          <w:rFonts w:cstheme="minorHAnsi"/>
          <w:sz w:val="22"/>
          <w:szCs w:val="22"/>
        </w:rPr>
        <w:t xml:space="preserve">. </w:t>
      </w:r>
      <w:r w:rsidR="00F17192" w:rsidRPr="007A759F">
        <w:rPr>
          <w:rFonts w:cstheme="minorHAnsi"/>
          <w:sz w:val="22"/>
          <w:szCs w:val="22"/>
        </w:rPr>
        <w:t>U</w:t>
      </w:r>
      <w:r w:rsidR="006A1E08" w:rsidRPr="007A759F">
        <w:rPr>
          <w:rFonts w:cstheme="minorHAnsi"/>
          <w:sz w:val="22"/>
          <w:szCs w:val="22"/>
        </w:rPr>
        <w:t xml:space="preserve">nderpinning </w:t>
      </w:r>
      <w:r w:rsidR="009D00C2" w:rsidRPr="007A759F">
        <w:rPr>
          <w:rFonts w:cstheme="minorHAnsi"/>
          <w:sz w:val="22"/>
          <w:szCs w:val="22"/>
        </w:rPr>
        <w:t>strategies</w:t>
      </w:r>
      <w:r w:rsidR="006A1E08" w:rsidRPr="007A759F">
        <w:rPr>
          <w:rFonts w:cstheme="minorHAnsi"/>
          <w:sz w:val="22"/>
          <w:szCs w:val="22"/>
        </w:rPr>
        <w:t xml:space="preserve"> </w:t>
      </w:r>
      <w:r w:rsidR="00426466" w:rsidRPr="007A759F">
        <w:rPr>
          <w:rFonts w:cstheme="minorHAnsi"/>
          <w:sz w:val="22"/>
          <w:szCs w:val="22"/>
        </w:rPr>
        <w:t xml:space="preserve">and initiatives </w:t>
      </w:r>
      <w:r w:rsidR="00F17192" w:rsidRPr="007A759F">
        <w:rPr>
          <w:rFonts w:cstheme="minorHAnsi"/>
          <w:sz w:val="22"/>
          <w:szCs w:val="22"/>
        </w:rPr>
        <w:t xml:space="preserve">support </w:t>
      </w:r>
      <w:r w:rsidR="00545D41">
        <w:rPr>
          <w:rFonts w:cstheme="minorHAnsi"/>
          <w:sz w:val="22"/>
          <w:szCs w:val="22"/>
        </w:rPr>
        <w:t>the framework</w:t>
      </w:r>
      <w:r w:rsidR="00F17192" w:rsidRPr="007A759F">
        <w:rPr>
          <w:rFonts w:cstheme="minorHAnsi"/>
          <w:sz w:val="22"/>
          <w:szCs w:val="22"/>
        </w:rPr>
        <w:t xml:space="preserve"> and further translate the </w:t>
      </w:r>
      <w:r w:rsidR="006A1E08" w:rsidRPr="007A759F">
        <w:rPr>
          <w:rFonts w:cstheme="minorHAnsi"/>
          <w:sz w:val="22"/>
          <w:szCs w:val="22"/>
        </w:rPr>
        <w:t xml:space="preserve">goal and </w:t>
      </w:r>
      <w:r w:rsidR="00F17192" w:rsidRPr="007A759F">
        <w:rPr>
          <w:rFonts w:cstheme="minorHAnsi"/>
          <w:sz w:val="22"/>
          <w:szCs w:val="22"/>
        </w:rPr>
        <w:t xml:space="preserve">the </w:t>
      </w:r>
      <w:r w:rsidR="006A1E08" w:rsidRPr="007A759F">
        <w:rPr>
          <w:rFonts w:cstheme="minorHAnsi"/>
          <w:sz w:val="22"/>
          <w:szCs w:val="22"/>
        </w:rPr>
        <w:t xml:space="preserve">three key principles </w:t>
      </w:r>
      <w:r w:rsidR="00F17192" w:rsidRPr="007A759F">
        <w:rPr>
          <w:rFonts w:cstheme="minorHAnsi"/>
          <w:sz w:val="22"/>
          <w:szCs w:val="22"/>
        </w:rPr>
        <w:t>for application</w:t>
      </w:r>
      <w:r w:rsidR="006A1E08" w:rsidRPr="007A759F">
        <w:rPr>
          <w:rFonts w:cstheme="minorHAnsi"/>
          <w:sz w:val="22"/>
          <w:szCs w:val="22"/>
        </w:rPr>
        <w:t>.</w:t>
      </w:r>
    </w:p>
    <w:p w14:paraId="2035DAC8" w14:textId="5B123383" w:rsidR="00E35D87" w:rsidRPr="007A759F" w:rsidRDefault="00E35D87" w:rsidP="007A759F">
      <w:pPr>
        <w:jc w:val="both"/>
        <w:rPr>
          <w:rFonts w:cstheme="minorHAnsi"/>
          <w:sz w:val="22"/>
          <w:szCs w:val="22"/>
        </w:rPr>
      </w:pPr>
    </w:p>
    <w:p w14:paraId="76B456DD" w14:textId="77777777" w:rsidR="00426466" w:rsidRPr="004B472D" w:rsidRDefault="00426466" w:rsidP="00D67C56">
      <w:pPr>
        <w:rPr>
          <w:rFonts w:cstheme="minorHAnsi"/>
          <w:b/>
          <w:sz w:val="22"/>
          <w:szCs w:val="22"/>
        </w:rPr>
      </w:pPr>
    </w:p>
    <w:p w14:paraId="697C02C5" w14:textId="45F41B03" w:rsidR="00AB2530" w:rsidRPr="00545D41" w:rsidRDefault="004B472D" w:rsidP="004B472D">
      <w:pPr>
        <w:rPr>
          <w:rFonts w:cstheme="minorHAnsi"/>
          <w:b/>
          <w:color w:val="00B0F0"/>
          <w:sz w:val="48"/>
          <w:szCs w:val="48"/>
        </w:rPr>
      </w:pPr>
      <w:r w:rsidRPr="00545D41">
        <w:rPr>
          <w:rFonts w:cstheme="minorHAnsi"/>
          <w:b/>
          <w:color w:val="00B0F0"/>
          <w:sz w:val="48"/>
          <w:szCs w:val="48"/>
        </w:rPr>
        <w:lastRenderedPageBreak/>
        <w:t>Student Equity and Social Justice Framework</w:t>
      </w:r>
    </w:p>
    <w:p w14:paraId="541AECAD" w14:textId="77777777" w:rsidR="007A759F" w:rsidRPr="007A759F" w:rsidRDefault="007A759F" w:rsidP="007A759F">
      <w:pPr>
        <w:rPr>
          <w:rFonts w:cstheme="minorHAnsi"/>
          <w:sz w:val="22"/>
          <w:szCs w:val="22"/>
        </w:rPr>
      </w:pPr>
      <w:r>
        <w:rPr>
          <w:rFonts w:cstheme="minorHAnsi"/>
          <w:b/>
          <w:sz w:val="22"/>
          <w:szCs w:val="22"/>
        </w:rPr>
        <w:t>Goal</w:t>
      </w:r>
      <w:r w:rsidRPr="007A759F">
        <w:rPr>
          <w:rFonts w:cstheme="minorHAnsi"/>
          <w:b/>
          <w:sz w:val="22"/>
          <w:szCs w:val="22"/>
        </w:rPr>
        <w:t>:</w:t>
      </w:r>
    </w:p>
    <w:p w14:paraId="27F6840A" w14:textId="77777777" w:rsidR="00AB5025" w:rsidRPr="007A759F" w:rsidRDefault="00AB5025" w:rsidP="00D67C56">
      <w:pPr>
        <w:rPr>
          <w:rFonts w:cstheme="minorHAnsi"/>
          <w:sz w:val="22"/>
          <w:szCs w:val="22"/>
        </w:rPr>
      </w:pPr>
    </w:p>
    <w:tbl>
      <w:tblPr>
        <w:tblStyle w:val="TableGrid"/>
        <w:tblW w:w="0" w:type="auto"/>
        <w:tblInd w:w="-5" w:type="dxa"/>
        <w:tblBorders>
          <w:left w:val="single" w:sz="6" w:space="0" w:color="auto"/>
          <w:bottom w:val="single" w:sz="8" w:space="0" w:color="auto"/>
          <w:right w:val="single" w:sz="6" w:space="0" w:color="auto"/>
          <w:insideH w:val="single" w:sz="6" w:space="0" w:color="auto"/>
          <w:insideV w:val="single" w:sz="6" w:space="0" w:color="auto"/>
        </w:tblBorders>
        <w:tblLook w:val="04A0" w:firstRow="1" w:lastRow="0" w:firstColumn="1" w:lastColumn="0" w:noHBand="0" w:noVBand="1"/>
      </w:tblPr>
      <w:tblGrid>
        <w:gridCol w:w="1893"/>
        <w:gridCol w:w="7116"/>
      </w:tblGrid>
      <w:tr w:rsidR="00AB5025" w:rsidRPr="004B472D" w14:paraId="02975E8A" w14:textId="77777777" w:rsidTr="005944B8">
        <w:trPr>
          <w:trHeight w:val="819"/>
        </w:trPr>
        <w:tc>
          <w:tcPr>
            <w:tcW w:w="1893" w:type="dxa"/>
            <w:tcBorders>
              <w:top w:val="single" w:sz="6" w:space="0" w:color="auto"/>
            </w:tcBorders>
            <w:shd w:val="clear" w:color="auto" w:fill="00B0F0"/>
          </w:tcPr>
          <w:p w14:paraId="37342948" w14:textId="77777777" w:rsidR="00AB5025" w:rsidRPr="007A759F" w:rsidRDefault="00AB5025" w:rsidP="00AB5025">
            <w:pPr>
              <w:spacing w:before="120" w:after="120"/>
              <w:rPr>
                <w:rFonts w:cstheme="minorHAnsi"/>
                <w:b/>
                <w:color w:val="FFFFFF" w:themeColor="background1"/>
              </w:rPr>
            </w:pPr>
            <w:r w:rsidRPr="007A759F">
              <w:rPr>
                <w:rFonts w:cstheme="minorHAnsi"/>
                <w:b/>
                <w:color w:val="FFFFFF" w:themeColor="background1"/>
              </w:rPr>
              <w:t>PARITY OF PARTICIPATION</w:t>
            </w:r>
          </w:p>
        </w:tc>
        <w:tc>
          <w:tcPr>
            <w:tcW w:w="7116" w:type="dxa"/>
            <w:tcBorders>
              <w:top w:val="single" w:sz="6" w:space="0" w:color="auto"/>
            </w:tcBorders>
            <w:shd w:val="clear" w:color="auto" w:fill="auto"/>
          </w:tcPr>
          <w:p w14:paraId="67208B17" w14:textId="77777777" w:rsidR="00515055" w:rsidRPr="007A759F" w:rsidRDefault="00384E08" w:rsidP="00AB5025">
            <w:pPr>
              <w:rPr>
                <w:rFonts w:cstheme="minorHAnsi"/>
                <w:color w:val="000000" w:themeColor="text1"/>
              </w:rPr>
            </w:pPr>
            <w:r w:rsidRPr="007A759F">
              <w:rPr>
                <w:rFonts w:cstheme="minorHAnsi"/>
                <w:color w:val="000000" w:themeColor="text1"/>
              </w:rPr>
              <w:t xml:space="preserve">Achieving Equity through </w:t>
            </w:r>
            <w:r w:rsidR="00AB5025" w:rsidRPr="007A759F">
              <w:rPr>
                <w:rFonts w:cstheme="minorHAnsi"/>
                <w:color w:val="000000" w:themeColor="text1"/>
              </w:rPr>
              <w:t>Parity of Participation is a mult</w:t>
            </w:r>
            <w:r w:rsidR="001D71E3" w:rsidRPr="007A759F">
              <w:rPr>
                <w:rFonts w:cstheme="minorHAnsi"/>
                <w:color w:val="000000" w:themeColor="text1"/>
              </w:rPr>
              <w:t>i</w:t>
            </w:r>
            <w:r w:rsidR="006235CE" w:rsidRPr="007A759F">
              <w:rPr>
                <w:rFonts w:cstheme="minorHAnsi"/>
                <w:color w:val="000000" w:themeColor="text1"/>
              </w:rPr>
              <w:t>-</w:t>
            </w:r>
            <w:r w:rsidR="00AB5025" w:rsidRPr="007A759F">
              <w:rPr>
                <w:rFonts w:cstheme="minorHAnsi"/>
                <w:color w:val="000000" w:themeColor="text1"/>
              </w:rPr>
              <w:t xml:space="preserve">dimensional goal. </w:t>
            </w:r>
          </w:p>
          <w:p w14:paraId="6684ECAF" w14:textId="77777777" w:rsidR="00515055" w:rsidRPr="007A759F" w:rsidRDefault="00515055" w:rsidP="00AB5025">
            <w:pPr>
              <w:rPr>
                <w:rFonts w:cstheme="minorHAnsi"/>
                <w:color w:val="000000" w:themeColor="text1"/>
              </w:rPr>
            </w:pPr>
          </w:p>
          <w:p w14:paraId="1478F508" w14:textId="77777777" w:rsidR="00515055" w:rsidRPr="007A759F" w:rsidRDefault="00A56DB5" w:rsidP="00515055">
            <w:pPr>
              <w:rPr>
                <w:rFonts w:eastAsia="Times New Roman" w:cstheme="minorHAnsi"/>
                <w:color w:val="000000" w:themeColor="text1"/>
              </w:rPr>
            </w:pPr>
            <w:r w:rsidRPr="007A759F">
              <w:rPr>
                <w:rFonts w:eastAsia="Times New Roman" w:cstheme="minorHAnsi"/>
                <w:color w:val="000000" w:themeColor="text1"/>
                <w:shd w:val="clear" w:color="auto" w:fill="FFFFFF"/>
              </w:rPr>
              <w:t>The University</w:t>
            </w:r>
            <w:r w:rsidR="00426466" w:rsidRPr="007A759F">
              <w:rPr>
                <w:rFonts w:eastAsia="Times New Roman" w:cstheme="minorHAnsi"/>
                <w:color w:val="000000" w:themeColor="text1"/>
                <w:shd w:val="clear" w:color="auto" w:fill="FFFFFF"/>
              </w:rPr>
              <w:t xml:space="preserve"> is committed to </w:t>
            </w:r>
            <w:r w:rsidR="00515055" w:rsidRPr="007A759F">
              <w:rPr>
                <w:rFonts w:eastAsia="Times New Roman" w:cstheme="minorHAnsi"/>
                <w:color w:val="000000" w:themeColor="text1"/>
                <w:shd w:val="clear" w:color="auto" w:fill="FFFFFF"/>
              </w:rPr>
              <w:t>achiev</w:t>
            </w:r>
            <w:r w:rsidR="00426466" w:rsidRPr="007A759F">
              <w:rPr>
                <w:rFonts w:eastAsia="Times New Roman" w:cstheme="minorHAnsi"/>
                <w:color w:val="000000" w:themeColor="text1"/>
                <w:shd w:val="clear" w:color="auto" w:fill="FFFFFF"/>
              </w:rPr>
              <w:t>ing</w:t>
            </w:r>
            <w:r w:rsidR="00515055" w:rsidRPr="007A759F">
              <w:rPr>
                <w:rFonts w:eastAsia="Times New Roman" w:cstheme="minorHAnsi"/>
                <w:color w:val="000000" w:themeColor="text1"/>
                <w:shd w:val="clear" w:color="auto" w:fill="FFFFFF"/>
              </w:rPr>
              <w:t xml:space="preserve"> parity between the proportion of students from diverse backgrounds who enter and graduate </w:t>
            </w:r>
            <w:r w:rsidR="00515055" w:rsidRPr="007A759F">
              <w:rPr>
                <w:rFonts w:cstheme="minorHAnsi"/>
                <w:color w:val="000000" w:themeColor="text1"/>
              </w:rPr>
              <w:t xml:space="preserve">from all disciplines </w:t>
            </w:r>
            <w:r w:rsidR="00515055" w:rsidRPr="007A759F">
              <w:rPr>
                <w:rFonts w:eastAsia="Times New Roman" w:cstheme="minorHAnsi"/>
                <w:color w:val="000000" w:themeColor="text1"/>
                <w:shd w:val="clear" w:color="auto" w:fill="FFFFFF"/>
              </w:rPr>
              <w:t>with the proportion of people who are from those backgrounds in our regions.</w:t>
            </w:r>
          </w:p>
          <w:p w14:paraId="7F5CE641" w14:textId="77777777" w:rsidR="00515055" w:rsidRPr="007A759F" w:rsidRDefault="00515055" w:rsidP="00AB5025">
            <w:pPr>
              <w:rPr>
                <w:rFonts w:cstheme="minorHAnsi"/>
                <w:color w:val="000000" w:themeColor="text1"/>
              </w:rPr>
            </w:pPr>
          </w:p>
          <w:p w14:paraId="29FA4E37" w14:textId="77777777" w:rsidR="00AB5025" w:rsidRPr="004B472D" w:rsidRDefault="001D71E3" w:rsidP="00A56DB5">
            <w:pPr>
              <w:rPr>
                <w:rFonts w:cstheme="minorHAnsi"/>
              </w:rPr>
            </w:pPr>
            <w:r w:rsidRPr="007A759F">
              <w:rPr>
                <w:rFonts w:cstheme="minorHAnsi"/>
                <w:color w:val="000000" w:themeColor="text1"/>
              </w:rPr>
              <w:t>Beyond this, parity of participation</w:t>
            </w:r>
            <w:r w:rsidR="00AB5025" w:rsidRPr="007A759F">
              <w:rPr>
                <w:rFonts w:cstheme="minorHAnsi"/>
                <w:color w:val="000000" w:themeColor="text1"/>
              </w:rPr>
              <w:t xml:space="preserve"> is about who is included in the design of initiatives, who </w:t>
            </w:r>
            <w:r w:rsidR="006235CE" w:rsidRPr="007A759F">
              <w:rPr>
                <w:rFonts w:cstheme="minorHAnsi"/>
                <w:color w:val="000000" w:themeColor="text1"/>
              </w:rPr>
              <w:t>the</w:t>
            </w:r>
            <w:r w:rsidR="00AB5025" w:rsidRPr="007A759F">
              <w:rPr>
                <w:rFonts w:cstheme="minorHAnsi"/>
                <w:color w:val="000000" w:themeColor="text1"/>
              </w:rPr>
              <w:t xml:space="preserve"> </w:t>
            </w:r>
            <w:r w:rsidR="00A56DB5" w:rsidRPr="007A759F">
              <w:rPr>
                <w:rFonts w:cstheme="minorHAnsi"/>
                <w:color w:val="000000" w:themeColor="text1"/>
              </w:rPr>
              <w:t>U</w:t>
            </w:r>
            <w:r w:rsidR="00AB5025" w:rsidRPr="007A759F">
              <w:rPr>
                <w:rFonts w:cstheme="minorHAnsi"/>
                <w:color w:val="000000" w:themeColor="text1"/>
              </w:rPr>
              <w:t xml:space="preserve">niversity </w:t>
            </w:r>
            <w:r w:rsidR="006235CE" w:rsidRPr="007A759F">
              <w:rPr>
                <w:rFonts w:cstheme="minorHAnsi"/>
                <w:color w:val="000000" w:themeColor="text1"/>
              </w:rPr>
              <w:t xml:space="preserve">is </w:t>
            </w:r>
            <w:r w:rsidR="00AB5025" w:rsidRPr="007A759F">
              <w:rPr>
                <w:rFonts w:cstheme="minorHAnsi"/>
                <w:color w:val="000000" w:themeColor="text1"/>
              </w:rPr>
              <w:t xml:space="preserve">accountable to, </w:t>
            </w:r>
            <w:r w:rsidR="006235CE" w:rsidRPr="007A759F">
              <w:rPr>
                <w:rFonts w:cstheme="minorHAnsi"/>
                <w:color w:val="000000" w:themeColor="text1"/>
              </w:rPr>
              <w:t xml:space="preserve">and </w:t>
            </w:r>
            <w:r w:rsidR="00AB5025" w:rsidRPr="007A759F">
              <w:rPr>
                <w:rFonts w:cstheme="minorHAnsi"/>
                <w:color w:val="000000" w:themeColor="text1"/>
              </w:rPr>
              <w:t>how backgrounds and cultures</w:t>
            </w:r>
            <w:r w:rsidR="006235CE" w:rsidRPr="007A759F">
              <w:rPr>
                <w:rFonts w:cstheme="minorHAnsi"/>
                <w:color w:val="000000" w:themeColor="text1"/>
              </w:rPr>
              <w:t xml:space="preserve"> are</w:t>
            </w:r>
            <w:r w:rsidR="00AB5025" w:rsidRPr="007A759F">
              <w:rPr>
                <w:rFonts w:cstheme="minorHAnsi"/>
                <w:color w:val="000000" w:themeColor="text1"/>
              </w:rPr>
              <w:t xml:space="preserve"> recognised as important to the future of the </w:t>
            </w:r>
            <w:r w:rsidR="00A955FF" w:rsidRPr="007A759F">
              <w:rPr>
                <w:rFonts w:cstheme="minorHAnsi"/>
                <w:color w:val="000000" w:themeColor="text1"/>
              </w:rPr>
              <w:t>U</w:t>
            </w:r>
            <w:r w:rsidR="00AB5025" w:rsidRPr="007A759F">
              <w:rPr>
                <w:rFonts w:cstheme="minorHAnsi"/>
                <w:color w:val="000000" w:themeColor="text1"/>
              </w:rPr>
              <w:t>niversity.</w:t>
            </w:r>
            <w:r w:rsidR="00AB5025" w:rsidRPr="004B472D">
              <w:rPr>
                <w:rFonts w:cstheme="minorHAnsi"/>
                <w:color w:val="000000" w:themeColor="text1"/>
              </w:rPr>
              <w:t xml:space="preserve"> </w:t>
            </w:r>
          </w:p>
        </w:tc>
      </w:tr>
    </w:tbl>
    <w:p w14:paraId="04127D59" w14:textId="77777777" w:rsidR="00D67C56" w:rsidRPr="007A759F" w:rsidRDefault="00D67C56">
      <w:pPr>
        <w:rPr>
          <w:rFonts w:cstheme="minorHAnsi"/>
          <w:sz w:val="22"/>
          <w:szCs w:val="22"/>
        </w:rPr>
      </w:pPr>
    </w:p>
    <w:p w14:paraId="545F6F10" w14:textId="77777777" w:rsidR="00E22897" w:rsidRPr="007A759F" w:rsidRDefault="0022769B" w:rsidP="00D67C56">
      <w:pPr>
        <w:rPr>
          <w:rFonts w:cstheme="minorHAnsi"/>
          <w:sz w:val="22"/>
          <w:szCs w:val="22"/>
        </w:rPr>
      </w:pPr>
      <w:r w:rsidRPr="007A759F">
        <w:rPr>
          <w:rFonts w:cstheme="minorHAnsi"/>
          <w:sz w:val="22"/>
          <w:szCs w:val="22"/>
        </w:rPr>
        <w:t xml:space="preserve"> </w:t>
      </w:r>
      <w:r w:rsidR="00E22897" w:rsidRPr="007A759F">
        <w:rPr>
          <w:rFonts w:cstheme="minorHAnsi"/>
          <w:b/>
          <w:sz w:val="22"/>
          <w:szCs w:val="22"/>
        </w:rPr>
        <w:t>Principles:</w:t>
      </w:r>
    </w:p>
    <w:p w14:paraId="6C349E54" w14:textId="77777777" w:rsidR="00223688" w:rsidRPr="007A759F" w:rsidRDefault="00223688">
      <w:pPr>
        <w:rPr>
          <w:rFonts w:cstheme="minorHAnsi"/>
          <w:sz w:val="22"/>
          <w:szCs w:val="22"/>
        </w:rPr>
      </w:pPr>
    </w:p>
    <w:tbl>
      <w:tblPr>
        <w:tblStyle w:val="TableGrid"/>
        <w:tblW w:w="0" w:type="auto"/>
        <w:tblInd w:w="-5" w:type="dxa"/>
        <w:tblBorders>
          <w:left w:val="single" w:sz="6" w:space="0" w:color="auto"/>
          <w:bottom w:val="single" w:sz="8" w:space="0" w:color="auto"/>
          <w:right w:val="single" w:sz="6" w:space="0" w:color="auto"/>
          <w:insideH w:val="single" w:sz="6" w:space="0" w:color="auto"/>
          <w:insideV w:val="single" w:sz="6" w:space="0" w:color="auto"/>
        </w:tblBorders>
        <w:tblLook w:val="04A0" w:firstRow="1" w:lastRow="0" w:firstColumn="1" w:lastColumn="0" w:noHBand="0" w:noVBand="1"/>
      </w:tblPr>
      <w:tblGrid>
        <w:gridCol w:w="1982"/>
        <w:gridCol w:w="7027"/>
      </w:tblGrid>
      <w:tr w:rsidR="00223688" w:rsidRPr="004B472D" w14:paraId="736A9DA8" w14:textId="77777777" w:rsidTr="00782F35">
        <w:trPr>
          <w:trHeight w:val="904"/>
        </w:trPr>
        <w:tc>
          <w:tcPr>
            <w:tcW w:w="1982" w:type="dxa"/>
            <w:tcBorders>
              <w:top w:val="single" w:sz="6" w:space="0" w:color="auto"/>
              <w:bottom w:val="single" w:sz="6" w:space="0" w:color="auto"/>
            </w:tcBorders>
            <w:shd w:val="clear" w:color="auto" w:fill="00B0F0"/>
          </w:tcPr>
          <w:p w14:paraId="39AAF227" w14:textId="77777777" w:rsidR="0022769B" w:rsidRPr="007A759F" w:rsidRDefault="0022769B" w:rsidP="007617B4">
            <w:pPr>
              <w:spacing w:before="120"/>
              <w:jc w:val="both"/>
              <w:rPr>
                <w:rFonts w:cstheme="minorHAnsi"/>
                <w:b/>
                <w:color w:val="FFFFFF" w:themeColor="background1"/>
              </w:rPr>
            </w:pPr>
            <w:r w:rsidRPr="007A759F">
              <w:rPr>
                <w:rFonts w:cstheme="minorHAnsi"/>
                <w:b/>
                <w:color w:val="FFFFFF" w:themeColor="background1"/>
              </w:rPr>
              <w:t>RESOURCE</w:t>
            </w:r>
          </w:p>
          <w:p w14:paraId="6E18A2E6" w14:textId="77777777" w:rsidR="0022769B" w:rsidRPr="007A759F" w:rsidRDefault="0022769B" w:rsidP="00990757">
            <w:pPr>
              <w:jc w:val="both"/>
              <w:rPr>
                <w:rFonts w:cstheme="minorHAnsi"/>
                <w:b/>
                <w:color w:val="FFFFFF" w:themeColor="background1"/>
              </w:rPr>
            </w:pPr>
            <w:r w:rsidRPr="007A759F">
              <w:rPr>
                <w:rFonts w:cstheme="minorHAnsi"/>
                <w:b/>
                <w:color w:val="FFFFFF" w:themeColor="background1"/>
              </w:rPr>
              <w:t>ACCOUNTABILITY</w:t>
            </w:r>
          </w:p>
        </w:tc>
        <w:tc>
          <w:tcPr>
            <w:tcW w:w="7027" w:type="dxa"/>
            <w:tcBorders>
              <w:top w:val="single" w:sz="6" w:space="0" w:color="auto"/>
              <w:bottom w:val="single" w:sz="6" w:space="0" w:color="auto"/>
            </w:tcBorders>
            <w:shd w:val="clear" w:color="auto" w:fill="auto"/>
          </w:tcPr>
          <w:p w14:paraId="422E3E80" w14:textId="77777777" w:rsidR="00426466" w:rsidRPr="007A759F" w:rsidRDefault="0081195C" w:rsidP="002D7BE9">
            <w:pPr>
              <w:rPr>
                <w:rFonts w:cstheme="minorHAnsi"/>
              </w:rPr>
            </w:pPr>
            <w:r w:rsidRPr="007A759F">
              <w:rPr>
                <w:rFonts w:cstheme="minorHAnsi"/>
              </w:rPr>
              <w:t>Resources are ethically allocated on the basis of our commitment to equity</w:t>
            </w:r>
            <w:r w:rsidR="00426466" w:rsidRPr="007A759F">
              <w:rPr>
                <w:rFonts w:cstheme="minorHAnsi"/>
              </w:rPr>
              <w:t xml:space="preserve"> and are guided by </w:t>
            </w:r>
            <w:r w:rsidRPr="007A759F">
              <w:rPr>
                <w:rFonts w:cstheme="minorHAnsi"/>
              </w:rPr>
              <w:t xml:space="preserve">high quality research that is sensitive to the complexities of social inequalities. </w:t>
            </w:r>
          </w:p>
          <w:p w14:paraId="0320928A" w14:textId="77777777" w:rsidR="00426466" w:rsidRPr="007A759F" w:rsidRDefault="00426466" w:rsidP="002D7BE9">
            <w:pPr>
              <w:rPr>
                <w:rFonts w:cstheme="minorHAnsi"/>
              </w:rPr>
            </w:pPr>
          </w:p>
          <w:p w14:paraId="13A26A0A" w14:textId="0803DEA8" w:rsidR="00223688" w:rsidRPr="007A759F" w:rsidRDefault="0081195C" w:rsidP="002D7BE9">
            <w:pPr>
              <w:rPr>
                <w:rFonts w:cstheme="minorHAnsi"/>
              </w:rPr>
            </w:pPr>
            <w:r w:rsidRPr="007A759F">
              <w:rPr>
                <w:rFonts w:cstheme="minorHAnsi"/>
              </w:rPr>
              <w:t>Ongoing processes of</w:t>
            </w:r>
            <w:r w:rsidR="00426466" w:rsidRPr="007A759F">
              <w:rPr>
                <w:rFonts w:cstheme="minorHAnsi"/>
              </w:rPr>
              <w:t xml:space="preserve"> ethical, contextualised and </w:t>
            </w:r>
            <w:r w:rsidRPr="007A759F">
              <w:rPr>
                <w:rFonts w:cstheme="minorHAnsi"/>
              </w:rPr>
              <w:t xml:space="preserve">rigorous evaluation </w:t>
            </w:r>
            <w:r w:rsidR="00426466" w:rsidRPr="007A759F">
              <w:rPr>
                <w:rFonts w:cstheme="minorHAnsi"/>
              </w:rPr>
              <w:t>of the short and long term impact of initiatives</w:t>
            </w:r>
            <w:r w:rsidR="0099307B">
              <w:rPr>
                <w:rFonts w:cstheme="minorHAnsi"/>
              </w:rPr>
              <w:t xml:space="preserve"> </w:t>
            </w:r>
            <w:r w:rsidRPr="007A759F">
              <w:rPr>
                <w:rFonts w:cstheme="minorHAnsi"/>
              </w:rPr>
              <w:t>are engaged across the University to directly inform allocation of resources</w:t>
            </w:r>
            <w:r w:rsidR="0004399C" w:rsidRPr="007A759F">
              <w:rPr>
                <w:rFonts w:cstheme="minorHAnsi"/>
              </w:rPr>
              <w:t xml:space="preserve"> related to equity </w:t>
            </w:r>
            <w:r w:rsidR="00A56DB5" w:rsidRPr="007A759F">
              <w:rPr>
                <w:rFonts w:cstheme="minorHAnsi"/>
              </w:rPr>
              <w:t>and</w:t>
            </w:r>
            <w:r w:rsidR="0004399C" w:rsidRPr="007A759F">
              <w:rPr>
                <w:rFonts w:cstheme="minorHAnsi"/>
              </w:rPr>
              <w:t xml:space="preserve"> social justice</w:t>
            </w:r>
            <w:r w:rsidR="0099307B">
              <w:rPr>
                <w:rFonts w:cstheme="minorHAnsi"/>
              </w:rPr>
              <w:t xml:space="preserve"> Expenditure and evaluation of resources is guided by data</w:t>
            </w:r>
            <w:r w:rsidR="0004399C" w:rsidRPr="007A759F">
              <w:rPr>
                <w:rFonts w:cstheme="minorHAnsi"/>
              </w:rPr>
              <w:t>.</w:t>
            </w:r>
          </w:p>
          <w:p w14:paraId="58CAB410" w14:textId="77777777" w:rsidR="00426466" w:rsidRPr="007A759F" w:rsidRDefault="00426466" w:rsidP="002D7BE9">
            <w:pPr>
              <w:rPr>
                <w:rFonts w:cstheme="minorHAnsi"/>
              </w:rPr>
            </w:pPr>
          </w:p>
        </w:tc>
      </w:tr>
      <w:tr w:rsidR="00223688" w:rsidRPr="004B472D" w14:paraId="756148EE" w14:textId="77777777" w:rsidTr="00782F35">
        <w:trPr>
          <w:trHeight w:val="819"/>
        </w:trPr>
        <w:tc>
          <w:tcPr>
            <w:tcW w:w="1982" w:type="dxa"/>
            <w:tcBorders>
              <w:top w:val="single" w:sz="6" w:space="0" w:color="auto"/>
            </w:tcBorders>
            <w:shd w:val="clear" w:color="auto" w:fill="00B0F0"/>
          </w:tcPr>
          <w:p w14:paraId="5C2F19AF" w14:textId="77777777" w:rsidR="00223688" w:rsidRPr="007A759F" w:rsidRDefault="00634BE0" w:rsidP="007617B4">
            <w:pPr>
              <w:spacing w:before="120" w:after="120"/>
              <w:jc w:val="both"/>
              <w:rPr>
                <w:rFonts w:cstheme="minorHAnsi"/>
                <w:b/>
                <w:color w:val="FFFFFF" w:themeColor="background1"/>
              </w:rPr>
            </w:pPr>
            <w:r w:rsidRPr="007A759F">
              <w:rPr>
                <w:rFonts w:cstheme="minorHAnsi"/>
                <w:b/>
                <w:color w:val="FFFFFF" w:themeColor="background1"/>
              </w:rPr>
              <w:t>C</w:t>
            </w:r>
            <w:r w:rsidR="0004399C" w:rsidRPr="007A759F">
              <w:rPr>
                <w:rFonts w:cstheme="minorHAnsi"/>
                <w:b/>
                <w:color w:val="FFFFFF" w:themeColor="background1"/>
              </w:rPr>
              <w:t>0-DEVELOPMENT</w:t>
            </w:r>
          </w:p>
        </w:tc>
        <w:tc>
          <w:tcPr>
            <w:tcW w:w="7027" w:type="dxa"/>
            <w:tcBorders>
              <w:top w:val="single" w:sz="6" w:space="0" w:color="auto"/>
            </w:tcBorders>
            <w:shd w:val="clear" w:color="auto" w:fill="auto"/>
          </w:tcPr>
          <w:p w14:paraId="15F93EE5" w14:textId="77777777" w:rsidR="00F6327D" w:rsidRPr="007A759F" w:rsidRDefault="0081195C" w:rsidP="002D7BE9">
            <w:pPr>
              <w:rPr>
                <w:rFonts w:cstheme="minorHAnsi"/>
              </w:rPr>
            </w:pPr>
            <w:r w:rsidRPr="007A759F">
              <w:rPr>
                <w:rFonts w:cstheme="minorHAnsi"/>
              </w:rPr>
              <w:t>Students and</w:t>
            </w:r>
            <w:r w:rsidR="00376DF4" w:rsidRPr="007A759F">
              <w:rPr>
                <w:rFonts w:cstheme="minorHAnsi"/>
              </w:rPr>
              <w:t xml:space="preserve"> our</w:t>
            </w:r>
            <w:r w:rsidR="00A56DB5" w:rsidRPr="007A759F">
              <w:rPr>
                <w:rFonts w:cstheme="minorHAnsi"/>
              </w:rPr>
              <w:t xml:space="preserve"> communities</w:t>
            </w:r>
            <w:r w:rsidRPr="007A759F">
              <w:rPr>
                <w:rFonts w:cstheme="minorHAnsi"/>
              </w:rPr>
              <w:t xml:space="preserve"> are at the centre of all equity endeavours. </w:t>
            </w:r>
          </w:p>
          <w:p w14:paraId="15EE9563" w14:textId="77777777" w:rsidR="00F6327D" w:rsidRPr="007A759F" w:rsidRDefault="00F6327D" w:rsidP="002D7BE9">
            <w:pPr>
              <w:rPr>
                <w:rFonts w:cstheme="minorHAnsi"/>
              </w:rPr>
            </w:pPr>
          </w:p>
          <w:p w14:paraId="7CE5A14C" w14:textId="77777777" w:rsidR="00376DF4" w:rsidRPr="007A759F" w:rsidRDefault="0081195C" w:rsidP="002D7BE9">
            <w:pPr>
              <w:rPr>
                <w:rFonts w:cstheme="minorHAnsi"/>
              </w:rPr>
            </w:pPr>
            <w:r w:rsidRPr="007A759F">
              <w:rPr>
                <w:rFonts w:cstheme="minorHAnsi"/>
              </w:rPr>
              <w:t xml:space="preserve">Frameworks and initiatives are co-developed with students, staff and </w:t>
            </w:r>
            <w:r w:rsidR="00376DF4" w:rsidRPr="007A759F">
              <w:rPr>
                <w:rFonts w:cstheme="minorHAnsi"/>
              </w:rPr>
              <w:t>our communit</w:t>
            </w:r>
            <w:r w:rsidR="00F6327D" w:rsidRPr="007A759F">
              <w:rPr>
                <w:rFonts w:cstheme="minorHAnsi"/>
              </w:rPr>
              <w:t>ies</w:t>
            </w:r>
            <w:r w:rsidRPr="007A759F">
              <w:rPr>
                <w:rFonts w:cstheme="minorHAnsi"/>
              </w:rPr>
              <w:t xml:space="preserve"> through ethical consultation and engagement. </w:t>
            </w:r>
          </w:p>
          <w:p w14:paraId="1069D281" w14:textId="77777777" w:rsidR="00376DF4" w:rsidRPr="007A759F" w:rsidRDefault="00376DF4" w:rsidP="002D7BE9">
            <w:pPr>
              <w:rPr>
                <w:rFonts w:cstheme="minorHAnsi"/>
              </w:rPr>
            </w:pPr>
          </w:p>
          <w:p w14:paraId="46BD55EF" w14:textId="77777777" w:rsidR="00223688" w:rsidRPr="007A759F" w:rsidRDefault="0081195C" w:rsidP="002D7BE9">
            <w:pPr>
              <w:rPr>
                <w:rFonts w:cstheme="minorHAnsi"/>
              </w:rPr>
            </w:pPr>
            <w:r w:rsidRPr="007A759F">
              <w:rPr>
                <w:rFonts w:cstheme="minorHAnsi"/>
              </w:rPr>
              <w:t>Initiatives are research-informed, rigorously evaluated, and have a clear link with the goal of parity of participation</w:t>
            </w:r>
            <w:r w:rsidR="004C6D2F" w:rsidRPr="007A759F">
              <w:rPr>
                <w:rFonts w:cstheme="minorHAnsi"/>
              </w:rPr>
              <w:t>.</w:t>
            </w:r>
          </w:p>
          <w:p w14:paraId="68969F11" w14:textId="77777777" w:rsidR="004C6D2F" w:rsidRPr="007A759F" w:rsidRDefault="004C6D2F" w:rsidP="002D7BE9">
            <w:pPr>
              <w:rPr>
                <w:rFonts w:cstheme="minorHAnsi"/>
              </w:rPr>
            </w:pPr>
          </w:p>
        </w:tc>
      </w:tr>
      <w:tr w:rsidR="00223688" w:rsidRPr="004B472D" w14:paraId="44D7FE27" w14:textId="77777777" w:rsidTr="00782F35">
        <w:trPr>
          <w:trHeight w:val="900"/>
        </w:trPr>
        <w:tc>
          <w:tcPr>
            <w:tcW w:w="1982" w:type="dxa"/>
            <w:shd w:val="clear" w:color="auto" w:fill="00B0F0"/>
          </w:tcPr>
          <w:p w14:paraId="3037D909" w14:textId="77777777" w:rsidR="00223688" w:rsidRPr="007A759F" w:rsidRDefault="00990757" w:rsidP="007617B4">
            <w:pPr>
              <w:spacing w:before="120" w:after="120"/>
              <w:jc w:val="both"/>
              <w:rPr>
                <w:rFonts w:cstheme="minorHAnsi"/>
                <w:b/>
                <w:color w:val="FFFFFF" w:themeColor="background1"/>
              </w:rPr>
            </w:pPr>
            <w:r w:rsidRPr="007A759F">
              <w:rPr>
                <w:rFonts w:cstheme="minorHAnsi"/>
                <w:b/>
                <w:color w:val="FFFFFF" w:themeColor="background1"/>
              </w:rPr>
              <w:t xml:space="preserve">VALUING </w:t>
            </w:r>
            <w:r w:rsidR="0022769B" w:rsidRPr="007A759F">
              <w:rPr>
                <w:rFonts w:cstheme="minorHAnsi"/>
                <w:b/>
                <w:color w:val="FFFFFF" w:themeColor="background1"/>
              </w:rPr>
              <w:t>DIVERSITY</w:t>
            </w:r>
            <w:r w:rsidR="005E569F" w:rsidRPr="007A759F">
              <w:rPr>
                <w:rFonts w:cstheme="minorHAnsi"/>
                <w:b/>
                <w:color w:val="FFFFFF" w:themeColor="background1"/>
              </w:rPr>
              <w:t xml:space="preserve"> &amp;</w:t>
            </w:r>
          </w:p>
          <w:p w14:paraId="698DEA6F" w14:textId="77777777" w:rsidR="005E569F" w:rsidRPr="007A759F" w:rsidRDefault="005E569F" w:rsidP="007617B4">
            <w:pPr>
              <w:spacing w:before="120" w:after="120"/>
              <w:jc w:val="both"/>
              <w:rPr>
                <w:rFonts w:cstheme="minorHAnsi"/>
                <w:b/>
                <w:color w:val="FFFFFF" w:themeColor="background1"/>
              </w:rPr>
            </w:pPr>
            <w:r w:rsidRPr="007A759F">
              <w:rPr>
                <w:rFonts w:cstheme="minorHAnsi"/>
                <w:b/>
                <w:color w:val="FFFFFF" w:themeColor="background1"/>
              </w:rPr>
              <w:t xml:space="preserve">DIFFERENCE </w:t>
            </w:r>
          </w:p>
          <w:p w14:paraId="04679F10" w14:textId="77777777" w:rsidR="005E569F" w:rsidRPr="007A759F" w:rsidRDefault="005E569F" w:rsidP="007617B4">
            <w:pPr>
              <w:spacing w:before="120" w:after="120"/>
              <w:jc w:val="both"/>
              <w:rPr>
                <w:rFonts w:cstheme="minorHAnsi"/>
                <w:b/>
                <w:color w:val="FFFFFF" w:themeColor="background1"/>
              </w:rPr>
            </w:pPr>
          </w:p>
        </w:tc>
        <w:tc>
          <w:tcPr>
            <w:tcW w:w="7027" w:type="dxa"/>
            <w:shd w:val="clear" w:color="auto" w:fill="auto"/>
          </w:tcPr>
          <w:p w14:paraId="164DCA29" w14:textId="77777777" w:rsidR="004C6D2F" w:rsidRPr="007A759F" w:rsidRDefault="0081195C" w:rsidP="002D7BE9">
            <w:pPr>
              <w:rPr>
                <w:rFonts w:cstheme="minorHAnsi"/>
              </w:rPr>
            </w:pPr>
            <w:r w:rsidRPr="007A759F">
              <w:rPr>
                <w:rFonts w:cstheme="minorHAnsi"/>
              </w:rPr>
              <w:t xml:space="preserve">The diversity of our student body and communities are celebrated, recognised and valued. </w:t>
            </w:r>
          </w:p>
          <w:p w14:paraId="415133DA" w14:textId="77777777" w:rsidR="004C6D2F" w:rsidRPr="007A759F" w:rsidRDefault="004C6D2F" w:rsidP="002D7BE9">
            <w:pPr>
              <w:rPr>
                <w:rFonts w:cstheme="minorHAnsi"/>
              </w:rPr>
            </w:pPr>
          </w:p>
          <w:p w14:paraId="633F0B6F" w14:textId="77777777" w:rsidR="004C6D2F" w:rsidRPr="007A759F" w:rsidRDefault="00A56DB5" w:rsidP="002D7BE9">
            <w:pPr>
              <w:rPr>
                <w:rFonts w:cstheme="minorHAnsi"/>
              </w:rPr>
            </w:pPr>
            <w:r w:rsidRPr="007A759F">
              <w:rPr>
                <w:rFonts w:cstheme="minorHAnsi"/>
              </w:rPr>
              <w:t>The University</w:t>
            </w:r>
            <w:r w:rsidR="0081195C" w:rsidRPr="007A759F">
              <w:rPr>
                <w:rFonts w:cstheme="minorHAnsi"/>
              </w:rPr>
              <w:t xml:space="preserve"> thrives on the richness of its diverse communities but also recognises the significance of developing empathy across our differences.</w:t>
            </w:r>
          </w:p>
          <w:p w14:paraId="04A687FB" w14:textId="77777777" w:rsidR="004C6D2F" w:rsidRPr="007A759F" w:rsidRDefault="004C6D2F" w:rsidP="002D7BE9">
            <w:pPr>
              <w:rPr>
                <w:rFonts w:cstheme="minorHAnsi"/>
              </w:rPr>
            </w:pPr>
          </w:p>
          <w:p w14:paraId="03BB55D2" w14:textId="77777777" w:rsidR="00223688" w:rsidRPr="007A759F" w:rsidRDefault="0081195C" w:rsidP="002D7BE9">
            <w:pPr>
              <w:rPr>
                <w:rFonts w:cstheme="minorHAnsi"/>
              </w:rPr>
            </w:pPr>
            <w:r w:rsidRPr="007A759F">
              <w:rPr>
                <w:rFonts w:cstheme="minorHAnsi"/>
              </w:rPr>
              <w:t xml:space="preserve">Going beyond a superficial understanding to ensure that systems, frameworks and initiatives respond to student/ community contexts. This will support the development of an environment that nurtures student aspirations, capabilities, and sense of belonging. </w:t>
            </w:r>
          </w:p>
        </w:tc>
      </w:tr>
    </w:tbl>
    <w:p w14:paraId="75F061F2" w14:textId="77777777" w:rsidR="00545D41" w:rsidRDefault="00545D41" w:rsidP="004C6D2F">
      <w:pPr>
        <w:rPr>
          <w:rFonts w:cstheme="minorHAnsi"/>
          <w:sz w:val="22"/>
          <w:szCs w:val="22"/>
        </w:rPr>
      </w:pPr>
    </w:p>
    <w:p w14:paraId="3F7C9E16" w14:textId="7887345A" w:rsidR="006235CE" w:rsidRPr="007A759F" w:rsidRDefault="00A1036B" w:rsidP="004C6D2F">
      <w:pPr>
        <w:rPr>
          <w:rFonts w:cstheme="minorHAnsi"/>
          <w:sz w:val="22"/>
          <w:szCs w:val="22"/>
        </w:rPr>
      </w:pPr>
      <w:r w:rsidRPr="007A759F">
        <w:rPr>
          <w:rFonts w:cstheme="minorHAnsi"/>
          <w:sz w:val="22"/>
          <w:szCs w:val="22"/>
        </w:rPr>
        <w:t xml:space="preserve">These principles intersect and help to strengthen, advance and reinforce the others. Within each principle, key strategies have been prioritised to provide a starting point for implementation. </w:t>
      </w:r>
    </w:p>
    <w:p w14:paraId="0CF46C78" w14:textId="77777777" w:rsidR="00545D41" w:rsidRDefault="00545D41">
      <w:pPr>
        <w:rPr>
          <w:rFonts w:ascii="Tw Cen MT" w:hAnsi="Tw Cen MT"/>
          <w:b/>
          <w:color w:val="00B0F0"/>
          <w:sz w:val="48"/>
          <w:szCs w:val="48"/>
        </w:rPr>
      </w:pPr>
      <w:r>
        <w:rPr>
          <w:rFonts w:ascii="Tw Cen MT" w:hAnsi="Tw Cen MT"/>
          <w:b/>
          <w:color w:val="00B0F0"/>
          <w:sz w:val="48"/>
          <w:szCs w:val="48"/>
        </w:rPr>
        <w:br w:type="page"/>
      </w:r>
    </w:p>
    <w:p w14:paraId="0E12BFB5" w14:textId="04AD71D3" w:rsidR="00A1036B" w:rsidRPr="00545D41" w:rsidRDefault="00A1036B" w:rsidP="00A1036B">
      <w:pPr>
        <w:jc w:val="both"/>
        <w:rPr>
          <w:rFonts w:ascii="Tw Cen MT" w:hAnsi="Tw Cen MT"/>
          <w:b/>
          <w:color w:val="00B0F0"/>
          <w:sz w:val="48"/>
          <w:szCs w:val="48"/>
        </w:rPr>
      </w:pPr>
      <w:r w:rsidRPr="00545D41">
        <w:rPr>
          <w:rFonts w:ascii="Tw Cen MT" w:hAnsi="Tw Cen MT"/>
          <w:b/>
          <w:color w:val="00B0F0"/>
          <w:sz w:val="48"/>
          <w:szCs w:val="48"/>
        </w:rPr>
        <w:lastRenderedPageBreak/>
        <w:t>RESOURCE ACCOUNTABILITY</w:t>
      </w:r>
    </w:p>
    <w:p w14:paraId="00512945" w14:textId="77777777" w:rsidR="00A1036B" w:rsidRPr="007A759F" w:rsidRDefault="00A1036B" w:rsidP="00A1036B">
      <w:pPr>
        <w:rPr>
          <w:rFonts w:cstheme="minorHAnsi"/>
          <w:b/>
          <w:sz w:val="22"/>
          <w:szCs w:val="22"/>
        </w:rPr>
      </w:pPr>
    </w:p>
    <w:p w14:paraId="44A8FD7B" w14:textId="77777777" w:rsidR="004C6D2F" w:rsidRPr="00DE175D" w:rsidRDefault="004C6D2F" w:rsidP="00EE3C24">
      <w:pPr>
        <w:pStyle w:val="ListParagraph"/>
        <w:numPr>
          <w:ilvl w:val="0"/>
          <w:numId w:val="11"/>
        </w:numPr>
        <w:spacing w:after="120"/>
        <w:ind w:left="284" w:hanging="284"/>
        <w:contextualSpacing w:val="0"/>
        <w:rPr>
          <w:rFonts w:cstheme="minorHAnsi"/>
          <w:b/>
        </w:rPr>
      </w:pPr>
      <w:r w:rsidRPr="00DE175D">
        <w:rPr>
          <w:rFonts w:cstheme="minorHAnsi"/>
          <w:b/>
        </w:rPr>
        <w:t xml:space="preserve">Resources are ethically allocated on the basis of our commitment to equity and are guided by high quality research that is sensitive to the complexities of social inequalities. </w:t>
      </w:r>
    </w:p>
    <w:p w14:paraId="06303E10" w14:textId="77777777" w:rsidR="004C6D2F" w:rsidRPr="00DE175D" w:rsidRDefault="004C6D2F" w:rsidP="00EE3C24">
      <w:pPr>
        <w:pStyle w:val="ListParagraph"/>
        <w:numPr>
          <w:ilvl w:val="0"/>
          <w:numId w:val="11"/>
        </w:numPr>
        <w:spacing w:after="120"/>
        <w:ind w:left="284" w:hanging="284"/>
        <w:rPr>
          <w:rFonts w:cstheme="minorHAnsi"/>
          <w:b/>
        </w:rPr>
      </w:pPr>
      <w:r w:rsidRPr="00DE175D">
        <w:rPr>
          <w:rFonts w:cstheme="minorHAnsi"/>
          <w:b/>
        </w:rPr>
        <w:t>Ongoing processes of ethical, contextualised and rigorous evaluation of the short and long term impact of initiatives are engaged across the University to directly inform allocation of resources.</w:t>
      </w:r>
    </w:p>
    <w:p w14:paraId="2CAE9038" w14:textId="77777777" w:rsidR="00A1036B" w:rsidRPr="007A759F" w:rsidRDefault="00C84958" w:rsidP="00A1036B">
      <w:pPr>
        <w:rPr>
          <w:rFonts w:cstheme="minorHAnsi"/>
          <w:b/>
          <w:color w:val="2C2728"/>
          <w:sz w:val="22"/>
          <w:szCs w:val="22"/>
          <w:lang w:eastAsia="en-GB"/>
        </w:rPr>
      </w:pPr>
      <w:r w:rsidRPr="007A759F">
        <w:rPr>
          <w:rFonts w:cstheme="minorHAnsi"/>
          <w:b/>
          <w:color w:val="2C2728"/>
          <w:sz w:val="22"/>
          <w:szCs w:val="22"/>
          <w:lang w:eastAsia="en-GB"/>
        </w:rPr>
        <w:t>Sub-</w:t>
      </w:r>
      <w:r w:rsidR="00A1036B" w:rsidRPr="007A759F">
        <w:rPr>
          <w:rFonts w:cstheme="minorHAnsi"/>
          <w:b/>
          <w:color w:val="2C2728"/>
          <w:sz w:val="22"/>
          <w:szCs w:val="22"/>
          <w:lang w:eastAsia="en-GB"/>
        </w:rPr>
        <w:t>Strategies</w:t>
      </w:r>
      <w:r w:rsidR="004C6D2F" w:rsidRPr="007A759F">
        <w:rPr>
          <w:rFonts w:cstheme="minorHAnsi"/>
          <w:b/>
          <w:color w:val="2C2728"/>
          <w:sz w:val="22"/>
          <w:szCs w:val="22"/>
          <w:lang w:eastAsia="en-GB"/>
        </w:rPr>
        <w:t xml:space="preserve"> </w:t>
      </w:r>
    </w:p>
    <w:p w14:paraId="7C4D8A8A" w14:textId="77777777" w:rsidR="004C6D2F" w:rsidRPr="007A759F" w:rsidRDefault="005266F8" w:rsidP="004C6D2F">
      <w:pPr>
        <w:pStyle w:val="ListParagraph"/>
        <w:numPr>
          <w:ilvl w:val="0"/>
          <w:numId w:val="5"/>
        </w:numPr>
        <w:rPr>
          <w:rFonts w:cstheme="minorHAnsi"/>
        </w:rPr>
      </w:pPr>
      <w:r w:rsidRPr="007A759F">
        <w:rPr>
          <w:rFonts w:cstheme="minorHAnsi"/>
        </w:rPr>
        <w:t>Develop and embed</w:t>
      </w:r>
      <w:r w:rsidR="005C329C" w:rsidRPr="007A759F">
        <w:rPr>
          <w:rFonts w:cstheme="minorHAnsi"/>
        </w:rPr>
        <w:t xml:space="preserve"> </w:t>
      </w:r>
      <w:r w:rsidRPr="007A759F">
        <w:rPr>
          <w:rFonts w:cstheme="minorHAnsi"/>
        </w:rPr>
        <w:t>social justice principles guiding</w:t>
      </w:r>
      <w:r w:rsidR="005C329C" w:rsidRPr="007A759F">
        <w:rPr>
          <w:rFonts w:cstheme="minorHAnsi"/>
        </w:rPr>
        <w:t xml:space="preserve"> evaluation </w:t>
      </w:r>
      <w:r w:rsidRPr="007A759F">
        <w:rPr>
          <w:rFonts w:cstheme="minorHAnsi"/>
        </w:rPr>
        <w:t>of UON</w:t>
      </w:r>
      <w:r w:rsidR="004C6D2F" w:rsidRPr="007A759F">
        <w:rPr>
          <w:rFonts w:cstheme="minorHAnsi"/>
        </w:rPr>
        <w:t xml:space="preserve"> equity focused initiatives. </w:t>
      </w:r>
    </w:p>
    <w:p w14:paraId="45C8C6E5" w14:textId="67385D86" w:rsidR="00A1036B" w:rsidRPr="007A759F" w:rsidRDefault="00C84958" w:rsidP="00A1036B">
      <w:pPr>
        <w:pStyle w:val="ListParagraph"/>
        <w:numPr>
          <w:ilvl w:val="0"/>
          <w:numId w:val="2"/>
        </w:numPr>
        <w:spacing w:after="0"/>
        <w:rPr>
          <w:rFonts w:cstheme="minorHAnsi"/>
        </w:rPr>
      </w:pPr>
      <w:r w:rsidRPr="007A759F">
        <w:rPr>
          <w:rFonts w:cstheme="minorHAnsi"/>
        </w:rPr>
        <w:t>Embed a strong and sustainable governance framework</w:t>
      </w:r>
      <w:r w:rsidR="005C329C" w:rsidRPr="007A759F">
        <w:rPr>
          <w:rFonts w:cstheme="minorHAnsi"/>
        </w:rPr>
        <w:t xml:space="preserve"> </w:t>
      </w:r>
      <w:r w:rsidRPr="007A759F">
        <w:rPr>
          <w:rFonts w:cstheme="minorHAnsi"/>
        </w:rPr>
        <w:t>for</w:t>
      </w:r>
      <w:r w:rsidR="005C329C" w:rsidRPr="007A759F">
        <w:rPr>
          <w:rFonts w:cstheme="minorHAnsi"/>
        </w:rPr>
        <w:t xml:space="preserve"> effective oversight of </w:t>
      </w:r>
      <w:r w:rsidR="005E569F" w:rsidRPr="007A759F">
        <w:rPr>
          <w:rFonts w:cstheme="minorHAnsi"/>
        </w:rPr>
        <w:t>UON</w:t>
      </w:r>
      <w:r w:rsidR="005C329C" w:rsidRPr="007A759F">
        <w:rPr>
          <w:rFonts w:cstheme="minorHAnsi"/>
        </w:rPr>
        <w:t xml:space="preserve"> </w:t>
      </w:r>
      <w:r w:rsidR="00D522B9" w:rsidRPr="007A759F">
        <w:rPr>
          <w:rFonts w:cstheme="minorHAnsi"/>
        </w:rPr>
        <w:t>HEPPP</w:t>
      </w:r>
      <w:r w:rsidR="004C6D2F" w:rsidRPr="007A759F">
        <w:rPr>
          <w:rFonts w:cstheme="minorHAnsi"/>
        </w:rPr>
        <w:t xml:space="preserve"> </w:t>
      </w:r>
      <w:r w:rsidR="005C329C" w:rsidRPr="007A759F">
        <w:rPr>
          <w:rFonts w:cstheme="minorHAnsi"/>
        </w:rPr>
        <w:t>resources</w:t>
      </w:r>
      <w:r w:rsidR="005E569F" w:rsidRPr="007A759F">
        <w:rPr>
          <w:rFonts w:cstheme="minorHAnsi"/>
        </w:rPr>
        <w:t xml:space="preserve">. </w:t>
      </w:r>
    </w:p>
    <w:p w14:paraId="42831549" w14:textId="77777777" w:rsidR="005C329C" w:rsidRPr="007A759F" w:rsidRDefault="00C84958" w:rsidP="00A1036B">
      <w:pPr>
        <w:pStyle w:val="ListParagraph"/>
        <w:numPr>
          <w:ilvl w:val="0"/>
          <w:numId w:val="2"/>
        </w:numPr>
        <w:spacing w:after="0"/>
        <w:rPr>
          <w:rFonts w:cstheme="minorHAnsi"/>
        </w:rPr>
      </w:pPr>
      <w:r w:rsidRPr="007A759F">
        <w:rPr>
          <w:rFonts w:cstheme="minorHAnsi"/>
        </w:rPr>
        <w:t>Maintain mechanisms whereby knowledge from other</w:t>
      </w:r>
      <w:r w:rsidR="00846643" w:rsidRPr="007A759F">
        <w:rPr>
          <w:rFonts w:cstheme="minorHAnsi"/>
        </w:rPr>
        <w:t xml:space="preserve"> higher education</w:t>
      </w:r>
      <w:r w:rsidRPr="007A759F">
        <w:rPr>
          <w:rFonts w:cstheme="minorHAnsi"/>
        </w:rPr>
        <w:t xml:space="preserve"> contexts (nationally and internationally) becomes useful to </w:t>
      </w:r>
      <w:r w:rsidR="00846643" w:rsidRPr="007A759F">
        <w:rPr>
          <w:rFonts w:cstheme="minorHAnsi"/>
        </w:rPr>
        <w:t>the University’s</w:t>
      </w:r>
      <w:r w:rsidRPr="007A759F">
        <w:rPr>
          <w:rFonts w:cstheme="minorHAnsi"/>
        </w:rPr>
        <w:t xml:space="preserve"> frameworks for policy making, governance and initiative development.  </w:t>
      </w:r>
    </w:p>
    <w:p w14:paraId="23756DA0" w14:textId="77777777" w:rsidR="005C329C" w:rsidRDefault="005C329C"/>
    <w:p w14:paraId="6AFB4E9E" w14:textId="5A15E0FE" w:rsidR="005C329C" w:rsidRPr="00545D41" w:rsidRDefault="004B472D" w:rsidP="005C329C">
      <w:pPr>
        <w:jc w:val="both"/>
        <w:rPr>
          <w:rFonts w:ascii="Tw Cen MT" w:hAnsi="Tw Cen MT"/>
          <w:b/>
          <w:color w:val="00B0F0"/>
          <w:sz w:val="48"/>
          <w:szCs w:val="72"/>
        </w:rPr>
      </w:pPr>
      <w:r w:rsidRPr="00545D41">
        <w:rPr>
          <w:rFonts w:ascii="Tw Cen MT" w:hAnsi="Tw Cen MT"/>
          <w:b/>
          <w:color w:val="00B0F0"/>
          <w:sz w:val="48"/>
          <w:szCs w:val="72"/>
        </w:rPr>
        <w:t>C</w:t>
      </w:r>
      <w:r w:rsidR="00545D41" w:rsidRPr="00545D41">
        <w:rPr>
          <w:rFonts w:ascii="Tw Cen MT" w:hAnsi="Tw Cen MT"/>
          <w:b/>
          <w:color w:val="00B0F0"/>
          <w:sz w:val="48"/>
          <w:szCs w:val="72"/>
        </w:rPr>
        <w:t>O</w:t>
      </w:r>
      <w:r w:rsidR="00634BE0" w:rsidRPr="00545D41">
        <w:rPr>
          <w:rFonts w:ascii="Tw Cen MT" w:hAnsi="Tw Cen MT"/>
          <w:b/>
          <w:color w:val="00B0F0"/>
          <w:sz w:val="48"/>
          <w:szCs w:val="72"/>
        </w:rPr>
        <w:t>-DEVELOPMENT</w:t>
      </w:r>
    </w:p>
    <w:p w14:paraId="4603E5C7" w14:textId="77777777" w:rsidR="005C329C" w:rsidRPr="00A1036B" w:rsidRDefault="005C329C" w:rsidP="005C329C">
      <w:pPr>
        <w:rPr>
          <w:rFonts w:ascii="Tw Cen MT" w:hAnsi="Tw Cen MT"/>
          <w:b/>
          <w:sz w:val="28"/>
          <w:szCs w:val="28"/>
        </w:rPr>
      </w:pPr>
    </w:p>
    <w:p w14:paraId="1E92F02B" w14:textId="77777777" w:rsidR="00F6327D" w:rsidRPr="007A759F" w:rsidRDefault="002D1015" w:rsidP="00EE3C24">
      <w:pPr>
        <w:pStyle w:val="ListParagraph"/>
        <w:numPr>
          <w:ilvl w:val="0"/>
          <w:numId w:val="11"/>
        </w:numPr>
        <w:spacing w:after="120"/>
        <w:ind w:left="284" w:hanging="284"/>
        <w:contextualSpacing w:val="0"/>
        <w:rPr>
          <w:rFonts w:cstheme="minorHAnsi"/>
          <w:b/>
        </w:rPr>
      </w:pPr>
      <w:r w:rsidRPr="007A759F">
        <w:rPr>
          <w:rFonts w:cstheme="minorHAnsi"/>
          <w:b/>
        </w:rPr>
        <w:t>Students and</w:t>
      </w:r>
      <w:r w:rsidR="0004399C" w:rsidRPr="007A759F">
        <w:rPr>
          <w:rFonts w:cstheme="minorHAnsi"/>
          <w:b/>
        </w:rPr>
        <w:t xml:space="preserve"> our</w:t>
      </w:r>
      <w:r w:rsidRPr="007A759F">
        <w:rPr>
          <w:rFonts w:cstheme="minorHAnsi"/>
          <w:b/>
        </w:rPr>
        <w:t xml:space="preserve"> communit</w:t>
      </w:r>
      <w:r w:rsidR="0004399C" w:rsidRPr="007A759F">
        <w:rPr>
          <w:rFonts w:cstheme="minorHAnsi"/>
          <w:b/>
        </w:rPr>
        <w:t>ies</w:t>
      </w:r>
      <w:r w:rsidRPr="007A759F">
        <w:rPr>
          <w:rFonts w:cstheme="minorHAnsi"/>
          <w:b/>
        </w:rPr>
        <w:t xml:space="preserve"> are at the centre of all equity endeavours. </w:t>
      </w:r>
    </w:p>
    <w:p w14:paraId="54A156CC" w14:textId="77777777" w:rsidR="00F6327D" w:rsidRPr="007A759F" w:rsidRDefault="002D1015" w:rsidP="00EE3C24">
      <w:pPr>
        <w:pStyle w:val="ListParagraph"/>
        <w:numPr>
          <w:ilvl w:val="0"/>
          <w:numId w:val="11"/>
        </w:numPr>
        <w:spacing w:after="120"/>
        <w:ind w:left="284" w:hanging="284"/>
        <w:contextualSpacing w:val="0"/>
        <w:rPr>
          <w:rFonts w:cstheme="minorHAnsi"/>
          <w:b/>
        </w:rPr>
      </w:pPr>
      <w:r w:rsidRPr="007A759F">
        <w:rPr>
          <w:rFonts w:cstheme="minorHAnsi"/>
          <w:b/>
        </w:rPr>
        <w:t xml:space="preserve">Frameworks and initiatives are co-developed with students, staff and community through ethical consultation and engagement. </w:t>
      </w:r>
    </w:p>
    <w:p w14:paraId="2609352F" w14:textId="77777777" w:rsidR="005C329C" w:rsidRPr="007A759F" w:rsidRDefault="002D1015" w:rsidP="00EE3C24">
      <w:pPr>
        <w:pStyle w:val="ListParagraph"/>
        <w:numPr>
          <w:ilvl w:val="0"/>
          <w:numId w:val="11"/>
        </w:numPr>
        <w:spacing w:after="120"/>
        <w:ind w:left="284" w:hanging="284"/>
        <w:contextualSpacing w:val="0"/>
        <w:rPr>
          <w:rFonts w:cstheme="minorHAnsi"/>
          <w:b/>
        </w:rPr>
      </w:pPr>
      <w:r w:rsidRPr="007A759F">
        <w:rPr>
          <w:rFonts w:cstheme="minorHAnsi"/>
          <w:b/>
        </w:rPr>
        <w:t>Initiatives are research-informed, rigorously evaluated, and have a clear link with the goal of parity of participation.</w:t>
      </w:r>
    </w:p>
    <w:p w14:paraId="1516E7CD" w14:textId="77777777" w:rsidR="005C329C" w:rsidRPr="007A759F" w:rsidRDefault="004257D1" w:rsidP="005C329C">
      <w:pPr>
        <w:rPr>
          <w:rFonts w:cstheme="minorHAnsi"/>
          <w:b/>
          <w:color w:val="2C2728"/>
          <w:sz w:val="22"/>
          <w:szCs w:val="22"/>
          <w:lang w:eastAsia="en-GB"/>
        </w:rPr>
      </w:pPr>
      <w:r w:rsidRPr="007A759F">
        <w:rPr>
          <w:rFonts w:cstheme="minorHAnsi"/>
          <w:b/>
          <w:color w:val="2C2728"/>
          <w:sz w:val="22"/>
          <w:szCs w:val="22"/>
          <w:lang w:eastAsia="en-GB"/>
        </w:rPr>
        <w:t>Sub-</w:t>
      </w:r>
      <w:r w:rsidR="005C329C" w:rsidRPr="007A759F">
        <w:rPr>
          <w:rFonts w:cstheme="minorHAnsi"/>
          <w:b/>
          <w:color w:val="2C2728"/>
          <w:sz w:val="22"/>
          <w:szCs w:val="22"/>
          <w:lang w:eastAsia="en-GB"/>
        </w:rPr>
        <w:t>Strategies</w:t>
      </w:r>
    </w:p>
    <w:p w14:paraId="3DFA8775" w14:textId="77777777" w:rsidR="005C329C" w:rsidRPr="007A759F" w:rsidRDefault="00FD506A" w:rsidP="005C329C">
      <w:pPr>
        <w:pStyle w:val="ListParagraph"/>
        <w:numPr>
          <w:ilvl w:val="0"/>
          <w:numId w:val="2"/>
        </w:numPr>
        <w:spacing w:after="0"/>
        <w:rPr>
          <w:rFonts w:cstheme="minorHAnsi"/>
        </w:rPr>
      </w:pPr>
      <w:r w:rsidRPr="007A759F">
        <w:rPr>
          <w:rFonts w:cstheme="minorHAnsi"/>
        </w:rPr>
        <w:t xml:space="preserve">Draw on the </w:t>
      </w:r>
      <w:r w:rsidR="00F6327D" w:rsidRPr="007A759F">
        <w:rPr>
          <w:rFonts w:cstheme="minorHAnsi"/>
        </w:rPr>
        <w:t>Equity &amp; Social Justice E</w:t>
      </w:r>
      <w:r w:rsidRPr="007A759F">
        <w:rPr>
          <w:rFonts w:cstheme="minorHAnsi"/>
        </w:rPr>
        <w:t xml:space="preserve">valuation </w:t>
      </w:r>
      <w:r w:rsidR="00F6327D" w:rsidRPr="007A759F">
        <w:rPr>
          <w:rFonts w:cstheme="minorHAnsi"/>
        </w:rPr>
        <w:t>F</w:t>
      </w:r>
      <w:r w:rsidRPr="007A759F">
        <w:rPr>
          <w:rFonts w:cstheme="minorHAnsi"/>
        </w:rPr>
        <w:t>ramework to better understand the ways that different initiatives can be valuable</w:t>
      </w:r>
      <w:r w:rsidR="00F6327D" w:rsidRPr="007A759F">
        <w:rPr>
          <w:rFonts w:cstheme="minorHAnsi"/>
        </w:rPr>
        <w:t xml:space="preserve"> and are valued.</w:t>
      </w:r>
      <w:r w:rsidRPr="007A759F">
        <w:rPr>
          <w:rFonts w:cstheme="minorHAnsi"/>
        </w:rPr>
        <w:t xml:space="preserve"> </w:t>
      </w:r>
    </w:p>
    <w:p w14:paraId="4F2B5F08" w14:textId="77777777" w:rsidR="00AA140C" w:rsidRPr="007A759F" w:rsidRDefault="006235CE" w:rsidP="00AA140C">
      <w:pPr>
        <w:pStyle w:val="ListParagraph"/>
        <w:numPr>
          <w:ilvl w:val="0"/>
          <w:numId w:val="2"/>
        </w:numPr>
        <w:spacing w:after="0"/>
        <w:rPr>
          <w:rFonts w:cstheme="minorHAnsi"/>
        </w:rPr>
      </w:pPr>
      <w:r w:rsidRPr="007A759F">
        <w:rPr>
          <w:rFonts w:cstheme="minorHAnsi"/>
        </w:rPr>
        <w:t>Continue engagement</w:t>
      </w:r>
      <w:r w:rsidR="00FD506A" w:rsidRPr="007A759F">
        <w:rPr>
          <w:rFonts w:cstheme="minorHAnsi"/>
        </w:rPr>
        <w:t xml:space="preserve"> with </w:t>
      </w:r>
      <w:r w:rsidR="00846643" w:rsidRPr="007A759F">
        <w:rPr>
          <w:rFonts w:cstheme="minorHAnsi"/>
        </w:rPr>
        <w:t xml:space="preserve">University </w:t>
      </w:r>
      <w:r w:rsidR="00DF13C7" w:rsidRPr="007A759F">
        <w:rPr>
          <w:rFonts w:cstheme="minorHAnsi"/>
        </w:rPr>
        <w:t>d</w:t>
      </w:r>
      <w:r w:rsidR="00FD506A" w:rsidRPr="007A759F">
        <w:rPr>
          <w:rFonts w:cstheme="minorHAnsi"/>
        </w:rPr>
        <w:t xml:space="preserve">ata to inform frameworks, </w:t>
      </w:r>
      <w:r w:rsidRPr="007A759F">
        <w:rPr>
          <w:rFonts w:cstheme="minorHAnsi"/>
        </w:rPr>
        <w:t>initiative</w:t>
      </w:r>
      <w:r w:rsidR="00FD506A" w:rsidRPr="007A759F">
        <w:rPr>
          <w:rFonts w:cstheme="minorHAnsi"/>
        </w:rPr>
        <w:t xml:space="preserve">s and resource allocation more broadly. </w:t>
      </w:r>
    </w:p>
    <w:p w14:paraId="4DE99357" w14:textId="77777777" w:rsidR="006235CE" w:rsidRPr="007A759F" w:rsidRDefault="006235CE" w:rsidP="00F6327D">
      <w:pPr>
        <w:pStyle w:val="ListParagraph"/>
        <w:numPr>
          <w:ilvl w:val="0"/>
          <w:numId w:val="2"/>
        </w:numPr>
        <w:spacing w:after="0"/>
        <w:rPr>
          <w:rFonts w:cstheme="minorHAnsi"/>
        </w:rPr>
      </w:pPr>
      <w:r w:rsidRPr="007A759F">
        <w:rPr>
          <w:rFonts w:cstheme="minorHAnsi"/>
        </w:rPr>
        <w:t xml:space="preserve">Embed a </w:t>
      </w:r>
      <w:r w:rsidR="00F6327D" w:rsidRPr="007A759F">
        <w:rPr>
          <w:rFonts w:cstheme="minorHAnsi"/>
        </w:rPr>
        <w:t>strength-based, participatory approach</w:t>
      </w:r>
      <w:r w:rsidRPr="007A759F">
        <w:rPr>
          <w:rFonts w:cstheme="minorHAnsi"/>
        </w:rPr>
        <w:t xml:space="preserve"> for engagement and consultation that builds on University-to-community connections. </w:t>
      </w:r>
    </w:p>
    <w:p w14:paraId="14C65DDB" w14:textId="77777777" w:rsidR="00AA140C" w:rsidRPr="00201FC9" w:rsidRDefault="00AA140C" w:rsidP="00201FC9"/>
    <w:p w14:paraId="232E5AC3" w14:textId="77777777" w:rsidR="005C329C" w:rsidRPr="00545D41" w:rsidRDefault="00A955FF" w:rsidP="007C35FA">
      <w:pPr>
        <w:rPr>
          <w:rFonts w:ascii="Tw Cen MT" w:hAnsi="Tw Cen MT"/>
          <w:b/>
          <w:color w:val="00B0F0"/>
          <w:sz w:val="48"/>
          <w:szCs w:val="72"/>
        </w:rPr>
      </w:pPr>
      <w:r w:rsidRPr="00545D41">
        <w:rPr>
          <w:rFonts w:ascii="Tw Cen MT" w:hAnsi="Tw Cen MT"/>
          <w:b/>
          <w:color w:val="00B0F0"/>
          <w:sz w:val="48"/>
          <w:szCs w:val="72"/>
        </w:rPr>
        <w:t>VALUING</w:t>
      </w:r>
      <w:r w:rsidR="005C329C" w:rsidRPr="00545D41">
        <w:rPr>
          <w:rFonts w:ascii="Tw Cen MT" w:hAnsi="Tw Cen MT"/>
          <w:b/>
          <w:color w:val="00B0F0"/>
          <w:sz w:val="48"/>
          <w:szCs w:val="72"/>
        </w:rPr>
        <w:t xml:space="preserve"> DIVERSITY</w:t>
      </w:r>
      <w:r w:rsidR="007C35FA" w:rsidRPr="00545D41">
        <w:rPr>
          <w:rFonts w:ascii="Tw Cen MT" w:hAnsi="Tw Cen MT"/>
          <w:b/>
          <w:color w:val="00B0F0"/>
          <w:sz w:val="48"/>
          <w:szCs w:val="72"/>
        </w:rPr>
        <w:t xml:space="preserve"> &amp; DIFFERENCE</w:t>
      </w:r>
    </w:p>
    <w:p w14:paraId="445CB5C5" w14:textId="77777777" w:rsidR="002D1015" w:rsidRDefault="002D1015" w:rsidP="002D1015"/>
    <w:p w14:paraId="33B6129F" w14:textId="77777777" w:rsidR="00F6327D" w:rsidRPr="00DE175D" w:rsidRDefault="007C35FA" w:rsidP="00EE3C24">
      <w:pPr>
        <w:pStyle w:val="ListParagraph"/>
        <w:numPr>
          <w:ilvl w:val="0"/>
          <w:numId w:val="11"/>
        </w:numPr>
        <w:spacing w:after="120"/>
        <w:ind w:left="284" w:hanging="284"/>
        <w:contextualSpacing w:val="0"/>
        <w:rPr>
          <w:rFonts w:cstheme="minorHAnsi"/>
          <w:b/>
        </w:rPr>
      </w:pPr>
      <w:r w:rsidRPr="00DE175D">
        <w:rPr>
          <w:rFonts w:cstheme="minorHAnsi"/>
          <w:b/>
        </w:rPr>
        <w:t xml:space="preserve">The diversity of our student body and communities are celebrated, recognised and valued. </w:t>
      </w:r>
    </w:p>
    <w:p w14:paraId="58BCAAA6" w14:textId="77777777" w:rsidR="00F6327D" w:rsidRPr="007A759F" w:rsidRDefault="002C354D" w:rsidP="00EE3C24">
      <w:pPr>
        <w:pStyle w:val="ListParagraph"/>
        <w:numPr>
          <w:ilvl w:val="0"/>
          <w:numId w:val="11"/>
        </w:numPr>
        <w:spacing w:after="120"/>
        <w:ind w:left="284" w:hanging="284"/>
        <w:contextualSpacing w:val="0"/>
        <w:rPr>
          <w:rFonts w:cstheme="minorHAnsi"/>
          <w:b/>
        </w:rPr>
      </w:pPr>
      <w:r w:rsidRPr="007A759F">
        <w:rPr>
          <w:rFonts w:cstheme="minorHAnsi"/>
          <w:b/>
        </w:rPr>
        <w:t>The University</w:t>
      </w:r>
      <w:r w:rsidR="002D1015" w:rsidRPr="007A759F">
        <w:rPr>
          <w:rFonts w:cstheme="minorHAnsi"/>
          <w:b/>
        </w:rPr>
        <w:t xml:space="preserve"> thrives on the richness of its diverse communit</w:t>
      </w:r>
      <w:r w:rsidR="00FE1F71" w:rsidRPr="007A759F">
        <w:rPr>
          <w:rFonts w:cstheme="minorHAnsi"/>
          <w:b/>
        </w:rPr>
        <w:t>ies</w:t>
      </w:r>
      <w:r w:rsidR="002D1015" w:rsidRPr="007A759F">
        <w:rPr>
          <w:rFonts w:cstheme="minorHAnsi"/>
          <w:b/>
        </w:rPr>
        <w:t xml:space="preserve"> but also recognises the significance of developing empathy </w:t>
      </w:r>
      <w:r w:rsidR="00FE1F71" w:rsidRPr="007A759F">
        <w:rPr>
          <w:rFonts w:cstheme="minorHAnsi"/>
          <w:b/>
        </w:rPr>
        <w:t xml:space="preserve">across our </w:t>
      </w:r>
      <w:r w:rsidR="002D1015" w:rsidRPr="007A759F">
        <w:rPr>
          <w:rFonts w:cstheme="minorHAnsi"/>
          <w:b/>
        </w:rPr>
        <w:t>difference</w:t>
      </w:r>
      <w:r w:rsidR="00FE1F71" w:rsidRPr="007A759F">
        <w:rPr>
          <w:rFonts w:cstheme="minorHAnsi"/>
          <w:b/>
        </w:rPr>
        <w:t>s</w:t>
      </w:r>
      <w:r w:rsidR="002D1015" w:rsidRPr="007A759F">
        <w:rPr>
          <w:rFonts w:cstheme="minorHAnsi"/>
          <w:b/>
        </w:rPr>
        <w:t xml:space="preserve">. </w:t>
      </w:r>
    </w:p>
    <w:p w14:paraId="5C76AF94" w14:textId="77777777" w:rsidR="002D1015" w:rsidRPr="007A759F" w:rsidRDefault="007C35FA" w:rsidP="00EE3C24">
      <w:pPr>
        <w:pStyle w:val="ListParagraph"/>
        <w:numPr>
          <w:ilvl w:val="0"/>
          <w:numId w:val="11"/>
        </w:numPr>
        <w:spacing w:after="120"/>
        <w:ind w:left="284" w:hanging="284"/>
        <w:contextualSpacing w:val="0"/>
        <w:rPr>
          <w:rFonts w:cstheme="minorHAnsi"/>
          <w:b/>
        </w:rPr>
      </w:pPr>
      <w:r w:rsidRPr="007A759F">
        <w:rPr>
          <w:rFonts w:cstheme="minorHAnsi"/>
          <w:b/>
        </w:rPr>
        <w:t>Going beyond a superficial understanding to ensure that systems, f</w:t>
      </w:r>
      <w:r w:rsidR="002D1015" w:rsidRPr="007A759F">
        <w:rPr>
          <w:rFonts w:cstheme="minorHAnsi"/>
          <w:b/>
        </w:rPr>
        <w:t xml:space="preserve">rameworks and initiatives </w:t>
      </w:r>
      <w:r w:rsidRPr="007A759F">
        <w:rPr>
          <w:rFonts w:cstheme="minorHAnsi"/>
          <w:b/>
        </w:rPr>
        <w:t>respond to</w:t>
      </w:r>
      <w:r w:rsidR="002D1015" w:rsidRPr="007A759F">
        <w:rPr>
          <w:rFonts w:cstheme="minorHAnsi"/>
          <w:b/>
        </w:rPr>
        <w:t xml:space="preserve"> student/</w:t>
      </w:r>
      <w:r w:rsidR="0081195C" w:rsidRPr="007A759F">
        <w:rPr>
          <w:rFonts w:cstheme="minorHAnsi"/>
          <w:b/>
        </w:rPr>
        <w:t xml:space="preserve"> </w:t>
      </w:r>
      <w:r w:rsidR="002D1015" w:rsidRPr="007A759F">
        <w:rPr>
          <w:rFonts w:cstheme="minorHAnsi"/>
          <w:b/>
        </w:rPr>
        <w:t>community contexts</w:t>
      </w:r>
      <w:r w:rsidRPr="007A759F">
        <w:rPr>
          <w:rFonts w:cstheme="minorHAnsi"/>
          <w:b/>
        </w:rPr>
        <w:t>. This will</w:t>
      </w:r>
      <w:r w:rsidR="002D1015" w:rsidRPr="007A759F">
        <w:rPr>
          <w:rFonts w:cstheme="minorHAnsi"/>
          <w:b/>
        </w:rPr>
        <w:t xml:space="preserve"> support the development of an environment that nurtures student aspirations, capabilities, and sense of belonging. </w:t>
      </w:r>
    </w:p>
    <w:p w14:paraId="755AE62E" w14:textId="77777777" w:rsidR="005C329C" w:rsidRPr="007A759F" w:rsidRDefault="009D475B" w:rsidP="005C329C">
      <w:pPr>
        <w:rPr>
          <w:rFonts w:cstheme="minorHAnsi"/>
          <w:b/>
          <w:color w:val="2C2728"/>
          <w:sz w:val="22"/>
          <w:szCs w:val="22"/>
          <w:lang w:eastAsia="en-GB"/>
        </w:rPr>
      </w:pPr>
      <w:r w:rsidRPr="007A759F">
        <w:rPr>
          <w:rFonts w:cstheme="minorHAnsi"/>
          <w:b/>
          <w:color w:val="2C2728"/>
          <w:sz w:val="22"/>
          <w:szCs w:val="22"/>
          <w:lang w:eastAsia="en-GB"/>
        </w:rPr>
        <w:t>Sub-</w:t>
      </w:r>
      <w:r w:rsidR="005C329C" w:rsidRPr="007A759F">
        <w:rPr>
          <w:rFonts w:cstheme="minorHAnsi"/>
          <w:b/>
          <w:color w:val="2C2728"/>
          <w:sz w:val="22"/>
          <w:szCs w:val="22"/>
          <w:lang w:eastAsia="en-GB"/>
        </w:rPr>
        <w:t>Strategies</w:t>
      </w:r>
    </w:p>
    <w:p w14:paraId="40B5FE03" w14:textId="77777777" w:rsidR="005C329C" w:rsidRPr="007A759F" w:rsidRDefault="002317C0" w:rsidP="005C329C">
      <w:pPr>
        <w:pStyle w:val="ListParagraph"/>
        <w:numPr>
          <w:ilvl w:val="0"/>
          <w:numId w:val="2"/>
        </w:numPr>
        <w:spacing w:after="0"/>
        <w:rPr>
          <w:rFonts w:cstheme="minorHAnsi"/>
        </w:rPr>
      </w:pPr>
      <w:r w:rsidRPr="007A759F">
        <w:rPr>
          <w:rFonts w:cstheme="minorHAnsi"/>
        </w:rPr>
        <w:t xml:space="preserve">Maintain an active Student Equity and Social Justice Expert panel to support dialogue between equity research and practice and to </w:t>
      </w:r>
      <w:r w:rsidR="009D475B" w:rsidRPr="007A759F">
        <w:rPr>
          <w:rFonts w:cstheme="minorHAnsi"/>
        </w:rPr>
        <w:t>ensure</w:t>
      </w:r>
      <w:r w:rsidRPr="007A759F">
        <w:rPr>
          <w:rFonts w:cstheme="minorHAnsi"/>
        </w:rPr>
        <w:t xml:space="preserve"> student and staff voices </w:t>
      </w:r>
      <w:r w:rsidR="009D475B" w:rsidRPr="007A759F">
        <w:rPr>
          <w:rFonts w:cstheme="minorHAnsi"/>
        </w:rPr>
        <w:t xml:space="preserve">are captured in university decision-making </w:t>
      </w:r>
      <w:r w:rsidR="004352D4" w:rsidRPr="007A759F">
        <w:rPr>
          <w:rFonts w:cstheme="minorHAnsi"/>
        </w:rPr>
        <w:t>about</w:t>
      </w:r>
      <w:r w:rsidR="009D475B" w:rsidRPr="007A759F">
        <w:rPr>
          <w:rFonts w:cstheme="minorHAnsi"/>
        </w:rPr>
        <w:t xml:space="preserve"> equity funding</w:t>
      </w:r>
      <w:r w:rsidR="004352D4" w:rsidRPr="007A759F">
        <w:rPr>
          <w:rFonts w:cstheme="minorHAnsi"/>
        </w:rPr>
        <w:t xml:space="preserve"> and initiatives</w:t>
      </w:r>
      <w:r w:rsidR="009D475B" w:rsidRPr="007A759F">
        <w:rPr>
          <w:rFonts w:cstheme="minorHAnsi"/>
        </w:rPr>
        <w:t xml:space="preserve">. </w:t>
      </w:r>
      <w:r w:rsidRPr="007A759F">
        <w:rPr>
          <w:rFonts w:cstheme="minorHAnsi"/>
        </w:rPr>
        <w:t xml:space="preserve"> </w:t>
      </w:r>
    </w:p>
    <w:p w14:paraId="20DE9002" w14:textId="77777777" w:rsidR="005C329C" w:rsidRPr="007A759F" w:rsidRDefault="002317C0" w:rsidP="002317C0">
      <w:pPr>
        <w:pStyle w:val="ListParagraph"/>
        <w:numPr>
          <w:ilvl w:val="0"/>
          <w:numId w:val="2"/>
        </w:numPr>
        <w:spacing w:after="0"/>
        <w:rPr>
          <w:rFonts w:cstheme="minorHAnsi"/>
        </w:rPr>
      </w:pPr>
      <w:r w:rsidRPr="007A759F">
        <w:rPr>
          <w:rFonts w:cstheme="minorHAnsi"/>
        </w:rPr>
        <w:lastRenderedPageBreak/>
        <w:t xml:space="preserve">Draw on the </w:t>
      </w:r>
      <w:r w:rsidR="00F6327D" w:rsidRPr="007A759F">
        <w:rPr>
          <w:rFonts w:cstheme="minorHAnsi"/>
        </w:rPr>
        <w:t xml:space="preserve">Equity &amp; Social Justice Evaluation Framework </w:t>
      </w:r>
      <w:r w:rsidRPr="007A759F">
        <w:rPr>
          <w:rFonts w:cstheme="minorHAnsi"/>
        </w:rPr>
        <w:t>to better understand the ways that different initiatives can address the needs of students and communities and respond to changes in policy, environment</w:t>
      </w:r>
      <w:r w:rsidR="004352D4" w:rsidRPr="007A759F">
        <w:rPr>
          <w:rFonts w:cstheme="minorHAnsi"/>
        </w:rPr>
        <w:t>s</w:t>
      </w:r>
      <w:r w:rsidRPr="007A759F">
        <w:rPr>
          <w:rFonts w:cstheme="minorHAnsi"/>
        </w:rPr>
        <w:t xml:space="preserve"> or the institution that</w:t>
      </w:r>
      <w:r w:rsidR="009D475B" w:rsidRPr="007A759F">
        <w:rPr>
          <w:rFonts w:cstheme="minorHAnsi"/>
        </w:rPr>
        <w:t xml:space="preserve"> may</w:t>
      </w:r>
      <w:r w:rsidRPr="007A759F">
        <w:rPr>
          <w:rFonts w:cstheme="minorHAnsi"/>
        </w:rPr>
        <w:t xml:space="preserve"> impact on student experiences of </w:t>
      </w:r>
      <w:r w:rsidR="002C354D" w:rsidRPr="007A759F">
        <w:rPr>
          <w:rFonts w:cstheme="minorHAnsi"/>
        </w:rPr>
        <w:t xml:space="preserve">higher education </w:t>
      </w:r>
      <w:r w:rsidRPr="007A759F">
        <w:rPr>
          <w:rFonts w:cstheme="minorHAnsi"/>
        </w:rPr>
        <w:t>(and school or graduate pathways).</w:t>
      </w:r>
    </w:p>
    <w:p w14:paraId="15476B2E" w14:textId="77777777" w:rsidR="00626BD8" w:rsidRPr="007A759F" w:rsidRDefault="00626BD8" w:rsidP="002317C0">
      <w:pPr>
        <w:pStyle w:val="ListParagraph"/>
        <w:numPr>
          <w:ilvl w:val="0"/>
          <w:numId w:val="2"/>
        </w:numPr>
        <w:spacing w:after="0"/>
        <w:rPr>
          <w:rFonts w:cstheme="minorHAnsi"/>
        </w:rPr>
      </w:pPr>
      <w:r w:rsidRPr="007A759F">
        <w:rPr>
          <w:rFonts w:cstheme="minorHAnsi"/>
        </w:rPr>
        <w:t xml:space="preserve">Build </w:t>
      </w:r>
      <w:r w:rsidR="009D475B" w:rsidRPr="007A759F">
        <w:rPr>
          <w:rFonts w:cstheme="minorHAnsi"/>
        </w:rPr>
        <w:t xml:space="preserve">and maintain </w:t>
      </w:r>
      <w:r w:rsidR="001A491C" w:rsidRPr="007A759F">
        <w:rPr>
          <w:rFonts w:cstheme="minorHAnsi"/>
        </w:rPr>
        <w:t>c</w:t>
      </w:r>
      <w:r w:rsidRPr="007A759F">
        <w:rPr>
          <w:rFonts w:cstheme="minorHAnsi"/>
        </w:rPr>
        <w:t xml:space="preserve">ommunities of </w:t>
      </w:r>
      <w:r w:rsidR="001A491C" w:rsidRPr="007A759F">
        <w:rPr>
          <w:rFonts w:cstheme="minorHAnsi"/>
        </w:rPr>
        <w:t>p</w:t>
      </w:r>
      <w:r w:rsidRPr="007A759F">
        <w:rPr>
          <w:rFonts w:cstheme="minorHAnsi"/>
        </w:rPr>
        <w:t>ractice</w:t>
      </w:r>
      <w:r w:rsidR="006642E0" w:rsidRPr="007A759F">
        <w:rPr>
          <w:rFonts w:cstheme="minorHAnsi"/>
        </w:rPr>
        <w:t xml:space="preserve"> </w:t>
      </w:r>
      <w:r w:rsidR="00F6327D" w:rsidRPr="007A759F">
        <w:rPr>
          <w:rFonts w:cstheme="minorHAnsi"/>
        </w:rPr>
        <w:t>locally and internationally</w:t>
      </w:r>
      <w:r w:rsidRPr="007A759F">
        <w:rPr>
          <w:rFonts w:cstheme="minorHAnsi"/>
        </w:rPr>
        <w:t xml:space="preserve"> to </w:t>
      </w:r>
      <w:r w:rsidR="007C35FA" w:rsidRPr="007A759F">
        <w:rPr>
          <w:rFonts w:cstheme="minorHAnsi"/>
        </w:rPr>
        <w:t>facilitate the development of</w:t>
      </w:r>
      <w:r w:rsidR="009D475B" w:rsidRPr="007A759F">
        <w:rPr>
          <w:rFonts w:cstheme="minorHAnsi"/>
        </w:rPr>
        <w:t xml:space="preserve"> </w:t>
      </w:r>
      <w:r w:rsidRPr="007A759F">
        <w:rPr>
          <w:rFonts w:cstheme="minorHAnsi"/>
        </w:rPr>
        <w:t xml:space="preserve">nurturing environments for </w:t>
      </w:r>
      <w:r w:rsidR="007C35FA" w:rsidRPr="007A759F">
        <w:rPr>
          <w:rFonts w:cstheme="minorHAnsi"/>
        </w:rPr>
        <w:t>students</w:t>
      </w:r>
      <w:r w:rsidR="001817AF" w:rsidRPr="007A759F">
        <w:rPr>
          <w:rFonts w:cstheme="minorHAnsi"/>
        </w:rPr>
        <w:t xml:space="preserve"> through the sharing of practice and research</w:t>
      </w:r>
      <w:r w:rsidR="007C35FA" w:rsidRPr="007A759F">
        <w:rPr>
          <w:rFonts w:cstheme="minorHAnsi"/>
        </w:rPr>
        <w:t xml:space="preserve">. </w:t>
      </w:r>
      <w:r w:rsidRPr="007A759F">
        <w:rPr>
          <w:rFonts w:cstheme="minorHAnsi"/>
        </w:rPr>
        <w:t xml:space="preserve"> </w:t>
      </w:r>
    </w:p>
    <w:p w14:paraId="6FE77E01" w14:textId="77777777" w:rsidR="005C329C" w:rsidRPr="00F6327D" w:rsidRDefault="005C329C" w:rsidP="005C329C">
      <w:pPr>
        <w:pStyle w:val="ListParagraph"/>
        <w:rPr>
          <w:rFonts w:ascii="Arial" w:hAnsi="Arial" w:cs="Arial"/>
          <w:highlight w:val="yellow"/>
        </w:rPr>
      </w:pPr>
    </w:p>
    <w:p w14:paraId="1ED9D258" w14:textId="77777777" w:rsidR="005C329C" w:rsidRPr="00F6327D" w:rsidRDefault="005C329C" w:rsidP="005C329C">
      <w:pPr>
        <w:rPr>
          <w:rFonts w:ascii="Tw Cen MT" w:hAnsi="Tw Cen MT" w:cstheme="minorHAnsi"/>
          <w:b/>
          <w:color w:val="2C2728"/>
          <w:lang w:eastAsia="en-GB"/>
        </w:rPr>
      </w:pPr>
    </w:p>
    <w:p w14:paraId="256735B0" w14:textId="77777777" w:rsidR="005C329C" w:rsidRPr="00F6327D" w:rsidRDefault="005C329C" w:rsidP="005C329C">
      <w:pPr>
        <w:rPr>
          <w:rFonts w:ascii="Tw Cen MT" w:hAnsi="Tw Cen MT" w:cstheme="minorHAnsi"/>
          <w:b/>
          <w:color w:val="2C2728"/>
          <w:lang w:eastAsia="en-GB"/>
        </w:rPr>
      </w:pPr>
    </w:p>
    <w:p w14:paraId="038371DD" w14:textId="77777777" w:rsidR="005C329C" w:rsidRDefault="005C329C" w:rsidP="005C329C">
      <w:pPr>
        <w:rPr>
          <w:rFonts w:ascii="Tw Cen MT" w:hAnsi="Tw Cen MT" w:cstheme="minorHAnsi"/>
          <w:color w:val="2C2728"/>
          <w:lang w:eastAsia="en-GB"/>
        </w:rPr>
      </w:pPr>
    </w:p>
    <w:p w14:paraId="64B3E55A" w14:textId="77777777" w:rsidR="005C329C" w:rsidRDefault="005C329C" w:rsidP="005C329C">
      <w:pPr>
        <w:rPr>
          <w:rFonts w:ascii="Tw Cen MT" w:hAnsi="Tw Cen MT" w:cstheme="minorHAnsi"/>
          <w:color w:val="2C2728"/>
          <w:lang w:eastAsia="en-GB"/>
        </w:rPr>
      </w:pPr>
    </w:p>
    <w:p w14:paraId="6472A521" w14:textId="77777777" w:rsidR="005C329C" w:rsidRDefault="005C329C" w:rsidP="005C329C"/>
    <w:p w14:paraId="1D35D15C" w14:textId="77777777" w:rsidR="005C329C" w:rsidRDefault="005C329C"/>
    <w:p w14:paraId="34AD7F41" w14:textId="77777777" w:rsidR="006A1E08" w:rsidRDefault="006A1E08"/>
    <w:p w14:paraId="7EF7A95D" w14:textId="77777777" w:rsidR="006A1E08" w:rsidRDefault="006A1E08"/>
    <w:p w14:paraId="7E29634C" w14:textId="77777777" w:rsidR="006A1E08" w:rsidRDefault="006A1E08"/>
    <w:p w14:paraId="14D34709" w14:textId="77777777" w:rsidR="00F6327D" w:rsidRDefault="00F6327D"/>
    <w:p w14:paraId="0858D174" w14:textId="77777777" w:rsidR="00F6327D" w:rsidRDefault="00F6327D"/>
    <w:p w14:paraId="526816EC" w14:textId="77777777" w:rsidR="00F6327D" w:rsidRDefault="00F6327D"/>
    <w:p w14:paraId="7E443605" w14:textId="77777777" w:rsidR="00F6327D" w:rsidRDefault="00F6327D"/>
    <w:p w14:paraId="19D9594D" w14:textId="77777777" w:rsidR="00F6327D" w:rsidRDefault="00F6327D"/>
    <w:p w14:paraId="42439FA3" w14:textId="77777777" w:rsidR="00F6327D" w:rsidRDefault="00F6327D"/>
    <w:p w14:paraId="375000B0" w14:textId="77777777" w:rsidR="00245DEC" w:rsidRDefault="00245DEC">
      <w:pPr>
        <w:sectPr w:rsidR="00245DEC" w:rsidSect="00201FC9">
          <w:headerReference w:type="even" r:id="rId10"/>
          <w:headerReference w:type="default" r:id="rId11"/>
          <w:footerReference w:type="default" r:id="rId12"/>
          <w:headerReference w:type="first" r:id="rId13"/>
          <w:pgSz w:w="11900" w:h="16840"/>
          <w:pgMar w:top="1440" w:right="1127" w:bottom="1276" w:left="1276" w:header="708" w:footer="708" w:gutter="0"/>
          <w:cols w:space="708"/>
          <w:docGrid w:linePitch="360"/>
        </w:sectPr>
      </w:pPr>
    </w:p>
    <w:p w14:paraId="13373CED" w14:textId="299F3034" w:rsidR="00AD2904" w:rsidRDefault="00AD2904" w:rsidP="00245DEC">
      <w:pPr>
        <w:rPr>
          <w:rFonts w:ascii="Arial" w:hAnsi="Arial" w:cs="Arial"/>
          <w:b/>
          <w:sz w:val="22"/>
          <w:szCs w:val="22"/>
        </w:rPr>
      </w:pPr>
      <w:r>
        <w:rPr>
          <w:rFonts w:ascii="Arial" w:hAnsi="Arial" w:cs="Arial"/>
          <w:b/>
          <w:sz w:val="22"/>
          <w:szCs w:val="22"/>
        </w:rPr>
        <w:lastRenderedPageBreak/>
        <w:t>APPENDIX:</w:t>
      </w:r>
      <w:r>
        <w:rPr>
          <w:rFonts w:ascii="Arial" w:hAnsi="Arial" w:cs="Arial"/>
          <w:b/>
          <w:sz w:val="22"/>
          <w:szCs w:val="22"/>
        </w:rPr>
        <w:tab/>
      </w:r>
      <w:r w:rsidR="00245DEC" w:rsidRPr="00FE7E6A">
        <w:rPr>
          <w:rFonts w:ascii="Arial" w:hAnsi="Arial" w:cs="Arial"/>
          <w:b/>
          <w:sz w:val="22"/>
          <w:szCs w:val="22"/>
        </w:rPr>
        <w:t xml:space="preserve">Student Equity and Social Justice </w:t>
      </w:r>
      <w:r w:rsidR="0031424E">
        <w:rPr>
          <w:rFonts w:ascii="Arial" w:hAnsi="Arial" w:cs="Arial"/>
          <w:b/>
          <w:sz w:val="22"/>
          <w:szCs w:val="22"/>
        </w:rPr>
        <w:t>Plan</w:t>
      </w:r>
      <w:r>
        <w:rPr>
          <w:rFonts w:ascii="Arial" w:hAnsi="Arial" w:cs="Arial"/>
          <w:b/>
          <w:sz w:val="22"/>
          <w:szCs w:val="22"/>
        </w:rPr>
        <w:t xml:space="preserve"> </w:t>
      </w:r>
      <w:r>
        <w:rPr>
          <w:rFonts w:ascii="Arial" w:hAnsi="Arial" w:cs="Arial"/>
          <w:b/>
          <w:sz w:val="22"/>
          <w:szCs w:val="22"/>
        </w:rPr>
        <w:tab/>
      </w:r>
    </w:p>
    <w:p w14:paraId="49291388" w14:textId="77777777" w:rsidR="00AD2904" w:rsidRDefault="00AD2904" w:rsidP="00245DEC">
      <w:pPr>
        <w:rPr>
          <w:rFonts w:ascii="Arial" w:hAnsi="Arial" w:cs="Arial"/>
          <w:b/>
          <w:sz w:val="22"/>
          <w:szCs w:val="22"/>
        </w:rPr>
      </w:pPr>
      <w:r>
        <w:rPr>
          <w:rFonts w:ascii="Arial" w:hAnsi="Arial" w:cs="Arial"/>
          <w:b/>
          <w:sz w:val="22"/>
          <w:szCs w:val="22"/>
        </w:rPr>
        <w:tab/>
      </w:r>
      <w:r>
        <w:rPr>
          <w:rFonts w:ascii="Arial" w:hAnsi="Arial" w:cs="Arial"/>
          <w:b/>
          <w:sz w:val="22"/>
          <w:szCs w:val="22"/>
        </w:rPr>
        <w:tab/>
        <w:t>20</w:t>
      </w:r>
      <w:r w:rsidR="00D522B9">
        <w:rPr>
          <w:rFonts w:ascii="Arial" w:hAnsi="Arial" w:cs="Arial"/>
          <w:b/>
          <w:sz w:val="22"/>
          <w:szCs w:val="22"/>
        </w:rPr>
        <w:t>20</w:t>
      </w:r>
      <w:r>
        <w:rPr>
          <w:rFonts w:ascii="Arial" w:hAnsi="Arial" w:cs="Arial"/>
          <w:b/>
          <w:sz w:val="22"/>
          <w:szCs w:val="22"/>
        </w:rPr>
        <w:t xml:space="preserve"> </w:t>
      </w:r>
      <w:r w:rsidR="00D522B9">
        <w:rPr>
          <w:rFonts w:ascii="Arial" w:hAnsi="Arial" w:cs="Arial"/>
          <w:b/>
          <w:sz w:val="22"/>
          <w:szCs w:val="22"/>
        </w:rPr>
        <w:t>HEPPP</w:t>
      </w:r>
      <w:r>
        <w:rPr>
          <w:rFonts w:ascii="Arial" w:hAnsi="Arial" w:cs="Arial"/>
          <w:b/>
          <w:sz w:val="22"/>
          <w:szCs w:val="22"/>
        </w:rPr>
        <w:t xml:space="preserve"> Funded Initiatives</w:t>
      </w:r>
    </w:p>
    <w:p w14:paraId="47DF3487" w14:textId="77777777" w:rsidR="00AD2904" w:rsidRDefault="00AD2904" w:rsidP="00245DEC">
      <w:pPr>
        <w:pBdr>
          <w:bottom w:val="single" w:sz="6" w:space="1" w:color="auto"/>
        </w:pBdr>
        <w:rPr>
          <w:rFonts w:ascii="Arial" w:hAnsi="Arial" w:cs="Arial"/>
          <w:b/>
          <w:sz w:val="22"/>
          <w:szCs w:val="22"/>
        </w:rPr>
      </w:pPr>
    </w:p>
    <w:p w14:paraId="58EEFD00" w14:textId="77777777" w:rsidR="0038736C" w:rsidRPr="00FE7E6A" w:rsidRDefault="00AD2904" w:rsidP="00245DEC">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36CE0A9" w14:textId="0986AEF9" w:rsidR="0038736C" w:rsidRPr="00FE7E6A" w:rsidRDefault="0038736C" w:rsidP="00245DEC">
      <w:pPr>
        <w:rPr>
          <w:rFonts w:ascii="Arial" w:hAnsi="Arial" w:cs="Arial"/>
          <w:sz w:val="22"/>
          <w:szCs w:val="22"/>
        </w:rPr>
      </w:pPr>
      <w:r w:rsidRPr="00FE7E6A">
        <w:rPr>
          <w:rFonts w:ascii="Arial" w:hAnsi="Arial" w:cs="Arial"/>
          <w:sz w:val="22"/>
          <w:szCs w:val="22"/>
        </w:rPr>
        <w:t xml:space="preserve">All of the initiatives outlined below have been developed in line with the Student Equity &amp; Social Justice </w:t>
      </w:r>
      <w:r w:rsidR="0031424E">
        <w:rPr>
          <w:rFonts w:ascii="Arial" w:hAnsi="Arial" w:cs="Arial"/>
          <w:sz w:val="22"/>
          <w:szCs w:val="22"/>
        </w:rPr>
        <w:t xml:space="preserve">Framework </w:t>
      </w:r>
      <w:r w:rsidRPr="00FE7E6A">
        <w:rPr>
          <w:rFonts w:ascii="Arial" w:hAnsi="Arial" w:cs="Arial"/>
          <w:sz w:val="22"/>
          <w:szCs w:val="22"/>
        </w:rPr>
        <w:t>Principles:</w:t>
      </w:r>
    </w:p>
    <w:p w14:paraId="62F3904E" w14:textId="77777777" w:rsidR="0038736C" w:rsidRPr="00FE7E6A" w:rsidRDefault="0038736C" w:rsidP="00245DEC">
      <w:pPr>
        <w:rPr>
          <w:rFonts w:ascii="Arial" w:hAnsi="Arial" w:cs="Arial"/>
          <w:b/>
          <w:sz w:val="22"/>
          <w:szCs w:val="22"/>
        </w:rPr>
      </w:pPr>
    </w:p>
    <w:tbl>
      <w:tblPr>
        <w:tblStyle w:val="TableGrid"/>
        <w:tblW w:w="14596" w:type="dxa"/>
        <w:shd w:val="clear" w:color="auto" w:fill="DEEAF6" w:themeFill="accent5" w:themeFillTint="33"/>
        <w:tblLook w:val="04A0" w:firstRow="1" w:lastRow="0" w:firstColumn="1" w:lastColumn="0" w:noHBand="0" w:noVBand="1"/>
      </w:tblPr>
      <w:tblGrid>
        <w:gridCol w:w="4865"/>
        <w:gridCol w:w="4865"/>
        <w:gridCol w:w="4866"/>
      </w:tblGrid>
      <w:tr w:rsidR="0038736C" w:rsidRPr="00FE7E6A" w14:paraId="0B5EB281" w14:textId="77777777" w:rsidTr="00C32593">
        <w:trPr>
          <w:trHeight w:val="509"/>
        </w:trPr>
        <w:tc>
          <w:tcPr>
            <w:tcW w:w="14596" w:type="dxa"/>
            <w:gridSpan w:val="3"/>
            <w:shd w:val="clear" w:color="auto" w:fill="DEEAF6" w:themeFill="accent5" w:themeFillTint="33"/>
          </w:tcPr>
          <w:p w14:paraId="34F3E32B" w14:textId="77777777" w:rsidR="0038736C" w:rsidRPr="00FE7E6A" w:rsidRDefault="0038736C" w:rsidP="0038736C">
            <w:pPr>
              <w:jc w:val="center"/>
              <w:rPr>
                <w:rFonts w:ascii="Arial" w:hAnsi="Arial" w:cs="Arial"/>
                <w:b/>
                <w:color w:val="000000" w:themeColor="text1"/>
              </w:rPr>
            </w:pPr>
            <w:r w:rsidRPr="00FE7E6A">
              <w:rPr>
                <w:rFonts w:ascii="Arial" w:hAnsi="Arial" w:cs="Arial"/>
                <w:b/>
                <w:color w:val="000000" w:themeColor="text1"/>
              </w:rPr>
              <w:t>Parity of Participation</w:t>
            </w:r>
          </w:p>
        </w:tc>
      </w:tr>
      <w:tr w:rsidR="0038736C" w:rsidRPr="00FE7E6A" w14:paraId="6002F92C" w14:textId="77777777" w:rsidTr="00C32593">
        <w:tc>
          <w:tcPr>
            <w:tcW w:w="4865" w:type="dxa"/>
            <w:shd w:val="clear" w:color="auto" w:fill="DEEAF6" w:themeFill="accent5" w:themeFillTint="33"/>
          </w:tcPr>
          <w:p w14:paraId="4AF2B616" w14:textId="77777777" w:rsidR="0038736C" w:rsidRPr="00FE7E6A" w:rsidRDefault="0038736C" w:rsidP="0038736C">
            <w:pPr>
              <w:jc w:val="center"/>
              <w:rPr>
                <w:rFonts w:ascii="Arial" w:hAnsi="Arial" w:cs="Arial"/>
                <w:b/>
                <w:color w:val="000000" w:themeColor="text1"/>
              </w:rPr>
            </w:pPr>
            <w:r w:rsidRPr="00FE7E6A">
              <w:rPr>
                <w:rFonts w:ascii="Arial" w:hAnsi="Arial" w:cs="Arial"/>
                <w:b/>
                <w:color w:val="000000" w:themeColor="text1"/>
              </w:rPr>
              <w:t>Resource Accountability</w:t>
            </w:r>
          </w:p>
          <w:p w14:paraId="5C403ECF" w14:textId="77777777" w:rsidR="0038736C" w:rsidRPr="00FE7E6A" w:rsidRDefault="0038736C" w:rsidP="0038736C">
            <w:pPr>
              <w:jc w:val="center"/>
              <w:rPr>
                <w:rFonts w:ascii="Arial" w:hAnsi="Arial" w:cs="Arial"/>
                <w:b/>
                <w:color w:val="000000" w:themeColor="text1"/>
              </w:rPr>
            </w:pPr>
          </w:p>
        </w:tc>
        <w:tc>
          <w:tcPr>
            <w:tcW w:w="4865" w:type="dxa"/>
            <w:shd w:val="clear" w:color="auto" w:fill="DEEAF6" w:themeFill="accent5" w:themeFillTint="33"/>
          </w:tcPr>
          <w:p w14:paraId="27B67CB8" w14:textId="77777777" w:rsidR="0038736C" w:rsidRPr="00FE7E6A" w:rsidRDefault="0038736C" w:rsidP="0038736C">
            <w:pPr>
              <w:jc w:val="center"/>
              <w:rPr>
                <w:rFonts w:ascii="Arial" w:hAnsi="Arial" w:cs="Arial"/>
                <w:b/>
                <w:color w:val="000000" w:themeColor="text1"/>
              </w:rPr>
            </w:pPr>
            <w:r w:rsidRPr="00FE7E6A">
              <w:rPr>
                <w:rFonts w:ascii="Arial" w:hAnsi="Arial" w:cs="Arial"/>
                <w:b/>
                <w:color w:val="000000" w:themeColor="text1"/>
              </w:rPr>
              <w:t>Co-Development</w:t>
            </w:r>
          </w:p>
        </w:tc>
        <w:tc>
          <w:tcPr>
            <w:tcW w:w="4866" w:type="dxa"/>
            <w:shd w:val="clear" w:color="auto" w:fill="DEEAF6" w:themeFill="accent5" w:themeFillTint="33"/>
          </w:tcPr>
          <w:p w14:paraId="1EDB5971" w14:textId="77777777" w:rsidR="0038736C" w:rsidRPr="00FE7E6A" w:rsidRDefault="0038736C" w:rsidP="0038736C">
            <w:pPr>
              <w:jc w:val="center"/>
              <w:rPr>
                <w:rFonts w:ascii="Arial" w:hAnsi="Arial" w:cs="Arial"/>
                <w:b/>
                <w:color w:val="000000" w:themeColor="text1"/>
              </w:rPr>
            </w:pPr>
            <w:r w:rsidRPr="00FE7E6A">
              <w:rPr>
                <w:rFonts w:ascii="Arial" w:hAnsi="Arial" w:cs="Arial"/>
                <w:b/>
                <w:color w:val="000000" w:themeColor="text1"/>
              </w:rPr>
              <w:t>Valuing Diversity &amp; Difference</w:t>
            </w:r>
          </w:p>
        </w:tc>
      </w:tr>
    </w:tbl>
    <w:p w14:paraId="6D1E04DE" w14:textId="77777777" w:rsidR="00245DEC" w:rsidRPr="00FE7E6A" w:rsidRDefault="00245DEC">
      <w:pPr>
        <w:rPr>
          <w:rFonts w:ascii="Arial" w:hAnsi="Arial" w:cs="Arial"/>
          <w:sz w:val="22"/>
          <w:szCs w:val="22"/>
        </w:rPr>
      </w:pPr>
    </w:p>
    <w:p w14:paraId="33ADAA77" w14:textId="77777777" w:rsidR="002C354D" w:rsidRPr="00E5646F" w:rsidRDefault="00FE7E6A" w:rsidP="00E5646F">
      <w:pPr>
        <w:pStyle w:val="ListParagraph"/>
        <w:numPr>
          <w:ilvl w:val="0"/>
          <w:numId w:val="13"/>
        </w:numPr>
        <w:rPr>
          <w:rFonts w:cstheme="minorHAnsi"/>
        </w:rPr>
      </w:pPr>
      <w:r w:rsidRPr="00E5646F">
        <w:rPr>
          <w:rFonts w:cstheme="minorHAnsi"/>
        </w:rPr>
        <w:t>Underpinning all of the strategies and initiatives is the continual development of a</w:t>
      </w:r>
      <w:r w:rsidR="00356485" w:rsidRPr="00E5646F">
        <w:rPr>
          <w:rFonts w:cstheme="minorHAnsi"/>
        </w:rPr>
        <w:t>n</w:t>
      </w:r>
      <w:r w:rsidRPr="00E5646F">
        <w:rPr>
          <w:rFonts w:cstheme="minorHAnsi"/>
        </w:rPr>
        <w:t xml:space="preserve"> Equity &amp; Social Justice Evaluation</w:t>
      </w:r>
      <w:r w:rsidR="002C354D" w:rsidRPr="00E5646F">
        <w:rPr>
          <w:rFonts w:cstheme="minorHAnsi"/>
        </w:rPr>
        <w:t xml:space="preserve"> </w:t>
      </w:r>
      <w:r w:rsidRPr="00E5646F">
        <w:rPr>
          <w:rFonts w:cstheme="minorHAnsi"/>
        </w:rPr>
        <w:t xml:space="preserve">Framework. </w:t>
      </w:r>
    </w:p>
    <w:p w14:paraId="228D16E7" w14:textId="7F06453D" w:rsidR="00FE7E6A" w:rsidRDefault="00FE7E6A" w:rsidP="00E5646F">
      <w:pPr>
        <w:pStyle w:val="ListParagraph"/>
        <w:numPr>
          <w:ilvl w:val="0"/>
          <w:numId w:val="13"/>
        </w:numPr>
        <w:rPr>
          <w:rFonts w:cstheme="minorHAnsi"/>
        </w:rPr>
      </w:pPr>
      <w:r w:rsidRPr="00E5646F">
        <w:rPr>
          <w:rFonts w:cstheme="minorHAnsi"/>
        </w:rPr>
        <w:t>The framework is being co-developed between CEEHE and project teams, in order to produce a context specific approach to evaluation</w:t>
      </w:r>
      <w:r w:rsidR="00E5646F" w:rsidRPr="00E5646F">
        <w:rPr>
          <w:rFonts w:cstheme="minorHAnsi"/>
        </w:rPr>
        <w:t xml:space="preserve"> </w:t>
      </w:r>
      <w:r w:rsidRPr="00E5646F">
        <w:rPr>
          <w:rFonts w:cstheme="minorHAnsi"/>
        </w:rPr>
        <w:t xml:space="preserve">that is fit for </w:t>
      </w:r>
      <w:r w:rsidR="00E5646F" w:rsidRPr="00E5646F">
        <w:rPr>
          <w:rFonts w:cstheme="minorHAnsi"/>
        </w:rPr>
        <w:t>p</w:t>
      </w:r>
      <w:r w:rsidRPr="00E5646F">
        <w:rPr>
          <w:rFonts w:cstheme="minorHAnsi"/>
        </w:rPr>
        <w:t xml:space="preserve">urpose and is aligned to equity and social justice principles. </w:t>
      </w:r>
    </w:p>
    <w:p w14:paraId="19B46AD2" w14:textId="77777777" w:rsidR="00C32593" w:rsidRDefault="00C32593"/>
    <w:tbl>
      <w:tblPr>
        <w:tblStyle w:val="TableGrid"/>
        <w:tblW w:w="14596" w:type="dxa"/>
        <w:tblLook w:val="04A0" w:firstRow="1" w:lastRow="0" w:firstColumn="1" w:lastColumn="0" w:noHBand="0" w:noVBand="1"/>
      </w:tblPr>
      <w:tblGrid>
        <w:gridCol w:w="1922"/>
        <w:gridCol w:w="3770"/>
        <w:gridCol w:w="2230"/>
        <w:gridCol w:w="2235"/>
        <w:gridCol w:w="2220"/>
        <w:gridCol w:w="2219"/>
      </w:tblGrid>
      <w:tr w:rsidR="00BB6107" w14:paraId="695B23D3" w14:textId="77777777" w:rsidTr="00A23178">
        <w:trPr>
          <w:cantSplit/>
          <w:trHeight w:val="2829"/>
        </w:trPr>
        <w:tc>
          <w:tcPr>
            <w:tcW w:w="5692" w:type="dxa"/>
            <w:gridSpan w:val="2"/>
          </w:tcPr>
          <w:p w14:paraId="3972B808" w14:textId="77777777" w:rsidR="00BB6107" w:rsidRPr="004B472D" w:rsidRDefault="00BB6107" w:rsidP="009275BD">
            <w:pPr>
              <w:rPr>
                <w:rFonts w:cstheme="minorHAnsi"/>
                <w:b/>
              </w:rPr>
            </w:pPr>
            <w:r w:rsidRPr="004B472D">
              <w:rPr>
                <w:rFonts w:cstheme="minorHAnsi"/>
                <w:b/>
              </w:rPr>
              <w:t>Strategies</w:t>
            </w:r>
          </w:p>
        </w:tc>
        <w:tc>
          <w:tcPr>
            <w:tcW w:w="2230" w:type="dxa"/>
          </w:tcPr>
          <w:p w14:paraId="010AD829" w14:textId="77777777" w:rsidR="00BB6107" w:rsidRPr="007A759F" w:rsidRDefault="00BB6107" w:rsidP="009275BD">
            <w:pPr>
              <w:rPr>
                <w:rFonts w:cstheme="minorHAnsi"/>
                <w:b/>
              </w:rPr>
            </w:pPr>
            <w:r w:rsidRPr="007A759F">
              <w:rPr>
                <w:rFonts w:eastAsia="Calibri" w:cstheme="minorHAnsi"/>
                <w:b/>
              </w:rPr>
              <w:t xml:space="preserve">Provision of </w:t>
            </w:r>
            <w:r w:rsidRPr="007A759F">
              <w:rPr>
                <w:rFonts w:cstheme="minorHAnsi"/>
                <w:b/>
                <w:color w:val="000000" w:themeColor="text1"/>
              </w:rPr>
              <w:t xml:space="preserve">accessible and inclusive life-long learning pathways for individuals and communities </w:t>
            </w:r>
            <w:r w:rsidRPr="007A759F">
              <w:rPr>
                <w:rFonts w:eastAsia="Calibri" w:cstheme="minorHAnsi"/>
                <w:b/>
              </w:rPr>
              <w:t>who have had a disrupted educational journey</w:t>
            </w:r>
          </w:p>
        </w:tc>
        <w:tc>
          <w:tcPr>
            <w:tcW w:w="2235" w:type="dxa"/>
          </w:tcPr>
          <w:p w14:paraId="18135ACA" w14:textId="77777777" w:rsidR="00BB6107" w:rsidRPr="007A759F" w:rsidRDefault="00BB6107" w:rsidP="009275BD">
            <w:pPr>
              <w:rPr>
                <w:rFonts w:cstheme="minorHAnsi"/>
                <w:b/>
              </w:rPr>
            </w:pPr>
            <w:r w:rsidRPr="007A759F">
              <w:rPr>
                <w:rFonts w:cstheme="minorHAnsi"/>
                <w:b/>
              </w:rPr>
              <w:t>Develop and nurture engagement with university and build an appreciation of life-long learning amongst</w:t>
            </w:r>
            <w:r w:rsidRPr="007A759F">
              <w:rPr>
                <w:rFonts w:cstheme="minorHAnsi"/>
                <w:b/>
                <w:spacing w:val="21"/>
              </w:rPr>
              <w:t xml:space="preserve"> </w:t>
            </w:r>
            <w:r w:rsidRPr="007A759F">
              <w:rPr>
                <w:rFonts w:cstheme="minorHAnsi"/>
                <w:b/>
              </w:rPr>
              <w:t>our</w:t>
            </w:r>
            <w:r w:rsidRPr="007A759F">
              <w:rPr>
                <w:rFonts w:cstheme="minorHAnsi"/>
                <w:b/>
                <w:spacing w:val="8"/>
              </w:rPr>
              <w:t xml:space="preserve"> </w:t>
            </w:r>
            <w:r w:rsidRPr="007A759F">
              <w:rPr>
                <w:rFonts w:cstheme="minorHAnsi"/>
                <w:b/>
                <w:w w:val="101"/>
              </w:rPr>
              <w:t>communities.</w:t>
            </w:r>
          </w:p>
        </w:tc>
        <w:tc>
          <w:tcPr>
            <w:tcW w:w="2220" w:type="dxa"/>
          </w:tcPr>
          <w:p w14:paraId="398EAC36" w14:textId="77777777" w:rsidR="00BB6107" w:rsidRPr="007A759F" w:rsidRDefault="00BB6107" w:rsidP="007A759F">
            <w:pPr>
              <w:rPr>
                <w:rFonts w:cstheme="minorHAnsi"/>
                <w:b/>
              </w:rPr>
            </w:pPr>
            <w:r w:rsidRPr="007A759F">
              <w:rPr>
                <w:rFonts w:cstheme="minorHAnsi"/>
                <w:b/>
              </w:rPr>
              <w:t xml:space="preserve">Increase the retention, success and career readiness of students by embedding a range of research-informed strategies throughout our courses, programs and student support offerings. </w:t>
            </w:r>
          </w:p>
          <w:p w14:paraId="317154C5" w14:textId="77777777" w:rsidR="00BB6107" w:rsidRPr="007A759F" w:rsidRDefault="00BB6107" w:rsidP="009275BD">
            <w:pPr>
              <w:rPr>
                <w:rFonts w:cstheme="minorHAnsi"/>
                <w:b/>
              </w:rPr>
            </w:pPr>
          </w:p>
        </w:tc>
        <w:tc>
          <w:tcPr>
            <w:tcW w:w="2219" w:type="dxa"/>
          </w:tcPr>
          <w:p w14:paraId="63CDCDC0" w14:textId="77777777" w:rsidR="00BB6107" w:rsidRPr="007A759F" w:rsidRDefault="00BB6107" w:rsidP="009275BD">
            <w:pPr>
              <w:rPr>
                <w:rFonts w:cstheme="minorHAnsi"/>
                <w:b/>
              </w:rPr>
            </w:pPr>
            <w:r w:rsidRPr="007A759F">
              <w:rPr>
                <w:rFonts w:cstheme="minorHAnsi"/>
                <w:b/>
                <w:color w:val="000000" w:themeColor="text1"/>
              </w:rPr>
              <w:t xml:space="preserve">Design and implement a supportive and research-informed framework to grow the capability of </w:t>
            </w:r>
            <w:r w:rsidR="00C32593" w:rsidRPr="007A759F">
              <w:rPr>
                <w:rFonts w:cstheme="minorHAnsi"/>
                <w:b/>
                <w:color w:val="000000" w:themeColor="text1"/>
              </w:rPr>
              <w:t xml:space="preserve">the sector </w:t>
            </w:r>
            <w:r w:rsidRPr="007A759F">
              <w:rPr>
                <w:rFonts w:cstheme="minorHAnsi"/>
                <w:b/>
                <w:color w:val="000000" w:themeColor="text1"/>
              </w:rPr>
              <w:t>to address complex equity issues and to work inclusively with diverse student cohorts across a range of contexts</w:t>
            </w:r>
          </w:p>
        </w:tc>
      </w:tr>
      <w:tr w:rsidR="0038736C" w14:paraId="33365453" w14:textId="77777777" w:rsidTr="00A23178">
        <w:tc>
          <w:tcPr>
            <w:tcW w:w="1922" w:type="dxa"/>
          </w:tcPr>
          <w:p w14:paraId="687A5720" w14:textId="77777777" w:rsidR="0038736C" w:rsidRPr="007A759F" w:rsidRDefault="0038736C" w:rsidP="009275BD">
            <w:pPr>
              <w:rPr>
                <w:rFonts w:cstheme="minorHAnsi"/>
                <w:b/>
              </w:rPr>
            </w:pPr>
            <w:r w:rsidRPr="007A759F">
              <w:rPr>
                <w:rFonts w:cstheme="minorHAnsi"/>
                <w:b/>
              </w:rPr>
              <w:t>Initiative</w:t>
            </w:r>
          </w:p>
        </w:tc>
        <w:tc>
          <w:tcPr>
            <w:tcW w:w="3770" w:type="dxa"/>
          </w:tcPr>
          <w:p w14:paraId="386D6208" w14:textId="77777777" w:rsidR="0038736C" w:rsidRPr="007A759F" w:rsidRDefault="0038736C" w:rsidP="009275BD">
            <w:pPr>
              <w:rPr>
                <w:rFonts w:cstheme="minorHAnsi"/>
                <w:b/>
              </w:rPr>
            </w:pPr>
            <w:r w:rsidRPr="007A759F">
              <w:rPr>
                <w:rFonts w:cstheme="minorHAnsi"/>
                <w:b/>
              </w:rPr>
              <w:t>Description</w:t>
            </w:r>
          </w:p>
        </w:tc>
        <w:tc>
          <w:tcPr>
            <w:tcW w:w="8904" w:type="dxa"/>
            <w:gridSpan w:val="4"/>
            <w:tcBorders>
              <w:bottom w:val="single" w:sz="4" w:space="0" w:color="auto"/>
            </w:tcBorders>
          </w:tcPr>
          <w:p w14:paraId="5756ACF7" w14:textId="77777777" w:rsidR="0038736C" w:rsidRPr="007A759F" w:rsidRDefault="00C73B4A" w:rsidP="009275BD">
            <w:pPr>
              <w:rPr>
                <w:rFonts w:cstheme="minorHAnsi"/>
                <w:i/>
                <w:sz w:val="20"/>
                <w:szCs w:val="20"/>
              </w:rPr>
            </w:pPr>
            <w:r w:rsidRPr="007A759F">
              <w:rPr>
                <w:rFonts w:cstheme="minorHAnsi"/>
                <w:i/>
                <w:sz w:val="20"/>
                <w:szCs w:val="20"/>
              </w:rPr>
              <w:t>Shaded areas below indicate how each initiative relates to one or more of the strategies</w:t>
            </w:r>
          </w:p>
        </w:tc>
      </w:tr>
      <w:tr w:rsidR="00BB6107" w14:paraId="77C04BC3" w14:textId="77777777" w:rsidTr="00A23178">
        <w:trPr>
          <w:trHeight w:val="416"/>
        </w:trPr>
        <w:tc>
          <w:tcPr>
            <w:tcW w:w="1922" w:type="dxa"/>
          </w:tcPr>
          <w:p w14:paraId="464DD0C3" w14:textId="77777777" w:rsidR="00BB6107" w:rsidRPr="007A759F" w:rsidRDefault="00BB6107" w:rsidP="009275BD">
            <w:pPr>
              <w:rPr>
                <w:rFonts w:cstheme="minorHAnsi"/>
              </w:rPr>
            </w:pPr>
            <w:r w:rsidRPr="007A759F">
              <w:rPr>
                <w:rFonts w:cstheme="minorHAnsi"/>
              </w:rPr>
              <w:t>Uni4You</w:t>
            </w:r>
          </w:p>
        </w:tc>
        <w:tc>
          <w:tcPr>
            <w:tcW w:w="3770" w:type="dxa"/>
          </w:tcPr>
          <w:p w14:paraId="324EB629" w14:textId="77777777" w:rsidR="00BB6107" w:rsidRPr="007A759F" w:rsidRDefault="00DE19EF" w:rsidP="002C354D">
            <w:pPr>
              <w:widowControl w:val="0"/>
              <w:rPr>
                <w:rFonts w:eastAsia="Calibri" w:cstheme="minorHAnsi"/>
              </w:rPr>
            </w:pPr>
            <w:r w:rsidRPr="007A759F">
              <w:rPr>
                <w:rFonts w:eastAsia="Calibri" w:cstheme="minorHAnsi"/>
              </w:rPr>
              <w:t xml:space="preserve">Uni4You supports students from historically under-represented backgrounds to access and complete </w:t>
            </w:r>
            <w:r w:rsidRPr="007A759F">
              <w:rPr>
                <w:rFonts w:eastAsia="Calibri" w:cstheme="minorHAnsi"/>
              </w:rPr>
              <w:lastRenderedPageBreak/>
              <w:t>an enabling program. Uni4You provides a supportive pathway to university via enabling programs and includes preparation workshops, individual case management and learning support groups.</w:t>
            </w:r>
          </w:p>
        </w:tc>
        <w:tc>
          <w:tcPr>
            <w:tcW w:w="2230" w:type="dxa"/>
            <w:tcBorders>
              <w:bottom w:val="single" w:sz="4" w:space="0" w:color="auto"/>
            </w:tcBorders>
            <w:shd w:val="clear" w:color="auto" w:fill="BDD6EE" w:themeFill="accent5" w:themeFillTint="66"/>
          </w:tcPr>
          <w:p w14:paraId="10AF1D43" w14:textId="77777777" w:rsidR="00BB6107" w:rsidRPr="007A759F" w:rsidRDefault="00BB6107" w:rsidP="009275BD">
            <w:pPr>
              <w:rPr>
                <w:rFonts w:cstheme="minorHAnsi"/>
              </w:rPr>
            </w:pPr>
          </w:p>
        </w:tc>
        <w:tc>
          <w:tcPr>
            <w:tcW w:w="2235" w:type="dxa"/>
            <w:tcBorders>
              <w:bottom w:val="single" w:sz="4" w:space="0" w:color="auto"/>
            </w:tcBorders>
            <w:shd w:val="clear" w:color="auto" w:fill="BDD6EE" w:themeFill="accent5" w:themeFillTint="66"/>
          </w:tcPr>
          <w:p w14:paraId="29024911" w14:textId="77777777" w:rsidR="00BB6107" w:rsidRPr="007A759F" w:rsidRDefault="00BB6107" w:rsidP="009275BD">
            <w:pPr>
              <w:rPr>
                <w:rFonts w:cstheme="minorHAnsi"/>
              </w:rPr>
            </w:pPr>
          </w:p>
        </w:tc>
        <w:tc>
          <w:tcPr>
            <w:tcW w:w="2220" w:type="dxa"/>
          </w:tcPr>
          <w:p w14:paraId="57B9CDB7" w14:textId="77777777" w:rsidR="00BB6107" w:rsidRPr="007A759F" w:rsidRDefault="00BB6107" w:rsidP="009275BD">
            <w:pPr>
              <w:rPr>
                <w:rFonts w:cstheme="minorHAnsi"/>
              </w:rPr>
            </w:pPr>
          </w:p>
        </w:tc>
        <w:tc>
          <w:tcPr>
            <w:tcW w:w="2219" w:type="dxa"/>
            <w:tcBorders>
              <w:bottom w:val="single" w:sz="4" w:space="0" w:color="auto"/>
            </w:tcBorders>
          </w:tcPr>
          <w:p w14:paraId="0E15DCB2" w14:textId="77777777" w:rsidR="00BB6107" w:rsidRPr="007A759F" w:rsidRDefault="00BB6107" w:rsidP="009275BD">
            <w:pPr>
              <w:rPr>
                <w:rFonts w:cstheme="minorHAnsi"/>
              </w:rPr>
            </w:pPr>
          </w:p>
        </w:tc>
      </w:tr>
      <w:tr w:rsidR="00BB6107" w14:paraId="2B4D6ABA" w14:textId="77777777" w:rsidTr="00A23178">
        <w:trPr>
          <w:trHeight w:val="865"/>
        </w:trPr>
        <w:tc>
          <w:tcPr>
            <w:tcW w:w="1922" w:type="dxa"/>
            <w:tcBorders>
              <w:bottom w:val="single" w:sz="4" w:space="0" w:color="auto"/>
            </w:tcBorders>
          </w:tcPr>
          <w:p w14:paraId="27277366" w14:textId="77777777" w:rsidR="00BB6107" w:rsidRPr="007A759F" w:rsidRDefault="00BB6107" w:rsidP="009275BD">
            <w:pPr>
              <w:rPr>
                <w:rFonts w:cstheme="minorHAnsi"/>
              </w:rPr>
            </w:pPr>
            <w:r w:rsidRPr="007A759F">
              <w:rPr>
                <w:rFonts w:cstheme="minorHAnsi"/>
              </w:rPr>
              <w:t>Live Learn Grow</w:t>
            </w:r>
          </w:p>
        </w:tc>
        <w:tc>
          <w:tcPr>
            <w:tcW w:w="3770" w:type="dxa"/>
            <w:tcBorders>
              <w:bottom w:val="single" w:sz="4" w:space="0" w:color="auto"/>
            </w:tcBorders>
          </w:tcPr>
          <w:p w14:paraId="2F82D7C3" w14:textId="77777777" w:rsidR="00BB6107" w:rsidRPr="007A759F" w:rsidRDefault="00BB6107" w:rsidP="009275BD">
            <w:pPr>
              <w:rPr>
                <w:rFonts w:cstheme="minorHAnsi"/>
              </w:rPr>
            </w:pPr>
            <w:r w:rsidRPr="007A759F">
              <w:rPr>
                <w:rFonts w:cstheme="minorHAnsi"/>
              </w:rPr>
              <w:t>The Live, Learn, Grow (LLG) program seeks to overcome the known barriers preventing care leavers engaging with higher education. The program has a dual focus of providing dynamic, student-cantered support to young people with an out of home care (OOHC) background as they transition to their</w:t>
            </w:r>
            <w:r w:rsidR="00815C86" w:rsidRPr="007A759F">
              <w:rPr>
                <w:rFonts w:cstheme="minorHAnsi"/>
              </w:rPr>
              <w:t xml:space="preserve"> </w:t>
            </w:r>
            <w:r w:rsidRPr="007A759F">
              <w:rPr>
                <w:rFonts w:cstheme="minorHAnsi"/>
              </w:rPr>
              <w:t xml:space="preserve"> first year at university</w:t>
            </w:r>
            <w:r w:rsidR="00E068DA" w:rsidRPr="007A759F">
              <w:rPr>
                <w:rFonts w:cstheme="minorHAnsi"/>
              </w:rPr>
              <w:t xml:space="preserve"> and progress through their degree</w:t>
            </w:r>
            <w:r w:rsidRPr="007A759F">
              <w:rPr>
                <w:rFonts w:cstheme="minorHAnsi"/>
              </w:rPr>
              <w:t xml:space="preserve">, along with increasing awareness and understanding of educational pathways amongst case workers in the sector. </w:t>
            </w:r>
          </w:p>
        </w:tc>
        <w:tc>
          <w:tcPr>
            <w:tcW w:w="2230" w:type="dxa"/>
            <w:tcBorders>
              <w:bottom w:val="single" w:sz="4" w:space="0" w:color="auto"/>
            </w:tcBorders>
            <w:shd w:val="clear" w:color="auto" w:fill="BDD6EE" w:themeFill="accent5" w:themeFillTint="66"/>
          </w:tcPr>
          <w:p w14:paraId="499C2729" w14:textId="77777777" w:rsidR="00BB6107" w:rsidRPr="007A759F" w:rsidRDefault="00BB6107" w:rsidP="009275BD">
            <w:pPr>
              <w:rPr>
                <w:rFonts w:cstheme="minorHAnsi"/>
              </w:rPr>
            </w:pPr>
          </w:p>
        </w:tc>
        <w:tc>
          <w:tcPr>
            <w:tcW w:w="2235" w:type="dxa"/>
            <w:tcBorders>
              <w:bottom w:val="single" w:sz="4" w:space="0" w:color="auto"/>
            </w:tcBorders>
            <w:shd w:val="clear" w:color="auto" w:fill="BDD6EE" w:themeFill="accent5" w:themeFillTint="66"/>
          </w:tcPr>
          <w:p w14:paraId="06972923" w14:textId="77777777" w:rsidR="00BB6107" w:rsidRPr="007A759F" w:rsidRDefault="00BB6107" w:rsidP="009275BD">
            <w:pPr>
              <w:rPr>
                <w:rFonts w:cstheme="minorHAnsi"/>
              </w:rPr>
            </w:pPr>
          </w:p>
        </w:tc>
        <w:tc>
          <w:tcPr>
            <w:tcW w:w="2220" w:type="dxa"/>
            <w:tcBorders>
              <w:bottom w:val="single" w:sz="4" w:space="0" w:color="auto"/>
            </w:tcBorders>
            <w:shd w:val="clear" w:color="auto" w:fill="BDD6EE" w:themeFill="accent5" w:themeFillTint="66"/>
          </w:tcPr>
          <w:p w14:paraId="7011E400" w14:textId="77777777" w:rsidR="00BB6107" w:rsidRPr="007A759F" w:rsidRDefault="00BB6107" w:rsidP="009275BD">
            <w:pPr>
              <w:rPr>
                <w:rFonts w:cstheme="minorHAnsi"/>
              </w:rPr>
            </w:pPr>
          </w:p>
        </w:tc>
        <w:tc>
          <w:tcPr>
            <w:tcW w:w="2219" w:type="dxa"/>
            <w:tcBorders>
              <w:bottom w:val="single" w:sz="4" w:space="0" w:color="auto"/>
            </w:tcBorders>
            <w:shd w:val="clear" w:color="auto" w:fill="BDD6EE" w:themeFill="accent5" w:themeFillTint="66"/>
          </w:tcPr>
          <w:p w14:paraId="7964CE5B" w14:textId="77777777" w:rsidR="00BB6107" w:rsidRPr="007A759F" w:rsidRDefault="00BB6107" w:rsidP="009275BD">
            <w:pPr>
              <w:rPr>
                <w:rFonts w:cstheme="minorHAnsi"/>
              </w:rPr>
            </w:pPr>
          </w:p>
        </w:tc>
      </w:tr>
      <w:tr w:rsidR="00265710" w14:paraId="456A81F9" w14:textId="77777777" w:rsidTr="00A23178">
        <w:trPr>
          <w:trHeight w:val="865"/>
        </w:trPr>
        <w:tc>
          <w:tcPr>
            <w:tcW w:w="1922" w:type="dxa"/>
            <w:tcBorders>
              <w:bottom w:val="single" w:sz="4" w:space="0" w:color="auto"/>
            </w:tcBorders>
            <w:shd w:val="clear" w:color="auto" w:fill="auto"/>
          </w:tcPr>
          <w:p w14:paraId="54042A2D" w14:textId="77777777" w:rsidR="00265710" w:rsidRPr="007A759F" w:rsidRDefault="00265710" w:rsidP="009275BD">
            <w:pPr>
              <w:rPr>
                <w:rFonts w:cstheme="minorHAnsi"/>
              </w:rPr>
            </w:pPr>
            <w:r w:rsidRPr="007A759F">
              <w:rPr>
                <w:rFonts w:cstheme="minorHAnsi"/>
              </w:rPr>
              <w:t>Reclaiming My Place</w:t>
            </w:r>
          </w:p>
        </w:tc>
        <w:tc>
          <w:tcPr>
            <w:tcW w:w="3770" w:type="dxa"/>
            <w:tcBorders>
              <w:bottom w:val="single" w:sz="4" w:space="0" w:color="auto"/>
            </w:tcBorders>
            <w:shd w:val="clear" w:color="auto" w:fill="auto"/>
          </w:tcPr>
          <w:p w14:paraId="3ED2DA90" w14:textId="77777777" w:rsidR="00265710" w:rsidRPr="007A759F" w:rsidRDefault="00265710">
            <w:pPr>
              <w:rPr>
                <w:rFonts w:cstheme="minorHAnsi"/>
              </w:rPr>
            </w:pPr>
            <w:r w:rsidRPr="007A759F">
              <w:rPr>
                <w:rFonts w:cstheme="minorHAnsi"/>
              </w:rPr>
              <w:t>‘Reclaiming My Place’ (RMP) is an art-based program that creates inclusive and non-formal points of entry to lifelong learning for women outside of formal learning pathways. Community learning partners included representatives from TAFE Career Pathways, Vocational &amp; Community Engagement, TAFE Student services, University of Newcastle’s Uni4You program and caseworkers from The Canopy and Singleton Family Support Service</w:t>
            </w:r>
          </w:p>
        </w:tc>
        <w:tc>
          <w:tcPr>
            <w:tcW w:w="2230" w:type="dxa"/>
            <w:tcBorders>
              <w:bottom w:val="single" w:sz="4" w:space="0" w:color="auto"/>
            </w:tcBorders>
            <w:shd w:val="clear" w:color="auto" w:fill="BDD6EE" w:themeFill="accent5" w:themeFillTint="66"/>
          </w:tcPr>
          <w:p w14:paraId="3A179477" w14:textId="77777777" w:rsidR="00265710" w:rsidRPr="007A759F" w:rsidRDefault="00265710" w:rsidP="009275BD">
            <w:pPr>
              <w:rPr>
                <w:rFonts w:cstheme="minorHAnsi"/>
              </w:rPr>
            </w:pPr>
          </w:p>
        </w:tc>
        <w:tc>
          <w:tcPr>
            <w:tcW w:w="2235" w:type="dxa"/>
            <w:tcBorders>
              <w:bottom w:val="single" w:sz="4" w:space="0" w:color="auto"/>
            </w:tcBorders>
            <w:shd w:val="clear" w:color="auto" w:fill="BDD6EE" w:themeFill="accent5" w:themeFillTint="66"/>
          </w:tcPr>
          <w:p w14:paraId="35A75E04" w14:textId="77777777" w:rsidR="00265710" w:rsidRPr="007A759F" w:rsidRDefault="00265710" w:rsidP="009275BD">
            <w:pPr>
              <w:rPr>
                <w:rFonts w:cstheme="minorHAnsi"/>
              </w:rPr>
            </w:pPr>
          </w:p>
        </w:tc>
        <w:tc>
          <w:tcPr>
            <w:tcW w:w="2220" w:type="dxa"/>
            <w:tcBorders>
              <w:bottom w:val="single" w:sz="4" w:space="0" w:color="auto"/>
            </w:tcBorders>
          </w:tcPr>
          <w:p w14:paraId="70CE8F8C" w14:textId="77777777" w:rsidR="00265710" w:rsidRPr="007A759F" w:rsidRDefault="00265710" w:rsidP="009275BD">
            <w:pPr>
              <w:rPr>
                <w:rFonts w:cstheme="minorHAnsi"/>
              </w:rPr>
            </w:pPr>
          </w:p>
        </w:tc>
        <w:tc>
          <w:tcPr>
            <w:tcW w:w="2219" w:type="dxa"/>
            <w:tcBorders>
              <w:bottom w:val="single" w:sz="4" w:space="0" w:color="auto"/>
            </w:tcBorders>
            <w:shd w:val="clear" w:color="auto" w:fill="BDD6EE" w:themeFill="accent5" w:themeFillTint="66"/>
          </w:tcPr>
          <w:p w14:paraId="3F65F4BB" w14:textId="77777777" w:rsidR="00265710" w:rsidRPr="007A759F" w:rsidRDefault="00265710" w:rsidP="009275BD">
            <w:pPr>
              <w:rPr>
                <w:rFonts w:cstheme="minorHAnsi"/>
              </w:rPr>
            </w:pPr>
          </w:p>
        </w:tc>
      </w:tr>
      <w:tr w:rsidR="00265710" w14:paraId="68282A41" w14:textId="77777777" w:rsidTr="00A23178">
        <w:trPr>
          <w:trHeight w:val="865"/>
        </w:trPr>
        <w:tc>
          <w:tcPr>
            <w:tcW w:w="1922" w:type="dxa"/>
            <w:tcBorders>
              <w:bottom w:val="single" w:sz="4" w:space="0" w:color="auto"/>
            </w:tcBorders>
            <w:shd w:val="clear" w:color="auto" w:fill="auto"/>
          </w:tcPr>
          <w:p w14:paraId="220917B5" w14:textId="77777777" w:rsidR="00265710" w:rsidRPr="007A759F" w:rsidRDefault="00265710" w:rsidP="009275BD">
            <w:pPr>
              <w:rPr>
                <w:rFonts w:cstheme="minorHAnsi"/>
              </w:rPr>
            </w:pPr>
            <w:r w:rsidRPr="007A759F">
              <w:rPr>
                <w:rFonts w:cstheme="minorHAnsi"/>
              </w:rPr>
              <w:lastRenderedPageBreak/>
              <w:t>SUPERBE (Strategy Underpinning Empowerment for Refugee Backgrounds in Education)</w:t>
            </w:r>
          </w:p>
        </w:tc>
        <w:tc>
          <w:tcPr>
            <w:tcW w:w="3770" w:type="dxa"/>
            <w:tcBorders>
              <w:bottom w:val="single" w:sz="4" w:space="0" w:color="auto"/>
            </w:tcBorders>
            <w:shd w:val="clear" w:color="auto" w:fill="auto"/>
          </w:tcPr>
          <w:p w14:paraId="51DF43F5" w14:textId="77777777" w:rsidR="00265710" w:rsidRPr="007A759F" w:rsidRDefault="00265710">
            <w:pPr>
              <w:rPr>
                <w:rFonts w:cstheme="minorHAnsi"/>
              </w:rPr>
            </w:pPr>
            <w:r w:rsidRPr="007A759F">
              <w:rPr>
                <w:rFonts w:cstheme="minorHAnsi"/>
              </w:rPr>
              <w:t xml:space="preserve">SUPERBE is a praxis-based strategy developed by CEEHE to engage and support community members and current students from refugee and refugee-like backgrounds in education across the Hunter region. SUPERBE consists of student gatherings, drop-in spaces for dialog, support for on-campus events and a fabric of community partnerships and networks. </w:t>
            </w:r>
          </w:p>
        </w:tc>
        <w:tc>
          <w:tcPr>
            <w:tcW w:w="2230" w:type="dxa"/>
            <w:tcBorders>
              <w:bottom w:val="single" w:sz="4" w:space="0" w:color="auto"/>
            </w:tcBorders>
            <w:shd w:val="clear" w:color="auto" w:fill="BDD6EE" w:themeFill="accent5" w:themeFillTint="66"/>
          </w:tcPr>
          <w:p w14:paraId="7D3EF999" w14:textId="77777777" w:rsidR="00265710" w:rsidRPr="007A759F" w:rsidRDefault="00265710" w:rsidP="009275BD">
            <w:pPr>
              <w:rPr>
                <w:rFonts w:cstheme="minorHAnsi"/>
              </w:rPr>
            </w:pPr>
          </w:p>
        </w:tc>
        <w:tc>
          <w:tcPr>
            <w:tcW w:w="2235" w:type="dxa"/>
            <w:tcBorders>
              <w:bottom w:val="single" w:sz="4" w:space="0" w:color="auto"/>
            </w:tcBorders>
            <w:shd w:val="clear" w:color="auto" w:fill="BDD6EE" w:themeFill="accent5" w:themeFillTint="66"/>
          </w:tcPr>
          <w:p w14:paraId="73FA5C7D" w14:textId="77777777" w:rsidR="00265710" w:rsidRPr="007A759F" w:rsidRDefault="00265710" w:rsidP="009275BD">
            <w:pPr>
              <w:rPr>
                <w:rFonts w:cstheme="minorHAnsi"/>
              </w:rPr>
            </w:pPr>
          </w:p>
        </w:tc>
        <w:tc>
          <w:tcPr>
            <w:tcW w:w="2220" w:type="dxa"/>
            <w:tcBorders>
              <w:bottom w:val="single" w:sz="4" w:space="0" w:color="auto"/>
            </w:tcBorders>
            <w:shd w:val="clear" w:color="auto" w:fill="BDD6EE" w:themeFill="accent5" w:themeFillTint="66"/>
          </w:tcPr>
          <w:p w14:paraId="66BB15A1" w14:textId="77777777" w:rsidR="00265710" w:rsidRPr="007A759F" w:rsidRDefault="00265710" w:rsidP="009275BD">
            <w:pPr>
              <w:rPr>
                <w:rFonts w:cstheme="minorHAnsi"/>
              </w:rPr>
            </w:pPr>
          </w:p>
        </w:tc>
        <w:tc>
          <w:tcPr>
            <w:tcW w:w="2219" w:type="dxa"/>
            <w:tcBorders>
              <w:bottom w:val="single" w:sz="4" w:space="0" w:color="auto"/>
            </w:tcBorders>
            <w:shd w:val="clear" w:color="auto" w:fill="BDD6EE" w:themeFill="accent5" w:themeFillTint="66"/>
          </w:tcPr>
          <w:p w14:paraId="3239A2D2" w14:textId="77777777" w:rsidR="00265710" w:rsidRPr="007A759F" w:rsidRDefault="00265710" w:rsidP="009275BD">
            <w:pPr>
              <w:rPr>
                <w:rFonts w:cstheme="minorHAnsi"/>
              </w:rPr>
            </w:pPr>
          </w:p>
        </w:tc>
      </w:tr>
      <w:tr w:rsidR="00BB6107" w14:paraId="49F0EC3B" w14:textId="77777777" w:rsidTr="00A23178">
        <w:trPr>
          <w:trHeight w:val="865"/>
        </w:trPr>
        <w:tc>
          <w:tcPr>
            <w:tcW w:w="1922" w:type="dxa"/>
            <w:tcBorders>
              <w:top w:val="single" w:sz="4" w:space="0" w:color="auto"/>
              <w:bottom w:val="single" w:sz="4" w:space="0" w:color="auto"/>
              <w:right w:val="single" w:sz="4" w:space="0" w:color="auto"/>
            </w:tcBorders>
          </w:tcPr>
          <w:p w14:paraId="67E9E2E4" w14:textId="77777777" w:rsidR="00BB6107" w:rsidRPr="007A759F" w:rsidRDefault="00BB6107" w:rsidP="009275BD">
            <w:pPr>
              <w:rPr>
                <w:rFonts w:cstheme="minorHAnsi"/>
              </w:rPr>
            </w:pPr>
            <w:r w:rsidRPr="007A759F">
              <w:rPr>
                <w:rFonts w:cstheme="minorHAnsi"/>
              </w:rPr>
              <w:t>Children’s University Newcastle</w:t>
            </w:r>
          </w:p>
        </w:tc>
        <w:tc>
          <w:tcPr>
            <w:tcW w:w="3770" w:type="dxa"/>
            <w:tcBorders>
              <w:top w:val="single" w:sz="4" w:space="0" w:color="auto"/>
              <w:left w:val="single" w:sz="4" w:space="0" w:color="auto"/>
              <w:bottom w:val="single" w:sz="4" w:space="0" w:color="auto"/>
              <w:right w:val="single" w:sz="4" w:space="0" w:color="auto"/>
            </w:tcBorders>
          </w:tcPr>
          <w:p w14:paraId="12B23885" w14:textId="77777777" w:rsidR="00BB6107" w:rsidRPr="007A759F" w:rsidRDefault="00BB6107" w:rsidP="00BB6107">
            <w:pPr>
              <w:rPr>
                <w:rFonts w:eastAsia="Calibri" w:cstheme="minorHAnsi"/>
              </w:rPr>
            </w:pPr>
            <w:r w:rsidRPr="007A759F">
              <w:rPr>
                <w:rFonts w:eastAsia="Calibri" w:cstheme="minorHAnsi"/>
              </w:rPr>
              <w:t xml:space="preserve">The Children’s University – Newcastle (CU Newcastle) provides extra-curricular learning opportunities to children aged between 7 and 14 years; the aim being to engage children in learning in its broadest sense and </w:t>
            </w:r>
            <w:r w:rsidR="00E068DA" w:rsidRPr="007A759F">
              <w:rPr>
                <w:rFonts w:eastAsia="Calibri" w:cstheme="minorHAnsi"/>
              </w:rPr>
              <w:t xml:space="preserve">in the context of their wider families and communities; </w:t>
            </w:r>
            <w:r w:rsidRPr="007A759F">
              <w:rPr>
                <w:rFonts w:eastAsia="Calibri" w:cstheme="minorHAnsi"/>
              </w:rPr>
              <w:t>to provide the scaffolding for children to develop self-efficacy</w:t>
            </w:r>
            <w:r w:rsidR="00E068DA" w:rsidRPr="007A759F">
              <w:rPr>
                <w:rFonts w:eastAsia="Calibri" w:cstheme="minorHAnsi"/>
              </w:rPr>
              <w:t>; and to nurture a sense of</w:t>
            </w:r>
            <w:r w:rsidRPr="007A759F">
              <w:rPr>
                <w:rFonts w:eastAsia="Calibri" w:cstheme="minorHAnsi"/>
              </w:rPr>
              <w:t xml:space="preserve"> confidence</w:t>
            </w:r>
            <w:r w:rsidR="00E068DA" w:rsidRPr="007A759F">
              <w:rPr>
                <w:rFonts w:eastAsia="Calibri" w:cstheme="minorHAnsi"/>
              </w:rPr>
              <w:t>, capability</w:t>
            </w:r>
            <w:r w:rsidRPr="007A759F">
              <w:rPr>
                <w:rFonts w:eastAsia="Calibri" w:cstheme="minorHAnsi"/>
              </w:rPr>
              <w:t xml:space="preserve"> and aspiration</w:t>
            </w:r>
            <w:r w:rsidR="00E068DA" w:rsidRPr="007A759F">
              <w:rPr>
                <w:rFonts w:eastAsia="Calibri" w:cstheme="minorHAnsi"/>
              </w:rPr>
              <w:t xml:space="preserve"> as lifelong learners</w:t>
            </w:r>
            <w:r w:rsidRPr="007A759F">
              <w:rPr>
                <w:rFonts w:eastAsia="Calibri" w:cstheme="minorHAnsi"/>
              </w:rPr>
              <w:t>.</w:t>
            </w:r>
          </w:p>
          <w:p w14:paraId="5A2F0B2D" w14:textId="77777777" w:rsidR="00BB6107" w:rsidRPr="007A759F" w:rsidRDefault="00BB6107" w:rsidP="009275BD">
            <w:pPr>
              <w:rPr>
                <w:rFonts w:cstheme="minorHAnsi"/>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59CC946A" w14:textId="77777777" w:rsidR="00BB6107" w:rsidRPr="007A759F" w:rsidRDefault="00BB6107" w:rsidP="009275BD">
            <w:pPr>
              <w:rPr>
                <w:rFonts w:cstheme="minorHAnsi"/>
              </w:rPr>
            </w:pPr>
          </w:p>
        </w:tc>
        <w:tc>
          <w:tcPr>
            <w:tcW w:w="22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86682E6" w14:textId="77777777" w:rsidR="00BB6107" w:rsidRPr="007A759F" w:rsidRDefault="00BB6107" w:rsidP="009275BD">
            <w:pPr>
              <w:rPr>
                <w:rFonts w:cstheme="minorHAnsi"/>
              </w:rPr>
            </w:pPr>
          </w:p>
        </w:tc>
        <w:tc>
          <w:tcPr>
            <w:tcW w:w="2220" w:type="dxa"/>
            <w:tcBorders>
              <w:top w:val="single" w:sz="4" w:space="0" w:color="auto"/>
              <w:left w:val="single" w:sz="4" w:space="0" w:color="auto"/>
              <w:bottom w:val="single" w:sz="4" w:space="0" w:color="auto"/>
              <w:right w:val="single" w:sz="4" w:space="0" w:color="auto"/>
            </w:tcBorders>
          </w:tcPr>
          <w:p w14:paraId="2FB8639C" w14:textId="77777777" w:rsidR="00BB6107" w:rsidRPr="007A759F" w:rsidRDefault="00BB6107" w:rsidP="009275BD">
            <w:pPr>
              <w:rPr>
                <w:rFonts w:cstheme="minorHAnsi"/>
              </w:rPr>
            </w:pPr>
          </w:p>
        </w:tc>
        <w:tc>
          <w:tcPr>
            <w:tcW w:w="2219" w:type="dxa"/>
            <w:tcBorders>
              <w:top w:val="single" w:sz="4" w:space="0" w:color="auto"/>
              <w:left w:val="single" w:sz="4" w:space="0" w:color="auto"/>
              <w:bottom w:val="single" w:sz="4" w:space="0" w:color="auto"/>
            </w:tcBorders>
          </w:tcPr>
          <w:p w14:paraId="4FD21809" w14:textId="77777777" w:rsidR="00BB6107" w:rsidRPr="007A759F" w:rsidRDefault="00BB6107" w:rsidP="009275BD">
            <w:pPr>
              <w:rPr>
                <w:rFonts w:cstheme="minorHAnsi"/>
              </w:rPr>
            </w:pPr>
          </w:p>
        </w:tc>
      </w:tr>
      <w:tr w:rsidR="00BB6107" w14:paraId="196EBC7B" w14:textId="77777777" w:rsidTr="00A23178">
        <w:trPr>
          <w:trHeight w:val="865"/>
        </w:trPr>
        <w:tc>
          <w:tcPr>
            <w:tcW w:w="1922" w:type="dxa"/>
            <w:tcBorders>
              <w:top w:val="single" w:sz="4" w:space="0" w:color="auto"/>
              <w:bottom w:val="single" w:sz="4" w:space="0" w:color="auto"/>
              <w:right w:val="single" w:sz="4" w:space="0" w:color="auto"/>
            </w:tcBorders>
          </w:tcPr>
          <w:p w14:paraId="3AA380E8" w14:textId="77777777" w:rsidR="00BB6107" w:rsidRPr="007A759F" w:rsidRDefault="00BB6107" w:rsidP="009275BD">
            <w:pPr>
              <w:rPr>
                <w:rFonts w:cstheme="minorHAnsi"/>
              </w:rPr>
            </w:pPr>
            <w:r w:rsidRPr="007A759F">
              <w:rPr>
                <w:rFonts w:cstheme="minorHAnsi"/>
              </w:rPr>
              <w:t>Deadly Streaming</w:t>
            </w:r>
          </w:p>
        </w:tc>
        <w:tc>
          <w:tcPr>
            <w:tcW w:w="3770" w:type="dxa"/>
            <w:tcBorders>
              <w:top w:val="single" w:sz="4" w:space="0" w:color="auto"/>
              <w:left w:val="single" w:sz="4" w:space="0" w:color="auto"/>
              <w:bottom w:val="single" w:sz="4" w:space="0" w:color="auto"/>
              <w:right w:val="single" w:sz="4" w:space="0" w:color="auto"/>
            </w:tcBorders>
          </w:tcPr>
          <w:p w14:paraId="2D950638" w14:textId="77777777" w:rsidR="00DE19EF" w:rsidRPr="007A759F" w:rsidRDefault="00BB6107" w:rsidP="00DE19EF">
            <w:pPr>
              <w:widowControl w:val="0"/>
              <w:rPr>
                <w:rFonts w:eastAsia="Calibri" w:cstheme="minorHAnsi"/>
              </w:rPr>
            </w:pPr>
            <w:r w:rsidRPr="007A759F">
              <w:rPr>
                <w:rFonts w:eastAsia="Calibri" w:cstheme="minorHAnsi"/>
              </w:rPr>
              <w:t xml:space="preserve">The Deadly Streaming Project </w:t>
            </w:r>
          </w:p>
          <w:p w14:paraId="491C6630" w14:textId="77777777" w:rsidR="00BB6107" w:rsidRPr="007A759F" w:rsidRDefault="00BB6107" w:rsidP="00BB6107">
            <w:pPr>
              <w:widowControl w:val="0"/>
              <w:rPr>
                <w:rFonts w:eastAsia="Calibri" w:cstheme="minorHAnsi"/>
              </w:rPr>
            </w:pPr>
            <w:proofErr w:type="gramStart"/>
            <w:r w:rsidRPr="007A759F">
              <w:rPr>
                <w:rFonts w:eastAsia="Calibri" w:cstheme="minorHAnsi"/>
              </w:rPr>
              <w:t>is</w:t>
            </w:r>
            <w:proofErr w:type="gramEnd"/>
            <w:r w:rsidRPr="007A759F">
              <w:rPr>
                <w:rFonts w:eastAsia="Calibri" w:cstheme="minorHAnsi"/>
              </w:rPr>
              <w:t xml:space="preserve"> focussed on building positive self-regard amongst Aboriginal, low SES students, leading to an increased awareness that they belong in educational settings.</w:t>
            </w:r>
          </w:p>
          <w:p w14:paraId="61892317" w14:textId="77777777" w:rsidR="00BB6107" w:rsidRPr="007A759F" w:rsidRDefault="00BB6107" w:rsidP="009275BD">
            <w:pPr>
              <w:rPr>
                <w:rFonts w:cstheme="minorHAnsi"/>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65141985" w14:textId="77777777" w:rsidR="00BB6107" w:rsidRPr="007A759F" w:rsidRDefault="00BB6107" w:rsidP="009275BD">
            <w:pPr>
              <w:rPr>
                <w:rFonts w:cstheme="minorHAnsi"/>
              </w:rPr>
            </w:pPr>
          </w:p>
        </w:tc>
        <w:tc>
          <w:tcPr>
            <w:tcW w:w="22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F24004C" w14:textId="77777777" w:rsidR="00BB6107" w:rsidRPr="007A759F" w:rsidRDefault="00BB6107" w:rsidP="009275BD">
            <w:pPr>
              <w:rPr>
                <w:rFonts w:cstheme="minorHAnsi"/>
              </w:rPr>
            </w:pPr>
          </w:p>
        </w:tc>
        <w:tc>
          <w:tcPr>
            <w:tcW w:w="2220" w:type="dxa"/>
            <w:tcBorders>
              <w:top w:val="single" w:sz="4" w:space="0" w:color="auto"/>
              <w:left w:val="single" w:sz="4" w:space="0" w:color="auto"/>
              <w:bottom w:val="single" w:sz="4" w:space="0" w:color="auto"/>
              <w:right w:val="single" w:sz="4" w:space="0" w:color="auto"/>
            </w:tcBorders>
          </w:tcPr>
          <w:p w14:paraId="332C3C8D" w14:textId="77777777" w:rsidR="00BB6107" w:rsidRPr="007A759F" w:rsidRDefault="00BB6107" w:rsidP="009275BD">
            <w:pPr>
              <w:rPr>
                <w:rFonts w:cstheme="minorHAnsi"/>
              </w:rPr>
            </w:pPr>
          </w:p>
        </w:tc>
        <w:tc>
          <w:tcPr>
            <w:tcW w:w="2219" w:type="dxa"/>
            <w:tcBorders>
              <w:top w:val="single" w:sz="4" w:space="0" w:color="auto"/>
              <w:left w:val="single" w:sz="4" w:space="0" w:color="auto"/>
              <w:bottom w:val="single" w:sz="4" w:space="0" w:color="auto"/>
            </w:tcBorders>
          </w:tcPr>
          <w:p w14:paraId="431BB800" w14:textId="77777777" w:rsidR="00BB6107" w:rsidRPr="007A759F" w:rsidRDefault="00BB6107" w:rsidP="009275BD">
            <w:pPr>
              <w:rPr>
                <w:rFonts w:cstheme="minorHAnsi"/>
              </w:rPr>
            </w:pPr>
          </w:p>
        </w:tc>
      </w:tr>
      <w:tr w:rsidR="00A23178" w14:paraId="16180820" w14:textId="77777777" w:rsidTr="0099307B">
        <w:trPr>
          <w:trHeight w:val="865"/>
        </w:trPr>
        <w:tc>
          <w:tcPr>
            <w:tcW w:w="1922" w:type="dxa"/>
            <w:tcBorders>
              <w:top w:val="single" w:sz="4" w:space="0" w:color="auto"/>
              <w:bottom w:val="single" w:sz="4" w:space="0" w:color="auto"/>
              <w:right w:val="single" w:sz="4" w:space="0" w:color="auto"/>
            </w:tcBorders>
          </w:tcPr>
          <w:p w14:paraId="4841846A" w14:textId="77777777" w:rsidR="00A23178" w:rsidRPr="007A759F" w:rsidRDefault="00A23178" w:rsidP="00A23178">
            <w:pPr>
              <w:rPr>
                <w:rFonts w:cstheme="minorHAnsi"/>
              </w:rPr>
            </w:pPr>
            <w:r w:rsidRPr="007A759F">
              <w:rPr>
                <w:rFonts w:cstheme="minorHAnsi"/>
              </w:rPr>
              <w:t>Enabling/Pathways Support</w:t>
            </w:r>
          </w:p>
        </w:tc>
        <w:tc>
          <w:tcPr>
            <w:tcW w:w="3770" w:type="dxa"/>
            <w:tcBorders>
              <w:top w:val="single" w:sz="4" w:space="0" w:color="auto"/>
              <w:left w:val="single" w:sz="4" w:space="0" w:color="auto"/>
              <w:bottom w:val="single" w:sz="4" w:space="0" w:color="auto"/>
              <w:right w:val="single" w:sz="4" w:space="0" w:color="auto"/>
            </w:tcBorders>
          </w:tcPr>
          <w:p w14:paraId="1481A629" w14:textId="77777777" w:rsidR="00A23178" w:rsidRPr="007A759F" w:rsidRDefault="00A23178" w:rsidP="00A23178">
            <w:pPr>
              <w:rPr>
                <w:rFonts w:eastAsia="Calibri" w:cstheme="minorHAnsi"/>
              </w:rPr>
            </w:pPr>
            <w:r w:rsidRPr="007A759F">
              <w:rPr>
                <w:rFonts w:eastAsia="Calibri" w:cstheme="minorHAnsi"/>
              </w:rPr>
              <w:t xml:space="preserve">A range of embedded initiatives that provides timely and tailored support to </w:t>
            </w:r>
            <w:r w:rsidRPr="007A759F">
              <w:rPr>
                <w:rFonts w:eastAsia="Calibri" w:cstheme="minorHAnsi"/>
              </w:rPr>
              <w:lastRenderedPageBreak/>
              <w:t xml:space="preserve">build the foundational tools needed to succeed in higher education. </w:t>
            </w:r>
          </w:p>
        </w:tc>
        <w:tc>
          <w:tcPr>
            <w:tcW w:w="223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D02997" w14:textId="77777777" w:rsidR="00A23178" w:rsidRPr="007A759F" w:rsidRDefault="00A23178" w:rsidP="00A23178">
            <w:pPr>
              <w:rPr>
                <w:rFonts w:cstheme="minorHAnsi"/>
              </w:rPr>
            </w:pPr>
          </w:p>
        </w:tc>
        <w:tc>
          <w:tcPr>
            <w:tcW w:w="22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D8769F" w14:textId="77777777" w:rsidR="00A23178" w:rsidRPr="007A759F" w:rsidRDefault="00A23178" w:rsidP="00A23178">
            <w:pPr>
              <w:rPr>
                <w:rFonts w:cstheme="minorHAnsi"/>
              </w:rPr>
            </w:pPr>
          </w:p>
        </w:tc>
        <w:tc>
          <w:tcPr>
            <w:tcW w:w="22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4B99C3" w14:textId="77777777" w:rsidR="00A23178" w:rsidRPr="007A759F" w:rsidRDefault="00A23178" w:rsidP="00A23178">
            <w:pPr>
              <w:rPr>
                <w:rFonts w:cstheme="minorHAnsi"/>
              </w:rPr>
            </w:pPr>
          </w:p>
        </w:tc>
        <w:tc>
          <w:tcPr>
            <w:tcW w:w="2219" w:type="dxa"/>
            <w:tcBorders>
              <w:top w:val="single" w:sz="4" w:space="0" w:color="auto"/>
              <w:left w:val="single" w:sz="4" w:space="0" w:color="auto"/>
              <w:bottom w:val="single" w:sz="4" w:space="0" w:color="auto"/>
            </w:tcBorders>
          </w:tcPr>
          <w:p w14:paraId="1656AC2D" w14:textId="77777777" w:rsidR="00A23178" w:rsidRPr="007A759F" w:rsidRDefault="00A23178" w:rsidP="00A23178">
            <w:pPr>
              <w:rPr>
                <w:rFonts w:cstheme="minorHAnsi"/>
              </w:rPr>
            </w:pPr>
          </w:p>
        </w:tc>
      </w:tr>
      <w:tr w:rsidR="00A23178" w14:paraId="2B48E4BA" w14:textId="77777777" w:rsidTr="00A23178">
        <w:trPr>
          <w:trHeight w:val="865"/>
        </w:trPr>
        <w:tc>
          <w:tcPr>
            <w:tcW w:w="1922" w:type="dxa"/>
            <w:tcBorders>
              <w:top w:val="single" w:sz="4" w:space="0" w:color="auto"/>
              <w:bottom w:val="single" w:sz="4" w:space="0" w:color="auto"/>
              <w:right w:val="single" w:sz="4" w:space="0" w:color="auto"/>
            </w:tcBorders>
          </w:tcPr>
          <w:p w14:paraId="32FC7BEF" w14:textId="77777777" w:rsidR="00A23178" w:rsidRPr="007A759F" w:rsidRDefault="00A23178" w:rsidP="00A23178">
            <w:pPr>
              <w:rPr>
                <w:rFonts w:cstheme="minorHAnsi"/>
              </w:rPr>
            </w:pPr>
            <w:r w:rsidRPr="007A759F">
              <w:rPr>
                <w:rFonts w:cstheme="minorHAnsi"/>
              </w:rPr>
              <w:t>Transition and Progression</w:t>
            </w:r>
          </w:p>
        </w:tc>
        <w:tc>
          <w:tcPr>
            <w:tcW w:w="3770" w:type="dxa"/>
            <w:tcBorders>
              <w:top w:val="single" w:sz="4" w:space="0" w:color="auto"/>
              <w:left w:val="single" w:sz="4" w:space="0" w:color="auto"/>
              <w:bottom w:val="single" w:sz="4" w:space="0" w:color="auto"/>
              <w:right w:val="single" w:sz="4" w:space="0" w:color="auto"/>
            </w:tcBorders>
          </w:tcPr>
          <w:p w14:paraId="1B2B3E2B" w14:textId="484230D8" w:rsidR="00A23178" w:rsidRPr="007A759F" w:rsidRDefault="00A23178" w:rsidP="00A23178">
            <w:pPr>
              <w:rPr>
                <w:rFonts w:cstheme="minorHAnsi"/>
              </w:rPr>
            </w:pPr>
            <w:r w:rsidRPr="007A759F">
              <w:rPr>
                <w:rFonts w:cstheme="minorHAnsi"/>
              </w:rPr>
              <w:t>A range of activities that are designed to increase the retention, success and career readiness of domestic undergraduate students by embedding a range of evidence-based support strategies throughout the curriculum. Including; early intervention programs designed to identify students who</w:t>
            </w:r>
            <w:r>
              <w:rPr>
                <w:rFonts w:cstheme="minorHAnsi"/>
              </w:rPr>
              <w:t xml:space="preserve"> commence studies with a range of learning impacts,</w:t>
            </w:r>
            <w:r w:rsidRPr="007A759F">
              <w:rPr>
                <w:rFonts w:cstheme="minorHAnsi"/>
              </w:rPr>
              <w:t xml:space="preserve"> are disengaging before they fail courses or drop out of university studies, and ensuring courses and programs are designed and assessed in ways that actively engage a diverse community of students with their learning</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64FCAFE4" w14:textId="77777777" w:rsidR="00A23178" w:rsidRPr="007A759F" w:rsidRDefault="00A23178" w:rsidP="00A23178">
            <w:pPr>
              <w:rPr>
                <w:rFonts w:cstheme="minorHAnsi"/>
              </w:rPr>
            </w:pPr>
          </w:p>
        </w:tc>
        <w:tc>
          <w:tcPr>
            <w:tcW w:w="2235" w:type="dxa"/>
            <w:tcBorders>
              <w:top w:val="single" w:sz="4" w:space="0" w:color="auto"/>
              <w:left w:val="single" w:sz="4" w:space="0" w:color="auto"/>
              <w:bottom w:val="single" w:sz="4" w:space="0" w:color="auto"/>
              <w:right w:val="single" w:sz="4" w:space="0" w:color="auto"/>
            </w:tcBorders>
            <w:shd w:val="clear" w:color="auto" w:fill="auto"/>
          </w:tcPr>
          <w:p w14:paraId="4CF4A77A" w14:textId="77777777" w:rsidR="00A23178" w:rsidRPr="007A759F" w:rsidRDefault="00A23178" w:rsidP="00A23178">
            <w:pPr>
              <w:rPr>
                <w:rFonts w:cstheme="minorHAnsi"/>
              </w:rPr>
            </w:pPr>
          </w:p>
        </w:tc>
        <w:tc>
          <w:tcPr>
            <w:tcW w:w="22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C9D181" w14:textId="77777777" w:rsidR="00A23178" w:rsidRPr="007A759F" w:rsidRDefault="00A23178" w:rsidP="00A23178">
            <w:pPr>
              <w:rPr>
                <w:rFonts w:cstheme="minorHAnsi"/>
              </w:rPr>
            </w:pPr>
          </w:p>
        </w:tc>
        <w:tc>
          <w:tcPr>
            <w:tcW w:w="2219" w:type="dxa"/>
            <w:tcBorders>
              <w:top w:val="single" w:sz="4" w:space="0" w:color="auto"/>
              <w:left w:val="single" w:sz="4" w:space="0" w:color="auto"/>
              <w:bottom w:val="single" w:sz="4" w:space="0" w:color="auto"/>
            </w:tcBorders>
          </w:tcPr>
          <w:p w14:paraId="39772811" w14:textId="77777777" w:rsidR="00A23178" w:rsidRPr="007A759F" w:rsidRDefault="00A23178" w:rsidP="00A23178">
            <w:pPr>
              <w:rPr>
                <w:rFonts w:cstheme="minorHAnsi"/>
              </w:rPr>
            </w:pPr>
          </w:p>
        </w:tc>
      </w:tr>
      <w:tr w:rsidR="00A23178" w14:paraId="6762B90C" w14:textId="77777777" w:rsidTr="00A23178">
        <w:trPr>
          <w:trHeight w:val="865"/>
        </w:trPr>
        <w:tc>
          <w:tcPr>
            <w:tcW w:w="1922" w:type="dxa"/>
            <w:tcBorders>
              <w:top w:val="single" w:sz="4" w:space="0" w:color="auto"/>
              <w:bottom w:val="single" w:sz="4" w:space="0" w:color="auto"/>
              <w:right w:val="single" w:sz="4" w:space="0" w:color="auto"/>
            </w:tcBorders>
          </w:tcPr>
          <w:p w14:paraId="267B712A" w14:textId="77777777" w:rsidR="00A23178" w:rsidRPr="007A759F" w:rsidRDefault="00A23178" w:rsidP="00A23178">
            <w:pPr>
              <w:rPr>
                <w:rFonts w:cstheme="minorHAnsi"/>
              </w:rPr>
            </w:pPr>
            <w:r w:rsidRPr="007A759F">
              <w:rPr>
                <w:rFonts w:cstheme="minorHAnsi"/>
              </w:rPr>
              <w:t>Equity Scholarships</w:t>
            </w:r>
          </w:p>
          <w:p w14:paraId="21C85CC6" w14:textId="77777777" w:rsidR="00A23178" w:rsidRDefault="00A23178" w:rsidP="00A23178">
            <w:pPr>
              <w:rPr>
                <w:rFonts w:cstheme="minorHAnsi"/>
              </w:rPr>
            </w:pPr>
            <w:r w:rsidRPr="007A759F">
              <w:rPr>
                <w:rFonts w:cstheme="minorHAnsi"/>
              </w:rPr>
              <w:t>(ESSUN)</w:t>
            </w:r>
          </w:p>
          <w:p w14:paraId="68B11792" w14:textId="0D8E9B9B" w:rsidR="007B445F" w:rsidRPr="007A759F" w:rsidRDefault="007B445F" w:rsidP="006F4E25">
            <w:pPr>
              <w:rPr>
                <w:rFonts w:cstheme="minorHAnsi"/>
              </w:rPr>
            </w:pPr>
          </w:p>
        </w:tc>
        <w:tc>
          <w:tcPr>
            <w:tcW w:w="3770" w:type="dxa"/>
            <w:tcBorders>
              <w:top w:val="single" w:sz="4" w:space="0" w:color="auto"/>
              <w:left w:val="single" w:sz="4" w:space="0" w:color="auto"/>
              <w:bottom w:val="single" w:sz="4" w:space="0" w:color="auto"/>
              <w:right w:val="single" w:sz="4" w:space="0" w:color="auto"/>
            </w:tcBorders>
          </w:tcPr>
          <w:p w14:paraId="6CE22888" w14:textId="770EF95A" w:rsidR="00A23178" w:rsidRPr="007A759F" w:rsidRDefault="00A23178" w:rsidP="00A23178">
            <w:pPr>
              <w:rPr>
                <w:rFonts w:eastAsia="Calibri" w:cstheme="minorHAnsi"/>
              </w:rPr>
            </w:pPr>
            <w:r w:rsidRPr="007A759F">
              <w:rPr>
                <w:rFonts w:eastAsia="Calibri" w:cstheme="minorHAnsi"/>
              </w:rPr>
              <w:t xml:space="preserve">ESSUN is focused on encouraging participation in higher education through the provision of equity scholarship opportunities. Hardship grants are awarded to students to meet urgent needs which if unable to meet, would place continued study in jeopardy. </w:t>
            </w:r>
            <w:r w:rsidR="006F4E25">
              <w:rPr>
                <w:rFonts w:eastAsia="Calibri" w:cstheme="minorHAnsi"/>
              </w:rPr>
              <w:t>This program provides support to low SES students who have been impacted by bushfires in 2020.</w:t>
            </w:r>
          </w:p>
          <w:p w14:paraId="3B39EA35" w14:textId="77777777" w:rsidR="00A23178" w:rsidRPr="007A759F" w:rsidRDefault="00A23178" w:rsidP="00A23178">
            <w:pPr>
              <w:rPr>
                <w:rFonts w:cstheme="minorHAnsi"/>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37DAD663" w14:textId="77777777" w:rsidR="00A23178" w:rsidRPr="007A759F" w:rsidRDefault="00A23178" w:rsidP="00A23178">
            <w:pPr>
              <w:rPr>
                <w:rFonts w:cstheme="minorHAnsi"/>
              </w:rPr>
            </w:pPr>
          </w:p>
        </w:tc>
        <w:tc>
          <w:tcPr>
            <w:tcW w:w="2235" w:type="dxa"/>
            <w:tcBorders>
              <w:top w:val="single" w:sz="4" w:space="0" w:color="auto"/>
              <w:left w:val="single" w:sz="4" w:space="0" w:color="auto"/>
              <w:bottom w:val="single" w:sz="4" w:space="0" w:color="auto"/>
              <w:right w:val="single" w:sz="4" w:space="0" w:color="auto"/>
            </w:tcBorders>
            <w:shd w:val="clear" w:color="auto" w:fill="auto"/>
          </w:tcPr>
          <w:p w14:paraId="615F535A" w14:textId="77777777" w:rsidR="00A23178" w:rsidRPr="007A759F" w:rsidRDefault="00A23178" w:rsidP="00A23178">
            <w:pPr>
              <w:rPr>
                <w:rFonts w:cstheme="minorHAnsi"/>
              </w:rPr>
            </w:pPr>
          </w:p>
        </w:tc>
        <w:tc>
          <w:tcPr>
            <w:tcW w:w="22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0D9729" w14:textId="77777777" w:rsidR="00A23178" w:rsidRPr="007A759F" w:rsidRDefault="00A23178" w:rsidP="00A23178">
            <w:pPr>
              <w:rPr>
                <w:rFonts w:cstheme="minorHAnsi"/>
              </w:rPr>
            </w:pPr>
          </w:p>
        </w:tc>
        <w:tc>
          <w:tcPr>
            <w:tcW w:w="2219" w:type="dxa"/>
            <w:tcBorders>
              <w:top w:val="single" w:sz="4" w:space="0" w:color="auto"/>
              <w:left w:val="single" w:sz="4" w:space="0" w:color="auto"/>
              <w:bottom w:val="single" w:sz="4" w:space="0" w:color="auto"/>
            </w:tcBorders>
          </w:tcPr>
          <w:p w14:paraId="216CD637" w14:textId="77777777" w:rsidR="00A23178" w:rsidRPr="007A759F" w:rsidRDefault="00A23178" w:rsidP="00A23178">
            <w:pPr>
              <w:rPr>
                <w:rFonts w:cstheme="minorHAnsi"/>
              </w:rPr>
            </w:pPr>
          </w:p>
        </w:tc>
      </w:tr>
      <w:tr w:rsidR="00A23178" w14:paraId="5ACDD19C" w14:textId="77777777" w:rsidTr="00A23178">
        <w:trPr>
          <w:trHeight w:val="558"/>
        </w:trPr>
        <w:tc>
          <w:tcPr>
            <w:tcW w:w="1922" w:type="dxa"/>
            <w:tcBorders>
              <w:top w:val="single" w:sz="4" w:space="0" w:color="auto"/>
              <w:bottom w:val="single" w:sz="4" w:space="0" w:color="auto"/>
              <w:right w:val="single" w:sz="4" w:space="0" w:color="auto"/>
            </w:tcBorders>
          </w:tcPr>
          <w:p w14:paraId="5161DC9F" w14:textId="77777777" w:rsidR="00A23178" w:rsidRPr="007A759F" w:rsidRDefault="00A23178" w:rsidP="00A23178">
            <w:pPr>
              <w:rPr>
                <w:rFonts w:cstheme="minorHAnsi"/>
              </w:rPr>
            </w:pPr>
            <w:r w:rsidRPr="007A759F">
              <w:rPr>
                <w:rFonts w:cstheme="minorHAnsi"/>
              </w:rPr>
              <w:t xml:space="preserve">Writing Program for Equity &amp; Widening </w:t>
            </w:r>
            <w:r w:rsidRPr="007A759F">
              <w:rPr>
                <w:rFonts w:cstheme="minorHAnsi"/>
              </w:rPr>
              <w:lastRenderedPageBreak/>
              <w:t>Participation Practitioners</w:t>
            </w:r>
          </w:p>
        </w:tc>
        <w:tc>
          <w:tcPr>
            <w:tcW w:w="3770" w:type="dxa"/>
            <w:tcBorders>
              <w:top w:val="single" w:sz="4" w:space="0" w:color="auto"/>
              <w:left w:val="single" w:sz="4" w:space="0" w:color="auto"/>
              <w:bottom w:val="single" w:sz="4" w:space="0" w:color="auto"/>
              <w:right w:val="single" w:sz="4" w:space="0" w:color="auto"/>
            </w:tcBorders>
          </w:tcPr>
          <w:p w14:paraId="3259A2BE" w14:textId="77777777" w:rsidR="00A23178" w:rsidRPr="007A759F" w:rsidRDefault="00A23178" w:rsidP="00A23178">
            <w:pPr>
              <w:rPr>
                <w:rFonts w:cstheme="minorHAnsi"/>
                <w:color w:val="000000"/>
              </w:rPr>
            </w:pPr>
            <w:r w:rsidRPr="007A759F">
              <w:rPr>
                <w:rFonts w:cstheme="minorHAnsi"/>
                <w:color w:val="000000"/>
              </w:rPr>
              <w:lastRenderedPageBreak/>
              <w:t xml:space="preserve">In recognition of the need for higher education institutions to reveal the significant impact of equity and </w:t>
            </w:r>
            <w:r w:rsidRPr="007A759F">
              <w:rPr>
                <w:rFonts w:cstheme="minorHAnsi"/>
                <w:color w:val="000000"/>
              </w:rPr>
              <w:lastRenderedPageBreak/>
              <w:t>widening participation initiatives, including strategies to support access, transition and retention of students from historically under-represented background, the aim of the Writing Program is to:</w:t>
            </w:r>
          </w:p>
          <w:p w14:paraId="33C52AD7" w14:textId="77777777" w:rsidR="00A23178" w:rsidRPr="007A759F" w:rsidRDefault="00A23178" w:rsidP="00A23178">
            <w:pPr>
              <w:numPr>
                <w:ilvl w:val="0"/>
                <w:numId w:val="8"/>
              </w:numPr>
              <w:rPr>
                <w:rFonts w:cstheme="minorHAnsi"/>
                <w:color w:val="000000"/>
              </w:rPr>
            </w:pPr>
            <w:r w:rsidRPr="007A759F">
              <w:rPr>
                <w:rFonts w:cstheme="minorHAnsi"/>
                <w:color w:val="000000"/>
              </w:rPr>
              <w:t>enhance the relationship between widening participation practitioners and equity researchers</w:t>
            </w:r>
          </w:p>
          <w:p w14:paraId="2E094F73" w14:textId="77777777" w:rsidR="00A23178" w:rsidRPr="007A759F" w:rsidRDefault="00A23178" w:rsidP="00A23178">
            <w:pPr>
              <w:numPr>
                <w:ilvl w:val="0"/>
                <w:numId w:val="8"/>
              </w:numPr>
              <w:rPr>
                <w:rFonts w:cstheme="minorHAnsi"/>
                <w:color w:val="000000"/>
              </w:rPr>
            </w:pPr>
            <w:r w:rsidRPr="007A759F">
              <w:rPr>
                <w:rFonts w:cstheme="minorHAnsi"/>
                <w:color w:val="000000"/>
              </w:rPr>
              <w:t>raise the profile of robust research and evaluation of widening participation activity nationally and internationally</w:t>
            </w:r>
          </w:p>
          <w:p w14:paraId="3639C459" w14:textId="77777777" w:rsidR="00A23178" w:rsidRPr="007A759F" w:rsidRDefault="00A23178" w:rsidP="00A23178">
            <w:pPr>
              <w:numPr>
                <w:ilvl w:val="0"/>
                <w:numId w:val="8"/>
              </w:numPr>
              <w:rPr>
                <w:rFonts w:cstheme="minorHAnsi"/>
                <w:color w:val="000000"/>
              </w:rPr>
            </w:pPr>
            <w:proofErr w:type="gramStart"/>
            <w:r w:rsidRPr="007A759F">
              <w:rPr>
                <w:rFonts w:cstheme="minorHAnsi"/>
                <w:color w:val="000000"/>
              </w:rPr>
              <w:t>support</w:t>
            </w:r>
            <w:proofErr w:type="gramEnd"/>
            <w:r w:rsidRPr="007A759F">
              <w:rPr>
                <w:rFonts w:cstheme="minorHAnsi"/>
                <w:color w:val="000000"/>
              </w:rPr>
              <w:t xml:space="preserve"> widening participation practitioners to present research and evaluation of their practice in refereed academic journals, enabling practitioners and academics to share their work with broader audiences.</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612E4E71" w14:textId="77777777" w:rsidR="00A23178" w:rsidRPr="007A759F" w:rsidRDefault="00A23178" w:rsidP="00A23178">
            <w:pPr>
              <w:rPr>
                <w:rFonts w:cstheme="minorHAnsi"/>
              </w:rPr>
            </w:pP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8842329" w14:textId="77777777" w:rsidR="00A23178" w:rsidRPr="007A759F" w:rsidRDefault="00A23178" w:rsidP="00A23178">
            <w:pPr>
              <w:rPr>
                <w:rFonts w:cstheme="minorHAnsi"/>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045BB22" w14:textId="77777777" w:rsidR="00A23178" w:rsidRPr="007A759F" w:rsidRDefault="00A23178" w:rsidP="00A23178">
            <w:pPr>
              <w:rPr>
                <w:rFonts w:cstheme="minorHAnsi"/>
              </w:rPr>
            </w:pPr>
          </w:p>
        </w:tc>
        <w:tc>
          <w:tcPr>
            <w:tcW w:w="2219" w:type="dxa"/>
            <w:tcBorders>
              <w:top w:val="single" w:sz="4" w:space="0" w:color="auto"/>
              <w:left w:val="single" w:sz="4" w:space="0" w:color="auto"/>
              <w:bottom w:val="single" w:sz="4" w:space="0" w:color="auto"/>
            </w:tcBorders>
            <w:shd w:val="clear" w:color="auto" w:fill="BDD6EE" w:themeFill="accent5" w:themeFillTint="66"/>
          </w:tcPr>
          <w:p w14:paraId="5E28B5A8" w14:textId="77777777" w:rsidR="00A23178" w:rsidRPr="007A759F" w:rsidRDefault="00A23178" w:rsidP="00A23178">
            <w:pPr>
              <w:rPr>
                <w:rFonts w:cstheme="minorHAnsi"/>
              </w:rPr>
            </w:pPr>
          </w:p>
        </w:tc>
      </w:tr>
      <w:tr w:rsidR="00A23178" w14:paraId="6D3E2519" w14:textId="77777777" w:rsidTr="00A23178">
        <w:trPr>
          <w:trHeight w:val="865"/>
        </w:trPr>
        <w:tc>
          <w:tcPr>
            <w:tcW w:w="1922" w:type="dxa"/>
            <w:tcBorders>
              <w:top w:val="single" w:sz="4" w:space="0" w:color="auto"/>
              <w:bottom w:val="single" w:sz="4" w:space="0" w:color="auto"/>
              <w:right w:val="single" w:sz="4" w:space="0" w:color="auto"/>
            </w:tcBorders>
          </w:tcPr>
          <w:p w14:paraId="24EF36E0" w14:textId="77777777" w:rsidR="00A23178" w:rsidRPr="007A759F" w:rsidRDefault="00A23178" w:rsidP="00A23178">
            <w:pPr>
              <w:rPr>
                <w:rFonts w:cstheme="minorHAnsi"/>
              </w:rPr>
            </w:pPr>
            <w:r w:rsidRPr="007A759F">
              <w:rPr>
                <w:rFonts w:cstheme="minorHAnsi"/>
              </w:rPr>
              <w:t>Widening Participation; Equity Praxis Framework and Global Network</w:t>
            </w:r>
          </w:p>
        </w:tc>
        <w:tc>
          <w:tcPr>
            <w:tcW w:w="3770" w:type="dxa"/>
            <w:tcBorders>
              <w:top w:val="single" w:sz="4" w:space="0" w:color="auto"/>
              <w:left w:val="single" w:sz="4" w:space="0" w:color="auto"/>
              <w:bottom w:val="single" w:sz="4" w:space="0" w:color="auto"/>
              <w:right w:val="single" w:sz="4" w:space="0" w:color="auto"/>
            </w:tcBorders>
          </w:tcPr>
          <w:p w14:paraId="0818E3C1" w14:textId="77777777" w:rsidR="00A23178" w:rsidRPr="007A759F" w:rsidRDefault="00A23178" w:rsidP="00A23178">
            <w:pPr>
              <w:rPr>
                <w:rFonts w:cstheme="minorHAnsi"/>
                <w:color w:val="000000"/>
              </w:rPr>
            </w:pPr>
            <w:r w:rsidRPr="007A759F">
              <w:rPr>
                <w:rFonts w:cstheme="minorHAnsi"/>
                <w:color w:val="000000"/>
              </w:rPr>
              <w:t>Building on the CEEHE praxis-based approach, UON is developing innovation in the range of equity and participation initiatives. These include:</w:t>
            </w:r>
          </w:p>
          <w:p w14:paraId="3DE61551" w14:textId="77777777" w:rsidR="00A23178" w:rsidRPr="007A759F" w:rsidRDefault="00A23178" w:rsidP="00A23178">
            <w:pPr>
              <w:pStyle w:val="ListParagraph"/>
              <w:numPr>
                <w:ilvl w:val="0"/>
                <w:numId w:val="10"/>
              </w:numPr>
              <w:ind w:left="409"/>
              <w:rPr>
                <w:rFonts w:cstheme="minorHAnsi"/>
                <w:color w:val="000000"/>
              </w:rPr>
            </w:pPr>
            <w:r w:rsidRPr="007A759F">
              <w:rPr>
                <w:rFonts w:cstheme="minorHAnsi"/>
                <w:color w:val="000000"/>
              </w:rPr>
              <w:t>Marginalized Communities &amp; Innovative Praxis to ensure community-oriented, co-designed, evaluative and social justice approaches are embedded into the ongoing development of our widening participation programs;</w:t>
            </w:r>
          </w:p>
          <w:p w14:paraId="3ECC92BA" w14:textId="77777777" w:rsidR="00A23178" w:rsidRPr="007A759F" w:rsidRDefault="00A23178" w:rsidP="00A23178">
            <w:pPr>
              <w:pStyle w:val="ListParagraph"/>
              <w:numPr>
                <w:ilvl w:val="0"/>
                <w:numId w:val="10"/>
              </w:numPr>
              <w:ind w:left="409"/>
              <w:rPr>
                <w:rFonts w:cstheme="minorHAnsi"/>
                <w:color w:val="000000"/>
              </w:rPr>
            </w:pPr>
            <w:r w:rsidRPr="007A759F">
              <w:rPr>
                <w:rFonts w:cstheme="minorHAnsi"/>
                <w:color w:val="000000"/>
              </w:rPr>
              <w:lastRenderedPageBreak/>
              <w:t>The UON Equity Praxis Framework drawn from to support and extend the equity and social justice expertise across research  and practice, providing academic and peer mentorship and support in communities of praxis through sustained exchange.</w:t>
            </w:r>
          </w:p>
          <w:p w14:paraId="4925BC4A" w14:textId="77777777" w:rsidR="00A23178" w:rsidRPr="007A759F" w:rsidRDefault="00A23178" w:rsidP="00A23178">
            <w:pPr>
              <w:pStyle w:val="ListParagraph"/>
              <w:numPr>
                <w:ilvl w:val="0"/>
                <w:numId w:val="10"/>
              </w:numPr>
              <w:ind w:left="409"/>
              <w:rPr>
                <w:rFonts w:cstheme="minorHAnsi"/>
                <w:color w:val="000000"/>
              </w:rPr>
            </w:pPr>
            <w:r w:rsidRPr="007A759F">
              <w:rPr>
                <w:rFonts w:cstheme="minorHAnsi"/>
                <w:color w:val="000000"/>
              </w:rPr>
              <w:t xml:space="preserve">Global Equity Praxis Network to bring together international scholars and experts across disciplines, methodologies and contexts through strategies and resources for co-exchange. </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47B5511A" w14:textId="77777777" w:rsidR="00A23178" w:rsidRPr="007A759F" w:rsidRDefault="00A23178" w:rsidP="00A23178">
            <w:pPr>
              <w:rPr>
                <w:rFonts w:cstheme="minorHAnsi"/>
              </w:rPr>
            </w:pP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11F533B5" w14:textId="77777777" w:rsidR="00A23178" w:rsidRPr="007A759F" w:rsidRDefault="00A23178" w:rsidP="00A23178">
            <w:pPr>
              <w:rPr>
                <w:rFonts w:cstheme="minorHAnsi"/>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06CD5164" w14:textId="77777777" w:rsidR="00A23178" w:rsidRPr="007A759F" w:rsidRDefault="00A23178" w:rsidP="00A23178">
            <w:pPr>
              <w:rPr>
                <w:rFonts w:cstheme="minorHAnsi"/>
              </w:rPr>
            </w:pPr>
          </w:p>
        </w:tc>
        <w:tc>
          <w:tcPr>
            <w:tcW w:w="2219" w:type="dxa"/>
            <w:tcBorders>
              <w:top w:val="single" w:sz="4" w:space="0" w:color="auto"/>
              <w:left w:val="single" w:sz="4" w:space="0" w:color="auto"/>
              <w:bottom w:val="single" w:sz="4" w:space="0" w:color="auto"/>
            </w:tcBorders>
            <w:shd w:val="clear" w:color="auto" w:fill="BDD6EE" w:themeFill="accent5" w:themeFillTint="66"/>
          </w:tcPr>
          <w:p w14:paraId="0DB82A5F" w14:textId="77777777" w:rsidR="00A23178" w:rsidRPr="007A759F" w:rsidRDefault="00A23178" w:rsidP="00A23178">
            <w:pPr>
              <w:rPr>
                <w:rFonts w:cstheme="minorHAnsi"/>
              </w:rPr>
            </w:pPr>
          </w:p>
        </w:tc>
      </w:tr>
    </w:tbl>
    <w:p w14:paraId="04221ED4" w14:textId="5E0EFF7D" w:rsidR="00554B47" w:rsidRDefault="00554B47"/>
    <w:p w14:paraId="458903A3" w14:textId="197A38A3" w:rsidR="00245DEC" w:rsidRPr="00554B47" w:rsidRDefault="00245DEC" w:rsidP="00554B47"/>
    <w:sectPr w:rsidR="00245DEC" w:rsidRPr="00554B47" w:rsidSect="00245DEC">
      <w:pgSz w:w="16840" w:h="11900"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3EDA" w16cex:dateUtc="2020-04-08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8626E7" w16cid:durableId="22383E5C"/>
  <w16cid:commentId w16cid:paraId="00C8A181" w16cid:durableId="22383E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BED49" w14:textId="77777777" w:rsidR="003F3A54" w:rsidRDefault="003F3A54" w:rsidP="006D48A9">
      <w:r>
        <w:separator/>
      </w:r>
    </w:p>
  </w:endnote>
  <w:endnote w:type="continuationSeparator" w:id="0">
    <w:p w14:paraId="76D1FA4B" w14:textId="77777777" w:rsidR="003F3A54" w:rsidRDefault="003F3A54" w:rsidP="006D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458085"/>
      <w:docPartObj>
        <w:docPartGallery w:val="Page Numbers (Bottom of Page)"/>
        <w:docPartUnique/>
      </w:docPartObj>
    </w:sdtPr>
    <w:sdtEndPr>
      <w:rPr>
        <w:noProof/>
        <w:sz w:val="22"/>
        <w:szCs w:val="22"/>
      </w:rPr>
    </w:sdtEndPr>
    <w:sdtContent>
      <w:p w14:paraId="162FA974" w14:textId="3E29C8BD" w:rsidR="00CC41BD" w:rsidRPr="00CC41BD" w:rsidRDefault="00CC41BD">
        <w:pPr>
          <w:pStyle w:val="Footer"/>
          <w:jc w:val="right"/>
          <w:rPr>
            <w:sz w:val="22"/>
            <w:szCs w:val="22"/>
          </w:rPr>
        </w:pPr>
        <w:r w:rsidRPr="00CC41BD">
          <w:rPr>
            <w:sz w:val="22"/>
            <w:szCs w:val="22"/>
          </w:rPr>
          <w:fldChar w:fldCharType="begin"/>
        </w:r>
        <w:r w:rsidRPr="00CC41BD">
          <w:rPr>
            <w:sz w:val="22"/>
            <w:szCs w:val="22"/>
          </w:rPr>
          <w:instrText xml:space="preserve"> PAGE   \* MERGEFORMAT </w:instrText>
        </w:r>
        <w:r w:rsidRPr="00CC41BD">
          <w:rPr>
            <w:sz w:val="22"/>
            <w:szCs w:val="22"/>
          </w:rPr>
          <w:fldChar w:fldCharType="separate"/>
        </w:r>
        <w:r w:rsidR="00B0407A">
          <w:rPr>
            <w:noProof/>
            <w:sz w:val="22"/>
            <w:szCs w:val="22"/>
          </w:rPr>
          <w:t>5</w:t>
        </w:r>
        <w:r w:rsidRPr="00CC41BD">
          <w:rPr>
            <w:noProof/>
            <w:sz w:val="22"/>
            <w:szCs w:val="22"/>
          </w:rPr>
          <w:fldChar w:fldCharType="end"/>
        </w:r>
      </w:p>
    </w:sdtContent>
  </w:sdt>
  <w:p w14:paraId="3D84863B" w14:textId="77777777" w:rsidR="006D48A9" w:rsidRPr="007A759F" w:rsidRDefault="006D48A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FB4BA" w14:textId="77777777" w:rsidR="003F3A54" w:rsidRDefault="003F3A54" w:rsidP="006D48A9">
      <w:r>
        <w:separator/>
      </w:r>
    </w:p>
  </w:footnote>
  <w:footnote w:type="continuationSeparator" w:id="0">
    <w:p w14:paraId="273BB133" w14:textId="77777777" w:rsidR="003F3A54" w:rsidRDefault="003F3A54" w:rsidP="006D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131C7" w14:textId="3FB21C79" w:rsidR="00CC41BD" w:rsidRDefault="00CC4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61B8" w14:textId="2EFB25B3" w:rsidR="00CC41BD" w:rsidRDefault="00CC4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395FB" w14:textId="7355DAA7" w:rsidR="00CC41BD" w:rsidRDefault="00CC4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06C4A"/>
    <w:multiLevelType w:val="multilevel"/>
    <w:tmpl w:val="56DE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2A34F2"/>
    <w:multiLevelType w:val="hybridMultilevel"/>
    <w:tmpl w:val="BB3EE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F800A4"/>
    <w:multiLevelType w:val="hybridMultilevel"/>
    <w:tmpl w:val="6C5ECC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856601"/>
    <w:multiLevelType w:val="hybridMultilevel"/>
    <w:tmpl w:val="7E26034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5D1C2F"/>
    <w:multiLevelType w:val="multilevel"/>
    <w:tmpl w:val="F9085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6113483"/>
    <w:multiLevelType w:val="hybridMultilevel"/>
    <w:tmpl w:val="2AE4E048"/>
    <w:lvl w:ilvl="0" w:tplc="B666E4CA">
      <w:start w:val="1"/>
      <w:numFmt w:val="decimal"/>
      <w:lvlText w:val="%1."/>
      <w:lvlJc w:val="left"/>
      <w:pPr>
        <w:ind w:left="720" w:hanging="360"/>
      </w:pPr>
      <w:rPr>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D1221D"/>
    <w:multiLevelType w:val="hybridMultilevel"/>
    <w:tmpl w:val="D4426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D80C14"/>
    <w:multiLevelType w:val="multilevel"/>
    <w:tmpl w:val="3DC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9C1344"/>
    <w:multiLevelType w:val="hybridMultilevel"/>
    <w:tmpl w:val="9D428F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AE0E25"/>
    <w:multiLevelType w:val="hybridMultilevel"/>
    <w:tmpl w:val="7F846CC8"/>
    <w:lvl w:ilvl="0" w:tplc="C4127EEA">
      <w:start w:val="1"/>
      <w:numFmt w:val="bullet"/>
      <w:lvlText w:val="o"/>
      <w:lvlJc w:val="left"/>
      <w:pPr>
        <w:ind w:left="1174" w:hanging="360"/>
      </w:pPr>
      <w:rPr>
        <w:rFonts w:ascii="Courier New" w:hAnsi="Courier New" w:cs="Courier New" w:hint="default"/>
        <w:color w:val="auto"/>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0" w15:restartNumberingAfterBreak="0">
    <w:nsid w:val="5F563C65"/>
    <w:multiLevelType w:val="hybridMultilevel"/>
    <w:tmpl w:val="A258B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DD48A5"/>
    <w:multiLevelType w:val="hybridMultilevel"/>
    <w:tmpl w:val="4A36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E50B9"/>
    <w:multiLevelType w:val="hybridMultilevel"/>
    <w:tmpl w:val="0D7C8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7"/>
  </w:num>
  <w:num w:numId="5">
    <w:abstractNumId w:val="11"/>
  </w:num>
  <w:num w:numId="6">
    <w:abstractNumId w:val="0"/>
  </w:num>
  <w:num w:numId="7">
    <w:abstractNumId w:val="10"/>
  </w:num>
  <w:num w:numId="8">
    <w:abstractNumId w:val="4"/>
  </w:num>
  <w:num w:numId="9">
    <w:abstractNumId w:val="3"/>
  </w:num>
  <w:num w:numId="10">
    <w:abstractNumId w:val="12"/>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56"/>
    <w:rsid w:val="000327AE"/>
    <w:rsid w:val="0004399C"/>
    <w:rsid w:val="000933E1"/>
    <w:rsid w:val="000B22BE"/>
    <w:rsid w:val="000B74B2"/>
    <w:rsid w:val="00136DE3"/>
    <w:rsid w:val="00177C26"/>
    <w:rsid w:val="001817AF"/>
    <w:rsid w:val="001829F6"/>
    <w:rsid w:val="001A0745"/>
    <w:rsid w:val="001A491C"/>
    <w:rsid w:val="001C406B"/>
    <w:rsid w:val="001D71E3"/>
    <w:rsid w:val="00200CAC"/>
    <w:rsid w:val="00201FC9"/>
    <w:rsid w:val="002103FB"/>
    <w:rsid w:val="00223688"/>
    <w:rsid w:val="0022769B"/>
    <w:rsid w:val="002317C0"/>
    <w:rsid w:val="00245DEC"/>
    <w:rsid w:val="002617FE"/>
    <w:rsid w:val="00265710"/>
    <w:rsid w:val="002B04DF"/>
    <w:rsid w:val="002C354D"/>
    <w:rsid w:val="002D1015"/>
    <w:rsid w:val="002D7BE9"/>
    <w:rsid w:val="002E66FF"/>
    <w:rsid w:val="0031424E"/>
    <w:rsid w:val="00337B1D"/>
    <w:rsid w:val="00356485"/>
    <w:rsid w:val="0036347F"/>
    <w:rsid w:val="00363F2B"/>
    <w:rsid w:val="00376DF4"/>
    <w:rsid w:val="0038018E"/>
    <w:rsid w:val="00384E08"/>
    <w:rsid w:val="0038736C"/>
    <w:rsid w:val="0039224F"/>
    <w:rsid w:val="003B2689"/>
    <w:rsid w:val="003F3A54"/>
    <w:rsid w:val="003F7692"/>
    <w:rsid w:val="004257D1"/>
    <w:rsid w:val="00426466"/>
    <w:rsid w:val="00432D15"/>
    <w:rsid w:val="004352D4"/>
    <w:rsid w:val="004446A7"/>
    <w:rsid w:val="00456D6B"/>
    <w:rsid w:val="00474C46"/>
    <w:rsid w:val="004B472D"/>
    <w:rsid w:val="004C3AC2"/>
    <w:rsid w:val="004C6D2F"/>
    <w:rsid w:val="00500B07"/>
    <w:rsid w:val="00515055"/>
    <w:rsid w:val="0052071B"/>
    <w:rsid w:val="005266F8"/>
    <w:rsid w:val="00527703"/>
    <w:rsid w:val="00545D41"/>
    <w:rsid w:val="00554B47"/>
    <w:rsid w:val="005565D5"/>
    <w:rsid w:val="00576820"/>
    <w:rsid w:val="00585529"/>
    <w:rsid w:val="00586FBA"/>
    <w:rsid w:val="005A3F73"/>
    <w:rsid w:val="005C329C"/>
    <w:rsid w:val="005E569F"/>
    <w:rsid w:val="005F63FD"/>
    <w:rsid w:val="00620C69"/>
    <w:rsid w:val="006235CE"/>
    <w:rsid w:val="00626BD8"/>
    <w:rsid w:val="00634BE0"/>
    <w:rsid w:val="00635DC2"/>
    <w:rsid w:val="0065037A"/>
    <w:rsid w:val="00650736"/>
    <w:rsid w:val="006567C6"/>
    <w:rsid w:val="00661DA6"/>
    <w:rsid w:val="006642E0"/>
    <w:rsid w:val="006A1E08"/>
    <w:rsid w:val="006D48A9"/>
    <w:rsid w:val="006E3682"/>
    <w:rsid w:val="006F4E25"/>
    <w:rsid w:val="00717465"/>
    <w:rsid w:val="00736D88"/>
    <w:rsid w:val="007617B4"/>
    <w:rsid w:val="00761D21"/>
    <w:rsid w:val="00782F35"/>
    <w:rsid w:val="007917BA"/>
    <w:rsid w:val="007A759F"/>
    <w:rsid w:val="007B3B94"/>
    <w:rsid w:val="007B445F"/>
    <w:rsid w:val="007C35FA"/>
    <w:rsid w:val="00803E3F"/>
    <w:rsid w:val="0080642E"/>
    <w:rsid w:val="00810F8B"/>
    <w:rsid w:val="0081195C"/>
    <w:rsid w:val="00815C86"/>
    <w:rsid w:val="00846643"/>
    <w:rsid w:val="00866EAA"/>
    <w:rsid w:val="008961D7"/>
    <w:rsid w:val="008C1A93"/>
    <w:rsid w:val="008C1F2A"/>
    <w:rsid w:val="008C7A0C"/>
    <w:rsid w:val="008E73FE"/>
    <w:rsid w:val="008F346E"/>
    <w:rsid w:val="00913282"/>
    <w:rsid w:val="00921E55"/>
    <w:rsid w:val="009275BD"/>
    <w:rsid w:val="00990757"/>
    <w:rsid w:val="0099307B"/>
    <w:rsid w:val="009D00C2"/>
    <w:rsid w:val="009D3883"/>
    <w:rsid w:val="009D475B"/>
    <w:rsid w:val="009E4471"/>
    <w:rsid w:val="009E676E"/>
    <w:rsid w:val="009F5C23"/>
    <w:rsid w:val="00A04781"/>
    <w:rsid w:val="00A1036B"/>
    <w:rsid w:val="00A13C33"/>
    <w:rsid w:val="00A23178"/>
    <w:rsid w:val="00A3045F"/>
    <w:rsid w:val="00A56DB5"/>
    <w:rsid w:val="00A6516A"/>
    <w:rsid w:val="00A663A9"/>
    <w:rsid w:val="00A955FF"/>
    <w:rsid w:val="00AA140C"/>
    <w:rsid w:val="00AB2530"/>
    <w:rsid w:val="00AB459E"/>
    <w:rsid w:val="00AB5025"/>
    <w:rsid w:val="00AB63FC"/>
    <w:rsid w:val="00AB6C53"/>
    <w:rsid w:val="00AD0DEC"/>
    <w:rsid w:val="00AD2904"/>
    <w:rsid w:val="00AF233D"/>
    <w:rsid w:val="00B0407A"/>
    <w:rsid w:val="00B21499"/>
    <w:rsid w:val="00B24A7E"/>
    <w:rsid w:val="00B74E7A"/>
    <w:rsid w:val="00BB6107"/>
    <w:rsid w:val="00BE15E0"/>
    <w:rsid w:val="00C0114D"/>
    <w:rsid w:val="00C04ACA"/>
    <w:rsid w:val="00C32593"/>
    <w:rsid w:val="00C43D65"/>
    <w:rsid w:val="00C602A4"/>
    <w:rsid w:val="00C73B4A"/>
    <w:rsid w:val="00C84958"/>
    <w:rsid w:val="00C851C2"/>
    <w:rsid w:val="00CB3F2E"/>
    <w:rsid w:val="00CC2D78"/>
    <w:rsid w:val="00CC41BD"/>
    <w:rsid w:val="00CE4FDA"/>
    <w:rsid w:val="00CE552B"/>
    <w:rsid w:val="00D05F9F"/>
    <w:rsid w:val="00D522B9"/>
    <w:rsid w:val="00D647FA"/>
    <w:rsid w:val="00D67C56"/>
    <w:rsid w:val="00DB7272"/>
    <w:rsid w:val="00DE175D"/>
    <w:rsid w:val="00DE19EF"/>
    <w:rsid w:val="00DE66A1"/>
    <w:rsid w:val="00DF13C7"/>
    <w:rsid w:val="00E068DA"/>
    <w:rsid w:val="00E13083"/>
    <w:rsid w:val="00E2037B"/>
    <w:rsid w:val="00E2287A"/>
    <w:rsid w:val="00E22897"/>
    <w:rsid w:val="00E35D87"/>
    <w:rsid w:val="00E50373"/>
    <w:rsid w:val="00E52089"/>
    <w:rsid w:val="00E5646F"/>
    <w:rsid w:val="00EB1728"/>
    <w:rsid w:val="00EB5CE6"/>
    <w:rsid w:val="00EC6EB5"/>
    <w:rsid w:val="00EE3C24"/>
    <w:rsid w:val="00F17192"/>
    <w:rsid w:val="00F2379F"/>
    <w:rsid w:val="00F342AB"/>
    <w:rsid w:val="00F6327D"/>
    <w:rsid w:val="00FC4C6E"/>
    <w:rsid w:val="00FD506A"/>
    <w:rsid w:val="00FD533A"/>
    <w:rsid w:val="00FE1F71"/>
    <w:rsid w:val="00FE7E6A"/>
    <w:rsid w:val="12A49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031F7370"/>
  <w15:chartTrackingRefBased/>
  <w15:docId w15:val="{3F21FA4A-FDAB-7E43-954C-EAEA3DDD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36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A1036B"/>
    <w:pPr>
      <w:spacing w:after="160" w:line="259" w:lineRule="auto"/>
      <w:ind w:left="720"/>
      <w:contextualSpacing/>
    </w:pPr>
    <w:rPr>
      <w:sz w:val="22"/>
      <w:szCs w:val="22"/>
    </w:r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rsid w:val="00A1036B"/>
    <w:rPr>
      <w:sz w:val="22"/>
      <w:szCs w:val="22"/>
    </w:rPr>
  </w:style>
  <w:style w:type="character" w:styleId="CommentReference">
    <w:name w:val="annotation reference"/>
    <w:basedOn w:val="DefaultParagraphFont"/>
    <w:uiPriority w:val="99"/>
    <w:semiHidden/>
    <w:unhideWhenUsed/>
    <w:rsid w:val="00A1036B"/>
    <w:rPr>
      <w:sz w:val="16"/>
      <w:szCs w:val="16"/>
    </w:rPr>
  </w:style>
  <w:style w:type="paragraph" w:styleId="CommentText">
    <w:name w:val="annotation text"/>
    <w:basedOn w:val="Normal"/>
    <w:link w:val="CommentTextChar"/>
    <w:uiPriority w:val="99"/>
    <w:semiHidden/>
    <w:unhideWhenUsed/>
    <w:rsid w:val="00A1036B"/>
    <w:rPr>
      <w:sz w:val="20"/>
      <w:szCs w:val="20"/>
    </w:rPr>
  </w:style>
  <w:style w:type="character" w:customStyle="1" w:styleId="CommentTextChar">
    <w:name w:val="Comment Text Char"/>
    <w:basedOn w:val="DefaultParagraphFont"/>
    <w:link w:val="CommentText"/>
    <w:uiPriority w:val="99"/>
    <w:semiHidden/>
    <w:rsid w:val="00A1036B"/>
    <w:rPr>
      <w:sz w:val="20"/>
      <w:szCs w:val="20"/>
    </w:rPr>
  </w:style>
  <w:style w:type="paragraph" w:styleId="CommentSubject">
    <w:name w:val="annotation subject"/>
    <w:basedOn w:val="CommentText"/>
    <w:next w:val="CommentText"/>
    <w:link w:val="CommentSubjectChar"/>
    <w:uiPriority w:val="99"/>
    <w:semiHidden/>
    <w:unhideWhenUsed/>
    <w:rsid w:val="00A1036B"/>
    <w:rPr>
      <w:b/>
      <w:bCs/>
    </w:rPr>
  </w:style>
  <w:style w:type="character" w:customStyle="1" w:styleId="CommentSubjectChar">
    <w:name w:val="Comment Subject Char"/>
    <w:basedOn w:val="CommentTextChar"/>
    <w:link w:val="CommentSubject"/>
    <w:uiPriority w:val="99"/>
    <w:semiHidden/>
    <w:rsid w:val="00A1036B"/>
    <w:rPr>
      <w:b/>
      <w:bCs/>
      <w:sz w:val="20"/>
      <w:szCs w:val="20"/>
    </w:rPr>
  </w:style>
  <w:style w:type="paragraph" w:styleId="BalloonText">
    <w:name w:val="Balloon Text"/>
    <w:basedOn w:val="Normal"/>
    <w:link w:val="BalloonTextChar"/>
    <w:uiPriority w:val="99"/>
    <w:semiHidden/>
    <w:unhideWhenUsed/>
    <w:rsid w:val="00A103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036B"/>
    <w:rPr>
      <w:rFonts w:ascii="Times New Roman" w:hAnsi="Times New Roman" w:cs="Times New Roman"/>
      <w:sz w:val="18"/>
      <w:szCs w:val="18"/>
    </w:rPr>
  </w:style>
  <w:style w:type="paragraph" w:styleId="Revision">
    <w:name w:val="Revision"/>
    <w:hidden/>
    <w:uiPriority w:val="99"/>
    <w:semiHidden/>
    <w:rsid w:val="00FD506A"/>
  </w:style>
  <w:style w:type="paragraph" w:styleId="Header">
    <w:name w:val="header"/>
    <w:basedOn w:val="Normal"/>
    <w:link w:val="HeaderChar"/>
    <w:uiPriority w:val="99"/>
    <w:unhideWhenUsed/>
    <w:rsid w:val="006D48A9"/>
    <w:pPr>
      <w:tabs>
        <w:tab w:val="center" w:pos="4680"/>
        <w:tab w:val="right" w:pos="9360"/>
      </w:tabs>
    </w:pPr>
  </w:style>
  <w:style w:type="character" w:customStyle="1" w:styleId="HeaderChar">
    <w:name w:val="Header Char"/>
    <w:basedOn w:val="DefaultParagraphFont"/>
    <w:link w:val="Header"/>
    <w:uiPriority w:val="99"/>
    <w:rsid w:val="006D48A9"/>
  </w:style>
  <w:style w:type="paragraph" w:styleId="Footer">
    <w:name w:val="footer"/>
    <w:basedOn w:val="Normal"/>
    <w:link w:val="FooterChar"/>
    <w:uiPriority w:val="99"/>
    <w:unhideWhenUsed/>
    <w:rsid w:val="006D48A9"/>
    <w:pPr>
      <w:tabs>
        <w:tab w:val="center" w:pos="4680"/>
        <w:tab w:val="right" w:pos="9360"/>
      </w:tabs>
    </w:pPr>
  </w:style>
  <w:style w:type="character" w:customStyle="1" w:styleId="FooterChar">
    <w:name w:val="Footer Char"/>
    <w:basedOn w:val="DefaultParagraphFont"/>
    <w:link w:val="Footer"/>
    <w:uiPriority w:val="99"/>
    <w:rsid w:val="006D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728121">
      <w:bodyDiv w:val="1"/>
      <w:marLeft w:val="0"/>
      <w:marRight w:val="0"/>
      <w:marTop w:val="0"/>
      <w:marBottom w:val="0"/>
      <w:divBdr>
        <w:top w:val="none" w:sz="0" w:space="0" w:color="auto"/>
        <w:left w:val="none" w:sz="0" w:space="0" w:color="auto"/>
        <w:bottom w:val="none" w:sz="0" w:space="0" w:color="auto"/>
        <w:right w:val="none" w:sz="0" w:space="0" w:color="auto"/>
      </w:divBdr>
    </w:div>
    <w:div w:id="1205606080">
      <w:bodyDiv w:val="1"/>
      <w:marLeft w:val="0"/>
      <w:marRight w:val="0"/>
      <w:marTop w:val="0"/>
      <w:marBottom w:val="0"/>
      <w:divBdr>
        <w:top w:val="none" w:sz="0" w:space="0" w:color="auto"/>
        <w:left w:val="none" w:sz="0" w:space="0" w:color="auto"/>
        <w:bottom w:val="none" w:sz="0" w:space="0" w:color="auto"/>
        <w:right w:val="none" w:sz="0" w:space="0" w:color="auto"/>
      </w:divBdr>
    </w:div>
    <w:div w:id="1271085122">
      <w:bodyDiv w:val="1"/>
      <w:marLeft w:val="0"/>
      <w:marRight w:val="0"/>
      <w:marTop w:val="0"/>
      <w:marBottom w:val="0"/>
      <w:divBdr>
        <w:top w:val="none" w:sz="0" w:space="0" w:color="auto"/>
        <w:left w:val="none" w:sz="0" w:space="0" w:color="auto"/>
        <w:bottom w:val="none" w:sz="0" w:space="0" w:color="auto"/>
        <w:right w:val="none" w:sz="0" w:space="0" w:color="auto"/>
      </w:divBdr>
    </w:div>
    <w:div w:id="1863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CE8F19160954181099F0E1498CAD6" ma:contentTypeVersion="12" ma:contentTypeDescription="Create a new document." ma:contentTypeScope="" ma:versionID="19cf820b5b048e53d32301ff1b7b01de">
  <xsd:schema xmlns:xsd="http://www.w3.org/2001/XMLSchema" xmlns:xs="http://www.w3.org/2001/XMLSchema" xmlns:p="http://schemas.microsoft.com/office/2006/metadata/properties" xmlns:ns2="d48ca261-9455-4e73-bc92-78da8e731480" xmlns:ns3="1d134943-ef9e-4832-b74a-9d28e3b388db" targetNamespace="http://schemas.microsoft.com/office/2006/metadata/properties" ma:root="true" ma:fieldsID="f4ad5d328769cdb4be17d7a49d490448" ns2:_="" ns3:_="">
    <xsd:import namespace="d48ca261-9455-4e73-bc92-78da8e731480"/>
    <xsd:import namespace="1d134943-ef9e-4832-b74a-9d28e3b388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ca261-9455-4e73-bc92-78da8e731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34943-ef9e-4832-b74a-9d28e3b388d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53B40-235C-4430-9FF0-2F79CF2A14AB}">
  <ds:schemaRefs>
    <ds:schemaRef ds:uri="1d134943-ef9e-4832-b74a-9d28e3b388db"/>
    <ds:schemaRef ds:uri="d48ca261-9455-4e73-bc92-78da8e73148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99FA8F-27F8-445D-894A-4BC01A6EC3B2}">
  <ds:schemaRefs>
    <ds:schemaRef ds:uri="http://schemas.microsoft.com/sharepoint/v3/contenttype/forms"/>
  </ds:schemaRefs>
</ds:datastoreItem>
</file>

<file path=customXml/itemProps3.xml><?xml version="1.0" encoding="utf-8"?>
<ds:datastoreItem xmlns:ds="http://schemas.openxmlformats.org/officeDocument/2006/customXml" ds:itemID="{5F9C679A-19D1-410F-B4D7-635776CA3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ca261-9455-4e73-bc92-78da8e731480"/>
    <ds:schemaRef ds:uri="1d134943-ef9e-4832-b74a-9d28e3b38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2075</Words>
  <Characters>12784</Characters>
  <Application>Microsoft Office Word</Application>
  <DocSecurity>0</DocSecurity>
  <Lines>456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Shaw</dc:creator>
  <cp:keywords/>
  <dc:description/>
  <cp:lastModifiedBy>Linda Behera</cp:lastModifiedBy>
  <cp:revision>3</cp:revision>
  <dcterms:created xsi:type="dcterms:W3CDTF">2020-05-05T01:04:00Z</dcterms:created>
  <dcterms:modified xsi:type="dcterms:W3CDTF">2020-05-13T05:49:00Z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9</vt:lpwstr>
  </property>
  <property fmtid="{D5CDD505-2E9C-101B-9397-08002B2CF9AE}" pid="3" name="ContentTypeId">
    <vt:lpwstr>0x0101000B8CE8F19160954181099F0E1498CAD6</vt:lpwstr>
  </property>
</Properties>
</file>