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91F86" w14:textId="11985021" w:rsidR="00E1604B" w:rsidRDefault="00E1604B" w:rsidP="00E1604B">
      <w:pPr>
        <w:pStyle w:val="BodyText"/>
        <w:sectPr w:rsidR="00E1604B" w:rsidSect="00E1604B">
          <w:headerReference w:type="default" r:id="rId11"/>
          <w:footerReference w:type="default" r:id="rId12"/>
          <w:type w:val="continuous"/>
          <w:pgSz w:w="11906" w:h="16838"/>
          <w:pgMar w:top="0" w:right="1440" w:bottom="1440" w:left="0" w:header="680" w:footer="567" w:gutter="0"/>
          <w:cols w:space="708"/>
          <w:titlePg/>
          <w:docGrid w:linePitch="360"/>
        </w:sectPr>
      </w:pPr>
    </w:p>
    <w:p w14:paraId="5F4557E3" w14:textId="1ACF56D0" w:rsidR="00AB2766" w:rsidRPr="00AB2766" w:rsidRDefault="00AB2766" w:rsidP="00AB2766">
      <w:pPr>
        <w:pStyle w:val="Heading1"/>
        <w:jc w:val="right"/>
        <w:rPr>
          <w:color w:val="auto"/>
          <w:sz w:val="28"/>
          <w:szCs w:val="26"/>
        </w:rPr>
      </w:pPr>
    </w:p>
    <w:p w14:paraId="6882F7A7" w14:textId="70544B84" w:rsidR="00E75A27" w:rsidRDefault="00E75A27" w:rsidP="000C468F">
      <w:pPr>
        <w:pStyle w:val="Heading1"/>
      </w:pPr>
      <w:r w:rsidRPr="00E75A27">
        <w:t>A</w:t>
      </w:r>
      <w:r w:rsidR="000C468F">
        <w:t>CCESS AND PARTICIPATION PLAN 2020</w:t>
      </w:r>
    </w:p>
    <w:p w14:paraId="6C007826" w14:textId="14EDBEB9" w:rsidR="00E75A27" w:rsidRPr="00E75A27" w:rsidRDefault="00285F71" w:rsidP="00E75A27">
      <w:pPr>
        <w:pStyle w:val="Heading2"/>
      </w:pPr>
      <w:r>
        <w:t>Monash University</w:t>
      </w:r>
    </w:p>
    <w:p w14:paraId="690E4489" w14:textId="77777777" w:rsidR="00E75A27" w:rsidRPr="005F20C2" w:rsidRDefault="00E75A27" w:rsidP="00E75A27">
      <w:pPr>
        <w:spacing w:after="0" w:line="240" w:lineRule="auto"/>
        <w:rPr>
          <w:rFonts w:ascii="Calibri" w:hAnsi="Calibri" w:cstheme="minorHAnsi"/>
        </w:rPr>
      </w:pPr>
    </w:p>
    <w:p w14:paraId="636829FD" w14:textId="667C37C6" w:rsidR="00E75A27" w:rsidRDefault="00E75A27" w:rsidP="00E6527D">
      <w:pPr>
        <w:pStyle w:val="ListNumber"/>
        <w:numPr>
          <w:ilvl w:val="0"/>
          <w:numId w:val="27"/>
        </w:numPr>
        <w:spacing w:after="0" w:line="240" w:lineRule="auto"/>
        <w:ind w:left="357" w:hanging="357"/>
      </w:pPr>
      <w:r w:rsidRPr="00E6527D">
        <w:rPr>
          <w:b/>
        </w:rPr>
        <w:t>Equity outcomes</w:t>
      </w:r>
      <w:r w:rsidR="00BE4F09" w:rsidRPr="00E6527D">
        <w:rPr>
          <w:b/>
        </w:rPr>
        <w:t xml:space="preserve"> and strategies</w:t>
      </w:r>
      <w:r w:rsidRPr="00E6527D">
        <w:t xml:space="preserve">: </w:t>
      </w:r>
      <w:r w:rsidR="00BE4F09" w:rsidRPr="00E6527D">
        <w:t>for improving outcomes for people from a low SES background</w:t>
      </w:r>
      <w:r w:rsidRPr="00E6527D">
        <w:t>.</w:t>
      </w:r>
    </w:p>
    <w:p w14:paraId="2DDF4B76" w14:textId="77777777" w:rsidR="00E6527D" w:rsidRPr="00E6527D" w:rsidRDefault="00E6527D" w:rsidP="00E6527D">
      <w:pPr>
        <w:pStyle w:val="ListNumber"/>
        <w:numPr>
          <w:ilvl w:val="0"/>
          <w:numId w:val="0"/>
        </w:numPr>
        <w:spacing w:after="0" w:line="240" w:lineRule="auto"/>
        <w:ind w:left="357"/>
      </w:pPr>
    </w:p>
    <w:p w14:paraId="42197B08" w14:textId="35094160" w:rsidR="00680945" w:rsidRPr="00E6527D" w:rsidRDefault="000C468F" w:rsidP="009D3B77">
      <w:pPr>
        <w:spacing w:after="0" w:line="240" w:lineRule="auto"/>
        <w:rPr>
          <w:rFonts w:cs="Arial"/>
        </w:rPr>
      </w:pPr>
      <w:r>
        <w:rPr>
          <w:rFonts w:cs="Arial"/>
        </w:rPr>
        <w:t>Our current</w:t>
      </w:r>
      <w:r w:rsidR="00680945" w:rsidRPr="00E6527D">
        <w:rPr>
          <w:rFonts w:cs="Arial"/>
        </w:rPr>
        <w:t xml:space="preserve"> </w:t>
      </w:r>
      <w:hyperlink r:id="rId13" w:history="1">
        <w:r w:rsidR="00680945" w:rsidRPr="009D3B77">
          <w:rPr>
            <w:rStyle w:val="Hyperlink"/>
            <w:rFonts w:cs="Arial"/>
          </w:rPr>
          <w:t xml:space="preserve">Widening Participation Strategy </w:t>
        </w:r>
        <w:r w:rsidRPr="009D3B77">
          <w:rPr>
            <w:rStyle w:val="Hyperlink"/>
            <w:rFonts w:cs="Arial"/>
          </w:rPr>
          <w:t>2016-2020</w:t>
        </w:r>
      </w:hyperlink>
      <w:r>
        <w:rPr>
          <w:rFonts w:cs="Arial"/>
        </w:rPr>
        <w:t xml:space="preserve"> is in place until the end of this year.  </w:t>
      </w:r>
      <w:r w:rsidR="00680945" w:rsidRPr="00E6527D">
        <w:rPr>
          <w:rFonts w:cs="Arial"/>
        </w:rPr>
        <w:t>Th</w:t>
      </w:r>
      <w:r>
        <w:rPr>
          <w:rFonts w:cs="Arial"/>
        </w:rPr>
        <w:t>is</w:t>
      </w:r>
      <w:r w:rsidR="00680945" w:rsidRPr="00E6527D">
        <w:rPr>
          <w:rFonts w:cs="Arial"/>
        </w:rPr>
        <w:t xml:space="preserve"> is a key element of the “inclusive” </w:t>
      </w:r>
      <w:r w:rsidR="009D3B77">
        <w:rPr>
          <w:rFonts w:cs="Arial"/>
        </w:rPr>
        <w:t xml:space="preserve">priority area </w:t>
      </w:r>
      <w:r w:rsidR="00680945" w:rsidRPr="00E6527D">
        <w:rPr>
          <w:rFonts w:cs="Arial"/>
        </w:rPr>
        <w:t xml:space="preserve">of the </w:t>
      </w:r>
      <w:hyperlink r:id="rId14" w:history="1">
        <w:r w:rsidR="00680945" w:rsidRPr="009D3B77">
          <w:rPr>
            <w:rStyle w:val="Hyperlink"/>
            <w:rFonts w:cs="Arial"/>
          </w:rPr>
          <w:t>Focus Monash Strategic Plan</w:t>
        </w:r>
      </w:hyperlink>
      <w:r w:rsidR="00680945" w:rsidRPr="00E6527D">
        <w:rPr>
          <w:rFonts w:cs="Arial"/>
        </w:rPr>
        <w:t xml:space="preserve">, and sets out Monash’s ambitions and plans for increasing the access and success of students from </w:t>
      </w:r>
      <w:r>
        <w:rPr>
          <w:rFonts w:cs="Arial"/>
        </w:rPr>
        <w:t xml:space="preserve">educationally </w:t>
      </w:r>
      <w:r w:rsidR="00680945" w:rsidRPr="00E6527D">
        <w:rPr>
          <w:rFonts w:cs="Arial"/>
        </w:rPr>
        <w:t xml:space="preserve">disadvantaged backgrounds. </w:t>
      </w:r>
      <w:r>
        <w:rPr>
          <w:rFonts w:cs="Arial"/>
        </w:rPr>
        <w:t>Both Focus Monash and the Widening Participation strategy will be reviewed this year and updated for 2021.</w:t>
      </w:r>
    </w:p>
    <w:p w14:paraId="6691AC75" w14:textId="77777777" w:rsidR="00680945" w:rsidRPr="00E6527D" w:rsidRDefault="00680945" w:rsidP="00E6527D">
      <w:pPr>
        <w:spacing w:after="0" w:line="240" w:lineRule="auto"/>
        <w:rPr>
          <w:rFonts w:cs="Arial"/>
        </w:rPr>
      </w:pPr>
    </w:p>
    <w:p w14:paraId="2FC221CF" w14:textId="2D874ABC" w:rsidR="00680945" w:rsidRPr="00E6527D" w:rsidRDefault="00680945" w:rsidP="000C468F">
      <w:pPr>
        <w:spacing w:after="0" w:line="240" w:lineRule="auto"/>
        <w:rPr>
          <w:rFonts w:cs="Arial"/>
        </w:rPr>
      </w:pPr>
      <w:r w:rsidRPr="00E6527D">
        <w:rPr>
          <w:rFonts w:cs="Arial"/>
        </w:rPr>
        <w:t>The</w:t>
      </w:r>
      <w:r w:rsidR="000C468F">
        <w:rPr>
          <w:rFonts w:cs="Arial"/>
        </w:rPr>
        <w:t xml:space="preserve"> current</w:t>
      </w:r>
      <w:r w:rsidRPr="00E6527D">
        <w:rPr>
          <w:rFonts w:cs="Arial"/>
        </w:rPr>
        <w:t xml:space="preserve"> </w:t>
      </w:r>
      <w:r w:rsidR="000C468F">
        <w:rPr>
          <w:rFonts w:cs="Arial"/>
        </w:rPr>
        <w:t>s</w:t>
      </w:r>
      <w:r w:rsidRPr="00E6527D">
        <w:rPr>
          <w:rFonts w:cs="Arial"/>
        </w:rPr>
        <w:t>trategy commits Monash to five Widening Participation priorities and associated initiatives to enrol more students from low socioeconomic status (SES) communities and ensure that they graduate equipped to make significant contributions in their careers and to the community:</w:t>
      </w:r>
    </w:p>
    <w:p w14:paraId="4597BEAB"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 xml:space="preserve">Increase demand from talented low SES students </w:t>
      </w:r>
    </w:p>
    <w:p w14:paraId="697A7000"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Select for talent and equity</w:t>
      </w:r>
    </w:p>
    <w:p w14:paraId="19278D97"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Provide financial and practical support</w:t>
      </w:r>
    </w:p>
    <w:p w14:paraId="1D6F8850"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Ensure Monash graduates are expert, engaged and in-demand</w:t>
      </w:r>
    </w:p>
    <w:p w14:paraId="5ACD3037"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 xml:space="preserve">Promote Monash’s commitment to widening participation. </w:t>
      </w:r>
    </w:p>
    <w:p w14:paraId="0CBF8EF1" w14:textId="77777777" w:rsidR="00680945" w:rsidRPr="00E6527D" w:rsidRDefault="00680945" w:rsidP="00E6527D">
      <w:pPr>
        <w:spacing w:after="0" w:line="240" w:lineRule="auto"/>
        <w:rPr>
          <w:rFonts w:cs="Arial"/>
        </w:rPr>
      </w:pPr>
    </w:p>
    <w:p w14:paraId="5F62C42B" w14:textId="6B0C9ACE" w:rsidR="00AA72E7" w:rsidRPr="00AA72E7" w:rsidRDefault="00AA72E7" w:rsidP="00E6527D">
      <w:pPr>
        <w:spacing w:after="0" w:line="240" w:lineRule="auto"/>
        <w:rPr>
          <w:rFonts w:cs="Arial"/>
        </w:rPr>
      </w:pPr>
      <w:r w:rsidRPr="00AA72E7">
        <w:rPr>
          <w:rFonts w:cs="Arial"/>
        </w:rPr>
        <w:t>Success of the Strategy is measured through the participation of domestic students from low SES communities, with a target rate equivalent to 80% of the proportion of low SES individuals in the Victorian population. This is a University-level KPI. Accordingly, Monash seeks to have 36% of commencing domestic undergraduate students from low SES communities by 2020 (access rate), and 36% of all domestic undergraduate students from low SES communities (participation rate). In addition, Monash aspires to ensure that participation of students from low SES communities is at a similar rate to other students across all course clusters. The target success rate (the ratio of student load passed to student load taken) for low SES students has been defined as the equivalent rate to that of domestic undergraduate students (approximately 93% in 2018).</w:t>
      </w:r>
    </w:p>
    <w:p w14:paraId="0B2FD8B6" w14:textId="77777777" w:rsidR="009E0B8C" w:rsidRPr="00E6527D" w:rsidRDefault="009E0B8C" w:rsidP="00E6527D">
      <w:pPr>
        <w:pStyle w:val="ListNumber"/>
        <w:numPr>
          <w:ilvl w:val="0"/>
          <w:numId w:val="0"/>
        </w:numPr>
        <w:spacing w:after="0" w:line="240" w:lineRule="auto"/>
        <w:ind w:left="357"/>
      </w:pPr>
    </w:p>
    <w:p w14:paraId="186F897B" w14:textId="0CD7C934" w:rsidR="00395311" w:rsidRDefault="00E75A27" w:rsidP="00E6527D">
      <w:pPr>
        <w:pStyle w:val="ListNumber"/>
        <w:numPr>
          <w:ilvl w:val="0"/>
          <w:numId w:val="27"/>
        </w:numPr>
        <w:spacing w:after="0" w:line="240" w:lineRule="auto"/>
      </w:pPr>
      <w:r w:rsidRPr="00E6527D">
        <w:rPr>
          <w:b/>
        </w:rPr>
        <w:t>Key activities</w:t>
      </w:r>
      <w:r w:rsidRPr="00E6527D">
        <w:t>: which will deliver an increase in the access, participation and success of people from a low SES background.</w:t>
      </w:r>
    </w:p>
    <w:p w14:paraId="3F5076AF" w14:textId="6EF6FCCA" w:rsidR="002A469F" w:rsidRPr="00E6527D" w:rsidRDefault="00092D7E" w:rsidP="00E6527D">
      <w:pPr>
        <w:spacing w:after="0" w:line="240" w:lineRule="auto"/>
        <w:rPr>
          <w:rFonts w:cstheme="minorHAnsi"/>
          <w:b/>
          <w:bCs/>
        </w:rPr>
      </w:pPr>
      <w:r w:rsidRPr="00E6527D">
        <w:rPr>
          <w:rFonts w:cstheme="minorHAnsi"/>
          <w:b/>
          <w:bCs/>
        </w:rPr>
        <w:t>A</w:t>
      </w:r>
      <w:r w:rsidR="002A469F" w:rsidRPr="00E6527D">
        <w:rPr>
          <w:rFonts w:cstheme="minorHAnsi"/>
          <w:b/>
          <w:bCs/>
        </w:rPr>
        <w:t>spiration</w:t>
      </w:r>
      <w:r w:rsidRPr="00E6527D">
        <w:rPr>
          <w:rFonts w:cstheme="minorHAnsi"/>
          <w:b/>
          <w:bCs/>
        </w:rPr>
        <w:t xml:space="preserve"> raising – pre-entry university experience</w:t>
      </w:r>
    </w:p>
    <w:p w14:paraId="0CE5EB33" w14:textId="74329978"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Deliver Schools Access Monash</w:t>
      </w:r>
      <w:r w:rsidR="009C2083">
        <w:rPr>
          <w:rFonts w:cstheme="minorHAnsi"/>
        </w:rPr>
        <w:t xml:space="preserve"> (SAM)</w:t>
      </w:r>
      <w:r w:rsidRPr="00E6527D">
        <w:rPr>
          <w:rFonts w:cstheme="minorHAnsi"/>
        </w:rPr>
        <w:t xml:space="preserve"> (40+ </w:t>
      </w:r>
      <w:r w:rsidR="006E3F7D">
        <w:rPr>
          <w:rFonts w:cstheme="minorHAnsi"/>
        </w:rPr>
        <w:t xml:space="preserve">low </w:t>
      </w:r>
      <w:r w:rsidRPr="00E6527D">
        <w:rPr>
          <w:rFonts w:cstheme="minorHAnsi"/>
        </w:rPr>
        <w:t>SES schools) and Indigenous outreach (schools</w:t>
      </w:r>
      <w:r w:rsidR="008B6D41">
        <w:rPr>
          <w:rFonts w:cstheme="minorHAnsi"/>
        </w:rPr>
        <w:t xml:space="preserve"> &amp; community groups</w:t>
      </w:r>
      <w:r w:rsidRPr="00E6527D">
        <w:rPr>
          <w:rFonts w:cstheme="minorHAnsi"/>
        </w:rPr>
        <w:t>) to increase transition to H</w:t>
      </w:r>
      <w:r w:rsidR="00F04E62" w:rsidRPr="00E6527D">
        <w:rPr>
          <w:rFonts w:cstheme="minorHAnsi"/>
        </w:rPr>
        <w:t>igher Education</w:t>
      </w:r>
      <w:r w:rsidRPr="00E6527D">
        <w:rPr>
          <w:rFonts w:cstheme="minorHAnsi"/>
        </w:rPr>
        <w:t>.</w:t>
      </w:r>
    </w:p>
    <w:p w14:paraId="520B20D2" w14:textId="1EEBE7CC" w:rsidR="00092D7E" w:rsidRDefault="00092D7E" w:rsidP="000C468F">
      <w:pPr>
        <w:pStyle w:val="ListParagraph"/>
        <w:numPr>
          <w:ilvl w:val="0"/>
          <w:numId w:val="32"/>
        </w:numPr>
        <w:spacing w:after="0" w:line="240" w:lineRule="auto"/>
        <w:contextualSpacing w:val="0"/>
        <w:rPr>
          <w:rFonts w:cstheme="minorHAnsi"/>
        </w:rPr>
      </w:pPr>
      <w:r w:rsidRPr="00E6527D">
        <w:rPr>
          <w:rFonts w:cstheme="minorHAnsi"/>
        </w:rPr>
        <w:t xml:space="preserve">Engage </w:t>
      </w:r>
      <w:r w:rsidR="006E3F7D">
        <w:rPr>
          <w:rFonts w:cstheme="minorHAnsi"/>
        </w:rPr>
        <w:t xml:space="preserve">low </w:t>
      </w:r>
      <w:r w:rsidRPr="00E6527D">
        <w:rPr>
          <w:rFonts w:cstheme="minorHAnsi"/>
        </w:rPr>
        <w:t>SES</w:t>
      </w:r>
      <w:r w:rsidR="00BB677F">
        <w:rPr>
          <w:rFonts w:cstheme="minorHAnsi"/>
        </w:rPr>
        <w:t xml:space="preserve">, Indigenous, </w:t>
      </w:r>
      <w:r w:rsidR="000A4BDF">
        <w:rPr>
          <w:rFonts w:cstheme="minorHAnsi"/>
        </w:rPr>
        <w:t>r</w:t>
      </w:r>
      <w:r w:rsidR="00BB677F">
        <w:rPr>
          <w:rFonts w:cstheme="minorHAnsi"/>
        </w:rPr>
        <w:t>efugee</w:t>
      </w:r>
      <w:r w:rsidRPr="00E6527D">
        <w:rPr>
          <w:rFonts w:cstheme="minorHAnsi"/>
        </w:rPr>
        <w:t xml:space="preserve"> and regional students in career-specific </w:t>
      </w:r>
      <w:r w:rsidR="00E81E81">
        <w:rPr>
          <w:rFonts w:cstheme="minorHAnsi"/>
        </w:rPr>
        <w:t xml:space="preserve">and university life </w:t>
      </w:r>
      <w:r w:rsidRPr="00E6527D">
        <w:rPr>
          <w:rFonts w:cstheme="minorHAnsi"/>
        </w:rPr>
        <w:t xml:space="preserve">activities through </w:t>
      </w:r>
      <w:r w:rsidR="000C468F">
        <w:rPr>
          <w:rFonts w:cstheme="minorHAnsi"/>
        </w:rPr>
        <w:t>online ne</w:t>
      </w:r>
      <w:r w:rsidR="00955FBA">
        <w:rPr>
          <w:rFonts w:cstheme="minorHAnsi"/>
        </w:rPr>
        <w:t>tworks</w:t>
      </w:r>
      <w:r w:rsidR="00E81E81">
        <w:rPr>
          <w:rFonts w:cstheme="minorHAnsi"/>
        </w:rPr>
        <w:t xml:space="preserve"> and mentoring</w:t>
      </w:r>
      <w:r w:rsidR="00955FBA">
        <w:rPr>
          <w:rFonts w:cstheme="minorHAnsi"/>
        </w:rPr>
        <w:t xml:space="preserve"> that link them to both peers</w:t>
      </w:r>
      <w:r w:rsidR="007F62F2">
        <w:rPr>
          <w:rFonts w:cstheme="minorHAnsi"/>
        </w:rPr>
        <w:t xml:space="preserve"> and</w:t>
      </w:r>
      <w:r w:rsidR="00955FBA">
        <w:rPr>
          <w:rFonts w:cstheme="minorHAnsi"/>
        </w:rPr>
        <w:t xml:space="preserve"> near-peers</w:t>
      </w:r>
      <w:r w:rsidR="000A4BDF">
        <w:rPr>
          <w:rFonts w:cstheme="minorHAnsi"/>
        </w:rPr>
        <w:t>.</w:t>
      </w:r>
    </w:p>
    <w:p w14:paraId="6B00AC53" w14:textId="35DC6843" w:rsidR="006E3F7D" w:rsidRPr="0039317B" w:rsidRDefault="00092D7E" w:rsidP="0039317B">
      <w:pPr>
        <w:pStyle w:val="ListParagraph"/>
        <w:numPr>
          <w:ilvl w:val="0"/>
          <w:numId w:val="32"/>
        </w:numPr>
        <w:spacing w:after="0" w:line="240" w:lineRule="auto"/>
        <w:contextualSpacing w:val="0"/>
        <w:rPr>
          <w:rFonts w:cstheme="minorHAnsi"/>
        </w:rPr>
      </w:pPr>
      <w:r w:rsidRPr="00E6527D">
        <w:rPr>
          <w:rFonts w:cstheme="minorHAnsi"/>
        </w:rPr>
        <w:t xml:space="preserve">Engage with Indigenous students through annual </w:t>
      </w:r>
      <w:r w:rsidR="000B062E">
        <w:rPr>
          <w:rFonts w:cstheme="minorHAnsi"/>
        </w:rPr>
        <w:t>s</w:t>
      </w:r>
      <w:r w:rsidRPr="00E6527D">
        <w:rPr>
          <w:rFonts w:cstheme="minorHAnsi"/>
        </w:rPr>
        <w:t xml:space="preserve">tudent </w:t>
      </w:r>
      <w:r w:rsidR="000B062E">
        <w:rPr>
          <w:rFonts w:cstheme="minorHAnsi"/>
        </w:rPr>
        <w:t>e</w:t>
      </w:r>
      <w:r w:rsidRPr="00E6527D">
        <w:rPr>
          <w:rFonts w:cstheme="minorHAnsi"/>
        </w:rPr>
        <w:t>xper</w:t>
      </w:r>
      <w:r w:rsidR="004B11EE">
        <w:rPr>
          <w:rFonts w:cstheme="minorHAnsi"/>
        </w:rPr>
        <w:t xml:space="preserve">ience </w:t>
      </w:r>
      <w:r w:rsidR="000B062E">
        <w:rPr>
          <w:rFonts w:cstheme="minorHAnsi"/>
        </w:rPr>
        <w:t>activities</w:t>
      </w:r>
      <w:r w:rsidR="004B11EE">
        <w:rPr>
          <w:rFonts w:cstheme="minorHAnsi"/>
        </w:rPr>
        <w:t>.</w:t>
      </w:r>
    </w:p>
    <w:p w14:paraId="144CD0FD" w14:textId="2C84E15A" w:rsidR="00092D7E" w:rsidRPr="00E6527D" w:rsidRDefault="00092D7E" w:rsidP="00E6527D">
      <w:pPr>
        <w:spacing w:after="0" w:line="240" w:lineRule="auto"/>
        <w:rPr>
          <w:rFonts w:cstheme="minorHAnsi"/>
          <w:b/>
          <w:bCs/>
        </w:rPr>
      </w:pPr>
      <w:r w:rsidRPr="00E6527D">
        <w:rPr>
          <w:rFonts w:cstheme="minorHAnsi"/>
          <w:b/>
          <w:bCs/>
        </w:rPr>
        <w:t>Mentoring, peer support</w:t>
      </w:r>
    </w:p>
    <w:p w14:paraId="6B7CABE9" w14:textId="4C8748C2"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 xml:space="preserve">Individually mentor over </w:t>
      </w:r>
      <w:r w:rsidR="00FB30BC" w:rsidRPr="00E6527D">
        <w:rPr>
          <w:rFonts w:cstheme="minorHAnsi"/>
        </w:rPr>
        <w:t>6</w:t>
      </w:r>
      <w:r w:rsidRPr="00E6527D">
        <w:rPr>
          <w:rFonts w:cstheme="minorHAnsi"/>
        </w:rPr>
        <w:t xml:space="preserve">00 Year 11 &amp; 12 students at </w:t>
      </w:r>
      <w:r w:rsidR="006E3F7D">
        <w:rPr>
          <w:rFonts w:cstheme="minorHAnsi"/>
        </w:rPr>
        <w:t xml:space="preserve">low </w:t>
      </w:r>
      <w:r w:rsidRPr="00E6527D">
        <w:rPr>
          <w:rFonts w:cstheme="minorHAnsi"/>
        </w:rPr>
        <w:t>SES schools through the Access Monash Mentoring program.</w:t>
      </w:r>
    </w:p>
    <w:p w14:paraId="364B0373" w14:textId="7A575460" w:rsidR="00092D7E" w:rsidRPr="00E6527D" w:rsidRDefault="00FB30BC" w:rsidP="00E6527D">
      <w:pPr>
        <w:pStyle w:val="ListParagraph"/>
        <w:numPr>
          <w:ilvl w:val="0"/>
          <w:numId w:val="32"/>
        </w:numPr>
        <w:spacing w:after="0" w:line="240" w:lineRule="auto"/>
        <w:contextualSpacing w:val="0"/>
        <w:rPr>
          <w:rFonts w:cstheme="minorHAnsi"/>
        </w:rPr>
      </w:pPr>
      <w:r w:rsidRPr="00E6527D">
        <w:rPr>
          <w:rFonts w:cstheme="minorHAnsi"/>
        </w:rPr>
        <w:t xml:space="preserve">Provide group mentoring to </w:t>
      </w:r>
      <w:r w:rsidR="00BB677F">
        <w:rPr>
          <w:rFonts w:cstheme="minorHAnsi"/>
        </w:rPr>
        <w:t>200</w:t>
      </w:r>
      <w:r w:rsidRPr="00E6527D">
        <w:rPr>
          <w:rFonts w:cstheme="minorHAnsi"/>
        </w:rPr>
        <w:t xml:space="preserve">+ Year 9 and 10 students through the </w:t>
      </w:r>
      <w:r w:rsidRPr="00E6527D">
        <w:rPr>
          <w:rFonts w:cstheme="minorHAnsi"/>
          <w:color w:val="231F20"/>
        </w:rPr>
        <w:t>Access Monash Champions personal development and leadership program for selected high-achieving students at partner schools.</w:t>
      </w:r>
    </w:p>
    <w:p w14:paraId="2CEA5EFE" w14:textId="0FD0B91D" w:rsidR="00092D7E" w:rsidRPr="00E6527D" w:rsidRDefault="00092D7E" w:rsidP="00E6527D">
      <w:pPr>
        <w:spacing w:after="0" w:line="240" w:lineRule="auto"/>
        <w:rPr>
          <w:rFonts w:cstheme="minorHAnsi"/>
          <w:b/>
          <w:bCs/>
        </w:rPr>
      </w:pPr>
      <w:r w:rsidRPr="00E6527D">
        <w:rPr>
          <w:rFonts w:cstheme="minorHAnsi"/>
          <w:b/>
          <w:bCs/>
        </w:rPr>
        <w:t>Academic preparation</w:t>
      </w:r>
    </w:p>
    <w:p w14:paraId="555A50AC" w14:textId="747B9480" w:rsidR="00092D7E" w:rsidRPr="00E6527D" w:rsidRDefault="00092D7E" w:rsidP="00E6527D">
      <w:pPr>
        <w:pStyle w:val="ListParagraph"/>
        <w:numPr>
          <w:ilvl w:val="0"/>
          <w:numId w:val="33"/>
        </w:numPr>
        <w:spacing w:after="0" w:line="240" w:lineRule="auto"/>
        <w:ind w:left="284" w:hanging="284"/>
        <w:rPr>
          <w:rFonts w:cstheme="minorHAnsi"/>
          <w:b/>
          <w:bCs/>
        </w:rPr>
      </w:pPr>
      <w:r w:rsidRPr="00E6527D">
        <w:rPr>
          <w:rFonts w:cstheme="minorHAnsi"/>
        </w:rPr>
        <w:t xml:space="preserve">Deliver Strengthening Engagement and Achievement in Mathematics and Science (SEAMS) to </w:t>
      </w:r>
      <w:r w:rsidR="00FB30BC" w:rsidRPr="00E6527D">
        <w:rPr>
          <w:rFonts w:cstheme="minorHAnsi"/>
        </w:rPr>
        <w:t xml:space="preserve">200 </w:t>
      </w:r>
      <w:r w:rsidRPr="00E6527D">
        <w:rPr>
          <w:rFonts w:cstheme="minorHAnsi"/>
        </w:rPr>
        <w:t>Year 11 and 12 students in collaboration with University of Melbourne</w:t>
      </w:r>
      <w:r w:rsidR="00FB30BC" w:rsidRPr="00E6527D">
        <w:rPr>
          <w:rFonts w:cstheme="minorHAnsi"/>
        </w:rPr>
        <w:t>.</w:t>
      </w:r>
    </w:p>
    <w:p w14:paraId="44794F39" w14:textId="1109F404" w:rsidR="002A469F" w:rsidRPr="00E6527D" w:rsidRDefault="00092D7E" w:rsidP="00E6527D">
      <w:pPr>
        <w:spacing w:after="0" w:line="240" w:lineRule="auto"/>
        <w:rPr>
          <w:rFonts w:cstheme="minorHAnsi"/>
          <w:b/>
          <w:bCs/>
        </w:rPr>
      </w:pPr>
      <w:r w:rsidRPr="00E6527D">
        <w:rPr>
          <w:rFonts w:cstheme="minorHAnsi"/>
          <w:b/>
          <w:bCs/>
        </w:rPr>
        <w:t>Inclusive Entry</w:t>
      </w:r>
    </w:p>
    <w:p w14:paraId="7CE10CAE" w14:textId="6C0557F7" w:rsidR="002A469F" w:rsidRPr="00E6527D" w:rsidDel="0039317B" w:rsidRDefault="00FB30BC" w:rsidP="00E6527D">
      <w:pPr>
        <w:pStyle w:val="ListParagraph"/>
        <w:numPr>
          <w:ilvl w:val="0"/>
          <w:numId w:val="32"/>
        </w:numPr>
        <w:spacing w:after="0" w:line="240" w:lineRule="auto"/>
        <w:contextualSpacing w:val="0"/>
        <w:rPr>
          <w:rFonts w:cstheme="minorHAnsi"/>
        </w:rPr>
      </w:pPr>
      <w:r w:rsidRPr="00E6527D" w:rsidDel="0039317B">
        <w:rPr>
          <w:rFonts w:cstheme="minorHAnsi"/>
        </w:rPr>
        <w:t>Provide increased p</w:t>
      </w:r>
      <w:r w:rsidR="002A469F" w:rsidRPr="00E6527D" w:rsidDel="0039317B">
        <w:rPr>
          <w:rFonts w:cstheme="minorHAnsi"/>
        </w:rPr>
        <w:t>athways</w:t>
      </w:r>
      <w:r w:rsidRPr="00E6527D" w:rsidDel="0039317B">
        <w:rPr>
          <w:rFonts w:cstheme="minorHAnsi"/>
        </w:rPr>
        <w:t xml:space="preserve"> to a variety of degrees</w:t>
      </w:r>
      <w:r w:rsidR="002A469F" w:rsidRPr="00E6527D" w:rsidDel="0039317B">
        <w:rPr>
          <w:rFonts w:cstheme="minorHAnsi"/>
        </w:rPr>
        <w:t xml:space="preserve">: </w:t>
      </w:r>
      <w:r w:rsidRPr="00E6527D" w:rsidDel="0039317B">
        <w:rPr>
          <w:rFonts w:cstheme="minorHAnsi"/>
        </w:rPr>
        <w:t>Indigenous Entry Scheme</w:t>
      </w:r>
      <w:r w:rsidR="002A469F" w:rsidRPr="00E6527D" w:rsidDel="0039317B">
        <w:rPr>
          <w:rFonts w:cstheme="minorHAnsi"/>
        </w:rPr>
        <w:t>, Monash Access Program, Diploma of Tertiary Studies</w:t>
      </w:r>
      <w:r w:rsidR="00350BF5" w:rsidRPr="00E6527D" w:rsidDel="0039317B">
        <w:rPr>
          <w:rFonts w:cstheme="minorHAnsi"/>
        </w:rPr>
        <w:t>,</w:t>
      </w:r>
      <w:r w:rsidR="002A469F" w:rsidRPr="00E6527D" w:rsidDel="0039317B">
        <w:rPr>
          <w:rFonts w:cstheme="minorHAnsi"/>
        </w:rPr>
        <w:t xml:space="preserve"> </w:t>
      </w:r>
      <w:r w:rsidRPr="00E6527D" w:rsidDel="0039317B">
        <w:rPr>
          <w:rFonts w:cstheme="minorHAnsi"/>
        </w:rPr>
        <w:t xml:space="preserve">Diploma of Higher Education and </w:t>
      </w:r>
      <w:r w:rsidR="002A469F" w:rsidRPr="00E6527D" w:rsidDel="0039317B">
        <w:rPr>
          <w:rFonts w:cstheme="minorHAnsi"/>
        </w:rPr>
        <w:t>Pathway</w:t>
      </w:r>
      <w:r w:rsidRPr="00E6527D" w:rsidDel="0039317B">
        <w:rPr>
          <w:rFonts w:cstheme="minorHAnsi"/>
        </w:rPr>
        <w:t>s</w:t>
      </w:r>
      <w:r w:rsidR="002A469F" w:rsidRPr="00E6527D" w:rsidDel="0039317B">
        <w:rPr>
          <w:rFonts w:cstheme="minorHAnsi"/>
        </w:rPr>
        <w:t xml:space="preserve"> to Law.</w:t>
      </w:r>
    </w:p>
    <w:p w14:paraId="60B05A48" w14:textId="16919783"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lastRenderedPageBreak/>
        <w:t xml:space="preserve">Recognise talent and redress educational disadvantage through SEAS and the Monash Guarantee for </w:t>
      </w:r>
      <w:r w:rsidR="00692890">
        <w:rPr>
          <w:rFonts w:cstheme="minorHAnsi"/>
        </w:rPr>
        <w:t>I</w:t>
      </w:r>
      <w:r w:rsidRPr="00E6527D">
        <w:rPr>
          <w:rFonts w:cstheme="minorHAnsi"/>
        </w:rPr>
        <w:t>ndigenous students,</w:t>
      </w:r>
      <w:r w:rsidR="00FB30BC" w:rsidRPr="00E6527D">
        <w:rPr>
          <w:rFonts w:cstheme="minorHAnsi"/>
        </w:rPr>
        <w:t xml:space="preserve"> </w:t>
      </w:r>
      <w:r w:rsidR="00F04E62" w:rsidRPr="00E6527D">
        <w:rPr>
          <w:rFonts w:cstheme="minorHAnsi"/>
        </w:rPr>
        <w:t xml:space="preserve">those financially disadvantaged, from </w:t>
      </w:r>
      <w:r w:rsidR="006E3F7D">
        <w:rPr>
          <w:rFonts w:cstheme="minorHAnsi"/>
        </w:rPr>
        <w:t xml:space="preserve">low </w:t>
      </w:r>
      <w:r w:rsidR="00F04E62" w:rsidRPr="00E6527D">
        <w:rPr>
          <w:rFonts w:cstheme="minorHAnsi"/>
        </w:rPr>
        <w:t>SES areas</w:t>
      </w:r>
      <w:r w:rsidRPr="00E6527D">
        <w:rPr>
          <w:rFonts w:cstheme="minorHAnsi"/>
        </w:rPr>
        <w:t xml:space="preserve"> and from under represented schools.</w:t>
      </w:r>
    </w:p>
    <w:p w14:paraId="31A3B5EA" w14:textId="70869CC9" w:rsidR="00F04E62" w:rsidRPr="00E6527D" w:rsidRDefault="00F04E62" w:rsidP="00E6527D">
      <w:pPr>
        <w:spacing w:after="0" w:line="240" w:lineRule="auto"/>
        <w:rPr>
          <w:rFonts w:cstheme="minorHAnsi"/>
          <w:b/>
          <w:bCs/>
        </w:rPr>
      </w:pPr>
      <w:r w:rsidRPr="00E6527D">
        <w:rPr>
          <w:rFonts w:cstheme="minorHAnsi"/>
          <w:b/>
          <w:bCs/>
        </w:rPr>
        <w:t>Scholarships</w:t>
      </w:r>
    </w:p>
    <w:p w14:paraId="68846BB9" w14:textId="140BAE50" w:rsidR="002A469F" w:rsidRPr="00E6527D" w:rsidRDefault="002A469F" w:rsidP="001659DA">
      <w:pPr>
        <w:pStyle w:val="ListParagraph"/>
        <w:numPr>
          <w:ilvl w:val="0"/>
          <w:numId w:val="32"/>
        </w:numPr>
        <w:spacing w:after="0" w:line="240" w:lineRule="auto"/>
        <w:contextualSpacing w:val="0"/>
        <w:rPr>
          <w:rFonts w:cstheme="minorHAnsi"/>
        </w:rPr>
      </w:pPr>
      <w:r w:rsidRPr="00E6527D">
        <w:rPr>
          <w:rFonts w:cstheme="minorHAnsi"/>
        </w:rPr>
        <w:t xml:space="preserve">Reduce financial barriers for </w:t>
      </w:r>
      <w:r w:rsidR="000B062E">
        <w:rPr>
          <w:rFonts w:cstheme="minorHAnsi"/>
        </w:rPr>
        <w:t>Indigenous Australians and</w:t>
      </w:r>
      <w:r w:rsidRPr="00E6527D">
        <w:rPr>
          <w:rFonts w:cstheme="minorHAnsi"/>
        </w:rPr>
        <w:t xml:space="preserve"> students</w:t>
      </w:r>
      <w:r w:rsidR="000B062E">
        <w:rPr>
          <w:rFonts w:cstheme="minorHAnsi"/>
        </w:rPr>
        <w:t xml:space="preserve"> from low SES backgrounds</w:t>
      </w:r>
      <w:r w:rsidRPr="00E6527D">
        <w:rPr>
          <w:rFonts w:cstheme="minorHAnsi"/>
        </w:rPr>
        <w:t xml:space="preserve"> through the $</w:t>
      </w:r>
      <w:r w:rsidR="00F04E62" w:rsidRPr="00E6527D">
        <w:rPr>
          <w:rFonts w:cstheme="minorHAnsi"/>
        </w:rPr>
        <w:t>10</w:t>
      </w:r>
      <w:r w:rsidRPr="00E6527D">
        <w:rPr>
          <w:rFonts w:cstheme="minorHAnsi"/>
        </w:rPr>
        <w:t xml:space="preserve"> million Access Monash Scholarship and Bursary Fund. </w:t>
      </w:r>
    </w:p>
    <w:p w14:paraId="278F561E" w14:textId="3AB64B30" w:rsidR="00BB677F" w:rsidRPr="001659DA" w:rsidRDefault="001659DA" w:rsidP="001659DA">
      <w:pPr>
        <w:pStyle w:val="ListParagraph"/>
        <w:numPr>
          <w:ilvl w:val="0"/>
          <w:numId w:val="32"/>
        </w:numPr>
        <w:spacing w:after="0" w:line="240" w:lineRule="auto"/>
        <w:contextualSpacing w:val="0"/>
        <w:rPr>
          <w:rFonts w:cstheme="minorHAnsi"/>
        </w:rPr>
      </w:pPr>
      <w:r w:rsidRPr="001659DA">
        <w:rPr>
          <w:rFonts w:cstheme="minorHAnsi"/>
        </w:rPr>
        <w:t xml:space="preserve">Guarantee </w:t>
      </w:r>
      <w:r w:rsidR="008B6D41">
        <w:rPr>
          <w:rFonts w:cstheme="minorHAnsi"/>
        </w:rPr>
        <w:t xml:space="preserve">a </w:t>
      </w:r>
      <w:r w:rsidRPr="001659DA">
        <w:rPr>
          <w:rFonts w:cstheme="minorHAnsi"/>
        </w:rPr>
        <w:t xml:space="preserve">scholarship to all commencing students with low income or Indigenous Australians – minimum </w:t>
      </w:r>
      <w:r w:rsidR="00BB677F" w:rsidRPr="001659DA">
        <w:rPr>
          <w:rFonts w:cstheme="minorHAnsi"/>
        </w:rPr>
        <w:t>$1500 in first yea</w:t>
      </w:r>
      <w:r>
        <w:rPr>
          <w:rFonts w:cstheme="minorHAnsi"/>
        </w:rPr>
        <w:t xml:space="preserve">r and $500 in subsequent years </w:t>
      </w:r>
    </w:p>
    <w:p w14:paraId="72D4AD29" w14:textId="4794FAE6" w:rsidR="00BF26D2" w:rsidRDefault="009758A3" w:rsidP="00E6527D">
      <w:pPr>
        <w:pStyle w:val="ListParagraph"/>
        <w:numPr>
          <w:ilvl w:val="0"/>
          <w:numId w:val="32"/>
        </w:numPr>
        <w:spacing w:after="0" w:line="240" w:lineRule="auto"/>
        <w:contextualSpacing w:val="0"/>
        <w:rPr>
          <w:rFonts w:cstheme="minorHAnsi"/>
        </w:rPr>
      </w:pPr>
      <w:r>
        <w:rPr>
          <w:rFonts w:cstheme="minorHAnsi"/>
        </w:rPr>
        <w:t xml:space="preserve">Provide </w:t>
      </w:r>
      <w:r w:rsidR="008B6D41">
        <w:rPr>
          <w:rFonts w:cstheme="minorHAnsi"/>
        </w:rPr>
        <w:t xml:space="preserve">commencing </w:t>
      </w:r>
      <w:r>
        <w:rPr>
          <w:rFonts w:cstheme="minorHAnsi"/>
        </w:rPr>
        <w:t>students seeking a</w:t>
      </w:r>
      <w:r w:rsidR="00BF26D2" w:rsidRPr="00E6527D">
        <w:rPr>
          <w:rFonts w:cstheme="minorHAnsi"/>
        </w:rPr>
        <w:t xml:space="preserve">sylum with </w:t>
      </w:r>
      <w:r>
        <w:rPr>
          <w:rFonts w:cstheme="minorHAnsi"/>
        </w:rPr>
        <w:t xml:space="preserve">humanitarian </w:t>
      </w:r>
      <w:r w:rsidR="00BF26D2" w:rsidRPr="00E6527D">
        <w:rPr>
          <w:rFonts w:cstheme="minorHAnsi"/>
        </w:rPr>
        <w:t>scholarships to cover tuition fees and living allowance.</w:t>
      </w:r>
    </w:p>
    <w:p w14:paraId="396A281D" w14:textId="22B36C6B" w:rsidR="008B6D41" w:rsidRPr="00E6527D" w:rsidRDefault="008B6D41" w:rsidP="00E6527D">
      <w:pPr>
        <w:pStyle w:val="ListParagraph"/>
        <w:numPr>
          <w:ilvl w:val="0"/>
          <w:numId w:val="32"/>
        </w:numPr>
        <w:spacing w:after="0" w:line="240" w:lineRule="auto"/>
        <w:contextualSpacing w:val="0"/>
        <w:rPr>
          <w:rFonts w:cstheme="minorHAnsi"/>
        </w:rPr>
      </w:pPr>
      <w:r>
        <w:rPr>
          <w:rFonts w:cstheme="minorHAnsi"/>
        </w:rPr>
        <w:t>Provide $2000 emergency grants to students impacted by the bushfires.</w:t>
      </w:r>
    </w:p>
    <w:p w14:paraId="293E4962" w14:textId="4C0A38F1" w:rsidR="002A469F" w:rsidRPr="00E6527D" w:rsidRDefault="00F04E62" w:rsidP="00E6527D">
      <w:pPr>
        <w:spacing w:after="0" w:line="240" w:lineRule="auto"/>
        <w:rPr>
          <w:rFonts w:cstheme="minorHAnsi"/>
          <w:b/>
          <w:bCs/>
        </w:rPr>
      </w:pPr>
      <w:r w:rsidRPr="00E6527D">
        <w:rPr>
          <w:rFonts w:cstheme="minorHAnsi"/>
          <w:b/>
          <w:bCs/>
        </w:rPr>
        <w:t>First year</w:t>
      </w:r>
      <w:r w:rsidR="002A469F" w:rsidRPr="00E6527D">
        <w:rPr>
          <w:rFonts w:cstheme="minorHAnsi"/>
          <w:b/>
          <w:bCs/>
        </w:rPr>
        <w:t xml:space="preserve"> T</w:t>
      </w:r>
      <w:r w:rsidRPr="00E6527D">
        <w:rPr>
          <w:rFonts w:cstheme="minorHAnsi"/>
          <w:b/>
          <w:bCs/>
        </w:rPr>
        <w:t>ransition programs</w:t>
      </w:r>
    </w:p>
    <w:p w14:paraId="11EC3D22" w14:textId="1F7A0A57" w:rsidR="00F04E62" w:rsidRPr="00E6527D" w:rsidRDefault="00F04E62" w:rsidP="00E6527D">
      <w:pPr>
        <w:pStyle w:val="ListParagraph"/>
        <w:numPr>
          <w:ilvl w:val="0"/>
          <w:numId w:val="32"/>
        </w:numPr>
        <w:spacing w:after="0" w:line="240" w:lineRule="auto"/>
        <w:contextualSpacing w:val="0"/>
        <w:rPr>
          <w:rFonts w:cstheme="minorHAnsi"/>
        </w:rPr>
      </w:pPr>
      <w:r w:rsidRPr="00E6527D">
        <w:rPr>
          <w:rFonts w:cstheme="minorHAnsi"/>
        </w:rPr>
        <w:t>Engage</w:t>
      </w:r>
      <w:r w:rsidR="002A469F" w:rsidRPr="00E6527D">
        <w:rPr>
          <w:rFonts w:cstheme="minorHAnsi"/>
        </w:rPr>
        <w:t xml:space="preserve"> </w:t>
      </w:r>
      <w:r w:rsidRPr="00E6527D">
        <w:rPr>
          <w:rFonts w:cstheme="minorHAnsi"/>
        </w:rPr>
        <w:t xml:space="preserve">learning skills advisors to </w:t>
      </w:r>
      <w:r w:rsidR="00350BF5" w:rsidRPr="00E6527D">
        <w:rPr>
          <w:rFonts w:cstheme="minorHAnsi"/>
        </w:rPr>
        <w:t xml:space="preserve">provide academic </w:t>
      </w:r>
      <w:r w:rsidRPr="00E6527D">
        <w:rPr>
          <w:rFonts w:cstheme="minorHAnsi"/>
        </w:rPr>
        <w:t xml:space="preserve">support </w:t>
      </w:r>
      <w:r w:rsidR="00350BF5" w:rsidRPr="00E6527D">
        <w:rPr>
          <w:rFonts w:cstheme="minorHAnsi"/>
        </w:rPr>
        <w:t xml:space="preserve">to low SES </w:t>
      </w:r>
      <w:r w:rsidRPr="00E6527D">
        <w:rPr>
          <w:rFonts w:cstheme="minorHAnsi"/>
        </w:rPr>
        <w:t>students transition</w:t>
      </w:r>
      <w:r w:rsidR="00350BF5" w:rsidRPr="00E6527D">
        <w:rPr>
          <w:rFonts w:cstheme="minorHAnsi"/>
        </w:rPr>
        <w:t xml:space="preserve">ing </w:t>
      </w:r>
      <w:r w:rsidRPr="00E6527D">
        <w:rPr>
          <w:rFonts w:cstheme="minorHAnsi"/>
        </w:rPr>
        <w:t>to university</w:t>
      </w:r>
      <w:r w:rsidR="000B062E">
        <w:rPr>
          <w:rFonts w:cstheme="minorHAnsi"/>
        </w:rPr>
        <w:t xml:space="preserve"> with increased focus on online learning</w:t>
      </w:r>
      <w:r w:rsidR="00350BF5" w:rsidRPr="00E6527D">
        <w:rPr>
          <w:rFonts w:cstheme="minorHAnsi"/>
        </w:rPr>
        <w:t>.</w:t>
      </w:r>
      <w:r w:rsidRPr="00E6527D">
        <w:rPr>
          <w:rFonts w:cstheme="minorHAnsi"/>
        </w:rPr>
        <w:t xml:space="preserve"> </w:t>
      </w:r>
    </w:p>
    <w:p w14:paraId="5C8C15E4" w14:textId="5CE56C2F" w:rsidR="002A469F" w:rsidRDefault="008B6D41" w:rsidP="00E6527D">
      <w:pPr>
        <w:pStyle w:val="ListParagraph"/>
        <w:numPr>
          <w:ilvl w:val="0"/>
          <w:numId w:val="32"/>
        </w:numPr>
        <w:spacing w:after="0" w:line="240" w:lineRule="auto"/>
        <w:contextualSpacing w:val="0"/>
        <w:rPr>
          <w:rFonts w:cstheme="minorHAnsi"/>
        </w:rPr>
      </w:pPr>
      <w:r>
        <w:rPr>
          <w:rFonts w:cstheme="minorHAnsi"/>
        </w:rPr>
        <w:t>Engage senior university students to support transition to university for first-year students via phone calls conducted</w:t>
      </w:r>
      <w:r w:rsidR="000D2DB2" w:rsidRPr="00E6527D">
        <w:rPr>
          <w:rFonts w:cstheme="minorHAnsi"/>
        </w:rPr>
        <w:t xml:space="preserve"> at key times in the academic year.</w:t>
      </w:r>
    </w:p>
    <w:p w14:paraId="68743451" w14:textId="12656624" w:rsidR="00DA2E3C" w:rsidRDefault="00DA2E3C" w:rsidP="00E6527D">
      <w:pPr>
        <w:pStyle w:val="ListParagraph"/>
        <w:numPr>
          <w:ilvl w:val="0"/>
          <w:numId w:val="32"/>
        </w:numPr>
        <w:spacing w:after="0" w:line="240" w:lineRule="auto"/>
        <w:contextualSpacing w:val="0"/>
        <w:rPr>
          <w:rFonts w:cstheme="minorHAnsi"/>
        </w:rPr>
      </w:pPr>
      <w:r>
        <w:rPr>
          <w:rFonts w:cstheme="minorHAnsi"/>
        </w:rPr>
        <w:t>Provide academic mentoring in first year units identified with high fail rates via Peer Assisted Study Support (PASS).</w:t>
      </w:r>
    </w:p>
    <w:p w14:paraId="1FF7B9F1" w14:textId="53A9C9D5" w:rsidR="00BB677F" w:rsidRPr="00E6527D" w:rsidRDefault="008B6D41" w:rsidP="00E6527D">
      <w:pPr>
        <w:pStyle w:val="ListParagraph"/>
        <w:numPr>
          <w:ilvl w:val="0"/>
          <w:numId w:val="32"/>
        </w:numPr>
        <w:spacing w:after="0" w:line="240" w:lineRule="auto"/>
        <w:contextualSpacing w:val="0"/>
        <w:rPr>
          <w:rFonts w:cstheme="minorHAnsi"/>
        </w:rPr>
      </w:pPr>
      <w:r>
        <w:rPr>
          <w:rFonts w:cstheme="minorHAnsi"/>
        </w:rPr>
        <w:t>Implement</w:t>
      </w:r>
      <w:r w:rsidR="00BB677F">
        <w:rPr>
          <w:rFonts w:cstheme="minorHAnsi"/>
        </w:rPr>
        <w:t xml:space="preserve"> Peer Mentoring program to all commencing undergraduate students</w:t>
      </w:r>
      <w:r w:rsidR="000B062E">
        <w:rPr>
          <w:rFonts w:cstheme="minorHAnsi"/>
        </w:rPr>
        <w:t xml:space="preserve"> to support transition and ensure students are aware of the rich experiences that will enhance their success</w:t>
      </w:r>
      <w:r w:rsidR="00BB677F">
        <w:rPr>
          <w:rFonts w:cstheme="minorHAnsi"/>
        </w:rPr>
        <w:t xml:space="preserve">. </w:t>
      </w:r>
    </w:p>
    <w:p w14:paraId="2BB6F817" w14:textId="7B8F3FA9" w:rsidR="000D2DB2" w:rsidRPr="00E6527D" w:rsidRDefault="000D2DB2" w:rsidP="00E6527D">
      <w:pPr>
        <w:spacing w:after="0" w:line="240" w:lineRule="auto"/>
        <w:rPr>
          <w:rFonts w:cstheme="minorHAnsi"/>
          <w:b/>
          <w:bCs/>
        </w:rPr>
      </w:pPr>
      <w:r w:rsidRPr="00E6527D">
        <w:rPr>
          <w:rFonts w:cstheme="minorHAnsi"/>
          <w:b/>
          <w:bCs/>
        </w:rPr>
        <w:t>Employment support – pre-completion</w:t>
      </w:r>
    </w:p>
    <w:p w14:paraId="0050F495" w14:textId="7B5FB34D" w:rsidR="00BF26D2" w:rsidRPr="00E6527D" w:rsidRDefault="00BF26D2" w:rsidP="00E6527D">
      <w:pPr>
        <w:pStyle w:val="ListParagraph"/>
        <w:numPr>
          <w:ilvl w:val="0"/>
          <w:numId w:val="33"/>
        </w:numPr>
        <w:spacing w:after="0" w:line="240" w:lineRule="auto"/>
        <w:rPr>
          <w:rFonts w:cstheme="minorHAnsi"/>
          <w:b/>
          <w:bCs/>
        </w:rPr>
      </w:pPr>
      <w:r w:rsidRPr="00E6527D">
        <w:t>Increase number of students from low SES communities and Indigenous Australians undertaking study abroad programs</w:t>
      </w:r>
      <w:r w:rsidR="00814615">
        <w:t xml:space="preserve"> including introduction of specialised study program to Malaysia for students from under-represented communities.</w:t>
      </w:r>
    </w:p>
    <w:p w14:paraId="6F8CFB16" w14:textId="7EADF674" w:rsidR="00BF26D2" w:rsidRPr="00E6527D" w:rsidRDefault="00BF26D2" w:rsidP="00E6527D">
      <w:pPr>
        <w:pStyle w:val="ListParagraph"/>
        <w:numPr>
          <w:ilvl w:val="0"/>
          <w:numId w:val="33"/>
        </w:numPr>
        <w:spacing w:after="0" w:line="240" w:lineRule="auto"/>
        <w:contextualSpacing w:val="0"/>
        <w:rPr>
          <w:rFonts w:cstheme="minorHAnsi"/>
        </w:rPr>
      </w:pPr>
      <w:r w:rsidRPr="00E6527D">
        <w:rPr>
          <w:rFonts w:cstheme="minorHAnsi"/>
        </w:rPr>
        <w:t>Reduce financial barriers to study through regular employment provided through Access Monash programs and on-campus employment.</w:t>
      </w:r>
    </w:p>
    <w:p w14:paraId="65580308" w14:textId="770C119C" w:rsidR="00350BF5" w:rsidRPr="00E6527D" w:rsidRDefault="00350BF5" w:rsidP="00E6527D">
      <w:pPr>
        <w:pStyle w:val="ListParagraph"/>
        <w:numPr>
          <w:ilvl w:val="0"/>
          <w:numId w:val="33"/>
        </w:numPr>
        <w:spacing w:after="0" w:line="240" w:lineRule="auto"/>
        <w:contextualSpacing w:val="0"/>
        <w:rPr>
          <w:rFonts w:cstheme="minorHAnsi"/>
        </w:rPr>
      </w:pPr>
      <w:r w:rsidRPr="00E6527D">
        <w:rPr>
          <w:rFonts w:cstheme="minorHAnsi"/>
        </w:rPr>
        <w:t xml:space="preserve">Deliver </w:t>
      </w:r>
      <w:r w:rsidR="004C7053" w:rsidRPr="00C5514A">
        <w:rPr>
          <w:rFonts w:ascii="Calibri" w:eastAsia="Times New Roman" w:hAnsi="Calibri" w:cs="Calibri"/>
          <w:color w:val="000000"/>
          <w:lang w:eastAsia="zh-CN"/>
        </w:rPr>
        <w:t>alumni</w:t>
      </w:r>
      <w:r w:rsidR="006514EC">
        <w:rPr>
          <w:rFonts w:ascii="Calibri" w:eastAsia="Times New Roman" w:hAnsi="Calibri" w:cs="Calibri"/>
          <w:color w:val="000000"/>
          <w:lang w:eastAsia="zh-CN"/>
        </w:rPr>
        <w:t>/</w:t>
      </w:r>
      <w:r w:rsidR="004C7053" w:rsidRPr="00C5514A">
        <w:rPr>
          <w:rFonts w:ascii="Calibri" w:eastAsia="Times New Roman" w:hAnsi="Calibri" w:cs="Calibri"/>
          <w:color w:val="000000"/>
          <w:lang w:eastAsia="zh-CN"/>
        </w:rPr>
        <w:t xml:space="preserve">industry to student mentoring program, with the aim of supporting students to build and articulate their employability skills, and </w:t>
      </w:r>
      <w:r w:rsidR="004C7053">
        <w:rPr>
          <w:rFonts w:ascii="Calibri" w:eastAsia="Times New Roman" w:hAnsi="Calibri" w:cs="Calibri"/>
          <w:color w:val="000000"/>
          <w:lang w:eastAsia="zh-CN"/>
        </w:rPr>
        <w:t>aid</w:t>
      </w:r>
      <w:r w:rsidR="004C7053" w:rsidRPr="00C5514A">
        <w:rPr>
          <w:rFonts w:ascii="Calibri" w:eastAsia="Times New Roman" w:hAnsi="Calibri" w:cs="Calibri"/>
          <w:color w:val="000000"/>
          <w:lang w:eastAsia="zh-CN"/>
        </w:rPr>
        <w:t xml:space="preserve"> their transition to the workforce</w:t>
      </w:r>
      <w:r w:rsidRPr="00E6527D">
        <w:rPr>
          <w:rFonts w:cstheme="minorHAnsi"/>
        </w:rPr>
        <w:t>.</w:t>
      </w:r>
    </w:p>
    <w:p w14:paraId="7C7924F1" w14:textId="77777777" w:rsidR="00350BF5" w:rsidRPr="00E6527D" w:rsidRDefault="00350BF5" w:rsidP="00E6527D">
      <w:pPr>
        <w:spacing w:after="0" w:line="240" w:lineRule="auto"/>
        <w:rPr>
          <w:rFonts w:cstheme="minorHAnsi"/>
          <w:b/>
          <w:bCs/>
        </w:rPr>
      </w:pPr>
    </w:p>
    <w:p w14:paraId="42A40E7E" w14:textId="4E0497DC" w:rsidR="00E75A27" w:rsidRPr="00E6527D" w:rsidRDefault="00E75A27" w:rsidP="00E6527D">
      <w:pPr>
        <w:pStyle w:val="ListNumber"/>
        <w:numPr>
          <w:ilvl w:val="0"/>
          <w:numId w:val="27"/>
        </w:numPr>
        <w:spacing w:after="0" w:line="240" w:lineRule="auto"/>
      </w:pPr>
      <w:r w:rsidRPr="00E6527D">
        <w:rPr>
          <w:b/>
        </w:rPr>
        <w:t>Evaluation</w:t>
      </w:r>
      <w:r w:rsidRPr="00E6527D">
        <w:t>: how the university plans to evaluate the effectiveness of the equity strategies.</w:t>
      </w:r>
    </w:p>
    <w:p w14:paraId="141DE5C1" w14:textId="2F600368" w:rsidR="00594C00" w:rsidRDefault="002E3424" w:rsidP="00E6527D">
      <w:pPr>
        <w:pStyle w:val="ListParagraph"/>
        <w:numPr>
          <w:ilvl w:val="0"/>
          <w:numId w:val="32"/>
        </w:numPr>
        <w:spacing w:after="0" w:line="240" w:lineRule="auto"/>
        <w:contextualSpacing w:val="0"/>
        <w:rPr>
          <w:rFonts w:cstheme="minorHAnsi"/>
        </w:rPr>
      </w:pPr>
      <w:r>
        <w:rPr>
          <w:rFonts w:cstheme="minorHAnsi"/>
        </w:rPr>
        <w:t xml:space="preserve">Track </w:t>
      </w:r>
      <w:r w:rsidR="00A91F44">
        <w:rPr>
          <w:rFonts w:cstheme="minorHAnsi"/>
        </w:rPr>
        <w:t xml:space="preserve">conversion </w:t>
      </w:r>
      <w:r w:rsidR="005E1082">
        <w:rPr>
          <w:rFonts w:cstheme="minorHAnsi"/>
        </w:rPr>
        <w:t xml:space="preserve">of students previously engaged in SAM </w:t>
      </w:r>
      <w:proofErr w:type="spellStart"/>
      <w:r w:rsidR="005E1082">
        <w:rPr>
          <w:rFonts w:cstheme="minorHAnsi"/>
        </w:rPr>
        <w:t>Yr</w:t>
      </w:r>
      <w:proofErr w:type="spellEnd"/>
      <w:r w:rsidR="005E1082">
        <w:rPr>
          <w:rFonts w:cstheme="minorHAnsi"/>
        </w:rPr>
        <w:t xml:space="preserve"> 7-10 activities as they </w:t>
      </w:r>
      <w:r w:rsidR="00A91F44">
        <w:rPr>
          <w:rFonts w:cstheme="minorHAnsi"/>
        </w:rPr>
        <w:t xml:space="preserve">transition into </w:t>
      </w:r>
      <w:proofErr w:type="spellStart"/>
      <w:r w:rsidR="00594C00" w:rsidRPr="00E6527D">
        <w:rPr>
          <w:rFonts w:cstheme="minorHAnsi"/>
        </w:rPr>
        <w:t>Yr</w:t>
      </w:r>
      <w:proofErr w:type="spellEnd"/>
      <w:r w:rsidR="00594C00" w:rsidRPr="00E6527D">
        <w:rPr>
          <w:rFonts w:cstheme="minorHAnsi"/>
        </w:rPr>
        <w:t xml:space="preserve"> 11/12 programs</w:t>
      </w:r>
      <w:r w:rsidR="005E1082">
        <w:rPr>
          <w:rFonts w:cstheme="minorHAnsi"/>
        </w:rPr>
        <w:t>.</w:t>
      </w:r>
    </w:p>
    <w:p w14:paraId="55090C1F" w14:textId="1F305D71" w:rsidR="00E6527D" w:rsidRDefault="00E6527D" w:rsidP="00E6527D">
      <w:pPr>
        <w:pStyle w:val="ListParagraph"/>
        <w:numPr>
          <w:ilvl w:val="0"/>
          <w:numId w:val="32"/>
        </w:numPr>
        <w:spacing w:after="0" w:line="240" w:lineRule="auto"/>
        <w:contextualSpacing w:val="0"/>
        <w:rPr>
          <w:rFonts w:cstheme="minorHAnsi"/>
        </w:rPr>
      </w:pPr>
      <w:r>
        <w:rPr>
          <w:rFonts w:cstheme="minorHAnsi"/>
        </w:rPr>
        <w:t>Analyse impact of mentoring program for mentors and mentees to improve higher education outcomes and transition to workplace.</w:t>
      </w:r>
    </w:p>
    <w:p w14:paraId="77AC11B6" w14:textId="0B30642E" w:rsidR="00E6527D" w:rsidRPr="00E6527D" w:rsidRDefault="00E6527D" w:rsidP="00E6527D">
      <w:pPr>
        <w:pStyle w:val="ListParagraph"/>
        <w:numPr>
          <w:ilvl w:val="0"/>
          <w:numId w:val="32"/>
        </w:numPr>
        <w:spacing w:after="0" w:line="240" w:lineRule="auto"/>
        <w:contextualSpacing w:val="0"/>
        <w:rPr>
          <w:rFonts w:cstheme="minorHAnsi"/>
        </w:rPr>
      </w:pPr>
      <w:r>
        <w:rPr>
          <w:rFonts w:cstheme="minorHAnsi"/>
        </w:rPr>
        <w:t xml:space="preserve">Analyse achievement of students participating in SEAMS and rate of </w:t>
      </w:r>
      <w:r w:rsidR="00276080">
        <w:rPr>
          <w:rFonts w:cstheme="minorHAnsi"/>
        </w:rPr>
        <w:t>transition to tertiary study.</w:t>
      </w:r>
    </w:p>
    <w:p w14:paraId="5A03C80C" w14:textId="66809686"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Analyse patterns in application and admission to university, and rates of deferment, for the school communities in which Monash works</w:t>
      </w:r>
      <w:r w:rsidR="009C2083">
        <w:rPr>
          <w:rFonts w:cstheme="minorHAnsi"/>
        </w:rPr>
        <w:t>;</w:t>
      </w:r>
      <w:r w:rsidRPr="00E6527D">
        <w:rPr>
          <w:rFonts w:cstheme="minorHAnsi"/>
        </w:rPr>
        <w:t xml:space="preserve"> compare historical data and with ‘like’ schools.</w:t>
      </w:r>
    </w:p>
    <w:p w14:paraId="5E1E5145" w14:textId="77777777"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 xml:space="preserve">Evaluate outcomes of students admitted to Monash through special entry and pathways. </w:t>
      </w:r>
    </w:p>
    <w:p w14:paraId="4C20A6E5" w14:textId="101AC11F" w:rsidR="00594C00" w:rsidRDefault="00594C00" w:rsidP="00E6527D">
      <w:pPr>
        <w:pStyle w:val="ListParagraph"/>
        <w:numPr>
          <w:ilvl w:val="0"/>
          <w:numId w:val="32"/>
        </w:numPr>
        <w:spacing w:after="0" w:line="240" w:lineRule="auto"/>
        <w:contextualSpacing w:val="0"/>
        <w:rPr>
          <w:rFonts w:cstheme="minorHAnsi"/>
        </w:rPr>
      </w:pPr>
      <w:r w:rsidRPr="00E6527D">
        <w:rPr>
          <w:rFonts w:cstheme="minorHAnsi"/>
        </w:rPr>
        <w:t xml:space="preserve">Analyse the effectiveness of university transition support programs on the retention and success of </w:t>
      </w:r>
      <w:r w:rsidR="006E3F7D">
        <w:rPr>
          <w:rFonts w:cstheme="minorHAnsi"/>
        </w:rPr>
        <w:t xml:space="preserve">low </w:t>
      </w:r>
      <w:r w:rsidRPr="00E6527D">
        <w:rPr>
          <w:rFonts w:cstheme="minorHAnsi"/>
        </w:rPr>
        <w:t>SES students.</w:t>
      </w:r>
    </w:p>
    <w:p w14:paraId="6D6F6A7F" w14:textId="4680BA5D" w:rsidR="006514EC" w:rsidRPr="00E6527D" w:rsidRDefault="006514EC" w:rsidP="00E6527D">
      <w:pPr>
        <w:pStyle w:val="ListParagraph"/>
        <w:numPr>
          <w:ilvl w:val="0"/>
          <w:numId w:val="32"/>
        </w:numPr>
        <w:spacing w:after="0" w:line="240" w:lineRule="auto"/>
        <w:contextualSpacing w:val="0"/>
        <w:rPr>
          <w:rFonts w:cstheme="minorHAnsi"/>
        </w:rPr>
      </w:pPr>
      <w:r>
        <w:rPr>
          <w:rFonts w:cstheme="minorHAnsi"/>
        </w:rPr>
        <w:t>Evaluate impact on engagement and academic success of students undertaking PASS</w:t>
      </w:r>
      <w:r w:rsidR="009E71CB">
        <w:rPr>
          <w:rFonts w:cstheme="minorHAnsi"/>
        </w:rPr>
        <w:t>.</w:t>
      </w:r>
    </w:p>
    <w:p w14:paraId="1BAF8F70" w14:textId="058E53CD" w:rsidR="00594C00" w:rsidRPr="00E6527D" w:rsidRDefault="006514EC" w:rsidP="00E6527D">
      <w:pPr>
        <w:pStyle w:val="ListParagraph"/>
        <w:numPr>
          <w:ilvl w:val="0"/>
          <w:numId w:val="32"/>
        </w:numPr>
        <w:spacing w:after="0" w:line="240" w:lineRule="auto"/>
        <w:contextualSpacing w:val="0"/>
        <w:rPr>
          <w:rFonts w:cstheme="minorHAnsi"/>
        </w:rPr>
      </w:pPr>
      <w:r>
        <w:rPr>
          <w:rFonts w:cstheme="minorHAnsi"/>
        </w:rPr>
        <w:t>Analyse</w:t>
      </w:r>
      <w:r w:rsidR="00594C00" w:rsidRPr="00E6527D">
        <w:rPr>
          <w:rFonts w:cstheme="minorHAnsi"/>
        </w:rPr>
        <w:t xml:space="preserve"> access to high impact student engagement activities by students from </w:t>
      </w:r>
      <w:r w:rsidR="00E6527D">
        <w:rPr>
          <w:rFonts w:cstheme="minorHAnsi"/>
        </w:rPr>
        <w:t>low SES communities</w:t>
      </w:r>
      <w:r>
        <w:rPr>
          <w:rFonts w:cstheme="minorHAnsi"/>
        </w:rPr>
        <w:t xml:space="preserve"> and evaluate impact on their </w:t>
      </w:r>
      <w:r w:rsidRPr="00E6527D">
        <w:rPr>
          <w:rFonts w:cstheme="minorHAnsi"/>
        </w:rPr>
        <w:t>graduate outcomes</w:t>
      </w:r>
      <w:bookmarkStart w:id="0" w:name="_GoBack"/>
      <w:bookmarkEnd w:id="0"/>
      <w:r w:rsidR="00E6527D">
        <w:rPr>
          <w:rFonts w:cstheme="minorHAnsi"/>
        </w:rPr>
        <w:t>.</w:t>
      </w:r>
    </w:p>
    <w:p w14:paraId="1D4B29D0" w14:textId="77777777" w:rsidR="00594C00" w:rsidRPr="00E6527D" w:rsidRDefault="00594C00" w:rsidP="00E6527D">
      <w:pPr>
        <w:pStyle w:val="ListNumber"/>
        <w:numPr>
          <w:ilvl w:val="0"/>
          <w:numId w:val="0"/>
        </w:numPr>
        <w:spacing w:after="0" w:line="240" w:lineRule="auto"/>
      </w:pPr>
    </w:p>
    <w:p w14:paraId="0EAC248C" w14:textId="22133D7F" w:rsidR="00E75A27" w:rsidRPr="00E6527D" w:rsidRDefault="00E75A27" w:rsidP="00E6527D">
      <w:pPr>
        <w:pStyle w:val="ListNumber"/>
        <w:numPr>
          <w:ilvl w:val="0"/>
          <w:numId w:val="27"/>
        </w:numPr>
        <w:spacing w:after="0" w:line="240" w:lineRule="auto"/>
      </w:pPr>
      <w:r w:rsidRPr="00E6527D">
        <w:rPr>
          <w:b/>
        </w:rPr>
        <w:t>Partnerships and collaboration</w:t>
      </w:r>
      <w:r w:rsidRPr="00E6527D">
        <w:t>: who the university will partner and collaborate with and how this will improve equity performance</w:t>
      </w:r>
      <w:r w:rsidR="00B00D12" w:rsidRPr="00E6527D">
        <w:t>.</w:t>
      </w:r>
    </w:p>
    <w:p w14:paraId="5A7FE42B" w14:textId="166F4823" w:rsidR="00276080" w:rsidRDefault="00276080" w:rsidP="00E6527D">
      <w:pPr>
        <w:pStyle w:val="ListParagraph"/>
        <w:numPr>
          <w:ilvl w:val="0"/>
          <w:numId w:val="32"/>
        </w:numPr>
        <w:spacing w:after="0" w:line="240" w:lineRule="auto"/>
        <w:contextualSpacing w:val="0"/>
        <w:rPr>
          <w:rFonts w:cstheme="minorHAnsi"/>
        </w:rPr>
      </w:pPr>
      <w:r>
        <w:rPr>
          <w:rFonts w:cstheme="minorHAnsi"/>
        </w:rPr>
        <w:t>SAM – 46 partner schools to inform aspirations and make connections to university study</w:t>
      </w:r>
    </w:p>
    <w:p w14:paraId="217E6EE2" w14:textId="6E1B7A87" w:rsidR="00594C00" w:rsidRPr="006E3F7D" w:rsidRDefault="00594C00" w:rsidP="009C2083">
      <w:pPr>
        <w:pStyle w:val="ListParagraph"/>
        <w:numPr>
          <w:ilvl w:val="0"/>
          <w:numId w:val="32"/>
        </w:numPr>
        <w:spacing w:after="0" w:line="240" w:lineRule="auto"/>
        <w:contextualSpacing w:val="0"/>
        <w:rPr>
          <w:rFonts w:cstheme="minorHAnsi"/>
          <w:sz w:val="20"/>
          <w:szCs w:val="20"/>
        </w:rPr>
      </w:pPr>
      <w:r w:rsidRPr="00AB37AD">
        <w:rPr>
          <w:rFonts w:cstheme="minorHAnsi"/>
        </w:rPr>
        <w:t xml:space="preserve">SEAMS: </w:t>
      </w:r>
      <w:r w:rsidR="009C2083">
        <w:rPr>
          <w:rFonts w:cstheme="minorHAnsi"/>
        </w:rPr>
        <w:t xml:space="preserve">partnering with </w:t>
      </w:r>
      <w:r w:rsidR="00A91F44" w:rsidRPr="00AB37AD">
        <w:rPr>
          <w:rFonts w:cstheme="minorHAnsi"/>
        </w:rPr>
        <w:t>University of</w:t>
      </w:r>
      <w:r w:rsidR="00E6527D" w:rsidRPr="00AB37AD">
        <w:rPr>
          <w:rFonts w:cstheme="minorHAnsi"/>
        </w:rPr>
        <w:t xml:space="preserve"> Melbourne to</w:t>
      </w:r>
      <w:r w:rsidRPr="00AB37AD">
        <w:rPr>
          <w:rFonts w:cstheme="minorHAnsi"/>
        </w:rPr>
        <w:t xml:space="preserve"> improve attainment of </w:t>
      </w:r>
      <w:r w:rsidR="006E3F7D">
        <w:rPr>
          <w:rFonts w:cstheme="minorHAnsi"/>
        </w:rPr>
        <w:t xml:space="preserve">low </w:t>
      </w:r>
      <w:r w:rsidRPr="00AB37AD">
        <w:rPr>
          <w:rFonts w:cstheme="minorHAnsi"/>
        </w:rPr>
        <w:t>SES (</w:t>
      </w:r>
      <w:proofErr w:type="spellStart"/>
      <w:r w:rsidRPr="00AB37AD">
        <w:rPr>
          <w:rFonts w:cstheme="minorHAnsi"/>
        </w:rPr>
        <w:t>Yr</w:t>
      </w:r>
      <w:proofErr w:type="spellEnd"/>
      <w:r w:rsidRPr="00AB37AD">
        <w:rPr>
          <w:rFonts w:cstheme="minorHAnsi"/>
        </w:rPr>
        <w:t xml:space="preserve"> 11-12) students in secondary maths/science to increase access to quantitatively oriented professions.</w:t>
      </w:r>
    </w:p>
    <w:p w14:paraId="6371B4E2" w14:textId="068081FE" w:rsidR="0039317B" w:rsidRPr="00AA72E7" w:rsidRDefault="0039317B" w:rsidP="00D44FBC">
      <w:pPr>
        <w:pStyle w:val="ListParagraph"/>
        <w:numPr>
          <w:ilvl w:val="0"/>
          <w:numId w:val="32"/>
        </w:numPr>
        <w:spacing w:after="0" w:line="240" w:lineRule="auto"/>
        <w:contextualSpacing w:val="0"/>
        <w:rPr>
          <w:rFonts w:cstheme="minorHAnsi"/>
        </w:rPr>
      </w:pPr>
      <w:r w:rsidRPr="00AA72E7">
        <w:rPr>
          <w:rFonts w:cstheme="minorHAnsi"/>
        </w:rPr>
        <w:t>I</w:t>
      </w:r>
      <w:r w:rsidR="006E3F7D" w:rsidRPr="00AA72E7">
        <w:rPr>
          <w:rFonts w:cstheme="minorHAnsi"/>
        </w:rPr>
        <w:t xml:space="preserve">n2Science – a collaboration between </w:t>
      </w:r>
      <w:proofErr w:type="spellStart"/>
      <w:r w:rsidR="006E3F7D" w:rsidRPr="00AA72E7">
        <w:rPr>
          <w:rFonts w:cstheme="minorHAnsi"/>
        </w:rPr>
        <w:t>LaTrobe</w:t>
      </w:r>
      <w:proofErr w:type="spellEnd"/>
      <w:r w:rsidR="006E3F7D" w:rsidRPr="00AA72E7">
        <w:rPr>
          <w:rFonts w:cstheme="minorHAnsi"/>
        </w:rPr>
        <w:t xml:space="preserve"> Univers</w:t>
      </w:r>
      <w:r w:rsidR="003B3AAA" w:rsidRPr="00AA72E7">
        <w:rPr>
          <w:rFonts w:cstheme="minorHAnsi"/>
        </w:rPr>
        <w:t>ity, RMIT, Swinburne University and</w:t>
      </w:r>
      <w:r w:rsidR="006E3F7D" w:rsidRPr="00AA72E7">
        <w:rPr>
          <w:rFonts w:cstheme="minorHAnsi"/>
        </w:rPr>
        <w:t xml:space="preserve"> University of Melbourne</w:t>
      </w:r>
      <w:r w:rsidR="003B3AAA" w:rsidRPr="00AA72E7">
        <w:rPr>
          <w:rFonts w:cstheme="minorHAnsi"/>
        </w:rPr>
        <w:t>. Program offered in 5 partner schools.</w:t>
      </w:r>
    </w:p>
    <w:sectPr w:rsidR="0039317B" w:rsidRPr="00AA72E7" w:rsidSect="00651AAF">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B36E0" w14:textId="77777777" w:rsidR="00993746" w:rsidRDefault="00993746" w:rsidP="00130923">
      <w:pPr>
        <w:spacing w:after="0" w:line="240" w:lineRule="auto"/>
      </w:pPr>
      <w:r>
        <w:separator/>
      </w:r>
    </w:p>
  </w:endnote>
  <w:endnote w:type="continuationSeparator" w:id="0">
    <w:p w14:paraId="6397A98B" w14:textId="77777777" w:rsidR="00993746" w:rsidRDefault="00993746"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8" w14:textId="68007513" w:rsidR="00152D18" w:rsidRDefault="002540F4"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sidR="009C2083">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E3A17" w14:textId="77777777" w:rsidR="00993746" w:rsidRDefault="00993746" w:rsidP="00130923">
      <w:pPr>
        <w:spacing w:after="0" w:line="240" w:lineRule="auto"/>
      </w:pPr>
      <w:r>
        <w:separator/>
      </w:r>
    </w:p>
  </w:footnote>
  <w:footnote w:type="continuationSeparator" w:id="0">
    <w:p w14:paraId="7A77FEAF" w14:textId="77777777" w:rsidR="00993746" w:rsidRDefault="00993746"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7" w14:textId="0BE827AF" w:rsidR="00152D18" w:rsidRDefault="009E0B8C" w:rsidP="00A66052">
    <w:pPr>
      <w:pStyle w:val="Header"/>
      <w:spacing w:after="480"/>
      <w:jc w:val="right"/>
    </w:pPr>
    <w:r>
      <w:t xml:space="preserve">Monash University </w:t>
    </w:r>
    <w:r w:rsidR="00152D18">
      <w:t>A</w:t>
    </w:r>
    <w:r w:rsidR="000C468F">
      <w:t>ccess and Participation Plan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4D5136A"/>
    <w:multiLevelType w:val="hybridMultilevel"/>
    <w:tmpl w:val="F3443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6B51102"/>
    <w:multiLevelType w:val="hybridMultilevel"/>
    <w:tmpl w:val="8858FDD0"/>
    <w:lvl w:ilvl="0" w:tplc="D590A92C">
      <w:start w:val="1"/>
      <w:numFmt w:val="decimal"/>
      <w:lvlText w:val="%1"/>
      <w:lvlJc w:val="left"/>
      <w:pPr>
        <w:ind w:left="-417" w:hanging="360"/>
      </w:pPr>
      <w:rPr>
        <w:rFonts w:hint="default"/>
      </w:rPr>
    </w:lvl>
    <w:lvl w:ilvl="1" w:tplc="0C090001">
      <w:start w:val="1"/>
      <w:numFmt w:val="bullet"/>
      <w:lvlText w:val=""/>
      <w:lvlJc w:val="left"/>
      <w:pPr>
        <w:ind w:left="303" w:hanging="360"/>
      </w:pPr>
      <w:rPr>
        <w:rFonts w:ascii="Symbol" w:hAnsi="Symbol" w:hint="default"/>
      </w:rPr>
    </w:lvl>
    <w:lvl w:ilvl="2" w:tplc="0C09001B" w:tentative="1">
      <w:start w:val="1"/>
      <w:numFmt w:val="lowerRoman"/>
      <w:lvlText w:val="%3."/>
      <w:lvlJc w:val="right"/>
      <w:pPr>
        <w:ind w:left="1023" w:hanging="180"/>
      </w:pPr>
    </w:lvl>
    <w:lvl w:ilvl="3" w:tplc="0C09000F" w:tentative="1">
      <w:start w:val="1"/>
      <w:numFmt w:val="decimal"/>
      <w:lvlText w:val="%4."/>
      <w:lvlJc w:val="left"/>
      <w:pPr>
        <w:ind w:left="1743" w:hanging="360"/>
      </w:pPr>
    </w:lvl>
    <w:lvl w:ilvl="4" w:tplc="0C090019" w:tentative="1">
      <w:start w:val="1"/>
      <w:numFmt w:val="lowerLetter"/>
      <w:lvlText w:val="%5."/>
      <w:lvlJc w:val="left"/>
      <w:pPr>
        <w:ind w:left="2463" w:hanging="360"/>
      </w:pPr>
    </w:lvl>
    <w:lvl w:ilvl="5" w:tplc="0C09001B" w:tentative="1">
      <w:start w:val="1"/>
      <w:numFmt w:val="lowerRoman"/>
      <w:lvlText w:val="%6."/>
      <w:lvlJc w:val="right"/>
      <w:pPr>
        <w:ind w:left="3183" w:hanging="180"/>
      </w:pPr>
    </w:lvl>
    <w:lvl w:ilvl="6" w:tplc="0C09000F" w:tentative="1">
      <w:start w:val="1"/>
      <w:numFmt w:val="decimal"/>
      <w:lvlText w:val="%7."/>
      <w:lvlJc w:val="left"/>
      <w:pPr>
        <w:ind w:left="3903" w:hanging="360"/>
      </w:pPr>
    </w:lvl>
    <w:lvl w:ilvl="7" w:tplc="0C090019" w:tentative="1">
      <w:start w:val="1"/>
      <w:numFmt w:val="lowerLetter"/>
      <w:lvlText w:val="%8."/>
      <w:lvlJc w:val="left"/>
      <w:pPr>
        <w:ind w:left="4623" w:hanging="360"/>
      </w:pPr>
    </w:lvl>
    <w:lvl w:ilvl="8" w:tplc="0C09001B" w:tentative="1">
      <w:start w:val="1"/>
      <w:numFmt w:val="lowerRoman"/>
      <w:lvlText w:val="%9."/>
      <w:lvlJc w:val="right"/>
      <w:pPr>
        <w:ind w:left="5343" w:hanging="180"/>
      </w:p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CB75D7C"/>
    <w:multiLevelType w:val="hybridMultilevel"/>
    <w:tmpl w:val="2B3AD40C"/>
    <w:lvl w:ilvl="0" w:tplc="C04EFC7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107414E"/>
    <w:multiLevelType w:val="multilevel"/>
    <w:tmpl w:val="1ADCB3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EBA5973"/>
    <w:multiLevelType w:val="multilevel"/>
    <w:tmpl w:val="ADA40D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1D91558"/>
    <w:multiLevelType w:val="hybridMultilevel"/>
    <w:tmpl w:val="222427F8"/>
    <w:lvl w:ilvl="0" w:tplc="C46E509C">
      <w:start w:val="1"/>
      <w:numFmt w:val="bullet"/>
      <w:lvlText w:val=""/>
      <w:lvlJc w:val="left"/>
      <w:pPr>
        <w:ind w:left="284" w:hanging="284"/>
      </w:pPr>
      <w:rPr>
        <w:rFonts w:ascii="Wingdings" w:hAnsi="Wingdings" w:hint="default"/>
      </w:rPr>
    </w:lvl>
    <w:lvl w:ilvl="1" w:tplc="C49414A2">
      <w:start w:val="1"/>
      <w:numFmt w:val="bullet"/>
      <w:lvlText w:val="–"/>
      <w:lvlJc w:val="left"/>
      <w:pPr>
        <w:ind w:left="567" w:hanging="283"/>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49"/>
    <w:multiLevelType w:val="hybridMultilevel"/>
    <w:tmpl w:val="38F8E0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7"/>
  </w:num>
  <w:num w:numId="15">
    <w:abstractNumId w:val="13"/>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22"/>
  </w:num>
  <w:num w:numId="22">
    <w:abstractNumId w:val="25"/>
  </w:num>
  <w:num w:numId="23">
    <w:abstractNumId w:val="17"/>
  </w:num>
  <w:num w:numId="24">
    <w:abstractNumId w:val="20"/>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4"/>
  </w:num>
  <w:num w:numId="31">
    <w:abstractNumId w:val="29"/>
  </w:num>
  <w:num w:numId="32">
    <w:abstractNumId w:val="16"/>
  </w:num>
  <w:num w:numId="33">
    <w:abstractNumId w:val="9"/>
  </w:num>
  <w:num w:numId="34">
    <w:abstractNumId w:val="23"/>
  </w:num>
  <w:num w:numId="35">
    <w:abstractNumId w:val="24"/>
  </w:num>
  <w:num w:numId="36">
    <w:abstractNumId w:val="10"/>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76175"/>
    <w:rsid w:val="0000170B"/>
    <w:rsid w:val="00002721"/>
    <w:rsid w:val="00007E0C"/>
    <w:rsid w:val="00024E24"/>
    <w:rsid w:val="00034EAA"/>
    <w:rsid w:val="000861A6"/>
    <w:rsid w:val="00092D7E"/>
    <w:rsid w:val="000A4BDF"/>
    <w:rsid w:val="000B062E"/>
    <w:rsid w:val="000C468F"/>
    <w:rsid w:val="000D2DB2"/>
    <w:rsid w:val="000D7FD3"/>
    <w:rsid w:val="000E30A6"/>
    <w:rsid w:val="000E7E7B"/>
    <w:rsid w:val="000F3BA2"/>
    <w:rsid w:val="00103F8C"/>
    <w:rsid w:val="001175BF"/>
    <w:rsid w:val="00130923"/>
    <w:rsid w:val="00132B66"/>
    <w:rsid w:val="001414F3"/>
    <w:rsid w:val="00143FCD"/>
    <w:rsid w:val="00152D18"/>
    <w:rsid w:val="001659DA"/>
    <w:rsid w:val="001A495D"/>
    <w:rsid w:val="001B6467"/>
    <w:rsid w:val="001C48A7"/>
    <w:rsid w:val="002076E6"/>
    <w:rsid w:val="00222463"/>
    <w:rsid w:val="00223EB1"/>
    <w:rsid w:val="00236917"/>
    <w:rsid w:val="00241465"/>
    <w:rsid w:val="00243D6B"/>
    <w:rsid w:val="002540F4"/>
    <w:rsid w:val="0026793C"/>
    <w:rsid w:val="002758D7"/>
    <w:rsid w:val="00276080"/>
    <w:rsid w:val="00276954"/>
    <w:rsid w:val="002822BD"/>
    <w:rsid w:val="00285F71"/>
    <w:rsid w:val="002A11FB"/>
    <w:rsid w:val="002A469F"/>
    <w:rsid w:val="002B06E6"/>
    <w:rsid w:val="002C36D9"/>
    <w:rsid w:val="002C3AA1"/>
    <w:rsid w:val="002D271F"/>
    <w:rsid w:val="002D6386"/>
    <w:rsid w:val="002D7D13"/>
    <w:rsid w:val="002E3424"/>
    <w:rsid w:val="002F1999"/>
    <w:rsid w:val="00303892"/>
    <w:rsid w:val="00305B35"/>
    <w:rsid w:val="003155A7"/>
    <w:rsid w:val="003155A8"/>
    <w:rsid w:val="003166C5"/>
    <w:rsid w:val="003242B9"/>
    <w:rsid w:val="0034671D"/>
    <w:rsid w:val="00350BF5"/>
    <w:rsid w:val="003753C7"/>
    <w:rsid w:val="00376582"/>
    <w:rsid w:val="0038467B"/>
    <w:rsid w:val="0039317B"/>
    <w:rsid w:val="00395311"/>
    <w:rsid w:val="003979FC"/>
    <w:rsid w:val="003B3AAA"/>
    <w:rsid w:val="003B423C"/>
    <w:rsid w:val="003C595A"/>
    <w:rsid w:val="003D67FC"/>
    <w:rsid w:val="00406E5A"/>
    <w:rsid w:val="0041715E"/>
    <w:rsid w:val="0042619D"/>
    <w:rsid w:val="00443110"/>
    <w:rsid w:val="00455B34"/>
    <w:rsid w:val="0047450A"/>
    <w:rsid w:val="00481F02"/>
    <w:rsid w:val="0048762C"/>
    <w:rsid w:val="00496B6E"/>
    <w:rsid w:val="004B11EE"/>
    <w:rsid w:val="004B256F"/>
    <w:rsid w:val="004C7053"/>
    <w:rsid w:val="004F15A7"/>
    <w:rsid w:val="005113B6"/>
    <w:rsid w:val="00531817"/>
    <w:rsid w:val="00560CA0"/>
    <w:rsid w:val="005624F3"/>
    <w:rsid w:val="005811EF"/>
    <w:rsid w:val="00585156"/>
    <w:rsid w:val="00594C00"/>
    <w:rsid w:val="005B0878"/>
    <w:rsid w:val="005B66CA"/>
    <w:rsid w:val="005C15C0"/>
    <w:rsid w:val="005E1082"/>
    <w:rsid w:val="005F1F31"/>
    <w:rsid w:val="00610654"/>
    <w:rsid w:val="0062410D"/>
    <w:rsid w:val="006318B9"/>
    <w:rsid w:val="006514EC"/>
    <w:rsid w:val="00651AAF"/>
    <w:rsid w:val="0067026C"/>
    <w:rsid w:val="00680945"/>
    <w:rsid w:val="00692890"/>
    <w:rsid w:val="006E2D49"/>
    <w:rsid w:val="006E3F7D"/>
    <w:rsid w:val="00712BE3"/>
    <w:rsid w:val="007468FC"/>
    <w:rsid w:val="00782F1B"/>
    <w:rsid w:val="00792CA3"/>
    <w:rsid w:val="007B2FDD"/>
    <w:rsid w:val="007D58FB"/>
    <w:rsid w:val="007E0574"/>
    <w:rsid w:val="007F62F2"/>
    <w:rsid w:val="00814615"/>
    <w:rsid w:val="008163BB"/>
    <w:rsid w:val="00832FB2"/>
    <w:rsid w:val="0083468A"/>
    <w:rsid w:val="00842D43"/>
    <w:rsid w:val="00845040"/>
    <w:rsid w:val="00856D1C"/>
    <w:rsid w:val="00876AC0"/>
    <w:rsid w:val="008B6D41"/>
    <w:rsid w:val="008E773B"/>
    <w:rsid w:val="00903408"/>
    <w:rsid w:val="00905AD9"/>
    <w:rsid w:val="009116EA"/>
    <w:rsid w:val="00931E30"/>
    <w:rsid w:val="00933671"/>
    <w:rsid w:val="00955FBA"/>
    <w:rsid w:val="00971D09"/>
    <w:rsid w:val="00972BF7"/>
    <w:rsid w:val="00972DD5"/>
    <w:rsid w:val="009758A3"/>
    <w:rsid w:val="00984879"/>
    <w:rsid w:val="00985632"/>
    <w:rsid w:val="00991B63"/>
    <w:rsid w:val="00993746"/>
    <w:rsid w:val="009B2428"/>
    <w:rsid w:val="009B5CB7"/>
    <w:rsid w:val="009C0EA3"/>
    <w:rsid w:val="009C2083"/>
    <w:rsid w:val="009D3B77"/>
    <w:rsid w:val="009D3C4D"/>
    <w:rsid w:val="009E0B8C"/>
    <w:rsid w:val="009E71CB"/>
    <w:rsid w:val="009F3E64"/>
    <w:rsid w:val="00A0490D"/>
    <w:rsid w:val="00A1074C"/>
    <w:rsid w:val="00A145A2"/>
    <w:rsid w:val="00A31242"/>
    <w:rsid w:val="00A40A2D"/>
    <w:rsid w:val="00A475CB"/>
    <w:rsid w:val="00A50604"/>
    <w:rsid w:val="00A52530"/>
    <w:rsid w:val="00A551BF"/>
    <w:rsid w:val="00A571DC"/>
    <w:rsid w:val="00A65AAB"/>
    <w:rsid w:val="00A66052"/>
    <w:rsid w:val="00A70524"/>
    <w:rsid w:val="00A73406"/>
    <w:rsid w:val="00A91F44"/>
    <w:rsid w:val="00AA464D"/>
    <w:rsid w:val="00AA72E7"/>
    <w:rsid w:val="00AB2766"/>
    <w:rsid w:val="00AB37AD"/>
    <w:rsid w:val="00AC65DA"/>
    <w:rsid w:val="00AD09E4"/>
    <w:rsid w:val="00AD5D0A"/>
    <w:rsid w:val="00AF1737"/>
    <w:rsid w:val="00B00D12"/>
    <w:rsid w:val="00B2722A"/>
    <w:rsid w:val="00B4243F"/>
    <w:rsid w:val="00B4447B"/>
    <w:rsid w:val="00B60E3A"/>
    <w:rsid w:val="00B618BA"/>
    <w:rsid w:val="00B6753B"/>
    <w:rsid w:val="00B82137"/>
    <w:rsid w:val="00B95503"/>
    <w:rsid w:val="00BA282D"/>
    <w:rsid w:val="00BA4D57"/>
    <w:rsid w:val="00BB6260"/>
    <w:rsid w:val="00BB677F"/>
    <w:rsid w:val="00BE4F09"/>
    <w:rsid w:val="00BF26D2"/>
    <w:rsid w:val="00BF6463"/>
    <w:rsid w:val="00C03C81"/>
    <w:rsid w:val="00C05E74"/>
    <w:rsid w:val="00C10C19"/>
    <w:rsid w:val="00C143B8"/>
    <w:rsid w:val="00C17D02"/>
    <w:rsid w:val="00C27540"/>
    <w:rsid w:val="00C33682"/>
    <w:rsid w:val="00C5649C"/>
    <w:rsid w:val="00C66021"/>
    <w:rsid w:val="00C75486"/>
    <w:rsid w:val="00C8202C"/>
    <w:rsid w:val="00C91576"/>
    <w:rsid w:val="00C92A5B"/>
    <w:rsid w:val="00C93C9E"/>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A2E3C"/>
    <w:rsid w:val="00DC3052"/>
    <w:rsid w:val="00DD022D"/>
    <w:rsid w:val="00DE5F75"/>
    <w:rsid w:val="00DF46C4"/>
    <w:rsid w:val="00DF4CA3"/>
    <w:rsid w:val="00E02515"/>
    <w:rsid w:val="00E12873"/>
    <w:rsid w:val="00E15C96"/>
    <w:rsid w:val="00E1604B"/>
    <w:rsid w:val="00E2102F"/>
    <w:rsid w:val="00E6527D"/>
    <w:rsid w:val="00E75A27"/>
    <w:rsid w:val="00E763A6"/>
    <w:rsid w:val="00E81E81"/>
    <w:rsid w:val="00E9345B"/>
    <w:rsid w:val="00EC78E7"/>
    <w:rsid w:val="00ED43D2"/>
    <w:rsid w:val="00EE3B8C"/>
    <w:rsid w:val="00EF25D6"/>
    <w:rsid w:val="00EF4A38"/>
    <w:rsid w:val="00EF5845"/>
    <w:rsid w:val="00F04E62"/>
    <w:rsid w:val="00F11B8F"/>
    <w:rsid w:val="00F21BBD"/>
    <w:rsid w:val="00F379D0"/>
    <w:rsid w:val="00F47193"/>
    <w:rsid w:val="00F501B4"/>
    <w:rsid w:val="00F74011"/>
    <w:rsid w:val="00F76175"/>
    <w:rsid w:val="00F80CFC"/>
    <w:rsid w:val="00F80DCB"/>
    <w:rsid w:val="00F958AE"/>
    <w:rsid w:val="00F97875"/>
    <w:rsid w:val="00FB10CB"/>
    <w:rsid w:val="00FB30BC"/>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ash.edu/__data/assets/pdf_file/0012/507999/WP-Strategy-4Feb201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ash.edu/__data/assets/pdf_file/0004/169744/strategic-plan-print-version.pdf?utm_medium=button&amp;utm_source=webpage&amp;utm_campaign=strategicplan" TargetMode="Externa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c5a0bbd5-585e-4472-9791-5df67fe41a90"/>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1AA91D82-9CA6-4390-976A-31A6127B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Kate Duyvestyn</cp:lastModifiedBy>
  <cp:revision>5</cp:revision>
  <cp:lastPrinted>2018-01-12T00:12:00Z</cp:lastPrinted>
  <dcterms:created xsi:type="dcterms:W3CDTF">2020-03-30T22:02:00Z</dcterms:created>
  <dcterms:modified xsi:type="dcterms:W3CDTF">2020-04-15T23:54:00Z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