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89743" w14:textId="77777777" w:rsidR="000E50BF" w:rsidRDefault="000E50BF" w:rsidP="00E75A27">
      <w:pPr>
        <w:pStyle w:val="Heading1"/>
        <w:rPr>
          <w:rFonts w:eastAsiaTheme="minorEastAsia" w:cstheme="minorHAnsi"/>
          <w:b w:val="0"/>
          <w:bCs w:val="0"/>
          <w:color w:val="auto"/>
          <w:sz w:val="22"/>
          <w:szCs w:val="22"/>
        </w:rPr>
      </w:pPr>
    </w:p>
    <w:p w14:paraId="3B297A09" w14:textId="77777777" w:rsidR="000E50BF" w:rsidRDefault="000E50BF" w:rsidP="00E75A27">
      <w:pPr>
        <w:pStyle w:val="Heading1"/>
        <w:rPr>
          <w:rFonts w:eastAsiaTheme="minorEastAsia" w:cstheme="minorHAnsi"/>
          <w:b w:val="0"/>
          <w:bCs w:val="0"/>
          <w:color w:val="auto"/>
          <w:sz w:val="22"/>
          <w:szCs w:val="22"/>
        </w:rPr>
      </w:pPr>
    </w:p>
    <w:p w14:paraId="6882F7A7" w14:textId="69566C74" w:rsidR="00E75A27" w:rsidRDefault="00E75A27" w:rsidP="00E75A27">
      <w:pPr>
        <w:pStyle w:val="Heading1"/>
      </w:pPr>
      <w:r w:rsidRPr="00E75A27">
        <w:t>AC</w:t>
      </w:r>
      <w:r w:rsidR="00B825B8">
        <w:t>CESS AND PARTICIPATION PLAN 2020</w:t>
      </w:r>
    </w:p>
    <w:p w14:paraId="6C007826" w14:textId="3422179F" w:rsidR="00E75A27" w:rsidRPr="00E75A27" w:rsidRDefault="00447EF8" w:rsidP="00E75A27">
      <w:pPr>
        <w:pStyle w:val="Heading2"/>
      </w:pPr>
      <w:r>
        <w:t>Flinders University</w:t>
      </w:r>
    </w:p>
    <w:p w14:paraId="690E4489" w14:textId="77777777" w:rsidR="00E75A27" w:rsidRPr="005F20C2" w:rsidRDefault="00E75A27" w:rsidP="00E75A27">
      <w:pPr>
        <w:spacing w:after="0" w:line="240" w:lineRule="auto"/>
        <w:rPr>
          <w:rFonts w:ascii="Calibri" w:hAnsi="Calibri" w:cstheme="minorHAnsi"/>
        </w:rPr>
      </w:pPr>
    </w:p>
    <w:p w14:paraId="636829FD" w14:textId="667C37C6" w:rsidR="00E75A27" w:rsidRPr="00712BE3" w:rsidRDefault="00E75A27" w:rsidP="00E12873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</w:t>
      </w:r>
      <w:r w:rsidR="00BE4F09" w:rsidRPr="00712BE3">
        <w:rPr>
          <w:b/>
          <w:sz w:val="24"/>
          <w:szCs w:val="24"/>
        </w:rPr>
        <w:t xml:space="preserve"> and strategies</w:t>
      </w:r>
      <w:r w:rsidRPr="00712BE3">
        <w:rPr>
          <w:sz w:val="24"/>
          <w:szCs w:val="24"/>
        </w:rPr>
        <w:t xml:space="preserve">: </w:t>
      </w:r>
      <w:r w:rsidR="00BE4F09" w:rsidRPr="00712BE3">
        <w:rPr>
          <w:sz w:val="24"/>
          <w:szCs w:val="24"/>
        </w:rPr>
        <w:t>for improving outcomes for people from a low SES background</w:t>
      </w:r>
      <w:r w:rsidRPr="00712BE3">
        <w:rPr>
          <w:sz w:val="24"/>
          <w:szCs w:val="24"/>
        </w:rPr>
        <w:t>.</w:t>
      </w:r>
    </w:p>
    <w:p w14:paraId="7F521A65" w14:textId="77777777" w:rsidR="002D5ECE" w:rsidRDefault="002D5ECE" w:rsidP="002D5ECE">
      <w:pPr>
        <w:pStyle w:val="ListNumber"/>
        <w:numPr>
          <w:ilvl w:val="0"/>
          <w:numId w:val="0"/>
        </w:numPr>
        <w:spacing w:after="240" w:line="240" w:lineRule="auto"/>
        <w:ind w:left="357"/>
        <w:jc w:val="both"/>
      </w:pPr>
    </w:p>
    <w:p w14:paraId="3BBBE8A3" w14:textId="4855CD37" w:rsidR="00003C03" w:rsidRDefault="002D5ECE" w:rsidP="00003C03">
      <w:pPr>
        <w:pStyle w:val="ListNumber"/>
        <w:numPr>
          <w:ilvl w:val="0"/>
          <w:numId w:val="0"/>
        </w:numPr>
        <w:spacing w:after="240" w:line="240" w:lineRule="auto"/>
        <w:ind w:left="357"/>
        <w:jc w:val="both"/>
      </w:pPr>
      <w:r w:rsidRPr="009F13B8">
        <w:t>Flinders University</w:t>
      </w:r>
      <w:r>
        <w:t xml:space="preserve"> </w:t>
      </w:r>
      <w:r w:rsidR="00055934">
        <w:t>maintains its strong commitment</w:t>
      </w:r>
      <w:r>
        <w:t xml:space="preserve"> to </w:t>
      </w:r>
      <w:r w:rsidR="00B8718A">
        <w:t xml:space="preserve">attracting and </w:t>
      </w:r>
      <w:r w:rsidR="009C04B6">
        <w:t xml:space="preserve">serving a diverse student body and </w:t>
      </w:r>
      <w:r>
        <w:t xml:space="preserve">improving </w:t>
      </w:r>
      <w:r w:rsidR="009C04B6">
        <w:t xml:space="preserve">access and </w:t>
      </w:r>
      <w:r>
        <w:t xml:space="preserve">equity outcomes for students from low SES </w:t>
      </w:r>
      <w:r w:rsidR="009C04B6">
        <w:t>background</w:t>
      </w:r>
      <w:r w:rsidR="00B8718A">
        <w:t>s</w:t>
      </w:r>
      <w:r w:rsidR="00457CAA">
        <w:t xml:space="preserve"> and</w:t>
      </w:r>
      <w:r w:rsidRPr="009F13B8">
        <w:t xml:space="preserve"> </w:t>
      </w:r>
      <w:r w:rsidR="00F77140">
        <w:t>regional, rural and remote</w:t>
      </w:r>
      <w:r w:rsidRPr="009F13B8">
        <w:t xml:space="preserve"> communities</w:t>
      </w:r>
      <w:r>
        <w:t xml:space="preserve"> across Australia with a focus on South Australia, Northern Territory</w:t>
      </w:r>
      <w:r w:rsidR="00F77140">
        <w:t xml:space="preserve">, </w:t>
      </w:r>
      <w:r>
        <w:t>Victoria and N</w:t>
      </w:r>
      <w:r w:rsidR="00F77140">
        <w:t xml:space="preserve">ew </w:t>
      </w:r>
      <w:r>
        <w:t>S</w:t>
      </w:r>
      <w:r w:rsidR="00F77140">
        <w:t xml:space="preserve">outh </w:t>
      </w:r>
      <w:r>
        <w:t>W</w:t>
      </w:r>
      <w:r w:rsidR="00F77140">
        <w:t>ales</w:t>
      </w:r>
      <w:r w:rsidRPr="009F13B8">
        <w:t>.</w:t>
      </w:r>
      <w:r>
        <w:t xml:space="preserve"> </w:t>
      </w:r>
    </w:p>
    <w:p w14:paraId="0453DC93" w14:textId="5C837F6A" w:rsidR="002D5ECE" w:rsidRPr="009F13B8" w:rsidRDefault="002D5ECE" w:rsidP="00003C03">
      <w:pPr>
        <w:pStyle w:val="ListNumber"/>
        <w:numPr>
          <w:ilvl w:val="0"/>
          <w:numId w:val="0"/>
        </w:numPr>
        <w:spacing w:after="240" w:line="240" w:lineRule="auto"/>
        <w:ind w:left="357"/>
        <w:jc w:val="both"/>
      </w:pPr>
      <w:r w:rsidRPr="009F13B8">
        <w:t xml:space="preserve">Flinders University </w:t>
      </w:r>
      <w:r w:rsidR="005A1F81">
        <w:t>will achieve</w:t>
      </w:r>
      <w:r w:rsidRPr="009F13B8">
        <w:t xml:space="preserve"> the following </w:t>
      </w:r>
      <w:r>
        <w:t xml:space="preserve">outcomes for students from equity </w:t>
      </w:r>
      <w:r w:rsidRPr="009D6A60">
        <w:t>groups:</w:t>
      </w:r>
    </w:p>
    <w:p w14:paraId="20419F8A" w14:textId="5D5569E4" w:rsidR="002D5ECE" w:rsidRPr="009F13B8" w:rsidRDefault="00DA7A80" w:rsidP="002D5ECE">
      <w:pPr>
        <w:pStyle w:val="ListNumber"/>
        <w:numPr>
          <w:ilvl w:val="0"/>
          <w:numId w:val="35"/>
        </w:numPr>
        <w:spacing w:after="240" w:line="240" w:lineRule="auto"/>
        <w:jc w:val="both"/>
      </w:pPr>
      <w:r>
        <w:t>B</w:t>
      </w:r>
      <w:r w:rsidR="002D5ECE" w:rsidRPr="009F13B8">
        <w:t>uild aspiration</w:t>
      </w:r>
      <w:r w:rsidR="0026065E">
        <w:t xml:space="preserve"> and confidence to succeed in higher education</w:t>
      </w:r>
      <w:r w:rsidR="002D5ECE" w:rsidRPr="009F13B8">
        <w:t xml:space="preserve">, </w:t>
      </w:r>
      <w:r w:rsidR="0026065E">
        <w:t>develop</w:t>
      </w:r>
      <w:r w:rsidR="002D5ECE" w:rsidRPr="009F13B8">
        <w:t xml:space="preserve"> </w:t>
      </w:r>
      <w:r>
        <w:t xml:space="preserve">connected </w:t>
      </w:r>
      <w:r w:rsidR="002D5ECE" w:rsidRPr="009F13B8">
        <w:t>pathways along the A</w:t>
      </w:r>
      <w:r w:rsidR="0026065E">
        <w:t xml:space="preserve">ustralian </w:t>
      </w:r>
      <w:r w:rsidR="002D5ECE" w:rsidRPr="009F13B8">
        <w:t>Q</w:t>
      </w:r>
      <w:r w:rsidR="0026065E">
        <w:t xml:space="preserve">ualifications </w:t>
      </w:r>
      <w:r w:rsidR="002D5ECE" w:rsidRPr="009F13B8">
        <w:t>F</w:t>
      </w:r>
      <w:r w:rsidR="0026065E">
        <w:t>ramewor</w:t>
      </w:r>
      <w:r>
        <w:t>k,</w:t>
      </w:r>
      <w:r w:rsidR="002D5ECE" w:rsidRPr="009F13B8">
        <w:t xml:space="preserve"> provid</w:t>
      </w:r>
      <w:r w:rsidR="0026065E">
        <w:t>e</w:t>
      </w:r>
      <w:r w:rsidR="002D5ECE" w:rsidRPr="009F13B8">
        <w:t xml:space="preserve"> entry into enabling</w:t>
      </w:r>
      <w:r w:rsidR="0026065E">
        <w:t xml:space="preserve"> programs</w:t>
      </w:r>
      <w:r w:rsidR="002D5ECE" w:rsidRPr="009F13B8">
        <w:t xml:space="preserve"> and alternative entry into undergraduate degree programs</w:t>
      </w:r>
    </w:p>
    <w:p w14:paraId="10922416" w14:textId="3F32832D" w:rsidR="002D5ECE" w:rsidRPr="009F13B8" w:rsidRDefault="002D5ECE" w:rsidP="002D5ECE">
      <w:pPr>
        <w:pStyle w:val="ListNumber"/>
        <w:numPr>
          <w:ilvl w:val="0"/>
          <w:numId w:val="35"/>
        </w:numPr>
        <w:spacing w:after="240" w:line="240" w:lineRule="auto"/>
        <w:jc w:val="both"/>
      </w:pPr>
      <w:r w:rsidRPr="009F13B8">
        <w:t xml:space="preserve">Engage </w:t>
      </w:r>
      <w:r w:rsidR="00676740">
        <w:t xml:space="preserve">positively </w:t>
      </w:r>
      <w:r w:rsidRPr="009F13B8">
        <w:t xml:space="preserve">with </w:t>
      </w:r>
      <w:r w:rsidR="00DA7A80">
        <w:t xml:space="preserve">all education sectors including </w:t>
      </w:r>
      <w:r w:rsidRPr="009F13B8">
        <w:t xml:space="preserve">schools, </w:t>
      </w:r>
      <w:r w:rsidR="00DA7A80">
        <w:t xml:space="preserve">alternative education providers </w:t>
      </w:r>
      <w:r w:rsidRPr="009F13B8">
        <w:t>and VET providers, adult learners and communities throughout metropolitan, regional</w:t>
      </w:r>
      <w:r w:rsidR="00F77140">
        <w:t>, rural</w:t>
      </w:r>
      <w:r w:rsidRPr="009F13B8">
        <w:t xml:space="preserve"> and remote areas</w:t>
      </w:r>
      <w:r>
        <w:t xml:space="preserve"> </w:t>
      </w:r>
    </w:p>
    <w:p w14:paraId="517F2740" w14:textId="34DBF16F" w:rsidR="002D5ECE" w:rsidRPr="009F13B8" w:rsidRDefault="00457CAA" w:rsidP="002D5ECE">
      <w:pPr>
        <w:pStyle w:val="ListNumber"/>
        <w:numPr>
          <w:ilvl w:val="0"/>
          <w:numId w:val="35"/>
        </w:numPr>
        <w:spacing w:after="240" w:line="240" w:lineRule="auto"/>
        <w:jc w:val="both"/>
      </w:pPr>
      <w:r>
        <w:t>Focus</w:t>
      </w:r>
      <w:r w:rsidR="002D5ECE">
        <w:t xml:space="preserve"> on student </w:t>
      </w:r>
      <w:r w:rsidR="00676740">
        <w:t xml:space="preserve">experience and </w:t>
      </w:r>
      <w:r w:rsidR="002D5ECE">
        <w:t>success by increasing</w:t>
      </w:r>
      <w:r w:rsidR="002D5ECE" w:rsidRPr="009F13B8">
        <w:t xml:space="preserve"> retention and completion rates at university </w:t>
      </w:r>
      <w:r w:rsidR="00676740">
        <w:t>through</w:t>
      </w:r>
      <w:r w:rsidR="002D5ECE" w:rsidRPr="009F13B8">
        <w:t xml:space="preserve"> student centred approaches</w:t>
      </w:r>
      <w:r w:rsidR="00427248">
        <w:t xml:space="preserve"> and strategies </w:t>
      </w:r>
    </w:p>
    <w:p w14:paraId="16119220" w14:textId="4A6599BF" w:rsidR="002D5ECE" w:rsidRPr="009F13B8" w:rsidRDefault="002D5ECE" w:rsidP="002D5ECE">
      <w:pPr>
        <w:pStyle w:val="ListNumber"/>
        <w:numPr>
          <w:ilvl w:val="0"/>
          <w:numId w:val="35"/>
        </w:numPr>
        <w:spacing w:after="240" w:line="240" w:lineRule="auto"/>
        <w:jc w:val="both"/>
      </w:pPr>
      <w:r w:rsidRPr="009F13B8">
        <w:t xml:space="preserve">Improve </w:t>
      </w:r>
      <w:r w:rsidR="00F46796">
        <w:t xml:space="preserve">access to </w:t>
      </w:r>
      <w:r w:rsidRPr="009F13B8">
        <w:t>employment for graduating students</w:t>
      </w:r>
      <w:r>
        <w:t>.</w:t>
      </w:r>
    </w:p>
    <w:p w14:paraId="2D36270A" w14:textId="77777777" w:rsidR="00395311" w:rsidRPr="00712BE3" w:rsidRDefault="00395311" w:rsidP="00395311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  <w:szCs w:val="24"/>
        </w:rPr>
      </w:pPr>
    </w:p>
    <w:p w14:paraId="7B5295FD" w14:textId="1AF1F5ED" w:rsidR="00676740" w:rsidRDefault="00E75A27" w:rsidP="00771078">
      <w:pPr>
        <w:pStyle w:val="ListNumber"/>
        <w:numPr>
          <w:ilvl w:val="0"/>
          <w:numId w:val="27"/>
        </w:numPr>
        <w:spacing w:after="240" w:line="240" w:lineRule="auto"/>
        <w:rPr>
          <w:sz w:val="24"/>
          <w:szCs w:val="24"/>
        </w:rPr>
      </w:pPr>
      <w:r w:rsidRPr="00712BE3">
        <w:rPr>
          <w:b/>
          <w:sz w:val="24"/>
          <w:szCs w:val="24"/>
        </w:rPr>
        <w:t>Key activities</w:t>
      </w:r>
      <w:r w:rsidRPr="00712BE3">
        <w:rPr>
          <w:sz w:val="24"/>
          <w:szCs w:val="24"/>
        </w:rPr>
        <w:t xml:space="preserve">: </w:t>
      </w:r>
      <w:r w:rsidRPr="00B60E3A">
        <w:rPr>
          <w:sz w:val="24"/>
          <w:szCs w:val="24"/>
        </w:rPr>
        <w:t>which will deliver an increase in the access, participation and success of people from a low SES background.</w:t>
      </w:r>
    </w:p>
    <w:p w14:paraId="23178D6C" w14:textId="66EFEF0A" w:rsidR="00395311" w:rsidRPr="00310EA5" w:rsidRDefault="005A1F81" w:rsidP="008A7D11">
      <w:pPr>
        <w:pStyle w:val="ListNumber"/>
        <w:numPr>
          <w:ilvl w:val="0"/>
          <w:numId w:val="0"/>
        </w:numPr>
        <w:spacing w:after="240" w:line="240" w:lineRule="auto"/>
        <w:ind w:firstLine="360"/>
        <w:rPr>
          <w:b/>
          <w:bCs/>
        </w:rPr>
      </w:pPr>
      <w:r w:rsidRPr="00310EA5">
        <w:rPr>
          <w:b/>
          <w:bCs/>
        </w:rPr>
        <w:t>Pre Access</w:t>
      </w:r>
    </w:p>
    <w:p w14:paraId="20CEABC2" w14:textId="5D1DFDDE" w:rsidR="00457CAA" w:rsidRPr="006D11E9" w:rsidRDefault="00457CAA" w:rsidP="00310EA5">
      <w:pPr>
        <w:pStyle w:val="ListNumber"/>
        <w:numPr>
          <w:ilvl w:val="0"/>
          <w:numId w:val="0"/>
        </w:numPr>
        <w:spacing w:after="240" w:line="240" w:lineRule="auto"/>
        <w:ind w:left="426"/>
      </w:pPr>
      <w:r w:rsidRPr="006D11E9">
        <w:t xml:space="preserve">Deliver </w:t>
      </w:r>
      <w:r w:rsidR="00771078" w:rsidRPr="006D11E9">
        <w:t>a</w:t>
      </w:r>
      <w:r w:rsidRPr="006D11E9">
        <w:t xml:space="preserve"> range of pre-access activities aimed at building confidence and aspiration to enter a higher education pathway, including:</w:t>
      </w:r>
    </w:p>
    <w:p w14:paraId="49F2FA13" w14:textId="77777777" w:rsidR="00310EA5" w:rsidRDefault="005A1F81" w:rsidP="00310EA5">
      <w:pPr>
        <w:pStyle w:val="ListNumber"/>
        <w:numPr>
          <w:ilvl w:val="0"/>
          <w:numId w:val="39"/>
        </w:numPr>
        <w:spacing w:after="240" w:line="240" w:lineRule="auto"/>
      </w:pPr>
      <w:r w:rsidRPr="006D11E9">
        <w:t xml:space="preserve">Outreach to schools and communities including </w:t>
      </w:r>
      <w:r w:rsidR="001D3B58" w:rsidRPr="006D11E9">
        <w:t xml:space="preserve">the </w:t>
      </w:r>
      <w:r w:rsidRPr="006D11E9">
        <w:t>River Journey</w:t>
      </w:r>
      <w:r w:rsidR="001D3B58" w:rsidRPr="006D11E9">
        <w:t xml:space="preserve"> Program</w:t>
      </w:r>
      <w:r w:rsidRPr="006D11E9">
        <w:t xml:space="preserve">, campus </w:t>
      </w:r>
      <w:r w:rsidR="0026065E" w:rsidRPr="006D11E9">
        <w:t>v</w:t>
      </w:r>
      <w:r w:rsidRPr="006D11E9">
        <w:t xml:space="preserve">isits, </w:t>
      </w:r>
      <w:r w:rsidR="00DA7A80" w:rsidRPr="006D11E9">
        <w:t xml:space="preserve">Indigenous River Journey, </w:t>
      </w:r>
      <w:r w:rsidRPr="006D11E9">
        <w:t xml:space="preserve">school presentations, </w:t>
      </w:r>
      <w:r w:rsidR="00DA7A80" w:rsidRPr="006D11E9">
        <w:t xml:space="preserve">the </w:t>
      </w:r>
      <w:r w:rsidR="0026065E" w:rsidRPr="006D11E9">
        <w:t>I</w:t>
      </w:r>
      <w:r w:rsidR="008C7F05" w:rsidRPr="006D11E9">
        <w:t>nspire</w:t>
      </w:r>
      <w:r w:rsidR="0026065E" w:rsidRPr="006D11E9">
        <w:t xml:space="preserve"> </w:t>
      </w:r>
      <w:r w:rsidR="00DA7A80" w:rsidRPr="006D11E9">
        <w:t xml:space="preserve">Mentor </w:t>
      </w:r>
      <w:r w:rsidR="0026065E" w:rsidRPr="006D11E9">
        <w:t>program</w:t>
      </w:r>
      <w:r w:rsidR="00457CAA" w:rsidRPr="006D11E9">
        <w:t>, STEM presentations</w:t>
      </w:r>
    </w:p>
    <w:p w14:paraId="1DB24174" w14:textId="78853933" w:rsidR="005A1F81" w:rsidRPr="006D11E9" w:rsidRDefault="00457CAA" w:rsidP="00310EA5">
      <w:pPr>
        <w:pStyle w:val="ListNumber"/>
        <w:numPr>
          <w:ilvl w:val="0"/>
          <w:numId w:val="39"/>
        </w:numPr>
        <w:spacing w:after="240" w:line="240" w:lineRule="auto"/>
      </w:pPr>
      <w:r w:rsidRPr="006D11E9">
        <w:t>Learning to Lead – leadership and career aspiration building</w:t>
      </w:r>
      <w:r w:rsidR="008226BA">
        <w:t>.</w:t>
      </w:r>
      <w:r w:rsidR="0026065E" w:rsidRPr="006D11E9">
        <w:t xml:space="preserve"> </w:t>
      </w:r>
    </w:p>
    <w:p w14:paraId="38CFAB52" w14:textId="3708B672" w:rsidR="005A1F81" w:rsidRPr="00310EA5" w:rsidRDefault="005A1F81" w:rsidP="00310EA5">
      <w:pPr>
        <w:pStyle w:val="ListNumber"/>
        <w:numPr>
          <w:ilvl w:val="0"/>
          <w:numId w:val="0"/>
        </w:numPr>
        <w:spacing w:after="240" w:line="240" w:lineRule="auto"/>
        <w:ind w:left="567" w:hanging="141"/>
        <w:rPr>
          <w:b/>
          <w:bCs/>
        </w:rPr>
      </w:pPr>
      <w:r w:rsidRPr="00310EA5">
        <w:rPr>
          <w:b/>
          <w:bCs/>
        </w:rPr>
        <w:t>Access</w:t>
      </w:r>
    </w:p>
    <w:p w14:paraId="4F4DCDBB" w14:textId="7FC811A0" w:rsidR="00457CAA" w:rsidRPr="006D11E9" w:rsidRDefault="00457CAA" w:rsidP="00310EA5">
      <w:pPr>
        <w:pStyle w:val="ListNumber"/>
        <w:numPr>
          <w:ilvl w:val="0"/>
          <w:numId w:val="0"/>
        </w:numPr>
        <w:spacing w:after="240" w:line="240" w:lineRule="auto"/>
        <w:ind w:left="426"/>
      </w:pPr>
      <w:r w:rsidRPr="006D11E9">
        <w:t>Ensure that admission to university is accessible, fair and equitable and that it</w:t>
      </w:r>
      <w:r w:rsidR="00CC4AB3">
        <w:t xml:space="preserve"> removes </w:t>
      </w:r>
      <w:r w:rsidRPr="006D11E9">
        <w:t>barriers for students f</w:t>
      </w:r>
      <w:r w:rsidR="00771078" w:rsidRPr="006D11E9">
        <w:t>ro</w:t>
      </w:r>
      <w:r w:rsidRPr="006D11E9">
        <w:t>m low SES backgrounds by:</w:t>
      </w:r>
    </w:p>
    <w:p w14:paraId="644BF74C" w14:textId="456404E1" w:rsidR="005A1F81" w:rsidRPr="006D11E9" w:rsidRDefault="00457CAA" w:rsidP="00310EA5">
      <w:pPr>
        <w:pStyle w:val="ListNumber"/>
        <w:numPr>
          <w:ilvl w:val="0"/>
          <w:numId w:val="38"/>
        </w:numPr>
        <w:spacing w:after="240" w:line="240" w:lineRule="auto"/>
      </w:pPr>
      <w:r w:rsidRPr="006D11E9">
        <w:t>Developing a</w:t>
      </w:r>
      <w:r w:rsidR="008C7F05" w:rsidRPr="006D11E9">
        <w:t xml:space="preserve">lternative pathways through </w:t>
      </w:r>
      <w:r w:rsidR="001D3B58" w:rsidRPr="006D11E9">
        <w:t xml:space="preserve">non ATAR based, </w:t>
      </w:r>
      <w:r w:rsidR="008C7F05" w:rsidRPr="006D11E9">
        <w:t xml:space="preserve">VET and </w:t>
      </w:r>
      <w:r w:rsidR="001D3B58" w:rsidRPr="006D11E9">
        <w:t xml:space="preserve">other </w:t>
      </w:r>
      <w:r w:rsidR="008C7F05" w:rsidRPr="006D11E9">
        <w:t>approaches</w:t>
      </w:r>
      <w:r w:rsidRPr="006D11E9">
        <w:t xml:space="preserve"> </w:t>
      </w:r>
      <w:r w:rsidR="001D3B58" w:rsidRPr="006D11E9">
        <w:t>through</w:t>
      </w:r>
      <w:r w:rsidRPr="006D11E9">
        <w:t xml:space="preserve"> </w:t>
      </w:r>
      <w:r w:rsidR="008C7F05" w:rsidRPr="006D11E9">
        <w:t xml:space="preserve">bridging programs and </w:t>
      </w:r>
      <w:r w:rsidR="00DA7A80" w:rsidRPr="006D11E9">
        <w:t xml:space="preserve">specialist entry schemes such as </w:t>
      </w:r>
      <w:r w:rsidR="001D3B58" w:rsidRPr="006D11E9">
        <w:t xml:space="preserve">the </w:t>
      </w:r>
      <w:r w:rsidR="00DA7A80" w:rsidRPr="006D11E9">
        <w:t xml:space="preserve">Assessment </w:t>
      </w:r>
      <w:r w:rsidR="00676740" w:rsidRPr="006D11E9">
        <w:t>C</w:t>
      </w:r>
      <w:r w:rsidR="00DA7A80" w:rsidRPr="006D11E9">
        <w:t xml:space="preserve">entre, </w:t>
      </w:r>
      <w:r w:rsidR="00CC4AB3">
        <w:t xml:space="preserve">uniTest, </w:t>
      </w:r>
      <w:r w:rsidR="00DA7A80" w:rsidRPr="006D11E9">
        <w:t>P</w:t>
      </w:r>
      <w:r w:rsidR="008C7F05" w:rsidRPr="006D11E9">
        <w:t xml:space="preserve">ortfolio </w:t>
      </w:r>
      <w:r w:rsidR="00DA7A80" w:rsidRPr="006D11E9">
        <w:t xml:space="preserve">Entry and the </w:t>
      </w:r>
      <w:r w:rsidR="00CC4AB3">
        <w:t>Schools</w:t>
      </w:r>
      <w:r w:rsidR="008C7F05" w:rsidRPr="006D11E9">
        <w:t xml:space="preserve"> </w:t>
      </w:r>
      <w:r w:rsidR="00DA7A80" w:rsidRPr="006D11E9">
        <w:t>R</w:t>
      </w:r>
      <w:r w:rsidR="008C7F05" w:rsidRPr="006D11E9">
        <w:t xml:space="preserve">ecommendation </w:t>
      </w:r>
      <w:r w:rsidR="00DA7A80" w:rsidRPr="006D11E9">
        <w:t>program</w:t>
      </w:r>
    </w:p>
    <w:p w14:paraId="408AE117" w14:textId="11334FB3" w:rsidR="003A0DC0" w:rsidRPr="006D11E9" w:rsidRDefault="003A0DC0" w:rsidP="00310EA5">
      <w:pPr>
        <w:pStyle w:val="ListNumber"/>
        <w:numPr>
          <w:ilvl w:val="0"/>
          <w:numId w:val="38"/>
        </w:numPr>
        <w:spacing w:after="240" w:line="240" w:lineRule="auto"/>
      </w:pPr>
      <w:r w:rsidRPr="006D11E9">
        <w:t>Partner</w:t>
      </w:r>
      <w:r w:rsidR="00310EA5">
        <w:t>ing</w:t>
      </w:r>
      <w:r w:rsidRPr="006D11E9">
        <w:t xml:space="preserve"> with Regional Study Hubs to provide in region access to higher education for regional, rural and remote students</w:t>
      </w:r>
      <w:r w:rsidR="008226BA">
        <w:t>.</w:t>
      </w:r>
    </w:p>
    <w:p w14:paraId="746D7B3C" w14:textId="476B1B01" w:rsidR="008C7F05" w:rsidRPr="00310EA5" w:rsidRDefault="008C7F05" w:rsidP="00310EA5">
      <w:pPr>
        <w:pStyle w:val="ListNumber"/>
        <w:numPr>
          <w:ilvl w:val="0"/>
          <w:numId w:val="0"/>
        </w:numPr>
        <w:spacing w:after="240" w:line="240" w:lineRule="auto"/>
        <w:ind w:left="567" w:hanging="141"/>
        <w:rPr>
          <w:b/>
          <w:bCs/>
        </w:rPr>
      </w:pPr>
      <w:r w:rsidRPr="00310EA5">
        <w:rPr>
          <w:b/>
          <w:bCs/>
        </w:rPr>
        <w:t>Participation</w:t>
      </w:r>
    </w:p>
    <w:p w14:paraId="72F7C7EE" w14:textId="4DC7245D" w:rsidR="00932887" w:rsidRPr="006D11E9" w:rsidRDefault="00932887" w:rsidP="00310EA5">
      <w:pPr>
        <w:pStyle w:val="ListNumber"/>
        <w:numPr>
          <w:ilvl w:val="0"/>
          <w:numId w:val="0"/>
        </w:numPr>
        <w:spacing w:after="240" w:line="240" w:lineRule="auto"/>
        <w:ind w:left="426"/>
      </w:pPr>
      <w:r w:rsidRPr="006D11E9">
        <w:t>Ensure a successful, supported and positive student experience</w:t>
      </w:r>
      <w:r w:rsidR="009B3A88" w:rsidRPr="006D11E9">
        <w:t xml:space="preserve"> that builds knowledge and a sense of belonging</w:t>
      </w:r>
      <w:r w:rsidR="00376D73">
        <w:t>. Activities include:</w:t>
      </w:r>
      <w:r w:rsidRPr="006D11E9">
        <w:t xml:space="preserve"> </w:t>
      </w:r>
    </w:p>
    <w:p w14:paraId="26A7857A" w14:textId="5B0DD49B" w:rsidR="008C7F05" w:rsidRPr="006D11E9" w:rsidRDefault="00457CAA" w:rsidP="00310EA5">
      <w:pPr>
        <w:pStyle w:val="ListNumber"/>
        <w:numPr>
          <w:ilvl w:val="0"/>
          <w:numId w:val="40"/>
        </w:numPr>
        <w:spacing w:after="240" w:line="240" w:lineRule="auto"/>
      </w:pPr>
      <w:r w:rsidRPr="006D11E9">
        <w:t>T</w:t>
      </w:r>
      <w:r w:rsidR="008C7F05" w:rsidRPr="006D11E9">
        <w:t xml:space="preserve">ransition </w:t>
      </w:r>
      <w:r w:rsidRPr="006D11E9">
        <w:t>E</w:t>
      </w:r>
      <w:r w:rsidR="008C7F05" w:rsidRPr="006D11E9">
        <w:t>xperience</w:t>
      </w:r>
      <w:r w:rsidR="008B6866" w:rsidRPr="006D11E9">
        <w:t xml:space="preserve"> for parents and commencing students</w:t>
      </w:r>
      <w:r w:rsidR="008C7F05" w:rsidRPr="006D11E9">
        <w:t>, Retention and Success Strategy,</w:t>
      </w:r>
      <w:r w:rsidR="002B6266">
        <w:t xml:space="preserve"> Access Scholarships,</w:t>
      </w:r>
      <w:r w:rsidR="008C7F05" w:rsidRPr="006D11E9">
        <w:t xml:space="preserve"> </w:t>
      </w:r>
      <w:r w:rsidR="002B6266">
        <w:t>H</w:t>
      </w:r>
      <w:r w:rsidR="008C7F05" w:rsidRPr="006D11E9">
        <w:t xml:space="preserve">ealth </w:t>
      </w:r>
      <w:r w:rsidR="002B6266">
        <w:t>C</w:t>
      </w:r>
      <w:r w:rsidR="008C7F05" w:rsidRPr="006D11E9">
        <w:t xml:space="preserve">ounselling and </w:t>
      </w:r>
      <w:r w:rsidR="002B6266">
        <w:t>Di</w:t>
      </w:r>
      <w:r w:rsidR="008C7F05" w:rsidRPr="006D11E9">
        <w:t>sability</w:t>
      </w:r>
      <w:r w:rsidR="002B6266">
        <w:t xml:space="preserve"> support</w:t>
      </w:r>
      <w:r w:rsidR="008C7F05" w:rsidRPr="006D11E9">
        <w:t xml:space="preserve">, learning support, </w:t>
      </w:r>
      <w:r w:rsidR="009D37D7" w:rsidRPr="006D11E9">
        <w:t xml:space="preserve">access to online support through </w:t>
      </w:r>
      <w:r w:rsidR="008C7F05" w:rsidRPr="006D11E9">
        <w:t xml:space="preserve">Studiosity, </w:t>
      </w:r>
      <w:r w:rsidR="00A56D84" w:rsidRPr="006D11E9">
        <w:t xml:space="preserve">community of practice </w:t>
      </w:r>
      <w:r w:rsidR="00C86BD9" w:rsidRPr="006D11E9">
        <w:t>for academic coordinators of first year topics</w:t>
      </w:r>
    </w:p>
    <w:p w14:paraId="55D3DD90" w14:textId="10591DB9" w:rsidR="00771078" w:rsidRDefault="00771078" w:rsidP="00310EA5">
      <w:pPr>
        <w:pStyle w:val="ListNumber"/>
        <w:numPr>
          <w:ilvl w:val="0"/>
          <w:numId w:val="40"/>
        </w:numPr>
        <w:spacing w:after="240" w:line="240" w:lineRule="auto"/>
      </w:pPr>
      <w:r w:rsidRPr="006D11E9">
        <w:t xml:space="preserve">Enhanced Orientation over </w:t>
      </w:r>
      <w:r w:rsidR="00715855" w:rsidRPr="006D11E9">
        <w:t xml:space="preserve">five </w:t>
      </w:r>
      <w:r w:rsidRPr="006D11E9">
        <w:t>weeks</w:t>
      </w:r>
      <w:r w:rsidR="008F2B7F" w:rsidRPr="006D11E9">
        <w:t xml:space="preserve"> </w:t>
      </w:r>
      <w:r w:rsidR="00A91F42" w:rsidRPr="006D11E9">
        <w:t>–</w:t>
      </w:r>
      <w:r w:rsidR="008F2B7F" w:rsidRPr="006D11E9">
        <w:t xml:space="preserve"> </w:t>
      </w:r>
      <w:r w:rsidR="00A91F42" w:rsidRPr="006D11E9">
        <w:t>O Week</w:t>
      </w:r>
      <w:r w:rsidR="0050701E" w:rsidRPr="006D11E9">
        <w:t xml:space="preserve">, Connect Week, Skills Week, </w:t>
      </w:r>
      <w:r w:rsidR="00CC4AB3">
        <w:t>C</w:t>
      </w:r>
      <w:r w:rsidR="00715855" w:rsidRPr="006D11E9">
        <w:t>ultural Week, Wellbeing Week.</w:t>
      </w:r>
      <w:r w:rsidR="008F0581" w:rsidRPr="006D11E9">
        <w:t xml:space="preserve"> Welcome Hub available throughout </w:t>
      </w:r>
      <w:r w:rsidR="00CC4AB3">
        <w:t>semester</w:t>
      </w:r>
      <w:r w:rsidR="008F0581" w:rsidRPr="006D11E9">
        <w:t xml:space="preserve"> on</w:t>
      </w:r>
      <w:r w:rsidR="005D1D70" w:rsidRPr="006D11E9">
        <w:t>e.</w:t>
      </w:r>
    </w:p>
    <w:p w14:paraId="7E47C8F2" w14:textId="481393E9" w:rsidR="00CC4AB3" w:rsidRDefault="00CC4AB3" w:rsidP="00310EA5">
      <w:pPr>
        <w:pStyle w:val="ListNumber"/>
        <w:numPr>
          <w:ilvl w:val="0"/>
          <w:numId w:val="40"/>
        </w:numPr>
        <w:spacing w:after="240" w:line="240" w:lineRule="auto"/>
      </w:pPr>
      <w:r>
        <w:t>Flinders Support Network - personalised support</w:t>
      </w:r>
    </w:p>
    <w:p w14:paraId="5157E3BE" w14:textId="266B9AFA" w:rsidR="00310EA5" w:rsidRDefault="00310EA5" w:rsidP="00310EA5">
      <w:pPr>
        <w:pStyle w:val="ListNumber"/>
        <w:numPr>
          <w:ilvl w:val="0"/>
          <w:numId w:val="40"/>
        </w:numPr>
        <w:spacing w:after="240" w:line="240" w:lineRule="auto"/>
      </w:pPr>
      <w:r>
        <w:t xml:space="preserve">Bushfire </w:t>
      </w:r>
      <w:r w:rsidR="002B6266">
        <w:t>R</w:t>
      </w:r>
      <w:r>
        <w:t>elief Grants for low SES students impacted by bushfires</w:t>
      </w:r>
    </w:p>
    <w:p w14:paraId="092535ED" w14:textId="0566423E" w:rsidR="008A7D11" w:rsidRDefault="008A7D11" w:rsidP="008A7D11">
      <w:pPr>
        <w:pStyle w:val="ListNumber"/>
        <w:numPr>
          <w:ilvl w:val="0"/>
          <w:numId w:val="40"/>
        </w:numPr>
        <w:spacing w:after="240" w:line="240" w:lineRule="auto"/>
      </w:pPr>
      <w:r>
        <w:t>COVID-19 response – activitie</w:t>
      </w:r>
      <w:r w:rsidR="00236A21">
        <w:t xml:space="preserve">s and services </w:t>
      </w:r>
      <w:r w:rsidR="00791DDB">
        <w:t>are being refocussed</w:t>
      </w:r>
      <w:r w:rsidR="00236A21">
        <w:t xml:space="preserve"> </w:t>
      </w:r>
      <w:r>
        <w:t xml:space="preserve">to </w:t>
      </w:r>
      <w:r w:rsidR="000F4545">
        <w:t>ensure that additional support can be provided</w:t>
      </w:r>
      <w:r w:rsidR="00236A21">
        <w:t xml:space="preserve"> for low SES students</w:t>
      </w:r>
    </w:p>
    <w:p w14:paraId="2B655EF5" w14:textId="653F0515" w:rsidR="008C7F05" w:rsidRDefault="008C7F05" w:rsidP="00310EA5">
      <w:pPr>
        <w:pStyle w:val="ListNumber"/>
        <w:numPr>
          <w:ilvl w:val="0"/>
          <w:numId w:val="0"/>
        </w:numPr>
        <w:spacing w:after="240" w:line="240" w:lineRule="auto"/>
        <w:ind w:left="567" w:hanging="141"/>
        <w:rPr>
          <w:b/>
          <w:bCs/>
        </w:rPr>
      </w:pPr>
      <w:r w:rsidRPr="00310EA5">
        <w:rPr>
          <w:b/>
          <w:bCs/>
        </w:rPr>
        <w:t>Progress and attainment</w:t>
      </w:r>
    </w:p>
    <w:p w14:paraId="3DB2F509" w14:textId="4AA25B7B" w:rsidR="00310EA5" w:rsidRPr="002B6266" w:rsidRDefault="00310EA5" w:rsidP="002B6266">
      <w:pPr>
        <w:pStyle w:val="ListNumber"/>
        <w:numPr>
          <w:ilvl w:val="0"/>
          <w:numId w:val="0"/>
        </w:numPr>
        <w:spacing w:after="240" w:line="240" w:lineRule="auto"/>
        <w:ind w:left="426"/>
      </w:pPr>
      <w:r w:rsidRPr="002B6266">
        <w:t xml:space="preserve">Ensure successful completion and </w:t>
      </w:r>
      <w:r w:rsidR="002B6266" w:rsidRPr="002B6266">
        <w:t>preparation for graduate employment through the following</w:t>
      </w:r>
      <w:r w:rsidR="002B6266">
        <w:t>:</w:t>
      </w:r>
    </w:p>
    <w:p w14:paraId="1659ADDE" w14:textId="519C660F" w:rsidR="00676740" w:rsidRPr="006D11E9" w:rsidRDefault="00A40BA7" w:rsidP="00310EA5">
      <w:pPr>
        <w:pStyle w:val="ListNumber"/>
        <w:numPr>
          <w:ilvl w:val="0"/>
          <w:numId w:val="41"/>
        </w:numPr>
        <w:spacing w:after="240" w:line="240" w:lineRule="auto"/>
      </w:pPr>
      <w:r w:rsidRPr="006D11E9">
        <w:t>Careers Hub, Horizon</w:t>
      </w:r>
      <w:r w:rsidR="00216DE6" w:rsidRPr="006D11E9">
        <w:t xml:space="preserve"> Awards,</w:t>
      </w:r>
      <w:r w:rsidRPr="006D11E9">
        <w:t xml:space="preserve"> Student </w:t>
      </w:r>
      <w:r w:rsidR="00947AEF" w:rsidRPr="006D11E9">
        <w:t>Learning</w:t>
      </w:r>
      <w:r w:rsidRPr="006D11E9">
        <w:t xml:space="preserve"> Support Systems, </w:t>
      </w:r>
      <w:r w:rsidR="005D1D70" w:rsidRPr="006D11E9">
        <w:t>Alumni</w:t>
      </w:r>
      <w:r w:rsidR="00216DE6" w:rsidRPr="006D11E9">
        <w:t>.</w:t>
      </w:r>
    </w:p>
    <w:p w14:paraId="78B6E166" w14:textId="77C22252" w:rsidR="00310EA5" w:rsidRPr="00771078" w:rsidRDefault="00310EA5" w:rsidP="002B6266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  <w:bookmarkStart w:id="0" w:name="_GoBack"/>
      <w:bookmarkEnd w:id="0"/>
    </w:p>
    <w:p w14:paraId="42A40E7E" w14:textId="4E0497DC" w:rsidR="00E75A27" w:rsidRDefault="00E75A27" w:rsidP="00E12873">
      <w:pPr>
        <w:pStyle w:val="ListNumber"/>
        <w:numPr>
          <w:ilvl w:val="0"/>
          <w:numId w:val="27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14:paraId="7FFC12D4" w14:textId="77777777" w:rsidR="002D5ECE" w:rsidRPr="00C77D6A" w:rsidRDefault="002D5ECE" w:rsidP="002D5ECE">
      <w:pPr>
        <w:spacing w:after="0" w:line="240" w:lineRule="auto"/>
        <w:ind w:left="360"/>
        <w:jc w:val="both"/>
        <w:rPr>
          <w:rFonts w:cstheme="minorHAnsi"/>
        </w:rPr>
      </w:pPr>
      <w:r w:rsidRPr="00C77D6A">
        <w:rPr>
          <w:rFonts w:cstheme="minorHAnsi"/>
        </w:rPr>
        <w:t>Institutional enrolment and planning data will be used to measure progress against targets and to aid in the development of widening participation initiatives.</w:t>
      </w:r>
    </w:p>
    <w:p w14:paraId="046B4123" w14:textId="77777777" w:rsidR="002D5ECE" w:rsidRPr="00C77D6A" w:rsidRDefault="002D5ECE" w:rsidP="002D5ECE">
      <w:pPr>
        <w:spacing w:after="0" w:line="240" w:lineRule="auto"/>
        <w:ind w:left="360"/>
        <w:jc w:val="both"/>
        <w:rPr>
          <w:rFonts w:cstheme="minorHAnsi"/>
        </w:rPr>
      </w:pPr>
    </w:p>
    <w:p w14:paraId="21AE8168" w14:textId="77777777" w:rsidR="002D5ECE" w:rsidRPr="00C77D6A" w:rsidRDefault="002D5ECE" w:rsidP="002D5ECE">
      <w:pPr>
        <w:spacing w:after="0" w:line="240" w:lineRule="auto"/>
        <w:ind w:left="360"/>
        <w:jc w:val="both"/>
        <w:rPr>
          <w:rFonts w:cstheme="minorHAnsi"/>
        </w:rPr>
      </w:pPr>
      <w:r w:rsidRPr="00C77D6A">
        <w:rPr>
          <w:rFonts w:cstheme="minorHAnsi"/>
        </w:rPr>
        <w:t>The University program evaluation includes:</w:t>
      </w:r>
    </w:p>
    <w:p w14:paraId="3EA73445" w14:textId="77777777" w:rsidR="002D5ECE" w:rsidRPr="00C77D6A" w:rsidRDefault="002D5ECE" w:rsidP="002D5ECE">
      <w:pPr>
        <w:pStyle w:val="ListParagraph"/>
        <w:numPr>
          <w:ilvl w:val="0"/>
          <w:numId w:val="32"/>
        </w:numPr>
        <w:spacing w:after="0" w:line="240" w:lineRule="auto"/>
        <w:ind w:left="1080"/>
        <w:jc w:val="both"/>
        <w:rPr>
          <w:rFonts w:cstheme="minorHAnsi"/>
        </w:rPr>
      </w:pPr>
      <w:r w:rsidRPr="00C77D6A">
        <w:rPr>
          <w:rFonts w:cstheme="minorHAnsi"/>
        </w:rPr>
        <w:t>individual post program activity evaluation</w:t>
      </w:r>
    </w:p>
    <w:p w14:paraId="2F8D0B77" w14:textId="77777777" w:rsidR="002D5ECE" w:rsidRPr="00C77D6A" w:rsidRDefault="002D5ECE" w:rsidP="002D5ECE">
      <w:pPr>
        <w:pStyle w:val="ListParagraph"/>
        <w:numPr>
          <w:ilvl w:val="0"/>
          <w:numId w:val="32"/>
        </w:numPr>
        <w:spacing w:after="0" w:line="240" w:lineRule="auto"/>
        <w:ind w:left="1080"/>
        <w:jc w:val="both"/>
        <w:rPr>
          <w:rFonts w:cstheme="minorHAnsi"/>
        </w:rPr>
      </w:pPr>
      <w:r w:rsidRPr="00C77D6A">
        <w:rPr>
          <w:rFonts w:cstheme="minorHAnsi"/>
        </w:rPr>
        <w:t>annual internal reviews of all programs contained in the plan to improve processes and outcomes for students participating in the initiatives</w:t>
      </w:r>
    </w:p>
    <w:p w14:paraId="50FDAA3F" w14:textId="77777777" w:rsidR="002D5ECE" w:rsidRPr="00C77D6A" w:rsidRDefault="002D5ECE" w:rsidP="002D5ECE">
      <w:pPr>
        <w:pStyle w:val="ListParagraph"/>
        <w:numPr>
          <w:ilvl w:val="0"/>
          <w:numId w:val="32"/>
        </w:numPr>
        <w:spacing w:after="0" w:line="240" w:lineRule="auto"/>
        <w:ind w:left="1080"/>
        <w:jc w:val="both"/>
        <w:rPr>
          <w:rFonts w:cstheme="minorHAnsi"/>
        </w:rPr>
      </w:pPr>
      <w:r w:rsidRPr="00C77D6A">
        <w:rPr>
          <w:rFonts w:cstheme="minorHAnsi"/>
        </w:rPr>
        <w:t xml:space="preserve">annual review of HEPPP plan against targets </w:t>
      </w:r>
    </w:p>
    <w:p w14:paraId="2E7920CF" w14:textId="77777777" w:rsidR="002D5ECE" w:rsidRPr="00C77D6A" w:rsidRDefault="002D5ECE" w:rsidP="002D5ECE">
      <w:pPr>
        <w:spacing w:after="0" w:line="240" w:lineRule="auto"/>
        <w:ind w:left="360"/>
        <w:jc w:val="both"/>
        <w:rPr>
          <w:rFonts w:cstheme="minorHAnsi"/>
        </w:rPr>
      </w:pPr>
    </w:p>
    <w:p w14:paraId="77EC6A94" w14:textId="03BDC3DD" w:rsidR="002D5ECE" w:rsidRDefault="002D5ECE" w:rsidP="002D5ECE">
      <w:pPr>
        <w:spacing w:after="0" w:line="240" w:lineRule="auto"/>
        <w:ind w:left="360"/>
        <w:jc w:val="both"/>
        <w:rPr>
          <w:rFonts w:cstheme="minorHAnsi"/>
        </w:rPr>
      </w:pPr>
      <w:r w:rsidRPr="00C77D6A">
        <w:rPr>
          <w:rFonts w:cstheme="minorHAnsi"/>
        </w:rPr>
        <w:t xml:space="preserve">Flinders University will use a variety of evaluation data for continuous program improvement including:  </w:t>
      </w:r>
      <w:r w:rsidR="00CC4AB3">
        <w:rPr>
          <w:rFonts w:cstheme="minorHAnsi"/>
        </w:rPr>
        <w:t>q</w:t>
      </w:r>
      <w:r w:rsidRPr="00C77D6A">
        <w:rPr>
          <w:rFonts w:cstheme="minorHAnsi"/>
        </w:rPr>
        <w:t xml:space="preserve">ualitative data; </w:t>
      </w:r>
      <w:r w:rsidR="00CC4AB3">
        <w:rPr>
          <w:rFonts w:cstheme="minorHAnsi"/>
        </w:rPr>
        <w:t>q</w:t>
      </w:r>
      <w:r w:rsidRPr="00C77D6A">
        <w:rPr>
          <w:rFonts w:cstheme="minorHAnsi"/>
        </w:rPr>
        <w:t xml:space="preserve">uantitative </w:t>
      </w:r>
      <w:r w:rsidR="00CC4AB3">
        <w:rPr>
          <w:rFonts w:cstheme="minorHAnsi"/>
        </w:rPr>
        <w:t>d</w:t>
      </w:r>
      <w:r w:rsidRPr="00C77D6A">
        <w:rPr>
          <w:rFonts w:cstheme="minorHAnsi"/>
        </w:rPr>
        <w:t>ata; and</w:t>
      </w:r>
      <w:r>
        <w:rPr>
          <w:rFonts w:cstheme="minorHAnsi"/>
        </w:rPr>
        <w:t xml:space="preserve">, </w:t>
      </w:r>
      <w:r w:rsidR="00CC4AB3">
        <w:rPr>
          <w:rFonts w:cstheme="minorHAnsi"/>
        </w:rPr>
        <w:t>f</w:t>
      </w:r>
      <w:r>
        <w:rPr>
          <w:rFonts w:cstheme="minorHAnsi"/>
        </w:rPr>
        <w:t xml:space="preserve">ocus groups and survey </w:t>
      </w:r>
      <w:r w:rsidRPr="00C77D6A">
        <w:rPr>
          <w:rFonts w:cstheme="minorHAnsi"/>
        </w:rPr>
        <w:t>feedback.</w:t>
      </w:r>
    </w:p>
    <w:p w14:paraId="43C1B79C" w14:textId="77777777" w:rsidR="002D5ECE" w:rsidRDefault="002D5ECE" w:rsidP="002D5ECE">
      <w:pPr>
        <w:spacing w:after="0" w:line="240" w:lineRule="auto"/>
        <w:ind w:left="360"/>
        <w:jc w:val="both"/>
        <w:rPr>
          <w:rFonts w:cstheme="minorHAnsi"/>
        </w:rPr>
      </w:pPr>
    </w:p>
    <w:p w14:paraId="79ADC1A5" w14:textId="77777777" w:rsidR="002D5ECE" w:rsidRPr="00C77D6A" w:rsidRDefault="002D5ECE" w:rsidP="002D5ECE">
      <w:pPr>
        <w:spacing w:after="0" w:line="240" w:lineRule="auto"/>
        <w:ind w:left="360"/>
        <w:jc w:val="both"/>
        <w:rPr>
          <w:rFonts w:cstheme="minorHAnsi"/>
        </w:rPr>
      </w:pPr>
      <w:r w:rsidRPr="00A339C7">
        <w:rPr>
          <w:rFonts w:cstheme="minorHAnsi"/>
        </w:rPr>
        <w:t>Student success measures are part of the key accountabilities for the University Executive, Colleges and teaching programs and are reported to Academic Senate.</w:t>
      </w:r>
      <w:r>
        <w:rPr>
          <w:rFonts w:cstheme="minorHAnsi"/>
        </w:rPr>
        <w:t xml:space="preserve"> </w:t>
      </w:r>
    </w:p>
    <w:p w14:paraId="2142A186" w14:textId="598F8235" w:rsidR="00395311" w:rsidRPr="00CB6EC3" w:rsidRDefault="00395311" w:rsidP="00395311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0EAC248C" w14:textId="3910A5CB" w:rsidR="00E75A27" w:rsidRDefault="00E75A27" w:rsidP="00E12873">
      <w:pPr>
        <w:pStyle w:val="ListNumber"/>
        <w:numPr>
          <w:ilvl w:val="0"/>
          <w:numId w:val="27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Partnerships and collaboration</w:t>
      </w:r>
      <w:r w:rsidRPr="00CB6EC3">
        <w:rPr>
          <w:sz w:val="24"/>
        </w:rPr>
        <w:t>: who the university will partner and collaborate with and how this will improve equity performance</w:t>
      </w:r>
      <w:r w:rsidR="00B00D12" w:rsidRPr="00CB6EC3">
        <w:rPr>
          <w:sz w:val="24"/>
        </w:rPr>
        <w:t>.</w:t>
      </w:r>
    </w:p>
    <w:p w14:paraId="4EB51C49" w14:textId="77777777" w:rsidR="00052081" w:rsidRDefault="00052081" w:rsidP="00052081">
      <w:pPr>
        <w:pStyle w:val="ListNumber"/>
        <w:numPr>
          <w:ilvl w:val="0"/>
          <w:numId w:val="0"/>
        </w:numPr>
        <w:spacing w:after="240" w:line="240" w:lineRule="auto"/>
        <w:ind w:left="360"/>
        <w:rPr>
          <w:sz w:val="24"/>
        </w:rPr>
      </w:pPr>
    </w:p>
    <w:p w14:paraId="56B02FC4" w14:textId="77777777" w:rsidR="00447EF8" w:rsidRDefault="005E739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Australian </w:t>
      </w:r>
      <w:r w:rsidR="00447EF8">
        <w:rPr>
          <w:rFonts w:cstheme="minorHAnsi"/>
        </w:rPr>
        <w:t xml:space="preserve">Government </w:t>
      </w:r>
    </w:p>
    <w:p w14:paraId="30343E5E" w14:textId="357EA5EC" w:rsidR="0026065E" w:rsidRDefault="0026065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South Australian Government</w:t>
      </w:r>
    </w:p>
    <w:p w14:paraId="2A6E6B73" w14:textId="5DB91E01" w:rsidR="0026065E" w:rsidRDefault="0026065E" w:rsidP="0026065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Local Government- </w:t>
      </w:r>
      <w:r w:rsidR="00DA7A80">
        <w:rPr>
          <w:rFonts w:cstheme="minorHAnsi"/>
        </w:rPr>
        <w:t xml:space="preserve">including </w:t>
      </w:r>
      <w:r>
        <w:rPr>
          <w:rFonts w:cstheme="minorHAnsi"/>
        </w:rPr>
        <w:t>City of Onkaparinga, City of Playford, City of Marion</w:t>
      </w:r>
    </w:p>
    <w:p w14:paraId="21C0F02C" w14:textId="2DA73402" w:rsidR="00DA7A80" w:rsidRDefault="00DA7A80" w:rsidP="0026065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Regional, Rural and Remote communities through the RDAs, Regional Study Hubs and Rural Health Centres</w:t>
      </w:r>
    </w:p>
    <w:p w14:paraId="0C59BF3D" w14:textId="67472A72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 xml:space="preserve">South Australian Department for Education – Engagement with schools. </w:t>
      </w:r>
    </w:p>
    <w:p w14:paraId="6A0A31B8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Projects with at risk school students through Flexible Learning Options (FLO).</w:t>
      </w:r>
    </w:p>
    <w:p w14:paraId="24224047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TAFE SA – VET pathways, inclusive entry practices, articulation agreements. Dual offers and Dual awards – integrating VET and HE qualifications</w:t>
      </w:r>
    </w:p>
    <w:p w14:paraId="5108B4DD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The Smith Family – Building aspiration with Scholarship families</w:t>
      </w:r>
    </w:p>
    <w:p w14:paraId="560F70A7" w14:textId="7662BF73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5206C2">
        <w:rPr>
          <w:rFonts w:cstheme="minorHAnsi"/>
        </w:rPr>
        <w:t xml:space="preserve">Indigenous </w:t>
      </w:r>
      <w:r w:rsidR="005206C2">
        <w:rPr>
          <w:rFonts w:cstheme="minorHAnsi"/>
        </w:rPr>
        <w:t xml:space="preserve">partners - </w:t>
      </w:r>
      <w:r w:rsidR="005206C2">
        <w:t>The Workabout Centre (Aboriginal Education Directorate with the Dept for Education)</w:t>
      </w:r>
    </w:p>
    <w:p w14:paraId="2224D80B" w14:textId="1B36B07F" w:rsidR="002D5ECE" w:rsidRPr="00CC4AB3" w:rsidRDefault="002D5ECE" w:rsidP="00CC4AB3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Regional engagement with study hubs in Port Pirie, Murray Bridge, Nuriootpa, and Port Augusta</w:t>
      </w:r>
    </w:p>
    <w:p w14:paraId="7A80DFC8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>
        <w:t>Zahra Foundation</w:t>
      </w:r>
    </w:p>
    <w:p w14:paraId="3D15E7EE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A76BC7">
        <w:t>Anglicare</w:t>
      </w:r>
      <w:r w:rsidRPr="002D5ECE">
        <w:rPr>
          <w:rFonts w:cstheme="minorHAnsi"/>
        </w:rPr>
        <w:t xml:space="preserve"> </w:t>
      </w:r>
    </w:p>
    <w:p w14:paraId="0C6F5B13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AFL Sports Ready – Pathways into higher education</w:t>
      </w:r>
    </w:p>
    <w:p w14:paraId="27059190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Catholic Education South Australia – Outreach and engagement with schools</w:t>
      </w:r>
    </w:p>
    <w:p w14:paraId="1BAE1ADB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Southern Adelaide &amp; Fleurieu Secondary Schools Alliance (SAFSA) and the Community Education Partnership – Building relationships, pathways and increasing participation for students from low SES backgrounds</w:t>
      </w:r>
    </w:p>
    <w:p w14:paraId="0148F95C" w14:textId="77777777" w:rsidR="002D5ECE" w:rsidRP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Northern Adelaide State Secondary School Alliance – Building relationships, pathways and increasing participation for students from low SES backgrounds</w:t>
      </w:r>
    </w:p>
    <w:p w14:paraId="679301EE" w14:textId="5A3437E5" w:rsidR="002D5ECE" w:rsidRDefault="002D5ECE" w:rsidP="002D5ECE">
      <w:pPr>
        <w:pStyle w:val="ListNumber"/>
        <w:numPr>
          <w:ilvl w:val="0"/>
          <w:numId w:val="34"/>
        </w:numPr>
        <w:spacing w:after="0" w:line="240" w:lineRule="auto"/>
        <w:ind w:left="720"/>
        <w:jc w:val="both"/>
        <w:rPr>
          <w:rFonts w:cstheme="minorHAnsi"/>
        </w:rPr>
      </w:pPr>
      <w:r w:rsidRPr="002D5ECE">
        <w:rPr>
          <w:rFonts w:cstheme="minorHAnsi"/>
        </w:rPr>
        <w:t>Western Adelaide Secondary School Network – Building relationships, pathways and increasing participation for students from low SES backgrounds.</w:t>
      </w:r>
    </w:p>
    <w:sectPr w:rsidR="002D5ECE" w:rsidSect="00EC488B">
      <w:headerReference w:type="default" r:id="rId11"/>
      <w:footerReference w:type="default" r:id="rId12"/>
      <w:pgSz w:w="11906" w:h="16838"/>
      <w:pgMar w:top="0" w:right="1440" w:bottom="851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0A859" w14:textId="77777777" w:rsidR="00DA3323" w:rsidRDefault="00DA3323" w:rsidP="00130923">
      <w:pPr>
        <w:spacing w:after="0" w:line="240" w:lineRule="auto"/>
      </w:pPr>
      <w:r>
        <w:separator/>
      </w:r>
    </w:p>
  </w:endnote>
  <w:endnote w:type="continuationSeparator" w:id="0">
    <w:p w14:paraId="0FB2A6B4" w14:textId="77777777" w:rsidR="00DA3323" w:rsidRDefault="00DA3323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9E28B" w14:textId="12B0F849" w:rsidR="005206C2" w:rsidRDefault="00BA1055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-10561622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06C2">
          <w:fldChar w:fldCharType="begin"/>
        </w:r>
        <w:r w:rsidR="005206C2">
          <w:instrText xml:space="preserve"> PAGE   \* MERGEFORMAT </w:instrText>
        </w:r>
        <w:r w:rsidR="005206C2">
          <w:fldChar w:fldCharType="separate"/>
        </w:r>
        <w:r>
          <w:rPr>
            <w:noProof/>
          </w:rPr>
          <w:t>2</w:t>
        </w:r>
        <w:r w:rsidR="005206C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A0EE" w14:textId="77777777" w:rsidR="00DA3323" w:rsidRDefault="00DA3323" w:rsidP="00130923">
      <w:pPr>
        <w:spacing w:after="0" w:line="240" w:lineRule="auto"/>
      </w:pPr>
      <w:r>
        <w:separator/>
      </w:r>
    </w:p>
  </w:footnote>
  <w:footnote w:type="continuationSeparator" w:id="0">
    <w:p w14:paraId="2D72A1C5" w14:textId="77777777" w:rsidR="00DA3323" w:rsidRDefault="00DA3323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0DD9" w14:textId="024A1338" w:rsidR="005206C2" w:rsidRDefault="005206C2" w:rsidP="00A66052">
    <w:pPr>
      <w:pStyle w:val="Header"/>
      <w:spacing w:after="480"/>
      <w:jc w:val="right"/>
    </w:pPr>
    <w:r>
      <w:t>Access and Participation Plan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E81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F1614"/>
    <w:multiLevelType w:val="multilevel"/>
    <w:tmpl w:val="510C9A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519AE"/>
    <w:multiLevelType w:val="hybridMultilevel"/>
    <w:tmpl w:val="DB76D9E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AD5980"/>
    <w:multiLevelType w:val="hybridMultilevel"/>
    <w:tmpl w:val="7926461E"/>
    <w:lvl w:ilvl="0" w:tplc="0C090003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1" w15:restartNumberingAfterBreak="0">
    <w:nsid w:val="50E34958"/>
    <w:multiLevelType w:val="hybridMultilevel"/>
    <w:tmpl w:val="D61C856E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8559D8"/>
    <w:multiLevelType w:val="hybridMultilevel"/>
    <w:tmpl w:val="F738E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E3A30"/>
    <w:multiLevelType w:val="hybridMultilevel"/>
    <w:tmpl w:val="1750B5AC"/>
    <w:lvl w:ilvl="0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B2326A1"/>
    <w:multiLevelType w:val="hybridMultilevel"/>
    <w:tmpl w:val="50C2A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B5E6B"/>
    <w:multiLevelType w:val="hybridMultilevel"/>
    <w:tmpl w:val="13866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659B4"/>
    <w:multiLevelType w:val="hybridMultilevel"/>
    <w:tmpl w:val="45820D1E"/>
    <w:lvl w:ilvl="0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E715F"/>
    <w:multiLevelType w:val="hybridMultilevel"/>
    <w:tmpl w:val="3522DB46"/>
    <w:lvl w:ilvl="0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9"/>
  </w:num>
  <w:num w:numId="15">
    <w:abstractNumId w:val="12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19"/>
  </w:num>
  <w:num w:numId="22">
    <w:abstractNumId w:val="22"/>
  </w:num>
  <w:num w:numId="23">
    <w:abstractNumId w:val="15"/>
  </w:num>
  <w:num w:numId="24">
    <w:abstractNumId w:val="18"/>
  </w:num>
  <w:num w:numId="25">
    <w:abstractNumId w:val="15"/>
  </w:num>
  <w:num w:numId="26">
    <w:abstractNumId w:val="1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3"/>
  </w:num>
  <w:num w:numId="31">
    <w:abstractNumId w:val="31"/>
  </w:num>
  <w:num w:numId="32">
    <w:abstractNumId w:val="27"/>
  </w:num>
  <w:num w:numId="33">
    <w:abstractNumId w:val="26"/>
  </w:num>
  <w:num w:numId="34">
    <w:abstractNumId w:val="11"/>
  </w:num>
  <w:num w:numId="35">
    <w:abstractNumId w:val="17"/>
  </w:num>
  <w:num w:numId="36">
    <w:abstractNumId w:val="24"/>
  </w:num>
  <w:num w:numId="37">
    <w:abstractNumId w:val="20"/>
  </w:num>
  <w:num w:numId="38">
    <w:abstractNumId w:val="25"/>
  </w:num>
  <w:num w:numId="39">
    <w:abstractNumId w:val="21"/>
  </w:num>
  <w:num w:numId="40">
    <w:abstractNumId w:val="28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3C03"/>
    <w:rsid w:val="00007E0C"/>
    <w:rsid w:val="00024E24"/>
    <w:rsid w:val="00034EAA"/>
    <w:rsid w:val="00052081"/>
    <w:rsid w:val="00055934"/>
    <w:rsid w:val="000861A6"/>
    <w:rsid w:val="000D7FD3"/>
    <w:rsid w:val="000E50BF"/>
    <w:rsid w:val="000E7E7B"/>
    <w:rsid w:val="000F3BA2"/>
    <w:rsid w:val="000F4545"/>
    <w:rsid w:val="00103F8C"/>
    <w:rsid w:val="001175BF"/>
    <w:rsid w:val="00130923"/>
    <w:rsid w:val="00132B66"/>
    <w:rsid w:val="001414F3"/>
    <w:rsid w:val="00143FCD"/>
    <w:rsid w:val="00152D18"/>
    <w:rsid w:val="00167F21"/>
    <w:rsid w:val="001A495D"/>
    <w:rsid w:val="001B6467"/>
    <w:rsid w:val="001C48A7"/>
    <w:rsid w:val="001D3B58"/>
    <w:rsid w:val="001E4A37"/>
    <w:rsid w:val="001F510A"/>
    <w:rsid w:val="00203F57"/>
    <w:rsid w:val="002076E6"/>
    <w:rsid w:val="00216073"/>
    <w:rsid w:val="00216DE6"/>
    <w:rsid w:val="00222463"/>
    <w:rsid w:val="00223EB1"/>
    <w:rsid w:val="00230BDF"/>
    <w:rsid w:val="0023685B"/>
    <w:rsid w:val="00236917"/>
    <w:rsid w:val="00236A21"/>
    <w:rsid w:val="00241465"/>
    <w:rsid w:val="0024390F"/>
    <w:rsid w:val="00243D6B"/>
    <w:rsid w:val="0026065E"/>
    <w:rsid w:val="0026291C"/>
    <w:rsid w:val="0026793C"/>
    <w:rsid w:val="002758D7"/>
    <w:rsid w:val="00276954"/>
    <w:rsid w:val="002822BD"/>
    <w:rsid w:val="002A11FB"/>
    <w:rsid w:val="002B06E6"/>
    <w:rsid w:val="002B6266"/>
    <w:rsid w:val="002C1423"/>
    <w:rsid w:val="002C3AA1"/>
    <w:rsid w:val="002D271F"/>
    <w:rsid w:val="002D5ECE"/>
    <w:rsid w:val="002D6386"/>
    <w:rsid w:val="002D7D13"/>
    <w:rsid w:val="002F1999"/>
    <w:rsid w:val="002F4311"/>
    <w:rsid w:val="00303892"/>
    <w:rsid w:val="00305B35"/>
    <w:rsid w:val="00310EA5"/>
    <w:rsid w:val="003155A7"/>
    <w:rsid w:val="003155A8"/>
    <w:rsid w:val="003166C5"/>
    <w:rsid w:val="003242B9"/>
    <w:rsid w:val="0034671D"/>
    <w:rsid w:val="003723BB"/>
    <w:rsid w:val="003753C7"/>
    <w:rsid w:val="00376582"/>
    <w:rsid w:val="00376D73"/>
    <w:rsid w:val="0038467B"/>
    <w:rsid w:val="00395311"/>
    <w:rsid w:val="003979FC"/>
    <w:rsid w:val="003A0DC0"/>
    <w:rsid w:val="003B0ED9"/>
    <w:rsid w:val="003D67FC"/>
    <w:rsid w:val="00406E5A"/>
    <w:rsid w:val="0041715E"/>
    <w:rsid w:val="0042619D"/>
    <w:rsid w:val="004269E3"/>
    <w:rsid w:val="00427248"/>
    <w:rsid w:val="00443110"/>
    <w:rsid w:val="00447EF8"/>
    <w:rsid w:val="00455B34"/>
    <w:rsid w:val="00457CAA"/>
    <w:rsid w:val="00481F02"/>
    <w:rsid w:val="0048762C"/>
    <w:rsid w:val="004B256F"/>
    <w:rsid w:val="004E4494"/>
    <w:rsid w:val="004F15A7"/>
    <w:rsid w:val="0050701E"/>
    <w:rsid w:val="005113B6"/>
    <w:rsid w:val="005206C2"/>
    <w:rsid w:val="00531817"/>
    <w:rsid w:val="005405A1"/>
    <w:rsid w:val="00560CA0"/>
    <w:rsid w:val="005624F3"/>
    <w:rsid w:val="005811EF"/>
    <w:rsid w:val="00585156"/>
    <w:rsid w:val="005A1F81"/>
    <w:rsid w:val="005B0878"/>
    <w:rsid w:val="005B66CA"/>
    <w:rsid w:val="005C15C0"/>
    <w:rsid w:val="005C39E5"/>
    <w:rsid w:val="005D1D70"/>
    <w:rsid w:val="005E739E"/>
    <w:rsid w:val="00610654"/>
    <w:rsid w:val="0062410D"/>
    <w:rsid w:val="00626F7F"/>
    <w:rsid w:val="006318B9"/>
    <w:rsid w:val="006418F9"/>
    <w:rsid w:val="0067026C"/>
    <w:rsid w:val="00676740"/>
    <w:rsid w:val="006D11E9"/>
    <w:rsid w:val="006E2D49"/>
    <w:rsid w:val="00712BE3"/>
    <w:rsid w:val="00715855"/>
    <w:rsid w:val="007468FC"/>
    <w:rsid w:val="00771078"/>
    <w:rsid w:val="00782F1B"/>
    <w:rsid w:val="00783224"/>
    <w:rsid w:val="00791DDB"/>
    <w:rsid w:val="00792CA3"/>
    <w:rsid w:val="007A6C29"/>
    <w:rsid w:val="007B2FDD"/>
    <w:rsid w:val="007D307D"/>
    <w:rsid w:val="007D58FB"/>
    <w:rsid w:val="007E0574"/>
    <w:rsid w:val="008163BB"/>
    <w:rsid w:val="008226BA"/>
    <w:rsid w:val="00832FB2"/>
    <w:rsid w:val="0083468A"/>
    <w:rsid w:val="00834E65"/>
    <w:rsid w:val="00835B93"/>
    <w:rsid w:val="00837827"/>
    <w:rsid w:val="00842D43"/>
    <w:rsid w:val="00845040"/>
    <w:rsid w:val="00856D1C"/>
    <w:rsid w:val="00876AC0"/>
    <w:rsid w:val="008A0AF8"/>
    <w:rsid w:val="008A7D11"/>
    <w:rsid w:val="008B6866"/>
    <w:rsid w:val="008B6F50"/>
    <w:rsid w:val="008C7F05"/>
    <w:rsid w:val="008E5219"/>
    <w:rsid w:val="008E5AC8"/>
    <w:rsid w:val="008E773B"/>
    <w:rsid w:val="008F0581"/>
    <w:rsid w:val="008F2B7F"/>
    <w:rsid w:val="00903408"/>
    <w:rsid w:val="00905AD9"/>
    <w:rsid w:val="009116EA"/>
    <w:rsid w:val="00931E30"/>
    <w:rsid w:val="00932887"/>
    <w:rsid w:val="00933671"/>
    <w:rsid w:val="00947AEF"/>
    <w:rsid w:val="00971D09"/>
    <w:rsid w:val="00972BF7"/>
    <w:rsid w:val="00972DD5"/>
    <w:rsid w:val="00975C2B"/>
    <w:rsid w:val="009777CD"/>
    <w:rsid w:val="00984879"/>
    <w:rsid w:val="00985632"/>
    <w:rsid w:val="00991B63"/>
    <w:rsid w:val="009B2428"/>
    <w:rsid w:val="009B3A88"/>
    <w:rsid w:val="009B5CB7"/>
    <w:rsid w:val="009C04B6"/>
    <w:rsid w:val="009C0EA3"/>
    <w:rsid w:val="009D37D7"/>
    <w:rsid w:val="009D3C4D"/>
    <w:rsid w:val="009E6EB9"/>
    <w:rsid w:val="009F3E64"/>
    <w:rsid w:val="00A0490D"/>
    <w:rsid w:val="00A0528A"/>
    <w:rsid w:val="00A1074C"/>
    <w:rsid w:val="00A145A2"/>
    <w:rsid w:val="00A24D5E"/>
    <w:rsid w:val="00A31242"/>
    <w:rsid w:val="00A40A2D"/>
    <w:rsid w:val="00A40BA7"/>
    <w:rsid w:val="00A475CB"/>
    <w:rsid w:val="00A50604"/>
    <w:rsid w:val="00A52530"/>
    <w:rsid w:val="00A551BF"/>
    <w:rsid w:val="00A56D84"/>
    <w:rsid w:val="00A571DC"/>
    <w:rsid w:val="00A66052"/>
    <w:rsid w:val="00A70524"/>
    <w:rsid w:val="00A73406"/>
    <w:rsid w:val="00A91F42"/>
    <w:rsid w:val="00AA464D"/>
    <w:rsid w:val="00AB2766"/>
    <w:rsid w:val="00AC65DA"/>
    <w:rsid w:val="00AD09E4"/>
    <w:rsid w:val="00AD5D0A"/>
    <w:rsid w:val="00AF0014"/>
    <w:rsid w:val="00AF1737"/>
    <w:rsid w:val="00AF1C3A"/>
    <w:rsid w:val="00B00D12"/>
    <w:rsid w:val="00B2722A"/>
    <w:rsid w:val="00B4243F"/>
    <w:rsid w:val="00B4447B"/>
    <w:rsid w:val="00B60E3A"/>
    <w:rsid w:val="00B618BA"/>
    <w:rsid w:val="00B82137"/>
    <w:rsid w:val="00B825B8"/>
    <w:rsid w:val="00B8718A"/>
    <w:rsid w:val="00B95503"/>
    <w:rsid w:val="00BA1055"/>
    <w:rsid w:val="00BA282D"/>
    <w:rsid w:val="00BA4D57"/>
    <w:rsid w:val="00BA58C4"/>
    <w:rsid w:val="00BB6260"/>
    <w:rsid w:val="00BC2A70"/>
    <w:rsid w:val="00BC6DD6"/>
    <w:rsid w:val="00BE0B64"/>
    <w:rsid w:val="00BE4F09"/>
    <w:rsid w:val="00BF6463"/>
    <w:rsid w:val="00BF7312"/>
    <w:rsid w:val="00C03C81"/>
    <w:rsid w:val="00C05E74"/>
    <w:rsid w:val="00C10C19"/>
    <w:rsid w:val="00C143B8"/>
    <w:rsid w:val="00C17D02"/>
    <w:rsid w:val="00C33682"/>
    <w:rsid w:val="00C52261"/>
    <w:rsid w:val="00C5649C"/>
    <w:rsid w:val="00C66021"/>
    <w:rsid w:val="00C75486"/>
    <w:rsid w:val="00C8202C"/>
    <w:rsid w:val="00C86BD9"/>
    <w:rsid w:val="00C91576"/>
    <w:rsid w:val="00C92A5B"/>
    <w:rsid w:val="00CA46EC"/>
    <w:rsid w:val="00CA7C7F"/>
    <w:rsid w:val="00CB6EC3"/>
    <w:rsid w:val="00CC4AB3"/>
    <w:rsid w:val="00CD29E8"/>
    <w:rsid w:val="00CE2AA2"/>
    <w:rsid w:val="00D05B29"/>
    <w:rsid w:val="00D12BEB"/>
    <w:rsid w:val="00D1394D"/>
    <w:rsid w:val="00D229CE"/>
    <w:rsid w:val="00D27C2D"/>
    <w:rsid w:val="00D47740"/>
    <w:rsid w:val="00D51B3A"/>
    <w:rsid w:val="00D72F0F"/>
    <w:rsid w:val="00D812B9"/>
    <w:rsid w:val="00D903FD"/>
    <w:rsid w:val="00D93652"/>
    <w:rsid w:val="00D94BC5"/>
    <w:rsid w:val="00D96C08"/>
    <w:rsid w:val="00DA3323"/>
    <w:rsid w:val="00DA7A80"/>
    <w:rsid w:val="00DB6C32"/>
    <w:rsid w:val="00DC3052"/>
    <w:rsid w:val="00DD022D"/>
    <w:rsid w:val="00DE5F75"/>
    <w:rsid w:val="00DE7916"/>
    <w:rsid w:val="00DF46C4"/>
    <w:rsid w:val="00DF4CA3"/>
    <w:rsid w:val="00E02515"/>
    <w:rsid w:val="00E12873"/>
    <w:rsid w:val="00E13C57"/>
    <w:rsid w:val="00E15C96"/>
    <w:rsid w:val="00E1604B"/>
    <w:rsid w:val="00E2102F"/>
    <w:rsid w:val="00E45111"/>
    <w:rsid w:val="00E75A27"/>
    <w:rsid w:val="00E763A6"/>
    <w:rsid w:val="00EC488B"/>
    <w:rsid w:val="00EC78E7"/>
    <w:rsid w:val="00ED43D2"/>
    <w:rsid w:val="00EE3B8C"/>
    <w:rsid w:val="00EF25D6"/>
    <w:rsid w:val="00EF4A38"/>
    <w:rsid w:val="00EF5845"/>
    <w:rsid w:val="00F11B8F"/>
    <w:rsid w:val="00F21BBD"/>
    <w:rsid w:val="00F3699A"/>
    <w:rsid w:val="00F379D0"/>
    <w:rsid w:val="00F46796"/>
    <w:rsid w:val="00F47193"/>
    <w:rsid w:val="00F501B4"/>
    <w:rsid w:val="00F60B84"/>
    <w:rsid w:val="00F74011"/>
    <w:rsid w:val="00F74E9E"/>
    <w:rsid w:val="00F76175"/>
    <w:rsid w:val="00F77140"/>
    <w:rsid w:val="00F80CFC"/>
    <w:rsid w:val="00F80DCB"/>
    <w:rsid w:val="00F958AE"/>
    <w:rsid w:val="00F97875"/>
    <w:rsid w:val="00FB10CB"/>
    <w:rsid w:val="00FB365C"/>
    <w:rsid w:val="00FC5F71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699A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AB01-E58C-4841-B922-14ADCC30097F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a0bbd5-585e-4472-9791-5df67fe41a90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F131BD-6ED7-4086-B43E-60EEF3FF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hask0033</dc:creator>
  <cp:lastModifiedBy>KLEIN,Isobel</cp:lastModifiedBy>
  <cp:revision>10</cp:revision>
  <cp:lastPrinted>2020-04-07T04:14:00Z</cp:lastPrinted>
  <dcterms:created xsi:type="dcterms:W3CDTF">2020-04-29T00:25:00Z</dcterms:created>
  <dcterms:modified xsi:type="dcterms:W3CDTF">2020-08-06T02:00:00Z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