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82F7A7" w14:textId="54148C2C" w:rsidR="00E75A27" w:rsidRDefault="00E75A27" w:rsidP="00E75A27">
      <w:pPr>
        <w:pStyle w:val="Heading1"/>
      </w:pPr>
      <w:r w:rsidRPr="00E75A27">
        <w:t>AC</w:t>
      </w:r>
      <w:r w:rsidR="00B825B8">
        <w:t>CESS AND PARTICIPATION PLAN 2020</w:t>
      </w:r>
    </w:p>
    <w:p w14:paraId="6E9742F4" w14:textId="77777777" w:rsidR="00857A5E" w:rsidRPr="00181D7B" w:rsidRDefault="00857A5E" w:rsidP="00857A5E">
      <w:pPr>
        <w:pStyle w:val="Heading2"/>
        <w:rPr>
          <w:rFonts w:asciiTheme="minorHAnsi" w:hAnsiTheme="minorHAnsi" w:cstheme="minorHAnsi"/>
          <w:bCs w:val="0"/>
          <w:sz w:val="22"/>
          <w:szCs w:val="22"/>
        </w:rPr>
      </w:pPr>
      <w:r w:rsidRPr="00181D7B">
        <w:rPr>
          <w:rFonts w:asciiTheme="minorHAnsi" w:hAnsiTheme="minorHAnsi" w:cstheme="minorHAnsi"/>
          <w:bCs w:val="0"/>
          <w:sz w:val="22"/>
          <w:szCs w:val="22"/>
        </w:rPr>
        <w:t>Australian Catholic University</w:t>
      </w:r>
    </w:p>
    <w:p w14:paraId="3BF0854C" w14:textId="77777777" w:rsidR="00857A5E" w:rsidRPr="00181D7B" w:rsidRDefault="00857A5E" w:rsidP="00857A5E">
      <w:pPr>
        <w:spacing w:after="0" w:line="240" w:lineRule="auto"/>
        <w:rPr>
          <w:rFonts w:cstheme="minorHAnsi"/>
        </w:rPr>
      </w:pPr>
    </w:p>
    <w:p w14:paraId="15369BCA" w14:textId="32ED5C37" w:rsidR="00857A5E" w:rsidRPr="00181D7B" w:rsidRDefault="00857A5E" w:rsidP="00857A5E">
      <w:pPr>
        <w:pStyle w:val="ListNumber"/>
        <w:numPr>
          <w:ilvl w:val="0"/>
          <w:numId w:val="0"/>
        </w:numPr>
        <w:spacing w:after="240" w:line="240" w:lineRule="auto"/>
        <w:ind w:left="360" w:hanging="360"/>
        <w:rPr>
          <w:rFonts w:cstheme="minorHAnsi"/>
        </w:rPr>
      </w:pPr>
      <w:r w:rsidRPr="00181D7B">
        <w:rPr>
          <w:rFonts w:cstheme="minorHAnsi"/>
          <w:b/>
        </w:rPr>
        <w:t>Equity strategies</w:t>
      </w:r>
      <w:r w:rsidRPr="00181D7B">
        <w:rPr>
          <w:rFonts w:cstheme="minorHAnsi"/>
        </w:rPr>
        <w:t xml:space="preserve">: </w:t>
      </w:r>
      <w:r w:rsidR="006C50CB" w:rsidRPr="00181D7B">
        <w:rPr>
          <w:rFonts w:cstheme="minorHAnsi"/>
        </w:rPr>
        <w:t xml:space="preserve">ACU’s whole of university widening participation strategy provides a cohesive framework across the student lifecycle </w:t>
      </w:r>
      <w:r w:rsidRPr="00181D7B">
        <w:rPr>
          <w:rFonts w:cstheme="minorHAnsi"/>
        </w:rPr>
        <w:t xml:space="preserve">for improving </w:t>
      </w:r>
      <w:r w:rsidR="006C50CB" w:rsidRPr="00181D7B">
        <w:rPr>
          <w:rFonts w:cstheme="minorHAnsi"/>
        </w:rPr>
        <w:t xml:space="preserve">access, participation and success in higher education </w:t>
      </w:r>
      <w:r w:rsidRPr="00181D7B">
        <w:rPr>
          <w:rFonts w:cstheme="minorHAnsi"/>
        </w:rPr>
        <w:t>for people from low SES background</w:t>
      </w:r>
      <w:r w:rsidR="00181D7B">
        <w:rPr>
          <w:rFonts w:cstheme="minorHAnsi"/>
        </w:rPr>
        <w:t>s.</w:t>
      </w:r>
      <w:r w:rsidR="00D50C39">
        <w:rPr>
          <w:rFonts w:cstheme="minorHAnsi"/>
        </w:rPr>
        <w:t xml:space="preserve"> ACU’s </w:t>
      </w:r>
      <w:r w:rsidR="00471C20">
        <w:rPr>
          <w:rFonts w:cstheme="minorHAnsi"/>
        </w:rPr>
        <w:t xml:space="preserve">Widening Participation Strategy also seeks to broaden its focus on supporting mature age students and disadvantaged adults who may not otherwise have considered or have access to tertiary education. </w:t>
      </w:r>
    </w:p>
    <w:p w14:paraId="6B034C6D" w14:textId="77777777" w:rsidR="00857A5E" w:rsidRPr="00181D7B" w:rsidRDefault="00857A5E" w:rsidP="00857A5E">
      <w:pPr>
        <w:pStyle w:val="ListNumber"/>
        <w:numPr>
          <w:ilvl w:val="0"/>
          <w:numId w:val="0"/>
        </w:numPr>
        <w:spacing w:after="240" w:line="240" w:lineRule="auto"/>
        <w:ind w:left="357"/>
        <w:rPr>
          <w:rFonts w:cstheme="minorHAnsi"/>
          <w:b/>
        </w:rPr>
      </w:pPr>
    </w:p>
    <w:p w14:paraId="7897ECB4" w14:textId="77777777" w:rsidR="00857A5E" w:rsidRPr="00181D7B" w:rsidRDefault="00857A5E" w:rsidP="00857A5E">
      <w:pPr>
        <w:pStyle w:val="ListNumber"/>
        <w:numPr>
          <w:ilvl w:val="0"/>
          <w:numId w:val="0"/>
        </w:numPr>
        <w:spacing w:after="240" w:line="240" w:lineRule="auto"/>
        <w:ind w:left="360" w:hanging="360"/>
        <w:rPr>
          <w:rFonts w:cstheme="minorHAnsi"/>
        </w:rPr>
      </w:pPr>
      <w:r w:rsidRPr="00181D7B">
        <w:rPr>
          <w:rFonts w:cstheme="minorHAnsi"/>
          <w:b/>
        </w:rPr>
        <w:t>Equity outcomes:</w:t>
      </w:r>
    </w:p>
    <w:p w14:paraId="7760A003" w14:textId="77777777" w:rsidR="00857A5E" w:rsidRPr="00181D7B" w:rsidRDefault="00857A5E" w:rsidP="00857A5E">
      <w:pPr>
        <w:pStyle w:val="ListNumber"/>
        <w:numPr>
          <w:ilvl w:val="0"/>
          <w:numId w:val="0"/>
        </w:numPr>
        <w:spacing w:after="240" w:line="240" w:lineRule="auto"/>
        <w:rPr>
          <w:rFonts w:cstheme="minorHAnsi"/>
        </w:rPr>
      </w:pPr>
    </w:p>
    <w:p w14:paraId="50E77F36" w14:textId="77777777" w:rsidR="00857A5E" w:rsidRPr="00181D7B" w:rsidRDefault="00857A5E" w:rsidP="00857A5E">
      <w:pPr>
        <w:pStyle w:val="ListNumber"/>
        <w:numPr>
          <w:ilvl w:val="0"/>
          <w:numId w:val="32"/>
        </w:numPr>
        <w:spacing w:after="240"/>
        <w:rPr>
          <w:rFonts w:cstheme="minorHAnsi"/>
        </w:rPr>
      </w:pPr>
      <w:r w:rsidRPr="00181D7B">
        <w:rPr>
          <w:rFonts w:cstheme="minorHAnsi"/>
        </w:rPr>
        <w:t>Increase participation rates for people from low socio-economic backgrounds, including Aboriginal and Torres Strait Islander people and people from regional and remote areas</w:t>
      </w:r>
    </w:p>
    <w:p w14:paraId="5C0818A7" w14:textId="56F787A4" w:rsidR="00857A5E" w:rsidRDefault="00857A5E" w:rsidP="00857A5E">
      <w:pPr>
        <w:pStyle w:val="ListNumber"/>
        <w:numPr>
          <w:ilvl w:val="0"/>
          <w:numId w:val="32"/>
        </w:numPr>
        <w:spacing w:after="240"/>
        <w:rPr>
          <w:rFonts w:cstheme="minorHAnsi"/>
        </w:rPr>
      </w:pPr>
      <w:r w:rsidRPr="00181D7B">
        <w:rPr>
          <w:rFonts w:cstheme="minorHAnsi"/>
        </w:rPr>
        <w:t>Increase retention and success rates of students from low socio-economic backgrounds to be at or above the sector rate.</w:t>
      </w:r>
    </w:p>
    <w:p w14:paraId="711B7A5D" w14:textId="47BCE79D" w:rsidR="00471C20" w:rsidRPr="00181D7B" w:rsidRDefault="00471C20" w:rsidP="00857A5E">
      <w:pPr>
        <w:pStyle w:val="ListNumber"/>
        <w:numPr>
          <w:ilvl w:val="0"/>
          <w:numId w:val="32"/>
        </w:numPr>
        <w:spacing w:after="240"/>
        <w:rPr>
          <w:rFonts w:cstheme="minorHAnsi"/>
        </w:rPr>
      </w:pPr>
      <w:r>
        <w:rPr>
          <w:rFonts w:cstheme="minorHAnsi"/>
        </w:rPr>
        <w:t xml:space="preserve">Increase </w:t>
      </w:r>
      <w:r w:rsidR="00110655">
        <w:rPr>
          <w:rFonts w:cstheme="minorHAnsi"/>
        </w:rPr>
        <w:t>completion rate</w:t>
      </w:r>
      <w:r>
        <w:rPr>
          <w:rFonts w:cstheme="minorHAnsi"/>
        </w:rPr>
        <w:t xml:space="preserve"> and graduate outcomes of students from low socio-economic backgrounds </w:t>
      </w:r>
      <w:r w:rsidR="00110655">
        <w:rPr>
          <w:rFonts w:cstheme="minorHAnsi"/>
        </w:rPr>
        <w:t>to be at or above the sector rate</w:t>
      </w:r>
      <w:r>
        <w:rPr>
          <w:rFonts w:cstheme="minorHAnsi"/>
        </w:rPr>
        <w:t xml:space="preserve"> </w:t>
      </w:r>
    </w:p>
    <w:p w14:paraId="3DA696EF" w14:textId="77777777" w:rsidR="00857A5E" w:rsidRPr="00181D7B" w:rsidRDefault="00857A5E" w:rsidP="00857A5E">
      <w:pPr>
        <w:pStyle w:val="ListNumber"/>
        <w:numPr>
          <w:ilvl w:val="0"/>
          <w:numId w:val="0"/>
        </w:numPr>
        <w:spacing w:after="240"/>
        <w:ind w:left="360"/>
        <w:rPr>
          <w:rFonts w:cstheme="minorHAnsi"/>
        </w:rPr>
      </w:pPr>
    </w:p>
    <w:p w14:paraId="3AF9279D" w14:textId="77777777" w:rsidR="00857A5E" w:rsidRPr="00181D7B" w:rsidRDefault="00857A5E" w:rsidP="00857A5E">
      <w:pPr>
        <w:pStyle w:val="ListNumber"/>
        <w:numPr>
          <w:ilvl w:val="0"/>
          <w:numId w:val="0"/>
        </w:numPr>
        <w:spacing w:after="240"/>
        <w:ind w:left="360" w:hanging="360"/>
        <w:rPr>
          <w:rFonts w:cstheme="minorHAnsi"/>
          <w:b/>
        </w:rPr>
      </w:pPr>
      <w:r w:rsidRPr="00181D7B">
        <w:rPr>
          <w:rFonts w:cstheme="minorHAnsi"/>
          <w:b/>
        </w:rPr>
        <w:t xml:space="preserve">Equity strategies: </w:t>
      </w:r>
    </w:p>
    <w:p w14:paraId="0371953F" w14:textId="52DBDDEF" w:rsidR="00857A5E" w:rsidRPr="00181D7B" w:rsidRDefault="00857A5E" w:rsidP="00857A5E">
      <w:pPr>
        <w:pStyle w:val="ListNumber"/>
        <w:numPr>
          <w:ilvl w:val="0"/>
          <w:numId w:val="0"/>
        </w:numPr>
        <w:ind w:left="360"/>
        <w:rPr>
          <w:rFonts w:cstheme="minorHAnsi"/>
        </w:rPr>
      </w:pPr>
      <w:r w:rsidRPr="00181D7B">
        <w:rPr>
          <w:rFonts w:cstheme="minorHAnsi"/>
        </w:rPr>
        <w:t xml:space="preserve">Building awareness </w:t>
      </w:r>
      <w:r w:rsidR="00B727BC" w:rsidRPr="00181D7B">
        <w:rPr>
          <w:rFonts w:cstheme="minorHAnsi"/>
        </w:rPr>
        <w:t xml:space="preserve">of the benefits </w:t>
      </w:r>
      <w:r w:rsidRPr="00181D7B">
        <w:rPr>
          <w:rFonts w:cstheme="minorHAnsi"/>
        </w:rPr>
        <w:t xml:space="preserve">of higher education, informing aspirations, providing access and enabling successful participation and attainment in higher education is the focus of ACU’s Widening Participation strategy activities. </w:t>
      </w:r>
      <w:r w:rsidR="00110655">
        <w:rPr>
          <w:rFonts w:cstheme="minorHAnsi"/>
        </w:rPr>
        <w:t>ACU will focus on strengthening its digital engagement capability across all platforms.</w:t>
      </w:r>
      <w:r w:rsidRPr="00181D7B">
        <w:rPr>
          <w:rFonts w:cstheme="minorHAnsi"/>
        </w:rPr>
        <w:t xml:space="preserve"> The strategies and activities are embedded throughout the student lifecycle</w:t>
      </w:r>
      <w:r w:rsidR="00110655">
        <w:rPr>
          <w:rFonts w:cstheme="minorHAnsi"/>
        </w:rPr>
        <w:t xml:space="preserve">. </w:t>
      </w:r>
      <w:r w:rsidRPr="00181D7B">
        <w:rPr>
          <w:rFonts w:cstheme="minorHAnsi"/>
        </w:rPr>
        <w:t>:</w:t>
      </w:r>
    </w:p>
    <w:p w14:paraId="377731E2" w14:textId="71363437" w:rsidR="00857A5E" w:rsidRPr="00181D7B" w:rsidRDefault="00857A5E" w:rsidP="00857A5E">
      <w:pPr>
        <w:pStyle w:val="ListNumber"/>
        <w:numPr>
          <w:ilvl w:val="0"/>
          <w:numId w:val="33"/>
        </w:numPr>
        <w:rPr>
          <w:rFonts w:cstheme="minorHAnsi"/>
        </w:rPr>
      </w:pPr>
      <w:r w:rsidRPr="00181D7B">
        <w:rPr>
          <w:rFonts w:cstheme="minorHAnsi"/>
        </w:rPr>
        <w:t>Pre-Access: Partnership with schools and communities to facilitate widening participation strategies and programs</w:t>
      </w:r>
    </w:p>
    <w:p w14:paraId="72C17414" w14:textId="77777777" w:rsidR="00857A5E" w:rsidRPr="00181D7B" w:rsidRDefault="00857A5E" w:rsidP="00857A5E">
      <w:pPr>
        <w:pStyle w:val="ListNumber"/>
        <w:numPr>
          <w:ilvl w:val="0"/>
          <w:numId w:val="33"/>
        </w:numPr>
        <w:spacing w:after="240"/>
        <w:rPr>
          <w:rFonts w:cstheme="minorHAnsi"/>
        </w:rPr>
      </w:pPr>
      <w:r w:rsidRPr="00181D7B">
        <w:rPr>
          <w:rFonts w:cstheme="minorHAnsi"/>
        </w:rPr>
        <w:t xml:space="preserve">Access: Pathways and admissions (including enabling pathways) </w:t>
      </w:r>
    </w:p>
    <w:p w14:paraId="028F2053" w14:textId="77777777" w:rsidR="00857A5E" w:rsidRPr="00181D7B" w:rsidRDefault="00857A5E" w:rsidP="00857A5E">
      <w:pPr>
        <w:pStyle w:val="ListNumber"/>
        <w:numPr>
          <w:ilvl w:val="0"/>
          <w:numId w:val="33"/>
        </w:numPr>
        <w:spacing w:after="240"/>
        <w:rPr>
          <w:rFonts w:cstheme="minorHAnsi"/>
        </w:rPr>
      </w:pPr>
      <w:r w:rsidRPr="00181D7B">
        <w:rPr>
          <w:rFonts w:cstheme="minorHAnsi"/>
        </w:rPr>
        <w:t>Participation: Transition, engagement and progression programs to improve retention</w:t>
      </w:r>
    </w:p>
    <w:p w14:paraId="47D7C9C6" w14:textId="7963EE36" w:rsidR="00857A5E" w:rsidRPr="00181D7B" w:rsidRDefault="00857A5E" w:rsidP="00857A5E">
      <w:pPr>
        <w:pStyle w:val="ListNumber"/>
        <w:numPr>
          <w:ilvl w:val="0"/>
          <w:numId w:val="33"/>
        </w:numPr>
        <w:spacing w:after="240"/>
        <w:rPr>
          <w:rFonts w:cstheme="minorHAnsi"/>
        </w:rPr>
      </w:pPr>
      <w:r w:rsidRPr="00181D7B">
        <w:rPr>
          <w:rFonts w:cstheme="minorHAnsi"/>
        </w:rPr>
        <w:t>Attainment: Inclusive learning and teaching pedagogical development</w:t>
      </w:r>
      <w:r w:rsidR="00110655">
        <w:rPr>
          <w:rFonts w:cstheme="minorHAnsi"/>
        </w:rPr>
        <w:t xml:space="preserve">, targeted support to assist students with transition to work and further education.  </w:t>
      </w:r>
    </w:p>
    <w:p w14:paraId="3C647E8F" w14:textId="77777777" w:rsidR="00857A5E" w:rsidRPr="00181D7B" w:rsidRDefault="00857A5E" w:rsidP="00857A5E">
      <w:pPr>
        <w:pStyle w:val="ListNumber"/>
        <w:numPr>
          <w:ilvl w:val="0"/>
          <w:numId w:val="0"/>
        </w:numPr>
        <w:spacing w:after="240" w:line="240" w:lineRule="auto"/>
        <w:rPr>
          <w:rFonts w:cstheme="minorHAnsi"/>
        </w:rPr>
      </w:pPr>
    </w:p>
    <w:p w14:paraId="76580551" w14:textId="77777777" w:rsidR="00857A5E" w:rsidRPr="00181D7B" w:rsidRDefault="00857A5E" w:rsidP="00857A5E">
      <w:pPr>
        <w:pStyle w:val="ListNumber"/>
        <w:numPr>
          <w:ilvl w:val="0"/>
          <w:numId w:val="27"/>
        </w:numPr>
        <w:spacing w:after="240" w:line="240" w:lineRule="auto"/>
        <w:rPr>
          <w:rFonts w:cstheme="minorHAnsi"/>
        </w:rPr>
      </w:pPr>
      <w:r w:rsidRPr="00181D7B">
        <w:rPr>
          <w:rFonts w:cstheme="minorHAnsi"/>
          <w:b/>
        </w:rPr>
        <w:t>Key activities</w:t>
      </w:r>
      <w:r w:rsidRPr="00181D7B">
        <w:rPr>
          <w:rFonts w:cstheme="minorHAnsi"/>
        </w:rPr>
        <w:t>: which will deliver an increase in the access, participation and success of people from a low SES background.</w:t>
      </w:r>
    </w:p>
    <w:p w14:paraId="29D0FEAC" w14:textId="77777777" w:rsidR="00857A5E" w:rsidRPr="00181D7B" w:rsidRDefault="00857A5E" w:rsidP="00857A5E">
      <w:pPr>
        <w:pStyle w:val="ListNumber"/>
        <w:numPr>
          <w:ilvl w:val="0"/>
          <w:numId w:val="0"/>
        </w:numPr>
        <w:spacing w:after="240" w:line="240" w:lineRule="auto"/>
        <w:ind w:left="360"/>
        <w:rPr>
          <w:rFonts w:cstheme="minorHAnsi"/>
          <w:b/>
        </w:rPr>
      </w:pPr>
    </w:p>
    <w:p w14:paraId="51C6C4E8" w14:textId="3F9299BA" w:rsidR="00857A5E" w:rsidRDefault="00857A5E" w:rsidP="00857A5E">
      <w:pPr>
        <w:pStyle w:val="ListNumber"/>
        <w:numPr>
          <w:ilvl w:val="0"/>
          <w:numId w:val="0"/>
        </w:numPr>
        <w:spacing w:after="240" w:line="240" w:lineRule="auto"/>
        <w:ind w:left="360"/>
        <w:rPr>
          <w:rFonts w:cstheme="minorHAnsi"/>
          <w:b/>
        </w:rPr>
      </w:pPr>
      <w:r w:rsidRPr="00181D7B">
        <w:rPr>
          <w:rFonts w:cstheme="minorHAnsi"/>
          <w:b/>
        </w:rPr>
        <w:t>Pre-Access &amp; Access:</w:t>
      </w:r>
    </w:p>
    <w:p w14:paraId="3B4B2FCF" w14:textId="77777777" w:rsidR="00857A5E" w:rsidRPr="00181D7B" w:rsidRDefault="00857A5E" w:rsidP="00857A5E">
      <w:pPr>
        <w:pStyle w:val="ListNumber"/>
        <w:numPr>
          <w:ilvl w:val="0"/>
          <w:numId w:val="0"/>
        </w:numPr>
        <w:spacing w:after="240" w:line="240" w:lineRule="auto"/>
        <w:ind w:left="360" w:hanging="360"/>
        <w:rPr>
          <w:rFonts w:cstheme="minorHAnsi"/>
        </w:rPr>
      </w:pPr>
      <w:r w:rsidRPr="00181D7B">
        <w:rPr>
          <w:rFonts w:cstheme="minorHAnsi"/>
        </w:rPr>
        <w:t xml:space="preserve">       First People’s and Equity Pathways Directorate widening participation programs delivered in collaboration with partner school and community organisations:</w:t>
      </w:r>
    </w:p>
    <w:p w14:paraId="4E75D8C9" w14:textId="6A8F7ECD" w:rsidR="00857A5E" w:rsidRDefault="00857A5E" w:rsidP="00857A5E">
      <w:pPr>
        <w:pStyle w:val="ListNumber"/>
        <w:numPr>
          <w:ilvl w:val="0"/>
          <w:numId w:val="33"/>
        </w:numPr>
        <w:spacing w:after="240" w:line="240" w:lineRule="auto"/>
        <w:rPr>
          <w:rFonts w:cstheme="minorHAnsi"/>
        </w:rPr>
      </w:pPr>
      <w:r w:rsidRPr="00181D7B">
        <w:rPr>
          <w:rFonts w:cstheme="minorHAnsi"/>
        </w:rPr>
        <w:t xml:space="preserve">Explore your Future programs: High Schools &amp; Primary Schools: </w:t>
      </w:r>
      <w:r w:rsidR="003553BA">
        <w:rPr>
          <w:rFonts w:cstheme="minorHAnsi"/>
        </w:rPr>
        <w:t xml:space="preserve">capacity for online, virtual delivery, </w:t>
      </w:r>
      <w:r w:rsidRPr="00181D7B">
        <w:rPr>
          <w:rFonts w:cstheme="minorHAnsi"/>
        </w:rPr>
        <w:t>in-school and on-campus programs designed to raise awareness of the benefits of higher education and possible career paths; build and inform aspirations for higher education. This is achieved through peer assisted educational activities which promote engagement in learning and demonstrate the links between learning, higher education and career pathways</w:t>
      </w:r>
    </w:p>
    <w:p w14:paraId="1A0A86E4" w14:textId="6C293C89" w:rsidR="00857A5E" w:rsidRPr="00181D7B" w:rsidRDefault="00857A5E" w:rsidP="00857A5E">
      <w:pPr>
        <w:pStyle w:val="ListNumber"/>
        <w:numPr>
          <w:ilvl w:val="0"/>
          <w:numId w:val="33"/>
        </w:numPr>
        <w:spacing w:after="240" w:line="240" w:lineRule="auto"/>
        <w:rPr>
          <w:rFonts w:cstheme="minorHAnsi"/>
        </w:rPr>
      </w:pPr>
      <w:r w:rsidRPr="00181D7B">
        <w:rPr>
          <w:rFonts w:cstheme="minorHAnsi"/>
        </w:rPr>
        <w:t>Academic Workshops: High Schools: Year 12 workshops to provide academic enrichment opportunities</w:t>
      </w:r>
      <w:r w:rsidR="00316144">
        <w:rPr>
          <w:rFonts w:cstheme="minorHAnsi"/>
        </w:rPr>
        <w:t>; capacity for online, virtual and face to face delivery</w:t>
      </w:r>
    </w:p>
    <w:p w14:paraId="20E59393" w14:textId="18E1BF99" w:rsidR="00857A5E" w:rsidRPr="00181D7B" w:rsidRDefault="00857A5E" w:rsidP="00857A5E">
      <w:pPr>
        <w:pStyle w:val="ListNumber"/>
        <w:numPr>
          <w:ilvl w:val="0"/>
          <w:numId w:val="33"/>
        </w:numPr>
        <w:spacing w:after="240" w:line="240" w:lineRule="auto"/>
        <w:rPr>
          <w:rFonts w:cstheme="minorHAnsi"/>
        </w:rPr>
      </w:pPr>
      <w:r w:rsidRPr="00181D7B">
        <w:rPr>
          <w:rFonts w:cstheme="minorHAnsi"/>
        </w:rPr>
        <w:t xml:space="preserve">Uni Step Up Programs:  Senior secondary school students from low-SES backgrounds undertake selected ACU undergraduate units prior to entering university. Credit points are </w:t>
      </w:r>
      <w:r w:rsidRPr="00181D7B">
        <w:rPr>
          <w:rFonts w:cstheme="minorHAnsi"/>
        </w:rPr>
        <w:lastRenderedPageBreak/>
        <w:t xml:space="preserve">given towards a related undergraduate degree for the successful completion of the unit. On successful completion of two </w:t>
      </w:r>
      <w:r w:rsidR="00884A2C" w:rsidRPr="00181D7B">
        <w:rPr>
          <w:rFonts w:cstheme="minorHAnsi"/>
        </w:rPr>
        <w:t>units’</w:t>
      </w:r>
      <w:r w:rsidRPr="00181D7B">
        <w:rPr>
          <w:rFonts w:cstheme="minorHAnsi"/>
        </w:rPr>
        <w:t xml:space="preserve"> students can articulate into an ACU undergraduate degree</w:t>
      </w:r>
      <w:r w:rsidR="00316144">
        <w:rPr>
          <w:rFonts w:cstheme="minorHAnsi"/>
        </w:rPr>
        <w:t xml:space="preserve">. </w:t>
      </w:r>
      <w:r w:rsidR="00884A2C">
        <w:rPr>
          <w:rFonts w:cstheme="minorHAnsi"/>
        </w:rPr>
        <w:t>C</w:t>
      </w:r>
      <w:r w:rsidR="00316144">
        <w:rPr>
          <w:rFonts w:cstheme="minorHAnsi"/>
        </w:rPr>
        <w:t>apacity for online, virtual and face to face delivery</w:t>
      </w:r>
      <w:r w:rsidR="00884A2C">
        <w:rPr>
          <w:rFonts w:cstheme="minorHAnsi"/>
        </w:rPr>
        <w:t xml:space="preserve"> on campus.</w:t>
      </w:r>
    </w:p>
    <w:p w14:paraId="225B3177" w14:textId="1FE56EF5" w:rsidR="00857A5E" w:rsidRPr="00181D7B" w:rsidRDefault="00857A5E" w:rsidP="00857A5E">
      <w:pPr>
        <w:pStyle w:val="ListNumber"/>
        <w:numPr>
          <w:ilvl w:val="0"/>
          <w:numId w:val="33"/>
        </w:numPr>
        <w:spacing w:after="240" w:line="240" w:lineRule="auto"/>
        <w:rPr>
          <w:rFonts w:cstheme="minorHAnsi"/>
        </w:rPr>
      </w:pPr>
      <w:r w:rsidRPr="00181D7B">
        <w:rPr>
          <w:rFonts w:cstheme="minorHAnsi"/>
        </w:rPr>
        <w:t>Teacher Professional Development: Partner schools can access teacher professional development opportunities at ACU to contribute to building school capacity</w:t>
      </w:r>
      <w:r w:rsidR="00884A2C">
        <w:rPr>
          <w:rFonts w:cstheme="minorHAnsi"/>
        </w:rPr>
        <w:t xml:space="preserve">; </w:t>
      </w:r>
      <w:bookmarkStart w:id="0" w:name="_Hlk36554009"/>
      <w:r w:rsidR="00884A2C">
        <w:rPr>
          <w:rFonts w:cstheme="minorHAnsi"/>
        </w:rPr>
        <w:t>capacity for online, virtual and face to face delivery.</w:t>
      </w:r>
    </w:p>
    <w:bookmarkEnd w:id="0"/>
    <w:p w14:paraId="1F856B83" w14:textId="00ED1BBB" w:rsidR="00857A5E" w:rsidRPr="00181D7B" w:rsidRDefault="00857A5E" w:rsidP="00857A5E">
      <w:pPr>
        <w:pStyle w:val="ListNumber"/>
        <w:numPr>
          <w:ilvl w:val="0"/>
          <w:numId w:val="33"/>
        </w:numPr>
        <w:spacing w:after="240" w:line="240" w:lineRule="auto"/>
        <w:rPr>
          <w:rFonts w:cstheme="minorHAnsi"/>
        </w:rPr>
      </w:pPr>
      <w:r w:rsidRPr="00181D7B">
        <w:rPr>
          <w:rFonts w:cstheme="minorHAnsi"/>
        </w:rPr>
        <w:t>Access programs: Access routes and enabling pathways are available via foundation courses and contextualised admissions processes</w:t>
      </w:r>
    </w:p>
    <w:p w14:paraId="5C7A4CCA" w14:textId="0BF667D4" w:rsidR="00857A5E" w:rsidRPr="00181D7B" w:rsidRDefault="00857A5E" w:rsidP="00857A5E">
      <w:pPr>
        <w:pStyle w:val="ListNumber"/>
        <w:numPr>
          <w:ilvl w:val="0"/>
          <w:numId w:val="33"/>
        </w:numPr>
        <w:spacing w:after="240" w:line="240" w:lineRule="auto"/>
        <w:rPr>
          <w:rFonts w:cstheme="minorHAnsi"/>
        </w:rPr>
      </w:pPr>
      <w:r w:rsidRPr="00181D7B">
        <w:rPr>
          <w:rFonts w:cstheme="minorHAnsi"/>
        </w:rPr>
        <w:t>Engage with Aboriginal and Torres Strait Islander communities in collaboration with ACU’s Indigenous Higher Education Units to increase understanding and access of higher education participation for Aboriginal and Torres Strait Islander students from low socio-economic backgrounds</w:t>
      </w:r>
    </w:p>
    <w:p w14:paraId="5AE0D72B" w14:textId="5E9F5900" w:rsidR="00857A5E" w:rsidRDefault="00857A5E" w:rsidP="00857A5E">
      <w:pPr>
        <w:pStyle w:val="ListNumber"/>
        <w:numPr>
          <w:ilvl w:val="0"/>
          <w:numId w:val="33"/>
        </w:numPr>
        <w:spacing w:after="240" w:line="240" w:lineRule="auto"/>
        <w:rPr>
          <w:rFonts w:cstheme="minorHAnsi"/>
        </w:rPr>
      </w:pPr>
      <w:r w:rsidRPr="00181D7B">
        <w:rPr>
          <w:rFonts w:cstheme="minorHAnsi"/>
        </w:rPr>
        <w:t>Continued development of practice and research informed widening participation programs</w:t>
      </w:r>
    </w:p>
    <w:p w14:paraId="22263822" w14:textId="3D0FFFB5" w:rsidR="00A23B01" w:rsidRPr="00181D7B" w:rsidRDefault="00A23B01" w:rsidP="00857A5E">
      <w:pPr>
        <w:pStyle w:val="ListNumber"/>
        <w:numPr>
          <w:ilvl w:val="0"/>
          <w:numId w:val="33"/>
        </w:numPr>
        <w:spacing w:after="240" w:line="240" w:lineRule="auto"/>
        <w:rPr>
          <w:rFonts w:cstheme="minorHAnsi"/>
        </w:rPr>
      </w:pPr>
      <w:r>
        <w:rPr>
          <w:rFonts w:cstheme="minorHAnsi"/>
        </w:rPr>
        <w:t>Bushfire assistance programs for regional NSW schools – Widening participation student ambassador program and Year 6 leadership program; capacity for online, virtual and face to face delivery</w:t>
      </w:r>
    </w:p>
    <w:p w14:paraId="7EAB7B23" w14:textId="77777777" w:rsidR="00857A5E" w:rsidRPr="00181D7B" w:rsidRDefault="00857A5E" w:rsidP="00857A5E">
      <w:pPr>
        <w:pStyle w:val="ListNumber"/>
        <w:numPr>
          <w:ilvl w:val="0"/>
          <w:numId w:val="0"/>
        </w:numPr>
        <w:spacing w:after="240" w:line="240" w:lineRule="auto"/>
        <w:ind w:left="360"/>
        <w:rPr>
          <w:rFonts w:cstheme="minorHAnsi"/>
          <w:b/>
        </w:rPr>
      </w:pPr>
    </w:p>
    <w:p w14:paraId="139FEAD9" w14:textId="45AD1DEC" w:rsidR="00857A5E" w:rsidRDefault="00857A5E" w:rsidP="00857A5E">
      <w:pPr>
        <w:pStyle w:val="ListNumber"/>
        <w:numPr>
          <w:ilvl w:val="0"/>
          <w:numId w:val="0"/>
        </w:numPr>
        <w:spacing w:after="240" w:line="240" w:lineRule="auto"/>
        <w:ind w:left="360"/>
        <w:rPr>
          <w:rFonts w:cstheme="minorHAnsi"/>
          <w:b/>
        </w:rPr>
      </w:pPr>
      <w:r w:rsidRPr="00181D7B">
        <w:rPr>
          <w:rFonts w:cstheme="minorHAnsi"/>
          <w:b/>
        </w:rPr>
        <w:t>Participation and Attainment:</w:t>
      </w:r>
    </w:p>
    <w:p w14:paraId="4120A39C" w14:textId="77777777" w:rsidR="00857A5E" w:rsidRPr="00181D7B" w:rsidRDefault="00857A5E" w:rsidP="00857A5E">
      <w:pPr>
        <w:pStyle w:val="ListNumber"/>
        <w:numPr>
          <w:ilvl w:val="0"/>
          <w:numId w:val="0"/>
        </w:numPr>
        <w:spacing w:after="240" w:line="240" w:lineRule="auto"/>
        <w:ind w:left="360"/>
        <w:rPr>
          <w:rFonts w:cstheme="minorHAnsi"/>
        </w:rPr>
      </w:pPr>
      <w:r w:rsidRPr="00181D7B">
        <w:rPr>
          <w:rFonts w:cstheme="minorHAnsi"/>
        </w:rPr>
        <w:t>Transition, retention and success strategies for students from low socio-economic backgrounds are developed, embedded and delivered as a central focus throughout the whole of ACU:</w:t>
      </w:r>
    </w:p>
    <w:p w14:paraId="305AFA93" w14:textId="77777777" w:rsidR="00857A5E" w:rsidRPr="00181D7B" w:rsidRDefault="00857A5E" w:rsidP="00857A5E">
      <w:pPr>
        <w:pStyle w:val="ListNumber"/>
        <w:numPr>
          <w:ilvl w:val="0"/>
          <w:numId w:val="33"/>
        </w:numPr>
        <w:spacing w:after="240" w:line="240" w:lineRule="auto"/>
        <w:rPr>
          <w:rFonts w:cstheme="minorHAnsi"/>
        </w:rPr>
      </w:pPr>
      <w:r w:rsidRPr="00181D7B">
        <w:rPr>
          <w:rFonts w:cstheme="minorHAnsi"/>
        </w:rPr>
        <w:t>Office of Student Success services including:</w:t>
      </w:r>
    </w:p>
    <w:p w14:paraId="2D4B96EC" w14:textId="77777777" w:rsidR="00857A5E" w:rsidRPr="00181D7B" w:rsidRDefault="00857A5E" w:rsidP="00857A5E">
      <w:pPr>
        <w:pStyle w:val="ListNumber"/>
        <w:numPr>
          <w:ilvl w:val="0"/>
          <w:numId w:val="34"/>
        </w:numPr>
        <w:spacing w:after="240" w:line="240" w:lineRule="auto"/>
        <w:rPr>
          <w:rFonts w:cstheme="minorHAnsi"/>
        </w:rPr>
      </w:pPr>
      <w:r w:rsidRPr="00181D7B">
        <w:rPr>
          <w:rFonts w:cstheme="minorHAnsi"/>
        </w:rPr>
        <w:t>Connect2Uni:  a transition program for students from low socio-economic backgrounds</w:t>
      </w:r>
    </w:p>
    <w:p w14:paraId="47E99415" w14:textId="77777777" w:rsidR="00857A5E" w:rsidRPr="00181D7B" w:rsidRDefault="00857A5E" w:rsidP="00857A5E">
      <w:pPr>
        <w:pStyle w:val="ListNumber"/>
        <w:numPr>
          <w:ilvl w:val="0"/>
          <w:numId w:val="34"/>
        </w:numPr>
        <w:spacing w:after="240" w:line="240" w:lineRule="auto"/>
        <w:rPr>
          <w:rFonts w:cstheme="minorHAnsi"/>
        </w:rPr>
      </w:pPr>
      <w:r w:rsidRPr="00181D7B">
        <w:rPr>
          <w:rFonts w:cstheme="minorHAnsi"/>
        </w:rPr>
        <w:t>Peer Assisted Student Sessions (PASS) for first year undergraduate units</w:t>
      </w:r>
    </w:p>
    <w:p w14:paraId="66E2B3E1" w14:textId="6ED3778E" w:rsidR="00857A5E" w:rsidRPr="00181D7B" w:rsidRDefault="00857A5E" w:rsidP="00857A5E">
      <w:pPr>
        <w:pStyle w:val="ListNumber"/>
        <w:numPr>
          <w:ilvl w:val="0"/>
          <w:numId w:val="34"/>
        </w:numPr>
        <w:spacing w:after="240" w:line="240" w:lineRule="auto"/>
        <w:rPr>
          <w:rFonts w:cstheme="minorHAnsi"/>
        </w:rPr>
      </w:pPr>
      <w:r w:rsidRPr="00181D7B">
        <w:rPr>
          <w:rFonts w:cstheme="minorHAnsi"/>
        </w:rPr>
        <w:t>Academic skills support</w:t>
      </w:r>
    </w:p>
    <w:p w14:paraId="221BBF2B" w14:textId="77777777" w:rsidR="00857A5E" w:rsidRPr="00181D7B" w:rsidRDefault="00857A5E" w:rsidP="00857A5E">
      <w:pPr>
        <w:pStyle w:val="ListNumber"/>
        <w:numPr>
          <w:ilvl w:val="0"/>
          <w:numId w:val="33"/>
        </w:numPr>
        <w:spacing w:after="240" w:line="240" w:lineRule="auto"/>
        <w:rPr>
          <w:rFonts w:cstheme="minorHAnsi"/>
        </w:rPr>
      </w:pPr>
      <w:r w:rsidRPr="00181D7B">
        <w:rPr>
          <w:rFonts w:cstheme="minorHAnsi"/>
        </w:rPr>
        <w:t>Faculty development and provision of engagement, retention and success strategies including:</w:t>
      </w:r>
    </w:p>
    <w:p w14:paraId="1D8194D6" w14:textId="77777777" w:rsidR="00857A5E" w:rsidRPr="00181D7B" w:rsidRDefault="00857A5E" w:rsidP="00857A5E">
      <w:pPr>
        <w:pStyle w:val="ListNumber"/>
        <w:numPr>
          <w:ilvl w:val="0"/>
          <w:numId w:val="34"/>
        </w:numPr>
        <w:spacing w:after="240" w:line="240" w:lineRule="auto"/>
        <w:rPr>
          <w:rFonts w:cstheme="minorHAnsi"/>
        </w:rPr>
      </w:pPr>
      <w:r w:rsidRPr="00181D7B">
        <w:rPr>
          <w:rFonts w:cstheme="minorHAnsi"/>
        </w:rPr>
        <w:t>National Educating Teachers in Disadvantaged Schools Program</w:t>
      </w:r>
    </w:p>
    <w:p w14:paraId="0F37A2C6" w14:textId="77777777" w:rsidR="00857A5E" w:rsidRPr="00181D7B" w:rsidRDefault="00857A5E" w:rsidP="00857A5E">
      <w:pPr>
        <w:pStyle w:val="ListNumber"/>
        <w:numPr>
          <w:ilvl w:val="0"/>
          <w:numId w:val="34"/>
        </w:numPr>
        <w:spacing w:after="240" w:line="240" w:lineRule="auto"/>
        <w:rPr>
          <w:rFonts w:cstheme="minorHAnsi"/>
        </w:rPr>
      </w:pPr>
      <w:r w:rsidRPr="00181D7B">
        <w:rPr>
          <w:rFonts w:cstheme="minorHAnsi"/>
        </w:rPr>
        <w:t>Catholic Teachers Education Consortium</w:t>
      </w:r>
    </w:p>
    <w:p w14:paraId="23457ED7" w14:textId="77777777" w:rsidR="00857A5E" w:rsidRPr="00181D7B" w:rsidRDefault="00857A5E" w:rsidP="00857A5E">
      <w:pPr>
        <w:pStyle w:val="ListNumber"/>
        <w:numPr>
          <w:ilvl w:val="0"/>
          <w:numId w:val="33"/>
        </w:numPr>
        <w:spacing w:after="240" w:line="240" w:lineRule="auto"/>
        <w:rPr>
          <w:rFonts w:cstheme="minorHAnsi"/>
        </w:rPr>
      </w:pPr>
      <w:r w:rsidRPr="00181D7B">
        <w:rPr>
          <w:rFonts w:cstheme="minorHAnsi"/>
        </w:rPr>
        <w:t xml:space="preserve">First People’s and Equity Pathways Directorate: </w:t>
      </w:r>
    </w:p>
    <w:p w14:paraId="3C1FBE3F" w14:textId="61B65984" w:rsidR="00857A5E" w:rsidRPr="00181D7B" w:rsidRDefault="00857A5E" w:rsidP="00857A5E">
      <w:pPr>
        <w:pStyle w:val="ListNumber"/>
        <w:numPr>
          <w:ilvl w:val="0"/>
          <w:numId w:val="34"/>
        </w:numPr>
        <w:spacing w:after="240" w:line="240" w:lineRule="auto"/>
        <w:rPr>
          <w:rFonts w:cstheme="minorHAnsi"/>
        </w:rPr>
      </w:pPr>
      <w:r w:rsidRPr="00181D7B">
        <w:rPr>
          <w:rFonts w:cstheme="minorHAnsi"/>
        </w:rPr>
        <w:t>Widening Participation Student Ambassador</w:t>
      </w:r>
      <w:r w:rsidR="002B365D">
        <w:rPr>
          <w:rFonts w:cstheme="minorHAnsi"/>
        </w:rPr>
        <w:t xml:space="preserve"> Program</w:t>
      </w:r>
    </w:p>
    <w:p w14:paraId="4CB80DC7" w14:textId="77777777" w:rsidR="00857A5E" w:rsidRPr="00181D7B" w:rsidRDefault="00857A5E" w:rsidP="00857A5E">
      <w:pPr>
        <w:pStyle w:val="ListNumber"/>
        <w:numPr>
          <w:ilvl w:val="0"/>
          <w:numId w:val="33"/>
        </w:numPr>
        <w:spacing w:after="240" w:line="240" w:lineRule="auto"/>
        <w:rPr>
          <w:rFonts w:cstheme="minorHAnsi"/>
        </w:rPr>
      </w:pPr>
      <w:r w:rsidRPr="00181D7B">
        <w:rPr>
          <w:rFonts w:cstheme="minorHAnsi"/>
        </w:rPr>
        <w:t>Equity Scholarships for students from low socio-economic backgrounds</w:t>
      </w:r>
    </w:p>
    <w:p w14:paraId="4BF569B4" w14:textId="77777777" w:rsidR="00857A5E" w:rsidRPr="00181D7B" w:rsidRDefault="00857A5E" w:rsidP="00857A5E">
      <w:pPr>
        <w:pStyle w:val="ListNumber"/>
        <w:numPr>
          <w:ilvl w:val="0"/>
          <w:numId w:val="0"/>
        </w:numPr>
        <w:spacing w:after="240" w:line="240" w:lineRule="auto"/>
        <w:ind w:left="360"/>
        <w:rPr>
          <w:rFonts w:cstheme="minorHAnsi"/>
          <w:b/>
        </w:rPr>
      </w:pPr>
    </w:p>
    <w:p w14:paraId="20E4F323" w14:textId="77777777" w:rsidR="00857A5E" w:rsidRPr="00181D7B" w:rsidRDefault="00857A5E" w:rsidP="00857A5E">
      <w:pPr>
        <w:pStyle w:val="ListNumber"/>
        <w:numPr>
          <w:ilvl w:val="0"/>
          <w:numId w:val="0"/>
        </w:numPr>
        <w:spacing w:after="240" w:line="240" w:lineRule="auto"/>
        <w:ind w:left="360"/>
        <w:rPr>
          <w:rFonts w:cstheme="minorHAnsi"/>
          <w:b/>
        </w:rPr>
      </w:pPr>
    </w:p>
    <w:p w14:paraId="0A5049E7" w14:textId="77777777" w:rsidR="00857A5E" w:rsidRPr="00181D7B" w:rsidRDefault="00857A5E" w:rsidP="00857A5E">
      <w:pPr>
        <w:pStyle w:val="ListNumber"/>
        <w:numPr>
          <w:ilvl w:val="0"/>
          <w:numId w:val="27"/>
        </w:numPr>
        <w:spacing w:after="240" w:line="240" w:lineRule="auto"/>
        <w:rPr>
          <w:rFonts w:cstheme="minorHAnsi"/>
        </w:rPr>
      </w:pPr>
      <w:r w:rsidRPr="00181D7B">
        <w:rPr>
          <w:rFonts w:cstheme="minorHAnsi"/>
          <w:b/>
        </w:rPr>
        <w:t>Evaluation</w:t>
      </w:r>
      <w:r w:rsidRPr="00181D7B">
        <w:rPr>
          <w:rFonts w:cstheme="minorHAnsi"/>
        </w:rPr>
        <w:t>: how the university plans to evaluate the effectiveness of the equity strategies.</w:t>
      </w:r>
    </w:p>
    <w:p w14:paraId="452FE1A2" w14:textId="251CB0F6" w:rsidR="00857A5E" w:rsidRPr="00181D7B" w:rsidRDefault="00857A5E" w:rsidP="00857A5E">
      <w:pPr>
        <w:pStyle w:val="ListNumber"/>
        <w:numPr>
          <w:ilvl w:val="0"/>
          <w:numId w:val="33"/>
        </w:numPr>
        <w:spacing w:after="240" w:line="240" w:lineRule="auto"/>
        <w:rPr>
          <w:rFonts w:cstheme="minorHAnsi"/>
        </w:rPr>
      </w:pPr>
      <w:r w:rsidRPr="00181D7B">
        <w:rPr>
          <w:rFonts w:cstheme="minorHAnsi"/>
        </w:rPr>
        <w:t xml:space="preserve">Quantitative and qualitative evaluation of all </w:t>
      </w:r>
      <w:r w:rsidR="00D53687" w:rsidRPr="00181D7B">
        <w:rPr>
          <w:rFonts w:cstheme="minorHAnsi"/>
        </w:rPr>
        <w:t xml:space="preserve">widening participation </w:t>
      </w:r>
      <w:r w:rsidRPr="00181D7B">
        <w:rPr>
          <w:rFonts w:cstheme="minorHAnsi"/>
        </w:rPr>
        <w:t xml:space="preserve">programs </w:t>
      </w:r>
    </w:p>
    <w:p w14:paraId="58EFDEF7" w14:textId="277639A5" w:rsidR="00857A5E" w:rsidRPr="00181D7B" w:rsidRDefault="00857A5E" w:rsidP="00857A5E">
      <w:pPr>
        <w:pStyle w:val="ListNumber"/>
        <w:numPr>
          <w:ilvl w:val="0"/>
          <w:numId w:val="33"/>
        </w:numPr>
        <w:spacing w:after="240" w:line="240" w:lineRule="auto"/>
        <w:rPr>
          <w:rFonts w:cstheme="minorHAnsi"/>
        </w:rPr>
      </w:pPr>
      <w:r w:rsidRPr="00181D7B">
        <w:rPr>
          <w:rFonts w:cstheme="minorHAnsi"/>
        </w:rPr>
        <w:t>Regular consultation with key stakeholders</w:t>
      </w:r>
    </w:p>
    <w:p w14:paraId="7D8E415C" w14:textId="77777777" w:rsidR="00D53687" w:rsidRPr="00181D7B" w:rsidRDefault="00D53687" w:rsidP="00D53687">
      <w:pPr>
        <w:pStyle w:val="ListNumber"/>
        <w:numPr>
          <w:ilvl w:val="0"/>
          <w:numId w:val="0"/>
        </w:numPr>
        <w:spacing w:after="240" w:line="240" w:lineRule="auto"/>
        <w:ind w:left="720"/>
        <w:rPr>
          <w:rFonts w:cstheme="minorHAnsi"/>
        </w:rPr>
      </w:pPr>
    </w:p>
    <w:p w14:paraId="05497EC7" w14:textId="77777777" w:rsidR="00857A5E" w:rsidRPr="00181D7B" w:rsidRDefault="00857A5E" w:rsidP="00857A5E">
      <w:pPr>
        <w:pStyle w:val="ListNumber"/>
        <w:numPr>
          <w:ilvl w:val="0"/>
          <w:numId w:val="0"/>
        </w:numPr>
        <w:spacing w:after="240" w:line="240" w:lineRule="auto"/>
        <w:rPr>
          <w:rFonts w:cstheme="minorHAnsi"/>
        </w:rPr>
      </w:pPr>
    </w:p>
    <w:p w14:paraId="35032B81" w14:textId="415A5504" w:rsidR="00857A5E" w:rsidRPr="00181D7B" w:rsidRDefault="00857A5E" w:rsidP="00C13ECB">
      <w:pPr>
        <w:pStyle w:val="ListNumber"/>
        <w:numPr>
          <w:ilvl w:val="0"/>
          <w:numId w:val="27"/>
        </w:numPr>
        <w:spacing w:after="240" w:line="240" w:lineRule="auto"/>
        <w:rPr>
          <w:rFonts w:cstheme="minorHAnsi"/>
        </w:rPr>
      </w:pPr>
      <w:r w:rsidRPr="00181D7B">
        <w:rPr>
          <w:rFonts w:cstheme="minorHAnsi"/>
          <w:b/>
        </w:rPr>
        <w:t>Partnerships and collaboration</w:t>
      </w:r>
      <w:r w:rsidRPr="00181D7B">
        <w:rPr>
          <w:rFonts w:cstheme="minorHAnsi"/>
        </w:rPr>
        <w:t>: who the university will partner and collaborate with and how this will improve equity performance.</w:t>
      </w:r>
    </w:p>
    <w:p w14:paraId="55A8D08C" w14:textId="77777777" w:rsidR="00857A5E" w:rsidRPr="00181D7B" w:rsidRDefault="00857A5E" w:rsidP="00857A5E">
      <w:pPr>
        <w:pStyle w:val="ListParagraph"/>
        <w:numPr>
          <w:ilvl w:val="0"/>
          <w:numId w:val="33"/>
        </w:numPr>
        <w:spacing w:after="0" w:line="240" w:lineRule="auto"/>
        <w:rPr>
          <w:rFonts w:cstheme="minorHAnsi"/>
        </w:rPr>
      </w:pPr>
      <w:r w:rsidRPr="00181D7B">
        <w:rPr>
          <w:rFonts w:cstheme="minorHAnsi"/>
        </w:rPr>
        <w:t>ACU will continue to build sustainable, strong partnerships with First People’s and Equity Pathways partner schools and communities in VIC, NSW, QLD and ACT which enable widening participation work with schools, students, their families and the wider community.</w:t>
      </w:r>
    </w:p>
    <w:p w14:paraId="634963EE" w14:textId="77777777" w:rsidR="0076375A" w:rsidRPr="0076375A" w:rsidRDefault="0076375A" w:rsidP="0076375A">
      <w:pPr>
        <w:pStyle w:val="ListParagraph"/>
        <w:tabs>
          <w:tab w:val="left" w:pos="2392"/>
        </w:tabs>
        <w:spacing w:after="0" w:line="240" w:lineRule="auto"/>
      </w:pPr>
      <w:bookmarkStart w:id="1" w:name="_GoBack"/>
      <w:bookmarkEnd w:id="1"/>
    </w:p>
    <w:p w14:paraId="0FADB16C" w14:textId="4CF80E4C" w:rsidR="009C0EA3" w:rsidRPr="001D0599" w:rsidRDefault="00857A5E" w:rsidP="00260321">
      <w:pPr>
        <w:pStyle w:val="ListParagraph"/>
        <w:numPr>
          <w:ilvl w:val="0"/>
          <w:numId w:val="33"/>
        </w:numPr>
        <w:tabs>
          <w:tab w:val="left" w:pos="2392"/>
        </w:tabs>
        <w:spacing w:after="0" w:line="240" w:lineRule="auto"/>
      </w:pPr>
      <w:r w:rsidRPr="001D0599">
        <w:rPr>
          <w:rFonts w:cstheme="minorHAnsi"/>
        </w:rPr>
        <w:t>ACU will continue to collaborate with other higher education institutions such as the Widening Participation Forum Queensland; Widening Participation Managers University Consortium NSW and the Widening Participation Network VI</w:t>
      </w:r>
      <w:r w:rsidR="00C13ECB" w:rsidRPr="001D0599">
        <w:rPr>
          <w:rFonts w:cstheme="minorHAnsi"/>
        </w:rPr>
        <w:t xml:space="preserve">C and Equity Practitioners in Higher </w:t>
      </w:r>
      <w:r w:rsidR="001D0599" w:rsidRPr="001D0599">
        <w:rPr>
          <w:rFonts w:cstheme="minorHAnsi"/>
        </w:rPr>
        <w:t>Education Association</w:t>
      </w:r>
    </w:p>
    <w:sectPr w:rsidR="009C0EA3" w:rsidRPr="001D0599" w:rsidSect="001D0599">
      <w:headerReference w:type="default" r:id="rId11"/>
      <w:footerReference w:type="default" r:id="rId12"/>
      <w:pgSz w:w="11906" w:h="16838"/>
      <w:pgMar w:top="1440" w:right="1440" w:bottom="1440" w:left="1440"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991FC5" w14:textId="77777777" w:rsidR="00152D18" w:rsidRDefault="00152D18" w:rsidP="00130923">
      <w:pPr>
        <w:spacing w:after="0" w:line="240" w:lineRule="auto"/>
      </w:pPr>
      <w:r>
        <w:separator/>
      </w:r>
    </w:p>
  </w:endnote>
  <w:endnote w:type="continuationSeparator" w:id="0">
    <w:p w14:paraId="4F991FC6" w14:textId="77777777" w:rsidR="00152D18" w:rsidRDefault="00152D18"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91FC8" w14:textId="3E75C338" w:rsidR="00152D18" w:rsidRDefault="00152D18" w:rsidP="00A73406">
    <w:pPr>
      <w:pStyle w:val="Footer"/>
      <w:tabs>
        <w:tab w:val="clear" w:pos="9026"/>
        <w:tab w:val="right" w:pos="8647"/>
      </w:tabs>
      <w:ind w:firstLine="72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991FC3" w14:textId="77777777" w:rsidR="00152D18" w:rsidRDefault="00152D18" w:rsidP="00130923">
      <w:pPr>
        <w:spacing w:after="0" w:line="240" w:lineRule="auto"/>
      </w:pPr>
      <w:r>
        <w:separator/>
      </w:r>
    </w:p>
  </w:footnote>
  <w:footnote w:type="continuationSeparator" w:id="0">
    <w:p w14:paraId="4F991FC4" w14:textId="77777777" w:rsidR="00152D18" w:rsidRDefault="00152D18" w:rsidP="00130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91FC7" w14:textId="3DD13EF7" w:rsidR="00152D18" w:rsidRDefault="00152D18" w:rsidP="00A66052">
    <w:pPr>
      <w:pStyle w:val="Header"/>
      <w:spacing w:after="48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40ABC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8C4C9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3C7F48"/>
    <w:lvl w:ilvl="0">
      <w:start w:val="1"/>
      <w:numFmt w:val="decimal"/>
      <w:lvlText w:val="%1."/>
      <w:lvlJc w:val="left"/>
      <w:pPr>
        <w:tabs>
          <w:tab w:val="num" w:pos="360"/>
        </w:tabs>
        <w:ind w:left="360" w:hanging="360"/>
      </w:pPr>
    </w:lvl>
  </w:abstractNum>
  <w:abstractNum w:abstractNumId="9"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9B10B97"/>
    <w:multiLevelType w:val="hybridMultilevel"/>
    <w:tmpl w:val="A802D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E228FC"/>
    <w:multiLevelType w:val="hybridMultilevel"/>
    <w:tmpl w:val="8E1EA978"/>
    <w:lvl w:ilvl="0" w:tplc="718CA286">
      <w:start w:val="1"/>
      <w:numFmt w:val="bullet"/>
      <w:lvlText w:val="-"/>
      <w:lvlJc w:val="left"/>
      <w:pPr>
        <w:ind w:left="1080" w:hanging="360"/>
      </w:pPr>
      <w:rPr>
        <w:rFonts w:ascii="Calibri" w:eastAsiaTheme="minorEastAsia" w:hAnsi="Calibri" w:cs="Calibri"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2"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5D7040D"/>
    <w:multiLevelType w:val="hybridMultilevel"/>
    <w:tmpl w:val="70C6BC1C"/>
    <w:lvl w:ilvl="0" w:tplc="F7C6FD94">
      <w:start w:val="1"/>
      <w:numFmt w:val="lowerLetter"/>
      <w:lvlText w:val="%1)"/>
      <w:lvlJc w:val="left"/>
      <w:pPr>
        <w:ind w:left="360" w:hanging="360"/>
      </w:pPr>
      <w:rPr>
        <w:b w:val="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4"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5"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238272A7"/>
    <w:multiLevelType w:val="hybridMultilevel"/>
    <w:tmpl w:val="5ED0B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B4F300B"/>
    <w:multiLevelType w:val="hybridMultilevel"/>
    <w:tmpl w:val="C95691E8"/>
    <w:lvl w:ilvl="0" w:tplc="0C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2CC36300"/>
    <w:multiLevelType w:val="hybridMultilevel"/>
    <w:tmpl w:val="F516D064"/>
    <w:lvl w:ilvl="0" w:tplc="0C09000F">
      <w:start w:val="1"/>
      <w:numFmt w:val="decimal"/>
      <w:lvlText w:val="%1."/>
      <w:lvlJc w:val="left"/>
      <w:pPr>
        <w:ind w:left="-720" w:hanging="360"/>
      </w:pPr>
    </w:lvl>
    <w:lvl w:ilvl="1" w:tplc="0C090019" w:tentative="1">
      <w:start w:val="1"/>
      <w:numFmt w:val="lowerLetter"/>
      <w:lvlText w:val="%2."/>
      <w:lvlJc w:val="left"/>
      <w:pPr>
        <w:ind w:left="0" w:hanging="360"/>
      </w:pPr>
    </w:lvl>
    <w:lvl w:ilvl="2" w:tplc="0C09001B" w:tentative="1">
      <w:start w:val="1"/>
      <w:numFmt w:val="lowerRoman"/>
      <w:lvlText w:val="%3."/>
      <w:lvlJc w:val="right"/>
      <w:pPr>
        <w:ind w:left="720" w:hanging="180"/>
      </w:pPr>
    </w:lvl>
    <w:lvl w:ilvl="3" w:tplc="0C09000F" w:tentative="1">
      <w:start w:val="1"/>
      <w:numFmt w:val="decimal"/>
      <w:lvlText w:val="%4."/>
      <w:lvlJc w:val="left"/>
      <w:pPr>
        <w:ind w:left="1440" w:hanging="360"/>
      </w:pPr>
    </w:lvl>
    <w:lvl w:ilvl="4" w:tplc="0C090019" w:tentative="1">
      <w:start w:val="1"/>
      <w:numFmt w:val="lowerLetter"/>
      <w:lvlText w:val="%5."/>
      <w:lvlJc w:val="left"/>
      <w:pPr>
        <w:ind w:left="2160" w:hanging="360"/>
      </w:pPr>
    </w:lvl>
    <w:lvl w:ilvl="5" w:tplc="0C09001B" w:tentative="1">
      <w:start w:val="1"/>
      <w:numFmt w:val="lowerRoman"/>
      <w:lvlText w:val="%6."/>
      <w:lvlJc w:val="right"/>
      <w:pPr>
        <w:ind w:left="2880" w:hanging="180"/>
      </w:pPr>
    </w:lvl>
    <w:lvl w:ilvl="6" w:tplc="0C09000F" w:tentative="1">
      <w:start w:val="1"/>
      <w:numFmt w:val="decimal"/>
      <w:lvlText w:val="%7."/>
      <w:lvlJc w:val="left"/>
      <w:pPr>
        <w:ind w:left="3600" w:hanging="360"/>
      </w:pPr>
    </w:lvl>
    <w:lvl w:ilvl="7" w:tplc="0C090019" w:tentative="1">
      <w:start w:val="1"/>
      <w:numFmt w:val="lowerLetter"/>
      <w:lvlText w:val="%8."/>
      <w:lvlJc w:val="left"/>
      <w:pPr>
        <w:ind w:left="4320" w:hanging="360"/>
      </w:pPr>
    </w:lvl>
    <w:lvl w:ilvl="8" w:tplc="0C09001B" w:tentative="1">
      <w:start w:val="1"/>
      <w:numFmt w:val="lowerRoman"/>
      <w:lvlText w:val="%9."/>
      <w:lvlJc w:val="right"/>
      <w:pPr>
        <w:ind w:left="5040" w:hanging="180"/>
      </w:pPr>
    </w:lvl>
  </w:abstractNum>
  <w:abstractNum w:abstractNumId="19" w15:restartNumberingAfterBreak="0">
    <w:nsid w:val="2F5F0F66"/>
    <w:multiLevelType w:val="hybridMultilevel"/>
    <w:tmpl w:val="F516D06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15:restartNumberingAfterBreak="0">
    <w:nsid w:val="560F4A8C"/>
    <w:multiLevelType w:val="hybridMultilevel"/>
    <w:tmpl w:val="0A500CEE"/>
    <w:lvl w:ilvl="0" w:tplc="D6AE54A0">
      <w:numFmt w:val="bullet"/>
      <w:lvlText w:val=""/>
      <w:lvlJc w:val="left"/>
      <w:pPr>
        <w:ind w:left="720" w:hanging="360"/>
      </w:pPr>
      <w:rPr>
        <w:rFonts w:ascii="Symbol" w:eastAsiaTheme="minorEastAsia"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3"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78260CF9"/>
    <w:multiLevelType w:val="hybridMultilevel"/>
    <w:tmpl w:val="E3A02D4C"/>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A7B1CA1"/>
    <w:multiLevelType w:val="hybridMultilevel"/>
    <w:tmpl w:val="20AA68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3"/>
  </w:num>
  <w:num w:numId="15">
    <w:abstractNumId w:val="12"/>
  </w:num>
  <w:num w:numId="16">
    <w:abstractNumId w:val="20"/>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0"/>
  </w:num>
  <w:num w:numId="21">
    <w:abstractNumId w:val="19"/>
  </w:num>
  <w:num w:numId="22">
    <w:abstractNumId w:val="20"/>
  </w:num>
  <w:num w:numId="23">
    <w:abstractNumId w:val="15"/>
  </w:num>
  <w:num w:numId="24">
    <w:abstractNumId w:val="18"/>
  </w:num>
  <w:num w:numId="25">
    <w:abstractNumId w:val="15"/>
  </w:num>
  <w:num w:numId="26">
    <w:abstractNumId w:val="14"/>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num>
  <w:num w:numId="30">
    <w:abstractNumId w:val="13"/>
  </w:num>
  <w:num w:numId="31">
    <w:abstractNumId w:val="25"/>
  </w:num>
  <w:num w:numId="32">
    <w:abstractNumId w:val="21"/>
  </w:num>
  <w:num w:numId="33">
    <w:abstractNumId w:val="17"/>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14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F76175"/>
    <w:rsid w:val="0000170B"/>
    <w:rsid w:val="00002721"/>
    <w:rsid w:val="00007E0C"/>
    <w:rsid w:val="00024E24"/>
    <w:rsid w:val="00034EAA"/>
    <w:rsid w:val="00086128"/>
    <w:rsid w:val="000861A6"/>
    <w:rsid w:val="000D7FD3"/>
    <w:rsid w:val="000E7E7B"/>
    <w:rsid w:val="000F3BA2"/>
    <w:rsid w:val="00103F8C"/>
    <w:rsid w:val="00110655"/>
    <w:rsid w:val="001175BF"/>
    <w:rsid w:val="00130923"/>
    <w:rsid w:val="00132B66"/>
    <w:rsid w:val="001414F3"/>
    <w:rsid w:val="00143FCD"/>
    <w:rsid w:val="00152D18"/>
    <w:rsid w:val="00167F21"/>
    <w:rsid w:val="00181D7B"/>
    <w:rsid w:val="001A495D"/>
    <w:rsid w:val="001B6467"/>
    <w:rsid w:val="001C48A7"/>
    <w:rsid w:val="001D0599"/>
    <w:rsid w:val="001F510A"/>
    <w:rsid w:val="00203F57"/>
    <w:rsid w:val="002076E6"/>
    <w:rsid w:val="00222463"/>
    <w:rsid w:val="00223EB1"/>
    <w:rsid w:val="00236917"/>
    <w:rsid w:val="00241465"/>
    <w:rsid w:val="0024390F"/>
    <w:rsid w:val="00243D6B"/>
    <w:rsid w:val="0026291C"/>
    <w:rsid w:val="0026793C"/>
    <w:rsid w:val="002758D7"/>
    <w:rsid w:val="00276954"/>
    <w:rsid w:val="002822BD"/>
    <w:rsid w:val="002A11FB"/>
    <w:rsid w:val="002B06E6"/>
    <w:rsid w:val="002B365D"/>
    <w:rsid w:val="002C1423"/>
    <w:rsid w:val="002C3AA1"/>
    <w:rsid w:val="002D271F"/>
    <w:rsid w:val="002D6386"/>
    <w:rsid w:val="002D7D13"/>
    <w:rsid w:val="002F1999"/>
    <w:rsid w:val="00303892"/>
    <w:rsid w:val="00305B35"/>
    <w:rsid w:val="003155A7"/>
    <w:rsid w:val="003155A8"/>
    <w:rsid w:val="00316144"/>
    <w:rsid w:val="003166C5"/>
    <w:rsid w:val="003242B9"/>
    <w:rsid w:val="0034671D"/>
    <w:rsid w:val="003553BA"/>
    <w:rsid w:val="003723BB"/>
    <w:rsid w:val="003753C7"/>
    <w:rsid w:val="00376582"/>
    <w:rsid w:val="0038467B"/>
    <w:rsid w:val="00395311"/>
    <w:rsid w:val="003979FC"/>
    <w:rsid w:val="003D67FC"/>
    <w:rsid w:val="003F2BB7"/>
    <w:rsid w:val="00406E5A"/>
    <w:rsid w:val="0041715E"/>
    <w:rsid w:val="0042619D"/>
    <w:rsid w:val="00443110"/>
    <w:rsid w:val="00455B34"/>
    <w:rsid w:val="00471C20"/>
    <w:rsid w:val="00481F02"/>
    <w:rsid w:val="0048762C"/>
    <w:rsid w:val="004B256F"/>
    <w:rsid w:val="004E4494"/>
    <w:rsid w:val="004F15A7"/>
    <w:rsid w:val="005113B6"/>
    <w:rsid w:val="00531817"/>
    <w:rsid w:val="005405A1"/>
    <w:rsid w:val="00560CA0"/>
    <w:rsid w:val="005624F3"/>
    <w:rsid w:val="005811EF"/>
    <w:rsid w:val="00585156"/>
    <w:rsid w:val="005B0878"/>
    <w:rsid w:val="005B66CA"/>
    <w:rsid w:val="005C15C0"/>
    <w:rsid w:val="00610654"/>
    <w:rsid w:val="0062410D"/>
    <w:rsid w:val="006318B9"/>
    <w:rsid w:val="0067026C"/>
    <w:rsid w:val="00684CAE"/>
    <w:rsid w:val="006C50CB"/>
    <w:rsid w:val="006E2D49"/>
    <w:rsid w:val="006F325D"/>
    <w:rsid w:val="007049C6"/>
    <w:rsid w:val="00712BE3"/>
    <w:rsid w:val="007468FC"/>
    <w:rsid w:val="007520A1"/>
    <w:rsid w:val="0076375A"/>
    <w:rsid w:val="00782F1B"/>
    <w:rsid w:val="00792CA3"/>
    <w:rsid w:val="007B2FDD"/>
    <w:rsid w:val="007D307D"/>
    <w:rsid w:val="007D58FB"/>
    <w:rsid w:val="007E0574"/>
    <w:rsid w:val="008163BB"/>
    <w:rsid w:val="00832FB2"/>
    <w:rsid w:val="0083468A"/>
    <w:rsid w:val="00834E65"/>
    <w:rsid w:val="00835B93"/>
    <w:rsid w:val="00837827"/>
    <w:rsid w:val="00842D43"/>
    <w:rsid w:val="00845040"/>
    <w:rsid w:val="00856D1C"/>
    <w:rsid w:val="00857A5E"/>
    <w:rsid w:val="00876AC0"/>
    <w:rsid w:val="00884A2C"/>
    <w:rsid w:val="008B6F50"/>
    <w:rsid w:val="008E5219"/>
    <w:rsid w:val="008E5AC8"/>
    <w:rsid w:val="008E773B"/>
    <w:rsid w:val="00903408"/>
    <w:rsid w:val="00905AD9"/>
    <w:rsid w:val="009116EA"/>
    <w:rsid w:val="00931E30"/>
    <w:rsid w:val="00933671"/>
    <w:rsid w:val="00945E6D"/>
    <w:rsid w:val="00946239"/>
    <w:rsid w:val="00964775"/>
    <w:rsid w:val="009679E7"/>
    <w:rsid w:val="00971D09"/>
    <w:rsid w:val="00972BF7"/>
    <w:rsid w:val="00972DD5"/>
    <w:rsid w:val="00984879"/>
    <w:rsid w:val="00985632"/>
    <w:rsid w:val="00991B63"/>
    <w:rsid w:val="0099577D"/>
    <w:rsid w:val="0099784A"/>
    <w:rsid w:val="009B2428"/>
    <w:rsid w:val="009B5CB7"/>
    <w:rsid w:val="009C0EA3"/>
    <w:rsid w:val="009D3C4D"/>
    <w:rsid w:val="009E6EB9"/>
    <w:rsid w:val="009F3E64"/>
    <w:rsid w:val="00A0016B"/>
    <w:rsid w:val="00A0490D"/>
    <w:rsid w:val="00A0528A"/>
    <w:rsid w:val="00A1074C"/>
    <w:rsid w:val="00A145A2"/>
    <w:rsid w:val="00A23B01"/>
    <w:rsid w:val="00A24D5E"/>
    <w:rsid w:val="00A31242"/>
    <w:rsid w:val="00A40A2D"/>
    <w:rsid w:val="00A475CB"/>
    <w:rsid w:val="00A50604"/>
    <w:rsid w:val="00A52530"/>
    <w:rsid w:val="00A551BF"/>
    <w:rsid w:val="00A562BF"/>
    <w:rsid w:val="00A571DC"/>
    <w:rsid w:val="00A66052"/>
    <w:rsid w:val="00A70524"/>
    <w:rsid w:val="00A73406"/>
    <w:rsid w:val="00AA464D"/>
    <w:rsid w:val="00AB2766"/>
    <w:rsid w:val="00AB2BA8"/>
    <w:rsid w:val="00AC65DA"/>
    <w:rsid w:val="00AD09E4"/>
    <w:rsid w:val="00AD5D0A"/>
    <w:rsid w:val="00AF0014"/>
    <w:rsid w:val="00AF1737"/>
    <w:rsid w:val="00AF4962"/>
    <w:rsid w:val="00B00D12"/>
    <w:rsid w:val="00B2722A"/>
    <w:rsid w:val="00B4243F"/>
    <w:rsid w:val="00B4447B"/>
    <w:rsid w:val="00B60E3A"/>
    <w:rsid w:val="00B618BA"/>
    <w:rsid w:val="00B727BC"/>
    <w:rsid w:val="00B82137"/>
    <w:rsid w:val="00B825B8"/>
    <w:rsid w:val="00B95503"/>
    <w:rsid w:val="00BA282D"/>
    <w:rsid w:val="00BA4D57"/>
    <w:rsid w:val="00BA58C4"/>
    <w:rsid w:val="00BB6260"/>
    <w:rsid w:val="00BC2A70"/>
    <w:rsid w:val="00BE4F09"/>
    <w:rsid w:val="00BE630C"/>
    <w:rsid w:val="00BF6463"/>
    <w:rsid w:val="00C03C81"/>
    <w:rsid w:val="00C05E74"/>
    <w:rsid w:val="00C10C19"/>
    <w:rsid w:val="00C13ECB"/>
    <w:rsid w:val="00C143B8"/>
    <w:rsid w:val="00C15D71"/>
    <w:rsid w:val="00C17D02"/>
    <w:rsid w:val="00C33682"/>
    <w:rsid w:val="00C52261"/>
    <w:rsid w:val="00C5649C"/>
    <w:rsid w:val="00C66021"/>
    <w:rsid w:val="00C75486"/>
    <w:rsid w:val="00C8202C"/>
    <w:rsid w:val="00C91576"/>
    <w:rsid w:val="00C92A5B"/>
    <w:rsid w:val="00CA46EC"/>
    <w:rsid w:val="00CA7C7F"/>
    <w:rsid w:val="00CB6EC3"/>
    <w:rsid w:val="00CD29E8"/>
    <w:rsid w:val="00CE2AA2"/>
    <w:rsid w:val="00CE37D6"/>
    <w:rsid w:val="00D05B29"/>
    <w:rsid w:val="00D12BEB"/>
    <w:rsid w:val="00D1394D"/>
    <w:rsid w:val="00D27C2D"/>
    <w:rsid w:val="00D47740"/>
    <w:rsid w:val="00D50C39"/>
    <w:rsid w:val="00D51B3A"/>
    <w:rsid w:val="00D53687"/>
    <w:rsid w:val="00D812B9"/>
    <w:rsid w:val="00D903FD"/>
    <w:rsid w:val="00D93652"/>
    <w:rsid w:val="00D94BC5"/>
    <w:rsid w:val="00D96C08"/>
    <w:rsid w:val="00DC3052"/>
    <w:rsid w:val="00DD022D"/>
    <w:rsid w:val="00DE5F75"/>
    <w:rsid w:val="00DE7916"/>
    <w:rsid w:val="00DF46C4"/>
    <w:rsid w:val="00DF4CA3"/>
    <w:rsid w:val="00E02515"/>
    <w:rsid w:val="00E12873"/>
    <w:rsid w:val="00E15C96"/>
    <w:rsid w:val="00E1604B"/>
    <w:rsid w:val="00E2102F"/>
    <w:rsid w:val="00E74749"/>
    <w:rsid w:val="00E75A27"/>
    <w:rsid w:val="00E763A6"/>
    <w:rsid w:val="00EA1A3C"/>
    <w:rsid w:val="00EB361B"/>
    <w:rsid w:val="00EC78E7"/>
    <w:rsid w:val="00ED43D2"/>
    <w:rsid w:val="00EE3B8C"/>
    <w:rsid w:val="00EF2258"/>
    <w:rsid w:val="00EF25D6"/>
    <w:rsid w:val="00EF4A38"/>
    <w:rsid w:val="00EF5845"/>
    <w:rsid w:val="00F11B8F"/>
    <w:rsid w:val="00F21BBD"/>
    <w:rsid w:val="00F3699A"/>
    <w:rsid w:val="00F379D0"/>
    <w:rsid w:val="00F47193"/>
    <w:rsid w:val="00F501B4"/>
    <w:rsid w:val="00F74011"/>
    <w:rsid w:val="00F76175"/>
    <w:rsid w:val="00F80CFC"/>
    <w:rsid w:val="00F80DCB"/>
    <w:rsid w:val="00F958AE"/>
    <w:rsid w:val="00F97875"/>
    <w:rsid w:val="00FB10CB"/>
    <w:rsid w:val="00FB365C"/>
    <w:rsid w:val="00FC5F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4F991F86"/>
  <w15:docId w15:val="{DE53EFD0-A8F2-428B-8D3F-D62C3186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93C"/>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26793C"/>
    <w:rPr>
      <w:color w:val="3C54A5" w:themeColor="text2"/>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1604B"/>
    <w:pPr>
      <w:spacing w:before="480" w:after="12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10"/>
    <w:rsid w:val="00E1604B"/>
    <w:rPr>
      <w:rFonts w:ascii="Calibri" w:eastAsiaTheme="majorEastAsia" w:hAnsi="Calibri" w:cstheme="majorBidi"/>
      <w:b/>
      <w:color w:val="522761"/>
      <w:spacing w:val="5"/>
      <w:sz w:val="60"/>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2076E6"/>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uiPriority w:val="99"/>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F74011"/>
    <w:rPr>
      <w:color w:val="7030A0"/>
    </w:rPr>
  </w:style>
  <w:style w:type="character" w:styleId="CommentReference">
    <w:name w:val="annotation reference"/>
    <w:basedOn w:val="DefaultParagraphFont"/>
    <w:uiPriority w:val="99"/>
    <w:semiHidden/>
    <w:unhideWhenUsed/>
    <w:rsid w:val="00A145A2"/>
    <w:rPr>
      <w:sz w:val="16"/>
      <w:szCs w:val="16"/>
    </w:rPr>
  </w:style>
  <w:style w:type="paragraph" w:styleId="CommentText">
    <w:name w:val="annotation text"/>
    <w:basedOn w:val="Normal"/>
    <w:link w:val="CommentTextChar"/>
    <w:uiPriority w:val="99"/>
    <w:unhideWhenUsed/>
    <w:rsid w:val="00A145A2"/>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A145A2"/>
    <w:rPr>
      <w:rFonts w:eastAsiaTheme="minorHAnsi"/>
      <w:sz w:val="20"/>
      <w:szCs w:val="20"/>
    </w:rPr>
  </w:style>
  <w:style w:type="character" w:customStyle="1" w:styleId="Instructions">
    <w:name w:val="Instructions"/>
    <w:basedOn w:val="DefaultParagraphFont"/>
    <w:uiPriority w:val="1"/>
    <w:qFormat/>
    <w:rsid w:val="0026793C"/>
    <w:rPr>
      <w:color w:val="522761" w:themeColor="accent4"/>
    </w:rPr>
  </w:style>
  <w:style w:type="character" w:customStyle="1" w:styleId="ListParagraphChar">
    <w:name w:val="List Paragraph Char"/>
    <w:link w:val="ListParagraph"/>
    <w:uiPriority w:val="34"/>
    <w:locked/>
    <w:rsid w:val="00E75A27"/>
  </w:style>
  <w:style w:type="paragraph" w:customStyle="1" w:styleId="Source">
    <w:name w:val="Source"/>
    <w:basedOn w:val="Normal"/>
    <w:link w:val="SourceChar"/>
    <w:qFormat/>
    <w:rsid w:val="00103F8C"/>
    <w:pPr>
      <w:keepNext/>
      <w:spacing w:before="52" w:after="0" w:line="240" w:lineRule="auto"/>
    </w:pPr>
    <w:rPr>
      <w:rFonts w:ascii="Arial Narrow" w:eastAsia="Times New Roman" w:hAnsi="Arial Narrow" w:cs="Times New Roman"/>
      <w:i/>
      <w:caps/>
      <w:spacing w:val="-3"/>
      <w:sz w:val="14"/>
    </w:rPr>
  </w:style>
  <w:style w:type="paragraph" w:customStyle="1" w:styleId="Tablecolumnheadings">
    <w:name w:val="Table column headings"/>
    <w:basedOn w:val="Normal"/>
    <w:uiPriority w:val="3"/>
    <w:qFormat/>
    <w:rsid w:val="00103F8C"/>
    <w:pPr>
      <w:keepNext/>
      <w:spacing w:before="40" w:after="40" w:line="240" w:lineRule="atLeast"/>
      <w:ind w:right="120"/>
    </w:pPr>
    <w:rPr>
      <w:rFonts w:ascii="Arial Narrow" w:eastAsia="Times New Roman" w:hAnsi="Arial Narrow" w:cs="Times New Roman"/>
      <w:b/>
      <w:color w:val="FFFEFF"/>
      <w:sz w:val="20"/>
    </w:rPr>
  </w:style>
  <w:style w:type="paragraph" w:customStyle="1" w:styleId="Tabletext">
    <w:name w:val="Table text"/>
    <w:basedOn w:val="Normal"/>
    <w:qFormat/>
    <w:rsid w:val="00103F8C"/>
    <w:pPr>
      <w:spacing w:before="60" w:after="0" w:line="240" w:lineRule="atLeast"/>
      <w:ind w:right="120"/>
    </w:pPr>
    <w:rPr>
      <w:rFonts w:ascii="Arial Narrow" w:eastAsia="Times New Roman" w:hAnsi="Arial Narrow" w:cs="Times New Roman"/>
      <w:color w:val="000100"/>
      <w:sz w:val="20"/>
    </w:rPr>
  </w:style>
  <w:style w:type="paragraph" w:customStyle="1" w:styleId="Note">
    <w:name w:val="Note"/>
    <w:next w:val="BodyText"/>
    <w:rsid w:val="00103F8C"/>
    <w:pPr>
      <w:keepNext/>
      <w:keepLines/>
      <w:spacing w:before="40" w:after="0" w:line="180" w:lineRule="exact"/>
    </w:pPr>
    <w:rPr>
      <w:rFonts w:ascii="Arial Narrow" w:eastAsia="Times New Roman" w:hAnsi="Arial Narrow" w:cs="Times New Roman"/>
      <w:sz w:val="14"/>
      <w:szCs w:val="24"/>
    </w:rPr>
  </w:style>
  <w:style w:type="character" w:customStyle="1" w:styleId="SourceChar">
    <w:name w:val="Source Char"/>
    <w:basedOn w:val="DefaultParagraphFont"/>
    <w:link w:val="Source"/>
    <w:locked/>
    <w:rsid w:val="00103F8C"/>
    <w:rPr>
      <w:rFonts w:ascii="Arial Narrow" w:eastAsia="Times New Roman" w:hAnsi="Arial Narrow" w:cs="Times New Roman"/>
      <w:i/>
      <w:caps/>
      <w:spacing w:val="-3"/>
      <w:sz w:val="14"/>
    </w:rPr>
  </w:style>
  <w:style w:type="paragraph" w:styleId="CommentSubject">
    <w:name w:val="annotation subject"/>
    <w:basedOn w:val="CommentText"/>
    <w:next w:val="CommentText"/>
    <w:link w:val="CommentSubjectChar"/>
    <w:uiPriority w:val="99"/>
    <w:semiHidden/>
    <w:unhideWhenUsed/>
    <w:rsid w:val="00A50604"/>
    <w:rPr>
      <w:rFonts w:eastAsiaTheme="minorEastAsia"/>
      <w:b/>
      <w:bCs/>
    </w:rPr>
  </w:style>
  <w:style w:type="character" w:customStyle="1" w:styleId="CommentSubjectChar">
    <w:name w:val="Comment Subject Char"/>
    <w:basedOn w:val="CommentTextChar"/>
    <w:link w:val="CommentSubject"/>
    <w:uiPriority w:val="99"/>
    <w:semiHidden/>
    <w:rsid w:val="00A50604"/>
    <w:rPr>
      <w:rFonts w:eastAsiaTheme="minorHAnsi"/>
      <w:b/>
      <w:bCs/>
      <w:sz w:val="20"/>
      <w:szCs w:val="20"/>
    </w:rPr>
  </w:style>
  <w:style w:type="paragraph" w:styleId="Revision">
    <w:name w:val="Revision"/>
    <w:hidden/>
    <w:uiPriority w:val="99"/>
    <w:semiHidden/>
    <w:rsid w:val="00845040"/>
    <w:pPr>
      <w:spacing w:after="0" w:line="240" w:lineRule="auto"/>
    </w:pPr>
  </w:style>
  <w:style w:type="paragraph" w:styleId="FootnoteText">
    <w:name w:val="footnote text"/>
    <w:basedOn w:val="Normal"/>
    <w:link w:val="FootnoteTextChar"/>
    <w:uiPriority w:val="99"/>
    <w:semiHidden/>
    <w:unhideWhenUsed/>
    <w:rsid w:val="00CB6E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6EC3"/>
    <w:rPr>
      <w:sz w:val="20"/>
      <w:szCs w:val="20"/>
    </w:rPr>
  </w:style>
  <w:style w:type="character" w:styleId="FootnoteReference">
    <w:name w:val="footnote reference"/>
    <w:basedOn w:val="DefaultParagraphFont"/>
    <w:uiPriority w:val="99"/>
    <w:semiHidden/>
    <w:unhideWhenUsed/>
    <w:rsid w:val="00CB6EC3"/>
    <w:rPr>
      <w:vertAlign w:val="superscript"/>
    </w:rPr>
  </w:style>
  <w:style w:type="character" w:styleId="FollowedHyperlink">
    <w:name w:val="FollowedHyperlink"/>
    <w:basedOn w:val="DefaultParagraphFont"/>
    <w:uiPriority w:val="99"/>
    <w:semiHidden/>
    <w:unhideWhenUsed/>
    <w:rsid w:val="00F3699A"/>
    <w:rPr>
      <w:color w:val="52276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217517631">
      <w:bodyDiv w:val="1"/>
      <w:marLeft w:val="0"/>
      <w:marRight w:val="0"/>
      <w:marTop w:val="0"/>
      <w:marBottom w:val="0"/>
      <w:divBdr>
        <w:top w:val="none" w:sz="0" w:space="0" w:color="auto"/>
        <w:left w:val="none" w:sz="0" w:space="0" w:color="auto"/>
        <w:bottom w:val="none" w:sz="0" w:space="0" w:color="auto"/>
        <w:right w:val="none" w:sz="0" w:space="0" w:color="auto"/>
      </w:divBdr>
    </w:div>
    <w:div w:id="1295792055">
      <w:bodyDiv w:val="1"/>
      <w:marLeft w:val="0"/>
      <w:marRight w:val="0"/>
      <w:marTop w:val="0"/>
      <w:marBottom w:val="0"/>
      <w:divBdr>
        <w:top w:val="none" w:sz="0" w:space="0" w:color="auto"/>
        <w:left w:val="none" w:sz="0" w:space="0" w:color="auto"/>
        <w:bottom w:val="none" w:sz="0" w:space="0" w:color="auto"/>
        <w:right w:val="none" w:sz="0" w:space="0" w:color="auto"/>
      </w:divBdr>
    </w:div>
    <w:div w:id="1458597577">
      <w:bodyDiv w:val="1"/>
      <w:marLeft w:val="0"/>
      <w:marRight w:val="0"/>
      <w:marTop w:val="0"/>
      <w:marBottom w:val="0"/>
      <w:divBdr>
        <w:top w:val="none" w:sz="0" w:space="0" w:color="auto"/>
        <w:left w:val="none" w:sz="0" w:space="0" w:color="auto"/>
        <w:bottom w:val="none" w:sz="0" w:space="0" w:color="auto"/>
        <w:right w:val="none" w:sz="0" w:space="0" w:color="auto"/>
      </w:divBdr>
    </w:div>
    <w:div w:id="1890728337">
      <w:bodyDiv w:val="1"/>
      <w:marLeft w:val="0"/>
      <w:marRight w:val="0"/>
      <w:marTop w:val="0"/>
      <w:marBottom w:val="0"/>
      <w:divBdr>
        <w:top w:val="none" w:sz="0" w:space="0" w:color="auto"/>
        <w:left w:val="none" w:sz="0" w:space="0" w:color="auto"/>
        <w:bottom w:val="none" w:sz="0" w:space="0" w:color="auto"/>
        <w:right w:val="none" w:sz="0" w:space="0" w:color="auto"/>
      </w:divBdr>
    </w:div>
    <w:div w:id="196353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D5C73350ABF1428E08C33C1B76F4E8" ma:contentTypeVersion="8" ma:contentTypeDescription="Create a new document." ma:contentTypeScope="" ma:versionID="1568253fc257c4b36bb938c5d900c1ea">
  <xsd:schema xmlns:xsd="http://www.w3.org/2001/XMLSchema" xmlns:xs="http://www.w3.org/2001/XMLSchema" xmlns:p="http://schemas.microsoft.com/office/2006/metadata/properties" xmlns:ns3="d7f0b2db-b017-4e6a-925a-1e0a5aec98d8" targetNamespace="http://schemas.microsoft.com/office/2006/metadata/properties" ma:root="true" ma:fieldsID="655b4534631368e606e31ca2692a3082" ns3:_="">
    <xsd:import namespace="d7f0b2db-b017-4e6a-925a-1e0a5aec98d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f0b2db-b017-4e6a-925a-1e0a5aec98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AAB01-E58C-4841-B922-14ADCC30097F}">
  <ds:schemaRefs>
    <ds:schemaRef ds:uri="http://purl.org/dc/terms/"/>
    <ds:schemaRef ds:uri="http://schemas.openxmlformats.org/package/2006/metadata/core-properties"/>
    <ds:schemaRef ds:uri="d7f0b2db-b017-4e6a-925a-1e0a5aec98d8"/>
    <ds:schemaRef ds:uri="http://purl.org/dc/dcmitype/"/>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D153DE86-CAA3-4D88-AC3C-0A4886854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f0b2db-b017-4e6a-925a-1e0a5aec98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2538FE-D160-4725-A560-E20E5AD5D423}">
  <ds:schemaRefs>
    <ds:schemaRef ds:uri="http://schemas.microsoft.com/sharepoint/v3/contenttype/forms"/>
  </ds:schemaRefs>
</ds:datastoreItem>
</file>

<file path=customXml/itemProps4.xml><?xml version="1.0" encoding="utf-8"?>
<ds:datastoreItem xmlns:ds="http://schemas.openxmlformats.org/officeDocument/2006/customXml" ds:itemID="{2B91CCD8-C5E7-4981-8FF1-118D2A65A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856</Words>
  <Characters>4885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Higher Education Participation and Partnerships Program (HEPPP)</vt:lpstr>
    </vt:vector>
  </TitlesOfParts>
  <Company>Australian Government</Company>
  <LinksUpToDate>false</LinksUpToDate>
  <CharactersWithSpaces>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Higher Education Participation and Partnerships Program (HEPPP)</dc:title>
  <dc:creator>Michael Thompson</dc:creator>
  <cp:lastModifiedBy>KLEIN,Isobel</cp:lastModifiedBy>
  <cp:revision>15</cp:revision>
  <cp:lastPrinted>2020-08-06T01:28:00Z</cp:lastPrinted>
  <dcterms:created xsi:type="dcterms:W3CDTF">2020-03-31T05:02:00Z</dcterms:created>
  <dcterms:modified xsi:type="dcterms:W3CDTF">2020-08-06T01:28:00Z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0x0101007CD5C73350ABF1428E08C33C1B76F4E8</vt:lpwstr>
  </property>
</Properties>
</file>