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EA796" w14:textId="77777777" w:rsidR="002B07A7" w:rsidRPr="0006599E" w:rsidRDefault="002B07A7" w:rsidP="002B07A7">
      <w:pPr>
        <w:jc w:val="center"/>
        <w:rPr>
          <w:rFonts w:cstheme="minorHAnsi"/>
          <w:caps/>
          <w:sz w:val="28"/>
          <w:szCs w:val="24"/>
        </w:rPr>
      </w:pPr>
      <w:r w:rsidRPr="0006599E">
        <w:rPr>
          <w:rFonts w:cstheme="minorHAnsi"/>
          <w:caps/>
          <w:sz w:val="28"/>
          <w:szCs w:val="24"/>
        </w:rPr>
        <w:t>Access and Participation Plan 2020</w:t>
      </w:r>
    </w:p>
    <w:p w14:paraId="61DF64EF" w14:textId="7204247C" w:rsidR="000C0CD7" w:rsidRPr="0006599E" w:rsidRDefault="000C0CD7" w:rsidP="00282578">
      <w:pPr>
        <w:jc w:val="center"/>
        <w:rPr>
          <w:rFonts w:cstheme="minorHAnsi"/>
          <w:b/>
          <w:sz w:val="28"/>
          <w:szCs w:val="24"/>
        </w:rPr>
      </w:pPr>
      <w:r w:rsidRPr="0006599E">
        <w:rPr>
          <w:rFonts w:cstheme="minorHAnsi"/>
          <w:b/>
          <w:sz w:val="28"/>
          <w:szCs w:val="24"/>
        </w:rPr>
        <w:t>Southern Cross University</w:t>
      </w:r>
    </w:p>
    <w:p w14:paraId="02B2343B" w14:textId="77777777" w:rsidR="0083709D" w:rsidRPr="0006599E" w:rsidRDefault="0083709D" w:rsidP="00165C19">
      <w:pPr>
        <w:rPr>
          <w:rFonts w:cstheme="minorHAnsi"/>
          <w:color w:val="000000" w:themeColor="text1"/>
          <w:sz w:val="24"/>
          <w:szCs w:val="24"/>
        </w:rPr>
      </w:pPr>
    </w:p>
    <w:p w14:paraId="27754659" w14:textId="36C37026" w:rsidR="00B64233" w:rsidRPr="0006599E" w:rsidRDefault="00B64233" w:rsidP="00165C19">
      <w:pPr>
        <w:rPr>
          <w:rFonts w:cstheme="minorHAnsi"/>
          <w:color w:val="000000" w:themeColor="text1"/>
          <w:sz w:val="24"/>
          <w:szCs w:val="24"/>
        </w:rPr>
      </w:pPr>
      <w:r w:rsidRPr="0006599E">
        <w:rPr>
          <w:rFonts w:cstheme="minorHAnsi"/>
          <w:color w:val="000000" w:themeColor="text1"/>
          <w:sz w:val="24"/>
          <w:szCs w:val="24"/>
        </w:rPr>
        <w:t>Equity outcomes and strategies</w:t>
      </w:r>
      <w:r w:rsidR="0071727E" w:rsidRPr="0006599E">
        <w:rPr>
          <w:rFonts w:cstheme="minorHAnsi"/>
          <w:color w:val="000000" w:themeColor="text1"/>
          <w:sz w:val="24"/>
          <w:szCs w:val="24"/>
        </w:rPr>
        <w:t xml:space="preserve"> </w:t>
      </w:r>
      <w:r w:rsidRPr="0006599E">
        <w:rPr>
          <w:rFonts w:cstheme="minorHAnsi"/>
          <w:color w:val="000000" w:themeColor="text1"/>
          <w:sz w:val="24"/>
          <w:szCs w:val="24"/>
        </w:rPr>
        <w:t>for improving outcomes for people from a low SES background.</w:t>
      </w:r>
    </w:p>
    <w:p w14:paraId="1CAD3B5F" w14:textId="2E97A162" w:rsidR="00B64233" w:rsidRPr="0006599E" w:rsidRDefault="00F9698E" w:rsidP="00814312">
      <w:pPr>
        <w:ind w:left="360"/>
        <w:rPr>
          <w:rFonts w:cstheme="minorHAnsi"/>
          <w:b/>
          <w:sz w:val="24"/>
          <w:szCs w:val="24"/>
        </w:rPr>
      </w:pPr>
      <w:r w:rsidRPr="0006599E">
        <w:rPr>
          <w:rFonts w:cstheme="minorHAnsi"/>
          <w:b/>
          <w:sz w:val="24"/>
          <w:szCs w:val="24"/>
        </w:rPr>
        <w:t>Outcomes</w:t>
      </w:r>
    </w:p>
    <w:p w14:paraId="412A1CA0" w14:textId="6D33F55A" w:rsidR="00165C19" w:rsidRPr="0006599E" w:rsidRDefault="00165C19" w:rsidP="00165C1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599E">
        <w:rPr>
          <w:rFonts w:cstheme="minorHAnsi"/>
          <w:sz w:val="24"/>
          <w:szCs w:val="24"/>
        </w:rPr>
        <w:t xml:space="preserve">Increase accessibility and participation rates for students from low socio-economic backgrounds above the sector average. </w:t>
      </w:r>
    </w:p>
    <w:p w14:paraId="4B3EAA87" w14:textId="525CE9FC" w:rsidR="00165C19" w:rsidRPr="0006599E" w:rsidRDefault="003A0341" w:rsidP="002825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599E">
        <w:rPr>
          <w:rFonts w:cstheme="minorHAnsi"/>
          <w:sz w:val="24"/>
          <w:szCs w:val="24"/>
        </w:rPr>
        <w:t>S</w:t>
      </w:r>
      <w:r w:rsidR="00165C19" w:rsidRPr="0006599E">
        <w:rPr>
          <w:rFonts w:cstheme="minorHAnsi"/>
          <w:sz w:val="24"/>
          <w:szCs w:val="24"/>
        </w:rPr>
        <w:t>tudents are supported to have a positive growth experience, to feel connected and engaged with the University community and their studies</w:t>
      </w:r>
      <w:r w:rsidR="001250CF" w:rsidRPr="0006599E">
        <w:rPr>
          <w:rFonts w:cstheme="minorHAnsi"/>
          <w:sz w:val="24"/>
          <w:szCs w:val="24"/>
        </w:rPr>
        <w:t>.</w:t>
      </w:r>
    </w:p>
    <w:p w14:paraId="62BCCDEC" w14:textId="3D58B831" w:rsidR="006078B3" w:rsidRPr="0006599E" w:rsidRDefault="006078B3" w:rsidP="0028257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599E">
        <w:rPr>
          <w:rFonts w:cstheme="minorHAnsi"/>
          <w:sz w:val="24"/>
          <w:szCs w:val="24"/>
        </w:rPr>
        <w:t>Elevate</w:t>
      </w:r>
      <w:r w:rsidR="00AC7653" w:rsidRPr="0006599E">
        <w:rPr>
          <w:rFonts w:cstheme="minorHAnsi"/>
          <w:sz w:val="24"/>
          <w:szCs w:val="24"/>
        </w:rPr>
        <w:t>d</w:t>
      </w:r>
      <w:r w:rsidRPr="0006599E">
        <w:rPr>
          <w:rFonts w:cstheme="minorHAnsi"/>
          <w:sz w:val="24"/>
          <w:szCs w:val="24"/>
        </w:rPr>
        <w:t xml:space="preserve"> retention</w:t>
      </w:r>
      <w:r w:rsidR="00566299" w:rsidRPr="0006599E">
        <w:rPr>
          <w:rFonts w:cstheme="minorHAnsi"/>
          <w:sz w:val="24"/>
          <w:szCs w:val="24"/>
        </w:rPr>
        <w:t xml:space="preserve"> rates of students </w:t>
      </w:r>
      <w:r w:rsidR="001250CF" w:rsidRPr="0006599E">
        <w:rPr>
          <w:rFonts w:cstheme="minorHAnsi"/>
          <w:sz w:val="24"/>
          <w:szCs w:val="24"/>
        </w:rPr>
        <w:t>into their second year</w:t>
      </w:r>
      <w:r w:rsidR="003A0341" w:rsidRPr="0006599E">
        <w:rPr>
          <w:rFonts w:cstheme="minorHAnsi"/>
          <w:sz w:val="24"/>
          <w:szCs w:val="24"/>
        </w:rPr>
        <w:t xml:space="preserve"> of studies</w:t>
      </w:r>
      <w:r w:rsidRPr="0006599E">
        <w:rPr>
          <w:rFonts w:cstheme="minorHAnsi"/>
          <w:sz w:val="24"/>
          <w:szCs w:val="24"/>
        </w:rPr>
        <w:t>.</w:t>
      </w:r>
    </w:p>
    <w:p w14:paraId="0034C9E7" w14:textId="0AAA3C25" w:rsidR="006078B3" w:rsidRPr="0006599E" w:rsidRDefault="00493879" w:rsidP="00282578">
      <w:pPr>
        <w:ind w:left="360"/>
        <w:rPr>
          <w:rFonts w:cstheme="minorHAnsi"/>
          <w:sz w:val="24"/>
          <w:szCs w:val="24"/>
        </w:rPr>
      </w:pPr>
      <w:r w:rsidRPr="0006599E">
        <w:rPr>
          <w:rFonts w:cstheme="minorHAnsi"/>
          <w:b/>
          <w:sz w:val="24"/>
          <w:szCs w:val="24"/>
        </w:rPr>
        <w:t>Strategies</w:t>
      </w:r>
      <w:r w:rsidR="002B07A7" w:rsidRPr="0006599E">
        <w:rPr>
          <w:rFonts w:cstheme="minorHAnsi"/>
          <w:b/>
          <w:sz w:val="24"/>
          <w:szCs w:val="24"/>
        </w:rPr>
        <w:t xml:space="preserve"> </w:t>
      </w:r>
      <w:r w:rsidR="00814312" w:rsidRPr="0006599E">
        <w:rPr>
          <w:rFonts w:cstheme="minorHAnsi"/>
          <w:b/>
          <w:sz w:val="24"/>
          <w:szCs w:val="24"/>
        </w:rPr>
        <w:t>and Key activities</w:t>
      </w:r>
      <w:r w:rsidR="004C1097">
        <w:rPr>
          <w:rFonts w:cstheme="minorHAnsi"/>
          <w:b/>
          <w:sz w:val="24"/>
          <w:szCs w:val="24"/>
        </w:rPr>
        <w:t>,</w:t>
      </w:r>
      <w:r w:rsidR="00814312" w:rsidRPr="0006599E">
        <w:rPr>
          <w:rFonts w:cstheme="minorHAnsi"/>
          <w:sz w:val="24"/>
          <w:szCs w:val="24"/>
        </w:rPr>
        <w:t xml:space="preserve"> </w:t>
      </w:r>
      <w:r w:rsidR="00AC7653" w:rsidRPr="0006599E">
        <w:rPr>
          <w:rFonts w:cstheme="minorHAnsi"/>
          <w:sz w:val="24"/>
          <w:szCs w:val="24"/>
        </w:rPr>
        <w:t>which will deliver an increase in the access, participation and success of people from a low SES background.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02"/>
      </w:tblGrid>
      <w:tr w:rsidR="008025AE" w:rsidRPr="0006599E" w14:paraId="6D9D680F" w14:textId="77777777" w:rsidTr="00A93F93">
        <w:tc>
          <w:tcPr>
            <w:tcW w:w="8656" w:type="dxa"/>
            <w:gridSpan w:val="2"/>
            <w:shd w:val="clear" w:color="auto" w:fill="9CC2E5" w:themeFill="accent1" w:themeFillTint="99"/>
          </w:tcPr>
          <w:p w14:paraId="690B3281" w14:textId="49AA19A9" w:rsidR="008025AE" w:rsidRPr="0006599E" w:rsidRDefault="008025AE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b/>
                <w:sz w:val="24"/>
                <w:szCs w:val="24"/>
              </w:rPr>
              <w:t>Pre-Access</w:t>
            </w:r>
          </w:p>
        </w:tc>
      </w:tr>
      <w:tr w:rsidR="003A0341" w:rsidRPr="0006599E" w14:paraId="1807B08E" w14:textId="77777777" w:rsidTr="00A44B54">
        <w:tc>
          <w:tcPr>
            <w:tcW w:w="2754" w:type="dxa"/>
          </w:tcPr>
          <w:p w14:paraId="4AAE088D" w14:textId="493A8B5C" w:rsidR="00814312" w:rsidRPr="0006599E" w:rsidRDefault="0083709D" w:rsidP="0081431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Strategy</w:t>
            </w:r>
          </w:p>
        </w:tc>
        <w:tc>
          <w:tcPr>
            <w:tcW w:w="5902" w:type="dxa"/>
          </w:tcPr>
          <w:p w14:paraId="118AE1DE" w14:textId="13CF3B84" w:rsidR="00814312" w:rsidRPr="0006599E" w:rsidRDefault="006452BC" w:rsidP="006452B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Key Activities</w:t>
            </w:r>
          </w:p>
        </w:tc>
      </w:tr>
      <w:tr w:rsidR="00A44B54" w:rsidRPr="0006599E" w14:paraId="287FF454" w14:textId="77777777" w:rsidTr="00A44B54">
        <w:tc>
          <w:tcPr>
            <w:tcW w:w="2754" w:type="dxa"/>
            <w:vMerge w:val="restart"/>
          </w:tcPr>
          <w:p w14:paraId="7A01CD90" w14:textId="64F59A4E" w:rsidR="00A44B54" w:rsidRPr="0006599E" w:rsidRDefault="00A44B54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>Provide opportunities for school students from low socio</w:t>
            </w:r>
            <w:r w:rsidR="001E3D89">
              <w:rPr>
                <w:rFonts w:cstheme="minorHAnsi"/>
                <w:sz w:val="24"/>
                <w:szCs w:val="24"/>
              </w:rPr>
              <w:t>-</w:t>
            </w:r>
            <w:r w:rsidRPr="0006599E">
              <w:rPr>
                <w:rFonts w:cstheme="minorHAnsi"/>
                <w:sz w:val="24"/>
                <w:szCs w:val="24"/>
              </w:rPr>
              <w:t>economic backgrounds to increase their knowledge and understanding of higher education and career options</w:t>
            </w:r>
            <w:r w:rsidR="001E3D89">
              <w:rPr>
                <w:rFonts w:cstheme="minorHAnsi"/>
                <w:sz w:val="24"/>
                <w:szCs w:val="24"/>
              </w:rPr>
              <w:t>,</w:t>
            </w:r>
            <w:r w:rsidRPr="0006599E">
              <w:rPr>
                <w:rFonts w:cstheme="minorHAnsi"/>
                <w:sz w:val="24"/>
                <w:szCs w:val="24"/>
              </w:rPr>
              <w:t xml:space="preserve"> and improve student academic readiness.</w:t>
            </w:r>
          </w:p>
        </w:tc>
        <w:tc>
          <w:tcPr>
            <w:tcW w:w="5902" w:type="dxa"/>
          </w:tcPr>
          <w:p w14:paraId="3237FA09" w14:textId="50B6CD3C" w:rsidR="00A44B54" w:rsidRPr="0006599E" w:rsidRDefault="00A44B54" w:rsidP="001E3D89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Utilising a multidisciplinary approach with internal and external stakeholders, community organisations and partnerships, deliver the school outreach programs to years 6-10 across the New South Wales and Gold Coast region</w:t>
            </w:r>
            <w:r w:rsidR="00CE32EC" w:rsidRPr="0006599E">
              <w:rPr>
                <w:rFonts w:cstheme="minorHAnsi"/>
                <w:color w:val="000000" w:themeColor="text1"/>
                <w:sz w:val="24"/>
                <w:szCs w:val="24"/>
              </w:rPr>
              <w:t>, s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pecifically targeting schools with a high proportion of students from low socio-economic backgrounds.</w:t>
            </w:r>
          </w:p>
        </w:tc>
      </w:tr>
      <w:tr w:rsidR="00A44B54" w:rsidRPr="0006599E" w14:paraId="5E46ABE7" w14:textId="77777777" w:rsidTr="008025AE">
        <w:tc>
          <w:tcPr>
            <w:tcW w:w="2754" w:type="dxa"/>
            <w:vMerge/>
            <w:tcBorders>
              <w:bottom w:val="single" w:sz="4" w:space="0" w:color="auto"/>
            </w:tcBorders>
          </w:tcPr>
          <w:p w14:paraId="2FF86FA2" w14:textId="77777777" w:rsidR="00A44B54" w:rsidRPr="0006599E" w:rsidRDefault="00A44B54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68DF6C32" w14:textId="5947A7F1" w:rsidR="00A44B54" w:rsidRPr="0006599E" w:rsidRDefault="00AC7653" w:rsidP="00AC7653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Collaborate</w:t>
            </w:r>
            <w:r w:rsidR="00A44B54" w:rsidRPr="0006599E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the campus-based Australian Indigenous Mentoring Experience (AIME) program to 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offer indigenous mentoring opportunities</w:t>
            </w:r>
            <w:r w:rsidR="00A44B54" w:rsidRPr="0006599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32EC" w:rsidRPr="0006599E" w14:paraId="0A7F153D" w14:textId="77777777" w:rsidTr="008025AE">
        <w:tc>
          <w:tcPr>
            <w:tcW w:w="2754" w:type="dxa"/>
            <w:tcBorders>
              <w:bottom w:val="single" w:sz="4" w:space="0" w:color="auto"/>
            </w:tcBorders>
          </w:tcPr>
          <w:p w14:paraId="7619D84D" w14:textId="7C2BA0EB" w:rsidR="00CE32EC" w:rsidRPr="0006599E" w:rsidRDefault="00CE32EC" w:rsidP="001E3D89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 xml:space="preserve">Provide entry pathways for students to access and participate at </w:t>
            </w:r>
            <w:r w:rsidR="001E3D89">
              <w:rPr>
                <w:rFonts w:cstheme="minorHAnsi"/>
                <w:sz w:val="24"/>
                <w:szCs w:val="24"/>
              </w:rPr>
              <w:t>u</w:t>
            </w:r>
            <w:r w:rsidRPr="0006599E">
              <w:rPr>
                <w:rFonts w:cstheme="minorHAnsi"/>
                <w:sz w:val="24"/>
                <w:szCs w:val="24"/>
              </w:rPr>
              <w:t>niversity.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588BE939" w14:textId="1C32C7A4" w:rsidR="00CE32EC" w:rsidRPr="0006599E" w:rsidRDefault="00F3090C" w:rsidP="0083709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 xml:space="preserve">Offer a free, intensive preparatory course and transition </w:t>
            </w:r>
            <w:r w:rsidR="0083709D" w:rsidRPr="0006599E">
              <w:rPr>
                <w:rFonts w:cstheme="minorHAnsi"/>
                <w:color w:val="000000" w:themeColor="text1"/>
                <w:sz w:val="24"/>
                <w:szCs w:val="24"/>
              </w:rPr>
              <w:t>plan to degree studies after completion of the preparatory course.</w:t>
            </w:r>
          </w:p>
        </w:tc>
      </w:tr>
      <w:tr w:rsidR="00CE32EC" w:rsidRPr="0006599E" w14:paraId="07736106" w14:textId="77777777" w:rsidTr="008025AE"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2AAF7" w14:textId="6AF2236C" w:rsidR="00CE32EC" w:rsidRPr="0006599E" w:rsidRDefault="00CE32EC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5AB8E" w14:textId="77777777" w:rsidR="00CE32EC" w:rsidRPr="0006599E" w:rsidRDefault="00CE32EC" w:rsidP="00814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25AE" w:rsidRPr="0006599E" w14:paraId="4FEB8CBC" w14:textId="77777777" w:rsidTr="008025AE"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2124" w14:textId="77777777" w:rsidR="008025AE" w:rsidRPr="0006599E" w:rsidRDefault="008025AE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02FEE" w14:textId="77777777" w:rsidR="008025AE" w:rsidRPr="0006599E" w:rsidRDefault="008025AE" w:rsidP="00814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25AE" w:rsidRPr="0006599E" w14:paraId="4D06D8BC" w14:textId="77777777" w:rsidTr="00A839E2">
        <w:tc>
          <w:tcPr>
            <w:tcW w:w="865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A641858" w14:textId="2213D4EF" w:rsidR="008025AE" w:rsidRPr="0006599E" w:rsidRDefault="008025AE" w:rsidP="008025AE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b/>
                <w:sz w:val="24"/>
                <w:szCs w:val="24"/>
              </w:rPr>
              <w:t>Participation</w:t>
            </w:r>
          </w:p>
        </w:tc>
      </w:tr>
      <w:tr w:rsidR="008025AE" w:rsidRPr="0006599E" w14:paraId="3D7BAEDB" w14:textId="77777777" w:rsidTr="005D2E69">
        <w:tc>
          <w:tcPr>
            <w:tcW w:w="2754" w:type="dxa"/>
          </w:tcPr>
          <w:p w14:paraId="3C8876E3" w14:textId="77777777" w:rsidR="008025AE" w:rsidRPr="0006599E" w:rsidRDefault="008025AE" w:rsidP="005D2E6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Goal</w:t>
            </w:r>
          </w:p>
        </w:tc>
        <w:tc>
          <w:tcPr>
            <w:tcW w:w="5902" w:type="dxa"/>
          </w:tcPr>
          <w:p w14:paraId="5A45A945" w14:textId="77777777" w:rsidR="008025AE" w:rsidRPr="0006599E" w:rsidRDefault="008025AE" w:rsidP="005D2E6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Key Activities</w:t>
            </w:r>
          </w:p>
        </w:tc>
      </w:tr>
      <w:tr w:rsidR="00AC34F9" w:rsidRPr="0006599E" w14:paraId="76DF5F03" w14:textId="77777777" w:rsidTr="00634ECF">
        <w:tc>
          <w:tcPr>
            <w:tcW w:w="2754" w:type="dxa"/>
            <w:vMerge w:val="restart"/>
          </w:tcPr>
          <w:p w14:paraId="018D9AB2" w14:textId="0B5BD3B2" w:rsidR="00AC34F9" w:rsidRPr="0006599E" w:rsidRDefault="00AC34F9" w:rsidP="001E3D89">
            <w:pPr>
              <w:rPr>
                <w:rFonts w:cstheme="minorHAnsi"/>
                <w:b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 xml:space="preserve">Provide multifaceted and multimodal support delivery tailored for students from low socio-economic backgrounds to maximise the student experience, participation and progress during the student’s transition through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06599E">
              <w:rPr>
                <w:rFonts w:cstheme="minorHAnsi"/>
                <w:sz w:val="24"/>
                <w:szCs w:val="24"/>
              </w:rPr>
              <w:t>niversity.</w:t>
            </w:r>
          </w:p>
        </w:tc>
        <w:tc>
          <w:tcPr>
            <w:tcW w:w="5902" w:type="dxa"/>
          </w:tcPr>
          <w:p w14:paraId="3074409C" w14:textId="274AB77D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>Administer support resources such as scholarships and bursaries for students experiencing financial distress.</w:t>
            </w:r>
          </w:p>
        </w:tc>
      </w:tr>
      <w:tr w:rsidR="00AC34F9" w:rsidRPr="0006599E" w14:paraId="74EF1B20" w14:textId="77777777" w:rsidTr="00A44B54">
        <w:tc>
          <w:tcPr>
            <w:tcW w:w="2754" w:type="dxa"/>
            <w:vMerge/>
          </w:tcPr>
          <w:p w14:paraId="236726ED" w14:textId="58F9F441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</w:tcPr>
          <w:p w14:paraId="474D20C6" w14:textId="2E09BF92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>Promote and embed equity and inclusion principles through programs, workshops and events that recognise and celebrate our diversity and increase students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06599E">
              <w:rPr>
                <w:rFonts w:cstheme="minorHAnsi"/>
                <w:sz w:val="24"/>
                <w:szCs w:val="24"/>
              </w:rPr>
              <w:t xml:space="preserve"> connectedness and sense of belonging.</w:t>
            </w:r>
          </w:p>
        </w:tc>
      </w:tr>
      <w:tr w:rsidR="00AC34F9" w:rsidRPr="0006599E" w14:paraId="493190B5" w14:textId="77777777" w:rsidTr="00A44B54">
        <w:tc>
          <w:tcPr>
            <w:tcW w:w="2754" w:type="dxa"/>
            <w:vMerge/>
          </w:tcPr>
          <w:p w14:paraId="383D29E1" w14:textId="77777777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D7C6B6A" w14:textId="2B990DBC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>Provide training programs that strengthen the provision of support for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6599E">
              <w:rPr>
                <w:rFonts w:cstheme="minorHAnsi"/>
                <w:sz w:val="24"/>
                <w:szCs w:val="24"/>
              </w:rPr>
              <w:t xml:space="preserve"> and increases the participation and success of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6599E">
              <w:rPr>
                <w:rFonts w:cstheme="minorHAnsi"/>
                <w:sz w:val="24"/>
                <w:szCs w:val="24"/>
              </w:rPr>
              <w:t xml:space="preserve"> students from Equity backgrounds.</w:t>
            </w:r>
          </w:p>
        </w:tc>
      </w:tr>
      <w:tr w:rsidR="00AC34F9" w:rsidRPr="0006599E" w14:paraId="152305B0" w14:textId="77777777" w:rsidTr="00A44B54">
        <w:tc>
          <w:tcPr>
            <w:tcW w:w="2754" w:type="dxa"/>
            <w:vMerge/>
          </w:tcPr>
          <w:p w14:paraId="67894F8B" w14:textId="77777777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9BD7AF7" w14:textId="4CB4BDBD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 xml:space="preserve">Provide </w:t>
            </w:r>
            <w:r w:rsidRPr="004C1097">
              <w:rPr>
                <w:rFonts w:cstheme="minorHAnsi"/>
                <w:i/>
                <w:sz w:val="24"/>
                <w:szCs w:val="24"/>
              </w:rPr>
              <w:t>just in time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6599E">
              <w:rPr>
                <w:rFonts w:cstheme="minorHAnsi"/>
                <w:sz w:val="24"/>
                <w:szCs w:val="24"/>
              </w:rPr>
              <w:t xml:space="preserve"> targeted support, referral, and case management for students in need of personal care.</w:t>
            </w:r>
          </w:p>
        </w:tc>
      </w:tr>
      <w:tr w:rsidR="00AC34F9" w:rsidRPr="0006599E" w14:paraId="3E2702A5" w14:textId="77777777" w:rsidTr="00625FB4">
        <w:tc>
          <w:tcPr>
            <w:tcW w:w="2754" w:type="dxa"/>
            <w:vMerge/>
          </w:tcPr>
          <w:p w14:paraId="1CFF2BA4" w14:textId="48F47296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0439F2DF" w14:textId="7A0C5121" w:rsidR="00AC34F9" w:rsidRPr="0006599E" w:rsidRDefault="00AC34F9" w:rsidP="001542BB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Deliver a suite of initiatives, programs and events to support and celebrate a diverse, inclusive, culturally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safe and respectful learning environment.</w:t>
            </w:r>
          </w:p>
        </w:tc>
      </w:tr>
      <w:tr w:rsidR="00AC34F9" w:rsidRPr="0006599E" w14:paraId="6AFE5866" w14:textId="77777777" w:rsidTr="00354812">
        <w:tc>
          <w:tcPr>
            <w:tcW w:w="2754" w:type="dxa"/>
            <w:vMerge/>
          </w:tcPr>
          <w:p w14:paraId="2BD04E4C" w14:textId="4AE19E8E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71587E9E" w14:textId="55F40EAE" w:rsidR="00AC34F9" w:rsidRPr="0006599E" w:rsidRDefault="00AC34F9" w:rsidP="001E3D89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 xml:space="preserve">Create a supportive university community through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delivery of specialised services and programs including a structured induction program, early check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in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sessions</w:t>
            </w:r>
            <w:r w:rsidRPr="0006599E">
              <w:rPr>
                <w:rFonts w:cstheme="minorHAnsi"/>
                <w:color w:val="000000" w:themeColor="text1"/>
                <w:sz w:val="24"/>
                <w:szCs w:val="24"/>
              </w:rPr>
              <w:t>, peer support programs and learning coaching.</w:t>
            </w:r>
          </w:p>
        </w:tc>
      </w:tr>
      <w:tr w:rsidR="00AC34F9" w:rsidRPr="0006599E" w14:paraId="17C78FB4" w14:textId="77777777" w:rsidTr="00B81165">
        <w:tc>
          <w:tcPr>
            <w:tcW w:w="2754" w:type="dxa"/>
            <w:vMerge/>
            <w:tcBorders>
              <w:bottom w:val="single" w:sz="4" w:space="0" w:color="auto"/>
            </w:tcBorders>
          </w:tcPr>
          <w:p w14:paraId="529CCF4B" w14:textId="77777777" w:rsidR="00AC34F9" w:rsidRPr="0006599E" w:rsidRDefault="00AC34F9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64C940CB" w14:textId="26B0D115" w:rsidR="00AC34F9" w:rsidRPr="00590B14" w:rsidRDefault="00AC34F9" w:rsidP="001E3D89">
            <w:pPr>
              <w:rPr>
                <w:iCs/>
                <w:sz w:val="24"/>
                <w:szCs w:val="24"/>
              </w:rPr>
            </w:pPr>
            <w:r w:rsidRPr="00590B14">
              <w:rPr>
                <w:iCs/>
                <w:sz w:val="24"/>
                <w:szCs w:val="24"/>
              </w:rPr>
              <w:t xml:space="preserve">Conduct targeted transitional activities and workshops with learning coaches and other engagement specialists to offer students the opportunity to become more self-regulated, especially in the first-year experience. </w:t>
            </w:r>
          </w:p>
        </w:tc>
      </w:tr>
      <w:tr w:rsidR="00CE32EC" w:rsidRPr="0006599E" w14:paraId="07351D71" w14:textId="77777777" w:rsidTr="00B81165"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F1D41" w14:textId="4E486899" w:rsidR="00CE32EC" w:rsidRPr="0006599E" w:rsidRDefault="00CE32EC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22D6B" w14:textId="1FDB33F4" w:rsidR="00CE32EC" w:rsidRPr="0006599E" w:rsidRDefault="00CE32EC" w:rsidP="00CE32EC">
            <w:pPr>
              <w:spacing w:after="27"/>
              <w:ind w:left="37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1542BB" w:rsidRPr="0006599E" w14:paraId="23F49515" w14:textId="77777777" w:rsidTr="00B81165"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7CD76" w14:textId="77777777" w:rsidR="001542BB" w:rsidRPr="0006599E" w:rsidRDefault="001542BB" w:rsidP="00814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222F9" w14:textId="77777777" w:rsidR="001542BB" w:rsidRPr="0006599E" w:rsidRDefault="001542BB" w:rsidP="00CE32EC">
            <w:pPr>
              <w:spacing w:after="27"/>
              <w:ind w:left="37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CE32EC" w:rsidRPr="0006599E" w14:paraId="72CEA3EA" w14:textId="77777777" w:rsidTr="00B81165">
        <w:tc>
          <w:tcPr>
            <w:tcW w:w="27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5589E4C" w14:textId="08B2CBFD" w:rsidR="00CE32EC" w:rsidRPr="0006599E" w:rsidRDefault="00CE32EC" w:rsidP="00CE32EC">
            <w:pPr>
              <w:rPr>
                <w:rFonts w:cstheme="minorHAnsi"/>
                <w:sz w:val="24"/>
                <w:szCs w:val="24"/>
              </w:rPr>
            </w:pPr>
            <w:r w:rsidRPr="0006599E">
              <w:rPr>
                <w:rFonts w:cstheme="minorHAnsi"/>
                <w:b/>
                <w:sz w:val="24"/>
                <w:szCs w:val="24"/>
              </w:rPr>
              <w:t>Attainment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3BDC8D7" w14:textId="176D34A9" w:rsidR="00CE32EC" w:rsidRPr="0006599E" w:rsidRDefault="00CE32EC" w:rsidP="00CE3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709D" w:rsidRPr="0006599E" w14:paraId="1AB3B0B4" w14:textId="77777777" w:rsidTr="005D2E69">
        <w:tc>
          <w:tcPr>
            <w:tcW w:w="2754" w:type="dxa"/>
          </w:tcPr>
          <w:p w14:paraId="4A6AECAA" w14:textId="77777777" w:rsidR="0083709D" w:rsidRPr="0006599E" w:rsidRDefault="0083709D" w:rsidP="005D2E6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Goal</w:t>
            </w:r>
          </w:p>
        </w:tc>
        <w:tc>
          <w:tcPr>
            <w:tcW w:w="5902" w:type="dxa"/>
          </w:tcPr>
          <w:p w14:paraId="03061080" w14:textId="77777777" w:rsidR="0083709D" w:rsidRPr="0006599E" w:rsidRDefault="0083709D" w:rsidP="005D2E6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6599E">
              <w:rPr>
                <w:rFonts w:cstheme="minorHAnsi"/>
                <w:color w:val="FF0000"/>
                <w:sz w:val="24"/>
                <w:szCs w:val="24"/>
              </w:rPr>
              <w:t>Key Activities</w:t>
            </w:r>
          </w:p>
        </w:tc>
      </w:tr>
      <w:tr w:rsidR="00CE32EC" w:rsidRPr="0006599E" w14:paraId="149D6572" w14:textId="77777777" w:rsidTr="00634ECF">
        <w:tc>
          <w:tcPr>
            <w:tcW w:w="2754" w:type="dxa"/>
          </w:tcPr>
          <w:p w14:paraId="664DD1C9" w14:textId="70B71F5E" w:rsidR="00CE32EC" w:rsidRPr="0006599E" w:rsidRDefault="00F3090C" w:rsidP="0083709D">
            <w:pPr>
              <w:rPr>
                <w:rFonts w:cstheme="minorHAnsi"/>
                <w:b/>
                <w:sz w:val="24"/>
                <w:szCs w:val="24"/>
              </w:rPr>
            </w:pPr>
            <w:r w:rsidRPr="0006599E">
              <w:rPr>
                <w:rFonts w:cstheme="minorHAnsi"/>
                <w:sz w:val="24"/>
                <w:szCs w:val="24"/>
              </w:rPr>
              <w:t xml:space="preserve">Deliver targeted </w:t>
            </w:r>
            <w:r w:rsidR="0083709D" w:rsidRPr="0006599E">
              <w:rPr>
                <w:rFonts w:cstheme="minorHAnsi"/>
                <w:sz w:val="24"/>
                <w:szCs w:val="24"/>
              </w:rPr>
              <w:t>programs</w:t>
            </w:r>
            <w:r w:rsidRPr="0006599E">
              <w:rPr>
                <w:rFonts w:cstheme="minorHAnsi"/>
                <w:sz w:val="24"/>
                <w:szCs w:val="24"/>
              </w:rPr>
              <w:t xml:space="preserve"> aimed at improving </w:t>
            </w:r>
            <w:r w:rsidR="001E3D89">
              <w:rPr>
                <w:rFonts w:cstheme="minorHAnsi"/>
                <w:sz w:val="24"/>
                <w:szCs w:val="24"/>
              </w:rPr>
              <w:t xml:space="preserve">the </w:t>
            </w:r>
            <w:r w:rsidRPr="0006599E">
              <w:rPr>
                <w:rFonts w:cstheme="minorHAnsi"/>
                <w:sz w:val="24"/>
                <w:szCs w:val="24"/>
              </w:rPr>
              <w:t xml:space="preserve">employability of </w:t>
            </w:r>
            <w:r w:rsidR="001E3D89">
              <w:rPr>
                <w:rFonts w:cstheme="minorHAnsi"/>
                <w:sz w:val="24"/>
                <w:szCs w:val="24"/>
              </w:rPr>
              <w:t xml:space="preserve">low socio-economic </w:t>
            </w:r>
            <w:r w:rsidRPr="0006599E">
              <w:rPr>
                <w:rFonts w:cstheme="minorHAnsi"/>
                <w:sz w:val="24"/>
                <w:szCs w:val="24"/>
              </w:rPr>
              <w:t>students</w:t>
            </w:r>
            <w:r w:rsidR="00AC34F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02" w:type="dxa"/>
          </w:tcPr>
          <w:p w14:paraId="527604A7" w14:textId="3D7C5764" w:rsidR="00CE32EC" w:rsidRPr="0006599E" w:rsidRDefault="004C1097" w:rsidP="001E3D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c</w:t>
            </w:r>
            <w:r w:rsidR="001E3D89">
              <w:rPr>
                <w:rFonts w:cstheme="minorHAnsi"/>
                <w:sz w:val="24"/>
                <w:szCs w:val="24"/>
              </w:rPr>
              <w:t>areer r</w:t>
            </w:r>
            <w:r w:rsidR="0006599E" w:rsidRPr="0006599E">
              <w:rPr>
                <w:rFonts w:cstheme="minorHAnsi"/>
                <w:sz w:val="24"/>
                <w:szCs w:val="24"/>
              </w:rPr>
              <w:t>esources,</w:t>
            </w:r>
            <w:r>
              <w:rPr>
                <w:rFonts w:cstheme="minorHAnsi"/>
                <w:sz w:val="24"/>
                <w:szCs w:val="24"/>
              </w:rPr>
              <w:t xml:space="preserve"> and conduct</w:t>
            </w:r>
            <w:r w:rsidR="0006599E" w:rsidRPr="0006599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career </w:t>
            </w:r>
            <w:r w:rsidR="0006599E" w:rsidRPr="0006599E">
              <w:rPr>
                <w:rFonts w:cstheme="minorHAnsi"/>
                <w:sz w:val="24"/>
                <w:szCs w:val="24"/>
              </w:rPr>
              <w:t xml:space="preserve">workshops, mentoring and volunteering employment </w:t>
            </w:r>
            <w:r w:rsidR="001E3D89" w:rsidRPr="0006599E">
              <w:rPr>
                <w:rFonts w:cstheme="minorHAnsi"/>
                <w:sz w:val="24"/>
                <w:szCs w:val="24"/>
              </w:rPr>
              <w:t>opportunities</w:t>
            </w:r>
            <w:r w:rsidR="001E3D89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2E66B3C" w14:textId="081C4BB7" w:rsidR="00487436" w:rsidRPr="0006599E" w:rsidRDefault="00487436" w:rsidP="00282578">
      <w:pPr>
        <w:ind w:left="360"/>
        <w:rPr>
          <w:rFonts w:cstheme="minorHAnsi"/>
          <w:sz w:val="24"/>
          <w:szCs w:val="24"/>
        </w:rPr>
      </w:pPr>
    </w:p>
    <w:p w14:paraId="45F3B5C9" w14:textId="77777777" w:rsidR="00893D01" w:rsidRPr="0006599E" w:rsidRDefault="00893D01" w:rsidP="008D4294">
      <w:pPr>
        <w:pStyle w:val="Default"/>
        <w:rPr>
          <w:rFonts w:asciiTheme="minorHAnsi" w:hAnsiTheme="minorHAnsi" w:cstheme="minorHAnsi"/>
        </w:rPr>
      </w:pPr>
    </w:p>
    <w:p w14:paraId="064649C2" w14:textId="77777777" w:rsidR="00AC7653" w:rsidRPr="0006599E" w:rsidRDefault="00547580" w:rsidP="00AC7653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06599E">
        <w:rPr>
          <w:rFonts w:cstheme="minorHAnsi"/>
          <w:b/>
          <w:sz w:val="24"/>
          <w:szCs w:val="24"/>
        </w:rPr>
        <w:t>Evaluation</w:t>
      </w:r>
    </w:p>
    <w:p w14:paraId="3FACED08" w14:textId="6EFEB0E6" w:rsidR="000E3BC3" w:rsidRPr="0006599E" w:rsidRDefault="00AC7653" w:rsidP="00AC7653">
      <w:pPr>
        <w:pStyle w:val="ListParagraph"/>
        <w:spacing w:after="0" w:line="240" w:lineRule="auto"/>
        <w:ind w:left="284"/>
        <w:rPr>
          <w:rFonts w:cstheme="minorHAnsi"/>
          <w:sz w:val="24"/>
          <w:szCs w:val="24"/>
        </w:rPr>
      </w:pPr>
      <w:r w:rsidRPr="0006599E">
        <w:rPr>
          <w:rFonts w:cstheme="minorHAnsi"/>
          <w:sz w:val="24"/>
          <w:szCs w:val="24"/>
        </w:rPr>
        <w:t>E</w:t>
      </w:r>
      <w:r w:rsidR="00547580" w:rsidRPr="0006599E">
        <w:rPr>
          <w:rFonts w:cstheme="minorHAnsi"/>
          <w:sz w:val="24"/>
          <w:szCs w:val="24"/>
        </w:rPr>
        <w:t>ffectiveness of the equity strategies</w:t>
      </w:r>
      <w:r w:rsidRPr="0006599E">
        <w:rPr>
          <w:rFonts w:cstheme="minorHAnsi"/>
          <w:sz w:val="24"/>
          <w:szCs w:val="24"/>
        </w:rPr>
        <w:t xml:space="preserve"> will be </w:t>
      </w:r>
      <w:r w:rsidR="00495F58" w:rsidRPr="0006599E">
        <w:rPr>
          <w:rFonts w:cstheme="minorHAnsi"/>
          <w:sz w:val="24"/>
          <w:szCs w:val="24"/>
        </w:rPr>
        <w:t xml:space="preserve">continuously </w:t>
      </w:r>
      <w:r w:rsidR="00CD4DD1" w:rsidRPr="0006599E">
        <w:rPr>
          <w:rFonts w:cstheme="minorHAnsi"/>
          <w:sz w:val="24"/>
          <w:szCs w:val="24"/>
        </w:rPr>
        <w:t>reviewed and evaluated over</w:t>
      </w:r>
      <w:r w:rsidR="00495F58" w:rsidRPr="0006599E">
        <w:rPr>
          <w:rFonts w:cstheme="minorHAnsi"/>
          <w:sz w:val="24"/>
          <w:szCs w:val="24"/>
        </w:rPr>
        <w:t xml:space="preserve"> the year, at various stages,</w:t>
      </w:r>
      <w:r w:rsidR="00CD4DD1" w:rsidRPr="0006599E">
        <w:rPr>
          <w:rFonts w:cstheme="minorHAnsi"/>
          <w:sz w:val="24"/>
          <w:szCs w:val="24"/>
        </w:rPr>
        <w:t xml:space="preserve"> utilising a mixed</w:t>
      </w:r>
      <w:r w:rsidR="001E3D89">
        <w:rPr>
          <w:rFonts w:cstheme="minorHAnsi"/>
          <w:sz w:val="24"/>
          <w:szCs w:val="24"/>
        </w:rPr>
        <w:t>-</w:t>
      </w:r>
      <w:r w:rsidR="00495F58" w:rsidRPr="0006599E">
        <w:rPr>
          <w:rFonts w:cstheme="minorHAnsi"/>
          <w:sz w:val="24"/>
          <w:szCs w:val="24"/>
        </w:rPr>
        <w:t>method approach of evaluation</w:t>
      </w:r>
      <w:r w:rsidR="004C1097">
        <w:rPr>
          <w:rFonts w:cstheme="minorHAnsi"/>
          <w:sz w:val="24"/>
          <w:szCs w:val="24"/>
        </w:rPr>
        <w:t>,</w:t>
      </w:r>
      <w:r w:rsidR="00495F58" w:rsidRPr="0006599E">
        <w:rPr>
          <w:rFonts w:cstheme="minorHAnsi"/>
          <w:sz w:val="24"/>
          <w:szCs w:val="24"/>
        </w:rPr>
        <w:t xml:space="preserve"> including collation of participation surveys, attendance and </w:t>
      </w:r>
      <w:r w:rsidR="004C1097">
        <w:rPr>
          <w:rFonts w:cstheme="minorHAnsi"/>
          <w:sz w:val="24"/>
          <w:szCs w:val="24"/>
        </w:rPr>
        <w:t xml:space="preserve">student </w:t>
      </w:r>
      <w:r w:rsidR="00495F58" w:rsidRPr="0006599E">
        <w:rPr>
          <w:rFonts w:cstheme="minorHAnsi"/>
          <w:sz w:val="24"/>
          <w:szCs w:val="24"/>
        </w:rPr>
        <w:t>feedback.</w:t>
      </w:r>
    </w:p>
    <w:p w14:paraId="680E1868" w14:textId="77777777" w:rsidR="000E3BC3" w:rsidRPr="0006599E" w:rsidRDefault="000E3BC3" w:rsidP="008D4294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4C1E54D3" w14:textId="77777777" w:rsidR="00AC7653" w:rsidRPr="0006599E" w:rsidRDefault="000E3BC3" w:rsidP="00AC7653">
      <w:pPr>
        <w:spacing w:after="0" w:line="240" w:lineRule="auto"/>
        <w:rPr>
          <w:rFonts w:cstheme="minorHAnsi"/>
          <w:b/>
          <w:sz w:val="24"/>
          <w:szCs w:val="24"/>
        </w:rPr>
      </w:pPr>
      <w:r w:rsidRPr="0006599E">
        <w:rPr>
          <w:rFonts w:cstheme="minorHAnsi"/>
          <w:b/>
          <w:sz w:val="24"/>
          <w:szCs w:val="24"/>
        </w:rPr>
        <w:t>Partnerships and collaboration</w:t>
      </w:r>
    </w:p>
    <w:p w14:paraId="6E2FC9DD" w14:textId="67E7BE88" w:rsidR="0071727E" w:rsidRPr="0006599E" w:rsidRDefault="0071727E" w:rsidP="0071727E">
      <w:pPr>
        <w:spacing w:after="0" w:line="240" w:lineRule="auto"/>
        <w:ind w:left="284"/>
        <w:rPr>
          <w:rFonts w:cstheme="minorHAnsi"/>
          <w:sz w:val="24"/>
          <w:szCs w:val="24"/>
          <w:highlight w:val="yellow"/>
        </w:rPr>
      </w:pPr>
      <w:r w:rsidRPr="0006599E">
        <w:rPr>
          <w:rFonts w:cstheme="minorHAnsi"/>
          <w:sz w:val="24"/>
          <w:szCs w:val="24"/>
        </w:rPr>
        <w:t>T</w:t>
      </w:r>
      <w:r w:rsidR="000E3BC3" w:rsidRPr="0006599E">
        <w:rPr>
          <w:rFonts w:cstheme="minorHAnsi"/>
          <w:sz w:val="24"/>
          <w:szCs w:val="24"/>
        </w:rPr>
        <w:t xml:space="preserve">he university will partner </w:t>
      </w:r>
      <w:r w:rsidRPr="0006599E">
        <w:rPr>
          <w:rFonts w:cstheme="minorHAnsi"/>
          <w:sz w:val="24"/>
          <w:szCs w:val="24"/>
        </w:rPr>
        <w:t xml:space="preserve">with students to ensure there is an authentic student voice when designing </w:t>
      </w:r>
      <w:r w:rsidR="008025AE" w:rsidRPr="0006599E">
        <w:rPr>
          <w:rFonts w:cstheme="minorHAnsi"/>
          <w:sz w:val="24"/>
          <w:szCs w:val="24"/>
        </w:rPr>
        <w:t xml:space="preserve">and refining </w:t>
      </w:r>
      <w:r w:rsidRPr="0006599E">
        <w:rPr>
          <w:rFonts w:cstheme="minorHAnsi"/>
          <w:sz w:val="24"/>
          <w:szCs w:val="24"/>
        </w:rPr>
        <w:t>support mechanisms for the</w:t>
      </w:r>
      <w:r w:rsidR="004C1097">
        <w:rPr>
          <w:rFonts w:cstheme="minorHAnsi"/>
          <w:sz w:val="24"/>
          <w:szCs w:val="24"/>
        </w:rPr>
        <w:t>ir</w:t>
      </w:r>
      <w:r w:rsidRPr="0006599E">
        <w:rPr>
          <w:rFonts w:cstheme="minorHAnsi"/>
          <w:sz w:val="24"/>
          <w:szCs w:val="24"/>
        </w:rPr>
        <w:t xml:space="preserve"> </w:t>
      </w:r>
      <w:r w:rsidR="008025AE" w:rsidRPr="0006599E">
        <w:rPr>
          <w:rFonts w:cstheme="minorHAnsi"/>
          <w:sz w:val="24"/>
          <w:szCs w:val="24"/>
        </w:rPr>
        <w:t xml:space="preserve">successful </w:t>
      </w:r>
      <w:r w:rsidRPr="0006599E">
        <w:rPr>
          <w:rFonts w:cstheme="minorHAnsi"/>
          <w:sz w:val="24"/>
          <w:szCs w:val="24"/>
        </w:rPr>
        <w:t>transition through the</w:t>
      </w:r>
      <w:r w:rsidR="004C1097">
        <w:rPr>
          <w:rFonts w:cstheme="minorHAnsi"/>
          <w:sz w:val="24"/>
          <w:szCs w:val="24"/>
        </w:rPr>
        <w:t>ir study program and</w:t>
      </w:r>
      <w:r w:rsidRPr="0006599E">
        <w:rPr>
          <w:rFonts w:cstheme="minorHAnsi"/>
          <w:sz w:val="24"/>
          <w:szCs w:val="24"/>
        </w:rPr>
        <w:t xml:space="preserve"> student lifecycle. </w:t>
      </w:r>
    </w:p>
    <w:p w14:paraId="3259924D" w14:textId="4A8CF518" w:rsidR="000E3BC3" w:rsidRPr="0006599E" w:rsidRDefault="000E3BC3" w:rsidP="008D4294">
      <w:pPr>
        <w:pStyle w:val="ListParagraph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289E18D3" w14:textId="28F0DF3E" w:rsidR="000E3BC3" w:rsidRPr="0006599E" w:rsidRDefault="0071727E" w:rsidP="0071727E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06599E">
        <w:rPr>
          <w:sz w:val="24"/>
          <w:szCs w:val="24"/>
        </w:rPr>
        <w:t>C</w:t>
      </w:r>
      <w:r w:rsidR="000E3BC3" w:rsidRPr="0006599E">
        <w:rPr>
          <w:rFonts w:cstheme="minorHAnsi"/>
          <w:sz w:val="24"/>
          <w:szCs w:val="24"/>
        </w:rPr>
        <w:t xml:space="preserve">urrent partnerships with internal and external stakeholders and organisations </w:t>
      </w:r>
      <w:r w:rsidRPr="0006599E">
        <w:rPr>
          <w:rFonts w:cstheme="minorHAnsi"/>
          <w:sz w:val="24"/>
          <w:szCs w:val="24"/>
        </w:rPr>
        <w:t xml:space="preserve">will be strengthened </w:t>
      </w:r>
      <w:r w:rsidR="0083709D" w:rsidRPr="0006599E">
        <w:rPr>
          <w:rFonts w:cstheme="minorHAnsi"/>
          <w:sz w:val="24"/>
          <w:szCs w:val="24"/>
        </w:rPr>
        <w:t xml:space="preserve">to widen university participation across disadvantaged communities </w:t>
      </w:r>
      <w:r w:rsidRPr="0006599E">
        <w:rPr>
          <w:rFonts w:cstheme="minorHAnsi"/>
          <w:sz w:val="24"/>
          <w:szCs w:val="24"/>
        </w:rPr>
        <w:t>i</w:t>
      </w:r>
      <w:r w:rsidR="00FE55C9" w:rsidRPr="0006599E">
        <w:rPr>
          <w:rFonts w:cstheme="minorHAnsi"/>
          <w:sz w:val="24"/>
          <w:szCs w:val="24"/>
        </w:rPr>
        <w:t>ncluding local school</w:t>
      </w:r>
      <w:r w:rsidR="001E3D89">
        <w:rPr>
          <w:rFonts w:cstheme="minorHAnsi"/>
          <w:sz w:val="24"/>
          <w:szCs w:val="24"/>
        </w:rPr>
        <w:t>s</w:t>
      </w:r>
      <w:r w:rsidR="00FE55C9" w:rsidRPr="0006599E">
        <w:rPr>
          <w:rFonts w:cstheme="minorHAnsi"/>
          <w:sz w:val="24"/>
          <w:szCs w:val="24"/>
        </w:rPr>
        <w:t>, government services, Department of Education and TAFE, community</w:t>
      </w:r>
      <w:r w:rsidR="001E3D89">
        <w:rPr>
          <w:rFonts w:cstheme="minorHAnsi"/>
          <w:sz w:val="24"/>
          <w:szCs w:val="24"/>
        </w:rPr>
        <w:t>-</w:t>
      </w:r>
      <w:r w:rsidR="00FE55C9" w:rsidRPr="0006599E">
        <w:rPr>
          <w:rFonts w:cstheme="minorHAnsi"/>
          <w:sz w:val="24"/>
          <w:szCs w:val="24"/>
        </w:rPr>
        <w:t xml:space="preserve">based </w:t>
      </w:r>
      <w:r w:rsidR="00207966" w:rsidRPr="0006599E">
        <w:rPr>
          <w:rFonts w:cstheme="minorHAnsi"/>
          <w:sz w:val="24"/>
          <w:szCs w:val="24"/>
        </w:rPr>
        <w:t xml:space="preserve">and not for profit </w:t>
      </w:r>
      <w:r w:rsidR="00FE55C9" w:rsidRPr="0006599E">
        <w:rPr>
          <w:rFonts w:cstheme="minorHAnsi"/>
          <w:sz w:val="24"/>
          <w:szCs w:val="24"/>
        </w:rPr>
        <w:t>organisations.</w:t>
      </w:r>
      <w:r w:rsidR="008025AE" w:rsidRPr="0006599E">
        <w:rPr>
          <w:rFonts w:cstheme="minorHAnsi"/>
          <w:sz w:val="24"/>
          <w:szCs w:val="24"/>
        </w:rPr>
        <w:t xml:space="preserve"> And new partnerships will be established with local NGO’s, schools, community enterprises and business.</w:t>
      </w:r>
    </w:p>
    <w:p w14:paraId="16F316AF" w14:textId="77777777" w:rsidR="008025AE" w:rsidRPr="0006599E" w:rsidRDefault="008025AE" w:rsidP="0071727E">
      <w:pPr>
        <w:spacing w:after="0" w:line="240" w:lineRule="auto"/>
        <w:ind w:left="284"/>
        <w:rPr>
          <w:rFonts w:cstheme="minorHAnsi"/>
          <w:sz w:val="24"/>
          <w:szCs w:val="24"/>
        </w:rPr>
      </w:pPr>
      <w:bookmarkStart w:id="0" w:name="_GoBack"/>
      <w:bookmarkEnd w:id="0"/>
    </w:p>
    <w:p w14:paraId="542B0F5F" w14:textId="22B765F3" w:rsidR="00FE55C9" w:rsidRPr="0006599E" w:rsidRDefault="00F67DC7" w:rsidP="00341EFD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06599E">
        <w:rPr>
          <w:rFonts w:cstheme="minorHAnsi"/>
          <w:sz w:val="24"/>
          <w:szCs w:val="24"/>
        </w:rPr>
        <w:t xml:space="preserve">Continue </w:t>
      </w:r>
      <w:r w:rsidR="00341EFD" w:rsidRPr="0006599E">
        <w:rPr>
          <w:rFonts w:cstheme="minorHAnsi"/>
          <w:sz w:val="24"/>
          <w:szCs w:val="24"/>
        </w:rPr>
        <w:t xml:space="preserve">collaboration </w:t>
      </w:r>
      <w:r w:rsidR="00FD3366" w:rsidRPr="0006599E">
        <w:rPr>
          <w:rFonts w:cstheme="minorHAnsi"/>
          <w:sz w:val="24"/>
          <w:szCs w:val="24"/>
        </w:rPr>
        <w:t xml:space="preserve">with </w:t>
      </w:r>
      <w:r w:rsidRPr="0006599E">
        <w:rPr>
          <w:rFonts w:cstheme="minorHAnsi"/>
          <w:sz w:val="24"/>
          <w:szCs w:val="24"/>
        </w:rPr>
        <w:t xml:space="preserve">GNIBI </w:t>
      </w:r>
      <w:r w:rsidR="00C136C4" w:rsidRPr="0006599E">
        <w:rPr>
          <w:rFonts w:cstheme="minorHAnsi"/>
          <w:sz w:val="24"/>
          <w:szCs w:val="24"/>
        </w:rPr>
        <w:t xml:space="preserve">College of </w:t>
      </w:r>
      <w:r w:rsidRPr="0006599E">
        <w:rPr>
          <w:rFonts w:cstheme="minorHAnsi"/>
          <w:sz w:val="24"/>
          <w:szCs w:val="24"/>
        </w:rPr>
        <w:t xml:space="preserve">Indigenous </w:t>
      </w:r>
      <w:r w:rsidR="00DE11C9" w:rsidRPr="0006599E">
        <w:rPr>
          <w:rFonts w:cstheme="minorHAnsi"/>
          <w:sz w:val="24"/>
          <w:szCs w:val="24"/>
        </w:rPr>
        <w:t xml:space="preserve">Australian </w:t>
      </w:r>
      <w:r w:rsidR="00C136C4" w:rsidRPr="0006599E">
        <w:rPr>
          <w:rFonts w:cstheme="minorHAnsi"/>
          <w:sz w:val="24"/>
          <w:szCs w:val="24"/>
        </w:rPr>
        <w:t>Peoples</w:t>
      </w:r>
      <w:r w:rsidRPr="0006599E">
        <w:rPr>
          <w:rFonts w:cstheme="minorHAnsi"/>
          <w:sz w:val="24"/>
          <w:szCs w:val="24"/>
        </w:rPr>
        <w:t xml:space="preserve"> and the </w:t>
      </w:r>
      <w:r w:rsidR="00C136C4" w:rsidRPr="0006599E">
        <w:rPr>
          <w:rFonts w:cstheme="minorHAnsi"/>
          <w:sz w:val="24"/>
          <w:szCs w:val="24"/>
        </w:rPr>
        <w:t>Southern Cross University Indigenous Events Coordination Committee (</w:t>
      </w:r>
      <w:r w:rsidRPr="0006599E">
        <w:rPr>
          <w:rFonts w:cstheme="minorHAnsi"/>
          <w:sz w:val="24"/>
          <w:szCs w:val="24"/>
        </w:rPr>
        <w:t>SCUIECC</w:t>
      </w:r>
      <w:r w:rsidR="00C136C4" w:rsidRPr="0006599E">
        <w:rPr>
          <w:rFonts w:cstheme="minorHAnsi"/>
          <w:sz w:val="24"/>
          <w:szCs w:val="24"/>
        </w:rPr>
        <w:t>)</w:t>
      </w:r>
      <w:r w:rsidR="00FD3366" w:rsidRPr="0006599E">
        <w:rPr>
          <w:rFonts w:cstheme="minorHAnsi"/>
          <w:sz w:val="24"/>
          <w:szCs w:val="24"/>
        </w:rPr>
        <w:t xml:space="preserve"> </w:t>
      </w:r>
      <w:r w:rsidR="00C136C4" w:rsidRPr="0006599E">
        <w:rPr>
          <w:rFonts w:cstheme="minorHAnsi"/>
          <w:sz w:val="24"/>
          <w:szCs w:val="24"/>
        </w:rPr>
        <w:t>to</w:t>
      </w:r>
      <w:r w:rsidR="00FD3366" w:rsidRPr="0006599E">
        <w:rPr>
          <w:rFonts w:cstheme="minorHAnsi"/>
          <w:sz w:val="24"/>
          <w:szCs w:val="24"/>
        </w:rPr>
        <w:t xml:space="preserve"> identify o</w:t>
      </w:r>
      <w:r w:rsidR="00341EFD" w:rsidRPr="0006599E">
        <w:rPr>
          <w:rFonts w:cstheme="minorHAnsi"/>
          <w:sz w:val="24"/>
          <w:szCs w:val="24"/>
        </w:rPr>
        <w:t xml:space="preserve">pportunities for programs </w:t>
      </w:r>
      <w:r w:rsidR="00C136C4" w:rsidRPr="0006599E">
        <w:rPr>
          <w:rFonts w:cstheme="minorHAnsi"/>
          <w:sz w:val="24"/>
          <w:szCs w:val="24"/>
        </w:rPr>
        <w:t xml:space="preserve">tailored for students from </w:t>
      </w:r>
      <w:r w:rsidR="00FD3366" w:rsidRPr="0006599E">
        <w:rPr>
          <w:rFonts w:cstheme="minorHAnsi"/>
          <w:sz w:val="24"/>
          <w:szCs w:val="24"/>
        </w:rPr>
        <w:t xml:space="preserve">low </w:t>
      </w:r>
      <w:r w:rsidR="00C136C4" w:rsidRPr="0006599E">
        <w:rPr>
          <w:rFonts w:cstheme="minorHAnsi"/>
          <w:sz w:val="24"/>
          <w:szCs w:val="24"/>
        </w:rPr>
        <w:t>socio-economic</w:t>
      </w:r>
      <w:r w:rsidR="00FD3366" w:rsidRPr="0006599E">
        <w:rPr>
          <w:rFonts w:cstheme="minorHAnsi"/>
          <w:sz w:val="24"/>
          <w:szCs w:val="24"/>
        </w:rPr>
        <w:t xml:space="preserve"> </w:t>
      </w:r>
      <w:r w:rsidR="00C136C4" w:rsidRPr="0006599E">
        <w:rPr>
          <w:rFonts w:cstheme="minorHAnsi"/>
          <w:sz w:val="24"/>
          <w:szCs w:val="24"/>
        </w:rPr>
        <w:t>and Indig</w:t>
      </w:r>
      <w:r w:rsidR="00AD122A" w:rsidRPr="0006599E">
        <w:rPr>
          <w:rFonts w:cstheme="minorHAnsi"/>
          <w:sz w:val="24"/>
          <w:szCs w:val="24"/>
        </w:rPr>
        <w:t>en</w:t>
      </w:r>
      <w:r w:rsidR="00C136C4" w:rsidRPr="0006599E">
        <w:rPr>
          <w:rFonts w:cstheme="minorHAnsi"/>
          <w:sz w:val="24"/>
          <w:szCs w:val="24"/>
        </w:rPr>
        <w:t xml:space="preserve">ous Australian </w:t>
      </w:r>
      <w:r w:rsidR="00FD3366" w:rsidRPr="0006599E">
        <w:rPr>
          <w:rFonts w:cstheme="minorHAnsi"/>
          <w:sz w:val="24"/>
          <w:szCs w:val="24"/>
        </w:rPr>
        <w:t>background</w:t>
      </w:r>
      <w:r w:rsidR="00C136C4" w:rsidRPr="0006599E">
        <w:rPr>
          <w:rFonts w:cstheme="minorHAnsi"/>
          <w:sz w:val="24"/>
          <w:szCs w:val="24"/>
        </w:rPr>
        <w:t>s</w:t>
      </w:r>
      <w:r w:rsidR="00FD3366" w:rsidRPr="0006599E">
        <w:rPr>
          <w:rFonts w:cstheme="minorHAnsi"/>
          <w:sz w:val="24"/>
          <w:szCs w:val="24"/>
        </w:rPr>
        <w:t>.</w:t>
      </w:r>
    </w:p>
    <w:p w14:paraId="0CF9D222" w14:textId="699A6657" w:rsidR="00FD3366" w:rsidRPr="0006599E" w:rsidRDefault="00FD3366" w:rsidP="00341EFD">
      <w:pPr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66FF2470" w14:textId="77777777" w:rsidR="00133E3B" w:rsidRPr="0006599E" w:rsidRDefault="00133E3B" w:rsidP="00341EFD">
      <w:pPr>
        <w:pStyle w:val="ListParagraph"/>
        <w:ind w:left="284"/>
        <w:rPr>
          <w:rFonts w:cstheme="minorHAnsi"/>
          <w:sz w:val="24"/>
          <w:szCs w:val="24"/>
          <w:highlight w:val="yellow"/>
        </w:rPr>
      </w:pPr>
    </w:p>
    <w:sectPr w:rsidR="00133E3B" w:rsidRPr="0006599E" w:rsidSect="0006599E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7818"/>
    <w:multiLevelType w:val="hybridMultilevel"/>
    <w:tmpl w:val="7764D96C"/>
    <w:lvl w:ilvl="0" w:tplc="0C0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6" w:hanging="360"/>
      </w:pPr>
    </w:lvl>
    <w:lvl w:ilvl="2" w:tplc="0C09001B" w:tentative="1">
      <w:start w:val="1"/>
      <w:numFmt w:val="lowerRoman"/>
      <w:lvlText w:val="%3."/>
      <w:lvlJc w:val="right"/>
      <w:pPr>
        <w:ind w:left="2236" w:hanging="180"/>
      </w:pPr>
    </w:lvl>
    <w:lvl w:ilvl="3" w:tplc="0C09000F" w:tentative="1">
      <w:start w:val="1"/>
      <w:numFmt w:val="decimal"/>
      <w:lvlText w:val="%4."/>
      <w:lvlJc w:val="left"/>
      <w:pPr>
        <w:ind w:left="2956" w:hanging="360"/>
      </w:pPr>
    </w:lvl>
    <w:lvl w:ilvl="4" w:tplc="0C090019" w:tentative="1">
      <w:start w:val="1"/>
      <w:numFmt w:val="lowerLetter"/>
      <w:lvlText w:val="%5."/>
      <w:lvlJc w:val="left"/>
      <w:pPr>
        <w:ind w:left="3676" w:hanging="360"/>
      </w:pPr>
    </w:lvl>
    <w:lvl w:ilvl="5" w:tplc="0C09001B" w:tentative="1">
      <w:start w:val="1"/>
      <w:numFmt w:val="lowerRoman"/>
      <w:lvlText w:val="%6."/>
      <w:lvlJc w:val="right"/>
      <w:pPr>
        <w:ind w:left="4396" w:hanging="180"/>
      </w:pPr>
    </w:lvl>
    <w:lvl w:ilvl="6" w:tplc="0C09000F" w:tentative="1">
      <w:start w:val="1"/>
      <w:numFmt w:val="decimal"/>
      <w:lvlText w:val="%7."/>
      <w:lvlJc w:val="left"/>
      <w:pPr>
        <w:ind w:left="5116" w:hanging="360"/>
      </w:pPr>
    </w:lvl>
    <w:lvl w:ilvl="7" w:tplc="0C090019" w:tentative="1">
      <w:start w:val="1"/>
      <w:numFmt w:val="lowerLetter"/>
      <w:lvlText w:val="%8."/>
      <w:lvlJc w:val="left"/>
      <w:pPr>
        <w:ind w:left="5836" w:hanging="360"/>
      </w:pPr>
    </w:lvl>
    <w:lvl w:ilvl="8" w:tplc="0C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354B486F"/>
    <w:multiLevelType w:val="hybridMultilevel"/>
    <w:tmpl w:val="FD22BA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922"/>
    <w:multiLevelType w:val="hybridMultilevel"/>
    <w:tmpl w:val="A796B6CE"/>
    <w:lvl w:ilvl="0" w:tplc="B03471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5450B"/>
    <w:multiLevelType w:val="hybridMultilevel"/>
    <w:tmpl w:val="00EC966C"/>
    <w:lvl w:ilvl="0" w:tplc="0AFA6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7A8A"/>
    <w:multiLevelType w:val="hybridMultilevel"/>
    <w:tmpl w:val="9424B0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6C12"/>
    <w:multiLevelType w:val="hybridMultilevel"/>
    <w:tmpl w:val="EAF69D2E"/>
    <w:lvl w:ilvl="0" w:tplc="012E79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765FB"/>
    <w:multiLevelType w:val="hybridMultilevel"/>
    <w:tmpl w:val="6E788C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6BF5"/>
    <w:multiLevelType w:val="hybridMultilevel"/>
    <w:tmpl w:val="8530033A"/>
    <w:lvl w:ilvl="0" w:tplc="5BDA15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tzAyMDa0tLQwNTNT0lEKTi0uzszPAykwqgUAt9/KdCwAAAA="/>
  </w:docVars>
  <w:rsids>
    <w:rsidRoot w:val="00B64233"/>
    <w:rsid w:val="00042648"/>
    <w:rsid w:val="0006599E"/>
    <w:rsid w:val="00076DC6"/>
    <w:rsid w:val="000B4460"/>
    <w:rsid w:val="000B5F7E"/>
    <w:rsid w:val="000C0CD7"/>
    <w:rsid w:val="000E3BC3"/>
    <w:rsid w:val="001250CF"/>
    <w:rsid w:val="00133E3B"/>
    <w:rsid w:val="001542BB"/>
    <w:rsid w:val="00165C19"/>
    <w:rsid w:val="001E3D89"/>
    <w:rsid w:val="00207966"/>
    <w:rsid w:val="00282578"/>
    <w:rsid w:val="002A6D36"/>
    <w:rsid w:val="002B07A7"/>
    <w:rsid w:val="003053F1"/>
    <w:rsid w:val="00341EFD"/>
    <w:rsid w:val="0036384E"/>
    <w:rsid w:val="003775BB"/>
    <w:rsid w:val="003A0341"/>
    <w:rsid w:val="003B1CD2"/>
    <w:rsid w:val="003E0BB6"/>
    <w:rsid w:val="00400C9B"/>
    <w:rsid w:val="00487436"/>
    <w:rsid w:val="00493879"/>
    <w:rsid w:val="00495F58"/>
    <w:rsid w:val="004C1097"/>
    <w:rsid w:val="00547580"/>
    <w:rsid w:val="00566299"/>
    <w:rsid w:val="00590B14"/>
    <w:rsid w:val="005A44CE"/>
    <w:rsid w:val="005C73DB"/>
    <w:rsid w:val="00600BAB"/>
    <w:rsid w:val="006078B3"/>
    <w:rsid w:val="006452BC"/>
    <w:rsid w:val="006C5144"/>
    <w:rsid w:val="007032E9"/>
    <w:rsid w:val="0071727E"/>
    <w:rsid w:val="00792E97"/>
    <w:rsid w:val="008025AE"/>
    <w:rsid w:val="00814312"/>
    <w:rsid w:val="0083709D"/>
    <w:rsid w:val="00850688"/>
    <w:rsid w:val="00881BA2"/>
    <w:rsid w:val="00893D01"/>
    <w:rsid w:val="0089727A"/>
    <w:rsid w:val="008D4294"/>
    <w:rsid w:val="009856FB"/>
    <w:rsid w:val="009954DE"/>
    <w:rsid w:val="009C621F"/>
    <w:rsid w:val="009C7CDE"/>
    <w:rsid w:val="009D4D27"/>
    <w:rsid w:val="009E1E19"/>
    <w:rsid w:val="00A13CAA"/>
    <w:rsid w:val="00A44B54"/>
    <w:rsid w:val="00AC34F9"/>
    <w:rsid w:val="00AC7653"/>
    <w:rsid w:val="00AD122A"/>
    <w:rsid w:val="00AF0B83"/>
    <w:rsid w:val="00B012D6"/>
    <w:rsid w:val="00B17D9B"/>
    <w:rsid w:val="00B24002"/>
    <w:rsid w:val="00B64233"/>
    <w:rsid w:val="00B76CCA"/>
    <w:rsid w:val="00B81165"/>
    <w:rsid w:val="00B93D80"/>
    <w:rsid w:val="00C136C4"/>
    <w:rsid w:val="00C8500D"/>
    <w:rsid w:val="00CD4DD1"/>
    <w:rsid w:val="00CE32EC"/>
    <w:rsid w:val="00D123D0"/>
    <w:rsid w:val="00D15A6A"/>
    <w:rsid w:val="00D32101"/>
    <w:rsid w:val="00D96FFA"/>
    <w:rsid w:val="00DE11C9"/>
    <w:rsid w:val="00DF2E99"/>
    <w:rsid w:val="00E20842"/>
    <w:rsid w:val="00E60D59"/>
    <w:rsid w:val="00EB24E4"/>
    <w:rsid w:val="00F3090C"/>
    <w:rsid w:val="00F42EC4"/>
    <w:rsid w:val="00F67DC7"/>
    <w:rsid w:val="00F9698E"/>
    <w:rsid w:val="00FB4696"/>
    <w:rsid w:val="00FC2302"/>
    <w:rsid w:val="00FD3366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6049"/>
  <w15:chartTrackingRefBased/>
  <w15:docId w15:val="{A98245D1-E270-4F27-B117-26E64A2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233"/>
    <w:pPr>
      <w:ind w:left="720"/>
      <w:contextualSpacing/>
    </w:pPr>
  </w:style>
  <w:style w:type="table" w:styleId="TableGrid">
    <w:name w:val="Table Grid"/>
    <w:basedOn w:val="TableNormal"/>
    <w:uiPriority w:val="39"/>
    <w:rsid w:val="00D3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D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7C384DA1D4A45B6AE690D29401D8C" ma:contentTypeVersion="13" ma:contentTypeDescription="Create a new document." ma:contentTypeScope="" ma:versionID="38c876f8fc8792d63a764b7d3a52ac8b">
  <xsd:schema xmlns:xsd="http://www.w3.org/2001/XMLSchema" xmlns:xs="http://www.w3.org/2001/XMLSchema" xmlns:p="http://schemas.microsoft.com/office/2006/metadata/properties" xmlns:ns3="0414bf25-0417-497a-8737-9da1155fc606" xmlns:ns4="46a2430f-9ab9-4612-89ab-e74f08578de3" targetNamespace="http://schemas.microsoft.com/office/2006/metadata/properties" ma:root="true" ma:fieldsID="39ac69315e0805f8db23cc9887772b66" ns3:_="" ns4:_="">
    <xsd:import namespace="0414bf25-0417-497a-8737-9da1155fc606"/>
    <xsd:import namespace="46a2430f-9ab9-4612-89ab-e74f08578d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4bf25-0417-497a-8737-9da1155fc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430f-9ab9-4612-89ab-e74f0857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0A0A-A2B9-47B4-B69B-FD9CE3DD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FD5E8-225F-4039-811A-C73F969C708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6a2430f-9ab9-4612-89ab-e74f08578de3"/>
    <ds:schemaRef ds:uri="http://purl.org/dc/elements/1.1/"/>
    <ds:schemaRef ds:uri="0414bf25-0417-497a-8737-9da1155fc6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168E86-CAC7-482C-96C9-4C247A313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4bf25-0417-497a-8737-9da1155fc606"/>
    <ds:schemaRef ds:uri="46a2430f-9ab9-4612-89ab-e74f08578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King</dc:creator>
  <cp:keywords/>
  <dc:description/>
  <cp:lastModifiedBy>Alice Brown</cp:lastModifiedBy>
  <cp:revision>2</cp:revision>
  <dcterms:created xsi:type="dcterms:W3CDTF">2020-05-19T01:04:00Z</dcterms:created>
  <dcterms:modified xsi:type="dcterms:W3CDTF">2020-05-19T01:04:00Z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0x0101009EF7C384DA1D4A45B6AE690D29401D8C</vt:lpwstr>
  </property>
</Properties>
</file>