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4EEC" w14:textId="7C26469F" w:rsidR="00107DD5" w:rsidRPr="00756931" w:rsidRDefault="00221D8F" w:rsidP="00CA4815">
      <w:r w:rsidRPr="00756931">
        <w:rPr>
          <w:b/>
          <w:bCs/>
          <w:noProof/>
        </w:rPr>
        <w:drawing>
          <wp:anchor distT="0" distB="0" distL="114300" distR="114300" simplePos="0" relativeHeight="251658240" behindDoc="1" locked="1" layoutInCell="1" allowOverlap="1" wp14:anchorId="4A1B45CD" wp14:editId="2EA663DB">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sidRPr="00756931">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3C0E9D85" w14:textId="77777777" w:rsidR="00D73B2D" w:rsidRPr="00756931" w:rsidRDefault="00D73B2D" w:rsidP="00EB4C2F">
      <w:pPr>
        <w:pStyle w:val="Subtitle"/>
        <w:rPr>
          <w:rFonts w:ascii="Calibri" w:eastAsiaTheme="minorHAnsi" w:hAnsi="Calibri"/>
          <w:b/>
          <w:color w:val="FFFFFF" w:themeColor="background1"/>
          <w:spacing w:val="0"/>
          <w:sz w:val="84"/>
          <w:szCs w:val="32"/>
        </w:rPr>
      </w:pPr>
      <w:r w:rsidRPr="00756931">
        <w:rPr>
          <w:rFonts w:ascii="Calibri" w:eastAsiaTheme="minorHAnsi" w:hAnsi="Calibri"/>
          <w:b/>
          <w:color w:val="FFFFFF" w:themeColor="background1"/>
          <w:spacing w:val="0"/>
          <w:sz w:val="84"/>
          <w:szCs w:val="32"/>
        </w:rPr>
        <w:t>Guidelines for Approved Authorities</w:t>
      </w:r>
    </w:p>
    <w:p w14:paraId="0600EC06" w14:textId="14A2E692" w:rsidR="00107D87" w:rsidRPr="00756931" w:rsidRDefault="00D73B2D">
      <w:pPr>
        <w:sectPr w:rsidR="00107D87" w:rsidRPr="00756931" w:rsidSect="00221D8F">
          <w:headerReference w:type="even" r:id="rId11"/>
          <w:headerReference w:type="default" r:id="rId12"/>
          <w:footerReference w:type="even" r:id="rId13"/>
          <w:footerReference w:type="default" r:id="rId14"/>
          <w:headerReference w:type="first" r:id="rId15"/>
          <w:footerReference w:type="first" r:id="rId16"/>
          <w:pgSz w:w="11906" w:h="16838"/>
          <w:pgMar w:top="1814" w:right="1440" w:bottom="1440" w:left="1440" w:header="709" w:footer="709" w:gutter="0"/>
          <w:cols w:space="708"/>
          <w:docGrid w:linePitch="360"/>
        </w:sectPr>
      </w:pPr>
      <w:r w:rsidRPr="00756931">
        <w:rPr>
          <w:rFonts w:eastAsiaTheme="minorEastAsia"/>
          <w:color w:val="47BFAF" w:themeColor="accent4"/>
          <w:spacing w:val="15"/>
          <w:sz w:val="40"/>
        </w:rPr>
        <w:t xml:space="preserve">Capacity to </w:t>
      </w:r>
      <w:r w:rsidR="00985FBF" w:rsidRPr="00756931">
        <w:rPr>
          <w:rFonts w:eastAsiaTheme="minorEastAsia"/>
          <w:color w:val="47BFAF" w:themeColor="accent4"/>
          <w:spacing w:val="15"/>
          <w:sz w:val="40"/>
        </w:rPr>
        <w:t>C</w:t>
      </w:r>
      <w:r w:rsidRPr="00756931">
        <w:rPr>
          <w:rFonts w:eastAsiaTheme="minorEastAsia"/>
          <w:color w:val="47BFAF" w:themeColor="accent4"/>
          <w:spacing w:val="15"/>
          <w:sz w:val="40"/>
        </w:rPr>
        <w:t>ontribute (CTC) score review proce</w:t>
      </w:r>
      <w:r w:rsidR="00806575" w:rsidRPr="00756931">
        <w:rPr>
          <w:rFonts w:eastAsiaTheme="minorEastAsia"/>
          <w:color w:val="47BFAF" w:themeColor="accent4"/>
          <w:spacing w:val="15"/>
          <w:sz w:val="40"/>
        </w:rPr>
        <w:t>ss</w:t>
      </w:r>
    </w:p>
    <w:p w14:paraId="4CCE29C4" w14:textId="35452D8F" w:rsidR="00AF1F18" w:rsidRPr="00D172D3" w:rsidRDefault="00AF1F18" w:rsidP="00D172D3">
      <w:pPr>
        <w:rPr>
          <w:rFonts w:asciiTheme="majorHAnsi" w:hAnsiTheme="majorHAnsi"/>
          <w:b/>
          <w:color w:val="55437E" w:themeColor="accent2"/>
          <w:sz w:val="44"/>
        </w:rPr>
      </w:pPr>
      <w:r w:rsidRPr="00D172D3">
        <w:rPr>
          <w:rFonts w:asciiTheme="majorHAnsi" w:hAnsiTheme="majorHAnsi"/>
          <w:b/>
          <w:color w:val="55437E" w:themeColor="accent2"/>
          <w:sz w:val="44"/>
        </w:rPr>
        <w:lastRenderedPageBreak/>
        <w:t>Contents</w:t>
      </w:r>
    </w:p>
    <w:p w14:paraId="75D2A629" w14:textId="4DB2A04A" w:rsidR="00972BA2" w:rsidRDefault="00AF1F18">
      <w:pPr>
        <w:pStyle w:val="TOC1"/>
        <w:rPr>
          <w:rFonts w:eastAsiaTheme="minorEastAsia"/>
          <w:noProof/>
          <w:kern w:val="2"/>
          <w:sz w:val="24"/>
          <w:szCs w:val="24"/>
          <w:lang w:eastAsia="en-AU"/>
          <w14:ligatures w14:val="standardContextual"/>
        </w:rPr>
      </w:pPr>
      <w:r w:rsidRPr="003E3291">
        <w:fldChar w:fldCharType="begin"/>
      </w:r>
      <w:r w:rsidRPr="003E3291">
        <w:instrText xml:space="preserve"> TOC \h \z \u \t "Heading 2,1,Heading 3,2,Heading 4,3" </w:instrText>
      </w:r>
      <w:r w:rsidRPr="003E3291">
        <w:rPr>
          <w:kern w:val="2"/>
          <w14:ligatures w14:val="standardContextual"/>
        </w:rPr>
        <w:fldChar w:fldCharType="separate"/>
      </w:r>
      <w:hyperlink w:anchor="_Toc173913176" w:history="1">
        <w:r w:rsidR="00972BA2" w:rsidRPr="00D16BF9">
          <w:rPr>
            <w:rStyle w:val="Hyperlink"/>
            <w:noProof/>
          </w:rPr>
          <w:t>Purpose</w:t>
        </w:r>
        <w:r w:rsidR="00972BA2">
          <w:rPr>
            <w:noProof/>
            <w:webHidden/>
          </w:rPr>
          <w:tab/>
        </w:r>
        <w:r w:rsidR="00972BA2">
          <w:rPr>
            <w:noProof/>
            <w:webHidden/>
          </w:rPr>
          <w:fldChar w:fldCharType="begin"/>
        </w:r>
        <w:r w:rsidR="00972BA2">
          <w:rPr>
            <w:noProof/>
            <w:webHidden/>
          </w:rPr>
          <w:instrText xml:space="preserve"> PAGEREF _Toc173913176 \h </w:instrText>
        </w:r>
        <w:r w:rsidR="00972BA2">
          <w:rPr>
            <w:noProof/>
            <w:webHidden/>
          </w:rPr>
        </w:r>
        <w:r w:rsidR="00972BA2">
          <w:rPr>
            <w:noProof/>
            <w:webHidden/>
          </w:rPr>
          <w:fldChar w:fldCharType="separate"/>
        </w:r>
        <w:r w:rsidR="00972BA2">
          <w:rPr>
            <w:noProof/>
            <w:webHidden/>
          </w:rPr>
          <w:t>3</w:t>
        </w:r>
        <w:r w:rsidR="00972BA2">
          <w:rPr>
            <w:noProof/>
            <w:webHidden/>
          </w:rPr>
          <w:fldChar w:fldCharType="end"/>
        </w:r>
      </w:hyperlink>
    </w:p>
    <w:p w14:paraId="2D3D666F" w14:textId="7E2D7F92" w:rsidR="00972BA2" w:rsidRDefault="00653DF2">
      <w:pPr>
        <w:pStyle w:val="TOC1"/>
        <w:rPr>
          <w:rFonts w:eastAsiaTheme="minorEastAsia"/>
          <w:noProof/>
          <w:kern w:val="2"/>
          <w:sz w:val="24"/>
          <w:szCs w:val="24"/>
          <w:lang w:eastAsia="en-AU"/>
          <w14:ligatures w14:val="standardContextual"/>
        </w:rPr>
      </w:pPr>
      <w:hyperlink w:anchor="_Toc173913177" w:history="1">
        <w:r w:rsidR="00972BA2" w:rsidRPr="00D16BF9">
          <w:rPr>
            <w:rStyle w:val="Hyperlink"/>
            <w:noProof/>
          </w:rPr>
          <w:t>Background</w:t>
        </w:r>
        <w:r w:rsidR="00972BA2">
          <w:rPr>
            <w:noProof/>
            <w:webHidden/>
          </w:rPr>
          <w:tab/>
        </w:r>
        <w:r w:rsidR="00972BA2">
          <w:rPr>
            <w:noProof/>
            <w:webHidden/>
          </w:rPr>
          <w:fldChar w:fldCharType="begin"/>
        </w:r>
        <w:r w:rsidR="00972BA2">
          <w:rPr>
            <w:noProof/>
            <w:webHidden/>
          </w:rPr>
          <w:instrText xml:space="preserve"> PAGEREF _Toc173913177 \h </w:instrText>
        </w:r>
        <w:r w:rsidR="00972BA2">
          <w:rPr>
            <w:noProof/>
            <w:webHidden/>
          </w:rPr>
        </w:r>
        <w:r w:rsidR="00972BA2">
          <w:rPr>
            <w:noProof/>
            <w:webHidden/>
          </w:rPr>
          <w:fldChar w:fldCharType="separate"/>
        </w:r>
        <w:r w:rsidR="00972BA2">
          <w:rPr>
            <w:noProof/>
            <w:webHidden/>
          </w:rPr>
          <w:t>3</w:t>
        </w:r>
        <w:r w:rsidR="00972BA2">
          <w:rPr>
            <w:noProof/>
            <w:webHidden/>
          </w:rPr>
          <w:fldChar w:fldCharType="end"/>
        </w:r>
      </w:hyperlink>
    </w:p>
    <w:p w14:paraId="278F8DC3" w14:textId="3B2728B3"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178" w:history="1">
        <w:r w:rsidR="00972BA2" w:rsidRPr="00D16BF9">
          <w:rPr>
            <w:rStyle w:val="Hyperlink"/>
            <w:noProof/>
          </w:rPr>
          <w:t>What is a CTC score?</w:t>
        </w:r>
        <w:r w:rsidR="00972BA2">
          <w:rPr>
            <w:noProof/>
            <w:webHidden/>
          </w:rPr>
          <w:tab/>
        </w:r>
        <w:r w:rsidR="00972BA2">
          <w:rPr>
            <w:noProof/>
            <w:webHidden/>
          </w:rPr>
          <w:fldChar w:fldCharType="begin"/>
        </w:r>
        <w:r w:rsidR="00972BA2">
          <w:rPr>
            <w:noProof/>
            <w:webHidden/>
          </w:rPr>
          <w:instrText xml:space="preserve"> PAGEREF _Toc173913178 \h </w:instrText>
        </w:r>
        <w:r w:rsidR="00972BA2">
          <w:rPr>
            <w:noProof/>
            <w:webHidden/>
          </w:rPr>
        </w:r>
        <w:r w:rsidR="00972BA2">
          <w:rPr>
            <w:noProof/>
            <w:webHidden/>
          </w:rPr>
          <w:fldChar w:fldCharType="separate"/>
        </w:r>
        <w:r w:rsidR="00972BA2">
          <w:rPr>
            <w:noProof/>
            <w:webHidden/>
          </w:rPr>
          <w:t>3</w:t>
        </w:r>
        <w:r w:rsidR="00972BA2">
          <w:rPr>
            <w:noProof/>
            <w:webHidden/>
          </w:rPr>
          <w:fldChar w:fldCharType="end"/>
        </w:r>
      </w:hyperlink>
    </w:p>
    <w:p w14:paraId="493E38B9" w14:textId="1D3095D4"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179" w:history="1">
        <w:r w:rsidR="00972BA2" w:rsidRPr="00D16BF9">
          <w:rPr>
            <w:rStyle w:val="Hyperlink"/>
            <w:noProof/>
          </w:rPr>
          <w:t>How are CTC scores calculated?</w:t>
        </w:r>
        <w:r w:rsidR="00972BA2">
          <w:rPr>
            <w:noProof/>
            <w:webHidden/>
          </w:rPr>
          <w:tab/>
        </w:r>
        <w:r w:rsidR="00972BA2">
          <w:rPr>
            <w:noProof/>
            <w:webHidden/>
          </w:rPr>
          <w:fldChar w:fldCharType="begin"/>
        </w:r>
        <w:r w:rsidR="00972BA2">
          <w:rPr>
            <w:noProof/>
            <w:webHidden/>
          </w:rPr>
          <w:instrText xml:space="preserve"> PAGEREF _Toc173913179 \h </w:instrText>
        </w:r>
        <w:r w:rsidR="00972BA2">
          <w:rPr>
            <w:noProof/>
            <w:webHidden/>
          </w:rPr>
        </w:r>
        <w:r w:rsidR="00972BA2">
          <w:rPr>
            <w:noProof/>
            <w:webHidden/>
          </w:rPr>
          <w:fldChar w:fldCharType="separate"/>
        </w:r>
        <w:r w:rsidR="00972BA2">
          <w:rPr>
            <w:noProof/>
            <w:webHidden/>
          </w:rPr>
          <w:t>3</w:t>
        </w:r>
        <w:r w:rsidR="00972BA2">
          <w:rPr>
            <w:noProof/>
            <w:webHidden/>
          </w:rPr>
          <w:fldChar w:fldCharType="end"/>
        </w:r>
      </w:hyperlink>
    </w:p>
    <w:p w14:paraId="7312E499" w14:textId="4798751E" w:rsidR="00972BA2" w:rsidRDefault="00653DF2">
      <w:pPr>
        <w:pStyle w:val="TOC3"/>
        <w:tabs>
          <w:tab w:val="right" w:leader="dot" w:pos="9016"/>
        </w:tabs>
        <w:rPr>
          <w:rFonts w:eastAsiaTheme="minorEastAsia"/>
          <w:noProof/>
          <w:kern w:val="2"/>
          <w:sz w:val="24"/>
          <w:szCs w:val="24"/>
          <w:lang w:eastAsia="en-AU"/>
          <w14:ligatures w14:val="standardContextual"/>
        </w:rPr>
      </w:pPr>
      <w:hyperlink w:anchor="_Toc173913180" w:history="1">
        <w:r w:rsidR="00972BA2" w:rsidRPr="00D16BF9">
          <w:rPr>
            <w:rStyle w:val="Hyperlink"/>
            <w:noProof/>
          </w:rPr>
          <w:t>DMI methodology</w:t>
        </w:r>
        <w:r w:rsidR="00972BA2">
          <w:rPr>
            <w:noProof/>
            <w:webHidden/>
          </w:rPr>
          <w:tab/>
        </w:r>
        <w:r w:rsidR="00972BA2">
          <w:rPr>
            <w:noProof/>
            <w:webHidden/>
          </w:rPr>
          <w:fldChar w:fldCharType="begin"/>
        </w:r>
        <w:r w:rsidR="00972BA2">
          <w:rPr>
            <w:noProof/>
            <w:webHidden/>
          </w:rPr>
          <w:instrText xml:space="preserve"> PAGEREF _Toc173913180 \h </w:instrText>
        </w:r>
        <w:r w:rsidR="00972BA2">
          <w:rPr>
            <w:noProof/>
            <w:webHidden/>
          </w:rPr>
        </w:r>
        <w:r w:rsidR="00972BA2">
          <w:rPr>
            <w:noProof/>
            <w:webHidden/>
          </w:rPr>
          <w:fldChar w:fldCharType="separate"/>
        </w:r>
        <w:r w:rsidR="00972BA2">
          <w:rPr>
            <w:noProof/>
            <w:webHidden/>
          </w:rPr>
          <w:t>4</w:t>
        </w:r>
        <w:r w:rsidR="00972BA2">
          <w:rPr>
            <w:noProof/>
            <w:webHidden/>
          </w:rPr>
          <w:fldChar w:fldCharType="end"/>
        </w:r>
      </w:hyperlink>
    </w:p>
    <w:p w14:paraId="36D8C827" w14:textId="651F7536" w:rsidR="00972BA2" w:rsidRDefault="00653DF2">
      <w:pPr>
        <w:pStyle w:val="TOC3"/>
        <w:tabs>
          <w:tab w:val="right" w:leader="dot" w:pos="9016"/>
        </w:tabs>
        <w:rPr>
          <w:rFonts w:eastAsiaTheme="minorEastAsia"/>
          <w:noProof/>
          <w:kern w:val="2"/>
          <w:sz w:val="24"/>
          <w:szCs w:val="24"/>
          <w:lang w:eastAsia="en-AU"/>
          <w14:ligatures w14:val="standardContextual"/>
        </w:rPr>
      </w:pPr>
      <w:hyperlink w:anchor="_Toc173913181" w:history="1">
        <w:r w:rsidR="00972BA2" w:rsidRPr="00D16BF9">
          <w:rPr>
            <w:rStyle w:val="Hyperlink"/>
            <w:noProof/>
          </w:rPr>
          <w:t>RAB score</w:t>
        </w:r>
        <w:r w:rsidR="00972BA2">
          <w:rPr>
            <w:noProof/>
            <w:webHidden/>
          </w:rPr>
          <w:tab/>
        </w:r>
        <w:r w:rsidR="00972BA2">
          <w:rPr>
            <w:noProof/>
            <w:webHidden/>
          </w:rPr>
          <w:fldChar w:fldCharType="begin"/>
        </w:r>
        <w:r w:rsidR="00972BA2">
          <w:rPr>
            <w:noProof/>
            <w:webHidden/>
          </w:rPr>
          <w:instrText xml:space="preserve"> PAGEREF _Toc173913181 \h </w:instrText>
        </w:r>
        <w:r w:rsidR="00972BA2">
          <w:rPr>
            <w:noProof/>
            <w:webHidden/>
          </w:rPr>
        </w:r>
        <w:r w:rsidR="00972BA2">
          <w:rPr>
            <w:noProof/>
            <w:webHidden/>
          </w:rPr>
          <w:fldChar w:fldCharType="separate"/>
        </w:r>
        <w:r w:rsidR="00972BA2">
          <w:rPr>
            <w:noProof/>
            <w:webHidden/>
          </w:rPr>
          <w:t>4</w:t>
        </w:r>
        <w:r w:rsidR="00972BA2">
          <w:rPr>
            <w:noProof/>
            <w:webHidden/>
          </w:rPr>
          <w:fldChar w:fldCharType="end"/>
        </w:r>
      </w:hyperlink>
    </w:p>
    <w:p w14:paraId="358362B3" w14:textId="2D841878" w:rsidR="00972BA2" w:rsidRDefault="00653DF2">
      <w:pPr>
        <w:pStyle w:val="TOC3"/>
        <w:tabs>
          <w:tab w:val="right" w:leader="dot" w:pos="9016"/>
        </w:tabs>
        <w:rPr>
          <w:rFonts w:eastAsiaTheme="minorEastAsia"/>
          <w:noProof/>
          <w:kern w:val="2"/>
          <w:sz w:val="24"/>
          <w:szCs w:val="24"/>
          <w:lang w:eastAsia="en-AU"/>
          <w14:ligatures w14:val="standardContextual"/>
        </w:rPr>
      </w:pPr>
      <w:hyperlink w:anchor="_Toc173913182" w:history="1">
        <w:r w:rsidR="00972BA2" w:rsidRPr="00D16BF9">
          <w:rPr>
            <w:rStyle w:val="Hyperlink"/>
            <w:noProof/>
          </w:rPr>
          <w:t>Other methodologies</w:t>
        </w:r>
        <w:r w:rsidR="00972BA2">
          <w:rPr>
            <w:noProof/>
            <w:webHidden/>
          </w:rPr>
          <w:tab/>
        </w:r>
        <w:r w:rsidR="00972BA2">
          <w:rPr>
            <w:noProof/>
            <w:webHidden/>
          </w:rPr>
          <w:fldChar w:fldCharType="begin"/>
        </w:r>
        <w:r w:rsidR="00972BA2">
          <w:rPr>
            <w:noProof/>
            <w:webHidden/>
          </w:rPr>
          <w:instrText xml:space="preserve"> PAGEREF _Toc173913182 \h </w:instrText>
        </w:r>
        <w:r w:rsidR="00972BA2">
          <w:rPr>
            <w:noProof/>
            <w:webHidden/>
          </w:rPr>
        </w:r>
        <w:r w:rsidR="00972BA2">
          <w:rPr>
            <w:noProof/>
            <w:webHidden/>
          </w:rPr>
          <w:fldChar w:fldCharType="separate"/>
        </w:r>
        <w:r w:rsidR="00972BA2">
          <w:rPr>
            <w:noProof/>
            <w:webHidden/>
          </w:rPr>
          <w:t>5</w:t>
        </w:r>
        <w:r w:rsidR="00972BA2">
          <w:rPr>
            <w:noProof/>
            <w:webHidden/>
          </w:rPr>
          <w:fldChar w:fldCharType="end"/>
        </w:r>
      </w:hyperlink>
    </w:p>
    <w:p w14:paraId="0C6E4166" w14:textId="7C6992FE" w:rsidR="00972BA2" w:rsidRDefault="00653DF2">
      <w:pPr>
        <w:pStyle w:val="TOC1"/>
        <w:rPr>
          <w:rFonts w:eastAsiaTheme="minorEastAsia"/>
          <w:noProof/>
          <w:kern w:val="2"/>
          <w:sz w:val="24"/>
          <w:szCs w:val="24"/>
          <w:lang w:eastAsia="en-AU"/>
          <w14:ligatures w14:val="standardContextual"/>
        </w:rPr>
      </w:pPr>
      <w:hyperlink w:anchor="_Toc173913183" w:history="1">
        <w:r w:rsidR="00972BA2" w:rsidRPr="00D16BF9">
          <w:rPr>
            <w:rStyle w:val="Hyperlink"/>
            <w:noProof/>
          </w:rPr>
          <w:t>Applying for a CTC score review</w:t>
        </w:r>
        <w:r w:rsidR="00972BA2">
          <w:rPr>
            <w:noProof/>
            <w:webHidden/>
          </w:rPr>
          <w:tab/>
        </w:r>
        <w:r w:rsidR="00972BA2">
          <w:rPr>
            <w:noProof/>
            <w:webHidden/>
          </w:rPr>
          <w:fldChar w:fldCharType="begin"/>
        </w:r>
        <w:r w:rsidR="00972BA2">
          <w:rPr>
            <w:noProof/>
            <w:webHidden/>
          </w:rPr>
          <w:instrText xml:space="preserve"> PAGEREF _Toc173913183 \h </w:instrText>
        </w:r>
        <w:r w:rsidR="00972BA2">
          <w:rPr>
            <w:noProof/>
            <w:webHidden/>
          </w:rPr>
        </w:r>
        <w:r w:rsidR="00972BA2">
          <w:rPr>
            <w:noProof/>
            <w:webHidden/>
          </w:rPr>
          <w:fldChar w:fldCharType="separate"/>
        </w:r>
        <w:r w:rsidR="00972BA2">
          <w:rPr>
            <w:noProof/>
            <w:webHidden/>
          </w:rPr>
          <w:t>5</w:t>
        </w:r>
        <w:r w:rsidR="00972BA2">
          <w:rPr>
            <w:noProof/>
            <w:webHidden/>
          </w:rPr>
          <w:fldChar w:fldCharType="end"/>
        </w:r>
      </w:hyperlink>
    </w:p>
    <w:p w14:paraId="7CCFADC2" w14:textId="1DE32E48"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184" w:history="1">
        <w:r w:rsidR="00972BA2" w:rsidRPr="00D16BF9">
          <w:rPr>
            <w:rStyle w:val="Hyperlink"/>
            <w:noProof/>
          </w:rPr>
          <w:t>When can I apply for a CTC score review?</w:t>
        </w:r>
        <w:r w:rsidR="00972BA2">
          <w:rPr>
            <w:noProof/>
            <w:webHidden/>
          </w:rPr>
          <w:tab/>
        </w:r>
        <w:r w:rsidR="00972BA2">
          <w:rPr>
            <w:noProof/>
            <w:webHidden/>
          </w:rPr>
          <w:fldChar w:fldCharType="begin"/>
        </w:r>
        <w:r w:rsidR="00972BA2">
          <w:rPr>
            <w:noProof/>
            <w:webHidden/>
          </w:rPr>
          <w:instrText xml:space="preserve"> PAGEREF _Toc173913184 \h </w:instrText>
        </w:r>
        <w:r w:rsidR="00972BA2">
          <w:rPr>
            <w:noProof/>
            <w:webHidden/>
          </w:rPr>
        </w:r>
        <w:r w:rsidR="00972BA2">
          <w:rPr>
            <w:noProof/>
            <w:webHidden/>
          </w:rPr>
          <w:fldChar w:fldCharType="separate"/>
        </w:r>
        <w:r w:rsidR="00972BA2">
          <w:rPr>
            <w:noProof/>
            <w:webHidden/>
          </w:rPr>
          <w:t>5</w:t>
        </w:r>
        <w:r w:rsidR="00972BA2">
          <w:rPr>
            <w:noProof/>
            <w:webHidden/>
          </w:rPr>
          <w:fldChar w:fldCharType="end"/>
        </w:r>
      </w:hyperlink>
    </w:p>
    <w:p w14:paraId="4649E529" w14:textId="461AA8E0"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185" w:history="1">
        <w:r w:rsidR="00972BA2" w:rsidRPr="00D16BF9">
          <w:rPr>
            <w:rStyle w:val="Hyperlink"/>
            <w:noProof/>
          </w:rPr>
          <w:t>How do I apply for a CTC score review?</w:t>
        </w:r>
        <w:r w:rsidR="00972BA2">
          <w:rPr>
            <w:noProof/>
            <w:webHidden/>
          </w:rPr>
          <w:tab/>
        </w:r>
        <w:r w:rsidR="00972BA2">
          <w:rPr>
            <w:noProof/>
            <w:webHidden/>
          </w:rPr>
          <w:fldChar w:fldCharType="begin"/>
        </w:r>
        <w:r w:rsidR="00972BA2">
          <w:rPr>
            <w:noProof/>
            <w:webHidden/>
          </w:rPr>
          <w:instrText xml:space="preserve"> PAGEREF _Toc173913185 \h </w:instrText>
        </w:r>
        <w:r w:rsidR="00972BA2">
          <w:rPr>
            <w:noProof/>
            <w:webHidden/>
          </w:rPr>
        </w:r>
        <w:r w:rsidR="00972BA2">
          <w:rPr>
            <w:noProof/>
            <w:webHidden/>
          </w:rPr>
          <w:fldChar w:fldCharType="separate"/>
        </w:r>
        <w:r w:rsidR="00972BA2">
          <w:rPr>
            <w:noProof/>
            <w:webHidden/>
          </w:rPr>
          <w:t>5</w:t>
        </w:r>
        <w:r w:rsidR="00972BA2">
          <w:rPr>
            <w:noProof/>
            <w:webHidden/>
          </w:rPr>
          <w:fldChar w:fldCharType="end"/>
        </w:r>
      </w:hyperlink>
    </w:p>
    <w:p w14:paraId="1BE92F23" w14:textId="0820C7FE"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186" w:history="1">
        <w:r w:rsidR="00972BA2" w:rsidRPr="00D16BF9">
          <w:rPr>
            <w:rStyle w:val="Hyperlink"/>
            <w:noProof/>
          </w:rPr>
          <w:t>What reasons and evidence do I need?</w:t>
        </w:r>
        <w:r w:rsidR="00972BA2">
          <w:rPr>
            <w:noProof/>
            <w:webHidden/>
          </w:rPr>
          <w:tab/>
        </w:r>
        <w:r w:rsidR="00972BA2">
          <w:rPr>
            <w:noProof/>
            <w:webHidden/>
          </w:rPr>
          <w:fldChar w:fldCharType="begin"/>
        </w:r>
        <w:r w:rsidR="00972BA2">
          <w:rPr>
            <w:noProof/>
            <w:webHidden/>
          </w:rPr>
          <w:instrText xml:space="preserve"> PAGEREF _Toc173913186 \h </w:instrText>
        </w:r>
        <w:r w:rsidR="00972BA2">
          <w:rPr>
            <w:noProof/>
            <w:webHidden/>
          </w:rPr>
        </w:r>
        <w:r w:rsidR="00972BA2">
          <w:rPr>
            <w:noProof/>
            <w:webHidden/>
          </w:rPr>
          <w:fldChar w:fldCharType="separate"/>
        </w:r>
        <w:r w:rsidR="00972BA2">
          <w:rPr>
            <w:noProof/>
            <w:webHidden/>
          </w:rPr>
          <w:t>6</w:t>
        </w:r>
        <w:r w:rsidR="00972BA2">
          <w:rPr>
            <w:noProof/>
            <w:webHidden/>
          </w:rPr>
          <w:fldChar w:fldCharType="end"/>
        </w:r>
      </w:hyperlink>
    </w:p>
    <w:p w14:paraId="5BC21200" w14:textId="4A519028"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187" w:history="1">
        <w:r w:rsidR="00972BA2" w:rsidRPr="00D16BF9">
          <w:rPr>
            <w:rStyle w:val="Hyperlink"/>
            <w:noProof/>
          </w:rPr>
          <w:t>When will a CTC score review proceed?</w:t>
        </w:r>
        <w:r w:rsidR="00972BA2">
          <w:rPr>
            <w:noProof/>
            <w:webHidden/>
          </w:rPr>
          <w:tab/>
        </w:r>
        <w:r w:rsidR="00972BA2">
          <w:rPr>
            <w:noProof/>
            <w:webHidden/>
          </w:rPr>
          <w:fldChar w:fldCharType="begin"/>
        </w:r>
        <w:r w:rsidR="00972BA2">
          <w:rPr>
            <w:noProof/>
            <w:webHidden/>
          </w:rPr>
          <w:instrText xml:space="preserve"> PAGEREF _Toc173913187 \h </w:instrText>
        </w:r>
        <w:r w:rsidR="00972BA2">
          <w:rPr>
            <w:noProof/>
            <w:webHidden/>
          </w:rPr>
        </w:r>
        <w:r w:rsidR="00972BA2">
          <w:rPr>
            <w:noProof/>
            <w:webHidden/>
          </w:rPr>
          <w:fldChar w:fldCharType="separate"/>
        </w:r>
        <w:r w:rsidR="00972BA2">
          <w:rPr>
            <w:noProof/>
            <w:webHidden/>
          </w:rPr>
          <w:t>6</w:t>
        </w:r>
        <w:r w:rsidR="00972BA2">
          <w:rPr>
            <w:noProof/>
            <w:webHidden/>
          </w:rPr>
          <w:fldChar w:fldCharType="end"/>
        </w:r>
      </w:hyperlink>
    </w:p>
    <w:p w14:paraId="3F39845C" w14:textId="1378AE14"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188" w:history="1">
        <w:r w:rsidR="00972BA2" w:rsidRPr="00D16BF9">
          <w:rPr>
            <w:rStyle w:val="Hyperlink"/>
            <w:noProof/>
          </w:rPr>
          <w:t>When will a CTC score review not proceed?</w:t>
        </w:r>
        <w:r w:rsidR="00972BA2">
          <w:rPr>
            <w:noProof/>
            <w:webHidden/>
          </w:rPr>
          <w:tab/>
        </w:r>
        <w:r w:rsidR="00972BA2">
          <w:rPr>
            <w:noProof/>
            <w:webHidden/>
          </w:rPr>
          <w:fldChar w:fldCharType="begin"/>
        </w:r>
        <w:r w:rsidR="00972BA2">
          <w:rPr>
            <w:noProof/>
            <w:webHidden/>
          </w:rPr>
          <w:instrText xml:space="preserve"> PAGEREF _Toc173913188 \h </w:instrText>
        </w:r>
        <w:r w:rsidR="00972BA2">
          <w:rPr>
            <w:noProof/>
            <w:webHidden/>
          </w:rPr>
        </w:r>
        <w:r w:rsidR="00972BA2">
          <w:rPr>
            <w:noProof/>
            <w:webHidden/>
          </w:rPr>
          <w:fldChar w:fldCharType="separate"/>
        </w:r>
        <w:r w:rsidR="00972BA2">
          <w:rPr>
            <w:noProof/>
            <w:webHidden/>
          </w:rPr>
          <w:t>6</w:t>
        </w:r>
        <w:r w:rsidR="00972BA2">
          <w:rPr>
            <w:noProof/>
            <w:webHidden/>
          </w:rPr>
          <w:fldChar w:fldCharType="end"/>
        </w:r>
      </w:hyperlink>
    </w:p>
    <w:p w14:paraId="1C9788A7" w14:textId="292FED11"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189" w:history="1">
        <w:r w:rsidR="00972BA2" w:rsidRPr="00D16BF9">
          <w:rPr>
            <w:rStyle w:val="Hyperlink"/>
            <w:noProof/>
          </w:rPr>
          <w:t>How long does a CTC score review take?</w:t>
        </w:r>
        <w:r w:rsidR="00972BA2">
          <w:rPr>
            <w:noProof/>
            <w:webHidden/>
          </w:rPr>
          <w:tab/>
        </w:r>
        <w:r w:rsidR="00972BA2">
          <w:rPr>
            <w:noProof/>
            <w:webHidden/>
          </w:rPr>
          <w:fldChar w:fldCharType="begin"/>
        </w:r>
        <w:r w:rsidR="00972BA2">
          <w:rPr>
            <w:noProof/>
            <w:webHidden/>
          </w:rPr>
          <w:instrText xml:space="preserve"> PAGEREF _Toc173913189 \h </w:instrText>
        </w:r>
        <w:r w:rsidR="00972BA2">
          <w:rPr>
            <w:noProof/>
            <w:webHidden/>
          </w:rPr>
        </w:r>
        <w:r w:rsidR="00972BA2">
          <w:rPr>
            <w:noProof/>
            <w:webHidden/>
          </w:rPr>
          <w:fldChar w:fldCharType="separate"/>
        </w:r>
        <w:r w:rsidR="00972BA2">
          <w:rPr>
            <w:noProof/>
            <w:webHidden/>
          </w:rPr>
          <w:t>7</w:t>
        </w:r>
        <w:r w:rsidR="00972BA2">
          <w:rPr>
            <w:noProof/>
            <w:webHidden/>
          </w:rPr>
          <w:fldChar w:fldCharType="end"/>
        </w:r>
      </w:hyperlink>
    </w:p>
    <w:p w14:paraId="7C62303A" w14:textId="758F00DA"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190" w:history="1">
        <w:r w:rsidR="00972BA2" w:rsidRPr="00D16BF9">
          <w:rPr>
            <w:rStyle w:val="Hyperlink"/>
            <w:noProof/>
          </w:rPr>
          <w:t>Can I withdraw my application for a CTC score review?</w:t>
        </w:r>
        <w:r w:rsidR="00972BA2">
          <w:rPr>
            <w:noProof/>
            <w:webHidden/>
          </w:rPr>
          <w:tab/>
        </w:r>
        <w:r w:rsidR="00972BA2">
          <w:rPr>
            <w:noProof/>
            <w:webHidden/>
          </w:rPr>
          <w:fldChar w:fldCharType="begin"/>
        </w:r>
        <w:r w:rsidR="00972BA2">
          <w:rPr>
            <w:noProof/>
            <w:webHidden/>
          </w:rPr>
          <w:instrText xml:space="preserve"> PAGEREF _Toc173913190 \h </w:instrText>
        </w:r>
        <w:r w:rsidR="00972BA2">
          <w:rPr>
            <w:noProof/>
            <w:webHidden/>
          </w:rPr>
        </w:r>
        <w:r w:rsidR="00972BA2">
          <w:rPr>
            <w:noProof/>
            <w:webHidden/>
          </w:rPr>
          <w:fldChar w:fldCharType="separate"/>
        </w:r>
        <w:r w:rsidR="00972BA2">
          <w:rPr>
            <w:noProof/>
            <w:webHidden/>
          </w:rPr>
          <w:t>7</w:t>
        </w:r>
        <w:r w:rsidR="00972BA2">
          <w:rPr>
            <w:noProof/>
            <w:webHidden/>
          </w:rPr>
          <w:fldChar w:fldCharType="end"/>
        </w:r>
      </w:hyperlink>
    </w:p>
    <w:p w14:paraId="5DE11ECC" w14:textId="3790B5DF" w:rsidR="00972BA2" w:rsidRDefault="00653DF2">
      <w:pPr>
        <w:pStyle w:val="TOC1"/>
        <w:rPr>
          <w:rFonts w:eastAsiaTheme="minorEastAsia"/>
          <w:noProof/>
          <w:kern w:val="2"/>
          <w:sz w:val="24"/>
          <w:szCs w:val="24"/>
          <w:lang w:eastAsia="en-AU"/>
          <w14:ligatures w14:val="standardContextual"/>
        </w:rPr>
      </w:pPr>
      <w:hyperlink w:anchor="_Toc173913191" w:history="1">
        <w:r w:rsidR="00972BA2" w:rsidRPr="00D16BF9">
          <w:rPr>
            <w:rStyle w:val="Hyperlink"/>
            <w:noProof/>
          </w:rPr>
          <w:t>Outcomes of a CTC score review</w:t>
        </w:r>
        <w:r w:rsidR="00972BA2">
          <w:rPr>
            <w:noProof/>
            <w:webHidden/>
          </w:rPr>
          <w:tab/>
        </w:r>
        <w:r w:rsidR="00972BA2">
          <w:rPr>
            <w:noProof/>
            <w:webHidden/>
          </w:rPr>
          <w:fldChar w:fldCharType="begin"/>
        </w:r>
        <w:r w:rsidR="00972BA2">
          <w:rPr>
            <w:noProof/>
            <w:webHidden/>
          </w:rPr>
          <w:instrText xml:space="preserve"> PAGEREF _Toc173913191 \h </w:instrText>
        </w:r>
        <w:r w:rsidR="00972BA2">
          <w:rPr>
            <w:noProof/>
            <w:webHidden/>
          </w:rPr>
        </w:r>
        <w:r w:rsidR="00972BA2">
          <w:rPr>
            <w:noProof/>
            <w:webHidden/>
          </w:rPr>
          <w:fldChar w:fldCharType="separate"/>
        </w:r>
        <w:r w:rsidR="00972BA2">
          <w:rPr>
            <w:noProof/>
            <w:webHidden/>
          </w:rPr>
          <w:t>7</w:t>
        </w:r>
        <w:r w:rsidR="00972BA2">
          <w:rPr>
            <w:noProof/>
            <w:webHidden/>
          </w:rPr>
          <w:fldChar w:fldCharType="end"/>
        </w:r>
      </w:hyperlink>
    </w:p>
    <w:p w14:paraId="20677085" w14:textId="60E8EADF"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192" w:history="1">
        <w:r w:rsidR="00972BA2" w:rsidRPr="00D16BF9">
          <w:rPr>
            <w:rStyle w:val="Hyperlink"/>
            <w:noProof/>
          </w:rPr>
          <w:t>When will the deemed CTC score apply to funding?</w:t>
        </w:r>
        <w:r w:rsidR="00972BA2">
          <w:rPr>
            <w:noProof/>
            <w:webHidden/>
          </w:rPr>
          <w:tab/>
        </w:r>
        <w:r w:rsidR="00972BA2">
          <w:rPr>
            <w:noProof/>
            <w:webHidden/>
          </w:rPr>
          <w:fldChar w:fldCharType="begin"/>
        </w:r>
        <w:r w:rsidR="00972BA2">
          <w:rPr>
            <w:noProof/>
            <w:webHidden/>
          </w:rPr>
          <w:instrText xml:space="preserve"> PAGEREF _Toc173913192 \h </w:instrText>
        </w:r>
        <w:r w:rsidR="00972BA2">
          <w:rPr>
            <w:noProof/>
            <w:webHidden/>
          </w:rPr>
        </w:r>
        <w:r w:rsidR="00972BA2">
          <w:rPr>
            <w:noProof/>
            <w:webHidden/>
          </w:rPr>
          <w:fldChar w:fldCharType="separate"/>
        </w:r>
        <w:r w:rsidR="00972BA2">
          <w:rPr>
            <w:noProof/>
            <w:webHidden/>
          </w:rPr>
          <w:t>7</w:t>
        </w:r>
        <w:r w:rsidR="00972BA2">
          <w:rPr>
            <w:noProof/>
            <w:webHidden/>
          </w:rPr>
          <w:fldChar w:fldCharType="end"/>
        </w:r>
      </w:hyperlink>
    </w:p>
    <w:p w14:paraId="3B54742F" w14:textId="0A0A7E39"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193" w:history="1">
        <w:r w:rsidR="00972BA2" w:rsidRPr="00D16BF9">
          <w:rPr>
            <w:rStyle w:val="Hyperlink"/>
            <w:noProof/>
          </w:rPr>
          <w:t>How long will deemed scores apply for?</w:t>
        </w:r>
        <w:r w:rsidR="00972BA2">
          <w:rPr>
            <w:noProof/>
            <w:webHidden/>
          </w:rPr>
          <w:tab/>
        </w:r>
        <w:r w:rsidR="00972BA2">
          <w:rPr>
            <w:noProof/>
            <w:webHidden/>
          </w:rPr>
          <w:fldChar w:fldCharType="begin"/>
        </w:r>
        <w:r w:rsidR="00972BA2">
          <w:rPr>
            <w:noProof/>
            <w:webHidden/>
          </w:rPr>
          <w:instrText xml:space="preserve"> PAGEREF _Toc173913193 \h </w:instrText>
        </w:r>
        <w:r w:rsidR="00972BA2">
          <w:rPr>
            <w:noProof/>
            <w:webHidden/>
          </w:rPr>
        </w:r>
        <w:r w:rsidR="00972BA2">
          <w:rPr>
            <w:noProof/>
            <w:webHidden/>
          </w:rPr>
          <w:fldChar w:fldCharType="separate"/>
        </w:r>
        <w:r w:rsidR="00972BA2">
          <w:rPr>
            <w:noProof/>
            <w:webHidden/>
          </w:rPr>
          <w:t>8</w:t>
        </w:r>
        <w:r w:rsidR="00972BA2">
          <w:rPr>
            <w:noProof/>
            <w:webHidden/>
          </w:rPr>
          <w:fldChar w:fldCharType="end"/>
        </w:r>
      </w:hyperlink>
    </w:p>
    <w:p w14:paraId="31FA0F0F" w14:textId="3B0AB29A"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194" w:history="1">
        <w:r w:rsidR="00972BA2" w:rsidRPr="00D16BF9">
          <w:rPr>
            <w:rStyle w:val="Hyperlink"/>
            <w:noProof/>
          </w:rPr>
          <w:t>Will my school’s transition to 80% of the SRS be affected?</w:t>
        </w:r>
        <w:r w:rsidR="00972BA2">
          <w:rPr>
            <w:noProof/>
            <w:webHidden/>
          </w:rPr>
          <w:tab/>
        </w:r>
        <w:r w:rsidR="00972BA2">
          <w:rPr>
            <w:noProof/>
            <w:webHidden/>
          </w:rPr>
          <w:fldChar w:fldCharType="begin"/>
        </w:r>
        <w:r w:rsidR="00972BA2">
          <w:rPr>
            <w:noProof/>
            <w:webHidden/>
          </w:rPr>
          <w:instrText xml:space="preserve"> PAGEREF _Toc173913194 \h </w:instrText>
        </w:r>
        <w:r w:rsidR="00972BA2">
          <w:rPr>
            <w:noProof/>
            <w:webHidden/>
          </w:rPr>
        </w:r>
        <w:r w:rsidR="00972BA2">
          <w:rPr>
            <w:noProof/>
            <w:webHidden/>
          </w:rPr>
          <w:fldChar w:fldCharType="separate"/>
        </w:r>
        <w:r w:rsidR="00972BA2">
          <w:rPr>
            <w:noProof/>
            <w:webHidden/>
          </w:rPr>
          <w:t>8</w:t>
        </w:r>
        <w:r w:rsidR="00972BA2">
          <w:rPr>
            <w:noProof/>
            <w:webHidden/>
          </w:rPr>
          <w:fldChar w:fldCharType="end"/>
        </w:r>
      </w:hyperlink>
    </w:p>
    <w:p w14:paraId="61208013" w14:textId="42497AB2"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195" w:history="1">
        <w:r w:rsidR="00972BA2" w:rsidRPr="00D16BF9">
          <w:rPr>
            <w:rStyle w:val="Hyperlink"/>
            <w:noProof/>
          </w:rPr>
          <w:t>Can I seek a review of a deemed CTC score?</w:t>
        </w:r>
        <w:r w:rsidR="00972BA2">
          <w:rPr>
            <w:noProof/>
            <w:webHidden/>
          </w:rPr>
          <w:tab/>
        </w:r>
        <w:r w:rsidR="00972BA2">
          <w:rPr>
            <w:noProof/>
            <w:webHidden/>
          </w:rPr>
          <w:fldChar w:fldCharType="begin"/>
        </w:r>
        <w:r w:rsidR="00972BA2">
          <w:rPr>
            <w:noProof/>
            <w:webHidden/>
          </w:rPr>
          <w:instrText xml:space="preserve"> PAGEREF _Toc173913195 \h </w:instrText>
        </w:r>
        <w:r w:rsidR="00972BA2">
          <w:rPr>
            <w:noProof/>
            <w:webHidden/>
          </w:rPr>
        </w:r>
        <w:r w:rsidR="00972BA2">
          <w:rPr>
            <w:noProof/>
            <w:webHidden/>
          </w:rPr>
          <w:fldChar w:fldCharType="separate"/>
        </w:r>
        <w:r w:rsidR="00972BA2">
          <w:rPr>
            <w:noProof/>
            <w:webHidden/>
          </w:rPr>
          <w:t>8</w:t>
        </w:r>
        <w:r w:rsidR="00972BA2">
          <w:rPr>
            <w:noProof/>
            <w:webHidden/>
          </w:rPr>
          <w:fldChar w:fldCharType="end"/>
        </w:r>
      </w:hyperlink>
    </w:p>
    <w:p w14:paraId="36DE39A3" w14:textId="024CCE30" w:rsidR="00972BA2" w:rsidRDefault="00653DF2">
      <w:pPr>
        <w:pStyle w:val="TOC1"/>
        <w:rPr>
          <w:rFonts w:eastAsiaTheme="minorEastAsia"/>
          <w:noProof/>
          <w:kern w:val="2"/>
          <w:sz w:val="24"/>
          <w:szCs w:val="24"/>
          <w:lang w:eastAsia="en-AU"/>
          <w14:ligatures w14:val="standardContextual"/>
        </w:rPr>
      </w:pPr>
      <w:hyperlink w:anchor="_Toc173913196" w:history="1">
        <w:r w:rsidR="00972BA2" w:rsidRPr="00D16BF9">
          <w:rPr>
            <w:rStyle w:val="Hyperlink"/>
            <w:noProof/>
          </w:rPr>
          <w:t>The CTC score review process</w:t>
        </w:r>
        <w:r w:rsidR="00972BA2">
          <w:rPr>
            <w:noProof/>
            <w:webHidden/>
          </w:rPr>
          <w:tab/>
        </w:r>
        <w:r w:rsidR="00972BA2">
          <w:rPr>
            <w:noProof/>
            <w:webHidden/>
          </w:rPr>
          <w:fldChar w:fldCharType="begin"/>
        </w:r>
        <w:r w:rsidR="00972BA2">
          <w:rPr>
            <w:noProof/>
            <w:webHidden/>
          </w:rPr>
          <w:instrText xml:space="preserve"> PAGEREF _Toc173913196 \h </w:instrText>
        </w:r>
        <w:r w:rsidR="00972BA2">
          <w:rPr>
            <w:noProof/>
            <w:webHidden/>
          </w:rPr>
        </w:r>
        <w:r w:rsidR="00972BA2">
          <w:rPr>
            <w:noProof/>
            <w:webHidden/>
          </w:rPr>
          <w:fldChar w:fldCharType="separate"/>
        </w:r>
        <w:r w:rsidR="00972BA2">
          <w:rPr>
            <w:noProof/>
            <w:webHidden/>
          </w:rPr>
          <w:t>9</w:t>
        </w:r>
        <w:r w:rsidR="00972BA2">
          <w:rPr>
            <w:noProof/>
            <w:webHidden/>
          </w:rPr>
          <w:fldChar w:fldCharType="end"/>
        </w:r>
      </w:hyperlink>
    </w:p>
    <w:p w14:paraId="0655E8CD" w14:textId="0D33BDB7" w:rsidR="00972BA2" w:rsidRDefault="00653DF2">
      <w:pPr>
        <w:pStyle w:val="TOC1"/>
        <w:rPr>
          <w:rFonts w:eastAsiaTheme="minorEastAsia"/>
          <w:noProof/>
          <w:kern w:val="2"/>
          <w:sz w:val="24"/>
          <w:szCs w:val="24"/>
          <w:lang w:eastAsia="en-AU"/>
          <w14:ligatures w14:val="standardContextual"/>
        </w:rPr>
      </w:pPr>
      <w:hyperlink w:anchor="_Toc173913197" w:history="1">
        <w:r w:rsidR="00972BA2" w:rsidRPr="00D16BF9">
          <w:rPr>
            <w:rStyle w:val="Hyperlink"/>
            <w:noProof/>
          </w:rPr>
          <w:t>Annual review of deemed CTC scores</w:t>
        </w:r>
        <w:r w:rsidR="00972BA2">
          <w:rPr>
            <w:noProof/>
            <w:webHidden/>
          </w:rPr>
          <w:tab/>
        </w:r>
        <w:r w:rsidR="00972BA2">
          <w:rPr>
            <w:noProof/>
            <w:webHidden/>
          </w:rPr>
          <w:fldChar w:fldCharType="begin"/>
        </w:r>
        <w:r w:rsidR="00972BA2">
          <w:rPr>
            <w:noProof/>
            <w:webHidden/>
          </w:rPr>
          <w:instrText xml:space="preserve"> PAGEREF _Toc173913197 \h </w:instrText>
        </w:r>
        <w:r w:rsidR="00972BA2">
          <w:rPr>
            <w:noProof/>
            <w:webHidden/>
          </w:rPr>
        </w:r>
        <w:r w:rsidR="00972BA2">
          <w:rPr>
            <w:noProof/>
            <w:webHidden/>
          </w:rPr>
          <w:fldChar w:fldCharType="separate"/>
        </w:r>
        <w:r w:rsidR="00972BA2">
          <w:rPr>
            <w:noProof/>
            <w:webHidden/>
          </w:rPr>
          <w:t>10</w:t>
        </w:r>
        <w:r w:rsidR="00972BA2">
          <w:rPr>
            <w:noProof/>
            <w:webHidden/>
          </w:rPr>
          <w:fldChar w:fldCharType="end"/>
        </w:r>
      </w:hyperlink>
    </w:p>
    <w:p w14:paraId="28D0B7FF" w14:textId="5EECC2FB" w:rsidR="00972BA2" w:rsidRDefault="00653DF2">
      <w:pPr>
        <w:pStyle w:val="TOC1"/>
        <w:rPr>
          <w:rFonts w:eastAsiaTheme="minorEastAsia"/>
          <w:noProof/>
          <w:kern w:val="2"/>
          <w:sz w:val="24"/>
          <w:szCs w:val="24"/>
          <w:lang w:eastAsia="en-AU"/>
          <w14:ligatures w14:val="standardContextual"/>
        </w:rPr>
      </w:pPr>
      <w:hyperlink w:anchor="_Toc173913198" w:history="1">
        <w:r w:rsidR="00972BA2" w:rsidRPr="00D16BF9">
          <w:rPr>
            <w:rStyle w:val="Hyperlink"/>
            <w:noProof/>
          </w:rPr>
          <w:t>Publication of CTC scores following review</w:t>
        </w:r>
        <w:r w:rsidR="00972BA2">
          <w:rPr>
            <w:noProof/>
            <w:webHidden/>
          </w:rPr>
          <w:tab/>
        </w:r>
        <w:r w:rsidR="00972BA2">
          <w:rPr>
            <w:noProof/>
            <w:webHidden/>
          </w:rPr>
          <w:fldChar w:fldCharType="begin"/>
        </w:r>
        <w:r w:rsidR="00972BA2">
          <w:rPr>
            <w:noProof/>
            <w:webHidden/>
          </w:rPr>
          <w:instrText xml:space="preserve"> PAGEREF _Toc173913198 \h </w:instrText>
        </w:r>
        <w:r w:rsidR="00972BA2">
          <w:rPr>
            <w:noProof/>
            <w:webHidden/>
          </w:rPr>
        </w:r>
        <w:r w:rsidR="00972BA2">
          <w:rPr>
            <w:noProof/>
            <w:webHidden/>
          </w:rPr>
          <w:fldChar w:fldCharType="separate"/>
        </w:r>
        <w:r w:rsidR="00972BA2">
          <w:rPr>
            <w:noProof/>
            <w:webHidden/>
          </w:rPr>
          <w:t>11</w:t>
        </w:r>
        <w:r w:rsidR="00972BA2">
          <w:rPr>
            <w:noProof/>
            <w:webHidden/>
          </w:rPr>
          <w:fldChar w:fldCharType="end"/>
        </w:r>
      </w:hyperlink>
    </w:p>
    <w:p w14:paraId="6A2F7BF7" w14:textId="42D5C382" w:rsidR="00972BA2" w:rsidRDefault="00653DF2">
      <w:pPr>
        <w:pStyle w:val="TOC1"/>
        <w:rPr>
          <w:rFonts w:eastAsiaTheme="minorEastAsia"/>
          <w:noProof/>
          <w:kern w:val="2"/>
          <w:sz w:val="24"/>
          <w:szCs w:val="24"/>
          <w:lang w:eastAsia="en-AU"/>
          <w14:ligatures w14:val="standardContextual"/>
        </w:rPr>
      </w:pPr>
      <w:hyperlink w:anchor="_Toc173913199" w:history="1">
        <w:r w:rsidR="00972BA2" w:rsidRPr="00D16BF9">
          <w:rPr>
            <w:rStyle w:val="Hyperlink"/>
            <w:noProof/>
          </w:rPr>
          <w:t>Information management and privacy</w:t>
        </w:r>
        <w:r w:rsidR="00972BA2">
          <w:rPr>
            <w:noProof/>
            <w:webHidden/>
          </w:rPr>
          <w:tab/>
        </w:r>
        <w:r w:rsidR="00972BA2">
          <w:rPr>
            <w:noProof/>
            <w:webHidden/>
          </w:rPr>
          <w:fldChar w:fldCharType="begin"/>
        </w:r>
        <w:r w:rsidR="00972BA2">
          <w:rPr>
            <w:noProof/>
            <w:webHidden/>
          </w:rPr>
          <w:instrText xml:space="preserve"> PAGEREF _Toc173913199 \h </w:instrText>
        </w:r>
        <w:r w:rsidR="00972BA2">
          <w:rPr>
            <w:noProof/>
            <w:webHidden/>
          </w:rPr>
        </w:r>
        <w:r w:rsidR="00972BA2">
          <w:rPr>
            <w:noProof/>
            <w:webHidden/>
          </w:rPr>
          <w:fldChar w:fldCharType="separate"/>
        </w:r>
        <w:r w:rsidR="00972BA2">
          <w:rPr>
            <w:noProof/>
            <w:webHidden/>
          </w:rPr>
          <w:t>11</w:t>
        </w:r>
        <w:r w:rsidR="00972BA2">
          <w:rPr>
            <w:noProof/>
            <w:webHidden/>
          </w:rPr>
          <w:fldChar w:fldCharType="end"/>
        </w:r>
      </w:hyperlink>
    </w:p>
    <w:p w14:paraId="3AB393C3" w14:textId="1C9B8017" w:rsidR="00972BA2" w:rsidRDefault="00653DF2">
      <w:pPr>
        <w:pStyle w:val="TOC1"/>
        <w:rPr>
          <w:rFonts w:eastAsiaTheme="minorEastAsia"/>
          <w:noProof/>
          <w:kern w:val="2"/>
          <w:sz w:val="24"/>
          <w:szCs w:val="24"/>
          <w:lang w:eastAsia="en-AU"/>
          <w14:ligatures w14:val="standardContextual"/>
        </w:rPr>
      </w:pPr>
      <w:hyperlink w:anchor="_Toc173913200" w:history="1">
        <w:r w:rsidR="00972BA2" w:rsidRPr="00D16BF9">
          <w:rPr>
            <w:rStyle w:val="Hyperlink"/>
            <w:noProof/>
          </w:rPr>
          <w:t>Criminal code</w:t>
        </w:r>
        <w:r w:rsidR="00972BA2">
          <w:rPr>
            <w:noProof/>
            <w:webHidden/>
          </w:rPr>
          <w:tab/>
        </w:r>
        <w:r w:rsidR="00972BA2">
          <w:rPr>
            <w:noProof/>
            <w:webHidden/>
          </w:rPr>
          <w:fldChar w:fldCharType="begin"/>
        </w:r>
        <w:r w:rsidR="00972BA2">
          <w:rPr>
            <w:noProof/>
            <w:webHidden/>
          </w:rPr>
          <w:instrText xml:space="preserve"> PAGEREF _Toc173913200 \h </w:instrText>
        </w:r>
        <w:r w:rsidR="00972BA2">
          <w:rPr>
            <w:noProof/>
            <w:webHidden/>
          </w:rPr>
        </w:r>
        <w:r w:rsidR="00972BA2">
          <w:rPr>
            <w:noProof/>
            <w:webHidden/>
          </w:rPr>
          <w:fldChar w:fldCharType="separate"/>
        </w:r>
        <w:r w:rsidR="00972BA2">
          <w:rPr>
            <w:noProof/>
            <w:webHidden/>
          </w:rPr>
          <w:t>11</w:t>
        </w:r>
        <w:r w:rsidR="00972BA2">
          <w:rPr>
            <w:noProof/>
            <w:webHidden/>
          </w:rPr>
          <w:fldChar w:fldCharType="end"/>
        </w:r>
      </w:hyperlink>
    </w:p>
    <w:p w14:paraId="1638824C" w14:textId="362C3D72" w:rsidR="00972BA2" w:rsidRDefault="00653DF2">
      <w:pPr>
        <w:pStyle w:val="TOC1"/>
        <w:rPr>
          <w:rFonts w:eastAsiaTheme="minorEastAsia"/>
          <w:noProof/>
          <w:kern w:val="2"/>
          <w:sz w:val="24"/>
          <w:szCs w:val="24"/>
          <w:lang w:eastAsia="en-AU"/>
          <w14:ligatures w14:val="standardContextual"/>
        </w:rPr>
      </w:pPr>
      <w:hyperlink w:anchor="_Toc173913201" w:history="1">
        <w:r w:rsidR="00972BA2" w:rsidRPr="00D16BF9">
          <w:rPr>
            <w:rStyle w:val="Hyperlink"/>
            <w:noProof/>
          </w:rPr>
          <w:t>Further information</w:t>
        </w:r>
        <w:r w:rsidR="00972BA2">
          <w:rPr>
            <w:noProof/>
            <w:webHidden/>
          </w:rPr>
          <w:tab/>
        </w:r>
        <w:r w:rsidR="00972BA2">
          <w:rPr>
            <w:noProof/>
            <w:webHidden/>
          </w:rPr>
          <w:fldChar w:fldCharType="begin"/>
        </w:r>
        <w:r w:rsidR="00972BA2">
          <w:rPr>
            <w:noProof/>
            <w:webHidden/>
          </w:rPr>
          <w:instrText xml:space="preserve"> PAGEREF _Toc173913201 \h </w:instrText>
        </w:r>
        <w:r w:rsidR="00972BA2">
          <w:rPr>
            <w:noProof/>
            <w:webHidden/>
          </w:rPr>
        </w:r>
        <w:r w:rsidR="00972BA2">
          <w:rPr>
            <w:noProof/>
            <w:webHidden/>
          </w:rPr>
          <w:fldChar w:fldCharType="separate"/>
        </w:r>
        <w:r w:rsidR="00972BA2">
          <w:rPr>
            <w:noProof/>
            <w:webHidden/>
          </w:rPr>
          <w:t>12</w:t>
        </w:r>
        <w:r w:rsidR="00972BA2">
          <w:rPr>
            <w:noProof/>
            <w:webHidden/>
          </w:rPr>
          <w:fldChar w:fldCharType="end"/>
        </w:r>
      </w:hyperlink>
    </w:p>
    <w:p w14:paraId="10EB6B03" w14:textId="766AD87C" w:rsidR="00972BA2" w:rsidRDefault="00653DF2">
      <w:pPr>
        <w:pStyle w:val="TOC1"/>
        <w:rPr>
          <w:rFonts w:eastAsiaTheme="minorEastAsia"/>
          <w:noProof/>
          <w:kern w:val="2"/>
          <w:sz w:val="24"/>
          <w:szCs w:val="24"/>
          <w:lang w:eastAsia="en-AU"/>
          <w14:ligatures w14:val="standardContextual"/>
        </w:rPr>
      </w:pPr>
      <w:hyperlink w:anchor="_Toc173913202" w:history="1">
        <w:r w:rsidR="00972BA2" w:rsidRPr="00D16BF9">
          <w:rPr>
            <w:rStyle w:val="Hyperlink"/>
            <w:noProof/>
          </w:rPr>
          <w:t>Appendix A: Reasons for a CTC score review</w:t>
        </w:r>
        <w:r w:rsidR="00972BA2">
          <w:rPr>
            <w:noProof/>
            <w:webHidden/>
          </w:rPr>
          <w:tab/>
        </w:r>
        <w:r w:rsidR="00972BA2">
          <w:rPr>
            <w:noProof/>
            <w:webHidden/>
          </w:rPr>
          <w:fldChar w:fldCharType="begin"/>
        </w:r>
        <w:r w:rsidR="00972BA2">
          <w:rPr>
            <w:noProof/>
            <w:webHidden/>
          </w:rPr>
          <w:instrText xml:space="preserve"> PAGEREF _Toc173913202 \h </w:instrText>
        </w:r>
        <w:r w:rsidR="00972BA2">
          <w:rPr>
            <w:noProof/>
            <w:webHidden/>
          </w:rPr>
        </w:r>
        <w:r w:rsidR="00972BA2">
          <w:rPr>
            <w:noProof/>
            <w:webHidden/>
          </w:rPr>
          <w:fldChar w:fldCharType="separate"/>
        </w:r>
        <w:r w:rsidR="00972BA2">
          <w:rPr>
            <w:noProof/>
            <w:webHidden/>
          </w:rPr>
          <w:t>13</w:t>
        </w:r>
        <w:r w:rsidR="00972BA2">
          <w:rPr>
            <w:noProof/>
            <w:webHidden/>
          </w:rPr>
          <w:fldChar w:fldCharType="end"/>
        </w:r>
      </w:hyperlink>
    </w:p>
    <w:p w14:paraId="32751DEB" w14:textId="1F4148DE"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203" w:history="1">
        <w:r w:rsidR="00972BA2" w:rsidRPr="00D16BF9">
          <w:rPr>
            <w:rStyle w:val="Hyperlink"/>
            <w:noProof/>
          </w:rPr>
          <w:t>A recent change in the school community’s economic circumstances</w:t>
        </w:r>
        <w:r w:rsidR="00972BA2">
          <w:rPr>
            <w:noProof/>
            <w:webHidden/>
          </w:rPr>
          <w:tab/>
        </w:r>
        <w:r w:rsidR="00972BA2">
          <w:rPr>
            <w:noProof/>
            <w:webHidden/>
          </w:rPr>
          <w:fldChar w:fldCharType="begin"/>
        </w:r>
        <w:r w:rsidR="00972BA2">
          <w:rPr>
            <w:noProof/>
            <w:webHidden/>
          </w:rPr>
          <w:instrText xml:space="preserve"> PAGEREF _Toc173913203 \h </w:instrText>
        </w:r>
        <w:r w:rsidR="00972BA2">
          <w:rPr>
            <w:noProof/>
            <w:webHidden/>
          </w:rPr>
        </w:r>
        <w:r w:rsidR="00972BA2">
          <w:rPr>
            <w:noProof/>
            <w:webHidden/>
          </w:rPr>
          <w:fldChar w:fldCharType="separate"/>
        </w:r>
        <w:r w:rsidR="00972BA2">
          <w:rPr>
            <w:noProof/>
            <w:webHidden/>
          </w:rPr>
          <w:t>13</w:t>
        </w:r>
        <w:r w:rsidR="00972BA2">
          <w:rPr>
            <w:noProof/>
            <w:webHidden/>
          </w:rPr>
          <w:fldChar w:fldCharType="end"/>
        </w:r>
      </w:hyperlink>
    </w:p>
    <w:p w14:paraId="52099351" w14:textId="7E58E96D"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204" w:history="1">
        <w:r w:rsidR="00972BA2" w:rsidRPr="00D16BF9">
          <w:rPr>
            <w:rStyle w:val="Hyperlink"/>
            <w:noProof/>
          </w:rPr>
          <w:t>A recent change in the school community’s population</w:t>
        </w:r>
        <w:r w:rsidR="00972BA2">
          <w:rPr>
            <w:noProof/>
            <w:webHidden/>
          </w:rPr>
          <w:tab/>
        </w:r>
        <w:r w:rsidR="00972BA2">
          <w:rPr>
            <w:noProof/>
            <w:webHidden/>
          </w:rPr>
          <w:fldChar w:fldCharType="begin"/>
        </w:r>
        <w:r w:rsidR="00972BA2">
          <w:rPr>
            <w:noProof/>
            <w:webHidden/>
          </w:rPr>
          <w:instrText xml:space="preserve"> PAGEREF _Toc173913204 \h </w:instrText>
        </w:r>
        <w:r w:rsidR="00972BA2">
          <w:rPr>
            <w:noProof/>
            <w:webHidden/>
          </w:rPr>
        </w:r>
        <w:r w:rsidR="00972BA2">
          <w:rPr>
            <w:noProof/>
            <w:webHidden/>
          </w:rPr>
          <w:fldChar w:fldCharType="separate"/>
        </w:r>
        <w:r w:rsidR="00972BA2">
          <w:rPr>
            <w:noProof/>
            <w:webHidden/>
          </w:rPr>
          <w:t>14</w:t>
        </w:r>
        <w:r w:rsidR="00972BA2">
          <w:rPr>
            <w:noProof/>
            <w:webHidden/>
          </w:rPr>
          <w:fldChar w:fldCharType="end"/>
        </w:r>
      </w:hyperlink>
    </w:p>
    <w:p w14:paraId="54656730" w14:textId="47D694C4"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205" w:history="1">
        <w:r w:rsidR="00972BA2" w:rsidRPr="00D16BF9">
          <w:rPr>
            <w:rStyle w:val="Hyperlink"/>
            <w:noProof/>
          </w:rPr>
          <w:t>Difference between the linked and unlinked populations</w:t>
        </w:r>
        <w:r w:rsidR="00972BA2">
          <w:rPr>
            <w:noProof/>
            <w:webHidden/>
          </w:rPr>
          <w:tab/>
        </w:r>
        <w:r w:rsidR="00972BA2">
          <w:rPr>
            <w:noProof/>
            <w:webHidden/>
          </w:rPr>
          <w:fldChar w:fldCharType="begin"/>
        </w:r>
        <w:r w:rsidR="00972BA2">
          <w:rPr>
            <w:noProof/>
            <w:webHidden/>
          </w:rPr>
          <w:instrText xml:space="preserve"> PAGEREF _Toc173913205 \h </w:instrText>
        </w:r>
        <w:r w:rsidR="00972BA2">
          <w:rPr>
            <w:noProof/>
            <w:webHidden/>
          </w:rPr>
        </w:r>
        <w:r w:rsidR="00972BA2">
          <w:rPr>
            <w:noProof/>
            <w:webHidden/>
          </w:rPr>
          <w:fldChar w:fldCharType="separate"/>
        </w:r>
        <w:r w:rsidR="00972BA2">
          <w:rPr>
            <w:noProof/>
            <w:webHidden/>
          </w:rPr>
          <w:t>15</w:t>
        </w:r>
        <w:r w:rsidR="00972BA2">
          <w:rPr>
            <w:noProof/>
            <w:webHidden/>
          </w:rPr>
          <w:fldChar w:fldCharType="end"/>
        </w:r>
      </w:hyperlink>
    </w:p>
    <w:p w14:paraId="51347155" w14:textId="136AC493"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206" w:history="1">
        <w:r w:rsidR="00972BA2" w:rsidRPr="00D16BF9">
          <w:rPr>
            <w:rStyle w:val="Hyperlink"/>
            <w:noProof/>
          </w:rPr>
          <w:t>The school’s RAB score does not accurately reflect the school community’s circumstances</w:t>
        </w:r>
        <w:r w:rsidR="00972BA2">
          <w:rPr>
            <w:noProof/>
            <w:webHidden/>
          </w:rPr>
          <w:tab/>
        </w:r>
        <w:r w:rsidR="00972BA2">
          <w:rPr>
            <w:noProof/>
            <w:webHidden/>
          </w:rPr>
          <w:fldChar w:fldCharType="begin"/>
        </w:r>
        <w:r w:rsidR="00972BA2">
          <w:rPr>
            <w:noProof/>
            <w:webHidden/>
          </w:rPr>
          <w:instrText xml:space="preserve"> PAGEREF _Toc173913206 \h </w:instrText>
        </w:r>
        <w:r w:rsidR="00972BA2">
          <w:rPr>
            <w:noProof/>
            <w:webHidden/>
          </w:rPr>
        </w:r>
        <w:r w:rsidR="00972BA2">
          <w:rPr>
            <w:noProof/>
            <w:webHidden/>
          </w:rPr>
          <w:fldChar w:fldCharType="separate"/>
        </w:r>
        <w:r w:rsidR="00972BA2">
          <w:rPr>
            <w:noProof/>
            <w:webHidden/>
          </w:rPr>
          <w:t>16</w:t>
        </w:r>
        <w:r w:rsidR="00972BA2">
          <w:rPr>
            <w:noProof/>
            <w:webHidden/>
          </w:rPr>
          <w:fldChar w:fldCharType="end"/>
        </w:r>
      </w:hyperlink>
    </w:p>
    <w:p w14:paraId="63EC9C00" w14:textId="591C64B3" w:rsidR="00972BA2" w:rsidRDefault="00653DF2">
      <w:pPr>
        <w:pStyle w:val="TOC2"/>
        <w:tabs>
          <w:tab w:val="right" w:leader="dot" w:pos="9016"/>
        </w:tabs>
        <w:rPr>
          <w:rFonts w:eastAsiaTheme="minorEastAsia"/>
          <w:noProof/>
          <w:kern w:val="2"/>
          <w:sz w:val="24"/>
          <w:szCs w:val="24"/>
          <w:lang w:eastAsia="en-AU"/>
          <w14:ligatures w14:val="standardContextual"/>
        </w:rPr>
      </w:pPr>
      <w:hyperlink w:anchor="_Toc173913207" w:history="1">
        <w:r w:rsidR="00972BA2" w:rsidRPr="00D16BF9">
          <w:rPr>
            <w:rStyle w:val="Hyperlink"/>
            <w:noProof/>
          </w:rPr>
          <w:t>Large average family size</w:t>
        </w:r>
        <w:r w:rsidR="00972BA2">
          <w:rPr>
            <w:noProof/>
            <w:webHidden/>
          </w:rPr>
          <w:tab/>
        </w:r>
        <w:r w:rsidR="00972BA2">
          <w:rPr>
            <w:noProof/>
            <w:webHidden/>
          </w:rPr>
          <w:fldChar w:fldCharType="begin"/>
        </w:r>
        <w:r w:rsidR="00972BA2">
          <w:rPr>
            <w:noProof/>
            <w:webHidden/>
          </w:rPr>
          <w:instrText xml:space="preserve"> PAGEREF _Toc173913207 \h </w:instrText>
        </w:r>
        <w:r w:rsidR="00972BA2">
          <w:rPr>
            <w:noProof/>
            <w:webHidden/>
          </w:rPr>
        </w:r>
        <w:r w:rsidR="00972BA2">
          <w:rPr>
            <w:noProof/>
            <w:webHidden/>
          </w:rPr>
          <w:fldChar w:fldCharType="separate"/>
        </w:r>
        <w:r w:rsidR="00972BA2">
          <w:rPr>
            <w:noProof/>
            <w:webHidden/>
          </w:rPr>
          <w:t>17</w:t>
        </w:r>
        <w:r w:rsidR="00972BA2">
          <w:rPr>
            <w:noProof/>
            <w:webHidden/>
          </w:rPr>
          <w:fldChar w:fldCharType="end"/>
        </w:r>
      </w:hyperlink>
    </w:p>
    <w:p w14:paraId="072988D7" w14:textId="01E14D59" w:rsidR="00972BA2" w:rsidRDefault="00653DF2">
      <w:pPr>
        <w:pStyle w:val="TOC1"/>
        <w:rPr>
          <w:rFonts w:eastAsiaTheme="minorEastAsia"/>
          <w:noProof/>
          <w:kern w:val="2"/>
          <w:sz w:val="24"/>
          <w:szCs w:val="24"/>
          <w:lang w:eastAsia="en-AU"/>
          <w14:ligatures w14:val="standardContextual"/>
        </w:rPr>
      </w:pPr>
      <w:hyperlink w:anchor="_Toc173913208" w:history="1">
        <w:r w:rsidR="00972BA2" w:rsidRPr="00D16BF9">
          <w:rPr>
            <w:rStyle w:val="Hyperlink"/>
            <w:noProof/>
          </w:rPr>
          <w:t>Appendix B: Definitions</w:t>
        </w:r>
        <w:r w:rsidR="00972BA2">
          <w:rPr>
            <w:noProof/>
            <w:webHidden/>
          </w:rPr>
          <w:tab/>
        </w:r>
        <w:r w:rsidR="00972BA2">
          <w:rPr>
            <w:noProof/>
            <w:webHidden/>
          </w:rPr>
          <w:fldChar w:fldCharType="begin"/>
        </w:r>
        <w:r w:rsidR="00972BA2">
          <w:rPr>
            <w:noProof/>
            <w:webHidden/>
          </w:rPr>
          <w:instrText xml:space="preserve"> PAGEREF _Toc173913208 \h </w:instrText>
        </w:r>
        <w:r w:rsidR="00972BA2">
          <w:rPr>
            <w:noProof/>
            <w:webHidden/>
          </w:rPr>
        </w:r>
        <w:r w:rsidR="00972BA2">
          <w:rPr>
            <w:noProof/>
            <w:webHidden/>
          </w:rPr>
          <w:fldChar w:fldCharType="separate"/>
        </w:r>
        <w:r w:rsidR="00972BA2">
          <w:rPr>
            <w:noProof/>
            <w:webHidden/>
          </w:rPr>
          <w:t>18</w:t>
        </w:r>
        <w:r w:rsidR="00972BA2">
          <w:rPr>
            <w:noProof/>
            <w:webHidden/>
          </w:rPr>
          <w:fldChar w:fldCharType="end"/>
        </w:r>
      </w:hyperlink>
    </w:p>
    <w:p w14:paraId="5AEC0A8B" w14:textId="5F73559A" w:rsidR="00BC78F1" w:rsidRPr="00D172D3" w:rsidRDefault="00AF1F18" w:rsidP="003E3291">
      <w:pPr>
        <w:pStyle w:val="Heading2"/>
        <w:rPr>
          <w:rFonts w:asciiTheme="minorHAnsi" w:hAnsiTheme="minorHAnsi"/>
          <w:color w:val="auto"/>
          <w:sz w:val="22"/>
        </w:rPr>
      </w:pPr>
      <w:r w:rsidRPr="003E3291">
        <w:rPr>
          <w:kern w:val="2"/>
          <w14:ligatures w14:val="standardContextual"/>
        </w:rPr>
        <w:fldChar w:fldCharType="end"/>
      </w:r>
      <w:r w:rsidR="0017134D" w:rsidRPr="003E3291">
        <w:rPr>
          <w:kern w:val="2"/>
          <w14:ligatures w14:val="standardContextual"/>
        </w:rPr>
        <w:br w:type="page"/>
      </w:r>
      <w:bookmarkStart w:id="0" w:name="_Toc173913176"/>
      <w:bookmarkStart w:id="1" w:name="_Toc129701963"/>
      <w:bookmarkStart w:id="2" w:name="_Toc126923148"/>
      <w:bookmarkStart w:id="3" w:name="_Toc126923159"/>
      <w:bookmarkStart w:id="4" w:name="_Toc126923318"/>
      <w:r w:rsidR="00BC78F1" w:rsidRPr="00C213BC">
        <w:lastRenderedPageBreak/>
        <w:t>Purpose</w:t>
      </w:r>
      <w:bookmarkEnd w:id="0"/>
      <w:bookmarkEnd w:id="1"/>
    </w:p>
    <w:p w14:paraId="5519B0ED" w14:textId="7276951A" w:rsidR="00BC78F1" w:rsidRPr="00D172D3" w:rsidRDefault="00BC78F1" w:rsidP="003E3291">
      <w:pPr>
        <w:rPr>
          <w:kern w:val="2"/>
          <w14:ligatures w14:val="standardContextual"/>
        </w:rPr>
      </w:pPr>
      <w:r w:rsidRPr="00D172D3">
        <w:rPr>
          <w:kern w:val="2"/>
          <w14:ligatures w14:val="standardContextual"/>
        </w:rPr>
        <w:t>These Guidelines</w:t>
      </w:r>
      <w:r w:rsidR="00261253" w:rsidRPr="00D172D3">
        <w:rPr>
          <w:kern w:val="2"/>
          <w14:ligatures w14:val="standardContextual"/>
        </w:rPr>
        <w:t xml:space="preserve"> </w:t>
      </w:r>
      <w:r w:rsidRPr="00D172D3">
        <w:rPr>
          <w:kern w:val="2"/>
          <w14:ligatures w14:val="standardContextual"/>
        </w:rPr>
        <w:t xml:space="preserve">provide information about </w:t>
      </w:r>
      <w:r w:rsidR="0080361C" w:rsidRPr="00D172D3">
        <w:rPr>
          <w:kern w:val="2"/>
          <w14:ligatures w14:val="standardContextual"/>
        </w:rPr>
        <w:t>c</w:t>
      </w:r>
      <w:r w:rsidRPr="00D172D3">
        <w:rPr>
          <w:kern w:val="2"/>
          <w14:ligatures w14:val="standardContextual"/>
        </w:rPr>
        <w:t xml:space="preserve">apacity to </w:t>
      </w:r>
      <w:r w:rsidR="0080361C" w:rsidRPr="00D172D3">
        <w:rPr>
          <w:kern w:val="2"/>
          <w14:ligatures w14:val="standardContextual"/>
        </w:rPr>
        <w:t>c</w:t>
      </w:r>
      <w:r w:rsidRPr="00D172D3">
        <w:rPr>
          <w:kern w:val="2"/>
          <w14:ligatures w14:val="standardContextual"/>
        </w:rPr>
        <w:t>ontribute (CTC) score reviews for approved authorities for schools.</w:t>
      </w:r>
    </w:p>
    <w:p w14:paraId="55A55069" w14:textId="55417BC9" w:rsidR="00BC78F1" w:rsidRPr="00D172D3" w:rsidRDefault="00BC78F1" w:rsidP="003E3291">
      <w:pPr>
        <w:rPr>
          <w:kern w:val="2"/>
          <w14:ligatures w14:val="standardContextual"/>
        </w:rPr>
      </w:pPr>
      <w:r w:rsidRPr="00D172D3">
        <w:rPr>
          <w:kern w:val="2"/>
          <w14:ligatures w14:val="standardContextual"/>
        </w:rPr>
        <w:t xml:space="preserve">These procedures are designed to minimise administrative burden on approved authorities and schools while fulfilling obligations under the </w:t>
      </w:r>
      <w:r w:rsidRPr="00D172D3">
        <w:rPr>
          <w:i/>
          <w:kern w:val="2"/>
          <w14:ligatures w14:val="standardContextual"/>
        </w:rPr>
        <w:t>Public Governance, Performance and Accountability Act 2013</w:t>
      </w:r>
      <w:r w:rsidRPr="00D172D3">
        <w:rPr>
          <w:kern w:val="2"/>
          <w14:ligatures w14:val="standardContextual"/>
        </w:rPr>
        <w:t>.</w:t>
      </w:r>
      <w:r w:rsidRPr="00D172D3">
        <w:rPr>
          <w:rStyle w:val="FootnoteReference"/>
          <w:kern w:val="2"/>
          <w14:ligatures w14:val="standardContextual"/>
        </w:rPr>
        <w:footnoteReference w:id="2"/>
      </w:r>
    </w:p>
    <w:p w14:paraId="420A9D97" w14:textId="5C46E303" w:rsidR="00BC78F1" w:rsidRPr="00D172D3" w:rsidRDefault="00BC78F1" w:rsidP="003E3291">
      <w:pPr>
        <w:rPr>
          <w:kern w:val="2"/>
          <w14:ligatures w14:val="standardContextual"/>
        </w:rPr>
      </w:pPr>
      <w:r w:rsidRPr="00D172D3">
        <w:rPr>
          <w:kern w:val="2"/>
          <w14:ligatures w14:val="standardContextual"/>
        </w:rPr>
        <w:t xml:space="preserve">The </w:t>
      </w:r>
      <w:r w:rsidR="00581F69" w:rsidRPr="00D172D3">
        <w:rPr>
          <w:kern w:val="2"/>
          <w14:ligatures w14:val="standardContextual"/>
        </w:rPr>
        <w:t>Australian Bureau of Statistics (</w:t>
      </w:r>
      <w:r w:rsidRPr="00D172D3">
        <w:rPr>
          <w:kern w:val="2"/>
          <w14:ligatures w14:val="standardContextual"/>
        </w:rPr>
        <w:t>ABS</w:t>
      </w:r>
      <w:r w:rsidR="00581F69" w:rsidRPr="00D172D3">
        <w:rPr>
          <w:kern w:val="2"/>
          <w14:ligatures w14:val="standardContextual"/>
        </w:rPr>
        <w:t>)</w:t>
      </w:r>
      <w:r w:rsidRPr="00D172D3">
        <w:rPr>
          <w:kern w:val="2"/>
          <w14:ligatures w14:val="standardContextual"/>
        </w:rPr>
        <w:t xml:space="preserve">’s </w:t>
      </w:r>
      <w:bookmarkStart w:id="5" w:name="_Hlk85787083"/>
      <w:r w:rsidRPr="00D172D3">
        <w:rPr>
          <w:i/>
          <w:kern w:val="2"/>
          <w14:ligatures w14:val="standardContextual"/>
        </w:rPr>
        <w:t>Technical Framework for the Capacity to Contribute Review Process</w:t>
      </w:r>
      <w:bookmarkEnd w:id="5"/>
      <w:r w:rsidR="00261253" w:rsidRPr="00D172D3">
        <w:rPr>
          <w:i/>
          <w:kern w:val="2"/>
          <w14:ligatures w14:val="standardContextual"/>
        </w:rPr>
        <w:t>,</w:t>
      </w:r>
      <w:r w:rsidRPr="00D172D3">
        <w:rPr>
          <w:i/>
          <w:kern w:val="2"/>
          <w14:ligatures w14:val="standardContextual"/>
        </w:rPr>
        <w:t xml:space="preserve"> Version 2</w:t>
      </w:r>
      <w:r w:rsidRPr="00D172D3">
        <w:rPr>
          <w:rStyle w:val="FootnoteReference"/>
          <w:kern w:val="2"/>
          <w14:ligatures w14:val="standardContextual"/>
        </w:rPr>
        <w:footnoteReference w:id="3"/>
      </w:r>
      <w:r w:rsidRPr="00D172D3">
        <w:rPr>
          <w:kern w:val="2"/>
          <w14:ligatures w14:val="standardContextual"/>
        </w:rPr>
        <w:t xml:space="preserve"> (the Technical Framework) has informed the development of this document and provides valuable complementary information. Note: Where information in the Technical Framework differs from information set out in these Guidelines, the information in these Guidelines will take precedence.</w:t>
      </w:r>
    </w:p>
    <w:p w14:paraId="2C4C94B4" w14:textId="1CF8DE5D" w:rsidR="00BC78F1" w:rsidRPr="00D172D3" w:rsidRDefault="00BC78F1" w:rsidP="003E3291">
      <w:pPr>
        <w:rPr>
          <w:kern w:val="2"/>
          <w14:ligatures w14:val="standardContextual"/>
        </w:rPr>
      </w:pPr>
      <w:r w:rsidRPr="00D172D3">
        <w:rPr>
          <w:kern w:val="2"/>
          <w14:ligatures w14:val="standardContextual"/>
        </w:rPr>
        <w:t xml:space="preserve">Definitions of terms used in this document are provided at </w:t>
      </w:r>
      <w:hyperlink w:anchor="_Appendix_B:_Definitions" w:history="1">
        <w:r w:rsidRPr="00D172D3">
          <w:rPr>
            <w:rStyle w:val="Hyperlink"/>
            <w:kern w:val="2"/>
            <w14:ligatures w14:val="standardContextual"/>
          </w:rPr>
          <w:t>Appendix B</w:t>
        </w:r>
      </w:hyperlink>
      <w:r w:rsidRPr="00D172D3">
        <w:rPr>
          <w:kern w:val="2"/>
          <w14:ligatures w14:val="standardContextual"/>
        </w:rPr>
        <w:t>.</w:t>
      </w:r>
    </w:p>
    <w:p w14:paraId="63427B36" w14:textId="55BFF166" w:rsidR="00BC78F1" w:rsidRPr="00D172D3" w:rsidRDefault="00BC78F1" w:rsidP="003E3291">
      <w:pPr>
        <w:pStyle w:val="Heading2"/>
        <w:rPr>
          <w:rFonts w:asciiTheme="minorHAnsi" w:hAnsiTheme="minorHAnsi"/>
          <w:color w:val="auto"/>
          <w:sz w:val="22"/>
        </w:rPr>
      </w:pPr>
      <w:bookmarkStart w:id="9" w:name="_Toc173913177"/>
      <w:bookmarkStart w:id="10" w:name="_Toc129701964"/>
      <w:r w:rsidRPr="00C213BC">
        <w:t>Background</w:t>
      </w:r>
      <w:bookmarkEnd w:id="9"/>
      <w:bookmarkEnd w:id="10"/>
    </w:p>
    <w:p w14:paraId="7C9B5689" w14:textId="77777777" w:rsidR="00BC78F1" w:rsidRPr="00D172D3" w:rsidRDefault="00BC78F1" w:rsidP="003E3291">
      <w:pPr>
        <w:pStyle w:val="Heading3"/>
        <w:rPr>
          <w:color w:val="auto"/>
          <w:sz w:val="22"/>
        </w:rPr>
      </w:pPr>
      <w:bookmarkStart w:id="11" w:name="_Toc110520285"/>
      <w:bookmarkStart w:id="12" w:name="_Toc173913178"/>
      <w:bookmarkStart w:id="13" w:name="_Toc129701965"/>
      <w:r w:rsidRPr="003E3291">
        <w:t>What is a CTC score?</w:t>
      </w:r>
      <w:bookmarkEnd w:id="11"/>
      <w:bookmarkEnd w:id="12"/>
      <w:bookmarkEnd w:id="13"/>
    </w:p>
    <w:p w14:paraId="1F5A4DB8" w14:textId="38EB15C1" w:rsidR="00BC78F1" w:rsidRPr="00D172D3" w:rsidRDefault="002673DC" w:rsidP="003E3291">
      <w:pPr>
        <w:rPr>
          <w:kern w:val="2"/>
          <w14:ligatures w14:val="standardContextual"/>
        </w:rPr>
      </w:pPr>
      <w:bookmarkStart w:id="14" w:name="_Hlk99629934"/>
      <w:r w:rsidRPr="00D172D3">
        <w:rPr>
          <w:kern w:val="2"/>
          <w14:ligatures w14:val="standardContextual"/>
        </w:rPr>
        <w:t xml:space="preserve">CTC </w:t>
      </w:r>
      <w:r w:rsidR="00BC78F1" w:rsidRPr="00D172D3">
        <w:rPr>
          <w:kern w:val="2"/>
          <w14:ligatures w14:val="standardContextual"/>
        </w:rPr>
        <w:t>is a measure of a non</w:t>
      </w:r>
      <w:r w:rsidR="00BC78F1" w:rsidRPr="00D172D3">
        <w:rPr>
          <w:kern w:val="2"/>
          <w14:ligatures w14:val="standardContextual"/>
        </w:rPr>
        <w:noBreakHyphen/>
        <w:t>government school</w:t>
      </w:r>
      <w:r w:rsidRPr="00D172D3">
        <w:rPr>
          <w:kern w:val="2"/>
          <w14:ligatures w14:val="standardContextual"/>
        </w:rPr>
        <w:t xml:space="preserve"> community’s capacity</w:t>
      </w:r>
      <w:r w:rsidR="00BC78F1" w:rsidRPr="00D172D3">
        <w:rPr>
          <w:kern w:val="2"/>
          <w14:ligatures w14:val="standardContextual"/>
        </w:rPr>
        <w:t xml:space="preserve"> to contribute </w:t>
      </w:r>
      <w:r w:rsidRPr="00D172D3">
        <w:rPr>
          <w:kern w:val="2"/>
          <w14:ligatures w14:val="standardContextual"/>
        </w:rPr>
        <w:t>to the ongoing costs of running the</w:t>
      </w:r>
      <w:r w:rsidR="009E2142" w:rsidRPr="00D172D3">
        <w:rPr>
          <w:kern w:val="2"/>
          <w14:ligatures w14:val="standardContextual"/>
        </w:rPr>
        <w:t>ir</w:t>
      </w:r>
      <w:r w:rsidRPr="00D172D3">
        <w:rPr>
          <w:kern w:val="2"/>
          <w14:ligatures w14:val="standardContextual"/>
        </w:rPr>
        <w:t xml:space="preserve"> school</w:t>
      </w:r>
      <w:r w:rsidR="00BC78F1" w:rsidRPr="00D172D3">
        <w:rPr>
          <w:kern w:val="2"/>
          <w14:ligatures w14:val="standardContextual"/>
        </w:rPr>
        <w:t xml:space="preserve">. </w:t>
      </w:r>
      <w:r w:rsidR="009E2142" w:rsidRPr="00D172D3">
        <w:rPr>
          <w:kern w:val="2"/>
          <w14:ligatures w14:val="standardContextual"/>
        </w:rPr>
        <w:t>It</w:t>
      </w:r>
      <w:r w:rsidR="00BC78F1" w:rsidRPr="00D172D3">
        <w:rPr>
          <w:kern w:val="2"/>
          <w14:ligatures w14:val="standardContextual"/>
        </w:rPr>
        <w:t xml:space="preserve"> is a relative measure, ranking schools from </w:t>
      </w:r>
      <w:r w:rsidR="00B40F01" w:rsidRPr="00D172D3">
        <w:rPr>
          <w:kern w:val="2"/>
          <w14:ligatures w14:val="standardContextual"/>
        </w:rPr>
        <w:t xml:space="preserve">the </w:t>
      </w:r>
      <w:r w:rsidR="00BC78F1" w:rsidRPr="00D172D3">
        <w:rPr>
          <w:kern w:val="2"/>
          <w14:ligatures w14:val="standardContextual"/>
        </w:rPr>
        <w:t>lowest capacity to highest</w:t>
      </w:r>
      <w:r w:rsidR="0080361C" w:rsidRPr="00D172D3">
        <w:rPr>
          <w:kern w:val="2"/>
          <w14:ligatures w14:val="standardContextual"/>
        </w:rPr>
        <w:t xml:space="preserve"> capacity,</w:t>
      </w:r>
      <w:r w:rsidR="00BC78F1" w:rsidRPr="00D172D3">
        <w:rPr>
          <w:kern w:val="2"/>
          <w14:ligatures w14:val="standardContextual"/>
        </w:rPr>
        <w:t xml:space="preserve"> so </w:t>
      </w:r>
      <w:r w:rsidR="00207DA6" w:rsidRPr="00D172D3">
        <w:rPr>
          <w:kern w:val="2"/>
          <w14:ligatures w14:val="standardContextual"/>
        </w:rPr>
        <w:t>that</w:t>
      </w:r>
      <w:r w:rsidR="00BC78F1" w:rsidRPr="00D172D3">
        <w:rPr>
          <w:kern w:val="2"/>
          <w14:ligatures w14:val="standardContextual"/>
        </w:rPr>
        <w:t xml:space="preserve"> base recurrent funding can be distributed according to need.</w:t>
      </w:r>
    </w:p>
    <w:p w14:paraId="486B2EA6" w14:textId="58EEAD50" w:rsidR="00212ECF" w:rsidRPr="00D172D3" w:rsidRDefault="005604FB" w:rsidP="003E3291">
      <w:pPr>
        <w:rPr>
          <w:kern w:val="2"/>
          <w14:ligatures w14:val="standardContextual"/>
        </w:rPr>
      </w:pPr>
      <w:r w:rsidRPr="003E3291">
        <w:rPr>
          <w:rFonts w:ascii="Calibri" w:hAnsi="Calibri"/>
        </w:rPr>
        <w:t xml:space="preserve">A school’s CTC score determines the </w:t>
      </w:r>
      <w:r w:rsidR="000735D7" w:rsidRPr="003E3291">
        <w:rPr>
          <w:rFonts w:ascii="Calibri" w:hAnsi="Calibri"/>
        </w:rPr>
        <w:t>reduction</w:t>
      </w:r>
      <w:r w:rsidRPr="003E3291">
        <w:rPr>
          <w:rFonts w:ascii="Calibri" w:hAnsi="Calibri"/>
        </w:rPr>
        <w:t xml:space="preserve"> the Commonwealth applies to </w:t>
      </w:r>
      <w:r w:rsidR="00722214" w:rsidRPr="003E3291">
        <w:rPr>
          <w:rFonts w:ascii="Calibri" w:hAnsi="Calibri"/>
        </w:rPr>
        <w:t>the school’s</w:t>
      </w:r>
      <w:r w:rsidRPr="003E3291">
        <w:rPr>
          <w:rFonts w:ascii="Calibri" w:hAnsi="Calibri"/>
        </w:rPr>
        <w:t xml:space="preserve"> </w:t>
      </w:r>
      <w:hyperlink r:id="rId17" w:history="1">
        <w:r w:rsidR="009E2142" w:rsidRPr="00D172D3">
          <w:rPr>
            <w:rStyle w:val="Hyperlink"/>
            <w:kern w:val="2"/>
            <w14:ligatures w14:val="standardContextual"/>
          </w:rPr>
          <w:t>Schooling Resource Standard (SRS)</w:t>
        </w:r>
      </w:hyperlink>
      <w:r w:rsidR="009E2142" w:rsidRPr="00D172D3">
        <w:rPr>
          <w:kern w:val="2"/>
          <w14:ligatures w14:val="standardContextual"/>
        </w:rPr>
        <w:t xml:space="preserve"> </w:t>
      </w:r>
      <w:r w:rsidRPr="003E3291">
        <w:rPr>
          <w:rFonts w:ascii="Calibri" w:hAnsi="Calibri"/>
        </w:rPr>
        <w:t>base funding amount</w:t>
      </w:r>
      <w:r w:rsidR="009E2142" w:rsidRPr="003E3291">
        <w:rPr>
          <w:rFonts w:ascii="Calibri" w:hAnsi="Calibri"/>
        </w:rPr>
        <w:t xml:space="preserve"> only</w:t>
      </w:r>
      <w:r w:rsidRPr="003E3291">
        <w:rPr>
          <w:rFonts w:ascii="Calibri" w:hAnsi="Calibri"/>
        </w:rPr>
        <w:t xml:space="preserve">. </w:t>
      </w:r>
      <w:r w:rsidR="00F27521" w:rsidRPr="00D172D3">
        <w:rPr>
          <w:kern w:val="2"/>
          <w14:ligatures w14:val="standardContextual"/>
        </w:rPr>
        <w:t>CTC</w:t>
      </w:r>
      <w:r w:rsidR="000735D7" w:rsidRPr="00D172D3">
        <w:rPr>
          <w:kern w:val="2"/>
          <w14:ligatures w14:val="standardContextual"/>
        </w:rPr>
        <w:t> </w:t>
      </w:r>
      <w:r w:rsidR="00F27521" w:rsidRPr="00D172D3">
        <w:rPr>
          <w:kern w:val="2"/>
          <w14:ligatures w14:val="standardContextual"/>
        </w:rPr>
        <w:t xml:space="preserve">does not </w:t>
      </w:r>
      <w:r w:rsidR="00E14390" w:rsidRPr="00D172D3">
        <w:rPr>
          <w:kern w:val="2"/>
          <w14:ligatures w14:val="standardContextual"/>
        </w:rPr>
        <w:t>affect</w:t>
      </w:r>
      <w:r w:rsidR="00F27521" w:rsidRPr="00D172D3">
        <w:rPr>
          <w:kern w:val="2"/>
          <w14:ligatures w14:val="standardContextual"/>
        </w:rPr>
        <w:t xml:space="preserve"> loadings under the SRS</w:t>
      </w:r>
      <w:r w:rsidR="00640371">
        <w:rPr>
          <w:kern w:val="2"/>
          <w14:ligatures w14:val="standardContextual"/>
        </w:rPr>
        <w:t xml:space="preserve">, which </w:t>
      </w:r>
      <w:r w:rsidR="00207DA6">
        <w:rPr>
          <w:kern w:val="2"/>
          <w14:ligatures w14:val="standardContextual"/>
        </w:rPr>
        <w:t>provide</w:t>
      </w:r>
      <w:r w:rsidR="00640371">
        <w:rPr>
          <w:kern w:val="2"/>
          <w14:ligatures w14:val="standardContextual"/>
        </w:rPr>
        <w:t xml:space="preserve"> additional funding</w:t>
      </w:r>
      <w:r w:rsidR="00F27521" w:rsidRPr="00D172D3">
        <w:rPr>
          <w:kern w:val="2"/>
          <w14:ligatures w14:val="standardContextual"/>
        </w:rPr>
        <w:t xml:space="preserve"> for student priority cohorts and disadvantaged schools. </w:t>
      </w:r>
    </w:p>
    <w:p w14:paraId="50B0E3A8" w14:textId="5F4C5A37" w:rsidR="00F27521" w:rsidRPr="00D172D3" w:rsidRDefault="00F27521" w:rsidP="003E3291">
      <w:pPr>
        <w:rPr>
          <w:kern w:val="2"/>
          <w14:ligatures w14:val="standardContextual"/>
        </w:rPr>
      </w:pPr>
      <w:r w:rsidRPr="00D172D3">
        <w:rPr>
          <w:kern w:val="2"/>
          <w14:ligatures w14:val="standardContextual"/>
        </w:rPr>
        <w:t xml:space="preserve">CTC does not apply to </w:t>
      </w:r>
      <w:r w:rsidR="005604FB" w:rsidRPr="00D172D3">
        <w:rPr>
          <w:kern w:val="2"/>
          <w14:ligatures w14:val="standardContextual"/>
        </w:rPr>
        <w:t>government schools</w:t>
      </w:r>
      <w:r w:rsidR="003D355A" w:rsidRPr="00D172D3">
        <w:rPr>
          <w:kern w:val="2"/>
          <w14:ligatures w14:val="standardContextual"/>
        </w:rPr>
        <w:t>,</w:t>
      </w:r>
      <w:r w:rsidR="00E71EE6" w:rsidRPr="00D172D3">
        <w:rPr>
          <w:kern w:val="2"/>
          <w14:ligatures w14:val="standardContextual"/>
        </w:rPr>
        <w:t xml:space="preserve"> and</w:t>
      </w:r>
      <w:r w:rsidR="005604FB" w:rsidRPr="00D172D3">
        <w:rPr>
          <w:kern w:val="2"/>
          <w14:ligatures w14:val="standardContextual"/>
        </w:rPr>
        <w:t xml:space="preserve"> </w:t>
      </w:r>
      <w:r w:rsidRPr="00D172D3">
        <w:rPr>
          <w:kern w:val="2"/>
          <w14:ligatures w14:val="standardContextual"/>
        </w:rPr>
        <w:t xml:space="preserve">non-government special schools, special assistance schools, Majority Aboriginal and Torres Strait Islander schools, and sole-provider schools. </w:t>
      </w:r>
    </w:p>
    <w:p w14:paraId="55A698A9" w14:textId="77777777" w:rsidR="00BC78F1" w:rsidRPr="00D172D3" w:rsidRDefault="00BC78F1" w:rsidP="003E3291">
      <w:pPr>
        <w:pStyle w:val="Heading3"/>
        <w:rPr>
          <w:color w:val="auto"/>
          <w:sz w:val="22"/>
        </w:rPr>
      </w:pPr>
      <w:bookmarkStart w:id="15" w:name="_Toc110520286"/>
      <w:bookmarkStart w:id="16" w:name="_Toc173913179"/>
      <w:bookmarkStart w:id="17" w:name="_Toc129701966"/>
      <w:bookmarkEnd w:id="14"/>
      <w:r w:rsidRPr="003E3291">
        <w:t xml:space="preserve">How are CTC scores </w:t>
      </w:r>
      <w:r w:rsidRPr="00C213BC">
        <w:t>calculated</w:t>
      </w:r>
      <w:r w:rsidRPr="003E3291">
        <w:t>?</w:t>
      </w:r>
      <w:bookmarkEnd w:id="15"/>
      <w:bookmarkEnd w:id="16"/>
      <w:bookmarkEnd w:id="17"/>
    </w:p>
    <w:p w14:paraId="424E65AE" w14:textId="68FFECF0" w:rsidR="00ED2160" w:rsidRPr="003E3291" w:rsidRDefault="00ED2160" w:rsidP="003E3291">
      <w:pPr>
        <w:rPr>
          <w:rFonts w:ascii="Calibri" w:hAnsi="Calibri"/>
        </w:rPr>
      </w:pPr>
      <w:r w:rsidRPr="00D172D3">
        <w:rPr>
          <w:kern w:val="2"/>
          <w14:ligatures w14:val="standardContextual"/>
        </w:rPr>
        <w:t xml:space="preserve">CTC scores are calculated annually in accordance with section 52 of the </w:t>
      </w:r>
      <w:r w:rsidRPr="00D172D3">
        <w:rPr>
          <w:i/>
          <w:kern w:val="2"/>
          <w14:ligatures w14:val="standardContextual"/>
        </w:rPr>
        <w:t>Australian Education Act 2013</w:t>
      </w:r>
      <w:r w:rsidRPr="00D172D3">
        <w:rPr>
          <w:kern w:val="2"/>
          <w14:ligatures w14:val="standardContextual"/>
        </w:rPr>
        <w:t xml:space="preserve"> (the Act)</w:t>
      </w:r>
      <w:r w:rsidRPr="00D172D3">
        <w:rPr>
          <w:i/>
          <w:kern w:val="2"/>
          <w14:ligatures w14:val="standardContextual"/>
        </w:rPr>
        <w:t> </w:t>
      </w:r>
      <w:r w:rsidRPr="00D172D3">
        <w:rPr>
          <w:kern w:val="2"/>
          <w14:ligatures w14:val="standardContextual"/>
        </w:rPr>
        <w:t>and</w:t>
      </w:r>
      <w:r w:rsidR="009913A9" w:rsidRPr="00D172D3">
        <w:rPr>
          <w:kern w:val="2"/>
          <w14:ligatures w14:val="standardContextual"/>
        </w:rPr>
        <w:t xml:space="preserve"> </w:t>
      </w:r>
      <w:r w:rsidR="009913A9" w:rsidRPr="003E3291">
        <w:rPr>
          <w:kern w:val="2"/>
          <w14:ligatures w14:val="standardContextual"/>
        </w:rPr>
        <w:t>Part 3</w:t>
      </w:r>
      <w:r w:rsidR="00947550">
        <w:rPr>
          <w:kern w:val="2"/>
          <w14:ligatures w14:val="standardContextual"/>
        </w:rPr>
        <w:t>,</w:t>
      </w:r>
      <w:r w:rsidRPr="003E3291">
        <w:rPr>
          <w:kern w:val="2"/>
          <w14:ligatures w14:val="standardContextual"/>
        </w:rPr>
        <w:t xml:space="preserve"> </w:t>
      </w:r>
      <w:r w:rsidRPr="00D172D3">
        <w:rPr>
          <w:kern w:val="2"/>
          <w14:ligatures w14:val="standardContextual"/>
        </w:rPr>
        <w:t>Division </w:t>
      </w:r>
      <w:r w:rsidR="009913A9" w:rsidRPr="003E3291">
        <w:rPr>
          <w:kern w:val="2"/>
          <w14:ligatures w14:val="standardContextual"/>
        </w:rPr>
        <w:t>3</w:t>
      </w:r>
      <w:r w:rsidRPr="00D172D3">
        <w:rPr>
          <w:kern w:val="2"/>
          <w14:ligatures w14:val="standardContextual"/>
        </w:rPr>
        <w:t xml:space="preserve"> of the </w:t>
      </w:r>
      <w:r w:rsidRPr="00D172D3">
        <w:rPr>
          <w:i/>
          <w:kern w:val="2"/>
          <w14:ligatures w14:val="standardContextual"/>
        </w:rPr>
        <w:t xml:space="preserve">Australian Education </w:t>
      </w:r>
      <w:r w:rsidRPr="003E3291">
        <w:rPr>
          <w:i/>
          <w:iCs/>
          <w:kern w:val="2"/>
          <w14:ligatures w14:val="standardContextual"/>
        </w:rPr>
        <w:t>Regulation</w:t>
      </w:r>
      <w:r w:rsidR="00A63D80" w:rsidRPr="003E3291">
        <w:rPr>
          <w:i/>
          <w:iCs/>
          <w:kern w:val="2"/>
          <w14:ligatures w14:val="standardContextual"/>
        </w:rPr>
        <w:t>s</w:t>
      </w:r>
      <w:r w:rsidRPr="003E3291">
        <w:rPr>
          <w:i/>
          <w:iCs/>
          <w:kern w:val="2"/>
          <w14:ligatures w14:val="standardContextual"/>
        </w:rPr>
        <w:t> 20</w:t>
      </w:r>
      <w:r w:rsidR="00A63D80" w:rsidRPr="003E3291">
        <w:rPr>
          <w:i/>
          <w:iCs/>
          <w:kern w:val="2"/>
          <w14:ligatures w14:val="standardContextual"/>
        </w:rPr>
        <w:t>2</w:t>
      </w:r>
      <w:r w:rsidRPr="003E3291">
        <w:rPr>
          <w:i/>
          <w:iCs/>
          <w:kern w:val="2"/>
          <w14:ligatures w14:val="standardContextual"/>
        </w:rPr>
        <w:t>3</w:t>
      </w:r>
      <w:r w:rsidRPr="00D172D3">
        <w:rPr>
          <w:i/>
          <w:kern w:val="2"/>
          <w14:ligatures w14:val="standardContextual"/>
        </w:rPr>
        <w:t xml:space="preserve"> </w:t>
      </w:r>
      <w:r w:rsidRPr="00D172D3">
        <w:rPr>
          <w:kern w:val="2"/>
          <w14:ligatures w14:val="standardContextual"/>
        </w:rPr>
        <w:t xml:space="preserve">(the </w:t>
      </w:r>
      <w:r w:rsidRPr="003E3291">
        <w:rPr>
          <w:kern w:val="2"/>
          <w14:ligatures w14:val="standardContextual"/>
        </w:rPr>
        <w:t>Regulation</w:t>
      </w:r>
      <w:r w:rsidR="00A63D80" w:rsidRPr="003E3291">
        <w:rPr>
          <w:kern w:val="2"/>
          <w14:ligatures w14:val="standardContextual"/>
        </w:rPr>
        <w:t>s</w:t>
      </w:r>
      <w:r w:rsidRPr="00D172D3">
        <w:rPr>
          <w:kern w:val="2"/>
          <w14:ligatures w14:val="standardContextual"/>
        </w:rPr>
        <w:t>).</w:t>
      </w:r>
      <w:r w:rsidRPr="003E3291">
        <w:rPr>
          <w:rFonts w:ascii="Calibri" w:hAnsi="Calibri"/>
        </w:rPr>
        <w:t xml:space="preserve"> </w:t>
      </w:r>
      <w:r w:rsidRPr="00D172D3">
        <w:rPr>
          <w:kern w:val="2"/>
          <w14:ligatures w14:val="standardContextual"/>
        </w:rPr>
        <w:lastRenderedPageBreak/>
        <w:t xml:space="preserve">Determinations are usually made by the Minister for Education’s delegate, who is a senior officer at the Department of Education (the </w:t>
      </w:r>
      <w:r w:rsidR="00E15308" w:rsidRPr="00D172D3">
        <w:rPr>
          <w:kern w:val="2"/>
          <w14:ligatures w14:val="standardContextual"/>
        </w:rPr>
        <w:t>d</w:t>
      </w:r>
      <w:r w:rsidRPr="00D172D3">
        <w:rPr>
          <w:kern w:val="2"/>
          <w14:ligatures w14:val="standardContextual"/>
        </w:rPr>
        <w:t>epartment).</w:t>
      </w:r>
    </w:p>
    <w:p w14:paraId="3D14B6D4" w14:textId="4376267D" w:rsidR="00BC78F1" w:rsidRPr="00D172D3" w:rsidRDefault="00BC78F1" w:rsidP="003E3291">
      <w:pPr>
        <w:rPr>
          <w:kern w:val="2"/>
          <w14:ligatures w14:val="standardContextual"/>
        </w:rPr>
      </w:pPr>
      <w:r w:rsidRPr="00D172D3">
        <w:rPr>
          <w:kern w:val="2"/>
          <w14:ligatures w14:val="standardContextual"/>
        </w:rPr>
        <w:t xml:space="preserve">The </w:t>
      </w:r>
      <w:r w:rsidRPr="003E3291">
        <w:rPr>
          <w:kern w:val="2"/>
          <w14:ligatures w14:val="standardContextual"/>
        </w:rPr>
        <w:t>Regulation</w:t>
      </w:r>
      <w:r w:rsidR="00E729F5" w:rsidRPr="003E3291">
        <w:rPr>
          <w:kern w:val="2"/>
          <w14:ligatures w14:val="standardContextual"/>
        </w:rPr>
        <w:t>s</w:t>
      </w:r>
      <w:r w:rsidRPr="003E3291">
        <w:rPr>
          <w:kern w:val="2"/>
          <w14:ligatures w14:val="standardContextual"/>
        </w:rPr>
        <w:t xml:space="preserve"> </w:t>
      </w:r>
      <w:r w:rsidR="005604FB" w:rsidRPr="003E3291">
        <w:rPr>
          <w:kern w:val="2"/>
          <w14:ligatures w14:val="standardContextual"/>
        </w:rPr>
        <w:t>require</w:t>
      </w:r>
      <w:r w:rsidR="005604FB" w:rsidRPr="00D172D3">
        <w:rPr>
          <w:kern w:val="2"/>
          <w14:ligatures w14:val="standardContextual"/>
        </w:rPr>
        <w:t xml:space="preserve"> all CTC scores to be calculated using the direct measure of income (DMI) methodology</w:t>
      </w:r>
      <w:r w:rsidR="00FB7304" w:rsidRPr="00D172D3">
        <w:rPr>
          <w:kern w:val="2"/>
          <w14:ligatures w14:val="standardContextual"/>
        </w:rPr>
        <w:t xml:space="preserve"> unless this methodology cannot be used for a reason specified in the </w:t>
      </w:r>
      <w:r w:rsidR="00FB7304" w:rsidRPr="003E3291">
        <w:rPr>
          <w:kern w:val="2"/>
          <w14:ligatures w14:val="standardContextual"/>
        </w:rPr>
        <w:t>Regulation</w:t>
      </w:r>
      <w:r w:rsidR="00E729F5" w:rsidRPr="003E3291">
        <w:rPr>
          <w:kern w:val="2"/>
          <w14:ligatures w14:val="standardContextual"/>
        </w:rPr>
        <w:t>s</w:t>
      </w:r>
      <w:r w:rsidR="00E6220A">
        <w:rPr>
          <w:rFonts w:ascii="Calibri" w:hAnsi="Calibri"/>
        </w:rPr>
        <w:t>.</w:t>
      </w:r>
      <w:r w:rsidR="006F0E45" w:rsidRPr="006F0E45">
        <w:rPr>
          <w:rFonts w:ascii="Calibri" w:eastAsia="Calibri" w:hAnsi="Calibri" w:cs="Times New Roman"/>
          <w:vertAlign w:val="superscript"/>
        </w:rPr>
        <w:footnoteReference w:id="4"/>
      </w:r>
      <w:r w:rsidR="000735D7" w:rsidRPr="00D172D3">
        <w:rPr>
          <w:kern w:val="2"/>
          <w14:ligatures w14:val="standardContextual"/>
        </w:rPr>
        <w:t xml:space="preserve"> If the DMI methodology cannot be used, </w:t>
      </w:r>
      <w:r w:rsidR="006F0E45" w:rsidRPr="006F0E45">
        <w:rPr>
          <w:rFonts w:ascii="Calibri" w:eastAsia="Calibri" w:hAnsi="Calibri" w:cs="Times New Roman"/>
        </w:rPr>
        <w:t xml:space="preserve">the Regulations require </w:t>
      </w:r>
      <w:r w:rsidR="000735D7" w:rsidRPr="00D172D3">
        <w:rPr>
          <w:kern w:val="2"/>
          <w14:ligatures w14:val="standardContextual"/>
        </w:rPr>
        <w:t xml:space="preserve">a Refined Area-Based (RAB) score </w:t>
      </w:r>
      <w:r w:rsidR="006F0E45" w:rsidRPr="006F0E45">
        <w:rPr>
          <w:rFonts w:ascii="Calibri" w:eastAsia="Calibri" w:hAnsi="Calibri" w:cs="Times New Roman"/>
        </w:rPr>
        <w:t>to</w:t>
      </w:r>
      <w:r w:rsidR="000735D7" w:rsidRPr="00D172D3">
        <w:rPr>
          <w:kern w:val="2"/>
          <w14:ligatures w14:val="standardContextual"/>
        </w:rPr>
        <w:t xml:space="preserve"> be used.</w:t>
      </w:r>
    </w:p>
    <w:p w14:paraId="5BC629DB" w14:textId="6112E8EA" w:rsidR="008815D9" w:rsidRPr="00D172D3" w:rsidRDefault="008815D9" w:rsidP="003E3291">
      <w:pPr>
        <w:pStyle w:val="Heading4"/>
      </w:pPr>
      <w:bookmarkStart w:id="18" w:name="_Toc172811548"/>
      <w:bookmarkStart w:id="19" w:name="_Toc173913180"/>
      <w:bookmarkStart w:id="20" w:name="_Toc129701967"/>
      <w:r w:rsidRPr="00D172D3">
        <w:t>DMI methodology</w:t>
      </w:r>
      <w:bookmarkEnd w:id="18"/>
      <w:bookmarkEnd w:id="19"/>
      <w:bookmarkEnd w:id="20"/>
    </w:p>
    <w:p w14:paraId="36272BC1" w14:textId="7FCA9452" w:rsidR="008815D9" w:rsidRPr="00D172D3" w:rsidRDefault="008815D9" w:rsidP="003E3291">
      <w:pPr>
        <w:rPr>
          <w:kern w:val="2"/>
          <w14:ligatures w14:val="standardContextual"/>
        </w:rPr>
      </w:pPr>
      <w:r w:rsidRPr="00D172D3">
        <w:rPr>
          <w:kern w:val="2"/>
          <w14:ligatures w14:val="standardContextual"/>
        </w:rPr>
        <w:t xml:space="preserve">Most CTC scores are </w:t>
      </w:r>
      <w:r w:rsidR="00C40BBC" w:rsidRPr="00D172D3">
        <w:rPr>
          <w:kern w:val="2"/>
          <w14:ligatures w14:val="standardContextual"/>
        </w:rPr>
        <w:t xml:space="preserve">the average of the </w:t>
      </w:r>
      <w:r w:rsidR="00722214" w:rsidRPr="00D172D3">
        <w:rPr>
          <w:kern w:val="2"/>
          <w14:ligatures w14:val="standardContextual"/>
        </w:rPr>
        <w:t xml:space="preserve">school’s </w:t>
      </w:r>
      <w:r w:rsidR="00C40BBC" w:rsidRPr="00D172D3">
        <w:rPr>
          <w:kern w:val="2"/>
          <w14:ligatures w14:val="standardContextual"/>
        </w:rPr>
        <w:t>previous 3 consecutive years</w:t>
      </w:r>
      <w:r w:rsidR="007C54AC" w:rsidRPr="00D172D3">
        <w:rPr>
          <w:kern w:val="2"/>
          <w14:ligatures w14:val="standardContextual"/>
        </w:rPr>
        <w:t xml:space="preserve"> of</w:t>
      </w:r>
      <w:r w:rsidR="00C40BBC" w:rsidRPr="00D172D3">
        <w:rPr>
          <w:kern w:val="2"/>
          <w14:ligatures w14:val="standardContextual"/>
        </w:rPr>
        <w:t xml:space="preserve"> DMI</w:t>
      </w:r>
      <w:r w:rsidR="00DF4C08" w:rsidRPr="003E3291">
        <w:rPr>
          <w:rFonts w:cstheme="minorHAnsi"/>
          <w:kern w:val="2"/>
          <w14:ligatures w14:val="standardContextual"/>
        </w:rPr>
        <w:t> </w:t>
      </w:r>
      <w:r w:rsidR="00C40BBC" w:rsidRPr="00D172D3">
        <w:rPr>
          <w:kern w:val="2"/>
          <w14:ligatures w14:val="standardContextual"/>
        </w:rPr>
        <w:t>scores.</w:t>
      </w:r>
      <w:r w:rsidRPr="00D172D3">
        <w:rPr>
          <w:kern w:val="2"/>
          <w14:ligatures w14:val="standardContextual"/>
        </w:rPr>
        <w:t xml:space="preserve"> </w:t>
      </w:r>
      <w:r w:rsidR="00DC7B0F" w:rsidRPr="00D172D3">
        <w:rPr>
          <w:kern w:val="2"/>
          <w14:ligatures w14:val="standardContextual"/>
        </w:rPr>
        <w:t xml:space="preserve">For example, a school’s </w:t>
      </w:r>
      <w:r w:rsidR="008741FB" w:rsidRPr="003E3291">
        <w:rPr>
          <w:rFonts w:cstheme="minorHAnsi"/>
          <w:kern w:val="2"/>
          <w14:ligatures w14:val="standardContextual"/>
        </w:rPr>
        <w:t>202</w:t>
      </w:r>
      <w:r w:rsidR="008741FB">
        <w:rPr>
          <w:rFonts w:cstheme="minorHAnsi"/>
          <w:kern w:val="2"/>
          <w14:ligatures w14:val="standardContextual"/>
        </w:rPr>
        <w:t>4</w:t>
      </w:r>
      <w:r w:rsidR="008741FB" w:rsidRPr="00D172D3">
        <w:rPr>
          <w:kern w:val="2"/>
          <w14:ligatures w14:val="standardContextual"/>
        </w:rPr>
        <w:t xml:space="preserve"> </w:t>
      </w:r>
      <w:r w:rsidR="00DC7B0F" w:rsidRPr="00D172D3">
        <w:rPr>
          <w:kern w:val="2"/>
          <w14:ligatures w14:val="standardContextual"/>
        </w:rPr>
        <w:t xml:space="preserve">CTC score is the average of the school’s </w:t>
      </w:r>
      <w:r w:rsidR="008741FB" w:rsidRPr="00D172D3">
        <w:rPr>
          <w:kern w:val="2"/>
          <w14:ligatures w14:val="standardContextual"/>
        </w:rPr>
        <w:t>2021</w:t>
      </w:r>
      <w:r w:rsidR="00DC7B0F" w:rsidRPr="003E3291">
        <w:rPr>
          <w:rFonts w:cstheme="minorHAnsi"/>
          <w:kern w:val="2"/>
          <w14:ligatures w14:val="standardContextual"/>
        </w:rPr>
        <w:t>,</w:t>
      </w:r>
      <w:r w:rsidR="00DC7B0F" w:rsidRPr="00D172D3">
        <w:rPr>
          <w:kern w:val="2"/>
          <w14:ligatures w14:val="standardContextual"/>
        </w:rPr>
        <w:t xml:space="preserve"> </w:t>
      </w:r>
      <w:r w:rsidR="008741FB" w:rsidRPr="00D172D3">
        <w:rPr>
          <w:kern w:val="2"/>
          <w14:ligatures w14:val="standardContextual"/>
        </w:rPr>
        <w:t xml:space="preserve">2022 </w:t>
      </w:r>
      <w:r w:rsidR="00DC7B0F" w:rsidRPr="003E3291">
        <w:rPr>
          <w:rFonts w:cstheme="minorHAnsi"/>
          <w:kern w:val="2"/>
          <w14:ligatures w14:val="standardContextual"/>
        </w:rPr>
        <w:t xml:space="preserve">and </w:t>
      </w:r>
      <w:r w:rsidR="008741FB" w:rsidRPr="003E3291">
        <w:rPr>
          <w:rFonts w:cstheme="minorHAnsi"/>
          <w:kern w:val="2"/>
          <w14:ligatures w14:val="standardContextual"/>
        </w:rPr>
        <w:t>202</w:t>
      </w:r>
      <w:r w:rsidR="008741FB">
        <w:rPr>
          <w:rFonts w:cstheme="minorHAnsi"/>
          <w:kern w:val="2"/>
          <w14:ligatures w14:val="standardContextual"/>
        </w:rPr>
        <w:t>3</w:t>
      </w:r>
      <w:r w:rsidR="008741FB" w:rsidRPr="003E3291">
        <w:rPr>
          <w:rFonts w:cstheme="minorHAnsi"/>
          <w:kern w:val="2"/>
          <w14:ligatures w14:val="standardContextual"/>
        </w:rPr>
        <w:t xml:space="preserve"> </w:t>
      </w:r>
      <w:r w:rsidR="00DC7B0F" w:rsidRPr="00D172D3">
        <w:rPr>
          <w:kern w:val="2"/>
          <w14:ligatures w14:val="standardContextual"/>
        </w:rPr>
        <w:t>DMI scores.</w:t>
      </w:r>
    </w:p>
    <w:p w14:paraId="4620D816" w14:textId="0445C9B7" w:rsidR="008815D9" w:rsidRPr="00D172D3" w:rsidRDefault="00FB7304" w:rsidP="003E3291">
      <w:pPr>
        <w:rPr>
          <w:kern w:val="2"/>
          <w14:ligatures w14:val="standardContextual"/>
        </w:rPr>
      </w:pPr>
      <w:r w:rsidRPr="00D172D3">
        <w:rPr>
          <w:kern w:val="2"/>
          <w14:ligatures w14:val="standardContextual"/>
        </w:rPr>
        <w:t>A DMI</w:t>
      </w:r>
      <w:r w:rsidR="00DF65DC" w:rsidRPr="00D172D3">
        <w:rPr>
          <w:kern w:val="2"/>
          <w14:ligatures w14:val="standardContextual"/>
        </w:rPr>
        <w:t xml:space="preserve"> score </w:t>
      </w:r>
      <w:r w:rsidRPr="00D172D3">
        <w:rPr>
          <w:kern w:val="2"/>
          <w14:ligatures w14:val="standardContextual"/>
        </w:rPr>
        <w:t xml:space="preserve">for a school </w:t>
      </w:r>
      <w:r w:rsidR="00DF65DC" w:rsidRPr="00D172D3">
        <w:rPr>
          <w:kern w:val="2"/>
          <w14:ligatures w14:val="standardContextual"/>
        </w:rPr>
        <w:t>is calculated</w:t>
      </w:r>
      <w:r w:rsidRPr="00D172D3">
        <w:rPr>
          <w:kern w:val="2"/>
          <w14:ligatures w14:val="standardContextual"/>
        </w:rPr>
        <w:t xml:space="preserve"> </w:t>
      </w:r>
      <w:r w:rsidR="008815D9" w:rsidRPr="00D172D3">
        <w:rPr>
          <w:kern w:val="2"/>
          <w14:ligatures w14:val="standardContextual"/>
        </w:rPr>
        <w:t>each year</w:t>
      </w:r>
      <w:r w:rsidRPr="00D172D3">
        <w:rPr>
          <w:kern w:val="2"/>
          <w14:ligatures w14:val="standardContextual"/>
        </w:rPr>
        <w:t xml:space="preserve"> by the department.</w:t>
      </w:r>
      <w:r w:rsidR="00DF65DC" w:rsidRPr="00D172D3">
        <w:rPr>
          <w:kern w:val="2"/>
          <w14:ligatures w14:val="standardContextual"/>
        </w:rPr>
        <w:t xml:space="preserve"> </w:t>
      </w:r>
      <w:r w:rsidRPr="00D172D3">
        <w:rPr>
          <w:kern w:val="2"/>
          <w14:ligatures w14:val="standardContextual"/>
        </w:rPr>
        <w:t>DMI scores are</w:t>
      </w:r>
      <w:r w:rsidR="00DF65DC" w:rsidRPr="00D172D3">
        <w:rPr>
          <w:kern w:val="2"/>
          <w14:ligatures w14:val="standardContextual"/>
        </w:rPr>
        <w:t xml:space="preserve"> based on the median income of parents and guardians of the students attending the school</w:t>
      </w:r>
      <w:r w:rsidR="00DC7B0F" w:rsidRPr="00D172D3">
        <w:rPr>
          <w:kern w:val="2"/>
          <w14:ligatures w14:val="standardContextual"/>
        </w:rPr>
        <w:t xml:space="preserve">. </w:t>
      </w:r>
      <w:r w:rsidR="00CE26A7" w:rsidRPr="00D172D3">
        <w:rPr>
          <w:kern w:val="2"/>
          <w14:ligatures w14:val="standardContextual"/>
        </w:rPr>
        <w:t xml:space="preserve">The department </w:t>
      </w:r>
      <w:r w:rsidR="00CE26A7" w:rsidRPr="003E3291">
        <w:rPr>
          <w:kern w:val="2"/>
          <w14:ligatures w14:val="standardContextual"/>
        </w:rPr>
        <w:t xml:space="preserve">collects </w:t>
      </w:r>
      <w:r w:rsidR="00DF4C08" w:rsidRPr="003E3291">
        <w:rPr>
          <w:kern w:val="2"/>
          <w14:ligatures w14:val="standardContextual"/>
        </w:rPr>
        <w:t>the</w:t>
      </w:r>
      <w:r w:rsidR="00DC7B0F" w:rsidRPr="003E3291">
        <w:rPr>
          <w:kern w:val="2"/>
          <w14:ligatures w14:val="standardContextual"/>
        </w:rPr>
        <w:t xml:space="preserve"> </w:t>
      </w:r>
      <w:r w:rsidR="00CE26A7" w:rsidRPr="003E3291">
        <w:rPr>
          <w:kern w:val="2"/>
          <w14:ligatures w14:val="standardContextual"/>
        </w:rPr>
        <w:t xml:space="preserve">names and </w:t>
      </w:r>
      <w:r w:rsidR="006F0E45" w:rsidRPr="006F0E45">
        <w:rPr>
          <w:rFonts w:ascii="Calibri" w:eastAsia="Calibri" w:hAnsi="Calibri" w:cs="Times New Roman"/>
        </w:rPr>
        <w:t>addresses</w:t>
      </w:r>
      <w:r w:rsidR="00CE26A7" w:rsidRPr="003E3291">
        <w:rPr>
          <w:kern w:val="2"/>
          <w14:ligatures w14:val="standardContextual"/>
        </w:rPr>
        <w:t xml:space="preserve"> of </w:t>
      </w:r>
      <w:r w:rsidR="006F0E45" w:rsidRPr="006F0E45">
        <w:rPr>
          <w:rFonts w:ascii="Calibri" w:eastAsia="Calibri" w:hAnsi="Calibri" w:cs="Times New Roman"/>
        </w:rPr>
        <w:t>parents and guardians f</w:t>
      </w:r>
      <w:r w:rsidR="00E6220A">
        <w:rPr>
          <w:rFonts w:ascii="Calibri" w:eastAsia="Calibri" w:hAnsi="Calibri" w:cs="Times New Roman"/>
        </w:rPr>
        <w:t>rom</w:t>
      </w:r>
      <w:r w:rsidR="006F0E45" w:rsidRPr="006F0E45">
        <w:rPr>
          <w:rFonts w:ascii="Calibri" w:eastAsia="Calibri" w:hAnsi="Calibri" w:cs="Times New Roman"/>
        </w:rPr>
        <w:t xml:space="preserve"> a school’s approved authority</w:t>
      </w:r>
      <w:r w:rsidR="00DF4C08" w:rsidRPr="003E3291">
        <w:rPr>
          <w:kern w:val="2"/>
          <w14:ligatures w14:val="standardContextual"/>
        </w:rPr>
        <w:t xml:space="preserve"> </w:t>
      </w:r>
      <w:r w:rsidR="00DC7B0F" w:rsidRPr="00D172D3">
        <w:rPr>
          <w:kern w:val="2"/>
          <w14:ligatures w14:val="standardContextual"/>
        </w:rPr>
        <w:t xml:space="preserve">each year </w:t>
      </w:r>
      <w:r w:rsidR="00CE26A7" w:rsidRPr="003E3291">
        <w:rPr>
          <w:kern w:val="2"/>
          <w14:ligatures w14:val="standardContextual"/>
        </w:rPr>
        <w:t>through</w:t>
      </w:r>
      <w:r w:rsidR="00CE26A7" w:rsidRPr="00D172D3">
        <w:rPr>
          <w:kern w:val="2"/>
          <w14:ligatures w14:val="standardContextual"/>
        </w:rPr>
        <w:t xml:space="preserve"> </w:t>
      </w:r>
      <w:r w:rsidRPr="00D172D3">
        <w:rPr>
          <w:kern w:val="2"/>
          <w14:ligatures w14:val="standardContextual"/>
        </w:rPr>
        <w:t>the</w:t>
      </w:r>
      <w:r w:rsidR="002D658F" w:rsidRPr="003E3291">
        <w:rPr>
          <w:kern w:val="2"/>
          <w14:ligatures w14:val="standardContextual"/>
        </w:rPr>
        <w:t xml:space="preserve"> </w:t>
      </w:r>
      <w:r w:rsidR="00CE26A7" w:rsidRPr="003E3291">
        <w:rPr>
          <w:kern w:val="2"/>
          <w14:ligatures w14:val="standardContextual"/>
        </w:rPr>
        <w:t>annual</w:t>
      </w:r>
      <w:r w:rsidR="00CE26A7" w:rsidRPr="00D172D3">
        <w:rPr>
          <w:kern w:val="2"/>
          <w14:ligatures w14:val="standardContextual"/>
        </w:rPr>
        <w:t xml:space="preserve"> </w:t>
      </w:r>
      <w:r w:rsidR="002D658F" w:rsidRPr="00D172D3">
        <w:rPr>
          <w:kern w:val="2"/>
          <w14:ligatures w14:val="standardContextual"/>
        </w:rPr>
        <w:t>Student Residential</w:t>
      </w:r>
      <w:r w:rsidRPr="00D172D3">
        <w:rPr>
          <w:kern w:val="2"/>
          <w14:ligatures w14:val="standardContextual"/>
        </w:rPr>
        <w:t xml:space="preserve"> Address </w:t>
      </w:r>
      <w:r w:rsidR="002D658F" w:rsidRPr="00D172D3">
        <w:rPr>
          <w:kern w:val="2"/>
          <w14:ligatures w14:val="standardContextual"/>
        </w:rPr>
        <w:t xml:space="preserve">and Other Information </w:t>
      </w:r>
      <w:r w:rsidRPr="00D172D3">
        <w:rPr>
          <w:kern w:val="2"/>
          <w14:ligatures w14:val="standardContextual"/>
        </w:rPr>
        <w:t>Collection</w:t>
      </w:r>
      <w:r w:rsidR="002D658F" w:rsidRPr="00D172D3">
        <w:rPr>
          <w:kern w:val="2"/>
          <w14:ligatures w14:val="standardContextual"/>
        </w:rPr>
        <w:t xml:space="preserve"> (the Address Collection)</w:t>
      </w:r>
      <w:r w:rsidR="000735D7" w:rsidRPr="00D172D3">
        <w:rPr>
          <w:kern w:val="2"/>
          <w14:ligatures w14:val="standardContextual"/>
        </w:rPr>
        <w:t>.</w:t>
      </w:r>
    </w:p>
    <w:p w14:paraId="655F5AB9" w14:textId="04581167" w:rsidR="006F0E45" w:rsidRPr="006F0E45" w:rsidRDefault="000735D7" w:rsidP="00205448">
      <w:pPr>
        <w:rPr>
          <w:rFonts w:ascii="Calibri" w:eastAsia="Calibri" w:hAnsi="Calibri" w:cs="Times New Roman"/>
        </w:rPr>
      </w:pPr>
      <w:r w:rsidRPr="00D172D3">
        <w:rPr>
          <w:kern w:val="2"/>
          <w14:ligatures w14:val="standardContextual"/>
        </w:rPr>
        <w:t xml:space="preserve">The DMI score calculation uses </w:t>
      </w:r>
      <w:r w:rsidR="006F0E45" w:rsidRPr="006F0E45">
        <w:rPr>
          <w:rFonts w:ascii="Calibri" w:eastAsia="Calibri" w:hAnsi="Calibri" w:cs="Times New Roman"/>
        </w:rPr>
        <w:t>the Address Collection data to link parent and guardian names and address</w:t>
      </w:r>
      <w:r w:rsidR="002C7B1F">
        <w:rPr>
          <w:rFonts w:ascii="Calibri" w:eastAsia="Calibri" w:hAnsi="Calibri" w:cs="Times New Roman"/>
        </w:rPr>
        <w:t>es</w:t>
      </w:r>
      <w:r w:rsidR="006F0E45" w:rsidRPr="006F0E45">
        <w:rPr>
          <w:rFonts w:ascii="Calibri" w:eastAsia="Calibri" w:hAnsi="Calibri" w:cs="Times New Roman"/>
        </w:rPr>
        <w:t xml:space="preserve"> to</w:t>
      </w:r>
      <w:r w:rsidR="00E6220A">
        <w:rPr>
          <w:rFonts w:ascii="Calibri" w:eastAsia="Calibri" w:hAnsi="Calibri" w:cs="Times New Roman"/>
        </w:rPr>
        <w:t xml:space="preserve"> de-identified</w:t>
      </w:r>
      <w:r w:rsidR="006F0E45" w:rsidRPr="006F0E45">
        <w:rPr>
          <w:rFonts w:ascii="Calibri" w:eastAsia="Calibri" w:hAnsi="Calibri" w:cs="Times New Roman"/>
        </w:rPr>
        <w:t xml:space="preserve"> </w:t>
      </w:r>
      <w:r w:rsidRPr="00D172D3">
        <w:rPr>
          <w:kern w:val="2"/>
          <w14:ligatures w14:val="standardContextual"/>
        </w:rPr>
        <w:t>i</w:t>
      </w:r>
      <w:r w:rsidR="00DF65DC" w:rsidRPr="00D172D3">
        <w:rPr>
          <w:kern w:val="2"/>
          <w14:ligatures w14:val="standardContextual"/>
        </w:rPr>
        <w:t xml:space="preserve">ncome tax data </w:t>
      </w:r>
      <w:r w:rsidR="006F0E45" w:rsidRPr="006F0E45">
        <w:rPr>
          <w:rFonts w:ascii="Calibri" w:eastAsia="Calibri" w:hAnsi="Calibri" w:cs="Times New Roman"/>
        </w:rPr>
        <w:t>and other data</w:t>
      </w:r>
      <w:r w:rsidR="00DF65DC" w:rsidRPr="003E3291">
        <w:rPr>
          <w:kern w:val="2"/>
          <w14:ligatures w14:val="standardContextual"/>
        </w:rPr>
        <w:t xml:space="preserve"> in the Centrelink Administrative Dataset </w:t>
      </w:r>
      <w:r w:rsidR="001006BA">
        <w:rPr>
          <w:kern w:val="2"/>
          <w14:ligatures w14:val="standardContextual"/>
        </w:rPr>
        <w:t>through</w:t>
      </w:r>
      <w:r w:rsidR="001006BA" w:rsidRPr="003E3291">
        <w:rPr>
          <w:kern w:val="2"/>
          <w14:ligatures w14:val="standardContextual"/>
        </w:rPr>
        <w:t xml:space="preserve"> </w:t>
      </w:r>
      <w:r w:rsidR="00DF65DC" w:rsidRPr="003E3291">
        <w:rPr>
          <w:kern w:val="2"/>
          <w14:ligatures w14:val="standardContextual"/>
        </w:rPr>
        <w:t xml:space="preserve">the </w:t>
      </w:r>
      <w:r w:rsidR="009913A9" w:rsidRPr="003E3291">
        <w:rPr>
          <w:kern w:val="2"/>
          <w14:ligatures w14:val="standardContextual"/>
        </w:rPr>
        <w:t xml:space="preserve">Person Level Integrated Data Asset (PLIDA) </w:t>
      </w:r>
      <w:r w:rsidR="00DF65DC" w:rsidRPr="003E3291">
        <w:rPr>
          <w:kern w:val="2"/>
          <w14:ligatures w14:val="standardContextual"/>
        </w:rPr>
        <w:t>dataset</w:t>
      </w:r>
      <w:r w:rsidR="006F0E45" w:rsidRPr="006F0E45">
        <w:rPr>
          <w:rFonts w:ascii="Calibri" w:eastAsia="Calibri" w:hAnsi="Calibri" w:cs="Times New Roman"/>
        </w:rPr>
        <w:t>.</w:t>
      </w:r>
      <w:r w:rsidR="00E6220A">
        <w:rPr>
          <w:rFonts w:ascii="Calibri" w:eastAsia="Calibri" w:hAnsi="Calibri" w:cs="Times New Roman"/>
        </w:rPr>
        <w:t xml:space="preserve"> </w:t>
      </w:r>
    </w:p>
    <w:p w14:paraId="7940BBE8" w14:textId="40537CC6" w:rsidR="00205448" w:rsidRPr="00D172D3" w:rsidRDefault="006F0E45" w:rsidP="003E3291">
      <w:pPr>
        <w:rPr>
          <w:kern w:val="2"/>
          <w14:ligatures w14:val="standardContextual"/>
        </w:rPr>
      </w:pPr>
      <w:r w:rsidRPr="006F0E45">
        <w:rPr>
          <w:rFonts w:ascii="Calibri" w:eastAsia="Calibri" w:hAnsi="Calibri" w:cs="Times New Roman"/>
        </w:rPr>
        <w:t>The PLIDA dataset includes</w:t>
      </w:r>
      <w:r w:rsidRPr="00D172D3">
        <w:rPr>
          <w:rFonts w:ascii="Calibri" w:hAnsi="Calibri"/>
        </w:rPr>
        <w:t xml:space="preserve"> Australian Government payment and earning amounts and concession card information</w:t>
      </w:r>
      <w:r w:rsidRPr="006F0E45">
        <w:rPr>
          <w:rFonts w:ascii="Calibri" w:eastAsia="Calibri" w:hAnsi="Calibri" w:cs="Times New Roman"/>
        </w:rPr>
        <w:t>.</w:t>
      </w:r>
      <w:r w:rsidR="008815D9" w:rsidRPr="00D172D3">
        <w:rPr>
          <w:kern w:val="2"/>
          <w14:ligatures w14:val="standardContextual"/>
        </w:rPr>
        <w:t xml:space="preserve"> T</w:t>
      </w:r>
      <w:r w:rsidR="00DF65DC" w:rsidRPr="00D172D3">
        <w:rPr>
          <w:kern w:val="2"/>
          <w14:ligatures w14:val="standardContextual"/>
        </w:rPr>
        <w:t xml:space="preserve">his </w:t>
      </w:r>
      <w:r w:rsidR="008815D9" w:rsidRPr="00D172D3">
        <w:rPr>
          <w:kern w:val="2"/>
          <w14:ligatures w14:val="standardContextual"/>
        </w:rPr>
        <w:t>means</w:t>
      </w:r>
      <w:r w:rsidR="00DF65DC" w:rsidRPr="00D172D3">
        <w:rPr>
          <w:kern w:val="2"/>
          <w14:ligatures w14:val="standardContextual"/>
        </w:rPr>
        <w:t xml:space="preserve"> low-income parents on concession cards</w:t>
      </w:r>
      <w:r w:rsidR="008815D9" w:rsidRPr="00D172D3">
        <w:rPr>
          <w:kern w:val="2"/>
          <w14:ligatures w14:val="standardContextual"/>
        </w:rPr>
        <w:t xml:space="preserve"> are likely</w:t>
      </w:r>
      <w:r w:rsidR="00DF65DC" w:rsidRPr="00D172D3">
        <w:rPr>
          <w:kern w:val="2"/>
          <w14:ligatures w14:val="standardContextual"/>
        </w:rPr>
        <w:t xml:space="preserve"> to be included in the</w:t>
      </w:r>
      <w:r w:rsidR="008815D9" w:rsidRPr="00D172D3">
        <w:rPr>
          <w:kern w:val="2"/>
          <w14:ligatures w14:val="standardContextual"/>
        </w:rPr>
        <w:t>ir school’s</w:t>
      </w:r>
      <w:r w:rsidR="00DF65DC" w:rsidRPr="00D172D3">
        <w:rPr>
          <w:kern w:val="2"/>
          <w14:ligatures w14:val="standardContextual"/>
        </w:rPr>
        <w:t xml:space="preserve"> DMI</w:t>
      </w:r>
      <w:r w:rsidR="00C40BBC" w:rsidRPr="00D172D3">
        <w:rPr>
          <w:kern w:val="2"/>
          <w14:ligatures w14:val="standardContextual"/>
        </w:rPr>
        <w:t> </w:t>
      </w:r>
      <w:r w:rsidR="008815D9" w:rsidRPr="00D172D3">
        <w:rPr>
          <w:kern w:val="2"/>
          <w14:ligatures w14:val="standardContextual"/>
        </w:rPr>
        <w:t>score calculation</w:t>
      </w:r>
      <w:r w:rsidR="00DF65DC" w:rsidRPr="00D172D3">
        <w:rPr>
          <w:kern w:val="2"/>
          <w14:ligatures w14:val="standardContextual"/>
        </w:rPr>
        <w:t>. Where the exact income of these parents is not known, the</w:t>
      </w:r>
      <w:r w:rsidR="008815D9" w:rsidRPr="00D172D3">
        <w:rPr>
          <w:kern w:val="2"/>
          <w14:ligatures w14:val="standardContextual"/>
        </w:rPr>
        <w:t>y</w:t>
      </w:r>
      <w:r w:rsidR="00DF65DC" w:rsidRPr="00D172D3">
        <w:rPr>
          <w:kern w:val="2"/>
          <w14:ligatures w14:val="standardContextual"/>
        </w:rPr>
        <w:t xml:space="preserve"> </w:t>
      </w:r>
      <w:r w:rsidR="008815D9" w:rsidRPr="00D172D3">
        <w:rPr>
          <w:kern w:val="2"/>
          <w14:ligatures w14:val="standardContextual"/>
        </w:rPr>
        <w:t xml:space="preserve">are </w:t>
      </w:r>
      <w:r w:rsidR="00DF65DC" w:rsidRPr="00D172D3">
        <w:rPr>
          <w:kern w:val="2"/>
          <w14:ligatures w14:val="standardContextual"/>
        </w:rPr>
        <w:t xml:space="preserve">assigned a zero income and included in the income distribution for the school, improving coverage of the DMI. </w:t>
      </w:r>
    </w:p>
    <w:p w14:paraId="35163CEA" w14:textId="77777777" w:rsidR="007E11EB" w:rsidRPr="003E3291" w:rsidRDefault="007E11EB" w:rsidP="007E11EB">
      <w:pPr>
        <w:rPr>
          <w:rFonts w:cstheme="minorHAnsi"/>
          <w:kern w:val="2"/>
          <w14:ligatures w14:val="standardContextual"/>
        </w:rPr>
      </w:pPr>
      <w:r w:rsidRPr="00205448">
        <w:rPr>
          <w:rFonts w:ascii="Calibri" w:eastAsia="Calibri" w:hAnsi="Calibri" w:cs="Times New Roman"/>
        </w:rPr>
        <w:t>The data used to work out DMI scores for schools is confidential and can only be accessed by authorised officers in the ABS Secure Research Environment (</w:t>
      </w:r>
      <w:proofErr w:type="spellStart"/>
      <w:r w:rsidRPr="00205448">
        <w:rPr>
          <w:rFonts w:ascii="Calibri" w:eastAsia="Calibri" w:hAnsi="Calibri" w:cs="Times New Roman"/>
        </w:rPr>
        <w:t>DataLab</w:t>
      </w:r>
      <w:proofErr w:type="spellEnd"/>
      <w:r w:rsidRPr="00205448">
        <w:rPr>
          <w:rFonts w:ascii="Calibri" w:eastAsia="Calibri" w:hAnsi="Calibri" w:cs="Times New Roman"/>
        </w:rPr>
        <w:t>)</w:t>
      </w:r>
      <w:r>
        <w:rPr>
          <w:rFonts w:ascii="Calibri" w:eastAsia="Calibri" w:hAnsi="Calibri" w:cs="Times New Roman"/>
        </w:rPr>
        <w:t>.</w:t>
      </w:r>
    </w:p>
    <w:p w14:paraId="60289600" w14:textId="77777777" w:rsidR="001006BA" w:rsidRPr="006F0E45" w:rsidRDefault="001006BA" w:rsidP="001006BA">
      <w:pPr>
        <w:rPr>
          <w:rFonts w:ascii="Calibri" w:eastAsia="Calibri" w:hAnsi="Calibri" w:cs="Times New Roman"/>
        </w:rPr>
      </w:pPr>
      <w:r w:rsidRPr="006F0E45">
        <w:rPr>
          <w:rFonts w:ascii="Calibri" w:eastAsia="Calibri" w:hAnsi="Calibri" w:cs="Times New Roman"/>
        </w:rPr>
        <w:t xml:space="preserve">More information about the DMI methodology can be found at: </w:t>
      </w:r>
      <w:hyperlink r:id="rId18" w:history="1">
        <w:r w:rsidRPr="006F0E45">
          <w:rPr>
            <w:rFonts w:ascii="Calibri" w:eastAsia="Calibri" w:hAnsi="Calibri" w:cs="Times New Roman"/>
            <w:color w:val="7F4594"/>
            <w:u w:val="single"/>
          </w:rPr>
          <w:t>www.education.gov.au/recurrent-funding-schools/resources/direct-measure-income-dmi-methodology</w:t>
        </w:r>
      </w:hyperlink>
      <w:r w:rsidRPr="006F0E45">
        <w:rPr>
          <w:rFonts w:ascii="Calibri" w:eastAsia="Calibri" w:hAnsi="Calibri" w:cs="Times New Roman"/>
        </w:rPr>
        <w:t>.</w:t>
      </w:r>
    </w:p>
    <w:p w14:paraId="74D003DD" w14:textId="41EAC7A6" w:rsidR="008815D9" w:rsidRPr="00D172D3" w:rsidRDefault="008815D9" w:rsidP="003E3291">
      <w:pPr>
        <w:pStyle w:val="Heading4"/>
      </w:pPr>
      <w:bookmarkStart w:id="21" w:name="_Toc172811549"/>
      <w:bookmarkStart w:id="22" w:name="_Toc173913181"/>
      <w:bookmarkStart w:id="23" w:name="_Toc129701968"/>
      <w:r w:rsidRPr="00D172D3">
        <w:t xml:space="preserve">RAB </w:t>
      </w:r>
      <w:r w:rsidR="00722214" w:rsidRPr="00D172D3">
        <w:t>score</w:t>
      </w:r>
      <w:bookmarkEnd w:id="21"/>
      <w:bookmarkEnd w:id="22"/>
      <w:bookmarkEnd w:id="23"/>
    </w:p>
    <w:p w14:paraId="7A1EBE3F" w14:textId="724D7A68" w:rsidR="00FD296D" w:rsidRPr="00D172D3" w:rsidRDefault="00FD296D" w:rsidP="003E3291">
      <w:pPr>
        <w:rPr>
          <w:kern w:val="2"/>
          <w14:ligatures w14:val="standardContextual"/>
        </w:rPr>
      </w:pPr>
      <w:r w:rsidRPr="00D172D3">
        <w:rPr>
          <w:kern w:val="2"/>
          <w14:ligatures w14:val="standardContextual"/>
        </w:rPr>
        <w:t xml:space="preserve">If the DMI methodology cannot be used for a reason specified in the </w:t>
      </w:r>
      <w:r w:rsidRPr="003E3291">
        <w:rPr>
          <w:kern w:val="2"/>
          <w14:ligatures w14:val="standardContextual"/>
        </w:rPr>
        <w:t>Regulation</w:t>
      </w:r>
      <w:r w:rsidR="00E729F5" w:rsidRPr="003E3291">
        <w:rPr>
          <w:kern w:val="2"/>
          <w14:ligatures w14:val="standardContextual"/>
        </w:rPr>
        <w:t>s</w:t>
      </w:r>
      <w:r w:rsidRPr="003E3291">
        <w:rPr>
          <w:kern w:val="2"/>
          <w14:ligatures w14:val="standardContextual"/>
        </w:rPr>
        <w:t xml:space="preserve">, </w:t>
      </w:r>
      <w:r w:rsidR="006F0E45" w:rsidRPr="006F0E45">
        <w:rPr>
          <w:rFonts w:ascii="Calibri" w:eastAsia="Calibri" w:hAnsi="Calibri" w:cs="Times New Roman"/>
        </w:rPr>
        <w:t>the Regulations require</w:t>
      </w:r>
      <w:r w:rsidR="006F0E45" w:rsidRPr="00D172D3">
        <w:rPr>
          <w:rFonts w:ascii="Calibri" w:hAnsi="Calibri"/>
        </w:rPr>
        <w:t xml:space="preserve"> </w:t>
      </w:r>
      <w:r w:rsidRPr="00D172D3">
        <w:rPr>
          <w:kern w:val="2"/>
          <w14:ligatures w14:val="standardContextual"/>
        </w:rPr>
        <w:t xml:space="preserve">a RAB score </w:t>
      </w:r>
      <w:r w:rsidR="006F0E45" w:rsidRPr="006F0E45">
        <w:rPr>
          <w:rFonts w:ascii="Calibri" w:eastAsia="Calibri" w:hAnsi="Calibri" w:cs="Times New Roman"/>
        </w:rPr>
        <w:t>to</w:t>
      </w:r>
      <w:r w:rsidRPr="00D172D3">
        <w:rPr>
          <w:kern w:val="2"/>
          <w14:ligatures w14:val="standardContextual"/>
        </w:rPr>
        <w:t xml:space="preserve"> be used.</w:t>
      </w:r>
      <w:r w:rsidR="006F0E45" w:rsidRPr="006F0E45">
        <w:rPr>
          <w:rFonts w:ascii="Calibri" w:eastAsia="Calibri" w:hAnsi="Calibri" w:cs="Times New Roman"/>
          <w:vertAlign w:val="superscript"/>
        </w:rPr>
        <w:footnoteReference w:id="5"/>
      </w:r>
      <w:r w:rsidR="009E46AE" w:rsidRPr="00D172D3">
        <w:rPr>
          <w:kern w:val="2"/>
          <w14:ligatures w14:val="standardContextual"/>
        </w:rPr>
        <w:t xml:space="preserve"> A school’s RAB score is based on family and household income information of the </w:t>
      </w:r>
      <w:r w:rsidR="007C54AC" w:rsidRPr="00D172D3">
        <w:rPr>
          <w:kern w:val="2"/>
          <w14:ligatures w14:val="standardContextual"/>
        </w:rPr>
        <w:t>S</w:t>
      </w:r>
      <w:r w:rsidR="002D658F" w:rsidRPr="00D172D3">
        <w:rPr>
          <w:kern w:val="2"/>
          <w14:ligatures w14:val="standardContextual"/>
        </w:rPr>
        <w:t>tatistical Area</w:t>
      </w:r>
      <w:r w:rsidR="00D81461" w:rsidRPr="00D172D3">
        <w:rPr>
          <w:kern w:val="2"/>
          <w14:ligatures w14:val="standardContextual"/>
        </w:rPr>
        <w:t xml:space="preserve"> Level </w:t>
      </w:r>
      <w:r w:rsidR="002D658F" w:rsidRPr="00D172D3">
        <w:rPr>
          <w:kern w:val="2"/>
          <w14:ligatures w14:val="standardContextual"/>
        </w:rPr>
        <w:t>1</w:t>
      </w:r>
      <w:r w:rsidR="00D81461" w:rsidRPr="00D172D3">
        <w:rPr>
          <w:kern w:val="2"/>
          <w14:ligatures w14:val="standardContextual"/>
        </w:rPr>
        <w:t>s</w:t>
      </w:r>
      <w:r w:rsidR="002D658F" w:rsidRPr="00D172D3">
        <w:rPr>
          <w:kern w:val="2"/>
          <w14:ligatures w14:val="standardContextual"/>
        </w:rPr>
        <w:t xml:space="preserve"> (SA1s)</w:t>
      </w:r>
      <w:r w:rsidR="009E46AE" w:rsidRPr="00D172D3">
        <w:rPr>
          <w:kern w:val="2"/>
          <w14:ligatures w14:val="standardContextual"/>
        </w:rPr>
        <w:t xml:space="preserve"> where parents and guardians of </w:t>
      </w:r>
      <w:r w:rsidR="002D658F" w:rsidRPr="00D172D3">
        <w:rPr>
          <w:kern w:val="2"/>
          <w14:ligatures w14:val="standardContextual"/>
        </w:rPr>
        <w:t xml:space="preserve">the </w:t>
      </w:r>
      <w:r w:rsidR="009E46AE" w:rsidRPr="00D172D3">
        <w:rPr>
          <w:kern w:val="2"/>
          <w14:ligatures w14:val="standardContextual"/>
        </w:rPr>
        <w:t xml:space="preserve">students at a school live. The data used is from the </w:t>
      </w:r>
      <w:r w:rsidR="00D25F7A" w:rsidRPr="00D172D3">
        <w:rPr>
          <w:kern w:val="2"/>
          <w14:ligatures w14:val="standardContextual"/>
        </w:rPr>
        <w:t>2021</w:t>
      </w:r>
      <w:r w:rsidR="009E46AE" w:rsidRPr="00D172D3">
        <w:rPr>
          <w:kern w:val="2"/>
          <w14:ligatures w14:val="standardContextual"/>
        </w:rPr>
        <w:t xml:space="preserve"> ABS Census of Population and Housing data combined with the latest available statement of addresses from the Address Collection completed by a school’s approved authority each year</w:t>
      </w:r>
      <w:r w:rsidR="00D25F7A" w:rsidRPr="00D172D3">
        <w:rPr>
          <w:kern w:val="2"/>
          <w14:ligatures w14:val="standardContextual"/>
        </w:rPr>
        <w:t>.</w:t>
      </w:r>
      <w:r w:rsidR="00DF65DC" w:rsidRPr="00D172D3">
        <w:rPr>
          <w:kern w:val="2"/>
          <w14:ligatures w14:val="standardContextual"/>
        </w:rPr>
        <w:t xml:space="preserve"> </w:t>
      </w:r>
      <w:r w:rsidR="006F0E45" w:rsidRPr="006F0E45">
        <w:rPr>
          <w:rFonts w:ascii="Calibri" w:eastAsia="Calibri" w:hAnsi="Calibri" w:cs="Times New Roman"/>
        </w:rPr>
        <w:t>For example, a school’s 2024 RAB-based CTC score is calculated using data from the school’s 2023 Address Collection.</w:t>
      </w:r>
    </w:p>
    <w:p w14:paraId="39CB1D26" w14:textId="74315857" w:rsidR="008815D9" w:rsidRPr="00D172D3" w:rsidRDefault="008815D9" w:rsidP="003E3291">
      <w:pPr>
        <w:pStyle w:val="Heading4"/>
      </w:pPr>
      <w:bookmarkStart w:id="24" w:name="_Toc172811550"/>
      <w:bookmarkStart w:id="25" w:name="_Toc173913182"/>
      <w:bookmarkStart w:id="26" w:name="_Toc129701969"/>
      <w:r w:rsidRPr="00D172D3">
        <w:lastRenderedPageBreak/>
        <w:t>Other methodologies</w:t>
      </w:r>
      <w:bookmarkEnd w:id="24"/>
      <w:bookmarkEnd w:id="25"/>
      <w:bookmarkEnd w:id="26"/>
    </w:p>
    <w:p w14:paraId="69F78B4B" w14:textId="191A6372" w:rsidR="00BC78F1" w:rsidRPr="00D172D3" w:rsidRDefault="00BC78F1" w:rsidP="003E3291">
      <w:pPr>
        <w:rPr>
          <w:kern w:val="2"/>
          <w14:ligatures w14:val="standardContextual"/>
        </w:rPr>
      </w:pPr>
      <w:r w:rsidRPr="00D172D3">
        <w:rPr>
          <w:kern w:val="2"/>
          <w14:ligatures w14:val="standardContextual"/>
        </w:rPr>
        <w:t xml:space="preserve">If the Minister (or delegate) believes using a method </w:t>
      </w:r>
      <w:r w:rsidR="006F0E45" w:rsidRPr="006F0E45">
        <w:rPr>
          <w:rFonts w:ascii="Calibri" w:eastAsia="Calibri" w:hAnsi="Calibri" w:cs="Times New Roman"/>
        </w:rPr>
        <w:t>included in</w:t>
      </w:r>
      <w:r w:rsidR="005604FB" w:rsidRPr="00D172D3">
        <w:rPr>
          <w:kern w:val="2"/>
          <w14:ligatures w14:val="standardContextual"/>
        </w:rPr>
        <w:t xml:space="preserve"> </w:t>
      </w:r>
      <w:r w:rsidRPr="00D172D3">
        <w:rPr>
          <w:kern w:val="2"/>
          <w14:ligatures w14:val="standardContextual"/>
        </w:rPr>
        <w:t xml:space="preserve">the </w:t>
      </w:r>
      <w:r w:rsidRPr="003E3291">
        <w:rPr>
          <w:kern w:val="2"/>
          <w14:ligatures w14:val="standardContextual"/>
        </w:rPr>
        <w:t>Regulation</w:t>
      </w:r>
      <w:r w:rsidR="00E729F5" w:rsidRPr="003E3291">
        <w:rPr>
          <w:kern w:val="2"/>
          <w14:ligatures w14:val="standardContextual"/>
        </w:rPr>
        <w:t>s</w:t>
      </w:r>
      <w:r w:rsidRPr="00D172D3">
        <w:rPr>
          <w:kern w:val="2"/>
          <w14:ligatures w14:val="standardContextual"/>
        </w:rPr>
        <w:t xml:space="preserve"> would result in an inaccurate CTC score, </w:t>
      </w:r>
      <w:r w:rsidR="006F0E45" w:rsidRPr="006F0E45">
        <w:rPr>
          <w:rFonts w:ascii="Calibri" w:eastAsia="Calibri" w:hAnsi="Calibri" w:cs="Times New Roman"/>
        </w:rPr>
        <w:t>an alternative</w:t>
      </w:r>
      <w:r w:rsidRPr="00D172D3">
        <w:rPr>
          <w:kern w:val="2"/>
          <w14:ligatures w14:val="standardContextual"/>
        </w:rPr>
        <w:t xml:space="preserve"> method can be used.</w:t>
      </w:r>
      <w:r w:rsidRPr="00D172D3">
        <w:rPr>
          <w:rStyle w:val="FootnoteReference"/>
          <w:kern w:val="2"/>
          <w14:ligatures w14:val="standardContextual"/>
        </w:rPr>
        <w:footnoteReference w:id="6"/>
      </w:r>
      <w:r w:rsidRPr="00D172D3">
        <w:rPr>
          <w:kern w:val="2"/>
          <w14:ligatures w14:val="standardContextual"/>
        </w:rPr>
        <w:t xml:space="preserve"> A CTC score calculated using </w:t>
      </w:r>
      <w:r w:rsidR="0005336F" w:rsidRPr="00D172D3">
        <w:rPr>
          <w:kern w:val="2"/>
          <w14:ligatures w14:val="standardContextual"/>
        </w:rPr>
        <w:t xml:space="preserve">an alternative </w:t>
      </w:r>
      <w:r w:rsidRPr="00D172D3">
        <w:rPr>
          <w:kern w:val="2"/>
          <w14:ligatures w14:val="standardContextual"/>
        </w:rPr>
        <w:t xml:space="preserve">method is known as a ‘deemed’ score. </w:t>
      </w:r>
      <w:bookmarkStart w:id="27" w:name="_Toc110520287"/>
    </w:p>
    <w:p w14:paraId="195C487E" w14:textId="27EA7E2F" w:rsidR="00BC78F1" w:rsidRPr="003E3291" w:rsidRDefault="00BC78F1" w:rsidP="00B14ADF">
      <w:pPr>
        <w:pStyle w:val="Heading2"/>
      </w:pPr>
      <w:bookmarkStart w:id="28" w:name="_Toc173913183"/>
      <w:bookmarkStart w:id="29" w:name="_Toc129701970"/>
      <w:r w:rsidRPr="003E3291">
        <w:t xml:space="preserve">Applying for a CTC </w:t>
      </w:r>
      <w:r w:rsidRPr="00C213BC">
        <w:t>score</w:t>
      </w:r>
      <w:r w:rsidRPr="003E3291">
        <w:t xml:space="preserve"> review</w:t>
      </w:r>
      <w:bookmarkEnd w:id="27"/>
      <w:bookmarkEnd w:id="28"/>
      <w:bookmarkEnd w:id="29"/>
    </w:p>
    <w:p w14:paraId="0455C98B" w14:textId="77777777" w:rsidR="00BC78F1" w:rsidRPr="00D172D3" w:rsidRDefault="00BC78F1" w:rsidP="00B14ADF">
      <w:pPr>
        <w:pStyle w:val="Heading3"/>
        <w:rPr>
          <w:color w:val="auto"/>
          <w:sz w:val="22"/>
        </w:rPr>
      </w:pPr>
      <w:bookmarkStart w:id="30" w:name="_RAB_score"/>
      <w:bookmarkStart w:id="31" w:name="_Toc110520288"/>
      <w:bookmarkStart w:id="32" w:name="_Toc173913184"/>
      <w:bookmarkStart w:id="33" w:name="_Toc129701971"/>
      <w:bookmarkEnd w:id="30"/>
      <w:r w:rsidRPr="003E3291">
        <w:t>When can I apply for a CTC score review?</w:t>
      </w:r>
      <w:bookmarkEnd w:id="31"/>
      <w:bookmarkEnd w:id="32"/>
      <w:bookmarkEnd w:id="33"/>
    </w:p>
    <w:p w14:paraId="6A217CB6" w14:textId="290DB1D4" w:rsidR="00BC78F1" w:rsidRPr="00D172D3" w:rsidRDefault="00BC78F1" w:rsidP="003E3291">
      <w:pPr>
        <w:rPr>
          <w:kern w:val="2"/>
          <w14:ligatures w14:val="standardContextual"/>
        </w:rPr>
      </w:pPr>
      <w:r w:rsidRPr="00D172D3">
        <w:rPr>
          <w:kern w:val="2"/>
          <w14:ligatures w14:val="standardContextual"/>
        </w:rPr>
        <w:t>CTC scores for schools are based on the most appropriate available data</w:t>
      </w:r>
      <w:r w:rsidR="00DC7B0F" w:rsidRPr="00D172D3">
        <w:rPr>
          <w:kern w:val="2"/>
          <w14:ligatures w14:val="standardContextual"/>
        </w:rPr>
        <w:t>. They are</w:t>
      </w:r>
      <w:r w:rsidRPr="00D172D3">
        <w:rPr>
          <w:kern w:val="2"/>
          <w14:ligatures w14:val="standardContextual"/>
        </w:rPr>
        <w:t xml:space="preserve"> an accurate measure of capacity to contribute for most schools.</w:t>
      </w:r>
    </w:p>
    <w:p w14:paraId="21BA3A32" w14:textId="7295B06C" w:rsidR="00BC78F1" w:rsidRPr="00D172D3" w:rsidRDefault="00BC78F1" w:rsidP="003E3291">
      <w:pPr>
        <w:rPr>
          <w:kern w:val="2"/>
          <w14:ligatures w14:val="standardContextual"/>
        </w:rPr>
      </w:pPr>
      <w:r w:rsidRPr="00D172D3">
        <w:rPr>
          <w:kern w:val="2"/>
          <w14:ligatures w14:val="standardContextual"/>
        </w:rPr>
        <w:t>If, however, an approved authority for a school believes its school’s CTC score is not accurate, and has evidence to support its case, it can apply to the department for a review of that score</w:t>
      </w:r>
      <w:r w:rsidR="006F0E45" w:rsidRPr="006F0E45">
        <w:rPr>
          <w:rFonts w:ascii="Calibri" w:eastAsia="Calibri" w:hAnsi="Calibri" w:cs="Times New Roman"/>
        </w:rPr>
        <w:t>.</w:t>
      </w:r>
      <w:r w:rsidRPr="00D172D3">
        <w:rPr>
          <w:rStyle w:val="FootnoteReference"/>
          <w:kern w:val="2"/>
          <w14:ligatures w14:val="standardContextual"/>
        </w:rPr>
        <w:footnoteReference w:id="7"/>
      </w:r>
    </w:p>
    <w:p w14:paraId="00574F1C" w14:textId="739E1B17" w:rsidR="00BC78F1" w:rsidRPr="00D172D3" w:rsidRDefault="00BC78F1" w:rsidP="003E3291">
      <w:pPr>
        <w:rPr>
          <w:kern w:val="2"/>
          <w14:ligatures w14:val="standardContextual"/>
        </w:rPr>
      </w:pPr>
      <w:r w:rsidRPr="00D172D3">
        <w:rPr>
          <w:kern w:val="2"/>
          <w14:ligatures w14:val="standardContextual"/>
        </w:rPr>
        <w:t>An approved authority can apply for a review of its school’s CTC score at any time.</w:t>
      </w:r>
      <w:r w:rsidRPr="00D172D3">
        <w:rPr>
          <w:rFonts w:ascii="Calibri" w:hAnsi="Calibri"/>
          <w:kern w:val="2"/>
          <w14:ligatures w14:val="standardContextual"/>
        </w:rPr>
        <w:t xml:space="preserve"> </w:t>
      </w:r>
    </w:p>
    <w:p w14:paraId="30828877" w14:textId="77777777" w:rsidR="00BC78F1" w:rsidRPr="00D172D3" w:rsidRDefault="00BC78F1" w:rsidP="003D776C">
      <w:pPr>
        <w:spacing w:after="120"/>
        <w:rPr>
          <w:kern w:val="2"/>
          <w14:ligatures w14:val="standardContextual"/>
        </w:rPr>
      </w:pPr>
      <w:r w:rsidRPr="00D172D3">
        <w:rPr>
          <w:kern w:val="2"/>
          <w14:ligatures w14:val="standardContextual"/>
        </w:rPr>
        <w:t xml:space="preserve">When deciding whether to apply for a CTC score review, an approved authority must consider the following: </w:t>
      </w:r>
    </w:p>
    <w:p w14:paraId="1ABA05EA" w14:textId="77777777" w:rsidR="00BC78F1" w:rsidRPr="003E3291" w:rsidRDefault="00BC78F1" w:rsidP="003E3291">
      <w:pPr>
        <w:pStyle w:val="ListBullet"/>
        <w:spacing w:after="120"/>
        <w:contextualSpacing w:val="0"/>
      </w:pPr>
      <w:r w:rsidRPr="003E3291">
        <w:t>The CTC score review process operates to assist a small number of schools in highly exceptional circumstances.</w:t>
      </w:r>
    </w:p>
    <w:p w14:paraId="6D81AB36" w14:textId="138224F0" w:rsidR="00BC78F1" w:rsidRPr="003E3291" w:rsidRDefault="00BC78F1" w:rsidP="003E3291">
      <w:pPr>
        <w:pStyle w:val="ListBullet"/>
        <w:spacing w:after="120"/>
        <w:contextualSpacing w:val="0"/>
      </w:pPr>
      <w:r w:rsidRPr="003E3291">
        <w:t xml:space="preserve">The CTC measure and the CTC score review process are not designed </w:t>
      </w:r>
      <w:r w:rsidR="00DB4933">
        <w:t>for the purpose of</w:t>
      </w:r>
      <w:r w:rsidRPr="003E3291">
        <w:t xml:space="preserve"> provid</w:t>
      </w:r>
      <w:r w:rsidR="00DB4933">
        <w:t>ing</w:t>
      </w:r>
      <w:r w:rsidRPr="003E3291">
        <w:t xml:space="preserve"> additional funding for a school to support a school’s financial viability.</w:t>
      </w:r>
    </w:p>
    <w:p w14:paraId="22922237" w14:textId="792276C9" w:rsidR="00BC78F1" w:rsidRPr="003E3291" w:rsidRDefault="00BC78F1" w:rsidP="003E3291">
      <w:pPr>
        <w:pStyle w:val="ListBullet"/>
      </w:pPr>
      <w:r w:rsidRPr="003E3291">
        <w:t>A CTC score is a relative measure – it provides a</w:t>
      </w:r>
      <w:r w:rsidR="007B5814">
        <w:t xml:space="preserve"> measure</w:t>
      </w:r>
      <w:r w:rsidRPr="003E3291">
        <w:t xml:space="preserve"> of the relative anticipated financial capacity of the persons responsible for students at a non-government school to contribute to the operating costs of that school</w:t>
      </w:r>
      <w:r w:rsidR="0017609D">
        <w:t xml:space="preserve"> re</w:t>
      </w:r>
      <w:r w:rsidR="0017609D" w:rsidRPr="0017609D">
        <w:t>lative to the capacity at other non-government schools</w:t>
      </w:r>
      <w:r w:rsidRPr="003E3291">
        <w:t xml:space="preserve">. </w:t>
      </w:r>
    </w:p>
    <w:p w14:paraId="47C3973A" w14:textId="77777777" w:rsidR="00BC78F1" w:rsidRPr="00D172D3" w:rsidRDefault="00BC78F1" w:rsidP="00B14ADF">
      <w:pPr>
        <w:pStyle w:val="Heading3"/>
        <w:rPr>
          <w:color w:val="auto"/>
          <w:sz w:val="22"/>
        </w:rPr>
      </w:pPr>
      <w:bookmarkStart w:id="34" w:name="_Toc110520289"/>
      <w:bookmarkStart w:id="35" w:name="_Toc173913185"/>
      <w:bookmarkStart w:id="36" w:name="_Toc129701972"/>
      <w:r w:rsidRPr="003E3291">
        <w:t xml:space="preserve">How do I apply </w:t>
      </w:r>
      <w:r w:rsidRPr="00C213BC">
        <w:t>for</w:t>
      </w:r>
      <w:r w:rsidRPr="003E3291">
        <w:t xml:space="preserve"> a CTC score review?</w:t>
      </w:r>
      <w:bookmarkEnd w:id="34"/>
      <w:bookmarkEnd w:id="35"/>
      <w:bookmarkEnd w:id="36"/>
    </w:p>
    <w:p w14:paraId="09FC0ACE" w14:textId="7FF8301C" w:rsidR="00BC78F1" w:rsidRPr="00D172D3" w:rsidRDefault="00BC78F1" w:rsidP="003E3291">
      <w:pPr>
        <w:rPr>
          <w:kern w:val="2"/>
          <w14:ligatures w14:val="standardContextual"/>
        </w:rPr>
      </w:pPr>
      <w:r w:rsidRPr="00D172D3">
        <w:rPr>
          <w:kern w:val="2"/>
          <w14:ligatures w14:val="standardContextual"/>
        </w:rPr>
        <w:t xml:space="preserve">Only the approved authority for a school can apply for a CTC score review. The review application must include the reason for the review (why the approved authority believes its school’s CTC score is not accurate) and supporting evidence. </w:t>
      </w:r>
    </w:p>
    <w:p w14:paraId="253746BF" w14:textId="3A33F7D4" w:rsidR="00BC78F1" w:rsidRPr="00D172D3" w:rsidRDefault="00BC78F1" w:rsidP="003E3291">
      <w:pPr>
        <w:rPr>
          <w:kern w:val="2"/>
          <w14:ligatures w14:val="standardContextual"/>
        </w:rPr>
      </w:pPr>
      <w:r w:rsidRPr="00D172D3">
        <w:rPr>
          <w:kern w:val="2"/>
          <w14:ligatures w14:val="standardContextual"/>
        </w:rPr>
        <w:t xml:space="preserve">Applications must be made using the </w:t>
      </w:r>
      <w:hyperlink r:id="rId19" w:history="1">
        <w:r w:rsidRPr="003E3291">
          <w:rPr>
            <w:rStyle w:val="Hyperlink"/>
            <w:kern w:val="2"/>
            <w14:ligatures w14:val="standardContextual"/>
          </w:rPr>
          <w:t>CTC score review application</w:t>
        </w:r>
      </w:hyperlink>
      <w:r w:rsidRPr="00D172D3">
        <w:rPr>
          <w:kern w:val="2"/>
          <w14:ligatures w14:val="standardContextual"/>
        </w:rPr>
        <w:t xml:space="preserve"> form</w:t>
      </w:r>
      <w:r w:rsidRPr="00D172D3">
        <w:rPr>
          <w:rStyle w:val="FootnoteReference"/>
          <w:kern w:val="2"/>
          <w14:ligatures w14:val="standardContextual"/>
        </w:rPr>
        <w:footnoteReference w:id="8"/>
      </w:r>
      <w:r w:rsidRPr="00D172D3">
        <w:rPr>
          <w:kern w:val="2"/>
          <w14:ligatures w14:val="standardContextual"/>
        </w:rPr>
        <w:t xml:space="preserve"> and submitted to the department, with </w:t>
      </w:r>
      <w:r w:rsidR="00FD7B35" w:rsidRPr="00D172D3">
        <w:rPr>
          <w:kern w:val="2"/>
          <w14:ligatures w14:val="standardContextual"/>
        </w:rPr>
        <w:t xml:space="preserve">all required </w:t>
      </w:r>
      <w:r w:rsidRPr="00D172D3">
        <w:rPr>
          <w:kern w:val="2"/>
          <w14:ligatures w14:val="standardContextual"/>
        </w:rPr>
        <w:t xml:space="preserve">supporting documentation, to: </w:t>
      </w:r>
      <w:hyperlink r:id="rId20" w:history="1">
        <w:r w:rsidRPr="00D172D3">
          <w:rPr>
            <w:rStyle w:val="Hyperlink"/>
            <w:kern w:val="2"/>
            <w14:ligatures w14:val="standardContextual"/>
          </w:rPr>
          <w:t>CTCReviews@education.gov.au</w:t>
        </w:r>
      </w:hyperlink>
      <w:r w:rsidRPr="00D172D3">
        <w:rPr>
          <w:kern w:val="2"/>
          <w14:ligatures w14:val="standardContextual"/>
        </w:rPr>
        <w:t xml:space="preserve"> or via post to: CTC Score Review Team, Department of Education, GPO Box 9880, Canberra ACT 2601.</w:t>
      </w:r>
    </w:p>
    <w:p w14:paraId="50A5920B" w14:textId="77777777" w:rsidR="00BC78F1" w:rsidRPr="00D172D3" w:rsidRDefault="00BC78F1" w:rsidP="00B14ADF">
      <w:pPr>
        <w:pStyle w:val="Heading3"/>
        <w:rPr>
          <w:color w:val="auto"/>
          <w:sz w:val="22"/>
        </w:rPr>
      </w:pPr>
      <w:bookmarkStart w:id="37" w:name="_Toc42680498"/>
      <w:bookmarkStart w:id="38" w:name="_Toc110520290"/>
      <w:bookmarkStart w:id="39" w:name="_Toc173913186"/>
      <w:bookmarkStart w:id="40" w:name="_Toc129701973"/>
      <w:r w:rsidRPr="003E3291">
        <w:lastRenderedPageBreak/>
        <w:t xml:space="preserve">What reasons </w:t>
      </w:r>
      <w:r w:rsidRPr="00C213BC">
        <w:t>and</w:t>
      </w:r>
      <w:r w:rsidRPr="003E3291">
        <w:t xml:space="preserve"> evidence </w:t>
      </w:r>
      <w:bookmarkEnd w:id="37"/>
      <w:r w:rsidRPr="003E3291">
        <w:t>do I need?</w:t>
      </w:r>
      <w:bookmarkEnd w:id="38"/>
      <w:bookmarkEnd w:id="39"/>
      <w:bookmarkEnd w:id="40"/>
    </w:p>
    <w:p w14:paraId="7AE07D65" w14:textId="49FB238C" w:rsidR="00BC78F1" w:rsidRPr="00D172D3" w:rsidRDefault="00BC78F1" w:rsidP="00270F7C">
      <w:pPr>
        <w:spacing w:after="120"/>
        <w:rPr>
          <w:kern w:val="2"/>
          <w14:ligatures w14:val="standardContextual"/>
        </w:rPr>
      </w:pPr>
      <w:bookmarkStart w:id="41" w:name="_Hlk103239827"/>
      <w:r w:rsidRPr="00D172D3">
        <w:rPr>
          <w:kern w:val="2"/>
          <w14:ligatures w14:val="standardContextual"/>
        </w:rPr>
        <w:t xml:space="preserve">The reasons for a CTC score review would generally fall under </w:t>
      </w:r>
      <w:r w:rsidR="008973DA">
        <w:rPr>
          <w:kern w:val="2"/>
          <w14:ligatures w14:val="standardContextual"/>
        </w:rPr>
        <w:t>5</w:t>
      </w:r>
      <w:r w:rsidRPr="003E3291">
        <w:rPr>
          <w:kern w:val="2"/>
          <w14:ligatures w14:val="standardContextual"/>
        </w:rPr>
        <w:t xml:space="preserve"> </w:t>
      </w:r>
      <w:r w:rsidRPr="00D172D3">
        <w:rPr>
          <w:kern w:val="2"/>
          <w14:ligatures w14:val="standardContextual"/>
        </w:rPr>
        <w:t>broad categories</w:t>
      </w:r>
      <w:r w:rsidR="008973DA">
        <w:rPr>
          <w:kern w:val="2"/>
          <w14:ligatures w14:val="standardContextual"/>
        </w:rPr>
        <w:t>. The following lists those categories and the types of CTC scores they apply to</w:t>
      </w:r>
      <w:r w:rsidRPr="003E3291">
        <w:rPr>
          <w:kern w:val="2"/>
          <w14:ligatures w14:val="standardContextual"/>
        </w:rPr>
        <w:t>:</w:t>
      </w:r>
    </w:p>
    <w:p w14:paraId="12DA0FD4" w14:textId="195393AA" w:rsidR="009E7239" w:rsidRPr="003E3291" w:rsidRDefault="005B5FD7" w:rsidP="003E3291">
      <w:pPr>
        <w:pStyle w:val="ListBullet"/>
        <w:spacing w:after="120"/>
        <w:contextualSpacing w:val="0"/>
      </w:pPr>
      <w:r w:rsidRPr="003E3291">
        <w:t>a</w:t>
      </w:r>
      <w:r w:rsidR="009E7239" w:rsidRPr="003E3291">
        <w:t xml:space="preserve"> recent change in the school community’s economic circumstances (DMI-based and RAB scores</w:t>
      </w:r>
      <w:r w:rsidR="006F0E45" w:rsidRPr="006F0E45">
        <w:rPr>
          <w:rFonts w:ascii="Calibri" w:eastAsia="Calibri" w:hAnsi="Calibri" w:cs="Times New Roman"/>
        </w:rPr>
        <w:t>)</w:t>
      </w:r>
    </w:p>
    <w:p w14:paraId="18E51A0D" w14:textId="699EA73D" w:rsidR="00BC78F1" w:rsidRPr="003E3291" w:rsidRDefault="005B5FD7" w:rsidP="003E3291">
      <w:pPr>
        <w:pStyle w:val="ListBullet"/>
        <w:spacing w:after="120"/>
        <w:contextualSpacing w:val="0"/>
      </w:pPr>
      <w:r w:rsidRPr="003E3291">
        <w:t>a</w:t>
      </w:r>
      <w:r w:rsidR="00BC78F1" w:rsidRPr="003E3291">
        <w:t xml:space="preserve"> recent change in the school community’s population </w:t>
      </w:r>
      <w:r w:rsidR="00EF064B" w:rsidRPr="003E3291">
        <w:t>(DMI-based and RAB scores</w:t>
      </w:r>
      <w:r w:rsidR="006F0E45" w:rsidRPr="006F0E45">
        <w:rPr>
          <w:rFonts w:ascii="Calibri" w:eastAsia="Calibri" w:hAnsi="Calibri" w:cs="Times New Roman"/>
        </w:rPr>
        <w:t>)</w:t>
      </w:r>
    </w:p>
    <w:p w14:paraId="6CCF9896" w14:textId="5F0A261E" w:rsidR="003D776C" w:rsidRPr="003E3291" w:rsidRDefault="005B5FD7" w:rsidP="003E3291">
      <w:pPr>
        <w:pStyle w:val="ListBullet"/>
        <w:spacing w:after="120"/>
        <w:contextualSpacing w:val="0"/>
      </w:pPr>
      <w:r w:rsidRPr="003E3291">
        <w:t>d</w:t>
      </w:r>
      <w:r w:rsidR="003D776C" w:rsidRPr="003E3291">
        <w:t>ifference between linked and unlinked populations (DMI-based scores</w:t>
      </w:r>
      <w:r w:rsidR="006F0E45" w:rsidRPr="006F0E45">
        <w:rPr>
          <w:rFonts w:ascii="Calibri" w:eastAsia="Calibri" w:hAnsi="Calibri" w:cs="Times New Roman"/>
        </w:rPr>
        <w:t>)</w:t>
      </w:r>
    </w:p>
    <w:p w14:paraId="0701BBBF" w14:textId="23652FE1" w:rsidR="003D776C" w:rsidRPr="003E3291" w:rsidRDefault="005B5FD7" w:rsidP="003E3291">
      <w:pPr>
        <w:pStyle w:val="ListBullet"/>
        <w:spacing w:after="120"/>
        <w:contextualSpacing w:val="0"/>
      </w:pPr>
      <w:r w:rsidRPr="003E3291">
        <w:t>t</w:t>
      </w:r>
      <w:r w:rsidR="003D776C" w:rsidRPr="003E3291">
        <w:t>he school’s RAB score does not accurately reflect the school community’s circumstances</w:t>
      </w:r>
      <w:r w:rsidR="006F0E45" w:rsidRPr="006F0E45">
        <w:rPr>
          <w:rFonts w:ascii="Calibri" w:eastAsia="Calibri" w:hAnsi="Calibri" w:cs="Times New Roman"/>
        </w:rPr>
        <w:t>,</w:t>
      </w:r>
      <w:r w:rsidRPr="003E3291">
        <w:t xml:space="preserve"> or</w:t>
      </w:r>
    </w:p>
    <w:p w14:paraId="0529F85E" w14:textId="738D68E5" w:rsidR="003D776C" w:rsidRPr="003E3291" w:rsidRDefault="005B5FD7" w:rsidP="003E3291">
      <w:pPr>
        <w:pStyle w:val="ListBullet"/>
      </w:pPr>
      <w:r w:rsidRPr="003E3291">
        <w:t>l</w:t>
      </w:r>
      <w:r w:rsidR="003D776C" w:rsidRPr="003E3291">
        <w:t>arge average family size (DMI-based and RAB scores).</w:t>
      </w:r>
    </w:p>
    <w:p w14:paraId="0908E360" w14:textId="77777777" w:rsidR="003D776C" w:rsidRPr="003E3291" w:rsidRDefault="003D776C" w:rsidP="003E3291">
      <w:pPr>
        <w:pStyle w:val="ListBullet"/>
        <w:numPr>
          <w:ilvl w:val="0"/>
          <w:numId w:val="0"/>
        </w:numPr>
        <w:ind w:left="284"/>
      </w:pPr>
      <w:bookmarkStart w:id="42" w:name="_Hlk88659458"/>
      <w:bookmarkStart w:id="43" w:name="_Hlk110513469"/>
      <w:bookmarkEnd w:id="41"/>
    </w:p>
    <w:p w14:paraId="7077C480" w14:textId="7BEAA28D" w:rsidR="00BC78F1" w:rsidRPr="003E3291" w:rsidRDefault="00BC78F1" w:rsidP="003E3291">
      <w:pPr>
        <w:pStyle w:val="ListBullet"/>
        <w:numPr>
          <w:ilvl w:val="0"/>
          <w:numId w:val="0"/>
        </w:numPr>
      </w:pPr>
      <w:r w:rsidRPr="003E3291">
        <w:t>Information about these review scenarios, and examples of the types of evidence required to support a review application</w:t>
      </w:r>
      <w:r w:rsidR="006F0E45" w:rsidRPr="006F0E45">
        <w:rPr>
          <w:rFonts w:ascii="Calibri" w:eastAsia="Calibri" w:hAnsi="Calibri" w:cs="Times New Roman"/>
        </w:rPr>
        <w:t>,</w:t>
      </w:r>
      <w:r w:rsidRPr="003E3291">
        <w:t xml:space="preserve"> are provided in </w:t>
      </w:r>
      <w:hyperlink w:anchor="_Appendix_A:_Reasons" w:history="1">
        <w:r w:rsidRPr="003E3291">
          <w:rPr>
            <w:rStyle w:val="Hyperlink"/>
            <w:rFonts w:cs="Arial"/>
            <w:bCs/>
          </w:rPr>
          <w:t>Appendix A</w:t>
        </w:r>
      </w:hyperlink>
      <w:r w:rsidRPr="003E3291">
        <w:t xml:space="preserve"> and also in the ABS’s </w:t>
      </w:r>
      <w:hyperlink r:id="rId21" w:history="1">
        <w:r w:rsidRPr="003E3291">
          <w:rPr>
            <w:rStyle w:val="Hyperlink"/>
            <w:iCs/>
          </w:rPr>
          <w:t>Technical Framework</w:t>
        </w:r>
        <w:bookmarkEnd w:id="42"/>
      </w:hyperlink>
      <w:r w:rsidR="00BE4D65" w:rsidRPr="003E3291">
        <w:rPr>
          <w:iCs/>
        </w:rPr>
        <w:t>.</w:t>
      </w:r>
    </w:p>
    <w:p w14:paraId="2F0BF776" w14:textId="77777777" w:rsidR="00BC78F1" w:rsidRPr="00D172D3" w:rsidRDefault="00BC78F1" w:rsidP="00B14ADF">
      <w:pPr>
        <w:pStyle w:val="Heading3"/>
        <w:rPr>
          <w:color w:val="auto"/>
          <w:sz w:val="22"/>
        </w:rPr>
      </w:pPr>
      <w:bookmarkStart w:id="44" w:name="_Toc110520291"/>
      <w:bookmarkStart w:id="45" w:name="_Toc173913187"/>
      <w:bookmarkStart w:id="46" w:name="_Toc129701974"/>
      <w:bookmarkEnd w:id="43"/>
      <w:r w:rsidRPr="003E3291">
        <w:t xml:space="preserve">When will a </w:t>
      </w:r>
      <w:r w:rsidRPr="00C213BC">
        <w:t>CTC</w:t>
      </w:r>
      <w:r w:rsidRPr="003E3291">
        <w:t xml:space="preserve"> score review proceed?</w:t>
      </w:r>
      <w:bookmarkEnd w:id="44"/>
      <w:bookmarkEnd w:id="45"/>
      <w:bookmarkEnd w:id="46"/>
    </w:p>
    <w:p w14:paraId="79213DDC" w14:textId="77777777" w:rsidR="00BC78F1" w:rsidRPr="00D172D3" w:rsidRDefault="00BC78F1" w:rsidP="003E3291">
      <w:pPr>
        <w:rPr>
          <w:kern w:val="2"/>
          <w14:ligatures w14:val="standardContextual"/>
        </w:rPr>
      </w:pPr>
      <w:bookmarkStart w:id="47" w:name="_Hlk99449393"/>
      <w:bookmarkStart w:id="48" w:name="_Hlk88053316"/>
      <w:r w:rsidRPr="00D172D3">
        <w:rPr>
          <w:kern w:val="2"/>
          <w14:ligatures w14:val="standardContextual"/>
        </w:rPr>
        <w:t xml:space="preserve">A CTC score review will proceed when there is a reasonable case and supporting evidence for the review. </w:t>
      </w:r>
    </w:p>
    <w:p w14:paraId="0B4F1284" w14:textId="77777777" w:rsidR="00BC78F1" w:rsidRPr="00D172D3" w:rsidRDefault="00BC78F1" w:rsidP="00B14ADF">
      <w:pPr>
        <w:pStyle w:val="Heading3"/>
        <w:rPr>
          <w:color w:val="auto"/>
          <w:sz w:val="22"/>
        </w:rPr>
      </w:pPr>
      <w:bookmarkStart w:id="49" w:name="_Toc110520292"/>
      <w:bookmarkStart w:id="50" w:name="_Toc173913188"/>
      <w:bookmarkStart w:id="51" w:name="_Toc129701975"/>
      <w:bookmarkEnd w:id="47"/>
      <w:r w:rsidRPr="003E3291">
        <w:t xml:space="preserve">When will a CTC score </w:t>
      </w:r>
      <w:r w:rsidRPr="00C213BC">
        <w:t>review</w:t>
      </w:r>
      <w:r w:rsidRPr="003E3291">
        <w:t xml:space="preserve"> not proceed?</w:t>
      </w:r>
      <w:bookmarkEnd w:id="49"/>
      <w:bookmarkEnd w:id="50"/>
      <w:bookmarkEnd w:id="51"/>
    </w:p>
    <w:p w14:paraId="73861383" w14:textId="77777777" w:rsidR="00BC78F1" w:rsidRPr="00D172D3" w:rsidRDefault="00BC78F1" w:rsidP="003D776C">
      <w:pPr>
        <w:spacing w:after="120"/>
        <w:rPr>
          <w:kern w:val="2"/>
          <w14:ligatures w14:val="standardContextual"/>
        </w:rPr>
      </w:pPr>
      <w:r w:rsidRPr="00D172D3">
        <w:rPr>
          <w:kern w:val="2"/>
          <w14:ligatures w14:val="standardContextual"/>
        </w:rPr>
        <w:t xml:space="preserve">In the absence of any compelling evidence showing the CTC score might not be accurate, a review will not proceed. For example, a CTC score review will </w:t>
      </w:r>
      <w:r w:rsidRPr="00D172D3">
        <w:rPr>
          <w:b/>
          <w:kern w:val="2"/>
          <w14:ligatures w14:val="standardContextual"/>
        </w:rPr>
        <w:t>not</w:t>
      </w:r>
      <w:r w:rsidRPr="00D172D3">
        <w:rPr>
          <w:kern w:val="2"/>
          <w14:ligatures w14:val="standardContextual"/>
        </w:rPr>
        <w:t xml:space="preserve"> proceed:</w:t>
      </w:r>
    </w:p>
    <w:p w14:paraId="79A78651" w14:textId="736AF6ED" w:rsidR="00BC78F1" w:rsidRPr="003E3291" w:rsidRDefault="00BC78F1" w:rsidP="003E3291">
      <w:pPr>
        <w:pStyle w:val="ListBullet"/>
        <w:spacing w:after="120"/>
        <w:contextualSpacing w:val="0"/>
      </w:pPr>
      <w:bookmarkStart w:id="52" w:name="_Hlk110513526"/>
      <w:r w:rsidRPr="003E3291">
        <w:t>where the reason for the review is to question the agreed CTC score methodology</w:t>
      </w:r>
      <w:r w:rsidR="00364449" w:rsidRPr="003E3291">
        <w:t xml:space="preserve"> alone</w:t>
      </w:r>
      <w:r w:rsidRPr="003E3291">
        <w:t>, for example, for the use of RAB scores for new schools or the use of the 3</w:t>
      </w:r>
      <w:r w:rsidRPr="003E3291">
        <w:noBreakHyphen/>
        <w:t>year rolling average for the calculation of DMI</w:t>
      </w:r>
      <w:r w:rsidR="00DC7B0F" w:rsidRPr="003E3291">
        <w:t>-based</w:t>
      </w:r>
      <w:r w:rsidRPr="003E3291">
        <w:t xml:space="preserve"> scores</w:t>
      </w:r>
    </w:p>
    <w:p w14:paraId="2AD8C9D6" w14:textId="698FDE1A" w:rsidR="00BC78F1" w:rsidRPr="003E3291" w:rsidRDefault="00BC78F1" w:rsidP="003E3291">
      <w:pPr>
        <w:pStyle w:val="ListBullet"/>
        <w:spacing w:after="120"/>
        <w:contextualSpacing w:val="0"/>
      </w:pPr>
      <w:r w:rsidRPr="003E3291">
        <w:t xml:space="preserve">where a school anticipates a future reduction in the capacity of the school community to contribute – </w:t>
      </w:r>
      <w:r w:rsidR="001C01F2" w:rsidRPr="003E3291">
        <w:t xml:space="preserve">as </w:t>
      </w:r>
      <w:r w:rsidRPr="003E3291">
        <w:t>the DMI methodology will account for this over time</w:t>
      </w:r>
    </w:p>
    <w:p w14:paraId="59C3ECAF" w14:textId="4F487CF6" w:rsidR="00BC78F1" w:rsidRPr="003E3291" w:rsidRDefault="00BC78F1" w:rsidP="003E3291">
      <w:pPr>
        <w:pStyle w:val="ListBullet"/>
        <w:spacing w:after="120"/>
        <w:contextualSpacing w:val="0"/>
      </w:pPr>
      <w:r w:rsidRPr="003E3291">
        <w:t xml:space="preserve">where another school in the same area has a lower CTC score </w:t>
      </w:r>
      <w:bookmarkStart w:id="53" w:name="_Hlk88731399"/>
      <w:r w:rsidRPr="003E3291">
        <w:t xml:space="preserve">– </w:t>
      </w:r>
      <w:bookmarkEnd w:id="53"/>
      <w:r w:rsidR="001C01F2" w:rsidRPr="003E3291">
        <w:t xml:space="preserve">as </w:t>
      </w:r>
      <w:r w:rsidRPr="003E3291">
        <w:t>the CTC methodology will not deliver the same results for schools in the same area unless the median family incomes of the schools are the same</w:t>
      </w:r>
    </w:p>
    <w:p w14:paraId="4C5BDC86" w14:textId="4F5936E6" w:rsidR="00BC78F1" w:rsidRPr="003E3291" w:rsidRDefault="00BC78F1" w:rsidP="003E3291">
      <w:pPr>
        <w:pStyle w:val="ListBullet"/>
        <w:spacing w:after="120"/>
        <w:contextualSpacing w:val="0"/>
      </w:pPr>
      <w:r w:rsidRPr="003E3291">
        <w:t xml:space="preserve">for a school with a DMI-based score, </w:t>
      </w:r>
      <w:r w:rsidR="00013766" w:rsidRPr="003E3291">
        <w:t xml:space="preserve">claiming that a </w:t>
      </w:r>
      <w:r w:rsidRPr="003E3291">
        <w:t>high number of families are in receipt of health care or other concession cards, receive social security benefits, or are unemployed</w:t>
      </w:r>
      <w:r w:rsidR="00013766" w:rsidRPr="003E3291">
        <w:t xml:space="preserve"> and </w:t>
      </w:r>
      <w:r w:rsidR="00B82529" w:rsidRPr="003E3291">
        <w:t xml:space="preserve">therefore </w:t>
      </w:r>
      <w:r w:rsidR="00013766" w:rsidRPr="003E3291">
        <w:t>these families are not captured in the DMI score calculation</w:t>
      </w:r>
      <w:r w:rsidRPr="003E3291">
        <w:t xml:space="preserve"> – </w:t>
      </w:r>
      <w:r w:rsidR="001C01F2" w:rsidRPr="003E3291">
        <w:t xml:space="preserve">as </w:t>
      </w:r>
      <w:r w:rsidRPr="003E3291">
        <w:t>the</w:t>
      </w:r>
      <w:r w:rsidR="00B82529" w:rsidRPr="003E3291">
        <w:t>se families are likely</w:t>
      </w:r>
      <w:r w:rsidR="00DF4C08" w:rsidRPr="003E3291">
        <w:t xml:space="preserve"> to be</w:t>
      </w:r>
      <w:r w:rsidR="00B82529" w:rsidRPr="003E3291">
        <w:t xml:space="preserve"> linked in </w:t>
      </w:r>
      <w:r w:rsidR="00CE26A7" w:rsidRPr="003E3291">
        <w:t xml:space="preserve">PLIDA </w:t>
      </w:r>
      <w:r w:rsidR="00013766" w:rsidRPr="003E3291">
        <w:t xml:space="preserve">data </w:t>
      </w:r>
      <w:r w:rsidR="00B82529" w:rsidRPr="003E3291">
        <w:t xml:space="preserve">which </w:t>
      </w:r>
      <w:r w:rsidRPr="003E3291">
        <w:t>includes this information</w:t>
      </w:r>
    </w:p>
    <w:p w14:paraId="7B27F08B" w14:textId="2C9BEC19" w:rsidR="00BC78F1" w:rsidRPr="003E3291" w:rsidRDefault="00BC78F1" w:rsidP="003E3291">
      <w:pPr>
        <w:pStyle w:val="ListBullet"/>
        <w:spacing w:after="120"/>
        <w:contextualSpacing w:val="0"/>
      </w:pPr>
      <w:r w:rsidRPr="003E3291">
        <w:t xml:space="preserve">on the basis that the student population or a school is highly disadvantaged, noting the </w:t>
      </w:r>
      <w:r w:rsidR="00DC7B0F" w:rsidRPr="003E3291">
        <w:t>SRS</w:t>
      </w:r>
      <w:r w:rsidRPr="003E3291">
        <w:t xml:space="preserve"> already provides additional </w:t>
      </w:r>
      <w:r w:rsidR="00DC7B0F" w:rsidRPr="003E3291">
        <w:t xml:space="preserve">funding through the SRS </w:t>
      </w:r>
      <w:r w:rsidRPr="003E3291">
        <w:t xml:space="preserve">loadings for student and school disadvantage – </w:t>
      </w:r>
      <w:r w:rsidR="001C01F2" w:rsidRPr="003E3291">
        <w:t xml:space="preserve">as </w:t>
      </w:r>
      <w:r w:rsidRPr="003E3291">
        <w:t xml:space="preserve">the DMI methodology </w:t>
      </w:r>
      <w:r w:rsidR="001C01F2" w:rsidRPr="003E3291">
        <w:t xml:space="preserve">already </w:t>
      </w:r>
      <w:r w:rsidRPr="003E3291">
        <w:t>accounts for lower income families</w:t>
      </w:r>
    </w:p>
    <w:p w14:paraId="46440BF7" w14:textId="74BD4D0D" w:rsidR="00BC78F1" w:rsidRPr="003E3291" w:rsidRDefault="00BC78F1" w:rsidP="003E3291">
      <w:pPr>
        <w:pStyle w:val="ListBullet"/>
        <w:spacing w:after="120"/>
        <w:contextualSpacing w:val="0"/>
      </w:pPr>
      <w:r w:rsidRPr="003E3291">
        <w:t xml:space="preserve">for a school with a DMI-based score, claiming that families of students at the school only reside in the area to access the school and have lower incomes </w:t>
      </w:r>
      <w:r w:rsidR="001C01F2" w:rsidRPr="003E3291">
        <w:t>–</w:t>
      </w:r>
      <w:r w:rsidRPr="003E3291">
        <w:t xml:space="preserve"> </w:t>
      </w:r>
      <w:r w:rsidR="001C01F2" w:rsidRPr="003E3291">
        <w:t xml:space="preserve">as </w:t>
      </w:r>
      <w:r w:rsidRPr="003E3291">
        <w:t>the DMI methodology accounts for this</w:t>
      </w:r>
    </w:p>
    <w:bookmarkEnd w:id="48"/>
    <w:p w14:paraId="3B8BEC28" w14:textId="1D41E0FD" w:rsidR="00BC78F1" w:rsidRPr="003E3291" w:rsidRDefault="00BC78F1" w:rsidP="003E3291">
      <w:pPr>
        <w:pStyle w:val="ListBullet"/>
        <w:spacing w:after="120"/>
        <w:contextualSpacing w:val="0"/>
      </w:pPr>
      <w:r w:rsidRPr="003E3291">
        <w:t>where the reason for the review is because a school has high levels of debt</w:t>
      </w:r>
    </w:p>
    <w:p w14:paraId="01EF83D1" w14:textId="036107BB" w:rsidR="00BC78F1" w:rsidRPr="003E3291" w:rsidRDefault="00BC78F1" w:rsidP="003E3291">
      <w:pPr>
        <w:pStyle w:val="ListBullet"/>
        <w:spacing w:after="120"/>
        <w:contextualSpacing w:val="0"/>
      </w:pPr>
      <w:r w:rsidRPr="003E3291">
        <w:t>where the reason for the review is the financial viability of the school</w:t>
      </w:r>
    </w:p>
    <w:p w14:paraId="5CA08EC3" w14:textId="3C723ECA" w:rsidR="00BC78F1" w:rsidRPr="003E3291" w:rsidRDefault="00BC78F1" w:rsidP="003E3291">
      <w:pPr>
        <w:pStyle w:val="ListBullet"/>
        <w:spacing w:after="120"/>
        <w:contextualSpacing w:val="0"/>
      </w:pPr>
      <w:r w:rsidRPr="003E3291">
        <w:lastRenderedPageBreak/>
        <w:t>where the reason for the review is a school is experiencing financial hardship</w:t>
      </w:r>
    </w:p>
    <w:p w14:paraId="1691C4A2" w14:textId="05DFAB85" w:rsidR="00BC78F1" w:rsidRPr="003E3291" w:rsidRDefault="00BC78F1" w:rsidP="003E3291">
      <w:pPr>
        <w:pStyle w:val="ListBullet"/>
        <w:spacing w:after="120"/>
        <w:contextualSpacing w:val="0"/>
      </w:pPr>
      <w:r w:rsidRPr="003E3291">
        <w:t>where a school’s state or territory government recurrent funding has been reduced by that government</w:t>
      </w:r>
      <w:r w:rsidR="00DF4C08" w:rsidRPr="003E3291">
        <w:t>,</w:t>
      </w:r>
      <w:r w:rsidRPr="003E3291">
        <w:t xml:space="preserve"> or</w:t>
      </w:r>
    </w:p>
    <w:p w14:paraId="713133A5" w14:textId="77777777" w:rsidR="00BC78F1" w:rsidRPr="003E3291" w:rsidRDefault="00BC78F1" w:rsidP="003E3291">
      <w:pPr>
        <w:pStyle w:val="ListBullet"/>
      </w:pPr>
      <w:r w:rsidRPr="003E3291">
        <w:t xml:space="preserve">where the reason for a review is based on the school’s fee structure or policies, including the provision of high levels of fee relief to families. </w:t>
      </w:r>
    </w:p>
    <w:p w14:paraId="0F1DFB2B" w14:textId="77777777" w:rsidR="00BC78F1" w:rsidRPr="00D172D3" w:rsidRDefault="00BC78F1" w:rsidP="00B14ADF">
      <w:pPr>
        <w:pStyle w:val="Heading3"/>
        <w:rPr>
          <w:color w:val="auto"/>
          <w:sz w:val="22"/>
        </w:rPr>
      </w:pPr>
      <w:bookmarkStart w:id="54" w:name="_Toc110520293"/>
      <w:bookmarkStart w:id="55" w:name="_Toc173913189"/>
      <w:bookmarkStart w:id="56" w:name="_Toc129701976"/>
      <w:bookmarkEnd w:id="52"/>
      <w:r w:rsidRPr="003E3291">
        <w:t xml:space="preserve">How long does a </w:t>
      </w:r>
      <w:r w:rsidRPr="00C213BC">
        <w:t>CTC</w:t>
      </w:r>
      <w:r w:rsidRPr="003E3291">
        <w:t> score review take?</w:t>
      </w:r>
      <w:bookmarkEnd w:id="54"/>
      <w:bookmarkEnd w:id="55"/>
      <w:bookmarkEnd w:id="56"/>
    </w:p>
    <w:p w14:paraId="0C394B69" w14:textId="70C3C283" w:rsidR="00BC78F1" w:rsidRPr="00D172D3" w:rsidRDefault="00BC78F1" w:rsidP="003E3291">
      <w:pPr>
        <w:ind w:right="-188"/>
        <w:rPr>
          <w:kern w:val="2"/>
          <w14:ligatures w14:val="standardContextual"/>
        </w:rPr>
      </w:pPr>
      <w:r w:rsidRPr="00D172D3">
        <w:rPr>
          <w:kern w:val="2"/>
          <w14:ligatures w14:val="standardContextual"/>
        </w:rPr>
        <w:t xml:space="preserve">The department aims to complete all reviews as quickly as possible. Because </w:t>
      </w:r>
      <w:r w:rsidR="00F13148" w:rsidRPr="003E3291">
        <w:rPr>
          <w:kern w:val="2"/>
          <w14:ligatures w14:val="standardContextual"/>
        </w:rPr>
        <w:t>each</w:t>
      </w:r>
      <w:r w:rsidR="00F13148" w:rsidRPr="00D172D3">
        <w:rPr>
          <w:kern w:val="2"/>
          <w14:ligatures w14:val="standardContextual"/>
        </w:rPr>
        <w:t xml:space="preserve"> </w:t>
      </w:r>
      <w:r w:rsidRPr="00D172D3">
        <w:rPr>
          <w:kern w:val="2"/>
          <w14:ligatures w14:val="standardContextual"/>
        </w:rPr>
        <w:t xml:space="preserve">review is unique, the department cannot complete every review within the same timeframe. In most cases the department will need to work with the ABS and apply for data to be released from the secure ABS </w:t>
      </w:r>
      <w:proofErr w:type="spellStart"/>
      <w:r w:rsidRPr="00D172D3">
        <w:rPr>
          <w:kern w:val="2"/>
          <w14:ligatures w14:val="standardContextual"/>
        </w:rPr>
        <w:t>DataLab</w:t>
      </w:r>
      <w:proofErr w:type="spellEnd"/>
      <w:r w:rsidRPr="00D172D3">
        <w:rPr>
          <w:kern w:val="2"/>
          <w14:ligatures w14:val="standardContextual"/>
        </w:rPr>
        <w:t xml:space="preserve">. Timeframes for the ABS functions are outside the control of the department. The review team is committed to keeping approved authorities up to date on the progress of their review application. </w:t>
      </w:r>
    </w:p>
    <w:p w14:paraId="0D0EA3C2" w14:textId="77777777" w:rsidR="00BC78F1" w:rsidRPr="00D172D3" w:rsidRDefault="00BC78F1" w:rsidP="00B14ADF">
      <w:pPr>
        <w:pStyle w:val="Heading3"/>
        <w:rPr>
          <w:color w:val="auto"/>
          <w:sz w:val="22"/>
        </w:rPr>
      </w:pPr>
      <w:bookmarkStart w:id="57" w:name="_Toc110520294"/>
      <w:bookmarkStart w:id="58" w:name="_Toc173913190"/>
      <w:bookmarkStart w:id="59" w:name="_Toc129701977"/>
      <w:r w:rsidRPr="003E3291">
        <w:t xml:space="preserve">Can I withdraw my </w:t>
      </w:r>
      <w:r w:rsidRPr="00C213BC">
        <w:t>application</w:t>
      </w:r>
      <w:r w:rsidRPr="003E3291">
        <w:t xml:space="preserve"> for a CTC score review?</w:t>
      </w:r>
      <w:bookmarkEnd w:id="57"/>
      <w:bookmarkEnd w:id="58"/>
      <w:bookmarkEnd w:id="59"/>
    </w:p>
    <w:p w14:paraId="05AD0E31" w14:textId="77777777" w:rsidR="00BC78F1" w:rsidRPr="00D172D3" w:rsidRDefault="00BC78F1" w:rsidP="003E3291">
      <w:pPr>
        <w:rPr>
          <w:kern w:val="2"/>
          <w14:ligatures w14:val="standardContextual"/>
        </w:rPr>
      </w:pPr>
      <w:r w:rsidRPr="00D172D3">
        <w:rPr>
          <w:kern w:val="2"/>
          <w14:ligatures w14:val="standardContextual"/>
        </w:rPr>
        <w:t>Section 117 of the Act allows an approved authority to withdraw an application for a CTC score review at any time before the Minister (or delegate) has made a decision on the application.</w:t>
      </w:r>
    </w:p>
    <w:p w14:paraId="5B061091" w14:textId="1E942E5E" w:rsidR="00BC78F1" w:rsidRPr="00D172D3" w:rsidRDefault="00BC78F1" w:rsidP="003E3291">
      <w:pPr>
        <w:rPr>
          <w:kern w:val="2"/>
          <w14:ligatures w14:val="standardContextual"/>
        </w:rPr>
      </w:pPr>
      <w:bookmarkStart w:id="60" w:name="_Hlk88051214"/>
      <w:r w:rsidRPr="00D172D3">
        <w:rPr>
          <w:b/>
          <w:kern w:val="2"/>
          <w14:ligatures w14:val="standardContextual"/>
        </w:rPr>
        <w:t xml:space="preserve">IMPORTANT: </w:t>
      </w:r>
      <w:bookmarkStart w:id="61" w:name="_Hlk99449625"/>
      <w:r w:rsidRPr="00D172D3">
        <w:rPr>
          <w:kern w:val="2"/>
          <w14:ligatures w14:val="standardContextual"/>
        </w:rPr>
        <w:t xml:space="preserve">After an application has been withdrawn, the Minister (or their delegate) may still determine a CTC score for a school on their own initiative. In making that decision, the Minister (or delegate) can consider any relevant information that was included in a withdrawn application. </w:t>
      </w:r>
      <w:r w:rsidR="00294845" w:rsidRPr="00D172D3">
        <w:rPr>
          <w:kern w:val="2"/>
          <w14:ligatures w14:val="standardContextual"/>
        </w:rPr>
        <w:t>T</w:t>
      </w:r>
      <w:r w:rsidRPr="00D172D3">
        <w:rPr>
          <w:kern w:val="2"/>
          <w14:ligatures w14:val="standardContextual"/>
        </w:rPr>
        <w:t>he school’s approved authority will be notified of the proposed decision</w:t>
      </w:r>
      <w:r w:rsidR="00294845" w:rsidRPr="00D172D3">
        <w:rPr>
          <w:kern w:val="2"/>
          <w14:ligatures w14:val="standardContextual"/>
        </w:rPr>
        <w:t xml:space="preserve"> and</w:t>
      </w:r>
      <w:r w:rsidRPr="00D172D3">
        <w:rPr>
          <w:kern w:val="2"/>
          <w14:ligatures w14:val="standardContextual"/>
        </w:rPr>
        <w:t xml:space="preserve"> the reasons for the proposed decision</w:t>
      </w:r>
      <w:r w:rsidR="00294845" w:rsidRPr="00D172D3">
        <w:rPr>
          <w:kern w:val="2"/>
          <w14:ligatures w14:val="standardContextual"/>
        </w:rPr>
        <w:t xml:space="preserve">. If the proposed decision is for a higher CTC score, which would result in a reduction in funding, the approved authority </w:t>
      </w:r>
      <w:r w:rsidRPr="00D172D3">
        <w:rPr>
          <w:kern w:val="2"/>
          <w14:ligatures w14:val="standardContextual"/>
        </w:rPr>
        <w:t>will be provided with the opportunity to respond</w:t>
      </w:r>
      <w:r w:rsidR="00294845" w:rsidRPr="00D172D3">
        <w:rPr>
          <w:kern w:val="2"/>
          <w14:ligatures w14:val="standardContextual"/>
        </w:rPr>
        <w:t xml:space="preserve"> and</w:t>
      </w:r>
      <w:r w:rsidRPr="00D172D3">
        <w:rPr>
          <w:kern w:val="2"/>
          <w14:ligatures w14:val="standardContextual"/>
        </w:rPr>
        <w:t xml:space="preserve"> </w:t>
      </w:r>
      <w:r w:rsidR="00294845" w:rsidRPr="00D172D3">
        <w:rPr>
          <w:kern w:val="2"/>
          <w14:ligatures w14:val="standardContextual"/>
        </w:rPr>
        <w:t>a</w:t>
      </w:r>
      <w:r w:rsidRPr="00D172D3">
        <w:rPr>
          <w:kern w:val="2"/>
          <w14:ligatures w14:val="standardContextual"/>
        </w:rPr>
        <w:t>ny response will then be considered before the decision is made.  </w:t>
      </w:r>
      <w:bookmarkEnd w:id="61"/>
    </w:p>
    <w:p w14:paraId="025FA1B3" w14:textId="77777777" w:rsidR="00BC78F1" w:rsidRPr="00D172D3" w:rsidRDefault="00BC78F1" w:rsidP="00B14ADF">
      <w:pPr>
        <w:pStyle w:val="Heading2"/>
        <w:rPr>
          <w:rFonts w:asciiTheme="minorHAnsi" w:hAnsiTheme="minorHAnsi"/>
          <w:color w:val="auto"/>
          <w:sz w:val="22"/>
        </w:rPr>
      </w:pPr>
      <w:bookmarkStart w:id="62" w:name="_Toc110520295"/>
      <w:bookmarkStart w:id="63" w:name="_Toc173913191"/>
      <w:bookmarkStart w:id="64" w:name="_Toc129701978"/>
      <w:bookmarkEnd w:id="60"/>
      <w:r w:rsidRPr="003E3291">
        <w:t xml:space="preserve">Outcomes of a </w:t>
      </w:r>
      <w:r w:rsidRPr="00C213BC">
        <w:t>CTC</w:t>
      </w:r>
      <w:r w:rsidRPr="003E3291">
        <w:t xml:space="preserve"> score review</w:t>
      </w:r>
      <w:bookmarkEnd w:id="62"/>
      <w:bookmarkEnd w:id="63"/>
      <w:bookmarkEnd w:id="64"/>
    </w:p>
    <w:p w14:paraId="29CB144A" w14:textId="77777777" w:rsidR="00BC78F1" w:rsidRPr="00D172D3" w:rsidRDefault="00BC78F1" w:rsidP="00B14ADF">
      <w:pPr>
        <w:pStyle w:val="Heading3"/>
        <w:rPr>
          <w:color w:val="auto"/>
          <w:sz w:val="22"/>
        </w:rPr>
      </w:pPr>
      <w:bookmarkStart w:id="65" w:name="_7.1_How_long"/>
      <w:bookmarkStart w:id="66" w:name="_Toc110520296"/>
      <w:bookmarkStart w:id="67" w:name="_Toc173913192"/>
      <w:bookmarkStart w:id="68" w:name="_Toc129701979"/>
      <w:bookmarkStart w:id="69" w:name="_Toc42680513"/>
      <w:bookmarkStart w:id="70" w:name="_Hlk85802821"/>
      <w:bookmarkStart w:id="71" w:name="_Toc32483099"/>
      <w:bookmarkEnd w:id="65"/>
      <w:r w:rsidRPr="003E3291">
        <w:t xml:space="preserve">When will the deemed </w:t>
      </w:r>
      <w:r w:rsidRPr="00C213BC">
        <w:t>CTC</w:t>
      </w:r>
      <w:r w:rsidRPr="003E3291">
        <w:t xml:space="preserve"> score apply to funding?</w:t>
      </w:r>
      <w:bookmarkEnd w:id="66"/>
      <w:bookmarkEnd w:id="67"/>
      <w:bookmarkEnd w:id="68"/>
    </w:p>
    <w:p w14:paraId="6ED62091" w14:textId="77777777" w:rsidR="00BC78F1" w:rsidRPr="00D172D3" w:rsidRDefault="00BC78F1" w:rsidP="003E3291">
      <w:pPr>
        <w:rPr>
          <w:kern w:val="2"/>
          <w14:ligatures w14:val="standardContextual"/>
        </w:rPr>
      </w:pPr>
      <w:r w:rsidRPr="00D172D3">
        <w:rPr>
          <w:kern w:val="2"/>
          <w14:ligatures w14:val="standardContextual"/>
        </w:rPr>
        <w:t>If the review results in a new, lower CTC score for the school (resulting in a smaller reduction to the SRS base amount than the score under review) the new score will be used to calculate the school’s recurrent funding entitlement from the year to which the review application relates. If this year is in the past, or the October payment for the year has been finalised, a top up payment will be made to the school in the next available payment run.</w:t>
      </w:r>
    </w:p>
    <w:p w14:paraId="27AC48AC" w14:textId="77777777" w:rsidR="00BC78F1" w:rsidRPr="00D172D3" w:rsidRDefault="00BC78F1" w:rsidP="003E3291">
      <w:pPr>
        <w:rPr>
          <w:kern w:val="2"/>
          <w14:ligatures w14:val="standardContextual"/>
        </w:rPr>
      </w:pPr>
      <w:r w:rsidRPr="00D172D3">
        <w:rPr>
          <w:kern w:val="2"/>
          <w14:ligatures w14:val="standardContextual"/>
        </w:rPr>
        <w:t xml:space="preserve">A new, higher CTC score (resulting in a larger reduction to the SRS base amount) will not be applied retrospectively. This means, a higher CTC score will not be determined for a year if the October payment for that year has been finalised. Instead, the new, higher CTC score will be used to calculate the school’s recurrent funding entitlements from the following year. </w:t>
      </w:r>
    </w:p>
    <w:p w14:paraId="176CBAD7" w14:textId="77777777" w:rsidR="00BC78F1" w:rsidRPr="00D172D3" w:rsidRDefault="00BC78F1" w:rsidP="00B14ADF">
      <w:pPr>
        <w:pStyle w:val="Heading3"/>
        <w:rPr>
          <w:color w:val="auto"/>
          <w:sz w:val="22"/>
        </w:rPr>
      </w:pPr>
      <w:bookmarkStart w:id="72" w:name="_Toc110520297"/>
      <w:bookmarkStart w:id="73" w:name="_Toc173913193"/>
      <w:bookmarkStart w:id="74" w:name="_Toc129701980"/>
      <w:r w:rsidRPr="003E3291">
        <w:lastRenderedPageBreak/>
        <w:t xml:space="preserve">How long will deemed </w:t>
      </w:r>
      <w:r w:rsidRPr="00C213BC">
        <w:t>scores</w:t>
      </w:r>
      <w:r w:rsidRPr="003E3291">
        <w:t xml:space="preserve"> apply for?</w:t>
      </w:r>
      <w:bookmarkEnd w:id="69"/>
      <w:bookmarkEnd w:id="72"/>
      <w:bookmarkEnd w:id="73"/>
      <w:bookmarkEnd w:id="74"/>
    </w:p>
    <w:p w14:paraId="5D570ED5" w14:textId="71CC7D94" w:rsidR="00205448" w:rsidRPr="003E3291" w:rsidRDefault="00205448" w:rsidP="00205448">
      <w:pPr>
        <w:rPr>
          <w:kern w:val="2"/>
          <w14:ligatures w14:val="standardContextual"/>
        </w:rPr>
      </w:pPr>
      <w:r w:rsidRPr="003E3291">
        <w:rPr>
          <w:kern w:val="2"/>
          <w14:ligatures w14:val="standardContextual"/>
        </w:rPr>
        <w:t>The number of</w:t>
      </w:r>
      <w:r w:rsidRPr="00D172D3">
        <w:rPr>
          <w:kern w:val="2"/>
          <w14:ligatures w14:val="standardContextual"/>
        </w:rPr>
        <w:t xml:space="preserve"> funding years</w:t>
      </w:r>
      <w:r w:rsidRPr="003E3291">
        <w:rPr>
          <w:kern w:val="2"/>
          <w14:ligatures w14:val="standardContextual"/>
        </w:rPr>
        <w:t xml:space="preserve"> a</w:t>
      </w:r>
      <w:r w:rsidRPr="00D172D3">
        <w:rPr>
          <w:kern w:val="2"/>
          <w14:ligatures w14:val="standardContextual"/>
        </w:rPr>
        <w:t xml:space="preserve"> deemed </w:t>
      </w:r>
      <w:r w:rsidRPr="003E3291">
        <w:rPr>
          <w:kern w:val="2"/>
          <w14:ligatures w14:val="standardContextual"/>
        </w:rPr>
        <w:t>CTC score</w:t>
      </w:r>
      <w:r w:rsidRPr="00D172D3">
        <w:rPr>
          <w:kern w:val="2"/>
          <w14:ligatures w14:val="standardContextual"/>
        </w:rPr>
        <w:t xml:space="preserve"> will be </w:t>
      </w:r>
      <w:r w:rsidRPr="003E3291">
        <w:rPr>
          <w:kern w:val="2"/>
          <w14:ligatures w14:val="standardContextual"/>
        </w:rPr>
        <w:t xml:space="preserve">applied to a school’s funding will be considered on a case-by-case basis by the </w:t>
      </w:r>
      <w:r w:rsidRPr="00D172D3">
        <w:rPr>
          <w:kern w:val="2"/>
          <w14:ligatures w14:val="standardContextual"/>
        </w:rPr>
        <w:t xml:space="preserve">delegate </w:t>
      </w:r>
      <w:r w:rsidRPr="003E3291">
        <w:rPr>
          <w:kern w:val="2"/>
          <w14:ligatures w14:val="standardContextual"/>
        </w:rPr>
        <w:t>determining the score.</w:t>
      </w:r>
    </w:p>
    <w:p w14:paraId="6FE0E841" w14:textId="2C258D14" w:rsidR="00205448" w:rsidRPr="003E3291" w:rsidRDefault="00205448" w:rsidP="00205448">
      <w:pPr>
        <w:rPr>
          <w:kern w:val="2"/>
          <w14:ligatures w14:val="standardContextual"/>
        </w:rPr>
      </w:pPr>
      <w:r w:rsidRPr="003E3291">
        <w:rPr>
          <w:kern w:val="2"/>
          <w14:ligatures w14:val="standardContextual"/>
        </w:rPr>
        <w:t xml:space="preserve">When deciding the number of years </w:t>
      </w:r>
      <w:r w:rsidRPr="00D172D3">
        <w:rPr>
          <w:kern w:val="2"/>
          <w14:ligatures w14:val="standardContextual"/>
        </w:rPr>
        <w:t xml:space="preserve">to </w:t>
      </w:r>
      <w:r w:rsidRPr="003E3291">
        <w:rPr>
          <w:kern w:val="2"/>
          <w14:ligatures w14:val="standardContextual"/>
        </w:rPr>
        <w:t>determine a deemed CTC score for,</w:t>
      </w:r>
      <w:r w:rsidRPr="00D172D3">
        <w:rPr>
          <w:kern w:val="2"/>
          <w14:ligatures w14:val="standardContextual"/>
        </w:rPr>
        <w:t xml:space="preserve"> the </w:t>
      </w:r>
      <w:r w:rsidRPr="003E3291">
        <w:rPr>
          <w:kern w:val="2"/>
          <w14:ligatures w14:val="standardContextual"/>
        </w:rPr>
        <w:t xml:space="preserve">delegate will consider </w:t>
      </w:r>
      <w:r w:rsidRPr="00D172D3">
        <w:rPr>
          <w:kern w:val="2"/>
          <w14:ligatures w14:val="standardContextual"/>
        </w:rPr>
        <w:t xml:space="preserve">the </w:t>
      </w:r>
      <w:r w:rsidRPr="003E3291">
        <w:rPr>
          <w:kern w:val="2"/>
          <w14:ligatures w14:val="standardContextual"/>
        </w:rPr>
        <w:t>reasons for determining a deemed score and whether these reasons</w:t>
      </w:r>
      <w:r w:rsidRPr="00D172D3">
        <w:rPr>
          <w:kern w:val="2"/>
          <w14:ligatures w14:val="standardContextual"/>
        </w:rPr>
        <w:t xml:space="preserve"> are </w:t>
      </w:r>
      <w:r w:rsidRPr="003E3291">
        <w:rPr>
          <w:kern w:val="2"/>
          <w14:ligatures w14:val="standardContextual"/>
        </w:rPr>
        <w:t>likely to continue to apply to the school. The delegate will prioritise transition to a CTC score calculated in accordance with the Regulations where this will</w:t>
      </w:r>
      <w:r w:rsidRPr="00D172D3">
        <w:rPr>
          <w:kern w:val="2"/>
          <w14:ligatures w14:val="standardContextual"/>
        </w:rPr>
        <w:t xml:space="preserve"> result in an </w:t>
      </w:r>
      <w:r w:rsidRPr="003E3291">
        <w:rPr>
          <w:kern w:val="2"/>
          <w14:ligatures w14:val="standardContextual"/>
        </w:rPr>
        <w:t>accurate</w:t>
      </w:r>
      <w:r w:rsidRPr="00D172D3">
        <w:rPr>
          <w:kern w:val="2"/>
          <w14:ligatures w14:val="standardContextual"/>
        </w:rPr>
        <w:t xml:space="preserve"> score</w:t>
      </w:r>
      <w:r w:rsidRPr="003E3291">
        <w:rPr>
          <w:kern w:val="2"/>
          <w14:ligatures w14:val="standardContextual"/>
        </w:rPr>
        <w:t xml:space="preserve"> for the school. </w:t>
      </w:r>
    </w:p>
    <w:p w14:paraId="223AEE84" w14:textId="03184218" w:rsidR="00205448" w:rsidRPr="00D172D3" w:rsidRDefault="00205448" w:rsidP="00205448">
      <w:pPr>
        <w:rPr>
          <w:kern w:val="2"/>
          <w14:ligatures w14:val="standardContextual"/>
        </w:rPr>
      </w:pPr>
      <w:r w:rsidRPr="003E3291">
        <w:rPr>
          <w:kern w:val="2"/>
          <w14:ligatures w14:val="standardContextual"/>
        </w:rPr>
        <w:t>All deemed scores, including those determined for more than one funding year, will be reviewed annually and may result in changes to the previously deemed score. For more on annual reviews of deemed scores see</w:t>
      </w:r>
      <w:r w:rsidR="009F61F1" w:rsidRPr="009F61F1">
        <w:rPr>
          <w:kern w:val="2"/>
          <w14:ligatures w14:val="standardContextual"/>
        </w:rPr>
        <w:t xml:space="preserve"> the</w:t>
      </w:r>
      <w:r w:rsidRPr="003E3291">
        <w:rPr>
          <w:kern w:val="2"/>
          <w14:ligatures w14:val="standardContextual"/>
        </w:rPr>
        <w:t xml:space="preserve"> </w:t>
      </w:r>
      <w:hyperlink w:anchor="_Annual_review_of" w:history="1">
        <w:r w:rsidRPr="003E3291">
          <w:rPr>
            <w:kern w:val="2"/>
            <w:u w:val="single"/>
            <w14:ligatures w14:val="standardContextual"/>
          </w:rPr>
          <w:t>Annual review of deemed CTC scores</w:t>
        </w:r>
        <w:r w:rsidRPr="003E3291">
          <w:rPr>
            <w:kern w:val="2"/>
            <w14:ligatures w14:val="standardContextual"/>
          </w:rPr>
          <w:t xml:space="preserve"> section</w:t>
        </w:r>
      </w:hyperlink>
      <w:r w:rsidRPr="003E3291">
        <w:rPr>
          <w:kern w:val="2"/>
          <w14:ligatures w14:val="standardContextual"/>
        </w:rPr>
        <w:t xml:space="preserve"> below</w:t>
      </w:r>
      <w:r w:rsidRPr="00D172D3">
        <w:rPr>
          <w:kern w:val="2"/>
          <w14:ligatures w14:val="standardContextual"/>
        </w:rPr>
        <w:t>.</w:t>
      </w:r>
    </w:p>
    <w:p w14:paraId="26F651F6" w14:textId="19C19049" w:rsidR="00871E5A" w:rsidRPr="00D172D3" w:rsidRDefault="00871E5A" w:rsidP="00B14ADF">
      <w:pPr>
        <w:pStyle w:val="Heading3"/>
        <w:rPr>
          <w:color w:val="auto"/>
          <w:sz w:val="22"/>
        </w:rPr>
      </w:pPr>
      <w:bookmarkStart w:id="75" w:name="_Toc110520298"/>
      <w:bookmarkStart w:id="76" w:name="_Toc173913194"/>
      <w:bookmarkStart w:id="77" w:name="_Toc129701981"/>
      <w:bookmarkStart w:id="78" w:name="_Hlk128401449"/>
      <w:bookmarkEnd w:id="70"/>
      <w:bookmarkEnd w:id="71"/>
      <w:r w:rsidRPr="003E3291">
        <w:t xml:space="preserve">Will my school’s </w:t>
      </w:r>
      <w:r w:rsidRPr="00C213BC">
        <w:t>transition</w:t>
      </w:r>
      <w:r w:rsidRPr="003E3291">
        <w:t xml:space="preserve"> to 80% of the SRS be affected?</w:t>
      </w:r>
      <w:bookmarkEnd w:id="75"/>
      <w:bookmarkEnd w:id="76"/>
      <w:bookmarkEnd w:id="77"/>
    </w:p>
    <w:p w14:paraId="52B3003D" w14:textId="77777777" w:rsidR="00871E5A" w:rsidRPr="00D172D3" w:rsidRDefault="00871E5A" w:rsidP="003E3291">
      <w:pPr>
        <w:rPr>
          <w:kern w:val="2"/>
          <w14:ligatures w14:val="standardContextual"/>
        </w:rPr>
      </w:pPr>
      <w:r w:rsidRPr="00D172D3">
        <w:rPr>
          <w:kern w:val="2"/>
          <w14:ligatures w14:val="standardContextual"/>
        </w:rPr>
        <w:t>Where a new CTC score is deemed for a school for 2022, the department will make any relevant adjustments to the school’s transition pathway to 80% of its SRS. Where adjustments are made to a school’s transition pathway, the department will provide written advice to the school’s approved authority, detailing anticipated future year funding entitlements.</w:t>
      </w:r>
    </w:p>
    <w:p w14:paraId="381D1501" w14:textId="77777777" w:rsidR="00871E5A" w:rsidRPr="00D172D3" w:rsidRDefault="00871E5A" w:rsidP="003E3291">
      <w:pPr>
        <w:rPr>
          <w:kern w:val="2"/>
          <w14:ligatures w14:val="standardContextual"/>
        </w:rPr>
      </w:pPr>
      <w:r w:rsidRPr="00D172D3">
        <w:rPr>
          <w:kern w:val="2"/>
          <w14:ligatures w14:val="standardContextual"/>
        </w:rPr>
        <w:t xml:space="preserve">From 2023, transition pathways will </w:t>
      </w:r>
      <w:r w:rsidRPr="00D172D3">
        <w:rPr>
          <w:b/>
          <w:kern w:val="2"/>
          <w14:ligatures w14:val="standardContextual"/>
        </w:rPr>
        <w:t>not</w:t>
      </w:r>
      <w:r w:rsidRPr="00D172D3">
        <w:rPr>
          <w:kern w:val="2"/>
          <w14:ligatures w14:val="standardContextual"/>
        </w:rPr>
        <w:t xml:space="preserve"> be adjusted where a new CTC score is determined for a school. </w:t>
      </w:r>
    </w:p>
    <w:p w14:paraId="2BCF4B62" w14:textId="77777777" w:rsidR="00871E5A" w:rsidRPr="00D172D3" w:rsidRDefault="00871E5A" w:rsidP="00B14ADF">
      <w:pPr>
        <w:pStyle w:val="Heading3"/>
        <w:rPr>
          <w:color w:val="auto"/>
          <w:sz w:val="22"/>
        </w:rPr>
      </w:pPr>
      <w:bookmarkStart w:id="79" w:name="_Can_I_seek"/>
      <w:bookmarkStart w:id="80" w:name="_Toc110520299"/>
      <w:bookmarkStart w:id="81" w:name="_Toc173913195"/>
      <w:bookmarkStart w:id="82" w:name="_Toc129701982"/>
      <w:bookmarkStart w:id="83" w:name="_Hlk88121651"/>
      <w:bookmarkEnd w:id="78"/>
      <w:bookmarkEnd w:id="79"/>
      <w:r w:rsidRPr="003E3291">
        <w:t>Can I seek a review of a deemed CTC score?</w:t>
      </w:r>
      <w:bookmarkEnd w:id="80"/>
      <w:bookmarkEnd w:id="81"/>
      <w:bookmarkEnd w:id="82"/>
    </w:p>
    <w:bookmarkEnd w:id="83"/>
    <w:p w14:paraId="4A8BA79F" w14:textId="77777777" w:rsidR="00871E5A" w:rsidRPr="00D172D3" w:rsidRDefault="00871E5A" w:rsidP="003E3291">
      <w:pPr>
        <w:rPr>
          <w:kern w:val="2"/>
          <w14:ligatures w14:val="standardContextual"/>
        </w:rPr>
      </w:pPr>
      <w:r w:rsidRPr="00D172D3">
        <w:rPr>
          <w:kern w:val="2"/>
          <w14:ligatures w14:val="standardContextual"/>
        </w:rPr>
        <w:t>Yes. An approved authority can seek a CTC score review at any time regardless of when or on what basis the CTC score was determined.</w:t>
      </w:r>
    </w:p>
    <w:p w14:paraId="25662E7D" w14:textId="5F022E76" w:rsidR="00871E5A" w:rsidRPr="00D172D3" w:rsidRDefault="00871E5A" w:rsidP="003E3291">
      <w:pPr>
        <w:rPr>
          <w:kern w:val="2"/>
          <w14:ligatures w14:val="standardContextual"/>
        </w:rPr>
      </w:pPr>
      <w:r w:rsidRPr="00D172D3">
        <w:rPr>
          <w:kern w:val="2"/>
          <w14:ligatures w14:val="standardContextual"/>
        </w:rPr>
        <w:t xml:space="preserve">An approved authority can also seek an </w:t>
      </w:r>
      <w:r w:rsidRPr="00D172D3">
        <w:rPr>
          <w:b/>
          <w:kern w:val="2"/>
          <w14:ligatures w14:val="standardContextual"/>
        </w:rPr>
        <w:t>internal review</w:t>
      </w:r>
      <w:r w:rsidRPr="00D172D3">
        <w:rPr>
          <w:kern w:val="2"/>
          <w14:ligatures w14:val="standardContextual"/>
        </w:rPr>
        <w:t xml:space="preserve"> of the decision to determine a CTC score </w:t>
      </w:r>
      <w:bookmarkStart w:id="84" w:name="_Hlk99449795"/>
      <w:r w:rsidRPr="00D172D3">
        <w:rPr>
          <w:kern w:val="2"/>
          <w14:ligatures w14:val="standardContextual"/>
        </w:rPr>
        <w:t>within a specified time of the decision being made (usually 30 days)</w:t>
      </w:r>
      <w:bookmarkEnd w:id="84"/>
      <w:r w:rsidRPr="00D172D3">
        <w:rPr>
          <w:kern w:val="2"/>
          <w14:ligatures w14:val="standardContextual"/>
        </w:rPr>
        <w:t xml:space="preserve">. </w:t>
      </w:r>
      <w:r w:rsidR="006F0E45" w:rsidRPr="006F0E45">
        <w:rPr>
          <w:rFonts w:ascii="Calibri" w:eastAsia="Calibri" w:hAnsi="Calibri" w:cs="Times New Roman"/>
        </w:rPr>
        <w:t>An internal review is not the same as a CTC score review. Internal reviews are allowed for certain administrative decisions made under the Act.</w:t>
      </w:r>
      <w:r w:rsidR="006F0E45" w:rsidRPr="006F0E45">
        <w:rPr>
          <w:rFonts w:ascii="Calibri" w:eastAsia="Calibri" w:hAnsi="Calibri" w:cs="Times New Roman"/>
          <w:vertAlign w:val="superscript"/>
        </w:rPr>
        <w:footnoteReference w:id="9"/>
      </w:r>
      <w:r w:rsidR="006F0E45" w:rsidRPr="006F0E45">
        <w:rPr>
          <w:rFonts w:ascii="Calibri" w:eastAsia="Calibri" w:hAnsi="Calibri" w:cs="Times New Roman"/>
        </w:rPr>
        <w:t xml:space="preserve"> They</w:t>
      </w:r>
      <w:r w:rsidRPr="00D172D3">
        <w:rPr>
          <w:kern w:val="2"/>
          <w14:ligatures w14:val="standardContextual"/>
        </w:rPr>
        <w:t xml:space="preserve"> are conducted by a departmental officer who was not involved in the making of the decision, and who occupies a position that is at least the same level as the individual who made the decision</w:t>
      </w:r>
      <w:r w:rsidR="007E11EB" w:rsidRPr="00D172D3">
        <w:rPr>
          <w:kern w:val="2"/>
          <w14:ligatures w14:val="standardContextual"/>
        </w:rPr>
        <w:t xml:space="preserve">. </w:t>
      </w:r>
      <w:r w:rsidRPr="00D172D3">
        <w:rPr>
          <w:kern w:val="2"/>
          <w14:ligatures w14:val="standardContextual"/>
        </w:rPr>
        <w:t xml:space="preserve">If an approved authority is not satisfied with the outcome of an internal review, </w:t>
      </w:r>
      <w:r w:rsidR="000834FB" w:rsidRPr="00D172D3">
        <w:rPr>
          <w:kern w:val="2"/>
          <w14:ligatures w14:val="standardContextual"/>
        </w:rPr>
        <w:t xml:space="preserve">they </w:t>
      </w:r>
      <w:r w:rsidRPr="00D172D3">
        <w:rPr>
          <w:kern w:val="2"/>
          <w14:ligatures w14:val="standardContextual"/>
        </w:rPr>
        <w:t xml:space="preserve">can apply to the </w:t>
      </w:r>
      <w:hyperlink r:id="rId22" w:history="1">
        <w:r w:rsidRPr="00D172D3">
          <w:rPr>
            <w:kern w:val="2"/>
            <w14:ligatures w14:val="standardContextual"/>
          </w:rPr>
          <w:t>Administrative Appeals Tribunal</w:t>
        </w:r>
      </w:hyperlink>
      <w:r w:rsidRPr="00D172D3">
        <w:rPr>
          <w:kern w:val="2"/>
          <w14:ligatures w14:val="standardContextual"/>
        </w:rPr>
        <w:t xml:space="preserve"> (AAT) to seek an </w:t>
      </w:r>
      <w:r w:rsidRPr="00D172D3">
        <w:rPr>
          <w:b/>
          <w:kern w:val="2"/>
          <w14:ligatures w14:val="standardContextual"/>
        </w:rPr>
        <w:t>external review</w:t>
      </w:r>
      <w:r w:rsidRPr="00D172D3">
        <w:rPr>
          <w:kern w:val="2"/>
          <w14:ligatures w14:val="standardContextual"/>
        </w:rPr>
        <w:t xml:space="preserve"> of that decision.</w:t>
      </w:r>
    </w:p>
    <w:p w14:paraId="380C794D" w14:textId="77777777" w:rsidR="00871E5A" w:rsidRPr="00D172D3" w:rsidRDefault="00871E5A" w:rsidP="00B14ADF">
      <w:pPr>
        <w:pStyle w:val="Heading2"/>
        <w:rPr>
          <w:rFonts w:asciiTheme="minorHAnsi" w:hAnsiTheme="minorHAnsi"/>
          <w:color w:val="auto"/>
          <w:sz w:val="22"/>
        </w:rPr>
      </w:pPr>
      <w:bookmarkStart w:id="85" w:name="_Toc110520300"/>
      <w:bookmarkStart w:id="86" w:name="_Toc173913196"/>
      <w:bookmarkStart w:id="87" w:name="_Toc129701983"/>
      <w:r w:rsidRPr="003E3291">
        <w:lastRenderedPageBreak/>
        <w:t xml:space="preserve">The CTC </w:t>
      </w:r>
      <w:r w:rsidRPr="00C213BC">
        <w:t>score</w:t>
      </w:r>
      <w:r w:rsidRPr="003E3291">
        <w:t xml:space="preserve"> review process</w:t>
      </w:r>
      <w:bookmarkEnd w:id="85"/>
      <w:bookmarkEnd w:id="86"/>
      <w:bookmarkEnd w:id="87"/>
    </w:p>
    <w:p w14:paraId="51964627" w14:textId="77777777" w:rsidR="00871E5A" w:rsidRPr="00D172D3" w:rsidRDefault="00871E5A" w:rsidP="00871E5A">
      <w:pPr>
        <w:keepNext/>
        <w:spacing w:before="120" w:after="120"/>
        <w:rPr>
          <w:b/>
          <w:kern w:val="2"/>
          <w14:ligatures w14:val="standardContextual"/>
        </w:rPr>
      </w:pPr>
      <w:bookmarkStart w:id="88" w:name="_Toc26790547"/>
      <w:bookmarkStart w:id="89" w:name="_Toc483469912"/>
      <w:r w:rsidRPr="00D172D3">
        <w:rPr>
          <w:b/>
          <w:kern w:val="2"/>
          <w14:ligatures w14:val="standardContextual"/>
        </w:rPr>
        <w:t>Stage 1: Initial review of application</w:t>
      </w:r>
    </w:p>
    <w:p w14:paraId="0D0E3571" w14:textId="77777777" w:rsidR="00871E5A" w:rsidRPr="00D172D3" w:rsidRDefault="00871E5A" w:rsidP="003E3291">
      <w:pPr>
        <w:rPr>
          <w:kern w:val="2"/>
          <w14:ligatures w14:val="standardContextual"/>
        </w:rPr>
      </w:pPr>
      <w:r w:rsidRPr="00D172D3">
        <w:rPr>
          <w:kern w:val="2"/>
          <w14:ligatures w14:val="standardContextual"/>
        </w:rPr>
        <w:t>The department considers whether the approved authority has a reasonable case for a CTC score review and whether enough evidence has been provided to support the application. The approved authority will be contacted if more information is required.</w:t>
      </w:r>
    </w:p>
    <w:p w14:paraId="7524D969" w14:textId="77777777" w:rsidR="00871E5A" w:rsidRPr="00D172D3" w:rsidRDefault="00871E5A" w:rsidP="00871E5A">
      <w:pPr>
        <w:keepNext/>
        <w:spacing w:after="120"/>
        <w:rPr>
          <w:b/>
          <w:kern w:val="2"/>
          <w14:ligatures w14:val="standardContextual"/>
        </w:rPr>
      </w:pPr>
      <w:r w:rsidRPr="00D172D3">
        <w:rPr>
          <w:b/>
          <w:kern w:val="2"/>
          <w14:ligatures w14:val="standardContextual"/>
        </w:rPr>
        <w:t>Step 2: Detailed assessment</w:t>
      </w:r>
    </w:p>
    <w:p w14:paraId="21B5752D" w14:textId="2687DCC1" w:rsidR="00871E5A" w:rsidRPr="00D172D3" w:rsidRDefault="00871E5A" w:rsidP="003E3291">
      <w:pPr>
        <w:rPr>
          <w:kern w:val="2"/>
          <w14:ligatures w14:val="standardContextual"/>
        </w:rPr>
      </w:pPr>
      <w:r w:rsidRPr="00D172D3">
        <w:rPr>
          <w:kern w:val="2"/>
          <w14:ligatures w14:val="standardContextual"/>
        </w:rPr>
        <w:t xml:space="preserve">Once there is enough supporting evidence for the application, the department will </w:t>
      </w:r>
      <w:r w:rsidR="00DC7B0F" w:rsidRPr="00D172D3">
        <w:rPr>
          <w:kern w:val="2"/>
          <w14:ligatures w14:val="standardContextual"/>
        </w:rPr>
        <w:t>undertake a detailed assessment. Usually this assessment will follow</w:t>
      </w:r>
      <w:r w:rsidRPr="00D172D3">
        <w:rPr>
          <w:kern w:val="2"/>
          <w14:ligatures w14:val="standardContextual"/>
        </w:rPr>
        <w:t xml:space="preserve"> one of the review processes described in the ABS’s Technical Framework. The Technical Framework describes a suggested review process for several of the CTC </w:t>
      </w:r>
      <w:hyperlink w:anchor="_Appendix_A:_Reasons" w:history="1">
        <w:r w:rsidRPr="00D172D3">
          <w:rPr>
            <w:rStyle w:val="Hyperlink"/>
            <w:kern w:val="2"/>
            <w14:ligatures w14:val="standardContextual"/>
          </w:rPr>
          <w:t>score review scenarios</w:t>
        </w:r>
      </w:hyperlink>
      <w:r w:rsidRPr="00D172D3">
        <w:rPr>
          <w:kern w:val="2"/>
          <w14:ligatures w14:val="standardContextual"/>
        </w:rPr>
        <w:t xml:space="preserve">. </w:t>
      </w:r>
    </w:p>
    <w:p w14:paraId="495D05B5" w14:textId="77777777" w:rsidR="00871E5A" w:rsidRPr="00D172D3" w:rsidRDefault="00871E5A" w:rsidP="003E3291">
      <w:pPr>
        <w:rPr>
          <w:kern w:val="2"/>
          <w14:ligatures w14:val="standardContextual"/>
        </w:rPr>
      </w:pPr>
      <w:r w:rsidRPr="00D172D3">
        <w:rPr>
          <w:kern w:val="2"/>
          <w14:ligatures w14:val="standardContextual"/>
        </w:rPr>
        <w:t>The detailed assessment will consider whether the existing CTC score is accurate or whether a new CTC score should be deemed.</w:t>
      </w:r>
    </w:p>
    <w:p w14:paraId="10B0B9BD" w14:textId="77777777" w:rsidR="00871E5A" w:rsidRPr="00D172D3" w:rsidRDefault="00871E5A" w:rsidP="00871E5A">
      <w:pPr>
        <w:keepNext/>
        <w:spacing w:after="120"/>
        <w:rPr>
          <w:b/>
          <w:kern w:val="2"/>
          <w14:ligatures w14:val="standardContextual"/>
        </w:rPr>
      </w:pPr>
      <w:bookmarkStart w:id="90" w:name="_Step_3:_Detailed"/>
      <w:bookmarkStart w:id="91" w:name="_Step_4:_Parental"/>
      <w:bookmarkStart w:id="92" w:name="_Toc26790548"/>
      <w:bookmarkStart w:id="93" w:name="_Toc42680506"/>
      <w:bookmarkEnd w:id="88"/>
      <w:bookmarkEnd w:id="90"/>
      <w:bookmarkEnd w:id="91"/>
      <w:r w:rsidRPr="00D172D3">
        <w:rPr>
          <w:b/>
          <w:kern w:val="2"/>
          <w14:ligatures w14:val="standardContextual"/>
        </w:rPr>
        <w:t>If required, a parental survey</w:t>
      </w:r>
      <w:bookmarkEnd w:id="92"/>
      <w:r w:rsidRPr="00D172D3">
        <w:rPr>
          <w:b/>
          <w:kern w:val="2"/>
          <w14:ligatures w14:val="standardContextual"/>
        </w:rPr>
        <w:t xml:space="preserve"> </w:t>
      </w:r>
      <w:bookmarkEnd w:id="93"/>
      <w:r w:rsidRPr="00D172D3">
        <w:rPr>
          <w:b/>
          <w:kern w:val="2"/>
          <w14:ligatures w14:val="standardContextual"/>
        </w:rPr>
        <w:t>could be suggested</w:t>
      </w:r>
    </w:p>
    <w:p w14:paraId="66D237FD" w14:textId="3AC0BB85" w:rsidR="00871E5A" w:rsidRPr="00D172D3" w:rsidRDefault="00871E5A" w:rsidP="003E3291">
      <w:pPr>
        <w:rPr>
          <w:kern w:val="2"/>
          <w14:ligatures w14:val="standardContextual"/>
        </w:rPr>
      </w:pPr>
      <w:bookmarkStart w:id="94" w:name="_Toc499133853"/>
      <w:bookmarkStart w:id="95" w:name="_Toc499133894"/>
      <w:bookmarkStart w:id="96" w:name="_Toc499802383"/>
      <w:bookmarkStart w:id="97" w:name="_Toc499133854"/>
      <w:bookmarkStart w:id="98" w:name="_Toc499133895"/>
      <w:bookmarkStart w:id="99" w:name="_Toc499802384"/>
      <w:bookmarkStart w:id="100" w:name="_Hlk88052487"/>
      <w:bookmarkStart w:id="101" w:name="_Toc483469913"/>
      <w:bookmarkEnd w:id="89"/>
      <w:bookmarkEnd w:id="94"/>
      <w:bookmarkEnd w:id="95"/>
      <w:bookmarkEnd w:id="96"/>
      <w:bookmarkEnd w:id="97"/>
      <w:bookmarkEnd w:id="98"/>
      <w:bookmarkEnd w:id="99"/>
      <w:r w:rsidRPr="00D172D3">
        <w:rPr>
          <w:kern w:val="2"/>
          <w14:ligatures w14:val="standardContextual"/>
        </w:rPr>
        <w:t>The department could propose a parental survey be carried out. A parental survey would ask questions</w:t>
      </w:r>
      <w:r w:rsidRPr="00D172D3">
        <w:rPr>
          <w:rStyle w:val="FootnoteReference"/>
          <w:kern w:val="2"/>
          <w14:ligatures w14:val="standardContextual"/>
        </w:rPr>
        <w:footnoteReference w:id="10"/>
      </w:r>
      <w:r w:rsidRPr="00D172D3">
        <w:rPr>
          <w:kern w:val="2"/>
          <w14:ligatures w14:val="standardContextual"/>
        </w:rPr>
        <w:t xml:space="preserve"> about each parent’s personal income as reported in their tax return for a specified year. This information would be used by the department to calculate an </w:t>
      </w:r>
      <w:hyperlink r:id="rId23" w:history="1">
        <w:r w:rsidRPr="00D172D3">
          <w:rPr>
            <w:rStyle w:val="Hyperlink"/>
            <w:kern w:val="2"/>
            <w14:ligatures w14:val="standardContextual"/>
          </w:rPr>
          <w:t>Adjusted Taxable Income</w:t>
        </w:r>
      </w:hyperlink>
      <w:r w:rsidRPr="00D172D3">
        <w:rPr>
          <w:kern w:val="2"/>
          <w:sz w:val="20"/>
          <w:lang w:val="en-US"/>
          <w14:ligatures w14:val="standardContextual"/>
        </w:rPr>
        <w:t xml:space="preserve"> </w:t>
      </w:r>
      <w:r w:rsidRPr="00D172D3">
        <w:rPr>
          <w:kern w:val="2"/>
          <w14:ligatures w14:val="standardContextual"/>
        </w:rPr>
        <w:t>for each parent and, from that information, the median family income for the school. The median income would then be used to derive the school’s CTC score.</w:t>
      </w:r>
    </w:p>
    <w:p w14:paraId="3053D5CF" w14:textId="71BD5CF9" w:rsidR="00C10B0F" w:rsidRPr="00D172D3" w:rsidRDefault="00871E5A" w:rsidP="003E3291">
      <w:pPr>
        <w:rPr>
          <w:kern w:val="2"/>
          <w14:ligatures w14:val="standardContextual"/>
        </w:rPr>
      </w:pPr>
      <w:r w:rsidRPr="00D172D3">
        <w:rPr>
          <w:kern w:val="2"/>
          <w14:ligatures w14:val="standardContextual"/>
        </w:rPr>
        <w:t xml:space="preserve">The department would exhaust all other avenues before suggesting a parental survey. Parental surveys are resource-intensive for schools to undertake given the high response rate (100% of all parents) required. </w:t>
      </w:r>
      <w:bookmarkStart w:id="102" w:name="_Hlk110514303"/>
      <w:r w:rsidRPr="00D172D3">
        <w:rPr>
          <w:kern w:val="2"/>
          <w14:ligatures w14:val="standardContextual"/>
        </w:rPr>
        <w:t xml:space="preserve">Also, the accuracy of information collected through a parental survey cannot be guaranteed in the same way the accuracy of administrative data contained in the </w:t>
      </w:r>
      <w:r w:rsidR="002533F2" w:rsidRPr="003E3291">
        <w:rPr>
          <w:kern w:val="2"/>
          <w14:ligatures w14:val="standardContextual"/>
        </w:rPr>
        <w:t>PLIDA</w:t>
      </w:r>
      <w:r w:rsidR="002533F2" w:rsidRPr="00D172D3">
        <w:rPr>
          <w:kern w:val="2"/>
          <w14:ligatures w14:val="standardContextual"/>
        </w:rPr>
        <w:t xml:space="preserve"> </w:t>
      </w:r>
      <w:r w:rsidRPr="00D172D3">
        <w:rPr>
          <w:kern w:val="2"/>
          <w14:ligatures w14:val="standardContextual"/>
        </w:rPr>
        <w:t>can.</w:t>
      </w:r>
      <w:bookmarkEnd w:id="102"/>
    </w:p>
    <w:p w14:paraId="7D1D72F1" w14:textId="413D6A22" w:rsidR="00871E5A" w:rsidRPr="00D172D3" w:rsidRDefault="00871E5A" w:rsidP="00D172D3">
      <w:pPr>
        <w:rPr>
          <w:b/>
          <w:kern w:val="2"/>
          <w14:ligatures w14:val="standardContextual"/>
        </w:rPr>
      </w:pPr>
      <w:r w:rsidRPr="00D172D3">
        <w:rPr>
          <w:b/>
          <w:kern w:val="2"/>
          <w14:ligatures w14:val="standardContextual"/>
        </w:rPr>
        <w:t xml:space="preserve">Step 3: Approved authority provided with draft report  </w:t>
      </w:r>
    </w:p>
    <w:p w14:paraId="6DCF92C4" w14:textId="08A4C32F" w:rsidR="00871E5A" w:rsidRPr="00D172D3" w:rsidRDefault="00871E5A" w:rsidP="003E3291">
      <w:pPr>
        <w:rPr>
          <w:kern w:val="2"/>
          <w14:ligatures w14:val="standardContextual"/>
        </w:rPr>
      </w:pPr>
      <w:bookmarkStart w:id="103" w:name="_Toc26790549"/>
      <w:bookmarkStart w:id="104" w:name="_Toc42680507"/>
      <w:bookmarkEnd w:id="100"/>
      <w:r w:rsidRPr="00D172D3">
        <w:rPr>
          <w:kern w:val="2"/>
          <w14:ligatures w14:val="standardContextual"/>
        </w:rPr>
        <w:t xml:space="preserve">The approved authority is given an opportunity to respond to the department’s draft assessment report before it is provided to the assessor. At this time the approved authority can provide further evidence or data to support their application. </w:t>
      </w:r>
    </w:p>
    <w:p w14:paraId="4F3E55EC" w14:textId="47802ECB" w:rsidR="00871E5A" w:rsidRPr="00D172D3" w:rsidRDefault="00871E5A" w:rsidP="00871E5A">
      <w:pPr>
        <w:keepNext/>
        <w:spacing w:after="120"/>
        <w:rPr>
          <w:b/>
          <w:kern w:val="2"/>
          <w14:ligatures w14:val="standardContextual"/>
        </w:rPr>
      </w:pPr>
      <w:r w:rsidRPr="00D172D3">
        <w:rPr>
          <w:b/>
          <w:kern w:val="2"/>
          <w14:ligatures w14:val="standardContextual"/>
        </w:rPr>
        <w:t xml:space="preserve">Step 6: </w:t>
      </w:r>
      <w:bookmarkEnd w:id="103"/>
      <w:r w:rsidR="00DF4C08" w:rsidRPr="003E3291">
        <w:rPr>
          <w:b/>
          <w:bCs/>
          <w:kern w:val="2"/>
          <w14:ligatures w14:val="standardContextual"/>
        </w:rPr>
        <w:t>Independent</w:t>
      </w:r>
      <w:r w:rsidR="00DF4C08" w:rsidRPr="00D172D3">
        <w:rPr>
          <w:b/>
          <w:kern w:val="2"/>
          <w14:ligatures w14:val="standardContextual"/>
        </w:rPr>
        <w:t xml:space="preserve"> </w:t>
      </w:r>
      <w:r w:rsidRPr="00D172D3">
        <w:rPr>
          <w:b/>
          <w:kern w:val="2"/>
          <w14:ligatures w14:val="standardContextual"/>
        </w:rPr>
        <w:t xml:space="preserve">oversight </w:t>
      </w:r>
      <w:bookmarkEnd w:id="104"/>
    </w:p>
    <w:p w14:paraId="7572983A" w14:textId="77777777" w:rsidR="00205448" w:rsidRPr="003E3291" w:rsidRDefault="00205448" w:rsidP="00205448">
      <w:pPr>
        <w:rPr>
          <w:kern w:val="2"/>
          <w14:ligatures w14:val="standardContextual"/>
        </w:rPr>
      </w:pPr>
      <w:r w:rsidRPr="003E3291">
        <w:rPr>
          <w:kern w:val="2"/>
          <w14:ligatures w14:val="standardContextual"/>
        </w:rPr>
        <w:t xml:space="preserve">An independent, internal assessment of the draft assessment report and review documentation is carried out by an independent officer in a separate area of the department who was not involved in the original CTC review process. The internal assessor’s role is to ensure the CTC Score Reviews </w:t>
      </w:r>
      <w:r w:rsidRPr="003E3291">
        <w:rPr>
          <w:kern w:val="2"/>
          <w14:ligatures w14:val="standardContextual"/>
        </w:rPr>
        <w:lastRenderedPageBreak/>
        <w:t>Team’s assessment is reasonable, appropriate, and thorough in light of all evidence provided and gathered, and that it has followed correct procedures.</w:t>
      </w:r>
    </w:p>
    <w:p w14:paraId="4EBE6BD4" w14:textId="77777777" w:rsidR="00871E5A" w:rsidRPr="00D172D3" w:rsidRDefault="00871E5A" w:rsidP="00871E5A">
      <w:pPr>
        <w:keepNext/>
        <w:spacing w:after="120"/>
        <w:rPr>
          <w:b/>
          <w:kern w:val="2"/>
          <w14:ligatures w14:val="standardContextual"/>
        </w:rPr>
      </w:pPr>
      <w:bookmarkStart w:id="105" w:name="_Toc26790550"/>
      <w:bookmarkStart w:id="106" w:name="_Toc42680508"/>
      <w:r w:rsidRPr="00D172D3">
        <w:rPr>
          <w:b/>
          <w:kern w:val="2"/>
          <w14:ligatures w14:val="standardContextual"/>
        </w:rPr>
        <w:t xml:space="preserve">Step 7: </w:t>
      </w:r>
      <w:bookmarkEnd w:id="105"/>
      <w:r w:rsidRPr="00D172D3">
        <w:rPr>
          <w:b/>
          <w:kern w:val="2"/>
          <w14:ligatures w14:val="standardContextual"/>
        </w:rPr>
        <w:t xml:space="preserve">Recommendation and </w:t>
      </w:r>
      <w:bookmarkEnd w:id="106"/>
      <w:r w:rsidRPr="00D172D3">
        <w:rPr>
          <w:b/>
          <w:kern w:val="2"/>
          <w14:ligatures w14:val="standardContextual"/>
        </w:rPr>
        <w:t>decision</w:t>
      </w:r>
    </w:p>
    <w:p w14:paraId="7A3B7FCD" w14:textId="5293154C" w:rsidR="00871E5A" w:rsidRPr="00D172D3" w:rsidRDefault="00871E5A" w:rsidP="00270F7C">
      <w:pPr>
        <w:spacing w:after="120"/>
        <w:rPr>
          <w:kern w:val="2"/>
          <w14:ligatures w14:val="standardContextual"/>
        </w:rPr>
      </w:pPr>
      <w:r w:rsidRPr="00D172D3">
        <w:rPr>
          <w:kern w:val="2"/>
          <w14:ligatures w14:val="standardContextual"/>
        </w:rPr>
        <w:t xml:space="preserve">The department makes recommendations to the Delegate who is a senior departmental official. If a new score is recommended, the years to which that score will apply to the school’s funding calculation are also provided to the Delegate for decision. </w:t>
      </w:r>
    </w:p>
    <w:p w14:paraId="57A2C8DE" w14:textId="6FA4DD8C" w:rsidR="00871E5A" w:rsidRPr="003E3291" w:rsidRDefault="00C55A32" w:rsidP="003E3291">
      <w:pPr>
        <w:pStyle w:val="ListBullet"/>
        <w:spacing w:after="120"/>
        <w:contextualSpacing w:val="0"/>
      </w:pPr>
      <w:r w:rsidRPr="003E3291">
        <w:t xml:space="preserve">If the Delegate is </w:t>
      </w:r>
      <w:r w:rsidR="00871E5A" w:rsidRPr="003E3291">
        <w:t>satisfied the CTC score under review is accurate, they will decide to redetermine that score.</w:t>
      </w:r>
    </w:p>
    <w:p w14:paraId="1B00CDFC" w14:textId="77777777" w:rsidR="00871E5A" w:rsidRPr="003E3291" w:rsidRDefault="00871E5A" w:rsidP="003E3291">
      <w:pPr>
        <w:pStyle w:val="ListBullet"/>
        <w:rPr>
          <w:b/>
          <w:bCs/>
        </w:rPr>
      </w:pPr>
      <w:r w:rsidRPr="003E3291">
        <w:t xml:space="preserve">If the Delegate is satisfied the CTC score determined for the school is not accurate, they will determine a new CTC score. </w:t>
      </w:r>
      <w:bookmarkStart w:id="107" w:name="_Toc499802388"/>
      <w:bookmarkStart w:id="108" w:name="_Toc499133859"/>
      <w:bookmarkStart w:id="109" w:name="_Toc499133899"/>
      <w:bookmarkStart w:id="110" w:name="_Toc499802389"/>
      <w:bookmarkStart w:id="111" w:name="_Toc483469921"/>
      <w:bookmarkStart w:id="112" w:name="_Toc26790551"/>
      <w:bookmarkStart w:id="113" w:name="_Toc42680509"/>
      <w:bookmarkEnd w:id="101"/>
      <w:bookmarkEnd w:id="107"/>
      <w:bookmarkEnd w:id="108"/>
      <w:bookmarkEnd w:id="109"/>
      <w:bookmarkEnd w:id="110"/>
    </w:p>
    <w:p w14:paraId="08EAEE27" w14:textId="77777777" w:rsidR="00871E5A" w:rsidRPr="00D172D3" w:rsidRDefault="00871E5A" w:rsidP="00871E5A">
      <w:pPr>
        <w:keepNext/>
        <w:spacing w:after="120" w:line="240" w:lineRule="auto"/>
        <w:rPr>
          <w:b/>
          <w:kern w:val="2"/>
          <w14:ligatures w14:val="standardContextual"/>
        </w:rPr>
      </w:pPr>
      <w:r w:rsidRPr="00D172D3">
        <w:rPr>
          <w:b/>
          <w:kern w:val="2"/>
          <w14:ligatures w14:val="standardContextual"/>
        </w:rPr>
        <w:t>Step 8: Notify approved authority of the decision</w:t>
      </w:r>
      <w:bookmarkEnd w:id="111"/>
      <w:bookmarkEnd w:id="112"/>
      <w:bookmarkEnd w:id="113"/>
    </w:p>
    <w:p w14:paraId="37BF0B16" w14:textId="3C470446" w:rsidR="00871E5A" w:rsidRPr="00D172D3" w:rsidRDefault="00871E5A" w:rsidP="003E3291">
      <w:pPr>
        <w:rPr>
          <w:kern w:val="2"/>
          <w14:ligatures w14:val="standardContextual"/>
        </w:rPr>
      </w:pPr>
      <w:r w:rsidRPr="00D172D3">
        <w:rPr>
          <w:kern w:val="2"/>
          <w14:ligatures w14:val="standardContextual"/>
        </w:rPr>
        <w:t>The department formally notifies the approved authority of the Delegate’s decision</w:t>
      </w:r>
      <w:r w:rsidRPr="00D172D3">
        <w:rPr>
          <w:rStyle w:val="FootnoteReference"/>
          <w:kern w:val="2"/>
          <w14:ligatures w14:val="standardContextual"/>
        </w:rPr>
        <w:footnoteReference w:id="11"/>
      </w:r>
      <w:r w:rsidRPr="00D172D3">
        <w:rPr>
          <w:kern w:val="2"/>
          <w14:ligatures w14:val="standardContextual"/>
        </w:rPr>
        <w:t xml:space="preserve">. The notice includes the determined CTC score, the years the new score will apply and the reasons for the decision. The notice also sets out the approved authority’s right to internal review of the decision. For more information about internal reviews see </w:t>
      </w:r>
      <w:hyperlink w:anchor="_Can_I_seek" w:history="1">
        <w:r w:rsidRPr="00D172D3">
          <w:rPr>
            <w:rStyle w:val="Hyperlink"/>
            <w:kern w:val="2"/>
            <w14:ligatures w14:val="standardContextual"/>
          </w:rPr>
          <w:t>Can I seek a review of a deemed CTC score?</w:t>
        </w:r>
      </w:hyperlink>
      <w:r w:rsidRPr="00D172D3">
        <w:rPr>
          <w:kern w:val="2"/>
          <w14:ligatures w14:val="standardContextual"/>
        </w:rPr>
        <w:t>.</w:t>
      </w:r>
    </w:p>
    <w:p w14:paraId="0D121367" w14:textId="59833AA4" w:rsidR="00CE1616" w:rsidRPr="003E3291" w:rsidRDefault="00CE1616" w:rsidP="00B14ADF">
      <w:pPr>
        <w:pStyle w:val="Heading2"/>
        <w:rPr>
          <w:rFonts w:asciiTheme="minorHAnsi" w:eastAsiaTheme="minorHAnsi" w:hAnsiTheme="minorHAnsi" w:cstheme="minorBidi"/>
          <w:color w:val="auto"/>
          <w:sz w:val="22"/>
          <w:szCs w:val="22"/>
        </w:rPr>
      </w:pPr>
      <w:bookmarkStart w:id="114" w:name="_Annual_review_of"/>
      <w:bookmarkStart w:id="115" w:name="_Toc173913197"/>
      <w:bookmarkEnd w:id="114"/>
      <w:r w:rsidRPr="003E3291">
        <w:t xml:space="preserve">Annual review of </w:t>
      </w:r>
      <w:r w:rsidRPr="00C213BC">
        <w:t>deemed</w:t>
      </w:r>
      <w:r w:rsidRPr="003E3291">
        <w:t xml:space="preserve"> CTC scores</w:t>
      </w:r>
      <w:bookmarkEnd w:id="115"/>
    </w:p>
    <w:p w14:paraId="4143D7FB" w14:textId="062E06FD" w:rsidR="00602A6B" w:rsidRPr="003E3291" w:rsidRDefault="00CE1616" w:rsidP="003E3291">
      <w:pPr>
        <w:rPr>
          <w:kern w:val="2"/>
          <w14:ligatures w14:val="standardContextual"/>
        </w:rPr>
      </w:pPr>
      <w:r w:rsidRPr="003E3291">
        <w:rPr>
          <w:kern w:val="2"/>
          <w14:ligatures w14:val="standardContextual"/>
        </w:rPr>
        <w:t>Deemed CTC scores are reviewed annually by the CTC score reviews team</w:t>
      </w:r>
      <w:r w:rsidR="006F0E45" w:rsidRPr="006F0E45">
        <w:rPr>
          <w:rFonts w:ascii="Calibri" w:eastAsia="Calibri" w:hAnsi="Calibri" w:cs="Times New Roman"/>
        </w:rPr>
        <w:t>.</w:t>
      </w:r>
    </w:p>
    <w:p w14:paraId="20A334AE" w14:textId="7B6D0034" w:rsidR="001B5E5D" w:rsidRPr="003E3291" w:rsidRDefault="00DA288C" w:rsidP="003E3291">
      <w:pPr>
        <w:rPr>
          <w:kern w:val="2"/>
          <w14:ligatures w14:val="standardContextual"/>
        </w:rPr>
      </w:pPr>
      <w:r w:rsidRPr="003E3291">
        <w:rPr>
          <w:kern w:val="2"/>
          <w14:ligatures w14:val="standardContextual"/>
        </w:rPr>
        <w:t>If</w:t>
      </w:r>
      <w:r w:rsidR="006F0E45" w:rsidRPr="006F0E45">
        <w:rPr>
          <w:rFonts w:ascii="Calibri" w:eastAsia="Calibri" w:hAnsi="Calibri" w:cs="Times New Roman"/>
        </w:rPr>
        <w:t>, following the annual review, the delegate is satisfied</w:t>
      </w:r>
      <w:r w:rsidRPr="003E3291">
        <w:rPr>
          <w:kern w:val="2"/>
          <w14:ligatures w14:val="standardContextual"/>
        </w:rPr>
        <w:t xml:space="preserve"> a CTC</w:t>
      </w:r>
      <w:r w:rsidR="006F0E45" w:rsidRPr="006F0E45">
        <w:rPr>
          <w:rFonts w:ascii="Calibri" w:eastAsia="Calibri" w:hAnsi="Calibri" w:cs="Times New Roman"/>
        </w:rPr>
        <w:t> </w:t>
      </w:r>
      <w:r w:rsidRPr="003E3291">
        <w:rPr>
          <w:kern w:val="2"/>
          <w14:ligatures w14:val="standardContextual"/>
        </w:rPr>
        <w:t xml:space="preserve">score </w:t>
      </w:r>
      <w:r w:rsidR="006F0E45" w:rsidRPr="006F0E45">
        <w:rPr>
          <w:rFonts w:ascii="Calibri" w:eastAsia="Calibri" w:hAnsi="Calibri" w:cs="Times New Roman"/>
        </w:rPr>
        <w:t>calculated in accordance with the Regulations would be</w:t>
      </w:r>
      <w:r w:rsidRPr="003E3291">
        <w:rPr>
          <w:kern w:val="2"/>
          <w14:ligatures w14:val="standardContextual"/>
        </w:rPr>
        <w:t xml:space="preserve"> accurate, the school’s CTC</w:t>
      </w:r>
      <w:r w:rsidR="006F0E45" w:rsidRPr="006F0E45">
        <w:rPr>
          <w:rFonts w:ascii="Calibri" w:eastAsia="Calibri" w:hAnsi="Calibri" w:cs="Times New Roman"/>
        </w:rPr>
        <w:t xml:space="preserve"> </w:t>
      </w:r>
      <w:r w:rsidRPr="003E3291">
        <w:rPr>
          <w:kern w:val="2"/>
          <w14:ligatures w14:val="standardContextual"/>
        </w:rPr>
        <w:t xml:space="preserve">score for the next funding year will be determined in accordance with the Regulations and replace the deemed score. </w:t>
      </w:r>
      <w:r w:rsidR="006F0E45" w:rsidRPr="006F0E45">
        <w:rPr>
          <w:rFonts w:ascii="Calibri" w:eastAsia="Calibri" w:hAnsi="Calibri" w:cs="Times New Roman"/>
        </w:rPr>
        <w:t xml:space="preserve">For small </w:t>
      </w:r>
      <w:r w:rsidR="006F0E45">
        <w:rPr>
          <w:rFonts w:ascii="Calibri" w:eastAsia="Calibri" w:hAnsi="Calibri" w:cs="Times New Roman"/>
        </w:rPr>
        <w:t xml:space="preserve">and very small </w:t>
      </w:r>
      <w:r w:rsidR="006F0E45" w:rsidRPr="006F0E45">
        <w:rPr>
          <w:rFonts w:ascii="Calibri" w:eastAsia="Calibri" w:hAnsi="Calibri" w:cs="Times New Roman"/>
        </w:rPr>
        <w:t>schools, the move from a deemed CTC score to a score calculated in accordance with the Regulations will be subject to a 2 point cap to align the transition with the approach set out in the Regulations.</w:t>
      </w:r>
      <w:r w:rsidR="006F0E45" w:rsidRPr="006F0E45">
        <w:rPr>
          <w:rFonts w:ascii="Calibri" w:eastAsia="Calibri" w:hAnsi="Calibri" w:cs="Times New Roman"/>
          <w:vertAlign w:val="superscript"/>
        </w:rPr>
        <w:footnoteReference w:id="12"/>
      </w:r>
    </w:p>
    <w:p w14:paraId="122FC94A" w14:textId="1FADD150" w:rsidR="006F0E45" w:rsidRPr="006F0E45" w:rsidRDefault="006F0E45" w:rsidP="006F0E45">
      <w:pPr>
        <w:rPr>
          <w:rFonts w:ascii="Calibri" w:eastAsia="Calibri" w:hAnsi="Calibri" w:cs="Times New Roman"/>
        </w:rPr>
      </w:pPr>
      <w:r w:rsidRPr="006F0E45">
        <w:rPr>
          <w:rFonts w:ascii="Calibri" w:eastAsia="Calibri" w:hAnsi="Calibri" w:cs="Times New Roman"/>
        </w:rPr>
        <w:t>If the delegate is not satisfied a CTC score calculated in accordance with the Regulations would be accurate, the annual review will consider whether the methodology used to calculate the deemed score under review still provides an accurate CTC score. As part of this process, the CTC score reviews team will consider whether updated or new data is available that could be applied to calculate a new deemed score that more accurately reflects the school’s circumstances.</w:t>
      </w:r>
    </w:p>
    <w:p w14:paraId="2C209AEB" w14:textId="77777777" w:rsidR="00871E5A" w:rsidRPr="00D172D3" w:rsidRDefault="00871E5A" w:rsidP="00B14ADF">
      <w:pPr>
        <w:pStyle w:val="Heading2"/>
        <w:rPr>
          <w:rFonts w:asciiTheme="minorHAnsi" w:hAnsiTheme="minorHAnsi"/>
          <w:color w:val="auto"/>
          <w:sz w:val="22"/>
        </w:rPr>
      </w:pPr>
      <w:bookmarkStart w:id="116" w:name="_Toc42680517"/>
      <w:bookmarkStart w:id="117" w:name="_Toc110520301"/>
      <w:bookmarkStart w:id="118" w:name="_Toc173913198"/>
      <w:bookmarkStart w:id="119" w:name="_Toc129701984"/>
      <w:r w:rsidRPr="003E3291">
        <w:lastRenderedPageBreak/>
        <w:t>Publication</w:t>
      </w:r>
      <w:bookmarkEnd w:id="116"/>
      <w:r w:rsidRPr="003E3291">
        <w:t xml:space="preserve"> of CTC </w:t>
      </w:r>
      <w:r w:rsidRPr="00C213BC">
        <w:t>scores</w:t>
      </w:r>
      <w:r w:rsidRPr="003E3291">
        <w:t xml:space="preserve"> following review</w:t>
      </w:r>
      <w:bookmarkEnd w:id="117"/>
      <w:bookmarkEnd w:id="118"/>
      <w:bookmarkEnd w:id="119"/>
    </w:p>
    <w:p w14:paraId="79E3FCEA" w14:textId="43ABF2C2" w:rsidR="00871E5A" w:rsidRPr="00D172D3" w:rsidRDefault="00871E5A" w:rsidP="003E3291">
      <w:pPr>
        <w:rPr>
          <w:kern w:val="2"/>
          <w14:ligatures w14:val="standardContextual"/>
        </w:rPr>
      </w:pPr>
      <w:r w:rsidRPr="00D172D3">
        <w:rPr>
          <w:kern w:val="2"/>
          <w14:ligatures w14:val="standardContextual"/>
        </w:rPr>
        <w:t xml:space="preserve">If a new CTC score determined for a school has not been calculated in accordance with the </w:t>
      </w:r>
      <w:r w:rsidRPr="003E3291">
        <w:rPr>
          <w:kern w:val="2"/>
          <w14:ligatures w14:val="standardContextual"/>
        </w:rPr>
        <w:t>Regulation</w:t>
      </w:r>
      <w:r w:rsidR="00A63D80" w:rsidRPr="003E3291">
        <w:rPr>
          <w:kern w:val="2"/>
          <w14:ligatures w14:val="standardContextual"/>
        </w:rPr>
        <w:t>s</w:t>
      </w:r>
      <w:r w:rsidRPr="00D172D3">
        <w:rPr>
          <w:kern w:val="2"/>
          <w14:ligatures w14:val="standardContextual"/>
        </w:rPr>
        <w:t xml:space="preserve">, section 24AAA of the </w:t>
      </w:r>
      <w:r w:rsidRPr="003E3291">
        <w:rPr>
          <w:kern w:val="2"/>
          <w14:ligatures w14:val="standardContextual"/>
        </w:rPr>
        <w:t>Regulation</w:t>
      </w:r>
      <w:r w:rsidR="00A63D80" w:rsidRPr="003E3291">
        <w:rPr>
          <w:kern w:val="2"/>
          <w14:ligatures w14:val="standardContextual"/>
        </w:rPr>
        <w:t>s</w:t>
      </w:r>
      <w:r w:rsidRPr="00D172D3" w:rsidDel="00EB19EC">
        <w:rPr>
          <w:kern w:val="2"/>
          <w14:ligatures w14:val="standardContextual"/>
        </w:rPr>
        <w:t xml:space="preserve"> </w:t>
      </w:r>
      <w:r w:rsidRPr="00D172D3">
        <w:rPr>
          <w:kern w:val="2"/>
          <w14:ligatures w14:val="standardContextual"/>
        </w:rPr>
        <w:t xml:space="preserve">requires the department to publish the CTC score, the years to which the score applies, and the reasons for determining the new score. For transparency, the department also publishes outcomes of CTC score reviews where the newly determined CTC score has been calculated in accordance with the </w:t>
      </w:r>
      <w:r w:rsidRPr="003E3291">
        <w:rPr>
          <w:kern w:val="2"/>
          <w14:ligatures w14:val="standardContextual"/>
        </w:rPr>
        <w:t>Regulation</w:t>
      </w:r>
      <w:r w:rsidR="00E729F5" w:rsidRPr="003E3291">
        <w:rPr>
          <w:kern w:val="2"/>
          <w14:ligatures w14:val="standardContextual"/>
        </w:rPr>
        <w:t>s</w:t>
      </w:r>
      <w:r w:rsidRPr="00D172D3">
        <w:rPr>
          <w:kern w:val="2"/>
          <w14:ligatures w14:val="standardContextual"/>
        </w:rPr>
        <w:t xml:space="preserve">. Outcomes of CTC score reviews are published on the department’s </w:t>
      </w:r>
      <w:r w:rsidR="006F0E45" w:rsidRPr="006F0E45">
        <w:rPr>
          <w:rFonts w:ascii="Calibri" w:eastAsia="Calibri" w:hAnsi="Calibri" w:cs="Times New Roman"/>
        </w:rPr>
        <w:t xml:space="preserve">website at: </w:t>
      </w:r>
      <w:hyperlink r:id="rId24" w:history="1">
        <w:r w:rsidR="006F0E45" w:rsidRPr="006F0E45">
          <w:rPr>
            <w:rFonts w:ascii="Calibri" w:eastAsia="Calibri" w:hAnsi="Calibri" w:cs="Times New Roman"/>
            <w:color w:val="7F4594"/>
            <w:u w:val="single"/>
          </w:rPr>
          <w:t>www.education.gov.au/recurrent-funding-schools/resources/outcome-ctc-score-reviews</w:t>
        </w:r>
      </w:hyperlink>
      <w:r w:rsidRPr="00D172D3">
        <w:rPr>
          <w:kern w:val="2"/>
          <w14:ligatures w14:val="standardContextual"/>
        </w:rPr>
        <w:t xml:space="preserve">. </w:t>
      </w:r>
    </w:p>
    <w:p w14:paraId="3A6AA228" w14:textId="77777777" w:rsidR="00871E5A" w:rsidRPr="00D172D3" w:rsidRDefault="00871E5A" w:rsidP="00B14ADF">
      <w:pPr>
        <w:pStyle w:val="Heading2"/>
        <w:rPr>
          <w:rFonts w:asciiTheme="minorHAnsi" w:hAnsiTheme="minorHAnsi"/>
          <w:color w:val="auto"/>
          <w:sz w:val="22"/>
        </w:rPr>
      </w:pPr>
      <w:bookmarkStart w:id="120" w:name="_Toc42517867"/>
      <w:bookmarkStart w:id="121" w:name="_Toc42518155"/>
      <w:bookmarkStart w:id="122" w:name="_Toc42518798"/>
      <w:bookmarkStart w:id="123" w:name="_Toc42680519"/>
      <w:bookmarkStart w:id="124" w:name="_Toc110520302"/>
      <w:bookmarkStart w:id="125" w:name="_Toc173913199"/>
      <w:bookmarkStart w:id="126" w:name="_Toc129701985"/>
      <w:bookmarkEnd w:id="120"/>
      <w:bookmarkEnd w:id="121"/>
      <w:bookmarkEnd w:id="122"/>
      <w:r w:rsidRPr="003E3291">
        <w:t xml:space="preserve">Information </w:t>
      </w:r>
      <w:r w:rsidRPr="00C213BC">
        <w:t>management</w:t>
      </w:r>
      <w:r w:rsidRPr="003E3291">
        <w:t xml:space="preserve"> and privacy</w:t>
      </w:r>
      <w:bookmarkEnd w:id="123"/>
      <w:bookmarkEnd w:id="124"/>
      <w:bookmarkEnd w:id="125"/>
      <w:bookmarkEnd w:id="126"/>
    </w:p>
    <w:p w14:paraId="27DBA9D5" w14:textId="368CDF02" w:rsidR="00871E5A" w:rsidRPr="00D172D3" w:rsidRDefault="00871E5A" w:rsidP="003E3291">
      <w:pPr>
        <w:rPr>
          <w:kern w:val="2"/>
          <w14:ligatures w14:val="standardContextual"/>
        </w:rPr>
      </w:pPr>
      <w:r w:rsidRPr="00D172D3">
        <w:rPr>
          <w:kern w:val="2"/>
          <w14:ligatures w14:val="standardContextual"/>
        </w:rPr>
        <w:t xml:space="preserve">Information received by the department for a review of a school’s CTC score is ‘school education information’ for the purposes of the Act and may be used and dealt with in accordance with section 125 of the Act and section 65 of the </w:t>
      </w:r>
      <w:r w:rsidRPr="003E3291">
        <w:rPr>
          <w:kern w:val="2"/>
          <w14:ligatures w14:val="standardContextual"/>
        </w:rPr>
        <w:t>Regulation</w:t>
      </w:r>
      <w:r w:rsidR="00E729F5" w:rsidRPr="003E3291">
        <w:rPr>
          <w:kern w:val="2"/>
          <w14:ligatures w14:val="standardContextual"/>
        </w:rPr>
        <w:t>s</w:t>
      </w:r>
      <w:r w:rsidRPr="00D172D3">
        <w:rPr>
          <w:kern w:val="2"/>
          <w14:ligatures w14:val="standardContextual"/>
        </w:rPr>
        <w:t>.</w:t>
      </w:r>
    </w:p>
    <w:p w14:paraId="310F06EE" w14:textId="77777777" w:rsidR="00871E5A" w:rsidRPr="00D172D3" w:rsidRDefault="00871E5A" w:rsidP="003E3291">
      <w:pPr>
        <w:rPr>
          <w:kern w:val="2"/>
          <w14:ligatures w14:val="standardContextual"/>
        </w:rPr>
      </w:pPr>
      <w:r w:rsidRPr="00D172D3">
        <w:rPr>
          <w:kern w:val="2"/>
          <w14:ligatures w14:val="standardContextual"/>
        </w:rPr>
        <w:t xml:space="preserve">The department ensures that it adheres to the Australian Privacy Principles, contained in the </w:t>
      </w:r>
      <w:r w:rsidRPr="00D172D3">
        <w:rPr>
          <w:i/>
          <w:kern w:val="2"/>
          <w14:ligatures w14:val="standardContextual"/>
        </w:rPr>
        <w:t>Privacy Act 1988</w:t>
      </w:r>
      <w:r w:rsidRPr="00D172D3">
        <w:rPr>
          <w:kern w:val="2"/>
          <w14:ligatures w14:val="standardContextual"/>
        </w:rPr>
        <w:t>, when dealing with any personal information provided with an application.</w:t>
      </w:r>
    </w:p>
    <w:p w14:paraId="288994EE" w14:textId="77777777" w:rsidR="00871E5A" w:rsidRPr="00D172D3" w:rsidRDefault="00871E5A" w:rsidP="003E3291">
      <w:pPr>
        <w:rPr>
          <w:kern w:val="2"/>
          <w14:ligatures w14:val="standardContextual"/>
        </w:rPr>
      </w:pPr>
      <w:r w:rsidRPr="00D172D3">
        <w:rPr>
          <w:kern w:val="2"/>
          <w14:ligatures w14:val="standardContextual"/>
        </w:rPr>
        <w:t xml:space="preserve">The department requests that applicants do </w:t>
      </w:r>
      <w:r w:rsidRPr="00D172D3">
        <w:rPr>
          <w:b/>
          <w:kern w:val="2"/>
          <w14:ligatures w14:val="standardContextual"/>
        </w:rPr>
        <w:t>not</w:t>
      </w:r>
      <w:r w:rsidRPr="00D172D3">
        <w:rPr>
          <w:kern w:val="2"/>
          <w14:ligatures w14:val="standardContextual"/>
        </w:rPr>
        <w:t xml:space="preserve"> provide personal information as part of their business case or supporting evidence, if possible. Personal information includes information or an opinion, whether true or not, and whether recorded in a material form or not, about an identified individual, or an individual who is reasonably identifiable. However, if a business case relies on the provision of personal information, the department requests that applicants obtain the consent of the individual/s to whom the information relates prior to providing it to the department.</w:t>
      </w:r>
    </w:p>
    <w:p w14:paraId="7F6DD074" w14:textId="77777777" w:rsidR="00F47A99" w:rsidRPr="003E3291" w:rsidRDefault="00F47A99" w:rsidP="00F47A99">
      <w:pPr>
        <w:rPr>
          <w:kern w:val="2"/>
          <w14:ligatures w14:val="standardContextual"/>
        </w:rPr>
      </w:pPr>
      <w:r w:rsidRPr="003E3291">
        <w:rPr>
          <w:kern w:val="2"/>
          <w14:ligatures w14:val="standardContextual"/>
        </w:rPr>
        <w:t xml:space="preserve">Further information about the collection of personal information during the CTC score review process is provided in the CTC score review Privacy Statement which is available at: </w:t>
      </w:r>
      <w:hyperlink r:id="rId25" w:history="1">
        <w:r w:rsidRPr="003E3291">
          <w:rPr>
            <w:rStyle w:val="Hyperlink"/>
            <w:kern w:val="2"/>
            <w14:ligatures w14:val="standardContextual"/>
          </w:rPr>
          <w:t>www.education.gov.au/recurrent-funding-schools/resources/application-form-review-capacity-contribute-score</w:t>
        </w:r>
      </w:hyperlink>
      <w:r w:rsidRPr="003E3291">
        <w:rPr>
          <w:kern w:val="2"/>
          <w14:ligatures w14:val="standardContextual"/>
        </w:rPr>
        <w:t>.</w:t>
      </w:r>
    </w:p>
    <w:p w14:paraId="41233857" w14:textId="15C2BE0C" w:rsidR="00871E5A" w:rsidRPr="00D172D3" w:rsidRDefault="00871E5A" w:rsidP="003E3291">
      <w:pPr>
        <w:rPr>
          <w:kern w:val="2"/>
          <w14:ligatures w14:val="standardContextual"/>
        </w:rPr>
      </w:pPr>
      <w:r w:rsidRPr="00D172D3">
        <w:rPr>
          <w:kern w:val="2"/>
          <w14:ligatures w14:val="standardContextual"/>
        </w:rPr>
        <w:t xml:space="preserve">Further information about the department’s privacy policy is available </w:t>
      </w:r>
      <w:r w:rsidR="001274AC" w:rsidRPr="00D172D3">
        <w:rPr>
          <w:kern w:val="2"/>
          <w14:ligatures w14:val="standardContextual"/>
        </w:rPr>
        <w:t xml:space="preserve">at </w:t>
      </w:r>
      <w:hyperlink r:id="rId26" w:history="1">
        <w:r w:rsidR="007C54AC" w:rsidRPr="00D172D3">
          <w:rPr>
            <w:rStyle w:val="Hyperlink"/>
            <w:kern w:val="2"/>
            <w14:ligatures w14:val="standardContextual"/>
          </w:rPr>
          <w:t>www.education.gov.au/using-site/privacy-statement-department-education</w:t>
        </w:r>
      </w:hyperlink>
      <w:r w:rsidRPr="00D172D3">
        <w:rPr>
          <w:kern w:val="2"/>
          <w14:ligatures w14:val="standardContextual"/>
        </w:rPr>
        <w:t>.</w:t>
      </w:r>
    </w:p>
    <w:p w14:paraId="7F353F30" w14:textId="77777777" w:rsidR="00871E5A" w:rsidRPr="00D172D3" w:rsidRDefault="00871E5A" w:rsidP="003E3291">
      <w:pPr>
        <w:rPr>
          <w:kern w:val="2"/>
          <w14:ligatures w14:val="standardContextual"/>
        </w:rPr>
      </w:pPr>
      <w:r w:rsidRPr="00D172D3">
        <w:rPr>
          <w:kern w:val="2"/>
          <w14:ligatures w14:val="standardContextual"/>
        </w:rPr>
        <w:t xml:space="preserve">The department notes that any information provided in an application will be subject to the </w:t>
      </w:r>
      <w:r w:rsidRPr="00D172D3">
        <w:rPr>
          <w:i/>
          <w:kern w:val="2"/>
          <w14:ligatures w14:val="standardContextual"/>
        </w:rPr>
        <w:t>Freedom of Information Act 1982</w:t>
      </w:r>
      <w:r w:rsidRPr="00D172D3">
        <w:rPr>
          <w:kern w:val="2"/>
          <w14:ligatures w14:val="standardContextual"/>
        </w:rPr>
        <w:t>.</w:t>
      </w:r>
    </w:p>
    <w:p w14:paraId="13743904" w14:textId="77777777" w:rsidR="00871E5A" w:rsidRPr="00D172D3" w:rsidRDefault="00871E5A" w:rsidP="00B14ADF">
      <w:pPr>
        <w:pStyle w:val="Heading2"/>
        <w:rPr>
          <w:rFonts w:asciiTheme="minorHAnsi" w:hAnsiTheme="minorHAnsi"/>
          <w:color w:val="auto"/>
          <w:sz w:val="22"/>
        </w:rPr>
      </w:pPr>
      <w:bookmarkStart w:id="127" w:name="_Toc42680520"/>
      <w:bookmarkStart w:id="128" w:name="_Toc110520303"/>
      <w:bookmarkStart w:id="129" w:name="_Toc173913200"/>
      <w:bookmarkStart w:id="130" w:name="_Toc129701986"/>
      <w:r w:rsidRPr="003E3291">
        <w:t>Criminal code</w:t>
      </w:r>
      <w:bookmarkEnd w:id="127"/>
      <w:bookmarkEnd w:id="128"/>
      <w:bookmarkEnd w:id="129"/>
      <w:bookmarkEnd w:id="130"/>
    </w:p>
    <w:p w14:paraId="6CBBFB1C" w14:textId="77777777" w:rsidR="00871E5A" w:rsidRPr="00D172D3" w:rsidRDefault="00871E5A" w:rsidP="003E3291">
      <w:pPr>
        <w:rPr>
          <w:kern w:val="2"/>
          <w14:ligatures w14:val="standardContextual"/>
        </w:rPr>
      </w:pPr>
      <w:r w:rsidRPr="00D172D3">
        <w:rPr>
          <w:kern w:val="2"/>
          <w14:ligatures w14:val="standardContextual"/>
        </w:rPr>
        <w:t xml:space="preserve">Approved authorities should note that giving false or misleading information as part of any application process is a serious offence and may lead to prosecution under the </w:t>
      </w:r>
      <w:r w:rsidRPr="00D172D3">
        <w:rPr>
          <w:i/>
          <w:kern w:val="2"/>
          <w14:ligatures w14:val="standardContextual"/>
        </w:rPr>
        <w:t>Criminal Code 1995</w:t>
      </w:r>
      <w:r w:rsidRPr="00D172D3">
        <w:rPr>
          <w:kern w:val="2"/>
          <w14:ligatures w14:val="standardContextual"/>
        </w:rPr>
        <w:t xml:space="preserve"> and compliance action under the Act.</w:t>
      </w:r>
    </w:p>
    <w:p w14:paraId="029D44E8" w14:textId="77777777" w:rsidR="00871E5A" w:rsidRPr="00D172D3" w:rsidRDefault="00871E5A" w:rsidP="00B14ADF">
      <w:pPr>
        <w:pStyle w:val="Heading2"/>
        <w:rPr>
          <w:rFonts w:asciiTheme="minorHAnsi" w:hAnsiTheme="minorHAnsi"/>
          <w:color w:val="auto"/>
          <w:sz w:val="22"/>
        </w:rPr>
      </w:pPr>
      <w:bookmarkStart w:id="131" w:name="_Toc42680521"/>
      <w:bookmarkStart w:id="132" w:name="_Toc173913201"/>
      <w:bookmarkStart w:id="133" w:name="_Toc129701987"/>
      <w:r w:rsidRPr="003E3291">
        <w:lastRenderedPageBreak/>
        <w:t xml:space="preserve">Further </w:t>
      </w:r>
      <w:r w:rsidRPr="00C213BC">
        <w:t>information</w:t>
      </w:r>
      <w:bookmarkEnd w:id="131"/>
      <w:bookmarkEnd w:id="132"/>
      <w:bookmarkEnd w:id="133"/>
    </w:p>
    <w:p w14:paraId="666922C3" w14:textId="77777777" w:rsidR="00871E5A" w:rsidRPr="00D172D3" w:rsidRDefault="00871E5A" w:rsidP="003E3291">
      <w:pPr>
        <w:rPr>
          <w:kern w:val="2"/>
          <w:lang w:val="en"/>
          <w14:ligatures w14:val="standardContextual"/>
        </w:rPr>
      </w:pPr>
      <w:r w:rsidRPr="00D172D3">
        <w:rPr>
          <w:kern w:val="2"/>
          <w14:ligatures w14:val="standardContextual"/>
        </w:rPr>
        <w:t xml:space="preserve">If you have any questions or would like further information about the CTC score review process or your application, please contact </w:t>
      </w:r>
      <w:hyperlink r:id="rId27" w:history="1">
        <w:r w:rsidRPr="00D172D3">
          <w:rPr>
            <w:rStyle w:val="Hyperlink"/>
            <w:kern w:val="2"/>
            <w14:ligatures w14:val="standardContextual"/>
          </w:rPr>
          <w:t>CTCReviews@education.gov.au</w:t>
        </w:r>
      </w:hyperlink>
      <w:r w:rsidRPr="00D172D3">
        <w:rPr>
          <w:kern w:val="2"/>
          <w:lang w:val="en"/>
          <w14:ligatures w14:val="standardContextual"/>
        </w:rPr>
        <w:t>.</w:t>
      </w:r>
    </w:p>
    <w:p w14:paraId="2378A116" w14:textId="77777777" w:rsidR="00871E5A" w:rsidRPr="00D172D3" w:rsidRDefault="00871E5A" w:rsidP="00D172D3">
      <w:pPr>
        <w:rPr>
          <w:rFonts w:asciiTheme="majorHAnsi" w:hAnsiTheme="majorHAnsi"/>
          <w:b/>
          <w:color w:val="55437E" w:themeColor="accent2"/>
          <w:kern w:val="2"/>
          <w:sz w:val="44"/>
          <w14:ligatures w14:val="standardContextual"/>
        </w:rPr>
      </w:pPr>
      <w:bookmarkStart w:id="134" w:name="_Toc110520304"/>
      <w:bookmarkStart w:id="135" w:name="_Hlk103240362"/>
      <w:r w:rsidRPr="00D172D3">
        <w:rPr>
          <w:kern w:val="2"/>
          <w14:ligatures w14:val="standardContextual"/>
        </w:rPr>
        <w:br w:type="page"/>
      </w:r>
    </w:p>
    <w:p w14:paraId="324C8E67" w14:textId="4E53DFDD" w:rsidR="00871E5A" w:rsidRPr="00D172D3" w:rsidRDefault="00871E5A" w:rsidP="00B14ADF">
      <w:pPr>
        <w:pStyle w:val="Heading2"/>
        <w:rPr>
          <w:rFonts w:asciiTheme="minorHAnsi" w:hAnsiTheme="minorHAnsi"/>
          <w:color w:val="auto"/>
          <w:sz w:val="22"/>
        </w:rPr>
      </w:pPr>
      <w:bookmarkStart w:id="136" w:name="_Appendix_A:_Reasons"/>
      <w:bookmarkStart w:id="137" w:name="_Toc173913202"/>
      <w:bookmarkStart w:id="138" w:name="_Toc129701988"/>
      <w:bookmarkEnd w:id="136"/>
      <w:r w:rsidRPr="003E3291">
        <w:lastRenderedPageBreak/>
        <w:t xml:space="preserve">Appendix A: Reasons for a </w:t>
      </w:r>
      <w:r w:rsidRPr="00C213BC">
        <w:t>CTC</w:t>
      </w:r>
      <w:r w:rsidRPr="003E3291">
        <w:t> score review</w:t>
      </w:r>
      <w:bookmarkEnd w:id="134"/>
      <w:bookmarkEnd w:id="137"/>
      <w:bookmarkEnd w:id="138"/>
    </w:p>
    <w:p w14:paraId="63CD2BA3" w14:textId="17F99ACB" w:rsidR="00B365A0" w:rsidRDefault="009E7239" w:rsidP="00B14ADF">
      <w:pPr>
        <w:pStyle w:val="Heading3"/>
      </w:pPr>
      <w:bookmarkStart w:id="139" w:name="_Toc173913203"/>
      <w:bookmarkStart w:id="140" w:name="_Hlk129701425"/>
      <w:r w:rsidRPr="003E3291">
        <w:t xml:space="preserve">A recent </w:t>
      </w:r>
      <w:bookmarkStart w:id="141" w:name="_Toc110520305"/>
      <w:bookmarkStart w:id="142" w:name="_Toc129701989"/>
      <w:r w:rsidR="003D776C" w:rsidRPr="003E3291">
        <w:t>c</w:t>
      </w:r>
      <w:r w:rsidR="00871E5A" w:rsidRPr="003E3291">
        <w:t>hange in the school community’s economic circumstances</w:t>
      </w:r>
      <w:bookmarkEnd w:id="139"/>
      <w:bookmarkEnd w:id="141"/>
      <w:bookmarkEnd w:id="142"/>
    </w:p>
    <w:p w14:paraId="3DFFC735" w14:textId="510FF62A" w:rsidR="00871E5A" w:rsidRPr="00972BA2" w:rsidRDefault="009E7239" w:rsidP="00972BA2">
      <w:pPr>
        <w:spacing w:after="0"/>
        <w:rPr>
          <w:b/>
          <w:bCs/>
          <w:kern w:val="2"/>
          <w:sz w:val="28"/>
          <w:szCs w:val="28"/>
          <w14:ligatures w14:val="standardContextual"/>
        </w:rPr>
      </w:pPr>
      <w:r w:rsidRPr="00972BA2">
        <w:rPr>
          <w:b/>
          <w:bCs/>
          <w:kern w:val="2"/>
          <w:sz w:val="28"/>
          <w:szCs w:val="28"/>
          <w14:ligatures w14:val="standardContextual"/>
        </w:rPr>
        <w:t>(DMI-based and RAB scores)</w:t>
      </w:r>
    </w:p>
    <w:tbl>
      <w:tblPr>
        <w:tblStyle w:val="TableGrid"/>
        <w:tblW w:w="9356" w:type="dxa"/>
        <w:tblInd w:w="-5" w:type="dxa"/>
        <w:tblLook w:val="04A0" w:firstRow="1" w:lastRow="0" w:firstColumn="1" w:lastColumn="0" w:noHBand="0" w:noVBand="1"/>
      </w:tblPr>
      <w:tblGrid>
        <w:gridCol w:w="1301"/>
        <w:gridCol w:w="8055"/>
      </w:tblGrid>
      <w:tr w:rsidR="00871E5A" w:rsidRPr="00756931" w14:paraId="29BE933D" w14:textId="77777777" w:rsidTr="003E3291">
        <w:trPr>
          <w:trHeight w:val="792"/>
        </w:trPr>
        <w:tc>
          <w:tcPr>
            <w:tcW w:w="1301" w:type="dxa"/>
            <w:shd w:val="clear" w:color="auto" w:fill="F9C0C0" w:themeFill="accent5" w:themeFillTint="66"/>
          </w:tcPr>
          <w:bookmarkEnd w:id="140"/>
          <w:p w14:paraId="188A192B" w14:textId="77777777" w:rsidR="00871E5A" w:rsidRPr="003E3291" w:rsidRDefault="00871E5A" w:rsidP="003E3291">
            <w:pPr>
              <w:rPr>
                <w:rStyle w:val="Strong"/>
              </w:rPr>
            </w:pPr>
            <w:r w:rsidRPr="003E3291">
              <w:rPr>
                <w:rStyle w:val="Strong"/>
              </w:rPr>
              <w:t>Background</w:t>
            </w:r>
          </w:p>
        </w:tc>
        <w:tc>
          <w:tcPr>
            <w:tcW w:w="8055" w:type="dxa"/>
            <w:shd w:val="clear" w:color="auto" w:fill="F9C0C0" w:themeFill="accent5" w:themeFillTint="66"/>
          </w:tcPr>
          <w:p w14:paraId="04F44318" w14:textId="5F0B74A1" w:rsidR="00871E5A" w:rsidRPr="003E3291" w:rsidRDefault="00503096" w:rsidP="003E3291">
            <w:r w:rsidRPr="003E3291">
              <w:t>T</w:t>
            </w:r>
            <w:r w:rsidR="00871E5A" w:rsidRPr="003E3291">
              <w:t>he DMI</w:t>
            </w:r>
            <w:r w:rsidR="00876C7F" w:rsidRPr="003E3291">
              <w:t xml:space="preserve"> or RAB methods</w:t>
            </w:r>
            <w:r w:rsidR="00871E5A" w:rsidRPr="003E3291">
              <w:t xml:space="preserve"> use</w:t>
            </w:r>
            <w:r w:rsidR="00876C7F" w:rsidRPr="003E3291">
              <w:t xml:space="preserve"> </w:t>
            </w:r>
            <w:r w:rsidR="00871E5A" w:rsidRPr="003E3291">
              <w:t>the</w:t>
            </w:r>
            <w:r w:rsidRPr="003E3291">
              <w:t xml:space="preserve"> latest full income information available to calculate </w:t>
            </w:r>
            <w:r w:rsidR="00091BB7" w:rsidRPr="003E3291">
              <w:t>a CTC</w:t>
            </w:r>
            <w:r w:rsidRPr="003E3291">
              <w:t xml:space="preserve"> score</w:t>
            </w:r>
            <w:r w:rsidR="00E15308" w:rsidRPr="003E3291">
              <w:t xml:space="preserve">. Because of the </w:t>
            </w:r>
            <w:r w:rsidRPr="003E3291">
              <w:t xml:space="preserve">delay in the availability of </w:t>
            </w:r>
            <w:r w:rsidR="001247C3" w:rsidRPr="003E3291">
              <w:t>income</w:t>
            </w:r>
            <w:r w:rsidRPr="003E3291">
              <w:t xml:space="preserve"> data</w:t>
            </w:r>
            <w:r w:rsidR="00E15308" w:rsidRPr="003E3291">
              <w:t>, however,</w:t>
            </w:r>
            <w:r w:rsidR="00871E5A" w:rsidRPr="003E3291">
              <w:t xml:space="preserve"> the data used to calculate </w:t>
            </w:r>
            <w:r w:rsidR="00F27521" w:rsidRPr="003E3291">
              <w:t>a</w:t>
            </w:r>
            <w:r w:rsidR="00871E5A" w:rsidRPr="003E3291">
              <w:t xml:space="preserve"> school’s CTC score might not reflect the current incomes of </w:t>
            </w:r>
            <w:r w:rsidR="00F27521" w:rsidRPr="003E3291">
              <w:t>the</w:t>
            </w:r>
            <w:r w:rsidR="00871E5A" w:rsidRPr="003E3291">
              <w:t xml:space="preserve"> school community if there </w:t>
            </w:r>
            <w:r w:rsidR="00E15308" w:rsidRPr="003E3291">
              <w:t xml:space="preserve">have been </w:t>
            </w:r>
            <w:r w:rsidR="00871E5A" w:rsidRPr="003E3291">
              <w:t>exceptional and localised economic impacts</w:t>
            </w:r>
            <w:r w:rsidR="002F525E" w:rsidRPr="003E3291">
              <w:t>.</w:t>
            </w:r>
          </w:p>
        </w:tc>
      </w:tr>
      <w:bookmarkEnd w:id="135"/>
      <w:tr w:rsidR="00871E5A" w:rsidRPr="00756931" w14:paraId="140D76ED" w14:textId="77777777" w:rsidTr="003E3291">
        <w:trPr>
          <w:trHeight w:val="792"/>
        </w:trPr>
        <w:tc>
          <w:tcPr>
            <w:tcW w:w="1301" w:type="dxa"/>
            <w:shd w:val="clear" w:color="auto" w:fill="D0F1FC" w:themeFill="accent3" w:themeFillTint="33"/>
          </w:tcPr>
          <w:p w14:paraId="0F234263" w14:textId="77777777" w:rsidR="00871E5A" w:rsidRPr="003E3291" w:rsidRDefault="00871E5A" w:rsidP="003E3291">
            <w:pPr>
              <w:rPr>
                <w:rStyle w:val="Strong"/>
              </w:rPr>
            </w:pPr>
            <w:r w:rsidRPr="003E3291">
              <w:rPr>
                <w:rStyle w:val="Strong"/>
              </w:rPr>
              <w:t>Examples</w:t>
            </w:r>
          </w:p>
        </w:tc>
        <w:tc>
          <w:tcPr>
            <w:tcW w:w="8055" w:type="dxa"/>
            <w:shd w:val="clear" w:color="auto" w:fill="D0F1FC" w:themeFill="accent3" w:themeFillTint="33"/>
          </w:tcPr>
          <w:p w14:paraId="56B67E6B" w14:textId="6CB305E9" w:rsidR="00871E5A" w:rsidRPr="003E3291" w:rsidRDefault="00871E5A" w:rsidP="003E3291">
            <w:bookmarkStart w:id="143" w:name="_Hlk99633055"/>
            <w:r w:rsidRPr="003E3291">
              <w:rPr>
                <w:b/>
                <w:bCs/>
              </w:rPr>
              <w:t>For DMI-based CTC scores</w:t>
            </w:r>
            <w:r w:rsidRPr="003E3291">
              <w:t xml:space="preserve">, a school’s </w:t>
            </w:r>
            <w:r w:rsidR="00974EED" w:rsidRPr="003E3291">
              <w:t>202</w:t>
            </w:r>
            <w:r w:rsidR="00974EED">
              <w:t>4</w:t>
            </w:r>
            <w:r w:rsidR="00974EED" w:rsidRPr="003E3291">
              <w:t xml:space="preserve"> </w:t>
            </w:r>
            <w:r w:rsidRPr="003E3291">
              <w:t xml:space="preserve">CTC score is </w:t>
            </w:r>
            <w:r w:rsidR="00472654" w:rsidRPr="003E3291">
              <w:t>determined based on the three</w:t>
            </w:r>
            <w:r w:rsidR="002F3569" w:rsidRPr="003E3291">
              <w:t>-</w:t>
            </w:r>
            <w:r w:rsidR="00472654" w:rsidRPr="003E3291">
              <w:t xml:space="preserve">year </w:t>
            </w:r>
            <w:r w:rsidR="00D16ACF" w:rsidRPr="003E3291">
              <w:t>(</w:t>
            </w:r>
            <w:r w:rsidR="00974EED" w:rsidRPr="003E3291">
              <w:t>202</w:t>
            </w:r>
            <w:r w:rsidR="00974EED">
              <w:t>1</w:t>
            </w:r>
            <w:r w:rsidR="00D16ACF" w:rsidRPr="003E3291">
              <w:t xml:space="preserve">, </w:t>
            </w:r>
            <w:r w:rsidR="00974EED" w:rsidRPr="003E3291">
              <w:t>202</w:t>
            </w:r>
            <w:r w:rsidR="00974EED">
              <w:t>2</w:t>
            </w:r>
            <w:r w:rsidR="00974EED" w:rsidRPr="003E3291">
              <w:t xml:space="preserve"> </w:t>
            </w:r>
            <w:r w:rsidR="00D16ACF" w:rsidRPr="003E3291">
              <w:t xml:space="preserve">and </w:t>
            </w:r>
            <w:r w:rsidR="00974EED" w:rsidRPr="003E3291">
              <w:t>202</w:t>
            </w:r>
            <w:r w:rsidR="00974EED">
              <w:t>3</w:t>
            </w:r>
            <w:r w:rsidR="00D16ACF" w:rsidRPr="003E3291">
              <w:t xml:space="preserve">) </w:t>
            </w:r>
            <w:r w:rsidR="00472654" w:rsidRPr="003E3291">
              <w:t xml:space="preserve">rolling average of the </w:t>
            </w:r>
            <w:r w:rsidR="00E15308" w:rsidRPr="003E3291">
              <w:t xml:space="preserve">school’s </w:t>
            </w:r>
            <w:r w:rsidR="00472654" w:rsidRPr="003E3291">
              <w:t xml:space="preserve">DMI scores. </w:t>
            </w:r>
            <w:r w:rsidR="00E15308" w:rsidRPr="003E3291">
              <w:t>Each</w:t>
            </w:r>
            <w:r w:rsidR="00D16ACF" w:rsidRPr="003E3291">
              <w:t xml:space="preserve"> annual DMI </w:t>
            </w:r>
            <w:r w:rsidR="00E15308" w:rsidRPr="003E3291">
              <w:t xml:space="preserve">score </w:t>
            </w:r>
            <w:r w:rsidR="00D16ACF" w:rsidRPr="003E3291">
              <w:t>is calculated using the information supplied by the school from the latest annual</w:t>
            </w:r>
            <w:r w:rsidR="00D16ACF" w:rsidRPr="003E3291">
              <w:rPr>
                <w:i/>
                <w:iCs/>
              </w:rPr>
              <w:t xml:space="preserve"> </w:t>
            </w:r>
            <w:r w:rsidR="00270F7C" w:rsidRPr="003E3291">
              <w:t xml:space="preserve">Address Collection </w:t>
            </w:r>
            <w:r w:rsidR="00D16ACF" w:rsidRPr="003E3291">
              <w:t xml:space="preserve">and is linked to the </w:t>
            </w:r>
            <w:r w:rsidR="00CA7108" w:rsidRPr="003E3291">
              <w:t xml:space="preserve">latest </w:t>
            </w:r>
            <w:r w:rsidR="00D16ACF" w:rsidRPr="003E3291">
              <w:t xml:space="preserve">available personal taxation information of parents and guardians at </w:t>
            </w:r>
            <w:r w:rsidR="00D81461" w:rsidRPr="003E3291">
              <w:t>the</w:t>
            </w:r>
            <w:r w:rsidR="00D16ACF" w:rsidRPr="003E3291">
              <w:t xml:space="preserve"> school. </w:t>
            </w:r>
            <w:r w:rsidRPr="003E3291">
              <w:t>A 202</w:t>
            </w:r>
            <w:r w:rsidR="00003B69">
              <w:t>4</w:t>
            </w:r>
            <w:r w:rsidRPr="003E3291">
              <w:t xml:space="preserve"> CTC score might not be accurate if the taxable income</w:t>
            </w:r>
            <w:r w:rsidR="00503096" w:rsidRPr="003E3291">
              <w:t>/</w:t>
            </w:r>
            <w:r w:rsidRPr="003E3291">
              <w:t xml:space="preserve">s of parents and guardians at the school have changed significantly since </w:t>
            </w:r>
            <w:r w:rsidR="00CA7108" w:rsidRPr="003E3291">
              <w:t>they lodged a tax return</w:t>
            </w:r>
            <w:r w:rsidR="005D2DFA" w:rsidRPr="003E3291">
              <w:t xml:space="preserve"> </w:t>
            </w:r>
            <w:r w:rsidR="00E15308" w:rsidRPr="003E3291">
              <w:t>for</w:t>
            </w:r>
            <w:r w:rsidR="005D2DFA" w:rsidRPr="003E3291">
              <w:t xml:space="preserve"> the referenced years</w:t>
            </w:r>
            <w:r w:rsidR="00CA7108" w:rsidRPr="003E3291">
              <w:t xml:space="preserve">. This may be </w:t>
            </w:r>
            <w:r w:rsidRPr="003E3291">
              <w:t>due to</w:t>
            </w:r>
            <w:r w:rsidR="00112189" w:rsidRPr="003E3291">
              <w:t xml:space="preserve"> sudden</w:t>
            </w:r>
            <w:r w:rsidRPr="003E3291">
              <w:t xml:space="preserve"> localised economic changes</w:t>
            </w:r>
            <w:r w:rsidR="00C10B0F" w:rsidRPr="003E3291">
              <w:t>.</w:t>
            </w:r>
          </w:p>
          <w:p w14:paraId="17748A2E" w14:textId="563549B7" w:rsidR="00871E5A" w:rsidRPr="003E3291" w:rsidRDefault="00871E5A" w:rsidP="003E3291">
            <w:r w:rsidRPr="003E3291">
              <w:rPr>
                <w:b/>
                <w:bCs/>
              </w:rPr>
              <w:t>For RAB-based CTC scores</w:t>
            </w:r>
            <w:r w:rsidRPr="003E3291">
              <w:t xml:space="preserve">, a school’s </w:t>
            </w:r>
            <w:r w:rsidR="00974EED" w:rsidRPr="003E3291">
              <w:t>202</w:t>
            </w:r>
            <w:r w:rsidR="00974EED">
              <w:t>4</w:t>
            </w:r>
            <w:r w:rsidR="00974EED" w:rsidRPr="003E3291">
              <w:t xml:space="preserve"> </w:t>
            </w:r>
            <w:r w:rsidRPr="003E3291">
              <w:t xml:space="preserve">CTC score is calculated using </w:t>
            </w:r>
            <w:bookmarkEnd w:id="143"/>
            <w:r w:rsidR="00395082" w:rsidRPr="003E3291">
              <w:t xml:space="preserve">the </w:t>
            </w:r>
            <w:r w:rsidRPr="003E3291">
              <w:t xml:space="preserve">2021 </w:t>
            </w:r>
            <w:r w:rsidR="00395082" w:rsidRPr="003E3291">
              <w:t xml:space="preserve">Australian Bureau of Statistics’ </w:t>
            </w:r>
            <w:r w:rsidRPr="003E3291">
              <w:t xml:space="preserve">Census of </w:t>
            </w:r>
            <w:r w:rsidR="00395082" w:rsidRPr="003E3291">
              <w:t xml:space="preserve">Population and </w:t>
            </w:r>
            <w:r w:rsidRPr="003E3291">
              <w:t xml:space="preserve">Housing. A </w:t>
            </w:r>
            <w:r w:rsidR="00974EED" w:rsidRPr="003E3291">
              <w:t>202</w:t>
            </w:r>
            <w:r w:rsidR="00974EED">
              <w:t>4</w:t>
            </w:r>
            <w:r w:rsidR="00974EED" w:rsidRPr="003E3291">
              <w:t xml:space="preserve"> </w:t>
            </w:r>
            <w:r w:rsidR="00395082" w:rsidRPr="003E3291">
              <w:t xml:space="preserve">RAB-based </w:t>
            </w:r>
            <w:r w:rsidRPr="003E3291">
              <w:t xml:space="preserve">CTC score might not be accurate if the incomes of people living in the </w:t>
            </w:r>
            <w:hyperlink w:anchor="_Appendix_B:_Definitions" w:history="1">
              <w:r w:rsidRPr="003E3291">
                <w:rPr>
                  <w:rStyle w:val="Hyperlink"/>
                </w:rPr>
                <w:t>SA1s</w:t>
              </w:r>
            </w:hyperlink>
            <w:r w:rsidRPr="003E3291">
              <w:t xml:space="preserve"> where parents reside have changed significantly since </w:t>
            </w:r>
            <w:r w:rsidR="004B09D9" w:rsidRPr="003E3291">
              <w:t xml:space="preserve">the </w:t>
            </w:r>
            <w:r w:rsidRPr="003E3291">
              <w:t>2021</w:t>
            </w:r>
            <w:r w:rsidR="004B09D9" w:rsidRPr="003E3291">
              <w:t xml:space="preserve"> Census</w:t>
            </w:r>
            <w:r w:rsidRPr="003E3291">
              <w:t xml:space="preserve">. </w:t>
            </w:r>
          </w:p>
          <w:p w14:paraId="321CC063" w14:textId="4732CBFB" w:rsidR="00FC443B" w:rsidRPr="003E3291" w:rsidRDefault="00FC443B" w:rsidP="003E3291">
            <w:r w:rsidRPr="003E3291">
              <w:rPr>
                <w:b/>
                <w:bCs/>
              </w:rPr>
              <w:t>Note</w:t>
            </w:r>
            <w:r w:rsidRPr="003E3291">
              <w:t xml:space="preserve">: Where a school community has experienced a recent economic </w:t>
            </w:r>
            <w:r w:rsidR="00C10B0F" w:rsidRPr="003E3291">
              <w:t>change,</w:t>
            </w:r>
            <w:r w:rsidRPr="003E3291">
              <w:t xml:space="preserve"> but the change is similar to that</w:t>
            </w:r>
            <w:r w:rsidR="00C10B0F" w:rsidRPr="003E3291">
              <w:t xml:space="preserve"> experienced by</w:t>
            </w:r>
            <w:r w:rsidRPr="003E3291">
              <w:t xml:space="preserve"> school communities overall then a review would be unlikely to result in a change </w:t>
            </w:r>
            <w:r w:rsidR="00C10B0F" w:rsidRPr="003E3291">
              <w:t>of</w:t>
            </w:r>
            <w:r w:rsidRPr="003E3291">
              <w:t xml:space="preserve"> score.</w:t>
            </w:r>
          </w:p>
        </w:tc>
      </w:tr>
      <w:tr w:rsidR="00871E5A" w:rsidRPr="00756931" w14:paraId="76B3A208" w14:textId="77777777" w:rsidTr="003E3291">
        <w:trPr>
          <w:trHeight w:val="792"/>
        </w:trPr>
        <w:tc>
          <w:tcPr>
            <w:tcW w:w="1301" w:type="dxa"/>
            <w:shd w:val="clear" w:color="auto" w:fill="FCDFDF" w:themeFill="accent5" w:themeFillTint="33"/>
          </w:tcPr>
          <w:p w14:paraId="63981738" w14:textId="77777777" w:rsidR="00871E5A" w:rsidRPr="003E3291" w:rsidRDefault="00871E5A" w:rsidP="003E3291">
            <w:pPr>
              <w:rPr>
                <w:rStyle w:val="Strong"/>
              </w:rPr>
            </w:pPr>
            <w:r w:rsidRPr="003E3291">
              <w:rPr>
                <w:rStyle w:val="Strong"/>
              </w:rPr>
              <w:t>Evidence to support an application for a review</w:t>
            </w:r>
          </w:p>
        </w:tc>
        <w:tc>
          <w:tcPr>
            <w:tcW w:w="8055" w:type="dxa"/>
            <w:shd w:val="clear" w:color="auto" w:fill="FCDFDF" w:themeFill="accent5" w:themeFillTint="33"/>
          </w:tcPr>
          <w:p w14:paraId="5CBFB73A" w14:textId="5559E29F" w:rsidR="00871E5A" w:rsidRPr="003E3291" w:rsidRDefault="00871E5A" w:rsidP="00270F7C">
            <w:pPr>
              <w:spacing w:after="120"/>
            </w:pPr>
            <w:r w:rsidRPr="003E3291">
              <w:t>A review application needs to show evidence th</w:t>
            </w:r>
            <w:r w:rsidR="00BE2AA2">
              <w:t>at</w:t>
            </w:r>
            <w:r w:rsidRPr="003E3291">
              <w:t xml:space="preserve"> recent changes in the local economy have affected the family incomes of students at </w:t>
            </w:r>
            <w:r w:rsidR="00F27521" w:rsidRPr="003E3291">
              <w:t>the</w:t>
            </w:r>
            <w:r w:rsidRPr="003E3291">
              <w:t xml:space="preserve"> school, for example:</w:t>
            </w:r>
          </w:p>
          <w:p w14:paraId="41E51DE3" w14:textId="2FA2C00C" w:rsidR="00871E5A" w:rsidRPr="00D172D3" w:rsidRDefault="00871E5A" w:rsidP="003E3291">
            <w:pPr>
              <w:pStyle w:val="ListBullet"/>
              <w:spacing w:after="120"/>
              <w:contextualSpacing w:val="0"/>
              <w:rPr>
                <w:kern w:val="2"/>
                <w14:ligatures w14:val="standardContextual"/>
              </w:rPr>
            </w:pPr>
            <w:r w:rsidRPr="003E3291">
              <w:t xml:space="preserve">media articles documenting the </w:t>
            </w:r>
            <w:r w:rsidR="002F3569" w:rsidRPr="003E3291">
              <w:t xml:space="preserve">recent </w:t>
            </w:r>
            <w:r w:rsidRPr="003E3291">
              <w:t>closure of a major industry in the area</w:t>
            </w:r>
            <w:r w:rsidR="00270F7C" w:rsidRPr="003E3291">
              <w:t>;</w:t>
            </w:r>
          </w:p>
          <w:p w14:paraId="0DB863EF" w14:textId="6570BD43" w:rsidR="00871E5A" w:rsidRPr="00D172D3" w:rsidRDefault="00871E5A" w:rsidP="003E3291">
            <w:pPr>
              <w:pStyle w:val="ListBullet"/>
              <w:spacing w:after="120"/>
              <w:contextualSpacing w:val="0"/>
              <w:rPr>
                <w:kern w:val="2"/>
                <w14:ligatures w14:val="standardContextual"/>
              </w:rPr>
            </w:pPr>
            <w:r w:rsidRPr="003E3291">
              <w:t xml:space="preserve">the proportion of school families directly employed or affected by </w:t>
            </w:r>
            <w:r w:rsidR="002F3569" w:rsidRPr="003E3291">
              <w:t xml:space="preserve">recent </w:t>
            </w:r>
            <w:r w:rsidRPr="003E3291">
              <w:t>closure of the major local industry and the estimated impact on family incomes</w:t>
            </w:r>
            <w:r w:rsidR="00270F7C" w:rsidRPr="003E3291">
              <w:t>; and/or</w:t>
            </w:r>
          </w:p>
          <w:p w14:paraId="75DE92D3" w14:textId="3BDC5540" w:rsidR="00871E5A" w:rsidRPr="00D172D3" w:rsidRDefault="002F3569" w:rsidP="003E3291">
            <w:pPr>
              <w:pStyle w:val="ListBullet"/>
              <w:spacing w:after="120"/>
              <w:contextualSpacing w:val="0"/>
              <w:rPr>
                <w:i/>
                <w:kern w:val="2"/>
                <w14:ligatures w14:val="standardContextual"/>
              </w:rPr>
            </w:pPr>
            <w:r w:rsidRPr="003E3291">
              <w:t xml:space="preserve">recent </w:t>
            </w:r>
            <w:r w:rsidR="00871E5A" w:rsidRPr="003E3291">
              <w:t>correspondence from the relevant employers or academic literature from labour market experts.</w:t>
            </w:r>
          </w:p>
        </w:tc>
      </w:tr>
    </w:tbl>
    <w:p w14:paraId="32213D7E" w14:textId="77777777" w:rsidR="00F65211" w:rsidRPr="00D172D3" w:rsidRDefault="00F65211" w:rsidP="00F65211">
      <w:pPr>
        <w:spacing w:after="0"/>
        <w:rPr>
          <w:rStyle w:val="Emphasis"/>
          <w:kern w:val="2"/>
          <w14:ligatures w14:val="standardContextual"/>
        </w:rPr>
      </w:pPr>
      <w:bookmarkStart w:id="144" w:name="_Toc110520306"/>
      <w:r w:rsidRPr="00D172D3">
        <w:rPr>
          <w:rStyle w:val="Emphasis"/>
          <w:b/>
          <w:kern w:val="2"/>
          <w14:ligatures w14:val="standardContextual"/>
        </w:rPr>
        <w:t>Note:</w:t>
      </w:r>
      <w:r w:rsidRPr="00D172D3">
        <w:rPr>
          <w:rStyle w:val="Emphasis"/>
          <w:kern w:val="2"/>
          <w14:ligatures w14:val="standardContextual"/>
        </w:rPr>
        <w:t xml:space="preserve"> where incomes have changed due to COVID-19, evidence is required that the change is greater than the nationwide economic downturn resulting from COVID-19 – e.g., evidence that clearly demonstrates the changes are due to a localised event and that the event directly impacts parents and guardians in the school community.</w:t>
      </w:r>
    </w:p>
    <w:p w14:paraId="4040EB22" w14:textId="77777777" w:rsidR="00F65211" w:rsidRPr="00D172D3" w:rsidRDefault="00F65211" w:rsidP="00F65211">
      <w:pPr>
        <w:spacing w:after="0"/>
        <w:rPr>
          <w:rStyle w:val="Emphasis"/>
          <w:kern w:val="2"/>
          <w14:ligatures w14:val="standardContextual"/>
        </w:rPr>
      </w:pPr>
    </w:p>
    <w:p w14:paraId="41DAF94A" w14:textId="1611B344" w:rsidR="00972BA2" w:rsidRPr="00D172D3" w:rsidRDefault="00F65211" w:rsidP="003E3291">
      <w:pPr>
        <w:rPr>
          <w:rStyle w:val="Emphasis"/>
          <w:kern w:val="2"/>
          <w14:ligatures w14:val="standardContextual"/>
        </w:rPr>
      </w:pPr>
      <w:r w:rsidRPr="00D172D3">
        <w:rPr>
          <w:rStyle w:val="Emphasis"/>
          <w:kern w:val="2"/>
          <w14:ligatures w14:val="standardContextual"/>
        </w:rPr>
        <w:t>Schools experiencing immediate financial viability issues because of natural disasters or other widespread events such as COVID-19 should, in the first instance, approach their non-government representative body about funding support available under the Choice and Affordability Fund.</w:t>
      </w:r>
    </w:p>
    <w:p w14:paraId="3C9BFC3C" w14:textId="77777777" w:rsidR="00972BA2" w:rsidRDefault="00972BA2">
      <w:pPr>
        <w:spacing w:after="160"/>
        <w:rPr>
          <w:rStyle w:val="Emphasis"/>
          <w:kern w:val="2"/>
          <w14:ligatures w14:val="standardContextual"/>
        </w:rPr>
      </w:pPr>
      <w:r>
        <w:rPr>
          <w:rStyle w:val="Emphasis"/>
          <w:kern w:val="2"/>
          <w14:ligatures w14:val="standardContextual"/>
        </w:rPr>
        <w:br w:type="page"/>
      </w:r>
    </w:p>
    <w:p w14:paraId="40EF9CE4" w14:textId="77777777" w:rsidR="00B14ADF" w:rsidRDefault="00B14ADF" w:rsidP="003E3291">
      <w:pPr>
        <w:rPr>
          <w:rStyle w:val="Emphasis"/>
          <w:kern w:val="2"/>
          <w14:ligatures w14:val="standardContextual"/>
        </w:rPr>
      </w:pPr>
    </w:p>
    <w:p w14:paraId="61D90577" w14:textId="77777777" w:rsidR="00B365A0" w:rsidRDefault="00871E5A" w:rsidP="00C213BC">
      <w:pPr>
        <w:pStyle w:val="Heading3"/>
      </w:pPr>
      <w:bookmarkStart w:id="145" w:name="_Toc173913204"/>
      <w:r w:rsidRPr="00D172D3">
        <w:t>A recent change in the school community’s population</w:t>
      </w:r>
      <w:bookmarkEnd w:id="144"/>
      <w:bookmarkEnd w:id="145"/>
    </w:p>
    <w:p w14:paraId="16FC7103" w14:textId="3FBD725C" w:rsidR="00871E5A" w:rsidRPr="00972BA2" w:rsidRDefault="009E7239" w:rsidP="00972BA2">
      <w:pPr>
        <w:spacing w:after="0"/>
        <w:rPr>
          <w:b/>
          <w:bCs/>
          <w:kern w:val="2"/>
          <w:sz w:val="28"/>
          <w:szCs w:val="28"/>
          <w14:ligatures w14:val="standardContextual"/>
        </w:rPr>
      </w:pPr>
      <w:r w:rsidRPr="00D172D3">
        <w:rPr>
          <w:b/>
          <w:kern w:val="2"/>
          <w:sz w:val="28"/>
          <w14:ligatures w14:val="standardContextual"/>
        </w:rPr>
        <w:t>(DMI-based and RAB scores)</w:t>
      </w:r>
    </w:p>
    <w:tbl>
      <w:tblPr>
        <w:tblStyle w:val="TableGrid"/>
        <w:tblW w:w="9356" w:type="dxa"/>
        <w:tblInd w:w="-5" w:type="dxa"/>
        <w:tblLook w:val="04A0" w:firstRow="1" w:lastRow="0" w:firstColumn="1" w:lastColumn="0" w:noHBand="0" w:noVBand="1"/>
      </w:tblPr>
      <w:tblGrid>
        <w:gridCol w:w="1301"/>
        <w:gridCol w:w="8055"/>
      </w:tblGrid>
      <w:tr w:rsidR="00871E5A" w:rsidRPr="00756931" w14:paraId="6919BD30" w14:textId="77777777" w:rsidTr="003E3291">
        <w:trPr>
          <w:trHeight w:val="792"/>
        </w:trPr>
        <w:tc>
          <w:tcPr>
            <w:tcW w:w="1301" w:type="dxa"/>
            <w:shd w:val="clear" w:color="auto" w:fill="F9C0C0" w:themeFill="accent5" w:themeFillTint="66"/>
          </w:tcPr>
          <w:p w14:paraId="6D883609" w14:textId="77777777" w:rsidR="00871E5A" w:rsidRPr="003E3291" w:rsidRDefault="00871E5A" w:rsidP="003E3291">
            <w:pPr>
              <w:rPr>
                <w:rStyle w:val="Strong"/>
              </w:rPr>
            </w:pPr>
            <w:r w:rsidRPr="003E3291">
              <w:rPr>
                <w:rStyle w:val="Strong"/>
              </w:rPr>
              <w:t>Background</w:t>
            </w:r>
          </w:p>
        </w:tc>
        <w:tc>
          <w:tcPr>
            <w:tcW w:w="8055" w:type="dxa"/>
            <w:shd w:val="clear" w:color="auto" w:fill="F9C0C0" w:themeFill="accent5" w:themeFillTint="66"/>
          </w:tcPr>
          <w:p w14:paraId="1D8DEF15" w14:textId="4016EE67" w:rsidR="00871E5A" w:rsidRPr="003E3291" w:rsidRDefault="00871E5A" w:rsidP="003E3291">
            <w:r w:rsidRPr="003E3291">
              <w:t>Recent, significant changes in the characteristics of the school community population, such as large, new student intake (for example, due to the closure of a nearby school or merger of multiple schools), or a reduction in total student numbers, may substantially change the economic demographics of a school community if they have a significantly different economic profile</w:t>
            </w:r>
            <w:r w:rsidR="007B6525" w:rsidRPr="003E3291">
              <w:t xml:space="preserve"> and are not included in the CTC score calculation</w:t>
            </w:r>
            <w:r w:rsidRPr="003E3291">
              <w:t>.</w:t>
            </w:r>
          </w:p>
        </w:tc>
      </w:tr>
      <w:tr w:rsidR="00871E5A" w:rsidRPr="00756931" w14:paraId="57ACF87C" w14:textId="77777777" w:rsidTr="003E3291">
        <w:trPr>
          <w:trHeight w:val="792"/>
        </w:trPr>
        <w:tc>
          <w:tcPr>
            <w:tcW w:w="1301" w:type="dxa"/>
            <w:shd w:val="clear" w:color="auto" w:fill="D0F1FC" w:themeFill="accent3" w:themeFillTint="33"/>
          </w:tcPr>
          <w:p w14:paraId="1B7BBBFF" w14:textId="77777777" w:rsidR="00871E5A" w:rsidRPr="003E3291" w:rsidRDefault="00871E5A" w:rsidP="003E3291">
            <w:pPr>
              <w:rPr>
                <w:rStyle w:val="Strong"/>
              </w:rPr>
            </w:pPr>
            <w:r w:rsidRPr="003E3291">
              <w:rPr>
                <w:rStyle w:val="Strong"/>
              </w:rPr>
              <w:t>Examples</w:t>
            </w:r>
          </w:p>
        </w:tc>
        <w:tc>
          <w:tcPr>
            <w:tcW w:w="8055" w:type="dxa"/>
            <w:shd w:val="clear" w:color="auto" w:fill="D0F1FC" w:themeFill="accent3" w:themeFillTint="33"/>
          </w:tcPr>
          <w:p w14:paraId="74E7EC24" w14:textId="70126D28" w:rsidR="00871E5A" w:rsidRPr="003E3291" w:rsidRDefault="00871E5A" w:rsidP="003E3291">
            <w:pPr>
              <w:rPr>
                <w:b/>
                <w:bCs/>
              </w:rPr>
            </w:pPr>
            <w:r w:rsidRPr="003E3291">
              <w:t xml:space="preserve">Where there is a </w:t>
            </w:r>
            <w:r w:rsidR="00AA4C2C" w:rsidRPr="003E3291">
              <w:t xml:space="preserve">recent </w:t>
            </w:r>
            <w:r w:rsidRPr="003E3291">
              <w:t xml:space="preserve">change in student cohort, not included in the latest </w:t>
            </w:r>
            <w:r w:rsidR="00474A36" w:rsidRPr="003E3291">
              <w:t xml:space="preserve">CTC </w:t>
            </w:r>
            <w:r w:rsidRPr="003E3291">
              <w:t>score</w:t>
            </w:r>
            <w:r w:rsidR="00CA7108" w:rsidRPr="003E3291">
              <w:t xml:space="preserve"> calculation</w:t>
            </w:r>
            <w:r w:rsidRPr="003E3291">
              <w:t>, the school</w:t>
            </w:r>
            <w:r w:rsidR="003511B5" w:rsidRPr="003E3291">
              <w:t>’</w:t>
            </w:r>
            <w:r w:rsidRPr="003E3291">
              <w:t xml:space="preserve">s CTC score might not be accurate if the new cohort is large enough </w:t>
            </w:r>
            <w:r w:rsidR="00E15308" w:rsidRPr="003E3291">
              <w:t>and has</w:t>
            </w:r>
            <w:r w:rsidRPr="003E3291">
              <w:t xml:space="preserve"> a sufficiently different income profile </w:t>
            </w:r>
            <w:r w:rsidR="00E15308" w:rsidRPr="003E3291">
              <w:t xml:space="preserve">to </w:t>
            </w:r>
            <w:r w:rsidRPr="003E3291">
              <w:t>the existing cohort.</w:t>
            </w:r>
          </w:p>
          <w:p w14:paraId="005B1E5D" w14:textId="679A040A" w:rsidR="00871E5A" w:rsidRPr="003E3291" w:rsidRDefault="00871E5A" w:rsidP="003E3291">
            <w:r w:rsidRPr="003E3291">
              <w:rPr>
                <w:b/>
                <w:bCs/>
              </w:rPr>
              <w:t>For DMI-based CTC scores,</w:t>
            </w:r>
            <w:r w:rsidRPr="003E3291">
              <w:t xml:space="preserve"> a score might not be accurate if there </w:t>
            </w:r>
            <w:r w:rsidR="003511B5" w:rsidRPr="003E3291">
              <w:t xml:space="preserve">is </w:t>
            </w:r>
            <w:r w:rsidRPr="003E3291">
              <w:t xml:space="preserve">a significant </w:t>
            </w:r>
            <w:r w:rsidR="003511B5" w:rsidRPr="003E3291">
              <w:t xml:space="preserve">increase or reduction in the </w:t>
            </w:r>
            <w:r w:rsidRPr="003E3291">
              <w:t>number of families with students enrolled at the school since the latest address collection and the incomes of the</w:t>
            </w:r>
            <w:r w:rsidR="003511B5" w:rsidRPr="003E3291">
              <w:t xml:space="preserve"> families of the</w:t>
            </w:r>
            <w:r w:rsidRPr="003E3291">
              <w:t xml:space="preserve"> new </w:t>
            </w:r>
            <w:r w:rsidR="003511B5" w:rsidRPr="003E3291">
              <w:t>student population</w:t>
            </w:r>
            <w:r w:rsidR="00E15308" w:rsidRPr="003E3291">
              <w:t xml:space="preserve"> </w:t>
            </w:r>
            <w:r w:rsidR="003511B5" w:rsidRPr="003E3291">
              <w:t xml:space="preserve">is </w:t>
            </w:r>
            <w:r w:rsidRPr="003E3291">
              <w:t xml:space="preserve">significantly </w:t>
            </w:r>
            <w:r w:rsidR="004D2471" w:rsidRPr="003E3291">
              <w:t xml:space="preserve">lower </w:t>
            </w:r>
            <w:r w:rsidRPr="003E3291">
              <w:t xml:space="preserve">incomes </w:t>
            </w:r>
            <w:r w:rsidR="00553536" w:rsidRPr="003E3291">
              <w:t xml:space="preserve">than those </w:t>
            </w:r>
            <w:r w:rsidRPr="003E3291">
              <w:t xml:space="preserve">of the previous </w:t>
            </w:r>
            <w:r w:rsidR="003511B5" w:rsidRPr="003E3291">
              <w:t>population</w:t>
            </w:r>
            <w:r w:rsidRPr="003E3291">
              <w:t>.</w:t>
            </w:r>
          </w:p>
          <w:p w14:paraId="42A87DDF" w14:textId="156DFE32" w:rsidR="00871E5A" w:rsidRPr="003E3291" w:rsidRDefault="00871E5A" w:rsidP="003E3291">
            <w:r w:rsidRPr="003E3291">
              <w:rPr>
                <w:b/>
                <w:bCs/>
              </w:rPr>
              <w:t>For RAB-based CTC scores,</w:t>
            </w:r>
            <w:r w:rsidRPr="003E3291">
              <w:t xml:space="preserve"> a school’s RAB</w:t>
            </w:r>
            <w:r w:rsidRPr="003E3291">
              <w:noBreakHyphen/>
              <w:t xml:space="preserve">based </w:t>
            </w:r>
            <w:r w:rsidR="00974EED" w:rsidRPr="003E3291">
              <w:t>202</w:t>
            </w:r>
            <w:r w:rsidR="00974EED">
              <w:t>4</w:t>
            </w:r>
            <w:r w:rsidR="00974EED" w:rsidRPr="003E3291">
              <w:t xml:space="preserve"> </w:t>
            </w:r>
            <w:r w:rsidRPr="003E3291">
              <w:t>CTC score is calculated by linking Address Collection data from the previous year (</w:t>
            </w:r>
            <w:r w:rsidR="00974EED" w:rsidRPr="003E3291">
              <w:t>202</w:t>
            </w:r>
            <w:r w:rsidR="00974EED">
              <w:t>3</w:t>
            </w:r>
            <w:r w:rsidRPr="003E3291">
              <w:t xml:space="preserve">) to </w:t>
            </w:r>
            <w:hyperlink w:anchor="_Appendix_B:_Definitions" w:history="1">
              <w:r w:rsidRPr="003E3291">
                <w:rPr>
                  <w:rStyle w:val="Hyperlink"/>
                </w:rPr>
                <w:t>SA1s</w:t>
              </w:r>
            </w:hyperlink>
            <w:r w:rsidRPr="003E3291">
              <w:t xml:space="preserve">. A </w:t>
            </w:r>
            <w:r w:rsidR="00974EED" w:rsidRPr="003E3291">
              <w:t>202</w:t>
            </w:r>
            <w:r w:rsidR="00974EED">
              <w:t>4</w:t>
            </w:r>
            <w:r w:rsidR="00974EED" w:rsidRPr="003E3291">
              <w:t xml:space="preserve"> </w:t>
            </w:r>
            <w:r w:rsidRPr="003E3291">
              <w:t xml:space="preserve">CTC score might not be accurate if there has been a significant </w:t>
            </w:r>
            <w:r w:rsidR="003511B5" w:rsidRPr="003E3291">
              <w:t xml:space="preserve">increase or reduction in the </w:t>
            </w:r>
            <w:r w:rsidRPr="003E3291">
              <w:t xml:space="preserve">number of students enrolled at the school or if a significant number of </w:t>
            </w:r>
            <w:r w:rsidR="008D07E0" w:rsidRPr="003E3291">
              <w:t xml:space="preserve">students </w:t>
            </w:r>
            <w:r w:rsidRPr="003E3291">
              <w:t xml:space="preserve">have moved to a new SA1 since the </w:t>
            </w:r>
            <w:r w:rsidR="00974EED" w:rsidRPr="003E3291">
              <w:t>202</w:t>
            </w:r>
            <w:r w:rsidR="00974EED">
              <w:t>3</w:t>
            </w:r>
            <w:r w:rsidR="00974EED" w:rsidRPr="003E3291">
              <w:t xml:space="preserve"> </w:t>
            </w:r>
            <w:r w:rsidRPr="003E3291">
              <w:t xml:space="preserve">Address Collection and the economic circumstances of the new population is different. </w:t>
            </w:r>
          </w:p>
          <w:p w14:paraId="54F1B4AB" w14:textId="77777777" w:rsidR="00871E5A" w:rsidRPr="003E3291" w:rsidRDefault="00871E5A" w:rsidP="003E3291">
            <w:pPr>
              <w:rPr>
                <w:i/>
                <w:iCs/>
              </w:rPr>
            </w:pPr>
            <w:r w:rsidRPr="003E3291">
              <w:rPr>
                <w:b/>
                <w:bCs/>
                <w:i/>
                <w:iCs/>
              </w:rPr>
              <w:t>Note</w:t>
            </w:r>
            <w:r w:rsidRPr="003E3291">
              <w:rPr>
                <w:i/>
                <w:iCs/>
              </w:rPr>
              <w:t>: Regular changes in a school’s cohort associated with student’s starting or finishing as well as mid-year intakes are unlikely to result in a change of score and will be reflected in the following years address collection and CTC score.</w:t>
            </w:r>
          </w:p>
        </w:tc>
      </w:tr>
      <w:tr w:rsidR="00871E5A" w:rsidRPr="00756931" w14:paraId="104A6B71" w14:textId="77777777" w:rsidTr="003E3291">
        <w:trPr>
          <w:trHeight w:val="792"/>
        </w:trPr>
        <w:tc>
          <w:tcPr>
            <w:tcW w:w="1301" w:type="dxa"/>
            <w:shd w:val="clear" w:color="auto" w:fill="FCDFDF" w:themeFill="accent5" w:themeFillTint="33"/>
          </w:tcPr>
          <w:p w14:paraId="21C58A43" w14:textId="77777777" w:rsidR="00871E5A" w:rsidRPr="003E3291" w:rsidRDefault="00871E5A" w:rsidP="003E3291">
            <w:pPr>
              <w:rPr>
                <w:rStyle w:val="Strong"/>
              </w:rPr>
            </w:pPr>
            <w:r w:rsidRPr="003E3291">
              <w:rPr>
                <w:rStyle w:val="Strong"/>
              </w:rPr>
              <w:t>Evidence</w:t>
            </w:r>
          </w:p>
        </w:tc>
        <w:tc>
          <w:tcPr>
            <w:tcW w:w="8055" w:type="dxa"/>
            <w:shd w:val="clear" w:color="auto" w:fill="FCDFDF" w:themeFill="accent5" w:themeFillTint="33"/>
          </w:tcPr>
          <w:p w14:paraId="3255DE51" w14:textId="71AD5052" w:rsidR="00871E5A" w:rsidRPr="003E3291" w:rsidRDefault="004C40AE" w:rsidP="003E3291">
            <w:r w:rsidRPr="003E3291">
              <w:t xml:space="preserve">A review application will </w:t>
            </w:r>
            <w:r w:rsidR="00871E5A" w:rsidRPr="003E3291">
              <w:t>need to show:</w:t>
            </w:r>
          </w:p>
          <w:p w14:paraId="233EA930" w14:textId="77777777" w:rsidR="00871E5A" w:rsidRPr="00D172D3" w:rsidRDefault="00871E5A" w:rsidP="003E3291">
            <w:pPr>
              <w:pStyle w:val="ListBullet"/>
              <w:spacing w:after="120"/>
              <w:rPr>
                <w:b/>
                <w:kern w:val="2"/>
                <w14:ligatures w14:val="standardContextual"/>
              </w:rPr>
            </w:pPr>
            <w:r w:rsidRPr="003E3291">
              <w:rPr>
                <w:b/>
                <w:bCs/>
              </w:rPr>
              <w:t xml:space="preserve"> For DMI</w:t>
            </w:r>
            <w:r w:rsidRPr="003E3291">
              <w:rPr>
                <w:b/>
                <w:bCs/>
              </w:rPr>
              <w:noBreakHyphen/>
              <w:t>based CTC scores:</w:t>
            </w:r>
          </w:p>
          <w:p w14:paraId="35ED4F29" w14:textId="37BD9370" w:rsidR="00871E5A" w:rsidRPr="00D172D3" w:rsidRDefault="00871E5A" w:rsidP="003E3291">
            <w:pPr>
              <w:pStyle w:val="ListBullet3"/>
              <w:spacing w:after="120"/>
              <w:contextualSpacing w:val="0"/>
              <w:rPr>
                <w:kern w:val="2"/>
                <w14:ligatures w14:val="standardContextual"/>
              </w:rPr>
            </w:pPr>
            <w:r w:rsidRPr="003E3291">
              <w:t>there has been a significant</w:t>
            </w:r>
            <w:r w:rsidR="003511B5" w:rsidRPr="003E3291">
              <w:t xml:space="preserve"> increase or reduction in the</w:t>
            </w:r>
            <w:r w:rsidRPr="003E3291">
              <w:t xml:space="preserve"> </w:t>
            </w:r>
            <w:r w:rsidR="00E15308" w:rsidRPr="003E3291">
              <w:t>number of families with students</w:t>
            </w:r>
            <w:r w:rsidRPr="003E3291">
              <w:t xml:space="preserve"> enrolled at the school since the latest Address Collection</w:t>
            </w:r>
            <w:r w:rsidR="00E15308" w:rsidRPr="003E3291">
              <w:t>. Evidence would include</w:t>
            </w:r>
            <w:r w:rsidRPr="003E3291">
              <w:t xml:space="preserve"> updated statements of enrolments, School Census information and/or evidence of school or campus merger, and</w:t>
            </w:r>
          </w:p>
          <w:p w14:paraId="6C029EA0" w14:textId="390DE875" w:rsidR="00871E5A" w:rsidRPr="00D172D3" w:rsidRDefault="00871E5A" w:rsidP="003E3291">
            <w:pPr>
              <w:pStyle w:val="ListBullet3"/>
              <w:spacing w:after="120"/>
              <w:contextualSpacing w:val="0"/>
              <w:rPr>
                <w:b/>
                <w:kern w:val="2"/>
                <w14:ligatures w14:val="standardContextual"/>
              </w:rPr>
            </w:pPr>
            <w:r w:rsidRPr="003E3291">
              <w:t xml:space="preserve">the current student population has a different family income profile to previous years’ populations, </w:t>
            </w:r>
            <w:r w:rsidR="00812AC3" w:rsidRPr="003E3291">
              <w:t>e.g.,</w:t>
            </w:r>
            <w:r w:rsidRPr="003E3291">
              <w:t xml:space="preserve"> where it previously didn’t, the current student population now includes a large proportion of students from families with </w:t>
            </w:r>
            <w:r w:rsidR="00812AC3" w:rsidRPr="003E3291">
              <w:t>low-income</w:t>
            </w:r>
            <w:r w:rsidRPr="003E3291">
              <w:t xml:space="preserve"> concession cards.</w:t>
            </w:r>
          </w:p>
          <w:p w14:paraId="3B8C4BF3" w14:textId="2018729D" w:rsidR="00871E5A" w:rsidRPr="00D172D3" w:rsidRDefault="00871E5A" w:rsidP="003E3291">
            <w:pPr>
              <w:pStyle w:val="ListBullet"/>
              <w:rPr>
                <w:kern w:val="2"/>
                <w14:ligatures w14:val="standardContextual"/>
              </w:rPr>
            </w:pPr>
            <w:r w:rsidRPr="003E3291">
              <w:rPr>
                <w:b/>
                <w:bCs/>
              </w:rPr>
              <w:t>For RAB-based CTC scores only</w:t>
            </w:r>
            <w:r w:rsidRPr="003E3291">
              <w:t>, there has been a significant change in the SA1s where students live</w:t>
            </w:r>
            <w:r w:rsidR="00553536" w:rsidRPr="003E3291">
              <w:t xml:space="preserve"> or the addition of or loss of enrolments</w:t>
            </w:r>
            <w:r w:rsidRPr="003E3291">
              <w:t xml:space="preserve"> since the previous year’s Address Collection, </w:t>
            </w:r>
            <w:r w:rsidR="00812AC3" w:rsidRPr="003E3291">
              <w:t>e.g.,</w:t>
            </w:r>
            <w:r w:rsidRPr="003E3291">
              <w:t xml:space="preserve"> data </w:t>
            </w:r>
            <w:r w:rsidR="004A7074" w:rsidRPr="003E3291">
              <w:t xml:space="preserve">showing a change in the SA1s where students live or a change in the concentration of students living in the existing SA1s. </w:t>
            </w:r>
          </w:p>
        </w:tc>
      </w:tr>
    </w:tbl>
    <w:p w14:paraId="0CFF40D3" w14:textId="7ECE1044" w:rsidR="00B365A0" w:rsidRDefault="009E7239" w:rsidP="00B14ADF">
      <w:pPr>
        <w:pStyle w:val="Heading3"/>
      </w:pPr>
      <w:bookmarkStart w:id="146" w:name="_Toc173913205"/>
      <w:bookmarkStart w:id="147" w:name="_Toc129701990"/>
      <w:bookmarkStart w:id="148" w:name="_Hlk129701684"/>
      <w:r w:rsidRPr="003E3291">
        <w:lastRenderedPageBreak/>
        <w:t xml:space="preserve">Difference between </w:t>
      </w:r>
      <w:r w:rsidR="008D07E0" w:rsidRPr="003E3291">
        <w:t xml:space="preserve">the </w:t>
      </w:r>
      <w:r w:rsidRPr="003E3291">
        <w:t xml:space="preserve">linked </w:t>
      </w:r>
      <w:r w:rsidRPr="00C213BC">
        <w:t>and</w:t>
      </w:r>
      <w:r w:rsidRPr="003E3291">
        <w:t xml:space="preserve"> unlinked populations</w:t>
      </w:r>
      <w:bookmarkEnd w:id="146"/>
      <w:bookmarkEnd w:id="147"/>
    </w:p>
    <w:p w14:paraId="601D03A4" w14:textId="4F6C68DA" w:rsidR="00871E5A" w:rsidRPr="00972BA2" w:rsidRDefault="009E7239" w:rsidP="00972BA2">
      <w:pPr>
        <w:spacing w:after="0"/>
        <w:rPr>
          <w:b/>
          <w:bCs/>
          <w:kern w:val="2"/>
          <w:sz w:val="28"/>
          <w:szCs w:val="28"/>
          <w14:ligatures w14:val="standardContextual"/>
        </w:rPr>
      </w:pPr>
      <w:r w:rsidRPr="00972BA2">
        <w:rPr>
          <w:b/>
          <w:bCs/>
          <w:kern w:val="2"/>
          <w:sz w:val="28"/>
          <w:szCs w:val="28"/>
          <w14:ligatures w14:val="standardContextual"/>
        </w:rPr>
        <w:t>(DMI-based scores)</w:t>
      </w:r>
    </w:p>
    <w:tbl>
      <w:tblPr>
        <w:tblStyle w:val="TableGrid"/>
        <w:tblW w:w="0" w:type="auto"/>
        <w:tblInd w:w="-5" w:type="dxa"/>
        <w:tblLook w:val="04A0" w:firstRow="1" w:lastRow="0" w:firstColumn="1" w:lastColumn="0" w:noHBand="0" w:noVBand="1"/>
      </w:tblPr>
      <w:tblGrid>
        <w:gridCol w:w="1301"/>
        <w:gridCol w:w="7720"/>
      </w:tblGrid>
      <w:tr w:rsidR="00871E5A" w:rsidRPr="00756931" w14:paraId="5296C2BA" w14:textId="77777777" w:rsidTr="003E3291">
        <w:tc>
          <w:tcPr>
            <w:tcW w:w="1301" w:type="dxa"/>
            <w:shd w:val="clear" w:color="auto" w:fill="F9C0C0" w:themeFill="accent5" w:themeFillTint="66"/>
          </w:tcPr>
          <w:p w14:paraId="54218278" w14:textId="77777777" w:rsidR="00871E5A" w:rsidRPr="003E3291" w:rsidRDefault="00871E5A" w:rsidP="003E3291">
            <w:pPr>
              <w:rPr>
                <w:rStyle w:val="Strong"/>
              </w:rPr>
            </w:pPr>
            <w:bookmarkStart w:id="149" w:name="_Review_Reason_2:"/>
            <w:bookmarkEnd w:id="148"/>
            <w:bookmarkEnd w:id="149"/>
            <w:r w:rsidRPr="003E3291">
              <w:rPr>
                <w:rStyle w:val="Strong"/>
              </w:rPr>
              <w:t>Background</w:t>
            </w:r>
          </w:p>
        </w:tc>
        <w:tc>
          <w:tcPr>
            <w:tcW w:w="7720" w:type="dxa"/>
            <w:shd w:val="clear" w:color="auto" w:fill="F9C0C0" w:themeFill="accent5" w:themeFillTint="66"/>
          </w:tcPr>
          <w:p w14:paraId="7BD3357B" w14:textId="061CED09" w:rsidR="0094135C" w:rsidRPr="003E3291" w:rsidRDefault="0094135C" w:rsidP="003E3291">
            <w:r w:rsidRPr="003E3291">
              <w:t xml:space="preserve">It is unlikely </w:t>
            </w:r>
            <w:r w:rsidR="007F3253" w:rsidRPr="003E3291">
              <w:t>a school’s DMI score</w:t>
            </w:r>
            <w:r w:rsidR="007F2271" w:rsidRPr="003E3291">
              <w:t xml:space="preserve"> will have 100% coverage</w:t>
            </w:r>
            <w:r w:rsidR="007F3253" w:rsidRPr="003E3291">
              <w:t xml:space="preserve"> for</w:t>
            </w:r>
            <w:r w:rsidRPr="003E3291">
              <w:t xml:space="preserve"> a number of reasons</w:t>
            </w:r>
            <w:r w:rsidR="007F3253" w:rsidRPr="003E3291">
              <w:t xml:space="preserve">. </w:t>
            </w:r>
            <w:r w:rsidR="007F2271" w:rsidRPr="003E3291">
              <w:t>A proportion of the school’s population could be missing</w:t>
            </w:r>
            <w:r w:rsidR="009E7239" w:rsidRPr="003E3291">
              <w:t xml:space="preserve"> from the DMI score calculation, including</w:t>
            </w:r>
            <w:r w:rsidR="007F2271" w:rsidRPr="003E3291">
              <w:t xml:space="preserve"> because</w:t>
            </w:r>
            <w:r w:rsidR="007F3253" w:rsidRPr="003E3291">
              <w:t xml:space="preserve"> </w:t>
            </w:r>
            <w:r w:rsidRPr="003E3291">
              <w:t>parents do not reside in Australia</w:t>
            </w:r>
            <w:r w:rsidR="007F3253" w:rsidRPr="003E3291">
              <w:t xml:space="preserve"> or </w:t>
            </w:r>
            <w:r w:rsidRPr="003E3291">
              <w:t>do not pay taxes in Australia</w:t>
            </w:r>
            <w:r w:rsidR="007F3253" w:rsidRPr="003E3291">
              <w:t xml:space="preserve">, are not in </w:t>
            </w:r>
            <w:r w:rsidRPr="003E3291">
              <w:t xml:space="preserve">receipt of an Australian Government support payment </w:t>
            </w:r>
            <w:r w:rsidR="007F2271" w:rsidRPr="003E3291">
              <w:t>or</w:t>
            </w:r>
            <w:r w:rsidR="007F3253" w:rsidRPr="003E3291">
              <w:t xml:space="preserve"> </w:t>
            </w:r>
            <w:r w:rsidRPr="003E3291">
              <w:t>reside in a multi-generational household</w:t>
            </w:r>
            <w:r w:rsidR="00D8337A" w:rsidRPr="003E3291">
              <w:t>,</w:t>
            </w:r>
            <w:r w:rsidRPr="003E3291">
              <w:t xml:space="preserve"> where a unique match to ABS </w:t>
            </w:r>
            <w:r w:rsidR="002533F2" w:rsidRPr="003E3291">
              <w:t xml:space="preserve">PLIDA </w:t>
            </w:r>
            <w:r w:rsidRPr="003E3291">
              <w:t xml:space="preserve">cannot be obtained. In some cases, there is a link in the </w:t>
            </w:r>
            <w:r w:rsidR="002533F2" w:rsidRPr="003E3291">
              <w:t xml:space="preserve">PLIDA </w:t>
            </w:r>
            <w:r w:rsidRPr="003E3291">
              <w:t>data however there is no taxation or other information available.</w:t>
            </w:r>
          </w:p>
          <w:p w14:paraId="249711E8" w14:textId="1EBE157D" w:rsidR="00871E5A" w:rsidRPr="003E3291" w:rsidRDefault="004A7074" w:rsidP="003E3291">
            <w:r w:rsidRPr="003E3291">
              <w:t xml:space="preserve">Note: </w:t>
            </w:r>
            <w:r w:rsidR="00013766" w:rsidRPr="003E3291">
              <w:t>Low</w:t>
            </w:r>
            <w:r w:rsidR="007F2271" w:rsidRPr="003E3291">
              <w:t xml:space="preserve">-income families within a school community are </w:t>
            </w:r>
            <w:r w:rsidR="00013766" w:rsidRPr="003E3291">
              <w:t xml:space="preserve">likely </w:t>
            </w:r>
            <w:r w:rsidR="007F2271" w:rsidRPr="003E3291">
              <w:t>captured in the DMI score calculation</w:t>
            </w:r>
            <w:r w:rsidR="00013766" w:rsidRPr="003E3291">
              <w:t xml:space="preserve"> as</w:t>
            </w:r>
            <w:r w:rsidR="008F7048" w:rsidRPr="003E3291">
              <w:t xml:space="preserve"> </w:t>
            </w:r>
            <w:r w:rsidR="00013766" w:rsidRPr="003E3291">
              <w:t>they</w:t>
            </w:r>
            <w:r w:rsidR="008F7048" w:rsidRPr="003E3291">
              <w:t xml:space="preserve"> are likely linked in the </w:t>
            </w:r>
            <w:r w:rsidR="002533F2" w:rsidRPr="003E3291">
              <w:t xml:space="preserve">PLIDA </w:t>
            </w:r>
            <w:r w:rsidR="008F7048" w:rsidRPr="003E3291">
              <w:t xml:space="preserve">data </w:t>
            </w:r>
            <w:r w:rsidR="00013766" w:rsidRPr="003E3291">
              <w:t>which includes</w:t>
            </w:r>
            <w:r w:rsidR="008F7048" w:rsidRPr="003E3291">
              <w:t xml:space="preserve"> </w:t>
            </w:r>
            <w:r w:rsidRPr="003E3291">
              <w:t xml:space="preserve">Centrelink income support and concession card data </w:t>
            </w:r>
            <w:r w:rsidR="007F2271" w:rsidRPr="003E3291">
              <w:t>together</w:t>
            </w:r>
            <w:r w:rsidRPr="003E3291">
              <w:t xml:space="preserve"> with the ATO data</w:t>
            </w:r>
            <w:r w:rsidR="007F2271" w:rsidRPr="003E3291">
              <w:t>.</w:t>
            </w:r>
            <w:r w:rsidRPr="003E3291">
              <w:t xml:space="preserve"> </w:t>
            </w:r>
            <w:r w:rsidR="007F3253" w:rsidRPr="003E3291">
              <w:t>It is more likely</w:t>
            </w:r>
            <w:r w:rsidR="008F7048" w:rsidRPr="003E3291">
              <w:t xml:space="preserve"> </w:t>
            </w:r>
            <w:r w:rsidR="007F3253" w:rsidRPr="003E3291">
              <w:t>that higher</w:t>
            </w:r>
            <w:r w:rsidR="009E7239" w:rsidRPr="003E3291">
              <w:t>-</w:t>
            </w:r>
            <w:r w:rsidR="007F3253" w:rsidRPr="003E3291">
              <w:t xml:space="preserve">income families are missing from </w:t>
            </w:r>
            <w:r w:rsidR="00B82529" w:rsidRPr="003E3291">
              <w:t xml:space="preserve">the </w:t>
            </w:r>
            <w:r w:rsidR="007F3253" w:rsidRPr="003E3291">
              <w:t xml:space="preserve">DMI </w:t>
            </w:r>
            <w:r w:rsidR="008F7048" w:rsidRPr="003E3291">
              <w:t>score calculation</w:t>
            </w:r>
            <w:r w:rsidR="007F3253" w:rsidRPr="003E3291">
              <w:t xml:space="preserve">. </w:t>
            </w:r>
            <w:r w:rsidRPr="003E3291">
              <w:t xml:space="preserve">Technical Information regarding the calculation of a school’s CTC score can be requested by a school’s approved authority at </w:t>
            </w:r>
            <w:hyperlink r:id="rId28" w:history="1">
              <w:r w:rsidR="008F7048" w:rsidRPr="003E3291">
                <w:rPr>
                  <w:rStyle w:val="Hyperlink"/>
                </w:rPr>
                <w:t>SchoolsCapacitytoContribute@education.gov.au</w:t>
              </w:r>
            </w:hyperlink>
            <w:r w:rsidRPr="003E3291">
              <w:t>.</w:t>
            </w:r>
          </w:p>
        </w:tc>
      </w:tr>
      <w:tr w:rsidR="00871E5A" w:rsidRPr="00756931" w14:paraId="474BC3C9" w14:textId="77777777" w:rsidTr="003E3291">
        <w:tc>
          <w:tcPr>
            <w:tcW w:w="1301" w:type="dxa"/>
            <w:shd w:val="clear" w:color="auto" w:fill="D0F1FC" w:themeFill="accent3" w:themeFillTint="33"/>
          </w:tcPr>
          <w:p w14:paraId="7CB9446A" w14:textId="77777777" w:rsidR="00871E5A" w:rsidRPr="003E3291" w:rsidRDefault="00871E5A" w:rsidP="003E3291">
            <w:pPr>
              <w:rPr>
                <w:rStyle w:val="Strong"/>
              </w:rPr>
            </w:pPr>
            <w:r w:rsidRPr="003E3291">
              <w:rPr>
                <w:rStyle w:val="Strong"/>
              </w:rPr>
              <w:t>Examples</w:t>
            </w:r>
          </w:p>
        </w:tc>
        <w:tc>
          <w:tcPr>
            <w:tcW w:w="7720" w:type="dxa"/>
            <w:shd w:val="clear" w:color="auto" w:fill="D0F1FC" w:themeFill="accent3" w:themeFillTint="33"/>
          </w:tcPr>
          <w:p w14:paraId="6A829775" w14:textId="5BD92B50" w:rsidR="00871E5A" w:rsidRPr="003E3291" w:rsidRDefault="00871E5A" w:rsidP="007C54AC">
            <w:pPr>
              <w:spacing w:after="120"/>
            </w:pPr>
            <w:r w:rsidRPr="003E3291">
              <w:t>For a</w:t>
            </w:r>
            <w:r w:rsidR="0094135C" w:rsidRPr="003E3291">
              <w:t xml:space="preserve"> </w:t>
            </w:r>
            <w:r w:rsidRPr="003E3291">
              <w:t xml:space="preserve">DMI score to be affected by a school’s </w:t>
            </w:r>
            <w:r w:rsidR="00EF1970" w:rsidRPr="003E3291">
              <w:t xml:space="preserve">missing </w:t>
            </w:r>
            <w:r w:rsidRPr="003E3291">
              <w:t>population</w:t>
            </w:r>
            <w:r w:rsidR="00EF1970" w:rsidRPr="003E3291">
              <w:t>,</w:t>
            </w:r>
            <w:r w:rsidR="004C40AE" w:rsidRPr="003E3291">
              <w:t xml:space="preserve"> the following conditions would need to apply</w:t>
            </w:r>
            <w:r w:rsidRPr="003E3291">
              <w:t>:</w:t>
            </w:r>
          </w:p>
          <w:p w14:paraId="2EF95492" w14:textId="355F936D" w:rsidR="00871E5A" w:rsidRPr="00D172D3" w:rsidRDefault="00871E5A" w:rsidP="003E3291">
            <w:pPr>
              <w:pStyle w:val="ListBullet"/>
              <w:spacing w:after="120"/>
              <w:contextualSpacing w:val="0"/>
              <w:rPr>
                <w:kern w:val="2"/>
                <w14:ligatures w14:val="standardContextual"/>
              </w:rPr>
            </w:pPr>
            <w:r w:rsidRPr="003E3291">
              <w:t xml:space="preserve">the incomes of members of the </w:t>
            </w:r>
            <w:r w:rsidR="00EF1970" w:rsidRPr="003E3291">
              <w:t xml:space="preserve">missing </w:t>
            </w:r>
            <w:r w:rsidRPr="003E3291">
              <w:t>population must be significantly different from those of the linked population, and</w:t>
            </w:r>
          </w:p>
          <w:p w14:paraId="2E2E428D" w14:textId="2EA77DA3" w:rsidR="00871E5A" w:rsidRPr="00D172D3" w:rsidRDefault="00871E5A" w:rsidP="003E3291">
            <w:pPr>
              <w:pStyle w:val="ListBullet"/>
              <w:rPr>
                <w:kern w:val="2"/>
                <w14:ligatures w14:val="standardContextual"/>
              </w:rPr>
            </w:pPr>
            <w:r w:rsidRPr="003E3291">
              <w:t xml:space="preserve">the </w:t>
            </w:r>
            <w:r w:rsidR="00EF1970" w:rsidRPr="003E3291">
              <w:t xml:space="preserve">missing </w:t>
            </w:r>
            <w:r w:rsidRPr="003E3291">
              <w:t>population must represent a sufficiently large proportion of the school community to affect the school’s CTC score.</w:t>
            </w:r>
          </w:p>
          <w:p w14:paraId="4DDA35B8" w14:textId="6B2D6F9B" w:rsidR="00871E5A" w:rsidRPr="003E3291" w:rsidRDefault="00871E5A" w:rsidP="00423003">
            <w:pPr>
              <w:spacing w:before="120" w:after="120"/>
              <w:rPr>
                <w:rStyle w:val="Emphasis"/>
              </w:rPr>
            </w:pPr>
            <w:r w:rsidRPr="003E3291">
              <w:rPr>
                <w:rStyle w:val="Emphasis"/>
                <w:b/>
                <w:bCs/>
              </w:rPr>
              <w:t>Note:</w:t>
            </w:r>
            <w:r w:rsidRPr="003E3291">
              <w:rPr>
                <w:rStyle w:val="Emphasis"/>
              </w:rPr>
              <w:t xml:space="preserve"> An annual DMI score with a linked population equal to or less than 95% undergoes a lower bound sensitivity analysis which assumes all missing parents have low incomes. If the DMI score changes by more than 2 funded points</w:t>
            </w:r>
            <w:r w:rsidR="008D07E0" w:rsidRPr="003E3291">
              <w:rPr>
                <w:rStyle w:val="Emphasis"/>
              </w:rPr>
              <w:t>,</w:t>
            </w:r>
            <w:r w:rsidRPr="003E3291">
              <w:rPr>
                <w:rStyle w:val="Emphasis"/>
              </w:rPr>
              <w:t xml:space="preserve"> the score undergoes further evaluation to determine whether it is fit-for-purpose and can therefore be validated. This includes tests to identify if the unlinked population is likely to have a family income profile that is different to the linked population’s profile. If the DMI score cannot be validated, a RAB score is used for the school’s CTC score</w:t>
            </w:r>
            <w:r w:rsidR="007F3253" w:rsidRPr="003E3291">
              <w:rPr>
                <w:rStyle w:val="Emphasis"/>
              </w:rPr>
              <w:t>.</w:t>
            </w:r>
          </w:p>
        </w:tc>
      </w:tr>
      <w:tr w:rsidR="00871E5A" w:rsidRPr="00756931" w14:paraId="5BC15D6B" w14:textId="77777777" w:rsidTr="003E3291">
        <w:tc>
          <w:tcPr>
            <w:tcW w:w="1301" w:type="dxa"/>
            <w:shd w:val="clear" w:color="auto" w:fill="FCDFDF" w:themeFill="accent5" w:themeFillTint="33"/>
          </w:tcPr>
          <w:p w14:paraId="40A2DE18" w14:textId="77777777" w:rsidR="00871E5A" w:rsidRPr="003E3291" w:rsidRDefault="00871E5A" w:rsidP="003E3291">
            <w:pPr>
              <w:rPr>
                <w:rStyle w:val="Strong"/>
              </w:rPr>
            </w:pPr>
            <w:r w:rsidRPr="003E3291">
              <w:rPr>
                <w:rStyle w:val="Strong"/>
              </w:rPr>
              <w:t>Evidence</w:t>
            </w:r>
          </w:p>
        </w:tc>
        <w:tc>
          <w:tcPr>
            <w:tcW w:w="7720" w:type="dxa"/>
            <w:shd w:val="clear" w:color="auto" w:fill="FCDFDF" w:themeFill="accent5" w:themeFillTint="33"/>
          </w:tcPr>
          <w:p w14:paraId="184D9C90" w14:textId="76E6BFE0" w:rsidR="00011865" w:rsidRPr="003E3291" w:rsidRDefault="004C40AE" w:rsidP="003E3291">
            <w:r w:rsidRPr="003E3291">
              <w:t xml:space="preserve">A review application </w:t>
            </w:r>
            <w:r w:rsidR="00871E5A" w:rsidRPr="003E3291">
              <w:t>will need to provide</w:t>
            </w:r>
            <w:r w:rsidR="00497FCF" w:rsidRPr="003E3291">
              <w:t xml:space="preserve"> new</w:t>
            </w:r>
            <w:r w:rsidR="00871E5A" w:rsidRPr="003E3291">
              <w:t xml:space="preserve"> evidence showing there is a significant proportion of records </w:t>
            </w:r>
            <w:r w:rsidR="00011865" w:rsidRPr="003E3291">
              <w:t>missing from the DMI data</w:t>
            </w:r>
            <w:r w:rsidR="00812AC3" w:rsidRPr="003E3291">
              <w:t>,</w:t>
            </w:r>
            <w:r w:rsidR="00871E5A" w:rsidRPr="003E3291">
              <w:t xml:space="preserve"> and that the distribution of family incomes of the </w:t>
            </w:r>
            <w:r w:rsidR="00EF1970" w:rsidRPr="003E3291">
              <w:t xml:space="preserve">missing </w:t>
            </w:r>
            <w:r w:rsidR="00871E5A" w:rsidRPr="003E3291">
              <w:t xml:space="preserve">population is significantly different </w:t>
            </w:r>
            <w:r w:rsidR="007F3253" w:rsidRPr="003E3291">
              <w:t xml:space="preserve">to </w:t>
            </w:r>
            <w:r w:rsidR="00871E5A" w:rsidRPr="003E3291">
              <w:t xml:space="preserve">those of the linked population. </w:t>
            </w:r>
          </w:p>
          <w:p w14:paraId="095A5D42" w14:textId="0D5BFA6D" w:rsidR="004C40AE" w:rsidRPr="003E3291" w:rsidRDefault="00871E5A" w:rsidP="008D07E0">
            <w:pPr>
              <w:spacing w:after="120"/>
            </w:pPr>
            <w:r w:rsidRPr="003E3291">
              <w:t xml:space="preserve">Supporting documents </w:t>
            </w:r>
            <w:r w:rsidR="002838C5" w:rsidRPr="003E3291">
              <w:t xml:space="preserve">must </w:t>
            </w:r>
            <w:r w:rsidRPr="003E3291">
              <w:t>show:</w:t>
            </w:r>
          </w:p>
          <w:p w14:paraId="0285C3D7" w14:textId="658F7C32" w:rsidR="00871E5A" w:rsidRPr="00D172D3" w:rsidRDefault="00871E5A" w:rsidP="003E3291">
            <w:pPr>
              <w:pStyle w:val="ListBullet"/>
              <w:spacing w:after="120"/>
              <w:contextualSpacing w:val="0"/>
              <w:rPr>
                <w:kern w:val="2"/>
                <w14:ligatures w14:val="standardContextual"/>
              </w:rPr>
            </w:pPr>
            <w:r w:rsidRPr="003E3291">
              <w:t xml:space="preserve">the proportion of students that are likely to make up the </w:t>
            </w:r>
            <w:r w:rsidR="00EF1970" w:rsidRPr="003E3291">
              <w:t xml:space="preserve">missing </w:t>
            </w:r>
            <w:r w:rsidRPr="003E3291">
              <w:t xml:space="preserve">population and why they may not </w:t>
            </w:r>
            <w:r w:rsidR="00EF1970" w:rsidRPr="003E3291">
              <w:t>have income data</w:t>
            </w:r>
            <w:r w:rsidRPr="003E3291">
              <w:t xml:space="preserve">, </w:t>
            </w:r>
            <w:r w:rsidR="00812AC3" w:rsidRPr="003E3291">
              <w:t>e.g.,</w:t>
            </w:r>
            <w:r w:rsidR="00901160" w:rsidRPr="003E3291">
              <w:t xml:space="preserve"> </w:t>
            </w:r>
            <w:r w:rsidR="009B1867" w:rsidRPr="003E3291">
              <w:t>a large proportion of parents residing overseas,</w:t>
            </w:r>
            <w:r w:rsidRPr="003E3291">
              <w:t xml:space="preserve"> enrolment records showing recent changes of addresses</w:t>
            </w:r>
            <w:r w:rsidR="004C40AE" w:rsidRPr="003E3291">
              <w:t xml:space="preserve"> or other reasons they believe </w:t>
            </w:r>
            <w:r w:rsidR="007F3253" w:rsidRPr="003E3291">
              <w:t xml:space="preserve">mean </w:t>
            </w:r>
            <w:r w:rsidR="004C40AE" w:rsidRPr="003E3291">
              <w:t>they are unlikely to link</w:t>
            </w:r>
            <w:r w:rsidR="002838C5" w:rsidRPr="003E3291">
              <w:t xml:space="preserve"> or have income data</w:t>
            </w:r>
            <w:r w:rsidRPr="003E3291">
              <w:t>, and</w:t>
            </w:r>
          </w:p>
          <w:p w14:paraId="60B6B16C" w14:textId="2913768C" w:rsidR="00871E5A" w:rsidRPr="00D172D3" w:rsidRDefault="00871E5A" w:rsidP="003E3291">
            <w:pPr>
              <w:pStyle w:val="ListBullet"/>
              <w:rPr>
                <w:kern w:val="2"/>
                <w14:ligatures w14:val="standardContextual"/>
              </w:rPr>
            </w:pPr>
            <w:r w:rsidRPr="003E3291">
              <w:t xml:space="preserve">that the </w:t>
            </w:r>
            <w:r w:rsidR="00EF1970" w:rsidRPr="003E3291">
              <w:t xml:space="preserve">missing </w:t>
            </w:r>
            <w:r w:rsidRPr="003E3291">
              <w:t>population has a</w:t>
            </w:r>
            <w:r w:rsidR="007F3253" w:rsidRPr="003E3291">
              <w:t>n</w:t>
            </w:r>
            <w:r w:rsidRPr="003E3291">
              <w:t xml:space="preserve"> income </w:t>
            </w:r>
            <w:r w:rsidR="00EF1970" w:rsidRPr="003E3291">
              <w:t xml:space="preserve">profile </w:t>
            </w:r>
            <w:r w:rsidR="007F3253" w:rsidRPr="003E3291">
              <w:t xml:space="preserve">that is </w:t>
            </w:r>
            <w:r w:rsidR="00EF1970" w:rsidRPr="003E3291">
              <w:t xml:space="preserve">significantly different </w:t>
            </w:r>
            <w:r w:rsidR="007F3253" w:rsidRPr="003E3291">
              <w:t>to</w:t>
            </w:r>
            <w:r w:rsidRPr="003E3291">
              <w:t xml:space="preserve"> the linked population</w:t>
            </w:r>
            <w:r w:rsidR="007F3253" w:rsidRPr="003E3291">
              <w:t>’s</w:t>
            </w:r>
            <w:r w:rsidR="00EF1970" w:rsidRPr="003E3291">
              <w:t>.</w:t>
            </w:r>
            <w:r w:rsidRPr="003E3291">
              <w:t xml:space="preserve"> </w:t>
            </w:r>
          </w:p>
        </w:tc>
      </w:tr>
    </w:tbl>
    <w:p w14:paraId="7C2BC150" w14:textId="5730FD98" w:rsidR="00871E5A" w:rsidRPr="00D172D3" w:rsidRDefault="00871E5A" w:rsidP="00B14ADF">
      <w:pPr>
        <w:pStyle w:val="Heading3"/>
        <w:rPr>
          <w:color w:val="auto"/>
          <w:sz w:val="22"/>
        </w:rPr>
      </w:pPr>
      <w:bookmarkStart w:id="150" w:name="_Toc110520308"/>
      <w:bookmarkStart w:id="151" w:name="_Toc173913206"/>
      <w:bookmarkStart w:id="152" w:name="_Toc129701991"/>
      <w:bookmarkStart w:id="153" w:name="_Hlk94702748"/>
      <w:r w:rsidRPr="003E3291">
        <w:lastRenderedPageBreak/>
        <w:t xml:space="preserve">The </w:t>
      </w:r>
      <w:r w:rsidR="00526D20" w:rsidRPr="00C213BC">
        <w:t>school’s</w:t>
      </w:r>
      <w:r w:rsidR="00526D20" w:rsidRPr="003E3291">
        <w:t xml:space="preserve"> </w:t>
      </w:r>
      <w:r w:rsidR="003E4DA5" w:rsidRPr="003E3291">
        <w:t xml:space="preserve">RAB </w:t>
      </w:r>
      <w:r w:rsidRPr="003E3291">
        <w:t>score does not accurately reflect the school community’s circumstances</w:t>
      </w:r>
      <w:bookmarkEnd w:id="150"/>
      <w:bookmarkEnd w:id="151"/>
      <w:bookmarkEnd w:id="152"/>
    </w:p>
    <w:tbl>
      <w:tblPr>
        <w:tblStyle w:val="TableGrid"/>
        <w:tblW w:w="0" w:type="auto"/>
        <w:tblInd w:w="-5" w:type="dxa"/>
        <w:tblLook w:val="04A0" w:firstRow="1" w:lastRow="0" w:firstColumn="1" w:lastColumn="0" w:noHBand="0" w:noVBand="1"/>
      </w:tblPr>
      <w:tblGrid>
        <w:gridCol w:w="1301"/>
        <w:gridCol w:w="7720"/>
      </w:tblGrid>
      <w:tr w:rsidR="00871E5A" w:rsidRPr="00756931" w14:paraId="6C52A72B" w14:textId="77777777" w:rsidTr="003E3291">
        <w:trPr>
          <w:trHeight w:val="792"/>
        </w:trPr>
        <w:tc>
          <w:tcPr>
            <w:tcW w:w="1301" w:type="dxa"/>
            <w:shd w:val="clear" w:color="auto" w:fill="F9C0C0" w:themeFill="accent5" w:themeFillTint="66"/>
          </w:tcPr>
          <w:bookmarkEnd w:id="153"/>
          <w:p w14:paraId="35A41758" w14:textId="77777777" w:rsidR="00871E5A" w:rsidRPr="003E3291" w:rsidRDefault="00871E5A" w:rsidP="003E3291">
            <w:pPr>
              <w:rPr>
                <w:rStyle w:val="Strong"/>
              </w:rPr>
            </w:pPr>
            <w:r w:rsidRPr="003E3291">
              <w:rPr>
                <w:rStyle w:val="Strong"/>
              </w:rPr>
              <w:t>Background</w:t>
            </w:r>
          </w:p>
        </w:tc>
        <w:tc>
          <w:tcPr>
            <w:tcW w:w="7720" w:type="dxa"/>
            <w:shd w:val="clear" w:color="auto" w:fill="F9C0C0" w:themeFill="accent5" w:themeFillTint="66"/>
          </w:tcPr>
          <w:p w14:paraId="7320596A" w14:textId="45CF7091" w:rsidR="00871E5A" w:rsidRPr="003E3291" w:rsidRDefault="00871E5A" w:rsidP="003E3291">
            <w:r w:rsidRPr="003E3291">
              <w:t xml:space="preserve">A school’s RAB score is based on family and household income data of the </w:t>
            </w:r>
            <w:hyperlink w:anchor="_Appendix_B:_Definitions" w:history="1">
              <w:r w:rsidRPr="003E3291">
                <w:rPr>
                  <w:rStyle w:val="Hyperlink"/>
                </w:rPr>
                <w:t>SA1s</w:t>
              </w:r>
            </w:hyperlink>
            <w:r w:rsidRPr="003E3291">
              <w:t xml:space="preserve"> where students live</w:t>
            </w:r>
            <w:r w:rsidR="00A15131" w:rsidRPr="003E3291">
              <w:t xml:space="preserve"> as recorded in Census 2021</w:t>
            </w:r>
            <w:r w:rsidRPr="003E3291">
              <w:t xml:space="preserve">. They are calculated each year using the Address Collection data for students enrolled at the school in the previous year. For example, </w:t>
            </w:r>
            <w:r w:rsidR="00F27521" w:rsidRPr="003E3291">
              <w:t>a school’s</w:t>
            </w:r>
            <w:r w:rsidRPr="003E3291">
              <w:t xml:space="preserve"> 202</w:t>
            </w:r>
            <w:r w:rsidR="00003B69">
              <w:t>4</w:t>
            </w:r>
            <w:r w:rsidRPr="003E3291">
              <w:t xml:space="preserve"> RAB</w:t>
            </w:r>
            <w:r w:rsidRPr="003E3291">
              <w:noBreakHyphen/>
              <w:t xml:space="preserve">based CTC score is calculated based on the students enrolled at </w:t>
            </w:r>
            <w:r w:rsidR="00F27521" w:rsidRPr="003E3291">
              <w:t>the</w:t>
            </w:r>
            <w:r w:rsidRPr="003E3291">
              <w:t xml:space="preserve"> school </w:t>
            </w:r>
            <w:r w:rsidR="00F27521" w:rsidRPr="003E3291">
              <w:t>from</w:t>
            </w:r>
            <w:r w:rsidRPr="003E3291">
              <w:t xml:space="preserve"> the 202</w:t>
            </w:r>
            <w:r w:rsidR="00003B69">
              <w:t>3</w:t>
            </w:r>
            <w:r w:rsidRPr="003E3291">
              <w:t xml:space="preserve"> Address Collection.</w:t>
            </w:r>
          </w:p>
          <w:p w14:paraId="3B133E87" w14:textId="421E3455" w:rsidR="00871E5A" w:rsidRPr="003E3291" w:rsidRDefault="00871E5A" w:rsidP="003E3291">
            <w:r w:rsidRPr="003E3291">
              <w:t>RAB</w:t>
            </w:r>
            <w:r w:rsidRPr="003E3291">
              <w:noBreakHyphen/>
              <w:t xml:space="preserve">based CTC scores are used for schools </w:t>
            </w:r>
            <w:r w:rsidR="008B3393" w:rsidRPr="003E3291">
              <w:t xml:space="preserve">that </w:t>
            </w:r>
            <w:r w:rsidRPr="003E3291">
              <w:t xml:space="preserve">do not have </w:t>
            </w:r>
            <w:r w:rsidR="008B3393" w:rsidRPr="003E3291">
              <w:t>three </w:t>
            </w:r>
            <w:r w:rsidRPr="003E3291">
              <w:t>consecutive annual DMI scores (</w:t>
            </w:r>
            <w:r w:rsidR="00812AC3" w:rsidRPr="003E3291">
              <w:t>e.g.,</w:t>
            </w:r>
            <w:r w:rsidRPr="003E3291">
              <w:t xml:space="preserve"> new schools with fewer than </w:t>
            </w:r>
            <w:r w:rsidR="008B3393" w:rsidRPr="003E3291">
              <w:t xml:space="preserve">three </w:t>
            </w:r>
            <w:r w:rsidRPr="003E3291">
              <w:t xml:space="preserve">years of operation, established schools where one or more annual DMI-scores have failed the quality assurance process, including for privacy reasons). </w:t>
            </w:r>
          </w:p>
        </w:tc>
      </w:tr>
      <w:tr w:rsidR="00871E5A" w:rsidRPr="00756931" w14:paraId="5F508D08" w14:textId="77777777" w:rsidTr="003E3291">
        <w:trPr>
          <w:trHeight w:val="792"/>
        </w:trPr>
        <w:tc>
          <w:tcPr>
            <w:tcW w:w="1301" w:type="dxa"/>
            <w:shd w:val="clear" w:color="auto" w:fill="D0F1FC" w:themeFill="accent3" w:themeFillTint="33"/>
          </w:tcPr>
          <w:p w14:paraId="39E40C91" w14:textId="77777777" w:rsidR="00871E5A" w:rsidRPr="003E3291" w:rsidRDefault="00871E5A" w:rsidP="003E3291">
            <w:pPr>
              <w:rPr>
                <w:rStyle w:val="Strong"/>
              </w:rPr>
            </w:pPr>
            <w:bookmarkStart w:id="154" w:name="_Review_Reason_3:_1"/>
            <w:bookmarkStart w:id="155" w:name="_Review_Reason_4:"/>
            <w:bookmarkEnd w:id="154"/>
            <w:bookmarkEnd w:id="155"/>
            <w:r w:rsidRPr="003E3291">
              <w:rPr>
                <w:rStyle w:val="Strong"/>
              </w:rPr>
              <w:t>Example</w:t>
            </w:r>
          </w:p>
        </w:tc>
        <w:tc>
          <w:tcPr>
            <w:tcW w:w="7720" w:type="dxa"/>
            <w:shd w:val="clear" w:color="auto" w:fill="D0F1FC" w:themeFill="accent3" w:themeFillTint="33"/>
          </w:tcPr>
          <w:p w14:paraId="579FADB1" w14:textId="19E52AE7" w:rsidR="00BA1EA7" w:rsidRPr="003E3291" w:rsidRDefault="00871E5A" w:rsidP="008D07E0">
            <w:pPr>
              <w:spacing w:after="120"/>
            </w:pPr>
            <w:r w:rsidRPr="003E3291">
              <w:t xml:space="preserve">This could apply to </w:t>
            </w:r>
            <w:r w:rsidR="00F27521" w:rsidRPr="003E3291">
              <w:t>a</w:t>
            </w:r>
            <w:r w:rsidRPr="003E3291">
              <w:t xml:space="preserve"> school if:</w:t>
            </w:r>
          </w:p>
          <w:p w14:paraId="59F9F302" w14:textId="59CBBA6D" w:rsidR="00871E5A" w:rsidRPr="00D172D3" w:rsidRDefault="00871E5A" w:rsidP="003E3291">
            <w:pPr>
              <w:pStyle w:val="ListBullet"/>
              <w:spacing w:after="120"/>
              <w:contextualSpacing w:val="0"/>
              <w:rPr>
                <w:kern w:val="2"/>
                <w14:ligatures w14:val="standardContextual"/>
              </w:rPr>
            </w:pPr>
            <w:r w:rsidRPr="003E3291">
              <w:t xml:space="preserve">a significant number of the incomes of the </w:t>
            </w:r>
            <w:r w:rsidR="00812AC3" w:rsidRPr="003E3291">
              <w:t>parents</w:t>
            </w:r>
            <w:r w:rsidRPr="003E3291">
              <w:t xml:space="preserve"> in </w:t>
            </w:r>
            <w:r w:rsidR="00F27521" w:rsidRPr="003E3291">
              <w:t>the</w:t>
            </w:r>
            <w:r w:rsidRPr="003E3291">
              <w:t xml:space="preserve"> school community are significantly lower than the incomes of the other residents in their </w:t>
            </w:r>
            <w:hyperlink w:anchor="_Appendix_B:_Definitions" w:history="1">
              <w:r w:rsidRPr="003E3291">
                <w:rPr>
                  <w:rStyle w:val="Hyperlink"/>
                </w:rPr>
                <w:t>SA1s</w:t>
              </w:r>
            </w:hyperlink>
            <w:r w:rsidRPr="003E3291">
              <w:t xml:space="preserve"> (also known as ‘hidden disadvantage’)</w:t>
            </w:r>
            <w:r w:rsidR="00812AC3" w:rsidRPr="003E3291">
              <w:t>,</w:t>
            </w:r>
            <w:r w:rsidRPr="003E3291">
              <w:t xml:space="preserve"> and/or</w:t>
            </w:r>
          </w:p>
          <w:p w14:paraId="64EC7BA6" w14:textId="77BBCF98" w:rsidR="00871E5A" w:rsidRPr="00D172D3" w:rsidRDefault="00871E5A" w:rsidP="003E3291">
            <w:pPr>
              <w:pStyle w:val="ListBullet"/>
              <w:rPr>
                <w:kern w:val="2"/>
                <w14:ligatures w14:val="standardContextual"/>
              </w:rPr>
            </w:pPr>
            <w:r w:rsidRPr="003E3291">
              <w:t>the quality of a significant number of addresses is poor and they cannot be geocoded with precision</w:t>
            </w:r>
            <w:r w:rsidR="007F2271" w:rsidRPr="003E3291">
              <w:t xml:space="preserve"> (and are therefore not included in the school’s RAB score)</w:t>
            </w:r>
            <w:r w:rsidRPr="003E3291">
              <w:t xml:space="preserve">. If the incomes of the </w:t>
            </w:r>
            <w:hyperlink w:anchor="_Appendix_B:_Definitions" w:history="1">
              <w:r w:rsidRPr="003E3291">
                <w:rPr>
                  <w:rStyle w:val="Hyperlink"/>
                </w:rPr>
                <w:t>SA1s</w:t>
              </w:r>
            </w:hyperlink>
            <w:r w:rsidRPr="003E3291">
              <w:t xml:space="preserve"> of these parents is significantly different to the incomes of </w:t>
            </w:r>
            <w:hyperlink w:anchor="_Appendix_B:_Definitions" w:history="1">
              <w:r w:rsidRPr="003E3291">
                <w:rPr>
                  <w:rStyle w:val="Hyperlink"/>
                </w:rPr>
                <w:t>SA1s</w:t>
              </w:r>
            </w:hyperlink>
            <w:r w:rsidRPr="003E3291">
              <w:t xml:space="preserve"> in the RAB score, the score might not be accurate. </w:t>
            </w:r>
          </w:p>
        </w:tc>
      </w:tr>
      <w:tr w:rsidR="00871E5A" w:rsidRPr="00756931" w14:paraId="7B81A871" w14:textId="77777777" w:rsidTr="003E3291">
        <w:trPr>
          <w:trHeight w:val="557"/>
        </w:trPr>
        <w:tc>
          <w:tcPr>
            <w:tcW w:w="1301" w:type="dxa"/>
            <w:shd w:val="clear" w:color="auto" w:fill="FCDFDF" w:themeFill="accent5" w:themeFillTint="33"/>
          </w:tcPr>
          <w:p w14:paraId="303F642B" w14:textId="77777777" w:rsidR="00871E5A" w:rsidRPr="003E3291" w:rsidRDefault="00871E5A" w:rsidP="003E3291">
            <w:pPr>
              <w:rPr>
                <w:rStyle w:val="Strong"/>
              </w:rPr>
            </w:pPr>
            <w:r w:rsidRPr="003E3291">
              <w:rPr>
                <w:rStyle w:val="Strong"/>
              </w:rPr>
              <w:t>Evidence</w:t>
            </w:r>
          </w:p>
        </w:tc>
        <w:tc>
          <w:tcPr>
            <w:tcW w:w="7720" w:type="dxa"/>
            <w:shd w:val="clear" w:color="auto" w:fill="FCDFDF" w:themeFill="accent5" w:themeFillTint="33"/>
          </w:tcPr>
          <w:p w14:paraId="0AF28D8E" w14:textId="481A2FB3" w:rsidR="00871E5A" w:rsidRPr="003E3291" w:rsidRDefault="004C40AE" w:rsidP="008D07E0">
            <w:pPr>
              <w:spacing w:after="120"/>
            </w:pPr>
            <w:r w:rsidRPr="003E3291">
              <w:t xml:space="preserve">A review application will need </w:t>
            </w:r>
            <w:r w:rsidR="00871E5A" w:rsidRPr="003E3291">
              <w:t>to provide evidence that indicates the RAB</w:t>
            </w:r>
            <w:r w:rsidR="00871E5A" w:rsidRPr="003E3291">
              <w:noBreakHyphen/>
              <w:t xml:space="preserve">based CTC score might not be representative of </w:t>
            </w:r>
            <w:r w:rsidR="00F27521" w:rsidRPr="003E3291">
              <w:t>the</w:t>
            </w:r>
            <w:r w:rsidR="00871E5A" w:rsidRPr="003E3291">
              <w:t xml:space="preserve"> school community, for example:</w:t>
            </w:r>
          </w:p>
          <w:p w14:paraId="162D4273" w14:textId="625C9F0C" w:rsidR="00871E5A" w:rsidRPr="00D172D3" w:rsidRDefault="00871E5A" w:rsidP="003E3291">
            <w:pPr>
              <w:pStyle w:val="ListBullet"/>
              <w:spacing w:after="120"/>
              <w:contextualSpacing w:val="0"/>
              <w:rPr>
                <w:kern w:val="2"/>
                <w14:ligatures w14:val="standardContextual"/>
              </w:rPr>
            </w:pPr>
            <w:r w:rsidRPr="003E3291">
              <w:t xml:space="preserve">any </w:t>
            </w:r>
            <w:r w:rsidR="004C40AE" w:rsidRPr="003E3291">
              <w:t>evidence</w:t>
            </w:r>
            <w:r w:rsidRPr="003E3291">
              <w:t xml:space="preserve"> the school has of the incomes of the families at the school, such as the proportion with a low-income concession card (including income health care card, family tax benefit health care card, other health care card or pension card)</w:t>
            </w:r>
            <w:r w:rsidR="004C40AE" w:rsidRPr="003E3291">
              <w:t xml:space="preserve"> and that these are likely to be different to the SA1 data, or</w:t>
            </w:r>
          </w:p>
          <w:p w14:paraId="615B02A7" w14:textId="77777777" w:rsidR="00871E5A" w:rsidRPr="00D172D3" w:rsidRDefault="00871E5A" w:rsidP="003E3291">
            <w:pPr>
              <w:pStyle w:val="ListBullet"/>
              <w:rPr>
                <w:kern w:val="2"/>
                <w14:ligatures w14:val="standardContextual"/>
              </w:rPr>
            </w:pPr>
            <w:r w:rsidRPr="003E3291">
              <w:t>a description of any known quality issues with the addresses of a significant number of parents (if relevant).</w:t>
            </w:r>
          </w:p>
        </w:tc>
      </w:tr>
    </w:tbl>
    <w:p w14:paraId="3D5C2031" w14:textId="77777777" w:rsidR="00871E5A" w:rsidRPr="00D172D3" w:rsidRDefault="00871E5A" w:rsidP="00D172D3">
      <w:pPr>
        <w:rPr>
          <w:rFonts w:asciiTheme="majorHAnsi" w:hAnsiTheme="majorHAnsi"/>
          <w:b/>
          <w:color w:val="008599" w:themeColor="accent1"/>
          <w:kern w:val="2"/>
          <w:sz w:val="32"/>
          <w14:ligatures w14:val="standardContextual"/>
        </w:rPr>
      </w:pPr>
      <w:bookmarkStart w:id="156" w:name="_Toc110520309"/>
      <w:r w:rsidRPr="00D172D3">
        <w:rPr>
          <w:kern w:val="2"/>
          <w14:ligatures w14:val="standardContextual"/>
        </w:rPr>
        <w:br w:type="page"/>
      </w:r>
    </w:p>
    <w:p w14:paraId="5C2CB3B9" w14:textId="1BCA6990" w:rsidR="00B365A0" w:rsidRDefault="009E7239" w:rsidP="00B14ADF">
      <w:pPr>
        <w:pStyle w:val="Heading3"/>
      </w:pPr>
      <w:bookmarkStart w:id="157" w:name="_Toc173913207"/>
      <w:bookmarkStart w:id="158" w:name="_Toc129701992"/>
      <w:bookmarkStart w:id="159" w:name="_Hlk129701794"/>
      <w:bookmarkEnd w:id="156"/>
      <w:r w:rsidRPr="003E3291">
        <w:lastRenderedPageBreak/>
        <w:t>Large average family size</w:t>
      </w:r>
      <w:bookmarkEnd w:id="157"/>
    </w:p>
    <w:p w14:paraId="19356D8A" w14:textId="760941C2" w:rsidR="00871E5A" w:rsidRPr="00D172D3" w:rsidRDefault="009E7239" w:rsidP="00D172D3">
      <w:pPr>
        <w:spacing w:after="0"/>
        <w:rPr>
          <w:b/>
          <w:kern w:val="2"/>
          <w:sz w:val="28"/>
          <w14:ligatures w14:val="standardContextual"/>
        </w:rPr>
      </w:pPr>
      <w:r w:rsidRPr="00D172D3">
        <w:rPr>
          <w:b/>
          <w:kern w:val="2"/>
          <w:sz w:val="28"/>
          <w14:ligatures w14:val="standardContextual"/>
        </w:rPr>
        <w:t>(DMI-based and RAB scores)</w:t>
      </w:r>
      <w:bookmarkEnd w:id="158"/>
    </w:p>
    <w:tbl>
      <w:tblPr>
        <w:tblStyle w:val="TableGrid"/>
        <w:tblW w:w="0" w:type="auto"/>
        <w:tblInd w:w="-5" w:type="dxa"/>
        <w:tblLook w:val="04A0" w:firstRow="1" w:lastRow="0" w:firstColumn="1" w:lastColumn="0" w:noHBand="0" w:noVBand="1"/>
      </w:tblPr>
      <w:tblGrid>
        <w:gridCol w:w="1301"/>
        <w:gridCol w:w="7720"/>
      </w:tblGrid>
      <w:tr w:rsidR="00871E5A" w:rsidRPr="00756931" w14:paraId="33DDB410" w14:textId="77777777" w:rsidTr="003E3291">
        <w:tc>
          <w:tcPr>
            <w:tcW w:w="1278" w:type="dxa"/>
            <w:shd w:val="clear" w:color="auto" w:fill="F9C0C0" w:themeFill="accent5" w:themeFillTint="66"/>
          </w:tcPr>
          <w:bookmarkEnd w:id="159"/>
          <w:p w14:paraId="31B7F763" w14:textId="77777777" w:rsidR="00871E5A" w:rsidRPr="003E3291" w:rsidRDefault="00871E5A" w:rsidP="003E3291">
            <w:pPr>
              <w:rPr>
                <w:rStyle w:val="Strong"/>
              </w:rPr>
            </w:pPr>
            <w:r w:rsidRPr="003E3291">
              <w:rPr>
                <w:rStyle w:val="Strong"/>
              </w:rPr>
              <w:t>Background</w:t>
            </w:r>
          </w:p>
        </w:tc>
        <w:tc>
          <w:tcPr>
            <w:tcW w:w="7743" w:type="dxa"/>
            <w:shd w:val="clear" w:color="auto" w:fill="F9C0C0" w:themeFill="accent5" w:themeFillTint="66"/>
          </w:tcPr>
          <w:p w14:paraId="799A69E7" w14:textId="2071DE02" w:rsidR="00871E5A" w:rsidRPr="003E3291" w:rsidRDefault="00871E5A" w:rsidP="003E3291">
            <w:r w:rsidRPr="003E3291">
              <w:t>Significantly large family size is recogni</w:t>
            </w:r>
            <w:r w:rsidR="00B66A60" w:rsidRPr="003E3291">
              <w:t>s</w:t>
            </w:r>
            <w:r w:rsidRPr="003E3291">
              <w:t xml:space="preserve">ed by the department as a circumstance that is demonstrably unique to a small number of schools and not currently accounted for in the DMI methodology. If available </w:t>
            </w:r>
            <w:hyperlink w:anchor="_Appendix_B:_Definitions" w:history="1">
              <w:r w:rsidRPr="003E3291">
                <w:rPr>
                  <w:rStyle w:val="Hyperlink"/>
                </w:rPr>
                <w:t>administrative data</w:t>
              </w:r>
            </w:hyperlink>
            <w:r w:rsidRPr="003E3291">
              <w:t xml:space="preserve"> for parents and guardians of students at a school with significantly large average family size is of a high enough quality, the department can equivalise incomes for the large families at the school and adjust the school’s CTC score to account for larger than average family size. </w:t>
            </w:r>
          </w:p>
        </w:tc>
      </w:tr>
      <w:tr w:rsidR="00871E5A" w:rsidRPr="00756931" w14:paraId="5F919B3E" w14:textId="77777777" w:rsidTr="003E3291">
        <w:tc>
          <w:tcPr>
            <w:tcW w:w="1278" w:type="dxa"/>
            <w:shd w:val="clear" w:color="auto" w:fill="D0F1FC" w:themeFill="accent3" w:themeFillTint="33"/>
          </w:tcPr>
          <w:p w14:paraId="5B518814" w14:textId="77777777" w:rsidR="00871E5A" w:rsidRPr="003E3291" w:rsidRDefault="00871E5A" w:rsidP="003E3291">
            <w:pPr>
              <w:rPr>
                <w:rStyle w:val="Strong"/>
              </w:rPr>
            </w:pPr>
            <w:bookmarkStart w:id="160" w:name="_Review_Reason_5:"/>
            <w:bookmarkEnd w:id="160"/>
            <w:r w:rsidRPr="003E3291">
              <w:rPr>
                <w:rStyle w:val="Strong"/>
              </w:rPr>
              <w:t>Example</w:t>
            </w:r>
          </w:p>
        </w:tc>
        <w:tc>
          <w:tcPr>
            <w:tcW w:w="7743" w:type="dxa"/>
            <w:shd w:val="clear" w:color="auto" w:fill="D0F1FC" w:themeFill="accent3" w:themeFillTint="33"/>
          </w:tcPr>
          <w:p w14:paraId="61DE3EEE" w14:textId="0F1C4E96" w:rsidR="00871E5A" w:rsidRPr="003E3291" w:rsidRDefault="00871E5A" w:rsidP="003E3291">
            <w:r w:rsidRPr="003E3291">
              <w:t xml:space="preserve">If the average number of dependents for all families with students enrolled at </w:t>
            </w:r>
            <w:r w:rsidR="00F27521" w:rsidRPr="003E3291">
              <w:t>the</w:t>
            </w:r>
            <w:r w:rsidRPr="003E3291">
              <w:t xml:space="preserve"> school is significantly larger than the national average family size in non</w:t>
            </w:r>
            <w:r w:rsidRPr="003E3291">
              <w:noBreakHyphen/>
              <w:t xml:space="preserve">government schools, </w:t>
            </w:r>
            <w:r w:rsidR="00F27521" w:rsidRPr="003E3291">
              <w:t>an approved authority</w:t>
            </w:r>
            <w:r w:rsidRPr="003E3291">
              <w:t xml:space="preserve"> can apply for a review of </w:t>
            </w:r>
            <w:r w:rsidR="00F27521" w:rsidRPr="003E3291">
              <w:t>their</w:t>
            </w:r>
            <w:r w:rsidRPr="003E3291">
              <w:t xml:space="preserve"> school’s CTC score. Analysis of average family size in non-government schools is available in the Technical Framework.</w:t>
            </w:r>
          </w:p>
          <w:p w14:paraId="26211E3C" w14:textId="3239B3D5" w:rsidR="00871E5A" w:rsidRPr="003E3291" w:rsidRDefault="00812AC3" w:rsidP="003E3291">
            <w:r w:rsidRPr="003E3291">
              <w:t>For the purposes of CTC reviews, d</w:t>
            </w:r>
            <w:r w:rsidR="00871E5A" w:rsidRPr="003E3291">
              <w:t>epend</w:t>
            </w:r>
            <w:r w:rsidRPr="003E3291">
              <w:t>a</w:t>
            </w:r>
            <w:r w:rsidR="00871E5A" w:rsidRPr="003E3291">
              <w:t>nts are</w:t>
            </w:r>
            <w:r w:rsidRPr="003E3291">
              <w:t xml:space="preserve"> defined as</w:t>
            </w:r>
            <w:r w:rsidR="00871E5A" w:rsidRPr="003E3291">
              <w:t xml:space="preserve"> children under 15 years old or members of the household under 24 years of age who are full-time students.</w:t>
            </w:r>
          </w:p>
        </w:tc>
      </w:tr>
      <w:tr w:rsidR="00871E5A" w:rsidRPr="00756931" w14:paraId="17B27ADE" w14:textId="77777777" w:rsidTr="003E3291">
        <w:tc>
          <w:tcPr>
            <w:tcW w:w="1278" w:type="dxa"/>
            <w:shd w:val="clear" w:color="auto" w:fill="FCDFDF" w:themeFill="accent5" w:themeFillTint="33"/>
          </w:tcPr>
          <w:p w14:paraId="6FFD833F" w14:textId="77777777" w:rsidR="00871E5A" w:rsidRPr="003E3291" w:rsidRDefault="00871E5A" w:rsidP="003E3291">
            <w:pPr>
              <w:rPr>
                <w:rStyle w:val="Strong"/>
              </w:rPr>
            </w:pPr>
            <w:r w:rsidRPr="003E3291">
              <w:rPr>
                <w:rStyle w:val="Strong"/>
              </w:rPr>
              <w:t>Evidence</w:t>
            </w:r>
          </w:p>
        </w:tc>
        <w:tc>
          <w:tcPr>
            <w:tcW w:w="7743" w:type="dxa"/>
            <w:shd w:val="clear" w:color="auto" w:fill="FCDFDF" w:themeFill="accent5" w:themeFillTint="33"/>
          </w:tcPr>
          <w:p w14:paraId="6BA0ED0A" w14:textId="63B29797" w:rsidR="00871E5A" w:rsidRPr="003E3291" w:rsidRDefault="00F27521" w:rsidP="003E3291">
            <w:r w:rsidRPr="003E3291">
              <w:t xml:space="preserve">A review application will need to show that the </w:t>
            </w:r>
            <w:r w:rsidR="00871E5A" w:rsidRPr="003E3291">
              <w:t xml:space="preserve">school has a significantly larger average family size than most non-government schools. Evidence could include information from the most recent Address Collection, or information collected by the school through a survey of parents and guardians, showing the average number of dependent children per family enrolled at </w:t>
            </w:r>
            <w:r w:rsidRPr="003E3291">
              <w:t>the</w:t>
            </w:r>
            <w:r w:rsidR="00871E5A" w:rsidRPr="003E3291">
              <w:t xml:space="preserve"> school.</w:t>
            </w:r>
          </w:p>
        </w:tc>
      </w:tr>
    </w:tbl>
    <w:p w14:paraId="3F9CA87A" w14:textId="5A519D37" w:rsidR="00BC78F1" w:rsidRPr="00D172D3" w:rsidRDefault="00BC78F1" w:rsidP="003E3291">
      <w:pPr>
        <w:rPr>
          <w:kern w:val="2"/>
          <w14:ligatures w14:val="standardContextual"/>
        </w:rPr>
      </w:pPr>
    </w:p>
    <w:p w14:paraId="7C3DF42A" w14:textId="77777777" w:rsidR="00871E5A" w:rsidRPr="00D172D3" w:rsidRDefault="00871E5A" w:rsidP="00D172D3">
      <w:pPr>
        <w:rPr>
          <w:rFonts w:asciiTheme="majorHAnsi" w:hAnsiTheme="majorHAnsi"/>
          <w:b/>
          <w:color w:val="55437E" w:themeColor="accent2"/>
          <w:kern w:val="2"/>
          <w:sz w:val="44"/>
          <w14:ligatures w14:val="standardContextual"/>
        </w:rPr>
      </w:pPr>
      <w:bookmarkStart w:id="161" w:name="_Toc110520310"/>
      <w:r w:rsidRPr="00D172D3">
        <w:rPr>
          <w:kern w:val="2"/>
          <w14:ligatures w14:val="standardContextual"/>
        </w:rPr>
        <w:br w:type="page"/>
      </w:r>
    </w:p>
    <w:p w14:paraId="62D7F777" w14:textId="2B411E8E" w:rsidR="00871E5A" w:rsidRPr="00D172D3" w:rsidRDefault="00871E5A" w:rsidP="00B14ADF">
      <w:pPr>
        <w:pStyle w:val="Heading2"/>
        <w:rPr>
          <w:rFonts w:asciiTheme="minorHAnsi" w:hAnsiTheme="minorHAnsi"/>
          <w:color w:val="auto"/>
          <w:sz w:val="22"/>
        </w:rPr>
      </w:pPr>
      <w:bookmarkStart w:id="162" w:name="_Appendix_B:_Definitions"/>
      <w:bookmarkStart w:id="163" w:name="_Toc173913208"/>
      <w:bookmarkStart w:id="164" w:name="_Toc129701993"/>
      <w:bookmarkEnd w:id="162"/>
      <w:r w:rsidRPr="003E3291">
        <w:lastRenderedPageBreak/>
        <w:t xml:space="preserve">Appendix B: </w:t>
      </w:r>
      <w:r w:rsidRPr="00C213BC">
        <w:t>Definitions</w:t>
      </w:r>
      <w:bookmarkEnd w:id="161"/>
      <w:bookmarkEnd w:id="163"/>
      <w:bookmarkEnd w:id="164"/>
    </w:p>
    <w:p w14:paraId="5CB5BCB2" w14:textId="79AE31CB" w:rsidR="00871E5A" w:rsidRPr="00D172D3" w:rsidRDefault="00871E5A" w:rsidP="003E3291">
      <w:pPr>
        <w:rPr>
          <w:b/>
          <w:kern w:val="2"/>
          <w14:ligatures w14:val="standardContextual"/>
        </w:rPr>
      </w:pPr>
      <w:r w:rsidRPr="00D172D3">
        <w:rPr>
          <w:b/>
          <w:kern w:val="2"/>
          <w14:ligatures w14:val="standardContextual"/>
        </w:rPr>
        <w:t>The Act:</w:t>
      </w:r>
      <w:r w:rsidRPr="00D172D3">
        <w:rPr>
          <w:kern w:val="2"/>
          <w14:ligatures w14:val="standardContextual"/>
        </w:rPr>
        <w:t xml:space="preserve"> Refers to the </w:t>
      </w:r>
      <w:r w:rsidRPr="00D172D3">
        <w:rPr>
          <w:i/>
          <w:kern w:val="2"/>
          <w14:ligatures w14:val="standardContextual"/>
        </w:rPr>
        <w:t>Australian Education Act 2013</w:t>
      </w:r>
      <w:r w:rsidR="001B1A6C" w:rsidRPr="00D172D3">
        <w:rPr>
          <w:kern w:val="2"/>
          <w14:ligatures w14:val="standardContextual"/>
        </w:rPr>
        <w:t xml:space="preserve"> that sets out the Commonwealth’s school funding arrangements</w:t>
      </w:r>
      <w:r w:rsidRPr="00D172D3">
        <w:rPr>
          <w:kern w:val="2"/>
          <w14:ligatures w14:val="standardContextual"/>
        </w:rPr>
        <w:t>.</w:t>
      </w:r>
    </w:p>
    <w:p w14:paraId="4314E5E9" w14:textId="3F407422" w:rsidR="00871E5A" w:rsidRPr="00D172D3" w:rsidRDefault="00871E5A" w:rsidP="003E3291">
      <w:pPr>
        <w:rPr>
          <w:kern w:val="2"/>
          <w14:ligatures w14:val="standardContextual"/>
        </w:rPr>
      </w:pPr>
      <w:r w:rsidRPr="00D172D3">
        <w:rPr>
          <w:b/>
          <w:kern w:val="2"/>
          <w14:ligatures w14:val="standardContextual"/>
        </w:rPr>
        <w:t xml:space="preserve">Administrative data: </w:t>
      </w:r>
      <w:r w:rsidR="001B1A6C" w:rsidRPr="00D172D3">
        <w:rPr>
          <w:kern w:val="2"/>
          <w14:ligatures w14:val="standardContextual"/>
        </w:rPr>
        <w:t xml:space="preserve">Information that is maintained by government departments and other organisations that has been made available through </w:t>
      </w:r>
      <w:r w:rsidR="002533F2" w:rsidRPr="003E3291">
        <w:rPr>
          <w:kern w:val="2"/>
          <w14:ligatures w14:val="standardContextual"/>
        </w:rPr>
        <w:t>PLIDA</w:t>
      </w:r>
      <w:r w:rsidR="002533F2" w:rsidRPr="00D172D3">
        <w:rPr>
          <w:kern w:val="2"/>
          <w14:ligatures w14:val="standardContextual"/>
        </w:rPr>
        <w:t xml:space="preserve"> </w:t>
      </w:r>
      <w:r w:rsidR="001B1A6C" w:rsidRPr="00D172D3">
        <w:rPr>
          <w:kern w:val="2"/>
          <w14:ligatures w14:val="standardContextual"/>
        </w:rPr>
        <w:t>for research and statistical purposes.</w:t>
      </w:r>
    </w:p>
    <w:p w14:paraId="13C4EF0B" w14:textId="26B40662" w:rsidR="00871E5A" w:rsidRPr="00D172D3" w:rsidRDefault="00871E5A" w:rsidP="003E3291">
      <w:pPr>
        <w:rPr>
          <w:b/>
          <w:kern w:val="2"/>
          <w14:ligatures w14:val="standardContextual"/>
        </w:rPr>
      </w:pPr>
      <w:r w:rsidRPr="00D172D3">
        <w:rPr>
          <w:b/>
          <w:kern w:val="2"/>
          <w14:ligatures w14:val="standardContextual"/>
        </w:rPr>
        <w:t>Annual DMI score:</w:t>
      </w:r>
      <w:r w:rsidRPr="00D172D3">
        <w:rPr>
          <w:kern w:val="2"/>
          <w14:ligatures w14:val="standardContextual"/>
        </w:rPr>
        <w:t xml:space="preserve"> </w:t>
      </w:r>
      <w:r w:rsidR="000266B1" w:rsidRPr="00D172D3">
        <w:rPr>
          <w:kern w:val="2"/>
          <w14:ligatures w14:val="standardContextual"/>
        </w:rPr>
        <w:t xml:space="preserve">a </w:t>
      </w:r>
      <w:r w:rsidRPr="00D172D3">
        <w:rPr>
          <w:kern w:val="2"/>
          <w14:ligatures w14:val="standardContextual"/>
        </w:rPr>
        <w:t xml:space="preserve">DMI score </w:t>
      </w:r>
      <w:r w:rsidR="003B5809" w:rsidRPr="00D172D3">
        <w:rPr>
          <w:kern w:val="2"/>
          <w14:ligatures w14:val="standardContextual"/>
        </w:rPr>
        <w:t xml:space="preserve">is </w:t>
      </w:r>
      <w:r w:rsidRPr="00D172D3">
        <w:rPr>
          <w:kern w:val="2"/>
          <w14:ligatures w14:val="standardContextual"/>
        </w:rPr>
        <w:t>calculated</w:t>
      </w:r>
      <w:r w:rsidR="000266B1" w:rsidRPr="00D172D3">
        <w:rPr>
          <w:kern w:val="2"/>
          <w14:ligatures w14:val="standardContextual"/>
        </w:rPr>
        <w:t xml:space="preserve"> for a school</w:t>
      </w:r>
      <w:r w:rsidRPr="00D172D3">
        <w:rPr>
          <w:kern w:val="2"/>
          <w14:ligatures w14:val="standardContextual"/>
        </w:rPr>
        <w:t xml:space="preserve"> each year. </w:t>
      </w:r>
      <w:bookmarkStart w:id="165" w:name="_Hlk129680107"/>
      <w:r w:rsidR="00FB7304" w:rsidRPr="00D172D3">
        <w:rPr>
          <w:kern w:val="2"/>
          <w14:ligatures w14:val="standardContextual"/>
        </w:rPr>
        <w:t>Three</w:t>
      </w:r>
      <w:r w:rsidR="00821F7B" w:rsidRPr="00D172D3">
        <w:rPr>
          <w:kern w:val="2"/>
          <w14:ligatures w14:val="standardContextual"/>
        </w:rPr>
        <w:t xml:space="preserve"> </w:t>
      </w:r>
      <w:r w:rsidRPr="00D172D3">
        <w:rPr>
          <w:kern w:val="2"/>
          <w14:ligatures w14:val="standardContextual"/>
        </w:rPr>
        <w:t>consecutive</w:t>
      </w:r>
      <w:r w:rsidR="00091BB7" w:rsidRPr="00D172D3">
        <w:rPr>
          <w:kern w:val="2"/>
          <w14:ligatures w14:val="standardContextual"/>
        </w:rPr>
        <w:t xml:space="preserve"> </w:t>
      </w:r>
      <w:r w:rsidRPr="00D172D3">
        <w:rPr>
          <w:kern w:val="2"/>
          <w14:ligatures w14:val="standardContextual"/>
        </w:rPr>
        <w:t>annual DMI scores are averaged to create a school’s CTC score.</w:t>
      </w:r>
    </w:p>
    <w:bookmarkEnd w:id="165"/>
    <w:p w14:paraId="051332D8" w14:textId="5E9FE235" w:rsidR="00871E5A" w:rsidRPr="00D172D3" w:rsidRDefault="00871E5A" w:rsidP="003E3291">
      <w:pPr>
        <w:rPr>
          <w:b/>
          <w:kern w:val="2"/>
          <w14:ligatures w14:val="standardContextual"/>
        </w:rPr>
      </w:pPr>
      <w:r w:rsidRPr="00D172D3">
        <w:rPr>
          <w:b/>
          <w:kern w:val="2"/>
          <w14:ligatures w14:val="standardContextual"/>
        </w:rPr>
        <w:t>Approved authority:</w:t>
      </w:r>
      <w:r w:rsidRPr="00D172D3">
        <w:rPr>
          <w:kern w:val="2"/>
          <w14:ligatures w14:val="standardContextual"/>
        </w:rPr>
        <w:t xml:space="preserve"> Each school has an approved authority, which is approved under the Act. </w:t>
      </w:r>
      <w:r w:rsidR="001B1A6C" w:rsidRPr="00D172D3">
        <w:rPr>
          <w:kern w:val="2"/>
          <w14:ligatures w14:val="standardContextual"/>
        </w:rPr>
        <w:t>The approved authority for a non-government school is the legal body approved for that school.</w:t>
      </w:r>
    </w:p>
    <w:p w14:paraId="4C9244A3" w14:textId="07B2BDBC" w:rsidR="00871E5A" w:rsidRPr="00D172D3" w:rsidRDefault="00871E5A" w:rsidP="003E3291">
      <w:pPr>
        <w:rPr>
          <w:kern w:val="2"/>
          <w14:ligatures w14:val="standardContextual"/>
        </w:rPr>
      </w:pPr>
      <w:r w:rsidRPr="00D172D3">
        <w:rPr>
          <w:b/>
          <w:kern w:val="2"/>
          <w14:ligatures w14:val="standardContextual"/>
        </w:rPr>
        <w:t>ATI</w:t>
      </w:r>
      <w:r w:rsidRPr="00D172D3">
        <w:rPr>
          <w:kern w:val="2"/>
          <w14:ligatures w14:val="standardContextual"/>
        </w:rPr>
        <w:t>: Adjusted Taxable Income as defined by the Australian Taxation Office. The ATI formula for 202</w:t>
      </w:r>
      <w:r w:rsidR="00376B55" w:rsidRPr="00D172D3">
        <w:rPr>
          <w:kern w:val="2"/>
          <w14:ligatures w14:val="standardContextual"/>
        </w:rPr>
        <w:t>2</w:t>
      </w:r>
      <w:r w:rsidRPr="00D172D3">
        <w:rPr>
          <w:kern w:val="2"/>
          <w14:ligatures w14:val="standardContextual"/>
        </w:rPr>
        <w:t xml:space="preserve"> can be found at: </w:t>
      </w:r>
      <w:hyperlink r:id="rId29" w:history="1">
        <w:r w:rsidR="00376B55" w:rsidRPr="00D172D3">
          <w:rPr>
            <w:rStyle w:val="Hyperlink"/>
            <w:kern w:val="2"/>
            <w14:ligatures w14:val="standardContextual"/>
          </w:rPr>
          <w:t>https://www.ato.gov.au/Individuals/Tax-return/2022/Tax-return/Adjusted-taxable-income-(ATI)-for-you-and-your-dependants-2022/</w:t>
        </w:r>
      </w:hyperlink>
    </w:p>
    <w:p w14:paraId="565D4333" w14:textId="66CBA270" w:rsidR="00871E5A" w:rsidRPr="00D172D3" w:rsidRDefault="00871E5A" w:rsidP="003E3291">
      <w:pPr>
        <w:rPr>
          <w:kern w:val="2"/>
          <w14:ligatures w14:val="standardContextual"/>
        </w:rPr>
      </w:pPr>
      <w:r w:rsidRPr="00D172D3">
        <w:rPr>
          <w:b/>
          <w:kern w:val="2"/>
          <w14:ligatures w14:val="standardContextual"/>
        </w:rPr>
        <w:t>Capacity to Contribute (CTC) score</w:t>
      </w:r>
      <w:r w:rsidRPr="00D172D3">
        <w:rPr>
          <w:kern w:val="2"/>
          <w14:ligatures w14:val="standardContextual"/>
        </w:rPr>
        <w:t xml:space="preserve">: a </w:t>
      </w:r>
      <w:r w:rsidR="001B1A6C" w:rsidRPr="00D172D3">
        <w:rPr>
          <w:kern w:val="2"/>
          <w14:ligatures w14:val="standardContextual"/>
        </w:rPr>
        <w:t>measure of a non-government school community’s capacity to contribute to the ongoing costs of running their school,</w:t>
      </w:r>
      <w:r w:rsidRPr="00D172D3">
        <w:rPr>
          <w:kern w:val="2"/>
          <w14:ligatures w14:val="standardContextual"/>
        </w:rPr>
        <w:t xml:space="preserve"> relative to </w:t>
      </w:r>
      <w:r w:rsidR="001B1A6C" w:rsidRPr="00D172D3">
        <w:rPr>
          <w:kern w:val="2"/>
          <w14:ligatures w14:val="standardContextual"/>
        </w:rPr>
        <w:t xml:space="preserve">the </w:t>
      </w:r>
      <w:r w:rsidRPr="00D172D3">
        <w:rPr>
          <w:kern w:val="2"/>
          <w14:ligatures w14:val="standardContextual"/>
        </w:rPr>
        <w:t>capacity at other non</w:t>
      </w:r>
      <w:r w:rsidRPr="00D172D3">
        <w:rPr>
          <w:kern w:val="2"/>
          <w14:ligatures w14:val="standardContextual"/>
        </w:rPr>
        <w:noBreakHyphen/>
        <w:t xml:space="preserve">government schools. </w:t>
      </w:r>
      <w:r w:rsidR="00952F14" w:rsidRPr="003E3291">
        <w:rPr>
          <w:rFonts w:ascii="Calibri" w:hAnsi="Calibri"/>
        </w:rPr>
        <w:t xml:space="preserve">A school’s CTC score determines the </w:t>
      </w:r>
      <w:r w:rsidR="000266B1" w:rsidRPr="003E3291">
        <w:rPr>
          <w:rFonts w:ascii="Calibri" w:hAnsi="Calibri"/>
        </w:rPr>
        <w:t>reduction</w:t>
      </w:r>
      <w:r w:rsidR="00952F14" w:rsidRPr="003E3291">
        <w:rPr>
          <w:rFonts w:ascii="Calibri" w:hAnsi="Calibri"/>
        </w:rPr>
        <w:t xml:space="preserve"> the Commonwealth applies to funding the school. This </w:t>
      </w:r>
      <w:r w:rsidR="000266B1" w:rsidRPr="003E3291">
        <w:rPr>
          <w:rFonts w:ascii="Calibri" w:hAnsi="Calibri"/>
        </w:rPr>
        <w:t>reduction</w:t>
      </w:r>
      <w:r w:rsidR="00952F14" w:rsidRPr="003E3291">
        <w:rPr>
          <w:rFonts w:ascii="Calibri" w:hAnsi="Calibri"/>
        </w:rPr>
        <w:t xml:space="preserve"> is applied to the</w:t>
      </w:r>
      <w:r w:rsidRPr="00D172D3">
        <w:rPr>
          <w:kern w:val="2"/>
          <w14:ligatures w14:val="standardContextual"/>
        </w:rPr>
        <w:t xml:space="preserve"> </w:t>
      </w:r>
      <w:hyperlink r:id="rId30">
        <w:r w:rsidRPr="003E3291">
          <w:rPr>
            <w:rStyle w:val="Hyperlink"/>
            <w:kern w:val="2"/>
            <w14:ligatures w14:val="standardContextual"/>
          </w:rPr>
          <w:t>Schooling Resource Standard</w:t>
        </w:r>
      </w:hyperlink>
      <w:r w:rsidRPr="00D172D3">
        <w:rPr>
          <w:kern w:val="2"/>
          <w14:ligatures w14:val="standardContextual"/>
        </w:rPr>
        <w:t xml:space="preserve"> (also known as an SRS) </w:t>
      </w:r>
      <w:r w:rsidR="003E4DA5" w:rsidRPr="00D172D3">
        <w:rPr>
          <w:kern w:val="2"/>
          <w14:ligatures w14:val="standardContextual"/>
        </w:rPr>
        <w:t xml:space="preserve">base </w:t>
      </w:r>
      <w:r w:rsidR="00952F14" w:rsidRPr="003E3291">
        <w:rPr>
          <w:rFonts w:ascii="Calibri" w:hAnsi="Calibri"/>
        </w:rPr>
        <w:t>funding amount</w:t>
      </w:r>
      <w:r w:rsidR="003E4DA5" w:rsidRPr="003E3291">
        <w:rPr>
          <w:rFonts w:ascii="Calibri" w:hAnsi="Calibri"/>
        </w:rPr>
        <w:t xml:space="preserve"> only</w:t>
      </w:r>
      <w:r w:rsidRPr="00D172D3">
        <w:rPr>
          <w:kern w:val="2"/>
          <w14:ligatures w14:val="standardContextual"/>
        </w:rPr>
        <w:t xml:space="preserve">. </w:t>
      </w:r>
      <w:r w:rsidR="003E4DA5" w:rsidRPr="00D172D3">
        <w:rPr>
          <w:kern w:val="2"/>
          <w14:ligatures w14:val="standardContextual"/>
        </w:rPr>
        <w:t>CTC</w:t>
      </w:r>
      <w:r w:rsidRPr="00D172D3">
        <w:rPr>
          <w:kern w:val="2"/>
          <w14:ligatures w14:val="standardContextual"/>
        </w:rPr>
        <w:t xml:space="preserve"> percentages are </w:t>
      </w:r>
      <w:r w:rsidR="003E4DA5" w:rsidRPr="00D172D3">
        <w:rPr>
          <w:kern w:val="2"/>
          <w14:ligatures w14:val="standardContextual"/>
        </w:rPr>
        <w:t xml:space="preserve">set out </w:t>
      </w:r>
      <w:r w:rsidRPr="00D172D3">
        <w:rPr>
          <w:kern w:val="2"/>
          <w14:ligatures w14:val="standardContextual"/>
        </w:rPr>
        <w:t xml:space="preserve">at subsection 54(3) of the Act. </w:t>
      </w:r>
    </w:p>
    <w:p w14:paraId="52E7CED9" w14:textId="0008CC0C" w:rsidR="00871E5A" w:rsidRPr="00D172D3" w:rsidRDefault="00871E5A" w:rsidP="003E3291">
      <w:pPr>
        <w:rPr>
          <w:kern w:val="2"/>
          <w14:ligatures w14:val="standardContextual"/>
        </w:rPr>
      </w:pPr>
      <w:r w:rsidRPr="00D172D3">
        <w:rPr>
          <w:b/>
          <w:kern w:val="2"/>
          <w14:ligatures w14:val="standardContextual"/>
        </w:rPr>
        <w:t>Choice and Affordability Fund:</w:t>
      </w:r>
      <w:r w:rsidRPr="00D172D3">
        <w:rPr>
          <w:kern w:val="2"/>
          <w14:ligatures w14:val="standardContextual"/>
        </w:rPr>
        <w:t xml:space="preserve"> </w:t>
      </w:r>
      <w:r w:rsidR="001B1A6C" w:rsidRPr="00D172D3">
        <w:rPr>
          <w:kern w:val="2"/>
          <w14:ligatures w14:val="standardContextual"/>
        </w:rPr>
        <w:t>An Australian Government established program to assist the non-government school sector to support schools to deliver choice and affordability and achieve government priorities, including to assist non-government schools during transition to the recurrent funding arrangements.</w:t>
      </w:r>
      <w:r w:rsidRPr="00D172D3">
        <w:rPr>
          <w:kern w:val="2"/>
          <w14:ligatures w14:val="standardContextual"/>
        </w:rPr>
        <w:t xml:space="preserve"> More information is available at: </w:t>
      </w:r>
      <w:hyperlink r:id="rId31" w:history="1">
        <w:r w:rsidR="00BA1EA7" w:rsidRPr="00D172D3">
          <w:rPr>
            <w:rStyle w:val="Hyperlink"/>
            <w:kern w:val="2"/>
            <w14:ligatures w14:val="standardContextual"/>
          </w:rPr>
          <w:t>https://www.education.gov.au/other-commonwealth-funding-schools/what-choice-and-affordability-fund</w:t>
        </w:r>
      </w:hyperlink>
      <w:r w:rsidRPr="00D172D3">
        <w:rPr>
          <w:kern w:val="2"/>
          <w14:ligatures w14:val="standardContextual"/>
        </w:rPr>
        <w:t>.</w:t>
      </w:r>
    </w:p>
    <w:p w14:paraId="7D1345F6" w14:textId="5EBBFBDF" w:rsidR="00207DA6" w:rsidRPr="003E3291" w:rsidRDefault="00207DA6" w:rsidP="003E3291">
      <w:pPr>
        <w:rPr>
          <w:bCs/>
          <w:kern w:val="2"/>
          <w14:ligatures w14:val="standardContextual"/>
        </w:rPr>
      </w:pPr>
      <w:r w:rsidRPr="00207DA6">
        <w:rPr>
          <w:b/>
          <w:kern w:val="2"/>
          <w14:ligatures w14:val="standardContextual"/>
        </w:rPr>
        <w:t>Commonwealth recurrent funding entitlement:</w:t>
      </w:r>
      <w:r>
        <w:rPr>
          <w:bCs/>
          <w:kern w:val="2"/>
          <w14:ligatures w14:val="standardContextual"/>
        </w:rPr>
        <w:t xml:space="preserve"> </w:t>
      </w:r>
      <w:r w:rsidRPr="00207DA6">
        <w:rPr>
          <w:bCs/>
          <w:kern w:val="2"/>
          <w14:ligatures w14:val="standardContextual"/>
        </w:rPr>
        <w:t xml:space="preserve"> A school’s Commonwealth recurrent funding entitlement for a year is its </w:t>
      </w:r>
      <w:hyperlink r:id="rId32">
        <w:r w:rsidRPr="00207DA6">
          <w:rPr>
            <w:rStyle w:val="Hyperlink"/>
            <w:bCs/>
            <w:kern w:val="2"/>
            <w14:ligatures w14:val="standardContextual"/>
          </w:rPr>
          <w:t>Schooling Resource Standard</w:t>
        </w:r>
      </w:hyperlink>
      <w:r>
        <w:rPr>
          <w:bCs/>
          <w:kern w:val="2"/>
          <w14:ligatures w14:val="standardContextual"/>
        </w:rPr>
        <w:t xml:space="preserve"> </w:t>
      </w:r>
      <w:r w:rsidRPr="00207DA6">
        <w:rPr>
          <w:bCs/>
          <w:kern w:val="2"/>
          <w14:ligatures w14:val="standardContextual"/>
        </w:rPr>
        <w:t>multiplied by its Commonwealth share for the yea</w:t>
      </w:r>
      <w:r>
        <w:rPr>
          <w:bCs/>
          <w:kern w:val="2"/>
          <w14:ligatures w14:val="standardContextual"/>
        </w:rPr>
        <w:t>r.</w:t>
      </w:r>
    </w:p>
    <w:p w14:paraId="23957D31" w14:textId="77777777" w:rsidR="00871E5A" w:rsidRPr="00D172D3" w:rsidRDefault="00871E5A" w:rsidP="00D43F79">
      <w:pPr>
        <w:rPr>
          <w:rFonts w:ascii="Calibri" w:hAnsi="Calibri"/>
        </w:rPr>
      </w:pPr>
      <w:r w:rsidRPr="00D172D3">
        <w:rPr>
          <w:b/>
          <w:kern w:val="2"/>
          <w14:ligatures w14:val="standardContextual"/>
        </w:rPr>
        <w:t>CTC score review</w:t>
      </w:r>
      <w:r w:rsidRPr="00D172D3">
        <w:rPr>
          <w:kern w:val="2"/>
          <w14:ligatures w14:val="standardContextual"/>
        </w:rPr>
        <w:t>: Refers to investigation, triggered by an application made by an approved authority for a school, into whether a school’s CTC score is accurate.</w:t>
      </w:r>
    </w:p>
    <w:p w14:paraId="483FF627" w14:textId="538ADF7A" w:rsidR="00D43F79" w:rsidRPr="003E3291" w:rsidRDefault="00D43F79" w:rsidP="003E3291">
      <w:pPr>
        <w:rPr>
          <w:kern w:val="2"/>
          <w14:ligatures w14:val="standardContextual"/>
        </w:rPr>
      </w:pPr>
      <w:proofErr w:type="spellStart"/>
      <w:r w:rsidRPr="00C213BC">
        <w:rPr>
          <w:rFonts w:ascii="Calibri" w:hAnsi="Calibri"/>
          <w:b/>
          <w:bCs/>
        </w:rPr>
        <w:t>DataLab</w:t>
      </w:r>
      <w:proofErr w:type="spellEnd"/>
      <w:r w:rsidRPr="003E3291">
        <w:rPr>
          <w:rFonts w:ascii="Calibri" w:hAnsi="Calibri"/>
        </w:rPr>
        <w:t>:</w:t>
      </w:r>
      <w:r>
        <w:rPr>
          <w:rFonts w:ascii="Calibri" w:hAnsi="Calibri"/>
        </w:rPr>
        <w:t xml:space="preserve"> The Australian Bureau of Statistics’ secure </w:t>
      </w:r>
      <w:r w:rsidR="00B25207">
        <w:rPr>
          <w:rFonts w:ascii="Calibri" w:hAnsi="Calibri"/>
        </w:rPr>
        <w:t>research environment.</w:t>
      </w:r>
    </w:p>
    <w:p w14:paraId="38F094CC" w14:textId="74EBBA49" w:rsidR="00871E5A" w:rsidRPr="00D172D3" w:rsidRDefault="00871E5A" w:rsidP="003E3291">
      <w:pPr>
        <w:rPr>
          <w:kern w:val="2"/>
          <w14:ligatures w14:val="standardContextual"/>
        </w:rPr>
      </w:pPr>
      <w:r w:rsidRPr="00D172D3">
        <w:rPr>
          <w:b/>
          <w:kern w:val="2"/>
          <w14:ligatures w14:val="standardContextual"/>
        </w:rPr>
        <w:t>Deemed CTC score</w:t>
      </w:r>
      <w:r w:rsidRPr="00D172D3">
        <w:rPr>
          <w:kern w:val="2"/>
          <w14:ligatures w14:val="standardContextual"/>
        </w:rPr>
        <w:t xml:space="preserve">: </w:t>
      </w:r>
      <w:bookmarkStart w:id="166" w:name="_Hlk89075725"/>
      <w:r w:rsidRPr="00D172D3">
        <w:rPr>
          <w:kern w:val="2"/>
          <w14:ligatures w14:val="standardContextual"/>
        </w:rPr>
        <w:t xml:space="preserve">A CTC score that has been calculated using a method that is not set out in the </w:t>
      </w:r>
      <w:r w:rsidRPr="00D172D3">
        <w:rPr>
          <w:i/>
          <w:kern w:val="2"/>
          <w14:ligatures w14:val="standardContextual"/>
        </w:rPr>
        <w:t xml:space="preserve">Australian Education </w:t>
      </w:r>
      <w:r w:rsidRPr="003E3291">
        <w:rPr>
          <w:i/>
          <w:iCs/>
          <w:kern w:val="2"/>
          <w14:ligatures w14:val="standardContextual"/>
        </w:rPr>
        <w:t>Regulation</w:t>
      </w:r>
      <w:r w:rsidR="00E729F5" w:rsidRPr="003E3291">
        <w:rPr>
          <w:i/>
          <w:iCs/>
          <w:kern w:val="2"/>
          <w14:ligatures w14:val="standardContextual"/>
        </w:rPr>
        <w:t>s</w:t>
      </w:r>
      <w:r w:rsidRPr="003E3291">
        <w:rPr>
          <w:i/>
          <w:iCs/>
          <w:kern w:val="2"/>
          <w14:ligatures w14:val="standardContextual"/>
        </w:rPr>
        <w:t> 20</w:t>
      </w:r>
      <w:r w:rsidR="00E729F5" w:rsidRPr="003E3291">
        <w:rPr>
          <w:i/>
          <w:iCs/>
          <w:kern w:val="2"/>
          <w14:ligatures w14:val="standardContextual"/>
        </w:rPr>
        <w:t>2</w:t>
      </w:r>
      <w:r w:rsidRPr="003E3291">
        <w:rPr>
          <w:i/>
          <w:iCs/>
          <w:kern w:val="2"/>
          <w14:ligatures w14:val="standardContextual"/>
        </w:rPr>
        <w:t>3</w:t>
      </w:r>
      <w:r w:rsidRPr="003E3291">
        <w:rPr>
          <w:kern w:val="2"/>
          <w14:ligatures w14:val="standardContextual"/>
        </w:rPr>
        <w:t>.</w:t>
      </w:r>
      <w:r w:rsidRPr="00D172D3">
        <w:rPr>
          <w:kern w:val="2"/>
          <w14:ligatures w14:val="standardContextual"/>
        </w:rPr>
        <w:t xml:space="preserve"> The Minister (or delegate) can determine a deemed score only when they believe a CTC score determined in accordance with the </w:t>
      </w:r>
      <w:r w:rsidRPr="003E3291">
        <w:rPr>
          <w:kern w:val="2"/>
          <w14:ligatures w14:val="standardContextual"/>
        </w:rPr>
        <w:t>Regulation</w:t>
      </w:r>
      <w:r w:rsidR="00E729F5" w:rsidRPr="003E3291">
        <w:rPr>
          <w:kern w:val="2"/>
          <w14:ligatures w14:val="standardContextual"/>
        </w:rPr>
        <w:t>s</w:t>
      </w:r>
      <w:r w:rsidRPr="00D172D3">
        <w:rPr>
          <w:kern w:val="2"/>
          <w14:ligatures w14:val="standardContextual"/>
        </w:rPr>
        <w:t xml:space="preserve"> (that is a DMI</w:t>
      </w:r>
      <w:r w:rsidR="00812AC3" w:rsidRPr="00D172D3">
        <w:rPr>
          <w:kern w:val="2"/>
          <w14:ligatures w14:val="standardContextual"/>
        </w:rPr>
        <w:noBreakHyphen/>
      </w:r>
      <w:r w:rsidRPr="00D172D3">
        <w:rPr>
          <w:kern w:val="2"/>
          <w14:ligatures w14:val="standardContextual"/>
        </w:rPr>
        <w:t>based CTC score or a RAB-based CTC score) would result in an inaccurate score.</w:t>
      </w:r>
    </w:p>
    <w:bookmarkEnd w:id="166"/>
    <w:p w14:paraId="00892157" w14:textId="77777777" w:rsidR="00871E5A" w:rsidRPr="00D172D3" w:rsidRDefault="00871E5A" w:rsidP="003E3291">
      <w:pPr>
        <w:rPr>
          <w:kern w:val="2"/>
          <w14:ligatures w14:val="standardContextual"/>
        </w:rPr>
      </w:pPr>
      <w:r w:rsidRPr="00D172D3">
        <w:rPr>
          <w:b/>
          <w:kern w:val="2"/>
          <w14:ligatures w14:val="standardContextual"/>
        </w:rPr>
        <w:t>Department</w:t>
      </w:r>
      <w:r w:rsidRPr="00D172D3">
        <w:rPr>
          <w:kern w:val="2"/>
          <w14:ligatures w14:val="standardContextual"/>
        </w:rPr>
        <w:t>: Refers to the Australian Government Department of Education.</w:t>
      </w:r>
    </w:p>
    <w:p w14:paraId="4064A81F" w14:textId="12568BA4" w:rsidR="00FB7304" w:rsidRPr="00D172D3" w:rsidRDefault="00871E5A" w:rsidP="003E3291">
      <w:pPr>
        <w:rPr>
          <w:b/>
          <w:kern w:val="2"/>
          <w14:ligatures w14:val="standardContextual"/>
        </w:rPr>
      </w:pPr>
      <w:r w:rsidRPr="00D172D3">
        <w:rPr>
          <w:b/>
          <w:kern w:val="2"/>
          <w14:ligatures w14:val="standardContextual"/>
        </w:rPr>
        <w:t>DMI:</w:t>
      </w:r>
      <w:r w:rsidRPr="00D172D3">
        <w:rPr>
          <w:kern w:val="2"/>
          <w14:ligatures w14:val="standardContextual"/>
        </w:rPr>
        <w:t xml:space="preserve"> Refers to the Direct Measure of Income methodology used for most CTC scores. A DMI</w:t>
      </w:r>
      <w:r w:rsidR="00FB7304" w:rsidRPr="00D172D3">
        <w:rPr>
          <w:kern w:val="2"/>
          <w14:ligatures w14:val="standardContextual"/>
        </w:rPr>
        <w:t xml:space="preserve"> </w:t>
      </w:r>
      <w:r w:rsidRPr="00D172D3">
        <w:rPr>
          <w:kern w:val="2"/>
          <w14:ligatures w14:val="standardContextual"/>
        </w:rPr>
        <w:t xml:space="preserve">score is calculated </w:t>
      </w:r>
      <w:r w:rsidR="00FB7304" w:rsidRPr="00D172D3">
        <w:rPr>
          <w:kern w:val="2"/>
          <w14:ligatures w14:val="standardContextual"/>
        </w:rPr>
        <w:t xml:space="preserve">annually </w:t>
      </w:r>
      <w:r w:rsidRPr="00D172D3">
        <w:rPr>
          <w:kern w:val="2"/>
          <w14:ligatures w14:val="standardContextual"/>
        </w:rPr>
        <w:t xml:space="preserve">based on the median family income of parents or guardians </w:t>
      </w:r>
      <w:r w:rsidR="00FB7304" w:rsidRPr="00D172D3">
        <w:rPr>
          <w:kern w:val="2"/>
          <w14:ligatures w14:val="standardContextual"/>
        </w:rPr>
        <w:t xml:space="preserve">of students enrolled </w:t>
      </w:r>
      <w:r w:rsidRPr="00D172D3">
        <w:rPr>
          <w:kern w:val="2"/>
          <w14:ligatures w14:val="standardContextual"/>
        </w:rPr>
        <w:lastRenderedPageBreak/>
        <w:t>at a school</w:t>
      </w:r>
      <w:r w:rsidR="00952F14" w:rsidRPr="00D172D3">
        <w:rPr>
          <w:kern w:val="2"/>
          <w14:ligatures w14:val="standardContextual"/>
        </w:rPr>
        <w:t xml:space="preserve"> for that year</w:t>
      </w:r>
      <w:r w:rsidRPr="00D172D3">
        <w:rPr>
          <w:kern w:val="2"/>
          <w14:ligatures w14:val="standardContextual"/>
        </w:rPr>
        <w:t>.</w:t>
      </w:r>
      <w:r w:rsidR="00FB7304" w:rsidRPr="00D172D3">
        <w:rPr>
          <w:kern w:val="2"/>
          <w14:ligatures w14:val="standardContextual"/>
        </w:rPr>
        <w:t xml:space="preserve"> Three consecutive annual DMI scores are averaged to create a school’s CTC score.</w:t>
      </w:r>
    </w:p>
    <w:p w14:paraId="604778BB" w14:textId="77777777" w:rsidR="00992BDD" w:rsidRPr="003E3291" w:rsidRDefault="00992BDD" w:rsidP="003E3291">
      <w:pPr>
        <w:rPr>
          <w:bCs/>
          <w:kern w:val="2"/>
          <w14:ligatures w14:val="standardContextual"/>
        </w:rPr>
      </w:pPr>
      <w:r w:rsidRPr="003E3291">
        <w:rPr>
          <w:b/>
          <w:kern w:val="2"/>
          <w14:ligatures w14:val="standardContextual"/>
        </w:rPr>
        <w:t xml:space="preserve">DMI-based CTC score: </w:t>
      </w:r>
      <w:r w:rsidRPr="003E3291">
        <w:rPr>
          <w:bCs/>
          <w:kern w:val="2"/>
          <w14:ligatures w14:val="standardContextual"/>
        </w:rPr>
        <w:t>the average of a school’s 3 previous consecutive annual DMI scores usually used for a school’s CTC score.</w:t>
      </w:r>
    </w:p>
    <w:p w14:paraId="0F9BF0FE" w14:textId="77777777" w:rsidR="00871E5A" w:rsidRPr="00D172D3" w:rsidRDefault="00871E5A" w:rsidP="003E3291">
      <w:pPr>
        <w:rPr>
          <w:b/>
          <w:kern w:val="2"/>
          <w14:ligatures w14:val="standardContextual"/>
        </w:rPr>
      </w:pPr>
      <w:r w:rsidRPr="00D172D3">
        <w:rPr>
          <w:b/>
          <w:kern w:val="2"/>
          <w14:ligatures w14:val="standardContextual"/>
        </w:rPr>
        <w:t>External review:</w:t>
      </w:r>
      <w:r w:rsidRPr="00D172D3">
        <w:rPr>
          <w:kern w:val="2"/>
          <w14:ligatures w14:val="standardContextual"/>
        </w:rPr>
        <w:t xml:space="preserve"> Refers to a review conducted by the Administrative Appeals Tribunal. An applicant can request an external review if they are not satisfied with the outcome of an internal review.</w:t>
      </w:r>
    </w:p>
    <w:p w14:paraId="6C78F74E" w14:textId="77777777" w:rsidR="00871E5A" w:rsidRPr="00D172D3" w:rsidRDefault="00871E5A" w:rsidP="003E3291">
      <w:pPr>
        <w:rPr>
          <w:kern w:val="2"/>
          <w14:ligatures w14:val="standardContextual"/>
        </w:rPr>
      </w:pPr>
      <w:r w:rsidRPr="00D172D3">
        <w:rPr>
          <w:b/>
          <w:kern w:val="2"/>
          <w14:ligatures w14:val="standardContextual"/>
        </w:rPr>
        <w:t>Internal review</w:t>
      </w:r>
      <w:r w:rsidRPr="00D172D3">
        <w:rPr>
          <w:kern w:val="2"/>
          <w14:ligatures w14:val="standardContextual"/>
        </w:rPr>
        <w:t>: Refers to a review of a CTC score decision (determination) made under subsection 52(1) of the Act by the Minister’s delegate, conducted within the department. Section 118 of the Act lists reviewable decisions that can be made under the Act.</w:t>
      </w:r>
    </w:p>
    <w:p w14:paraId="5F115477" w14:textId="77777777" w:rsidR="00871E5A" w:rsidRPr="00D172D3" w:rsidRDefault="00871E5A" w:rsidP="003E3291">
      <w:pPr>
        <w:rPr>
          <w:kern w:val="2"/>
          <w14:ligatures w14:val="standardContextual"/>
        </w:rPr>
      </w:pPr>
      <w:r w:rsidRPr="00D172D3">
        <w:rPr>
          <w:b/>
          <w:kern w:val="2"/>
          <w14:ligatures w14:val="standardContextual"/>
        </w:rPr>
        <w:t>Minister</w:t>
      </w:r>
      <w:r w:rsidRPr="00D172D3">
        <w:rPr>
          <w:kern w:val="2"/>
          <w14:ligatures w14:val="standardContextual"/>
        </w:rPr>
        <w:t>: Minister for Education.</w:t>
      </w:r>
    </w:p>
    <w:p w14:paraId="36E24FFE" w14:textId="77777777" w:rsidR="00871E5A" w:rsidRPr="00D172D3" w:rsidRDefault="00871E5A" w:rsidP="003E3291">
      <w:pPr>
        <w:rPr>
          <w:kern w:val="2"/>
          <w14:ligatures w14:val="standardContextual"/>
        </w:rPr>
      </w:pPr>
      <w:r w:rsidRPr="00D172D3">
        <w:rPr>
          <w:b/>
          <w:kern w:val="2"/>
          <w14:ligatures w14:val="standardContextual"/>
        </w:rPr>
        <w:t>Parental survey:</w:t>
      </w:r>
      <w:r w:rsidRPr="00D172D3">
        <w:rPr>
          <w:kern w:val="2"/>
          <w14:ligatures w14:val="standardContextual"/>
        </w:rPr>
        <w:t xml:space="preserve"> A survey of all eligible parents and guardians of students at a school to collect income data to inform the calculation of a new CTC score.</w:t>
      </w:r>
    </w:p>
    <w:p w14:paraId="5C270AE7" w14:textId="45A259B9" w:rsidR="00091BB7" w:rsidRPr="003E3291" w:rsidRDefault="00091BB7" w:rsidP="003E3291">
      <w:pPr>
        <w:rPr>
          <w:b/>
          <w:bCs/>
          <w:kern w:val="2"/>
          <w14:ligatures w14:val="standardContextual"/>
        </w:rPr>
      </w:pPr>
      <w:r w:rsidRPr="003E3291">
        <w:rPr>
          <w:b/>
          <w:bCs/>
          <w:kern w:val="2"/>
          <w14:ligatures w14:val="standardContextual"/>
        </w:rPr>
        <w:t xml:space="preserve">PLIDA: </w:t>
      </w:r>
      <w:r w:rsidRPr="003E3291">
        <w:rPr>
          <w:kern w:val="2"/>
          <w14:ligatures w14:val="standardContextual"/>
        </w:rPr>
        <w:t xml:space="preserve">Person Level Integrated Data Asset (formerly </w:t>
      </w:r>
      <w:r w:rsidR="002533F2" w:rsidRPr="003E3291">
        <w:rPr>
          <w:kern w:val="2"/>
          <w14:ligatures w14:val="standardContextual"/>
        </w:rPr>
        <w:t>known as the</w:t>
      </w:r>
      <w:r w:rsidRPr="003E3291">
        <w:rPr>
          <w:kern w:val="2"/>
          <w14:ligatures w14:val="standardContextual"/>
        </w:rPr>
        <w:t xml:space="preserve"> Multi-Agency Data Integration Project (MADIP))</w:t>
      </w:r>
      <w:r w:rsidR="002533F2" w:rsidRPr="003E3291">
        <w:rPr>
          <w:kern w:val="2"/>
          <w14:ligatures w14:val="standardContextual"/>
        </w:rPr>
        <w:t xml:space="preserve"> is a secure data asset combining information on health, education, government payments, income and taxation, employment and population demographics (including the Census of Population and Housing) over time. The Australian Bureau of Statistics is the accredited Integrating Authority for PLIDA. More information is available at: </w:t>
      </w:r>
      <w:hyperlink r:id="rId33" w:history="1">
        <w:r w:rsidR="002533F2" w:rsidRPr="003E3291">
          <w:rPr>
            <w:rStyle w:val="Hyperlink"/>
            <w:kern w:val="2"/>
            <w14:ligatures w14:val="standardContextual"/>
          </w:rPr>
          <w:t>www.abs.gov.au/about/data-services/data-integration/integrated-data/person-level-integrated-data-asset-plida</w:t>
        </w:r>
      </w:hyperlink>
    </w:p>
    <w:p w14:paraId="27BC99CE" w14:textId="23C3DC2D" w:rsidR="00871E5A" w:rsidRPr="00D172D3" w:rsidRDefault="00871E5A" w:rsidP="003E3291">
      <w:pPr>
        <w:rPr>
          <w:b/>
          <w:kern w:val="2"/>
          <w14:ligatures w14:val="standardContextual"/>
        </w:rPr>
      </w:pPr>
      <w:r w:rsidRPr="00D172D3">
        <w:rPr>
          <w:b/>
          <w:kern w:val="2"/>
          <w14:ligatures w14:val="standardContextual"/>
        </w:rPr>
        <w:t>Refined Area Based (RAB) score:</w:t>
      </w:r>
      <w:r w:rsidRPr="00D172D3">
        <w:rPr>
          <w:kern w:val="2"/>
          <w14:ligatures w14:val="standardContextual"/>
        </w:rPr>
        <w:t xml:space="preserve"> a score worked out in accordance with subsection 23(2) of the </w:t>
      </w:r>
      <w:r w:rsidRPr="003E3291">
        <w:rPr>
          <w:kern w:val="2"/>
          <w14:ligatures w14:val="standardContextual"/>
        </w:rPr>
        <w:t>Regulation</w:t>
      </w:r>
      <w:r w:rsidR="00E729F5" w:rsidRPr="003E3291">
        <w:rPr>
          <w:kern w:val="2"/>
          <w14:ligatures w14:val="standardContextual"/>
        </w:rPr>
        <w:t>s</w:t>
      </w:r>
      <w:r w:rsidRPr="00D172D3">
        <w:rPr>
          <w:kern w:val="2"/>
          <w14:ligatures w14:val="standardContextual"/>
        </w:rPr>
        <w:t xml:space="preserve"> using family and household incomes of the areas where parents and guardians of students enrolled at a school live. In accordance with the </w:t>
      </w:r>
      <w:r w:rsidRPr="00D172D3">
        <w:rPr>
          <w:i/>
          <w:kern w:val="2"/>
          <w14:ligatures w14:val="standardContextual"/>
        </w:rPr>
        <w:t xml:space="preserve">Australian Education </w:t>
      </w:r>
      <w:r w:rsidRPr="00003B69">
        <w:rPr>
          <w:i/>
          <w:iCs/>
          <w:kern w:val="2"/>
          <w14:ligatures w14:val="standardContextual"/>
        </w:rPr>
        <w:t>Regulation</w:t>
      </w:r>
      <w:r w:rsidR="00E729F5" w:rsidRPr="00003B69">
        <w:rPr>
          <w:i/>
          <w:iCs/>
          <w:kern w:val="2"/>
          <w14:ligatures w14:val="standardContextual"/>
        </w:rPr>
        <w:t>s</w:t>
      </w:r>
      <w:r w:rsidRPr="00003B69">
        <w:rPr>
          <w:i/>
          <w:iCs/>
          <w:kern w:val="2"/>
          <w14:ligatures w14:val="standardContextual"/>
        </w:rPr>
        <w:t> 20</w:t>
      </w:r>
      <w:r w:rsidR="00E729F5" w:rsidRPr="00003B69">
        <w:rPr>
          <w:i/>
          <w:iCs/>
          <w:kern w:val="2"/>
          <w14:ligatures w14:val="standardContextual"/>
        </w:rPr>
        <w:t>2</w:t>
      </w:r>
      <w:r w:rsidRPr="00003B69">
        <w:rPr>
          <w:i/>
          <w:iCs/>
          <w:kern w:val="2"/>
          <w14:ligatures w14:val="standardContextual"/>
        </w:rPr>
        <w:t>3</w:t>
      </w:r>
      <w:r w:rsidRPr="00D172D3">
        <w:rPr>
          <w:kern w:val="2"/>
          <w14:ligatures w14:val="standardContextual"/>
        </w:rPr>
        <w:t xml:space="preserve">, a school’s RAB score is used as </w:t>
      </w:r>
      <w:r w:rsidR="00FB7304" w:rsidRPr="00D172D3">
        <w:rPr>
          <w:kern w:val="2"/>
          <w14:ligatures w14:val="standardContextual"/>
        </w:rPr>
        <w:t xml:space="preserve">a school’s </w:t>
      </w:r>
      <w:r w:rsidRPr="00D172D3">
        <w:rPr>
          <w:kern w:val="2"/>
          <w14:ligatures w14:val="standardContextual"/>
        </w:rPr>
        <w:t xml:space="preserve">CTC score when </w:t>
      </w:r>
      <w:r w:rsidR="00FB7304" w:rsidRPr="00D172D3">
        <w:rPr>
          <w:kern w:val="2"/>
          <w14:ligatures w14:val="standardContextual"/>
        </w:rPr>
        <w:t xml:space="preserve">there </w:t>
      </w:r>
      <w:r w:rsidR="00091BB7" w:rsidRPr="003E3291">
        <w:rPr>
          <w:kern w:val="2"/>
          <w14:ligatures w14:val="standardContextual"/>
        </w:rPr>
        <w:t>isn’t</w:t>
      </w:r>
      <w:r w:rsidR="00FB7304" w:rsidRPr="00D172D3">
        <w:rPr>
          <w:kern w:val="2"/>
          <w14:ligatures w14:val="standardContextual"/>
        </w:rPr>
        <w:t xml:space="preserve"> DMI scores available for the 3 previous years</w:t>
      </w:r>
      <w:r w:rsidRPr="00D172D3">
        <w:rPr>
          <w:kern w:val="2"/>
          <w14:ligatures w14:val="standardContextual"/>
        </w:rPr>
        <w:t>.</w:t>
      </w:r>
    </w:p>
    <w:p w14:paraId="09653939" w14:textId="28751F76" w:rsidR="00871E5A" w:rsidRPr="00D172D3" w:rsidRDefault="00871E5A" w:rsidP="003E3291">
      <w:pPr>
        <w:rPr>
          <w:kern w:val="2"/>
          <w14:ligatures w14:val="standardContextual"/>
        </w:rPr>
      </w:pPr>
      <w:r w:rsidRPr="00D172D3">
        <w:rPr>
          <w:b/>
          <w:kern w:val="2"/>
          <w14:ligatures w14:val="standardContextual"/>
        </w:rPr>
        <w:t xml:space="preserve">The </w:t>
      </w:r>
      <w:r w:rsidRPr="003E3291">
        <w:rPr>
          <w:b/>
          <w:kern w:val="2"/>
          <w14:ligatures w14:val="standardContextual"/>
        </w:rPr>
        <w:t>Regulations</w:t>
      </w:r>
      <w:r w:rsidRPr="00D172D3">
        <w:rPr>
          <w:kern w:val="2"/>
          <w14:ligatures w14:val="standardContextual"/>
        </w:rPr>
        <w:t xml:space="preserve">: Refers to the </w:t>
      </w:r>
      <w:r w:rsidRPr="00D172D3">
        <w:rPr>
          <w:i/>
          <w:kern w:val="2"/>
          <w14:ligatures w14:val="standardContextual"/>
        </w:rPr>
        <w:t xml:space="preserve">Australian Education </w:t>
      </w:r>
      <w:r w:rsidRPr="003E3291">
        <w:rPr>
          <w:i/>
          <w:kern w:val="2"/>
          <w14:ligatures w14:val="standardContextual"/>
        </w:rPr>
        <w:t>Regulation</w:t>
      </w:r>
      <w:r w:rsidR="00E729F5" w:rsidRPr="003E3291">
        <w:rPr>
          <w:i/>
          <w:kern w:val="2"/>
          <w14:ligatures w14:val="standardContextual"/>
        </w:rPr>
        <w:t>s</w:t>
      </w:r>
      <w:r w:rsidRPr="003E3291">
        <w:rPr>
          <w:i/>
          <w:kern w:val="2"/>
          <w14:ligatures w14:val="standardContextual"/>
        </w:rPr>
        <w:t xml:space="preserve"> 20</w:t>
      </w:r>
      <w:r w:rsidR="00E729F5" w:rsidRPr="003E3291">
        <w:rPr>
          <w:i/>
          <w:kern w:val="2"/>
          <w14:ligatures w14:val="standardContextual"/>
        </w:rPr>
        <w:t>2</w:t>
      </w:r>
      <w:r w:rsidRPr="003E3291">
        <w:rPr>
          <w:i/>
          <w:kern w:val="2"/>
          <w14:ligatures w14:val="standardContextual"/>
        </w:rPr>
        <w:t>3</w:t>
      </w:r>
      <w:r w:rsidRPr="00D172D3">
        <w:rPr>
          <w:kern w:val="2"/>
          <w14:ligatures w14:val="standardContextual"/>
        </w:rPr>
        <w:t>.</w:t>
      </w:r>
    </w:p>
    <w:p w14:paraId="0B50FAD4" w14:textId="77777777" w:rsidR="00871E5A" w:rsidRPr="00D172D3" w:rsidRDefault="00871E5A" w:rsidP="003E3291">
      <w:pPr>
        <w:rPr>
          <w:kern w:val="2"/>
          <w14:ligatures w14:val="standardContextual"/>
        </w:rPr>
      </w:pPr>
      <w:r w:rsidRPr="00D172D3">
        <w:rPr>
          <w:b/>
          <w:kern w:val="2"/>
          <w14:ligatures w14:val="standardContextual"/>
        </w:rPr>
        <w:t>Reviewable decision</w:t>
      </w:r>
      <w:r w:rsidRPr="00D172D3">
        <w:rPr>
          <w:kern w:val="2"/>
          <w14:ligatures w14:val="standardContextual"/>
        </w:rPr>
        <w:t xml:space="preserve">: As defined under section 118 of the </w:t>
      </w:r>
      <w:r w:rsidRPr="00D172D3">
        <w:rPr>
          <w:i/>
          <w:kern w:val="2"/>
          <w14:ligatures w14:val="standardContextual"/>
        </w:rPr>
        <w:t>Australian Education Act 2013.</w:t>
      </w:r>
    </w:p>
    <w:p w14:paraId="3CB3568E" w14:textId="3044B8AD" w:rsidR="00871E5A" w:rsidRPr="00D172D3" w:rsidRDefault="00871E5A" w:rsidP="003E3291">
      <w:pPr>
        <w:rPr>
          <w:kern w:val="2"/>
          <w14:ligatures w14:val="standardContextual"/>
        </w:rPr>
      </w:pPr>
      <w:r w:rsidRPr="00D172D3">
        <w:rPr>
          <w:b/>
          <w:kern w:val="2"/>
          <w14:ligatures w14:val="standardContextual"/>
        </w:rPr>
        <w:t>Review scenario:</w:t>
      </w:r>
      <w:r w:rsidRPr="00D172D3">
        <w:rPr>
          <w:kern w:val="2"/>
          <w14:ligatures w14:val="standardContextual"/>
        </w:rPr>
        <w:t xml:space="preserve"> Review scenarios describe the reasons for a CTC score review application and the type of evidence </w:t>
      </w:r>
      <w:r w:rsidRPr="003E3291">
        <w:rPr>
          <w:kern w:val="2"/>
          <w14:ligatures w14:val="standardContextual"/>
        </w:rPr>
        <w:t>need</w:t>
      </w:r>
      <w:r w:rsidR="005E3383">
        <w:rPr>
          <w:kern w:val="2"/>
          <w14:ligatures w14:val="standardContextual"/>
        </w:rPr>
        <w:t>ed</w:t>
      </w:r>
      <w:r w:rsidRPr="00D172D3">
        <w:rPr>
          <w:kern w:val="2"/>
          <w14:ligatures w14:val="standardContextual"/>
        </w:rPr>
        <w:t xml:space="preserve"> to support an application. </w:t>
      </w:r>
    </w:p>
    <w:p w14:paraId="7FBBEA3B" w14:textId="04E1AD0C" w:rsidR="00812AC3" w:rsidRPr="00D172D3" w:rsidRDefault="00812AC3" w:rsidP="003E3291">
      <w:pPr>
        <w:rPr>
          <w:kern w:val="2"/>
          <w14:ligatures w14:val="standardContextual"/>
        </w:rPr>
      </w:pPr>
      <w:r w:rsidRPr="00D172D3">
        <w:rPr>
          <w:b/>
          <w:kern w:val="2"/>
          <w14:ligatures w14:val="standardContextual"/>
        </w:rPr>
        <w:t>School community</w:t>
      </w:r>
      <w:r w:rsidRPr="00D172D3">
        <w:rPr>
          <w:kern w:val="2"/>
          <w14:ligatures w14:val="standardContextual"/>
        </w:rPr>
        <w:t>: the parent</w:t>
      </w:r>
      <w:r w:rsidR="000266B1" w:rsidRPr="00D172D3">
        <w:rPr>
          <w:kern w:val="2"/>
          <w14:ligatures w14:val="standardContextual"/>
        </w:rPr>
        <w:t>s</w:t>
      </w:r>
      <w:r w:rsidRPr="00D172D3">
        <w:rPr>
          <w:kern w:val="2"/>
          <w14:ligatures w14:val="standardContextual"/>
        </w:rPr>
        <w:t xml:space="preserve"> </w:t>
      </w:r>
      <w:r w:rsidR="000266B1" w:rsidRPr="00D172D3">
        <w:rPr>
          <w:kern w:val="2"/>
          <w14:ligatures w14:val="standardContextual"/>
        </w:rPr>
        <w:t>and</w:t>
      </w:r>
      <w:r w:rsidRPr="00D172D3">
        <w:rPr>
          <w:kern w:val="2"/>
          <w14:ligatures w14:val="standardContextual"/>
        </w:rPr>
        <w:t xml:space="preserve"> guardian</w:t>
      </w:r>
      <w:r w:rsidR="000266B1" w:rsidRPr="00D172D3">
        <w:rPr>
          <w:kern w:val="2"/>
          <w14:ligatures w14:val="standardContextual"/>
        </w:rPr>
        <w:t>s</w:t>
      </w:r>
      <w:r w:rsidRPr="00D172D3">
        <w:rPr>
          <w:kern w:val="2"/>
          <w14:ligatures w14:val="standardContextual"/>
        </w:rPr>
        <w:t xml:space="preserve"> responsible for the students attending a school.</w:t>
      </w:r>
    </w:p>
    <w:p w14:paraId="470C60A0" w14:textId="576D9146" w:rsidR="00871E5A" w:rsidRPr="00D172D3" w:rsidRDefault="00871E5A" w:rsidP="003E3291">
      <w:pPr>
        <w:rPr>
          <w:kern w:val="2"/>
          <w14:ligatures w14:val="standardContextual"/>
        </w:rPr>
      </w:pPr>
      <w:r w:rsidRPr="00D172D3">
        <w:rPr>
          <w:b/>
          <w:kern w:val="2"/>
          <w14:ligatures w14:val="standardContextual"/>
        </w:rPr>
        <w:t>Schooling Resource Standard (SRS):</w:t>
      </w:r>
      <w:r w:rsidRPr="00D172D3">
        <w:rPr>
          <w:kern w:val="2"/>
          <w14:ligatures w14:val="standardContextual"/>
        </w:rPr>
        <w:t xml:space="preserve"> the sum of a school’s base amount</w:t>
      </w:r>
      <w:r w:rsidR="008973DA" w:rsidRPr="00D172D3">
        <w:rPr>
          <w:kern w:val="2"/>
          <w14:ligatures w14:val="standardContextual"/>
        </w:rPr>
        <w:t xml:space="preserve"> </w:t>
      </w:r>
      <w:r w:rsidR="008973DA">
        <w:rPr>
          <w:kern w:val="2"/>
          <w14:ligatures w14:val="standardContextual"/>
        </w:rPr>
        <w:t>(</w:t>
      </w:r>
      <w:r w:rsidR="00207DA6">
        <w:rPr>
          <w:kern w:val="2"/>
          <w14:ligatures w14:val="standardContextual"/>
        </w:rPr>
        <w:t xml:space="preserve">as described at subsection 33(1) of the </w:t>
      </w:r>
      <w:r w:rsidR="00207DA6" w:rsidRPr="00B365A0">
        <w:rPr>
          <w:i/>
          <w:iCs/>
          <w:kern w:val="2"/>
          <w14:ligatures w14:val="standardContextual"/>
        </w:rPr>
        <w:t>A</w:t>
      </w:r>
      <w:r w:rsidR="00B365A0" w:rsidRPr="00B365A0">
        <w:rPr>
          <w:i/>
          <w:iCs/>
          <w:kern w:val="2"/>
          <w14:ligatures w14:val="standardContextual"/>
        </w:rPr>
        <w:t>ustralian Education A</w:t>
      </w:r>
      <w:r w:rsidR="00207DA6" w:rsidRPr="00B365A0">
        <w:rPr>
          <w:i/>
          <w:iCs/>
          <w:kern w:val="2"/>
          <w14:ligatures w14:val="standardContextual"/>
        </w:rPr>
        <w:t>ct</w:t>
      </w:r>
      <w:r w:rsidR="00B365A0" w:rsidRPr="00B365A0">
        <w:rPr>
          <w:i/>
          <w:iCs/>
          <w:kern w:val="2"/>
          <w14:ligatures w14:val="standardContextual"/>
        </w:rPr>
        <w:t> 2013</w:t>
      </w:r>
      <w:r w:rsidR="00207DA6">
        <w:rPr>
          <w:kern w:val="2"/>
          <w14:ligatures w14:val="standardContextual"/>
        </w:rPr>
        <w:t xml:space="preserve"> which is </w:t>
      </w:r>
      <w:r w:rsidR="008973DA">
        <w:rPr>
          <w:kern w:val="2"/>
          <w14:ligatures w14:val="standardContextual"/>
        </w:rPr>
        <w:t xml:space="preserve">inclusive of </w:t>
      </w:r>
      <w:r w:rsidR="00207DA6">
        <w:rPr>
          <w:kern w:val="2"/>
          <w14:ligatures w14:val="standardContextual"/>
        </w:rPr>
        <w:t>any CTC reduction)</w:t>
      </w:r>
      <w:r w:rsidRPr="003E3291">
        <w:rPr>
          <w:kern w:val="2"/>
          <w14:ligatures w14:val="standardContextual"/>
        </w:rPr>
        <w:t xml:space="preserve"> </w:t>
      </w:r>
      <w:r w:rsidRPr="00D172D3">
        <w:rPr>
          <w:kern w:val="2"/>
          <w14:ligatures w14:val="standardContextual"/>
        </w:rPr>
        <w:t>and total loadings for a year</w:t>
      </w:r>
      <w:r w:rsidR="00207DA6" w:rsidRPr="00D172D3">
        <w:rPr>
          <w:kern w:val="2"/>
          <w14:ligatures w14:val="standardContextual"/>
        </w:rPr>
        <w:t>.</w:t>
      </w:r>
    </w:p>
    <w:p w14:paraId="78B890B4" w14:textId="77777777" w:rsidR="00871E5A" w:rsidRPr="00D172D3" w:rsidRDefault="00871E5A" w:rsidP="003E3291">
      <w:pPr>
        <w:rPr>
          <w:kern w:val="2"/>
          <w14:ligatures w14:val="standardContextual"/>
        </w:rPr>
      </w:pPr>
      <w:r w:rsidRPr="00D172D3">
        <w:rPr>
          <w:b/>
          <w:kern w:val="2"/>
          <w14:ligatures w14:val="standardContextual"/>
        </w:rPr>
        <w:t>Small and very small schools:</w:t>
      </w:r>
      <w:r w:rsidRPr="00D172D3">
        <w:rPr>
          <w:kern w:val="2"/>
          <w14:ligatures w14:val="standardContextual"/>
        </w:rPr>
        <w:t xml:space="preserve"> as defined in section 43 of the Act.</w:t>
      </w:r>
    </w:p>
    <w:p w14:paraId="5B9443F9" w14:textId="3E912828" w:rsidR="00871E5A" w:rsidRPr="00D172D3" w:rsidRDefault="00871E5A" w:rsidP="003E3291">
      <w:pPr>
        <w:rPr>
          <w:kern w:val="2"/>
          <w14:ligatures w14:val="standardContextual"/>
        </w:rPr>
      </w:pPr>
      <w:r w:rsidRPr="00D172D3">
        <w:rPr>
          <w:b/>
          <w:kern w:val="2"/>
          <w14:ligatures w14:val="standardContextual"/>
        </w:rPr>
        <w:t>Statistical Area Level 1 (SA1):</w:t>
      </w:r>
      <w:r w:rsidRPr="00D172D3">
        <w:rPr>
          <w:kern w:val="2"/>
          <w14:ligatures w14:val="standardContextual"/>
        </w:rPr>
        <w:t xml:space="preserve"> SA1s are geographic areas with most having a population of between 200 and 800 persons, with an average of 400 persons. SA1s identify areas with different geographic characteristics within suburb and locality boundaries. Data from the Census of Population and Housing by SA1s is used for RAB-based CTC scores.</w:t>
      </w:r>
    </w:p>
    <w:p w14:paraId="62008797" w14:textId="79D1D6B5" w:rsidR="00871E5A" w:rsidRPr="00D172D3" w:rsidRDefault="00871E5A" w:rsidP="003E3291">
      <w:pPr>
        <w:rPr>
          <w:kern w:val="2"/>
          <w14:ligatures w14:val="standardContextual"/>
        </w:rPr>
      </w:pPr>
      <w:bookmarkStart w:id="167" w:name="_Hlk94260957"/>
      <w:r w:rsidRPr="00D172D3">
        <w:rPr>
          <w:b/>
          <w:kern w:val="2"/>
          <w14:ligatures w14:val="standardContextual"/>
        </w:rPr>
        <w:lastRenderedPageBreak/>
        <w:t>Student Residential Address and Other Information Collection</w:t>
      </w:r>
      <w:bookmarkEnd w:id="167"/>
      <w:r w:rsidRPr="00D172D3">
        <w:rPr>
          <w:kern w:val="2"/>
          <w14:ligatures w14:val="standardContextual"/>
        </w:rPr>
        <w:t>: the annual Address Collection completed by approved authorities for non-government schools.</w:t>
      </w:r>
    </w:p>
    <w:bookmarkEnd w:id="2"/>
    <w:bookmarkEnd w:id="3"/>
    <w:bookmarkEnd w:id="4"/>
    <w:p w14:paraId="590EE419" w14:textId="1C839F5E" w:rsidR="00207DA6" w:rsidRPr="00207DA6" w:rsidRDefault="00212ECF" w:rsidP="00207DA6">
      <w:pPr>
        <w:rPr>
          <w:kern w:val="2"/>
          <w14:ligatures w14:val="standardContextual"/>
        </w:rPr>
      </w:pPr>
      <w:r w:rsidRPr="00D172D3">
        <w:rPr>
          <w:b/>
          <w:kern w:val="2"/>
          <w14:ligatures w14:val="standardContextual"/>
        </w:rPr>
        <w:t xml:space="preserve">Technical Framework for the Capacity to Contribute Review Process, Version 2: </w:t>
      </w:r>
      <w:r w:rsidRPr="00D172D3">
        <w:rPr>
          <w:kern w:val="2"/>
          <w14:ligatures w14:val="standardContextual"/>
        </w:rPr>
        <w:t>Produced by the</w:t>
      </w:r>
      <w:r w:rsidRPr="00D172D3">
        <w:rPr>
          <w:b/>
          <w:kern w:val="2"/>
          <w14:ligatures w14:val="standardContextual"/>
        </w:rPr>
        <w:t xml:space="preserve"> </w:t>
      </w:r>
      <w:r w:rsidRPr="00D172D3">
        <w:rPr>
          <w:kern w:val="2"/>
          <w14:ligatures w14:val="standardContextual"/>
        </w:rPr>
        <w:t>Australian Bureau of Statistics to provide statistical advice to</w:t>
      </w:r>
      <w:r w:rsidR="00812AC3" w:rsidRPr="00D172D3">
        <w:rPr>
          <w:kern w:val="2"/>
          <w14:ligatures w14:val="standardContextual"/>
        </w:rPr>
        <w:t xml:space="preserve"> the Department to</w:t>
      </w:r>
      <w:r w:rsidRPr="00D172D3">
        <w:rPr>
          <w:kern w:val="2"/>
          <w14:ligatures w14:val="standardContextual"/>
        </w:rPr>
        <w:t xml:space="preserve"> guide assessment of CTC review applications. It was updated in 2023 to include new data and methods to assist in assessment.</w:t>
      </w:r>
      <w:r w:rsidR="00207DA6">
        <w:rPr>
          <w:kern w:val="2"/>
          <w14:ligatures w14:val="standardContextual"/>
        </w:rPr>
        <w:t xml:space="preserve"> This can be accessed at: </w:t>
      </w:r>
      <w:hyperlink r:id="rId34" w:history="1">
        <w:r w:rsidR="00207DA6" w:rsidRPr="00207DA6">
          <w:rPr>
            <w:rStyle w:val="Hyperlink"/>
            <w:kern w:val="2"/>
            <w:lang w:val="en-US"/>
            <w14:ligatures w14:val="standardContextual"/>
          </w:rPr>
          <w:t>https://www.education.gov.au/recurrent-funding-schools/resources/technical-framework-capacity-contribute-review-process</w:t>
        </w:r>
      </w:hyperlink>
    </w:p>
    <w:p w14:paraId="37DCCCC4" w14:textId="2B5182CD" w:rsidR="006F0E45" w:rsidRPr="006F0E45" w:rsidRDefault="006F0E45" w:rsidP="006F0E45">
      <w:pPr>
        <w:rPr>
          <w:rFonts w:ascii="Calibri" w:eastAsia="Calibri" w:hAnsi="Calibri" w:cs="Times New Roman"/>
        </w:rPr>
      </w:pPr>
    </w:p>
    <w:p w14:paraId="47B0C6D8" w14:textId="2CA8472F" w:rsidR="00212ECF" w:rsidRPr="00212ECF" w:rsidRDefault="00212ECF" w:rsidP="00212ECF"/>
    <w:sectPr w:rsidR="00212ECF" w:rsidRPr="00212ECF">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7009E" w14:textId="77777777" w:rsidR="009231B9" w:rsidRDefault="009231B9" w:rsidP="000A6228">
      <w:pPr>
        <w:spacing w:after="0" w:line="240" w:lineRule="auto"/>
      </w:pPr>
      <w:r>
        <w:separator/>
      </w:r>
    </w:p>
  </w:endnote>
  <w:endnote w:type="continuationSeparator" w:id="0">
    <w:p w14:paraId="2A459D3B" w14:textId="77777777" w:rsidR="009231B9" w:rsidRDefault="009231B9" w:rsidP="000A6228">
      <w:pPr>
        <w:spacing w:after="0" w:line="240" w:lineRule="auto"/>
      </w:pPr>
      <w:r>
        <w:continuationSeparator/>
      </w:r>
    </w:p>
  </w:endnote>
  <w:endnote w:type="continuationNotice" w:id="1">
    <w:p w14:paraId="5DF33919" w14:textId="77777777" w:rsidR="009231B9" w:rsidRDefault="00923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F505" w14:textId="77777777" w:rsidR="00D172D3" w:rsidRDefault="00D17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3D68B" w14:textId="77777777" w:rsidR="00D172D3" w:rsidRDefault="00D17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06B14" w14:textId="77777777" w:rsidR="00D172D3" w:rsidRDefault="00D172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B1FF" w14:textId="54A3A0B3" w:rsidR="00221D8F" w:rsidRDefault="00BC78F1" w:rsidP="00BC78F1">
    <w:pPr>
      <w:pStyle w:val="Footer"/>
    </w:pPr>
    <w:r>
      <w:t>Guidelines for Approved Authorities</w:t>
    </w:r>
    <w:r w:rsidR="00312423">
      <w:t xml:space="preserve"> - </w:t>
    </w:r>
    <w:r>
      <w:t xml:space="preserve">Capacity to </w:t>
    </w:r>
    <w:r w:rsidR="004B1D00">
      <w:t>C</w:t>
    </w:r>
    <w:r>
      <w:t xml:space="preserve">ontribute (CTC) score review process </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60288" behindDoc="1" locked="1" layoutInCell="1" allowOverlap="1" wp14:anchorId="0B9A710B" wp14:editId="3EEF7455">
          <wp:simplePos x="0" y="0"/>
          <wp:positionH relativeFrom="page">
            <wp:align>right</wp:align>
          </wp:positionH>
          <wp:positionV relativeFrom="page">
            <wp:align>bottom</wp:align>
          </wp:positionV>
          <wp:extent cx="1220400" cy="651600"/>
          <wp:effectExtent l="0" t="0" r="0" b="0"/>
          <wp:wrapNone/>
          <wp:docPr id="591180057" name="Picture 5911800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p w14:paraId="20EFE6F9" w14:textId="77777777" w:rsidR="00FB54F5" w:rsidRDefault="00FB54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EB50A" w14:textId="77777777" w:rsidR="009231B9" w:rsidRDefault="009231B9" w:rsidP="000A6228">
      <w:pPr>
        <w:spacing w:after="0" w:line="240" w:lineRule="auto"/>
      </w:pPr>
      <w:r>
        <w:separator/>
      </w:r>
    </w:p>
  </w:footnote>
  <w:footnote w:type="continuationSeparator" w:id="0">
    <w:p w14:paraId="7CFDB364" w14:textId="77777777" w:rsidR="009231B9" w:rsidRDefault="009231B9" w:rsidP="000A6228">
      <w:pPr>
        <w:spacing w:after="0" w:line="240" w:lineRule="auto"/>
      </w:pPr>
      <w:r>
        <w:continuationSeparator/>
      </w:r>
    </w:p>
  </w:footnote>
  <w:footnote w:type="continuationNotice" w:id="1">
    <w:p w14:paraId="182374B5" w14:textId="77777777" w:rsidR="009231B9" w:rsidRDefault="009231B9">
      <w:pPr>
        <w:spacing w:after="0" w:line="240" w:lineRule="auto"/>
      </w:pPr>
    </w:p>
  </w:footnote>
  <w:footnote w:id="2">
    <w:p w14:paraId="1F6042D1" w14:textId="2A349104" w:rsidR="00BC78F1" w:rsidRPr="00DE03E8" w:rsidRDefault="00BC78F1" w:rsidP="007C54AC">
      <w:pPr>
        <w:pStyle w:val="FootnoteText"/>
        <w:spacing w:before="0" w:after="120"/>
        <w:rPr>
          <w:lang w:val="en-AU"/>
        </w:rPr>
      </w:pPr>
      <w:r>
        <w:rPr>
          <w:rStyle w:val="FootnoteReference"/>
        </w:rPr>
        <w:footnoteRef/>
      </w:r>
      <w:r>
        <w:t xml:space="preserve"> </w:t>
      </w:r>
      <w:r>
        <w:rPr>
          <w:lang w:val="en-AU"/>
        </w:rPr>
        <w:t xml:space="preserve">The </w:t>
      </w:r>
      <w:r w:rsidRPr="00D172D3">
        <w:rPr>
          <w:i/>
          <w:lang w:val="en-AU"/>
        </w:rPr>
        <w:t>Public Governance, Performance and Accountability Act 2013</w:t>
      </w:r>
      <w:r>
        <w:rPr>
          <w:lang w:val="en-AU"/>
        </w:rPr>
        <w:t xml:space="preserve"> can be accessed at: </w:t>
      </w:r>
      <w:hyperlink r:id="rId1" w:history="1">
        <w:r w:rsidR="007C54AC" w:rsidRPr="003E3291">
          <w:rPr>
            <w:rStyle w:val="Hyperlink"/>
          </w:rPr>
          <w:t>www.legislation.gov.au/Details/C2017C00269</w:t>
        </w:r>
      </w:hyperlink>
      <w:r>
        <w:rPr>
          <w:lang w:val="en-AU"/>
        </w:rPr>
        <w:t>. It</w:t>
      </w:r>
      <w:r w:rsidRPr="00A0496A">
        <w:rPr>
          <w:rFonts w:ascii="Segoe UI" w:eastAsiaTheme="minorHAnsi" w:hAnsi="Segoe UI" w:cs="Segoe UI"/>
          <w:color w:val="212529"/>
          <w:sz w:val="22"/>
          <w:szCs w:val="22"/>
          <w:shd w:val="clear" w:color="auto" w:fill="FFFFFF"/>
          <w:lang w:val="en-AU"/>
        </w:rPr>
        <w:t xml:space="preserve"> </w:t>
      </w:r>
      <w:r w:rsidRPr="00A0496A">
        <w:rPr>
          <w:lang w:val="en-AU"/>
        </w:rPr>
        <w:t>applies to all officials of Commonwealth entitie</w:t>
      </w:r>
      <w:r>
        <w:rPr>
          <w:lang w:val="en-AU"/>
        </w:rPr>
        <w:t xml:space="preserve">s and </w:t>
      </w:r>
      <w:r w:rsidRPr="00A0496A">
        <w:rPr>
          <w:lang w:val="en-AU"/>
        </w:rPr>
        <w:t>establishes rules for financial management</w:t>
      </w:r>
      <w:r>
        <w:rPr>
          <w:lang w:val="en-AU"/>
        </w:rPr>
        <w:t xml:space="preserve">, </w:t>
      </w:r>
      <w:r w:rsidRPr="00A0496A">
        <w:rPr>
          <w:lang w:val="en-AU"/>
        </w:rPr>
        <w:t>governance, performance and accountability for the Commonwealth public sector.</w:t>
      </w:r>
    </w:p>
  </w:footnote>
  <w:footnote w:id="3">
    <w:p w14:paraId="4AEFFC1B" w14:textId="136A77D8" w:rsidR="00BC78F1" w:rsidRPr="00A54653" w:rsidRDefault="00BC78F1" w:rsidP="007C54AC">
      <w:pPr>
        <w:pStyle w:val="FootnoteText"/>
        <w:spacing w:before="0" w:after="120"/>
        <w:rPr>
          <w:lang w:val="en-AU"/>
        </w:rPr>
      </w:pPr>
      <w:r w:rsidRPr="00696157">
        <w:rPr>
          <w:rStyle w:val="FootnoteReference"/>
        </w:rPr>
        <w:footnoteRef/>
      </w:r>
      <w:r w:rsidRPr="00696157">
        <w:t xml:space="preserve"> </w:t>
      </w:r>
      <w:r w:rsidRPr="00696157">
        <w:rPr>
          <w:iCs/>
          <w:lang w:val="en-AU"/>
        </w:rPr>
        <w:t xml:space="preserve">The </w:t>
      </w:r>
      <w:r w:rsidRPr="00696157">
        <w:rPr>
          <w:i/>
          <w:iCs/>
          <w:lang w:val="en-AU"/>
        </w:rPr>
        <w:t>Technical Framework for the Capacity to Contribute Review Process</w:t>
      </w:r>
      <w:r w:rsidR="00212ECF" w:rsidRPr="00696157">
        <w:rPr>
          <w:i/>
          <w:iCs/>
          <w:lang w:val="en-AU"/>
        </w:rPr>
        <w:t>,</w:t>
      </w:r>
      <w:r w:rsidRPr="00696157">
        <w:rPr>
          <w:i/>
          <w:iCs/>
          <w:lang w:val="en-AU"/>
        </w:rPr>
        <w:t xml:space="preserve"> Version 2</w:t>
      </w:r>
      <w:r w:rsidRPr="00696157">
        <w:rPr>
          <w:iCs/>
          <w:lang w:val="en-AU"/>
        </w:rPr>
        <w:t xml:space="preserve"> can be accessed at: </w:t>
      </w:r>
      <w:bookmarkStart w:id="6" w:name="_Hlk85802255"/>
      <w:bookmarkStart w:id="7" w:name="_Hlk86057458"/>
      <w:bookmarkStart w:id="8" w:name="_Hlk173911580"/>
      <w:r w:rsidR="007C54AC" w:rsidRPr="003E3291">
        <w:rPr>
          <w:rStyle w:val="Hyperlink"/>
        </w:rPr>
        <w:fldChar w:fldCharType="begin"/>
      </w:r>
      <w:r w:rsidR="000F7905" w:rsidRPr="003E3291">
        <w:rPr>
          <w:rStyle w:val="Hyperlink"/>
        </w:rPr>
        <w:instrText>HYPERLINK "https://www.education.gov.au/recurrent-funding-schools/resources/technical-framework-capacity-contribute-review-process"</w:instrText>
      </w:r>
      <w:r w:rsidR="007C54AC" w:rsidRPr="003E3291">
        <w:rPr>
          <w:rStyle w:val="Hyperlink"/>
        </w:rPr>
      </w:r>
      <w:r w:rsidR="007C54AC" w:rsidRPr="003E3291">
        <w:rPr>
          <w:rStyle w:val="Hyperlink"/>
        </w:rPr>
        <w:fldChar w:fldCharType="separate"/>
      </w:r>
      <w:bookmarkEnd w:id="6"/>
      <w:bookmarkEnd w:id="7"/>
      <w:r w:rsidR="000F7905" w:rsidRPr="003E3291">
        <w:rPr>
          <w:rStyle w:val="Hyperlink"/>
        </w:rPr>
        <w:t>https://www.education.gov.au/recurrent-funding-schools/resources/technical-framework-capacity-contribute-review-process</w:t>
      </w:r>
      <w:r w:rsidR="007C54AC" w:rsidRPr="003E3291">
        <w:rPr>
          <w:rStyle w:val="Hyperlink"/>
        </w:rPr>
        <w:fldChar w:fldCharType="end"/>
      </w:r>
    </w:p>
    <w:bookmarkEnd w:id="8"/>
  </w:footnote>
  <w:footnote w:id="4">
    <w:p w14:paraId="3278F181" w14:textId="77777777" w:rsidR="006F0E45" w:rsidRPr="00D603DB" w:rsidRDefault="006F0E45" w:rsidP="006F0E45">
      <w:pPr>
        <w:pStyle w:val="FootnoteText"/>
        <w:rPr>
          <w:lang w:val="en-AU"/>
        </w:rPr>
      </w:pPr>
      <w:r>
        <w:rPr>
          <w:rStyle w:val="FootnoteReference"/>
        </w:rPr>
        <w:footnoteRef/>
      </w:r>
      <w:r>
        <w:t xml:space="preserve"> Subsection 21(3) of the Regulations.</w:t>
      </w:r>
    </w:p>
  </w:footnote>
  <w:footnote w:id="5">
    <w:p w14:paraId="4BE707F6" w14:textId="77777777" w:rsidR="006F0E45" w:rsidRPr="00D603DB" w:rsidRDefault="006F0E45" w:rsidP="006F0E45">
      <w:pPr>
        <w:pStyle w:val="FootnoteText"/>
        <w:rPr>
          <w:lang w:val="en-AU"/>
        </w:rPr>
      </w:pPr>
      <w:r>
        <w:rPr>
          <w:rStyle w:val="FootnoteReference"/>
        </w:rPr>
        <w:footnoteRef/>
      </w:r>
      <w:r>
        <w:t xml:space="preserve"> Section 23 of the Regulations.</w:t>
      </w:r>
    </w:p>
  </w:footnote>
  <w:footnote w:id="6">
    <w:p w14:paraId="23C58BBE" w14:textId="76844D2B" w:rsidR="00BC78F1" w:rsidRPr="008901FE" w:rsidRDefault="00BC78F1" w:rsidP="007C54AC">
      <w:pPr>
        <w:pStyle w:val="FootnoteText"/>
        <w:spacing w:before="0" w:after="120"/>
        <w:rPr>
          <w:lang w:val="en-AU"/>
        </w:rPr>
      </w:pPr>
      <w:r>
        <w:rPr>
          <w:rStyle w:val="FootnoteReference"/>
        </w:rPr>
        <w:footnoteRef/>
      </w:r>
      <w:r>
        <w:t xml:space="preserve"> </w:t>
      </w:r>
      <w:r>
        <w:rPr>
          <w:lang w:val="en-AU"/>
        </w:rPr>
        <w:t xml:space="preserve">Subsection 52(4) of the </w:t>
      </w:r>
      <w:r w:rsidR="007C54AC">
        <w:rPr>
          <w:lang w:val="en-AU"/>
        </w:rPr>
        <w:t xml:space="preserve">Act </w:t>
      </w:r>
      <w:r>
        <w:rPr>
          <w:lang w:val="en-AU"/>
        </w:rPr>
        <w:t>requires the Minister (or delegate) to determine a CTC score in accordance with the Regulation</w:t>
      </w:r>
      <w:r w:rsidR="00E729F5">
        <w:rPr>
          <w:lang w:val="en-AU"/>
        </w:rPr>
        <w:t>s</w:t>
      </w:r>
      <w:r>
        <w:rPr>
          <w:lang w:val="en-AU"/>
        </w:rPr>
        <w:t xml:space="preserve"> unless they are satisfied doing so would result in a CTC score that</w:t>
      </w:r>
      <w:r w:rsidR="006F0E45">
        <w:rPr>
          <w:lang w:val="en-AU"/>
        </w:rPr>
        <w:t xml:space="preserve"> is not accurate.</w:t>
      </w:r>
    </w:p>
  </w:footnote>
  <w:footnote w:id="7">
    <w:p w14:paraId="5B376B86" w14:textId="4C915133" w:rsidR="00BC78F1" w:rsidRPr="00753315" w:rsidRDefault="00BC78F1" w:rsidP="007C54AC">
      <w:pPr>
        <w:pStyle w:val="FootnoteText"/>
        <w:spacing w:before="0" w:after="120"/>
        <w:rPr>
          <w:lang w:val="en-AU"/>
        </w:rPr>
      </w:pPr>
      <w:r>
        <w:rPr>
          <w:rStyle w:val="FootnoteReference"/>
        </w:rPr>
        <w:footnoteRef/>
      </w:r>
      <w:r>
        <w:t xml:space="preserve"> Subsection 53(2) of the Act allows an approved authority to apply for a determination of a new CTC score for a school.</w:t>
      </w:r>
    </w:p>
  </w:footnote>
  <w:footnote w:id="8">
    <w:p w14:paraId="54A1D2EB" w14:textId="5BACE395" w:rsidR="00BC78F1" w:rsidRPr="00274B44" w:rsidRDefault="00BC78F1" w:rsidP="007C54AC">
      <w:pPr>
        <w:pStyle w:val="FootnoteText"/>
        <w:spacing w:before="0" w:after="120"/>
        <w:rPr>
          <w:lang w:val="en-AU"/>
        </w:rPr>
      </w:pPr>
      <w:r>
        <w:rPr>
          <w:rStyle w:val="FootnoteReference"/>
        </w:rPr>
        <w:footnoteRef/>
      </w:r>
      <w:r>
        <w:t xml:space="preserve"> </w:t>
      </w:r>
      <w:r>
        <w:rPr>
          <w:lang w:val="en-AU"/>
        </w:rPr>
        <w:t>Section 115 of th</w:t>
      </w:r>
      <w:r w:rsidR="007C54AC">
        <w:rPr>
          <w:lang w:val="en-AU"/>
        </w:rPr>
        <w:t xml:space="preserve">e Act </w:t>
      </w:r>
      <w:r>
        <w:rPr>
          <w:lang w:val="en-AU"/>
        </w:rPr>
        <w:t>requires an application be made in the approved form.</w:t>
      </w:r>
    </w:p>
  </w:footnote>
  <w:footnote w:id="9">
    <w:p w14:paraId="56CF134E" w14:textId="77777777" w:rsidR="006F0E45" w:rsidRPr="00D603DB" w:rsidRDefault="006F0E45" w:rsidP="006F0E45">
      <w:pPr>
        <w:pStyle w:val="FootnoteText"/>
        <w:rPr>
          <w:lang w:val="en-AU"/>
        </w:rPr>
      </w:pPr>
      <w:r>
        <w:rPr>
          <w:rStyle w:val="FootnoteReference"/>
        </w:rPr>
        <w:footnoteRef/>
      </w:r>
      <w:r>
        <w:t xml:space="preserve"> </w:t>
      </w:r>
      <w:r>
        <w:rPr>
          <w:lang w:val="en-AU"/>
        </w:rPr>
        <w:t>Section 118 of the Act lists the administrative decisions made under the Act that are subject to internal review.</w:t>
      </w:r>
    </w:p>
  </w:footnote>
  <w:footnote w:id="10">
    <w:p w14:paraId="37191852" w14:textId="77777777" w:rsidR="00871E5A" w:rsidRPr="00AA4CCC" w:rsidRDefault="00871E5A" w:rsidP="007C54AC">
      <w:pPr>
        <w:pStyle w:val="FootnoteText"/>
        <w:spacing w:before="120" w:after="120"/>
        <w:rPr>
          <w:lang w:val="en-AU"/>
        </w:rPr>
      </w:pPr>
      <w:r>
        <w:rPr>
          <w:rStyle w:val="FootnoteReference"/>
        </w:rPr>
        <w:footnoteRef/>
      </w:r>
      <w:r>
        <w:t xml:space="preserve"> </w:t>
      </w:r>
      <w:r>
        <w:rPr>
          <w:lang w:val="en-AU"/>
        </w:rPr>
        <w:t>To calculate each parent’s Adjusted Taxable Income, the survey requires the following amounts:</w:t>
      </w:r>
      <w:r w:rsidRPr="00AA4CCC">
        <w:rPr>
          <w:lang w:val="en-AU"/>
        </w:rPr>
        <w:t xml:space="preserve"> taxable income</w:t>
      </w:r>
      <w:r>
        <w:rPr>
          <w:lang w:val="en-AU"/>
        </w:rPr>
        <w:t xml:space="preserve"> earned,</w:t>
      </w:r>
      <w:r w:rsidRPr="00AA4CCC">
        <w:rPr>
          <w:lang w:val="en-AU"/>
        </w:rPr>
        <w:t xml:space="preserve"> adjusted fringe benefit</w:t>
      </w:r>
      <w:r>
        <w:rPr>
          <w:lang w:val="en-AU"/>
        </w:rPr>
        <w:t>s,</w:t>
      </w:r>
      <w:r w:rsidRPr="00AA4CCC">
        <w:rPr>
          <w:lang w:val="en-AU"/>
        </w:rPr>
        <w:t xml:space="preserve"> reportable employer superannuation contributions</w:t>
      </w:r>
      <w:r>
        <w:rPr>
          <w:lang w:val="en-AU"/>
        </w:rPr>
        <w:t>,</w:t>
      </w:r>
      <w:r w:rsidRPr="00AA4CCC">
        <w:rPr>
          <w:lang w:val="en-AU"/>
        </w:rPr>
        <w:t xml:space="preserve"> deductible personal superannuation contributions</w:t>
      </w:r>
      <w:r>
        <w:rPr>
          <w:lang w:val="en-AU"/>
        </w:rPr>
        <w:t>,</w:t>
      </w:r>
      <w:r w:rsidRPr="00AA4CCC">
        <w:rPr>
          <w:lang w:val="en-AU"/>
        </w:rPr>
        <w:t xml:space="preserve"> tax-free government pensions or benefits</w:t>
      </w:r>
      <w:r>
        <w:rPr>
          <w:lang w:val="en-AU"/>
        </w:rPr>
        <w:t>,</w:t>
      </w:r>
      <w:r w:rsidRPr="00AA4CCC">
        <w:rPr>
          <w:lang w:val="en-AU"/>
        </w:rPr>
        <w:t xml:space="preserve"> target foreign income</w:t>
      </w:r>
      <w:r>
        <w:rPr>
          <w:lang w:val="en-AU"/>
        </w:rPr>
        <w:t>,</w:t>
      </w:r>
      <w:r w:rsidRPr="00AA4CCC">
        <w:rPr>
          <w:lang w:val="en-AU"/>
        </w:rPr>
        <w:t xml:space="preserve"> net financial investment loss</w:t>
      </w:r>
      <w:r>
        <w:rPr>
          <w:lang w:val="en-AU"/>
        </w:rPr>
        <w:t>,</w:t>
      </w:r>
      <w:r w:rsidRPr="00AA4CCC">
        <w:rPr>
          <w:lang w:val="en-AU"/>
        </w:rPr>
        <w:t xml:space="preserve"> net rental property loss</w:t>
      </w:r>
      <w:r>
        <w:rPr>
          <w:lang w:val="en-AU"/>
        </w:rPr>
        <w:t>,</w:t>
      </w:r>
      <w:r w:rsidRPr="00AA4CCC">
        <w:rPr>
          <w:lang w:val="en-AU"/>
        </w:rPr>
        <w:t xml:space="preserve"> </w:t>
      </w:r>
      <w:r>
        <w:rPr>
          <w:lang w:val="en-AU"/>
        </w:rPr>
        <w:t>and</w:t>
      </w:r>
      <w:r w:rsidRPr="00AA4CCC">
        <w:rPr>
          <w:lang w:val="en-AU"/>
        </w:rPr>
        <w:t xml:space="preserve"> child support payments the person provided to another person. </w:t>
      </w:r>
      <w:r>
        <w:rPr>
          <w:lang w:val="en-AU"/>
        </w:rPr>
        <w:t>Further information, for example about family size, could be required depending on the reason for review.</w:t>
      </w:r>
    </w:p>
  </w:footnote>
  <w:footnote w:id="11">
    <w:p w14:paraId="58C6C6A6" w14:textId="77777777" w:rsidR="00871E5A" w:rsidRPr="00057AF0" w:rsidRDefault="00871E5A" w:rsidP="007C54AC">
      <w:pPr>
        <w:pStyle w:val="FootnoteText"/>
        <w:spacing w:before="0" w:after="120"/>
        <w:rPr>
          <w:lang w:val="en-AU"/>
        </w:rPr>
      </w:pPr>
      <w:r>
        <w:rPr>
          <w:rStyle w:val="FootnoteReference"/>
        </w:rPr>
        <w:footnoteRef/>
      </w:r>
      <w:r>
        <w:t xml:space="preserve"> </w:t>
      </w:r>
      <w:r>
        <w:rPr>
          <w:lang w:val="en-AU"/>
        </w:rPr>
        <w:t>In accordance with section 119 of the Act.</w:t>
      </w:r>
    </w:p>
  </w:footnote>
  <w:footnote w:id="12">
    <w:p w14:paraId="0FCA1A8A" w14:textId="77777777" w:rsidR="006F0E45" w:rsidRPr="00D603DB" w:rsidRDefault="006F0E45" w:rsidP="006F0E45">
      <w:pPr>
        <w:pStyle w:val="FootnoteText"/>
        <w:rPr>
          <w:lang w:val="en-AU"/>
        </w:rPr>
      </w:pPr>
      <w:r>
        <w:rPr>
          <w:rStyle w:val="FootnoteReference"/>
        </w:rPr>
        <w:footnoteRef/>
      </w:r>
      <w:r>
        <w:t xml:space="preserve"> </w:t>
      </w:r>
      <w:r>
        <w:rPr>
          <w:lang w:val="en-AU"/>
        </w:rPr>
        <w:t>Subsections 22(3) and 23(4) of the Regulations refer.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E93A1" w14:textId="77777777" w:rsidR="00D172D3" w:rsidRDefault="00D17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81B7" w14:textId="77777777" w:rsidR="00D172D3" w:rsidRDefault="00D17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1EB95" w14:textId="77777777" w:rsidR="00D172D3" w:rsidRDefault="00D17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5"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6"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7"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D2909F0A"/>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1FDA2A"/>
    <w:multiLevelType w:val="hybridMultilevel"/>
    <w:tmpl w:val="2F8906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0C267CF0"/>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661F7A"/>
    <w:multiLevelType w:val="hybridMultilevel"/>
    <w:tmpl w:val="6B14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23BC51F2"/>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F14104"/>
    <w:multiLevelType w:val="hybridMultilevel"/>
    <w:tmpl w:val="D6F28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9A04218"/>
    <w:multiLevelType w:val="hybridMultilevel"/>
    <w:tmpl w:val="2214B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A968B2"/>
    <w:multiLevelType w:val="hybridMultilevel"/>
    <w:tmpl w:val="A7AE6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371FF6"/>
    <w:multiLevelType w:val="multilevel"/>
    <w:tmpl w:val="ED1E61A4"/>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EDA2239"/>
    <w:multiLevelType w:val="hybridMultilevel"/>
    <w:tmpl w:val="5060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607666"/>
    <w:multiLevelType w:val="hybridMultilevel"/>
    <w:tmpl w:val="14962D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A3173E"/>
    <w:multiLevelType w:val="hybridMultilevel"/>
    <w:tmpl w:val="352E8F38"/>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7E0A23C5"/>
    <w:multiLevelType w:val="hybridMultilevel"/>
    <w:tmpl w:val="7974E8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0067678">
    <w:abstractNumId w:val="13"/>
  </w:num>
  <w:num w:numId="2" w16cid:durableId="1190216857">
    <w:abstractNumId w:val="6"/>
  </w:num>
  <w:num w:numId="3" w16cid:durableId="1561745635">
    <w:abstractNumId w:val="5"/>
  </w:num>
  <w:num w:numId="4" w16cid:durableId="1845246327">
    <w:abstractNumId w:val="4"/>
  </w:num>
  <w:num w:numId="5" w16cid:durableId="1142498409">
    <w:abstractNumId w:val="16"/>
  </w:num>
  <w:num w:numId="6" w16cid:durableId="1461997182">
    <w:abstractNumId w:val="2"/>
  </w:num>
  <w:num w:numId="7" w16cid:durableId="636180164">
    <w:abstractNumId w:val="1"/>
  </w:num>
  <w:num w:numId="8" w16cid:durableId="2061052527">
    <w:abstractNumId w:val="0"/>
  </w:num>
  <w:num w:numId="9" w16cid:durableId="855267247">
    <w:abstractNumId w:val="15"/>
  </w:num>
  <w:num w:numId="10" w16cid:durableId="1554191887">
    <w:abstractNumId w:val="8"/>
  </w:num>
  <w:num w:numId="11" w16cid:durableId="141773222">
    <w:abstractNumId w:val="24"/>
  </w:num>
  <w:num w:numId="12" w16cid:durableId="853034963">
    <w:abstractNumId w:val="12"/>
  </w:num>
  <w:num w:numId="13" w16cid:durableId="1096092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7802944">
    <w:abstractNumId w:val="10"/>
  </w:num>
  <w:num w:numId="15" w16cid:durableId="1626931495">
    <w:abstractNumId w:val="7"/>
  </w:num>
  <w:num w:numId="16" w16cid:durableId="1793085515">
    <w:abstractNumId w:val="25"/>
  </w:num>
  <w:num w:numId="17" w16cid:durableId="697857966">
    <w:abstractNumId w:val="17"/>
  </w:num>
  <w:num w:numId="18" w16cid:durableId="518156263">
    <w:abstractNumId w:val="9"/>
  </w:num>
  <w:num w:numId="19" w16cid:durableId="1701782230">
    <w:abstractNumId w:val="21"/>
  </w:num>
  <w:num w:numId="20" w16cid:durableId="77557372">
    <w:abstractNumId w:val="3"/>
  </w:num>
  <w:num w:numId="21" w16cid:durableId="1604681481">
    <w:abstractNumId w:val="26"/>
  </w:num>
  <w:num w:numId="22" w16cid:durableId="1048262556">
    <w:abstractNumId w:val="20"/>
  </w:num>
  <w:num w:numId="23" w16cid:durableId="835191004">
    <w:abstractNumId w:val="22"/>
  </w:num>
  <w:num w:numId="24" w16cid:durableId="1610698153">
    <w:abstractNumId w:val="23"/>
  </w:num>
  <w:num w:numId="25" w16cid:durableId="1134908286">
    <w:abstractNumId w:val="18"/>
  </w:num>
  <w:num w:numId="26" w16cid:durableId="1525754607">
    <w:abstractNumId w:val="11"/>
  </w:num>
  <w:num w:numId="27" w16cid:durableId="1155031032">
    <w:abstractNumId w:val="14"/>
  </w:num>
  <w:num w:numId="28" w16cid:durableId="179053428">
    <w:abstractNumId w:val="19"/>
  </w:num>
  <w:num w:numId="29" w16cid:durableId="863445824">
    <w:abstractNumId w:val="13"/>
  </w:num>
  <w:num w:numId="30" w16cid:durableId="1712075800">
    <w:abstractNumId w:val="13"/>
  </w:num>
  <w:num w:numId="31" w16cid:durableId="863907893">
    <w:abstractNumId w:val="13"/>
  </w:num>
  <w:num w:numId="32" w16cid:durableId="1202593758">
    <w:abstractNumId w:val="13"/>
  </w:num>
  <w:num w:numId="33" w16cid:durableId="1819027232">
    <w:abstractNumId w:val="13"/>
  </w:num>
  <w:num w:numId="34" w16cid:durableId="1027099340">
    <w:abstractNumId w:val="13"/>
  </w:num>
  <w:num w:numId="35" w16cid:durableId="1974867690">
    <w:abstractNumId w:val="13"/>
  </w:num>
  <w:num w:numId="36" w16cid:durableId="892690564">
    <w:abstractNumId w:val="21"/>
  </w:num>
  <w:num w:numId="37" w16cid:durableId="1910576842">
    <w:abstractNumId w:val="13"/>
  </w:num>
  <w:num w:numId="38" w16cid:durableId="2031254814">
    <w:abstractNumId w:val="16"/>
  </w:num>
  <w:num w:numId="39" w16cid:durableId="961693705">
    <w:abstractNumId w:val="21"/>
  </w:num>
  <w:num w:numId="40" w16cid:durableId="1058095369">
    <w:abstractNumId w:val="21"/>
  </w:num>
  <w:num w:numId="41" w16cid:durableId="962154856">
    <w:abstractNumId w:val="21"/>
  </w:num>
  <w:num w:numId="42" w16cid:durableId="1001272955">
    <w:abstractNumId w:val="13"/>
  </w:num>
  <w:num w:numId="43" w16cid:durableId="1485783019">
    <w:abstractNumId w:val="25"/>
  </w:num>
  <w:num w:numId="44" w16cid:durableId="1823964615">
    <w:abstractNumId w:val="10"/>
  </w:num>
  <w:num w:numId="45" w16cid:durableId="43523692">
    <w:abstractNumId w:val="16"/>
  </w:num>
  <w:num w:numId="46" w16cid:durableId="1254973823">
    <w:abstractNumId w:val="16"/>
  </w:num>
  <w:num w:numId="47" w16cid:durableId="1375742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3B69"/>
    <w:rsid w:val="000045B9"/>
    <w:rsid w:val="00011865"/>
    <w:rsid w:val="00012366"/>
    <w:rsid w:val="00013766"/>
    <w:rsid w:val="00021FBE"/>
    <w:rsid w:val="000266B1"/>
    <w:rsid w:val="00041A34"/>
    <w:rsid w:val="00043BF3"/>
    <w:rsid w:val="000441F7"/>
    <w:rsid w:val="000476C5"/>
    <w:rsid w:val="000521D7"/>
    <w:rsid w:val="0005336F"/>
    <w:rsid w:val="000735D7"/>
    <w:rsid w:val="000834FB"/>
    <w:rsid w:val="00091BB7"/>
    <w:rsid w:val="00093094"/>
    <w:rsid w:val="000942F7"/>
    <w:rsid w:val="000A0B58"/>
    <w:rsid w:val="000A6228"/>
    <w:rsid w:val="000B2DE0"/>
    <w:rsid w:val="000B5D40"/>
    <w:rsid w:val="000B6E69"/>
    <w:rsid w:val="000B7EC6"/>
    <w:rsid w:val="000D054F"/>
    <w:rsid w:val="000F6F6A"/>
    <w:rsid w:val="000F7905"/>
    <w:rsid w:val="001006BA"/>
    <w:rsid w:val="00106279"/>
    <w:rsid w:val="00107D87"/>
    <w:rsid w:val="00107DD5"/>
    <w:rsid w:val="00112189"/>
    <w:rsid w:val="00112AF7"/>
    <w:rsid w:val="001232DD"/>
    <w:rsid w:val="0012343A"/>
    <w:rsid w:val="00123C5C"/>
    <w:rsid w:val="001247C3"/>
    <w:rsid w:val="001274AC"/>
    <w:rsid w:val="00133B8D"/>
    <w:rsid w:val="0013611E"/>
    <w:rsid w:val="001471DD"/>
    <w:rsid w:val="001515BF"/>
    <w:rsid w:val="001577EC"/>
    <w:rsid w:val="00163F29"/>
    <w:rsid w:val="0017134D"/>
    <w:rsid w:val="0017609D"/>
    <w:rsid w:val="001B1A6C"/>
    <w:rsid w:val="001B5E5D"/>
    <w:rsid w:val="001B6EEC"/>
    <w:rsid w:val="001C01F2"/>
    <w:rsid w:val="001C1523"/>
    <w:rsid w:val="001C7747"/>
    <w:rsid w:val="001D1729"/>
    <w:rsid w:val="001D5CE8"/>
    <w:rsid w:val="001E6750"/>
    <w:rsid w:val="001F2202"/>
    <w:rsid w:val="001F4019"/>
    <w:rsid w:val="00205448"/>
    <w:rsid w:val="00207DA6"/>
    <w:rsid w:val="00212ECF"/>
    <w:rsid w:val="002209C9"/>
    <w:rsid w:val="00221D8F"/>
    <w:rsid w:val="002272DB"/>
    <w:rsid w:val="00231AF1"/>
    <w:rsid w:val="00242B73"/>
    <w:rsid w:val="002533F2"/>
    <w:rsid w:val="00261253"/>
    <w:rsid w:val="002658FD"/>
    <w:rsid w:val="002673DC"/>
    <w:rsid w:val="00270F7C"/>
    <w:rsid w:val="00276047"/>
    <w:rsid w:val="002838C5"/>
    <w:rsid w:val="00294845"/>
    <w:rsid w:val="002A2008"/>
    <w:rsid w:val="002A342F"/>
    <w:rsid w:val="002A4458"/>
    <w:rsid w:val="002B134A"/>
    <w:rsid w:val="002B233D"/>
    <w:rsid w:val="002C1663"/>
    <w:rsid w:val="002C5B0F"/>
    <w:rsid w:val="002C6B5F"/>
    <w:rsid w:val="002C7B1F"/>
    <w:rsid w:val="002D589A"/>
    <w:rsid w:val="002D658F"/>
    <w:rsid w:val="002F07A7"/>
    <w:rsid w:val="002F3569"/>
    <w:rsid w:val="002F4F64"/>
    <w:rsid w:val="002F525E"/>
    <w:rsid w:val="0030108D"/>
    <w:rsid w:val="003026F3"/>
    <w:rsid w:val="00312423"/>
    <w:rsid w:val="00334F93"/>
    <w:rsid w:val="00343BC6"/>
    <w:rsid w:val="003511B5"/>
    <w:rsid w:val="00357092"/>
    <w:rsid w:val="00364449"/>
    <w:rsid w:val="00376B55"/>
    <w:rsid w:val="003928D7"/>
    <w:rsid w:val="00395082"/>
    <w:rsid w:val="00397771"/>
    <w:rsid w:val="003A64F4"/>
    <w:rsid w:val="003B5809"/>
    <w:rsid w:val="003D355A"/>
    <w:rsid w:val="003D776C"/>
    <w:rsid w:val="003E17A5"/>
    <w:rsid w:val="003E20CA"/>
    <w:rsid w:val="003E3291"/>
    <w:rsid w:val="003E4DA5"/>
    <w:rsid w:val="0040155D"/>
    <w:rsid w:val="004128D9"/>
    <w:rsid w:val="0041713E"/>
    <w:rsid w:val="00420812"/>
    <w:rsid w:val="00421D3F"/>
    <w:rsid w:val="00423785"/>
    <w:rsid w:val="00434056"/>
    <w:rsid w:val="004341C1"/>
    <w:rsid w:val="004356B8"/>
    <w:rsid w:val="00441A3E"/>
    <w:rsid w:val="00447161"/>
    <w:rsid w:val="00452D26"/>
    <w:rsid w:val="00452E78"/>
    <w:rsid w:val="00465405"/>
    <w:rsid w:val="00471651"/>
    <w:rsid w:val="00472654"/>
    <w:rsid w:val="00474A36"/>
    <w:rsid w:val="004762E4"/>
    <w:rsid w:val="00491907"/>
    <w:rsid w:val="00492755"/>
    <w:rsid w:val="00493670"/>
    <w:rsid w:val="00493734"/>
    <w:rsid w:val="00495A4B"/>
    <w:rsid w:val="00496831"/>
    <w:rsid w:val="00497FCF"/>
    <w:rsid w:val="004A06CD"/>
    <w:rsid w:val="004A3E01"/>
    <w:rsid w:val="004A4B6F"/>
    <w:rsid w:val="004A4CF9"/>
    <w:rsid w:val="004A7074"/>
    <w:rsid w:val="004B09D9"/>
    <w:rsid w:val="004B1D00"/>
    <w:rsid w:val="004C40AE"/>
    <w:rsid w:val="004C44B0"/>
    <w:rsid w:val="004D2471"/>
    <w:rsid w:val="004D2965"/>
    <w:rsid w:val="00501280"/>
    <w:rsid w:val="00503096"/>
    <w:rsid w:val="0050397E"/>
    <w:rsid w:val="005152FD"/>
    <w:rsid w:val="00516240"/>
    <w:rsid w:val="00526D20"/>
    <w:rsid w:val="00527E82"/>
    <w:rsid w:val="005344E1"/>
    <w:rsid w:val="005425EE"/>
    <w:rsid w:val="00552E79"/>
    <w:rsid w:val="00553536"/>
    <w:rsid w:val="00560014"/>
    <w:rsid w:val="005604FB"/>
    <w:rsid w:val="0056092E"/>
    <w:rsid w:val="005712E1"/>
    <w:rsid w:val="00581F69"/>
    <w:rsid w:val="0058539C"/>
    <w:rsid w:val="005A75C9"/>
    <w:rsid w:val="005B1401"/>
    <w:rsid w:val="005B187D"/>
    <w:rsid w:val="005B5FD7"/>
    <w:rsid w:val="005C43F6"/>
    <w:rsid w:val="005C6252"/>
    <w:rsid w:val="005D2DFA"/>
    <w:rsid w:val="005D7F77"/>
    <w:rsid w:val="005E3383"/>
    <w:rsid w:val="005F0CA6"/>
    <w:rsid w:val="00602A6B"/>
    <w:rsid w:val="00607FD6"/>
    <w:rsid w:val="006232DC"/>
    <w:rsid w:val="006240F7"/>
    <w:rsid w:val="0063094F"/>
    <w:rsid w:val="00635FDE"/>
    <w:rsid w:val="00640371"/>
    <w:rsid w:val="006510A3"/>
    <w:rsid w:val="00655040"/>
    <w:rsid w:val="00696157"/>
    <w:rsid w:val="006B2C37"/>
    <w:rsid w:val="006D67F3"/>
    <w:rsid w:val="006E34E9"/>
    <w:rsid w:val="006F0B8F"/>
    <w:rsid w:val="006F0E45"/>
    <w:rsid w:val="006F1FFF"/>
    <w:rsid w:val="006F4143"/>
    <w:rsid w:val="006F4263"/>
    <w:rsid w:val="006F6D10"/>
    <w:rsid w:val="00712B94"/>
    <w:rsid w:val="00722214"/>
    <w:rsid w:val="00746B21"/>
    <w:rsid w:val="00755BBF"/>
    <w:rsid w:val="00756931"/>
    <w:rsid w:val="0076028F"/>
    <w:rsid w:val="007640B7"/>
    <w:rsid w:val="00770644"/>
    <w:rsid w:val="00770E76"/>
    <w:rsid w:val="007A2E8E"/>
    <w:rsid w:val="007B1781"/>
    <w:rsid w:val="007B2CA1"/>
    <w:rsid w:val="007B5814"/>
    <w:rsid w:val="007B6525"/>
    <w:rsid w:val="007C54AC"/>
    <w:rsid w:val="007C5BDF"/>
    <w:rsid w:val="007D0ABC"/>
    <w:rsid w:val="007D0B81"/>
    <w:rsid w:val="007D4C13"/>
    <w:rsid w:val="007E11EB"/>
    <w:rsid w:val="007F2271"/>
    <w:rsid w:val="007F3253"/>
    <w:rsid w:val="00801968"/>
    <w:rsid w:val="0080361C"/>
    <w:rsid w:val="008042F5"/>
    <w:rsid w:val="00806575"/>
    <w:rsid w:val="00812AC3"/>
    <w:rsid w:val="008152E6"/>
    <w:rsid w:val="00821F7B"/>
    <w:rsid w:val="00834FB2"/>
    <w:rsid w:val="008646CF"/>
    <w:rsid w:val="00871E5A"/>
    <w:rsid w:val="008741FB"/>
    <w:rsid w:val="00876C7F"/>
    <w:rsid w:val="008815D9"/>
    <w:rsid w:val="00881EFB"/>
    <w:rsid w:val="0088391C"/>
    <w:rsid w:val="00886755"/>
    <w:rsid w:val="00886959"/>
    <w:rsid w:val="00887F8E"/>
    <w:rsid w:val="00890F38"/>
    <w:rsid w:val="00894E81"/>
    <w:rsid w:val="008973DA"/>
    <w:rsid w:val="008A36E1"/>
    <w:rsid w:val="008A37A7"/>
    <w:rsid w:val="008B0736"/>
    <w:rsid w:val="008B3393"/>
    <w:rsid w:val="008C22F4"/>
    <w:rsid w:val="008C2BD5"/>
    <w:rsid w:val="008D07E0"/>
    <w:rsid w:val="008E0E66"/>
    <w:rsid w:val="008E6666"/>
    <w:rsid w:val="008F1F8C"/>
    <w:rsid w:val="008F7048"/>
    <w:rsid w:val="00901160"/>
    <w:rsid w:val="00914848"/>
    <w:rsid w:val="00915EC6"/>
    <w:rsid w:val="00921080"/>
    <w:rsid w:val="00923042"/>
    <w:rsid w:val="009231B9"/>
    <w:rsid w:val="009255EE"/>
    <w:rsid w:val="00926589"/>
    <w:rsid w:val="00935156"/>
    <w:rsid w:val="0094135C"/>
    <w:rsid w:val="00941573"/>
    <w:rsid w:val="00946F67"/>
    <w:rsid w:val="00947550"/>
    <w:rsid w:val="00950B06"/>
    <w:rsid w:val="00952F14"/>
    <w:rsid w:val="00970069"/>
    <w:rsid w:val="009721EB"/>
    <w:rsid w:val="00972BA2"/>
    <w:rsid w:val="00974EED"/>
    <w:rsid w:val="009851B8"/>
    <w:rsid w:val="00985FBF"/>
    <w:rsid w:val="009913A9"/>
    <w:rsid w:val="00992BDD"/>
    <w:rsid w:val="0099792A"/>
    <w:rsid w:val="009A4851"/>
    <w:rsid w:val="009A6022"/>
    <w:rsid w:val="009B1867"/>
    <w:rsid w:val="009B3833"/>
    <w:rsid w:val="009B6C05"/>
    <w:rsid w:val="009B706E"/>
    <w:rsid w:val="009B782D"/>
    <w:rsid w:val="009C2CC2"/>
    <w:rsid w:val="009C423A"/>
    <w:rsid w:val="009D7379"/>
    <w:rsid w:val="009E020D"/>
    <w:rsid w:val="009E2142"/>
    <w:rsid w:val="009E4320"/>
    <w:rsid w:val="009E4593"/>
    <w:rsid w:val="009E46AE"/>
    <w:rsid w:val="009E5A03"/>
    <w:rsid w:val="009E7239"/>
    <w:rsid w:val="009E79ED"/>
    <w:rsid w:val="009E7BE5"/>
    <w:rsid w:val="009F61F1"/>
    <w:rsid w:val="00A07596"/>
    <w:rsid w:val="00A1119B"/>
    <w:rsid w:val="00A15131"/>
    <w:rsid w:val="00A17A08"/>
    <w:rsid w:val="00A40E21"/>
    <w:rsid w:val="00A416B2"/>
    <w:rsid w:val="00A45408"/>
    <w:rsid w:val="00A60673"/>
    <w:rsid w:val="00A63D80"/>
    <w:rsid w:val="00A6755B"/>
    <w:rsid w:val="00A73AB2"/>
    <w:rsid w:val="00A76007"/>
    <w:rsid w:val="00A9421A"/>
    <w:rsid w:val="00AA4C2C"/>
    <w:rsid w:val="00AC1872"/>
    <w:rsid w:val="00AD1876"/>
    <w:rsid w:val="00AD631F"/>
    <w:rsid w:val="00AE21FF"/>
    <w:rsid w:val="00AF1F18"/>
    <w:rsid w:val="00B009A6"/>
    <w:rsid w:val="00B0513A"/>
    <w:rsid w:val="00B0726E"/>
    <w:rsid w:val="00B14ADF"/>
    <w:rsid w:val="00B15F5A"/>
    <w:rsid w:val="00B20804"/>
    <w:rsid w:val="00B219D1"/>
    <w:rsid w:val="00B25207"/>
    <w:rsid w:val="00B353A2"/>
    <w:rsid w:val="00B365A0"/>
    <w:rsid w:val="00B40A7B"/>
    <w:rsid w:val="00B40F01"/>
    <w:rsid w:val="00B461CC"/>
    <w:rsid w:val="00B60501"/>
    <w:rsid w:val="00B66A60"/>
    <w:rsid w:val="00B75136"/>
    <w:rsid w:val="00B81FA4"/>
    <w:rsid w:val="00B82529"/>
    <w:rsid w:val="00B8794C"/>
    <w:rsid w:val="00B95EF4"/>
    <w:rsid w:val="00B95FFB"/>
    <w:rsid w:val="00BA120D"/>
    <w:rsid w:val="00BA1EA7"/>
    <w:rsid w:val="00BA594E"/>
    <w:rsid w:val="00BB5C87"/>
    <w:rsid w:val="00BB6509"/>
    <w:rsid w:val="00BC248C"/>
    <w:rsid w:val="00BC53B2"/>
    <w:rsid w:val="00BC78F1"/>
    <w:rsid w:val="00BE26C2"/>
    <w:rsid w:val="00BE2AA2"/>
    <w:rsid w:val="00BE4D65"/>
    <w:rsid w:val="00C01EC0"/>
    <w:rsid w:val="00C10B0F"/>
    <w:rsid w:val="00C11EF9"/>
    <w:rsid w:val="00C213BC"/>
    <w:rsid w:val="00C244EE"/>
    <w:rsid w:val="00C40BBC"/>
    <w:rsid w:val="00C53835"/>
    <w:rsid w:val="00C55A32"/>
    <w:rsid w:val="00C72224"/>
    <w:rsid w:val="00C75706"/>
    <w:rsid w:val="00C843CD"/>
    <w:rsid w:val="00C86D2D"/>
    <w:rsid w:val="00CA0C43"/>
    <w:rsid w:val="00CA46BC"/>
    <w:rsid w:val="00CA4815"/>
    <w:rsid w:val="00CA7108"/>
    <w:rsid w:val="00CB5AB7"/>
    <w:rsid w:val="00CD669F"/>
    <w:rsid w:val="00CE1616"/>
    <w:rsid w:val="00CE26A7"/>
    <w:rsid w:val="00CE2D64"/>
    <w:rsid w:val="00CE66D2"/>
    <w:rsid w:val="00CF47A8"/>
    <w:rsid w:val="00CF6562"/>
    <w:rsid w:val="00D00DBC"/>
    <w:rsid w:val="00D01E28"/>
    <w:rsid w:val="00D042D0"/>
    <w:rsid w:val="00D11B24"/>
    <w:rsid w:val="00D16ACF"/>
    <w:rsid w:val="00D172D3"/>
    <w:rsid w:val="00D25F7A"/>
    <w:rsid w:val="00D43F79"/>
    <w:rsid w:val="00D50E57"/>
    <w:rsid w:val="00D5688A"/>
    <w:rsid w:val="00D60529"/>
    <w:rsid w:val="00D6289F"/>
    <w:rsid w:val="00D73B2D"/>
    <w:rsid w:val="00D81461"/>
    <w:rsid w:val="00D8337A"/>
    <w:rsid w:val="00D92681"/>
    <w:rsid w:val="00DA1765"/>
    <w:rsid w:val="00DA288C"/>
    <w:rsid w:val="00DA6A1C"/>
    <w:rsid w:val="00DB4933"/>
    <w:rsid w:val="00DC0576"/>
    <w:rsid w:val="00DC5980"/>
    <w:rsid w:val="00DC7B0F"/>
    <w:rsid w:val="00DD2B46"/>
    <w:rsid w:val="00DE080A"/>
    <w:rsid w:val="00DE124E"/>
    <w:rsid w:val="00DF23C0"/>
    <w:rsid w:val="00DF4C08"/>
    <w:rsid w:val="00DF65DC"/>
    <w:rsid w:val="00E10C51"/>
    <w:rsid w:val="00E13EF4"/>
    <w:rsid w:val="00E14390"/>
    <w:rsid w:val="00E15308"/>
    <w:rsid w:val="00E15A18"/>
    <w:rsid w:val="00E20A33"/>
    <w:rsid w:val="00E33239"/>
    <w:rsid w:val="00E500F9"/>
    <w:rsid w:val="00E529E5"/>
    <w:rsid w:val="00E61553"/>
    <w:rsid w:val="00E6220A"/>
    <w:rsid w:val="00E67555"/>
    <w:rsid w:val="00E71EE6"/>
    <w:rsid w:val="00E729F5"/>
    <w:rsid w:val="00E97CEF"/>
    <w:rsid w:val="00EB4C2F"/>
    <w:rsid w:val="00ED0DDF"/>
    <w:rsid w:val="00ED2160"/>
    <w:rsid w:val="00EE5351"/>
    <w:rsid w:val="00EF064B"/>
    <w:rsid w:val="00EF1970"/>
    <w:rsid w:val="00F1000D"/>
    <w:rsid w:val="00F10D91"/>
    <w:rsid w:val="00F13148"/>
    <w:rsid w:val="00F27521"/>
    <w:rsid w:val="00F27C0C"/>
    <w:rsid w:val="00F311A4"/>
    <w:rsid w:val="00F3439F"/>
    <w:rsid w:val="00F42FC1"/>
    <w:rsid w:val="00F47A99"/>
    <w:rsid w:val="00F50995"/>
    <w:rsid w:val="00F6108B"/>
    <w:rsid w:val="00F65211"/>
    <w:rsid w:val="00F71650"/>
    <w:rsid w:val="00F82907"/>
    <w:rsid w:val="00F82C2C"/>
    <w:rsid w:val="00F85913"/>
    <w:rsid w:val="00FB54F5"/>
    <w:rsid w:val="00FB7304"/>
    <w:rsid w:val="00FC443B"/>
    <w:rsid w:val="00FC5146"/>
    <w:rsid w:val="00FC7416"/>
    <w:rsid w:val="00FD296D"/>
    <w:rsid w:val="00FD4D6E"/>
    <w:rsid w:val="00FD7B35"/>
    <w:rsid w:val="00FE4BEF"/>
    <w:rsid w:val="00FF107B"/>
    <w:rsid w:val="00FF1897"/>
    <w:rsid w:val="00FF1ABD"/>
    <w:rsid w:val="00FF5B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5D7F7CD7-492D-4F7B-A5E9-32C95A42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291"/>
    <w:pPr>
      <w:spacing w:after="240"/>
    </w:pPr>
  </w:style>
  <w:style w:type="paragraph" w:styleId="Heading1">
    <w:name w:val="heading 1"/>
    <w:basedOn w:val="Normal"/>
    <w:next w:val="Normal"/>
    <w:link w:val="Heading1Char"/>
    <w:uiPriority w:val="9"/>
    <w:qFormat/>
    <w:rsid w:val="003E3291"/>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3E3291"/>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3E3291"/>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3E3291"/>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3E3291"/>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3E3291"/>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3E3291"/>
    <w:pPr>
      <w:keepNext/>
      <w:keepLines/>
      <w:spacing w:before="40" w:after="0"/>
      <w:outlineLvl w:val="6"/>
    </w:pPr>
    <w:rPr>
      <w:rFonts w:eastAsiaTheme="majorEastAsia" w:cstheme="majorBidi"/>
      <w:i/>
      <w:iCs/>
      <w:color w:val="55437E" w:themeColor="accent2"/>
    </w:rPr>
  </w:style>
  <w:style w:type="paragraph" w:styleId="Heading8">
    <w:name w:val="heading 8"/>
    <w:basedOn w:val="Normal"/>
    <w:next w:val="Normal"/>
    <w:link w:val="Heading8Char"/>
    <w:uiPriority w:val="9"/>
    <w:semiHidden/>
    <w:qFormat/>
    <w:rsid w:val="006F0E4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F0E4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3291"/>
    <w:rPr>
      <w:b/>
      <w:bCs/>
    </w:rPr>
  </w:style>
  <w:style w:type="character" w:styleId="Hyperlink">
    <w:name w:val="Hyperlink"/>
    <w:basedOn w:val="DefaultParagraphFont"/>
    <w:uiPriority w:val="99"/>
    <w:unhideWhenUsed/>
    <w:qFormat/>
    <w:rsid w:val="003E3291"/>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6F0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rPr>
      <w:kern w:val="2"/>
      <w14:ligatures w14:val="standardContextual"/>
    </w:rPr>
  </w:style>
  <w:style w:type="paragraph" w:styleId="Footer">
    <w:name w:val="footer"/>
    <w:basedOn w:val="Normal"/>
    <w:link w:val="FooterChar"/>
    <w:uiPriority w:val="99"/>
    <w:unhideWhenUsed/>
    <w:rsid w:val="006F0E45"/>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kern w:val="2"/>
      <w14:ligatures w14:val="standardContextual"/>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3291"/>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3E3291"/>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3E3291"/>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3E3291"/>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3E3291"/>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3E3291"/>
    <w:rPr>
      <w:rFonts w:asciiTheme="majorHAnsi" w:eastAsiaTheme="majorEastAsia" w:hAnsiTheme="majorHAnsi" w:cstheme="majorBidi"/>
      <w:b/>
      <w:color w:val="5F636A"/>
    </w:rPr>
  </w:style>
  <w:style w:type="paragraph" w:styleId="Caption">
    <w:name w:val="caption"/>
    <w:basedOn w:val="Normal"/>
    <w:next w:val="Normal"/>
    <w:uiPriority w:val="35"/>
    <w:qFormat/>
    <w:rsid w:val="003E3291"/>
    <w:pPr>
      <w:spacing w:after="120" w:line="240" w:lineRule="auto"/>
    </w:pPr>
    <w:rPr>
      <w:b/>
      <w:iCs/>
      <w:color w:val="00254A" w:themeColor="text2"/>
      <w:szCs w:val="18"/>
    </w:rPr>
  </w:style>
  <w:style w:type="paragraph" w:customStyle="1" w:styleId="Source">
    <w:name w:val="Source"/>
    <w:basedOn w:val="Normal"/>
    <w:uiPriority w:val="97"/>
    <w:qFormat/>
    <w:rsid w:val="003E3291"/>
    <w:pPr>
      <w:spacing w:before="120"/>
    </w:pPr>
    <w:rPr>
      <w:sz w:val="18"/>
    </w:rPr>
  </w:style>
  <w:style w:type="character" w:customStyle="1" w:styleId="Heading7Char">
    <w:name w:val="Heading 7 Char"/>
    <w:basedOn w:val="DefaultParagraphFont"/>
    <w:link w:val="Heading7"/>
    <w:uiPriority w:val="9"/>
    <w:semiHidden/>
    <w:rsid w:val="003E3291"/>
    <w:rPr>
      <w:rFonts w:eastAsiaTheme="majorEastAsia" w:cstheme="majorBidi"/>
      <w:i/>
      <w:iCs/>
      <w:color w:val="55437E" w:themeColor="accent2"/>
    </w:rPr>
  </w:style>
  <w:style w:type="paragraph" w:styleId="Subtitle">
    <w:name w:val="Subtitle"/>
    <w:basedOn w:val="Normal"/>
    <w:next w:val="Normal"/>
    <w:link w:val="SubtitleChar"/>
    <w:uiPriority w:val="11"/>
    <w:qFormat/>
    <w:rsid w:val="003E3291"/>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3E3291"/>
    <w:rPr>
      <w:rFonts w:eastAsiaTheme="minorEastAsia"/>
      <w:color w:val="47BFAF" w:themeColor="accent4"/>
      <w:spacing w:val="15"/>
      <w:sz w:val="40"/>
    </w:rPr>
  </w:style>
  <w:style w:type="paragraph" w:styleId="List">
    <w:name w:val="List"/>
    <w:basedOn w:val="Normal"/>
    <w:uiPriority w:val="98"/>
    <w:qFormat/>
    <w:rsid w:val="003E3291"/>
    <w:pPr>
      <w:numPr>
        <w:numId w:val="41"/>
      </w:numPr>
      <w:tabs>
        <w:tab w:val="clear" w:pos="397"/>
        <w:tab w:val="num" w:pos="360"/>
      </w:tabs>
      <w:spacing w:after="200"/>
      <w:ind w:left="0" w:firstLine="0"/>
      <w:contextualSpacing/>
    </w:pPr>
  </w:style>
  <w:style w:type="paragraph" w:styleId="List2">
    <w:name w:val="List 2"/>
    <w:basedOn w:val="Normal"/>
    <w:uiPriority w:val="98"/>
    <w:qFormat/>
    <w:rsid w:val="003E3291"/>
    <w:pPr>
      <w:numPr>
        <w:ilvl w:val="1"/>
        <w:numId w:val="41"/>
      </w:numPr>
      <w:tabs>
        <w:tab w:val="num" w:pos="360"/>
      </w:tabs>
      <w:spacing w:after="200"/>
      <w:ind w:left="0" w:firstLine="0"/>
      <w:contextualSpacing/>
    </w:pPr>
  </w:style>
  <w:style w:type="paragraph" w:styleId="List3">
    <w:name w:val="List 3"/>
    <w:basedOn w:val="Normal"/>
    <w:uiPriority w:val="98"/>
    <w:qFormat/>
    <w:rsid w:val="003E3291"/>
    <w:pPr>
      <w:numPr>
        <w:ilvl w:val="2"/>
        <w:numId w:val="41"/>
      </w:numPr>
      <w:tabs>
        <w:tab w:val="num" w:pos="360"/>
      </w:tabs>
      <w:spacing w:after="200"/>
      <w:ind w:left="0" w:firstLine="0"/>
      <w:contextualSpacing/>
    </w:pPr>
  </w:style>
  <w:style w:type="paragraph" w:styleId="List4">
    <w:name w:val="List 4"/>
    <w:basedOn w:val="Normal"/>
    <w:uiPriority w:val="98"/>
    <w:qFormat/>
    <w:rsid w:val="003E3291"/>
    <w:pPr>
      <w:numPr>
        <w:ilvl w:val="3"/>
        <w:numId w:val="41"/>
      </w:numPr>
      <w:tabs>
        <w:tab w:val="num" w:pos="360"/>
      </w:tabs>
      <w:spacing w:after="200"/>
      <w:ind w:left="0" w:firstLine="0"/>
      <w:contextualSpacing/>
    </w:pPr>
  </w:style>
  <w:style w:type="paragraph" w:styleId="ListNumber">
    <w:name w:val="List Number"/>
    <w:basedOn w:val="Normal"/>
    <w:uiPriority w:val="98"/>
    <w:qFormat/>
    <w:rsid w:val="003E3291"/>
    <w:pPr>
      <w:numPr>
        <w:numId w:val="47"/>
      </w:numPr>
      <w:tabs>
        <w:tab w:val="num" w:pos="360"/>
      </w:tabs>
      <w:spacing w:after="200"/>
      <w:ind w:left="0" w:firstLine="0"/>
      <w:contextualSpacing/>
    </w:pPr>
  </w:style>
  <w:style w:type="paragraph" w:styleId="ListNumber2">
    <w:name w:val="List Number 2"/>
    <w:basedOn w:val="Normal"/>
    <w:uiPriority w:val="98"/>
    <w:qFormat/>
    <w:rsid w:val="003E3291"/>
    <w:pPr>
      <w:numPr>
        <w:ilvl w:val="1"/>
        <w:numId w:val="47"/>
      </w:numPr>
      <w:tabs>
        <w:tab w:val="num" w:pos="360"/>
      </w:tabs>
      <w:spacing w:after="200"/>
      <w:ind w:left="0" w:firstLine="0"/>
      <w:contextualSpacing/>
    </w:pPr>
  </w:style>
  <w:style w:type="paragraph" w:styleId="ListBullet3">
    <w:name w:val="List Bullet 3"/>
    <w:basedOn w:val="Normal"/>
    <w:uiPriority w:val="98"/>
    <w:qFormat/>
    <w:rsid w:val="00D172D3"/>
    <w:pPr>
      <w:numPr>
        <w:numId w:val="43"/>
      </w:numPr>
      <w:spacing w:after="200"/>
      <w:contextualSpacing/>
    </w:pPr>
  </w:style>
  <w:style w:type="paragraph" w:styleId="ListNumber3">
    <w:name w:val="List Number 3"/>
    <w:basedOn w:val="Normal"/>
    <w:uiPriority w:val="98"/>
    <w:qFormat/>
    <w:rsid w:val="003E3291"/>
    <w:pPr>
      <w:numPr>
        <w:ilvl w:val="2"/>
        <w:numId w:val="47"/>
      </w:numPr>
      <w:tabs>
        <w:tab w:val="num" w:pos="360"/>
      </w:tabs>
      <w:spacing w:after="200"/>
      <w:ind w:left="0" w:firstLine="0"/>
      <w:contextualSpacing/>
    </w:pPr>
  </w:style>
  <w:style w:type="paragraph" w:styleId="ListNumber4">
    <w:name w:val="List Number 4"/>
    <w:basedOn w:val="Normal"/>
    <w:uiPriority w:val="98"/>
    <w:qFormat/>
    <w:rsid w:val="003E3291"/>
    <w:pPr>
      <w:numPr>
        <w:ilvl w:val="3"/>
        <w:numId w:val="47"/>
      </w:numPr>
      <w:tabs>
        <w:tab w:val="num" w:pos="360"/>
      </w:tabs>
      <w:spacing w:after="200"/>
      <w:ind w:left="0" w:firstLine="0"/>
      <w:contextualSpacing/>
    </w:pPr>
  </w:style>
  <w:style w:type="paragraph" w:styleId="ListBullet">
    <w:name w:val="List Bullet"/>
    <w:basedOn w:val="Normal"/>
    <w:uiPriority w:val="98"/>
    <w:qFormat/>
    <w:rsid w:val="00D172D3"/>
    <w:pPr>
      <w:numPr>
        <w:numId w:val="42"/>
      </w:numPr>
      <w:spacing w:after="200"/>
      <w:contextualSpacing/>
    </w:pPr>
  </w:style>
  <w:style w:type="paragraph" w:styleId="ListBullet2">
    <w:name w:val="List Bullet 2"/>
    <w:basedOn w:val="Normal"/>
    <w:uiPriority w:val="98"/>
    <w:qFormat/>
    <w:rsid w:val="00D172D3"/>
    <w:pPr>
      <w:numPr>
        <w:ilvl w:val="1"/>
        <w:numId w:val="42"/>
      </w:numPr>
      <w:tabs>
        <w:tab w:val="num" w:pos="360"/>
      </w:tabs>
      <w:spacing w:after="200"/>
      <w:ind w:left="0" w:firstLine="0"/>
      <w:contextualSpacing/>
    </w:pPr>
  </w:style>
  <w:style w:type="paragraph" w:styleId="ListBullet4">
    <w:name w:val="List Bullet 4"/>
    <w:basedOn w:val="Normal"/>
    <w:uiPriority w:val="98"/>
    <w:qFormat/>
    <w:rsid w:val="00D172D3"/>
    <w:pPr>
      <w:numPr>
        <w:numId w:val="44"/>
      </w:numPr>
      <w:tabs>
        <w:tab w:val="num" w:pos="360"/>
      </w:tabs>
      <w:spacing w:after="200"/>
      <w:ind w:left="0" w:firstLine="0"/>
      <w:contextualSpacing/>
    </w:pPr>
  </w:style>
  <w:style w:type="paragraph" w:styleId="Quote">
    <w:name w:val="Quote"/>
    <w:basedOn w:val="Normal"/>
    <w:next w:val="Normal"/>
    <w:link w:val="QuoteChar"/>
    <w:uiPriority w:val="29"/>
    <w:qFormat/>
    <w:rsid w:val="003E3291"/>
    <w:pPr>
      <w:spacing w:before="200"/>
      <w:ind w:left="864" w:right="864"/>
      <w:jc w:val="center"/>
    </w:pPr>
    <w:rPr>
      <w:iCs/>
      <w:color w:val="5F6369"/>
    </w:rPr>
  </w:style>
  <w:style w:type="character" w:customStyle="1" w:styleId="QuoteChar">
    <w:name w:val="Quote Char"/>
    <w:basedOn w:val="DefaultParagraphFont"/>
    <w:link w:val="Quote"/>
    <w:uiPriority w:val="29"/>
    <w:rsid w:val="003E3291"/>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6F0E45"/>
    <w:pPr>
      <w:tabs>
        <w:tab w:val="right" w:leader="dot" w:pos="9016"/>
      </w:tabs>
      <w:spacing w:after="100"/>
    </w:pPr>
  </w:style>
  <w:style w:type="paragraph" w:styleId="TOC2">
    <w:name w:val="toc 2"/>
    <w:basedOn w:val="Normal"/>
    <w:next w:val="Normal"/>
    <w:autoRedefine/>
    <w:uiPriority w:val="39"/>
    <w:unhideWhenUsed/>
    <w:rsid w:val="006F0E45"/>
    <w:pPr>
      <w:spacing w:after="100"/>
      <w:ind w:left="220"/>
    </w:pPr>
  </w:style>
  <w:style w:type="paragraph" w:styleId="TOC3">
    <w:name w:val="toc 3"/>
    <w:basedOn w:val="Normal"/>
    <w:next w:val="Normal"/>
    <w:autoRedefine/>
    <w:uiPriority w:val="39"/>
    <w:unhideWhenUsed/>
    <w:rsid w:val="006F0E45"/>
    <w:pPr>
      <w:spacing w:after="100"/>
      <w:ind w:left="440"/>
    </w:pPr>
  </w:style>
  <w:style w:type="paragraph" w:styleId="TOCHeading">
    <w:name w:val="TOC Heading"/>
    <w:basedOn w:val="Heading1"/>
    <w:next w:val="Normal"/>
    <w:uiPriority w:val="99"/>
    <w:unhideWhenUsed/>
    <w:rsid w:val="00D172D3"/>
    <w:pPr>
      <w:spacing w:before="0" w:after="240"/>
      <w:outlineLvl w:val="9"/>
    </w:pPr>
    <w:rPr>
      <w:color w:val="55437E" w:themeColor="accent2"/>
      <w:sz w:val="44"/>
      <w:lang w:val="en-US"/>
    </w:rPr>
  </w:style>
  <w:style w:type="paragraph" w:styleId="FootnoteText">
    <w:name w:val="footnote text"/>
    <w:basedOn w:val="Normal"/>
    <w:link w:val="FootnoteTextChar"/>
    <w:uiPriority w:val="99"/>
    <w:unhideWhenUsed/>
    <w:rsid w:val="006F0E45"/>
    <w:pPr>
      <w:spacing w:before="24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BC78F1"/>
    <w:rPr>
      <w:rFonts w:ascii="Calibri" w:eastAsia="Calibri" w:hAnsi="Calibri" w:cs="Times New Roman"/>
      <w:kern w:val="2"/>
      <w:sz w:val="20"/>
      <w:szCs w:val="20"/>
      <w:lang w:val="en-US"/>
      <w14:ligatures w14:val="standardContextual"/>
    </w:rPr>
  </w:style>
  <w:style w:type="character" w:styleId="FootnoteReference">
    <w:name w:val="footnote reference"/>
    <w:basedOn w:val="DefaultParagraphFont"/>
    <w:uiPriority w:val="99"/>
    <w:semiHidden/>
    <w:unhideWhenUsed/>
    <w:rsid w:val="00BC78F1"/>
    <w:rPr>
      <w:vertAlign w:val="superscript"/>
    </w:rPr>
  </w:style>
  <w:style w:type="character" w:styleId="CommentReference">
    <w:name w:val="annotation reference"/>
    <w:basedOn w:val="DefaultParagraphFont"/>
    <w:uiPriority w:val="99"/>
    <w:unhideWhenUsed/>
    <w:rsid w:val="00BC78F1"/>
    <w:rPr>
      <w:sz w:val="16"/>
      <w:szCs w:val="16"/>
    </w:rPr>
  </w:style>
  <w:style w:type="paragraph" w:styleId="CommentText">
    <w:name w:val="annotation text"/>
    <w:basedOn w:val="Normal"/>
    <w:link w:val="CommentTextChar1"/>
    <w:uiPriority w:val="99"/>
    <w:unhideWhenUsed/>
    <w:rsid w:val="006F0E45"/>
    <w:pPr>
      <w:spacing w:before="240" w:line="240" w:lineRule="auto"/>
    </w:pPr>
    <w:rPr>
      <w:rFonts w:ascii="Calibri" w:eastAsiaTheme="minorEastAsia" w:hAnsi="Calibri" w:cs="Times New Roman"/>
      <w:sz w:val="20"/>
      <w:szCs w:val="20"/>
    </w:rPr>
  </w:style>
  <w:style w:type="character" w:customStyle="1" w:styleId="CommentTextChar">
    <w:name w:val="Comment Text Char"/>
    <w:basedOn w:val="DefaultParagraphFont"/>
    <w:uiPriority w:val="99"/>
    <w:rsid w:val="00BC78F1"/>
    <w:rPr>
      <w:rFonts w:ascii="Calibri" w:eastAsiaTheme="minorEastAsia" w:hAnsi="Calibri" w:cs="Times New Roman"/>
      <w:sz w:val="20"/>
      <w:szCs w:val="20"/>
    </w:rPr>
  </w:style>
  <w:style w:type="paragraph" w:customStyle="1" w:styleId="paragraph">
    <w:name w:val="paragraph"/>
    <w:basedOn w:val="Normal"/>
    <w:rsid w:val="006F0E4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C78F1"/>
    <w:rPr>
      <w:color w:val="CE372F" w:themeColor="followedHyperlink"/>
      <w:u w:val="single"/>
    </w:rPr>
  </w:style>
  <w:style w:type="paragraph" w:styleId="CommentSubject">
    <w:name w:val="annotation subject"/>
    <w:basedOn w:val="CommentText"/>
    <w:next w:val="CommentText"/>
    <w:link w:val="CommentSubjectChar"/>
    <w:uiPriority w:val="99"/>
    <w:semiHidden/>
    <w:unhideWhenUsed/>
    <w:rsid w:val="006F0E45"/>
    <w:pPr>
      <w:spacing w:befor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C78F1"/>
    <w:rPr>
      <w:rFonts w:ascii="Calibri" w:eastAsiaTheme="minorEastAsia" w:hAnsi="Calibri" w:cs="Times New Roman"/>
      <w:b/>
      <w:bCs/>
      <w:sz w:val="20"/>
      <w:szCs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出段落,列出段落1,列,列出段"/>
    <w:basedOn w:val="Normal"/>
    <w:link w:val="ListParagraphChar"/>
    <w:uiPriority w:val="34"/>
    <w:qFormat/>
    <w:rsid w:val="00D172D3"/>
    <w:pPr>
      <w:ind w:left="720"/>
      <w:contextualSpacing/>
    </w:p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BC78F1"/>
  </w:style>
  <w:style w:type="paragraph" w:customStyle="1" w:styleId="Default">
    <w:name w:val="Default"/>
    <w:rsid w:val="006F0E45"/>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BA1EA7"/>
    <w:rPr>
      <w:i/>
      <w:iCs/>
    </w:rPr>
  </w:style>
  <w:style w:type="paragraph" w:styleId="Revision">
    <w:name w:val="Revision"/>
    <w:hidden/>
    <w:uiPriority w:val="99"/>
    <w:semiHidden/>
    <w:rsid w:val="006F0E45"/>
    <w:pPr>
      <w:spacing w:after="0" w:line="240" w:lineRule="auto"/>
    </w:pPr>
  </w:style>
  <w:style w:type="character" w:customStyle="1" w:styleId="Heading8Char">
    <w:name w:val="Heading 8 Char"/>
    <w:basedOn w:val="DefaultParagraphFont"/>
    <w:link w:val="Heading8"/>
    <w:uiPriority w:val="9"/>
    <w:semiHidden/>
    <w:rsid w:val="00E622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220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semiHidden/>
    <w:qFormat/>
    <w:rsid w:val="006F0E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220A"/>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semiHidden/>
    <w:qFormat/>
    <w:rsid w:val="00E6220A"/>
    <w:rPr>
      <w:i/>
      <w:iCs/>
      <w:color w:val="008599" w:themeColor="accent1"/>
    </w:rPr>
  </w:style>
  <w:style w:type="paragraph" w:styleId="IntenseQuote">
    <w:name w:val="Intense Quote"/>
    <w:basedOn w:val="Normal"/>
    <w:next w:val="Normal"/>
    <w:link w:val="IntenseQuoteChar"/>
    <w:uiPriority w:val="30"/>
    <w:semiHidden/>
    <w:qFormat/>
    <w:rsid w:val="006F0E45"/>
    <w:pPr>
      <w:pBdr>
        <w:top w:val="single" w:sz="4" w:space="10" w:color="008599" w:themeColor="accent1"/>
        <w:bottom w:val="single" w:sz="4" w:space="10" w:color="008599" w:themeColor="accent1"/>
      </w:pBdr>
      <w:spacing w:before="360" w:after="360"/>
      <w:ind w:left="864" w:right="864"/>
      <w:jc w:val="center"/>
    </w:pPr>
    <w:rPr>
      <w:i/>
      <w:iCs/>
      <w:color w:val="008599" w:themeColor="accent1"/>
    </w:rPr>
  </w:style>
  <w:style w:type="character" w:customStyle="1" w:styleId="IntenseQuoteChar">
    <w:name w:val="Intense Quote Char"/>
    <w:basedOn w:val="DefaultParagraphFont"/>
    <w:link w:val="IntenseQuote"/>
    <w:uiPriority w:val="30"/>
    <w:semiHidden/>
    <w:rsid w:val="00E6220A"/>
    <w:rPr>
      <w:i/>
      <w:iCs/>
      <w:color w:val="008599" w:themeColor="accent1"/>
    </w:rPr>
  </w:style>
  <w:style w:type="character" w:styleId="IntenseReference">
    <w:name w:val="Intense Reference"/>
    <w:basedOn w:val="DefaultParagraphFont"/>
    <w:uiPriority w:val="32"/>
    <w:semiHidden/>
    <w:qFormat/>
    <w:rsid w:val="00E6220A"/>
    <w:rPr>
      <w:b/>
      <w:bCs/>
      <w:smallCaps/>
      <w:color w:val="008599" w:themeColor="accent1"/>
      <w:spacing w:val="5"/>
    </w:rPr>
  </w:style>
  <w:style w:type="numbering" w:customStyle="1" w:styleId="NoList1">
    <w:name w:val="No List1"/>
    <w:next w:val="NoList"/>
    <w:uiPriority w:val="99"/>
    <w:semiHidden/>
    <w:unhideWhenUsed/>
    <w:rsid w:val="00E6220A"/>
  </w:style>
  <w:style w:type="character" w:customStyle="1" w:styleId="Hyperlink1">
    <w:name w:val="Hyperlink1"/>
    <w:basedOn w:val="DefaultParagraphFont"/>
    <w:uiPriority w:val="99"/>
    <w:unhideWhenUsed/>
    <w:rsid w:val="00E6220A"/>
    <w:rPr>
      <w:color w:val="7F4594"/>
      <w:u w:val="single"/>
    </w:rPr>
  </w:style>
  <w:style w:type="paragraph" w:customStyle="1" w:styleId="Caption1">
    <w:name w:val="Caption1"/>
    <w:basedOn w:val="Normal"/>
    <w:next w:val="Normal"/>
    <w:uiPriority w:val="35"/>
    <w:rsid w:val="006F0E45"/>
    <w:pPr>
      <w:spacing w:after="120" w:line="240" w:lineRule="auto"/>
    </w:pPr>
    <w:rPr>
      <w:b/>
      <w:iCs/>
      <w:color w:val="00254A"/>
      <w:szCs w:val="18"/>
    </w:rPr>
  </w:style>
  <w:style w:type="paragraph" w:customStyle="1" w:styleId="TOCHeading1">
    <w:name w:val="TOC Heading1"/>
    <w:basedOn w:val="Heading1"/>
    <w:next w:val="Normal"/>
    <w:uiPriority w:val="99"/>
    <w:unhideWhenUsed/>
    <w:rsid w:val="006F0E45"/>
    <w:pPr>
      <w:spacing w:before="0" w:after="240"/>
      <w:outlineLvl w:val="9"/>
    </w:pPr>
    <w:rPr>
      <w:color w:val="55437E"/>
      <w:sz w:val="44"/>
      <w:lang w:val="en-US"/>
    </w:rPr>
  </w:style>
  <w:style w:type="paragraph" w:customStyle="1" w:styleId="CommentText1">
    <w:name w:val="Comment Text1"/>
    <w:basedOn w:val="Normal"/>
    <w:next w:val="CommentText"/>
    <w:uiPriority w:val="99"/>
    <w:unhideWhenUsed/>
    <w:rsid w:val="006F0E45"/>
    <w:pPr>
      <w:spacing w:before="240" w:line="240" w:lineRule="auto"/>
    </w:pPr>
    <w:rPr>
      <w:rFonts w:ascii="Calibri" w:eastAsia="DengXian" w:hAnsi="Calibri" w:cs="Times New Roman"/>
      <w:sz w:val="20"/>
      <w:szCs w:val="20"/>
    </w:rPr>
  </w:style>
  <w:style w:type="character" w:customStyle="1" w:styleId="FollowedHyperlink1">
    <w:name w:val="FollowedHyperlink1"/>
    <w:basedOn w:val="DefaultParagraphFont"/>
    <w:uiPriority w:val="99"/>
    <w:semiHidden/>
    <w:unhideWhenUsed/>
    <w:rsid w:val="00E6220A"/>
    <w:rPr>
      <w:color w:val="CE372F"/>
      <w:u w:val="single"/>
    </w:rPr>
  </w:style>
  <w:style w:type="paragraph" w:customStyle="1" w:styleId="CommentSubject1">
    <w:name w:val="Comment Subject1"/>
    <w:basedOn w:val="CommentText"/>
    <w:next w:val="CommentText"/>
    <w:uiPriority w:val="99"/>
    <w:semiHidden/>
    <w:unhideWhenUsed/>
    <w:rsid w:val="006F0E45"/>
    <w:pPr>
      <w:spacing w:before="0"/>
    </w:pPr>
    <w:rPr>
      <w:rFonts w:asciiTheme="minorHAnsi" w:eastAsiaTheme="minorHAnsi" w:hAnsiTheme="minorHAnsi" w:cstheme="minorBidi"/>
      <w:b/>
      <w:bCs/>
    </w:rPr>
  </w:style>
  <w:style w:type="character" w:customStyle="1" w:styleId="CommentTextChar1">
    <w:name w:val="Comment Text Char1"/>
    <w:basedOn w:val="DefaultParagraphFont"/>
    <w:link w:val="CommentText"/>
    <w:uiPriority w:val="99"/>
    <w:rsid w:val="00E6220A"/>
    <w:rPr>
      <w:rFonts w:ascii="Calibri" w:eastAsiaTheme="minorEastAsia" w:hAnsi="Calibri" w:cs="Times New Roman"/>
      <w:kern w:val="2"/>
      <w:sz w:val="20"/>
      <w:szCs w:val="20"/>
      <w14:ligatures w14:val="standardContextual"/>
    </w:rPr>
  </w:style>
  <w:style w:type="character" w:customStyle="1" w:styleId="CommentSubjectChar1">
    <w:name w:val="Comment Subject Char1"/>
    <w:basedOn w:val="CommentTextChar1"/>
    <w:uiPriority w:val="99"/>
    <w:semiHidden/>
    <w:rsid w:val="00E6220A"/>
    <w:rPr>
      <w:rFonts w:ascii="Calibri" w:eastAsiaTheme="minorEastAsia" w:hAnsi="Calibri" w:cs="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ucation.gov.au/recurrent-funding-schools/resources/direct-measure-income-dmi-methodology" TargetMode="External"/><Relationship Id="rId26" Type="http://schemas.openxmlformats.org/officeDocument/2006/relationships/hyperlink" Target="http://www.education.gov.au/using-site/privacy-statement-department-education" TargetMode="External"/><Relationship Id="rId39" Type="http://schemas.openxmlformats.org/officeDocument/2006/relationships/customXml" Target="../customXml/item3.xml"/><Relationship Id="rId21" Type="http://schemas.openxmlformats.org/officeDocument/2006/relationships/hyperlink" Target="https://www.education.gov.au/recurrent-funding-schools/resources/technical-framework-capacity-contribute-review-process" TargetMode="External"/><Relationship Id="rId34" Type="http://schemas.openxmlformats.org/officeDocument/2006/relationships/hyperlink" Target="https://www.education.gov.au/recurrent-funding-schools/resources/technical-framework-capacity-contribute-review-proces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education.gov.au/recurrent-funding-schools/schooling-resource-standard" TargetMode="External"/><Relationship Id="rId25" Type="http://schemas.openxmlformats.org/officeDocument/2006/relationships/hyperlink" Target="http://www.education.gov.au/recurrent-funding-schools/resources/application-form-review-capacity-contribute-score" TargetMode="External"/><Relationship Id="rId33" Type="http://schemas.openxmlformats.org/officeDocument/2006/relationships/hyperlink" Target="http://www.abs.gov.au/about/data-services/data-integration/integrated-data/person-level-integrated-data-asset-plida"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CTCReviews@education.gov.au" TargetMode="External"/><Relationship Id="rId29" Type="http://schemas.openxmlformats.org/officeDocument/2006/relationships/hyperlink" Target="https://www.ato.gov.au/Individuals/Tax-return/2022/Tax-return/Adjusted-taxable-income-(ATI)-for-you-and-your-dependants-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education.gov.au/recurrent-funding-schools/resources/outcome-ctc-score-reviews" TargetMode="External"/><Relationship Id="rId32" Type="http://schemas.openxmlformats.org/officeDocument/2006/relationships/hyperlink" Target="https://www.education.gov.au/recurrent-funding-schools/schooling-resource-standard"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ato.gov.au/Individuals/Tax-return/2022/Tax-return/Adjusted-taxable-income-(ATI)-for-you-and-your-dependants-2022/" TargetMode="External"/><Relationship Id="rId28" Type="http://schemas.openxmlformats.org/officeDocument/2006/relationships/hyperlink" Target="mailto:SchoolsCapacitytoContribute@education.gov.au" TargetMode="External"/><Relationship Id="rId36"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hyperlink" Target="https://www.education.gov.au/recurrent-funding-schools/resources/application-form-review-capacity-contribute-score" TargetMode="External"/><Relationship Id="rId31" Type="http://schemas.openxmlformats.org/officeDocument/2006/relationships/hyperlink" Target="https://www.education.gov.au/other-commonwealth-funding-schools/what-choice-and-affordability-fun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www.aat.gov.au/" TargetMode="External"/><Relationship Id="rId27" Type="http://schemas.openxmlformats.org/officeDocument/2006/relationships/hyperlink" Target="mailto:CTCReviews@education.gov.au" TargetMode="External"/><Relationship Id="rId30" Type="http://schemas.openxmlformats.org/officeDocument/2006/relationships/hyperlink" Target="https://www.education.gov.au/recurrent-funding-schools/schooling-resource-standard" TargetMode="External"/><Relationship Id="rId35" Type="http://schemas.openxmlformats.org/officeDocument/2006/relationships/footer" Target="footer4.xml"/><Relationship Id="rId8" Type="http://schemas.openxmlformats.org/officeDocument/2006/relationships/image" Target="media/image1.jpeg"/><Relationship Id="rId3"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au/Details/C2017C00269"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CFF8F007-8690-4A74-87FD-37CF2526AED1}"/>
</file>

<file path=customXml/itemProps3.xml><?xml version="1.0" encoding="utf-8"?>
<ds:datastoreItem xmlns:ds="http://schemas.openxmlformats.org/officeDocument/2006/customXml" ds:itemID="{4D4BC4AB-7EBC-4023-9572-23F97D106B61}"/>
</file>

<file path=customXml/itemProps4.xml><?xml version="1.0" encoding="utf-8"?>
<ds:datastoreItem xmlns:ds="http://schemas.openxmlformats.org/officeDocument/2006/customXml" ds:itemID="{045D93CE-76EC-4726-B758-30AD7E426C3E}"/>
</file>

<file path=docProps/app.xml><?xml version="1.0" encoding="utf-8"?>
<Properties xmlns="http://schemas.openxmlformats.org/officeDocument/2006/extended-properties" xmlns:vt="http://schemas.openxmlformats.org/officeDocument/2006/docPropsVTypes">
  <Template>Normal.dotm</Template>
  <TotalTime>1</TotalTime>
  <Pages>20</Pages>
  <Words>6398</Words>
  <Characters>34247</Characters>
  <Application>Microsoft Office Word</Application>
  <DocSecurity>0</DocSecurity>
  <Lines>585</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Dominique</cp:lastModifiedBy>
  <cp:revision>2</cp:revision>
  <dcterms:created xsi:type="dcterms:W3CDTF">2024-10-01T23:43:00Z</dcterms:created>
  <dcterms:modified xsi:type="dcterms:W3CDTF">2024-10-01T23:44:00Z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2023-05-01T23:50:31Z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a49a9779-d6e4-4415-b56a-f820d63c0857</vt:lpwstr>
  </property>
  <property fmtid="{D5CDD505-2E9C-101B-9397-08002B2CF9AE}" pid="8" name="MSIP_Label_79d889eb-932f-4752-8739-64d25806ef64_ContentBits">
    <vt:lpwstr>0</vt:lpwstr>
  </property>
</Properties>
</file>