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1F082" w14:textId="77777777" w:rsidR="00A668BF" w:rsidRDefault="00C60222" w:rsidP="00414677">
      <w:pPr>
        <w:ind w:left="709"/>
        <w:sectPr w:rsidR="00A668BF" w:rsidSect="00177121">
          <w:headerReference w:type="default" r:id="rId11"/>
          <w:footerReference w:type="default" r:id="rId12"/>
          <w:type w:val="continuous"/>
          <w:pgSz w:w="11906" w:h="16838"/>
          <w:pgMar w:top="567" w:right="720" w:bottom="720" w:left="720" w:header="708" w:footer="708" w:gutter="0"/>
          <w:cols w:space="708"/>
          <w:titlePg/>
          <w:docGrid w:linePitch="360"/>
        </w:sectPr>
      </w:pPr>
      <w:r w:rsidRPr="00A668BF">
        <w:rPr>
          <w:noProof/>
          <w:lang w:eastAsia="en-AU"/>
        </w:rPr>
        <w:drawing>
          <wp:anchor distT="0" distB="0" distL="114300" distR="114300" simplePos="0" relativeHeight="251658240" behindDoc="1" locked="1" layoutInCell="1" allowOverlap="1" wp14:anchorId="1179733D" wp14:editId="7B46B676">
            <wp:simplePos x="0" y="0"/>
            <wp:positionH relativeFrom="column">
              <wp:posOffset>-476250</wp:posOffset>
            </wp:positionH>
            <wp:positionV relativeFrom="page">
              <wp:posOffset>-25400</wp:posOffset>
            </wp:positionV>
            <wp:extent cx="7592400" cy="2167200"/>
            <wp:effectExtent l="0" t="0" r="0" b="5080"/>
            <wp:wrapNone/>
            <wp:docPr id="7" name="Picture 7" descr="Decorati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lang w:eastAsia="en-AU"/>
        </w:rPr>
        <w:drawing>
          <wp:inline distT="0" distB="0" distL="0" distR="0" wp14:anchorId="62D2BBC2" wp14:editId="4979FB16">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14"/>
                    <a:stretch>
                      <a:fillRect/>
                    </a:stretch>
                  </pic:blipFill>
                  <pic:spPr>
                    <a:xfrm>
                      <a:off x="0" y="0"/>
                      <a:ext cx="2331725" cy="716281"/>
                    </a:xfrm>
                    <a:prstGeom prst="rect">
                      <a:avLst/>
                    </a:prstGeom>
                  </pic:spPr>
                </pic:pic>
              </a:graphicData>
            </a:graphic>
          </wp:inline>
        </w:drawing>
      </w:r>
    </w:p>
    <w:p w14:paraId="7414691D" w14:textId="368A0EBF" w:rsidR="002B1CE5" w:rsidRPr="00A668BF" w:rsidRDefault="00E04EF8" w:rsidP="00610A38">
      <w:pPr>
        <w:pStyle w:val="Title"/>
      </w:pPr>
      <w:r>
        <w:t>Completing Higher Education</w:t>
      </w:r>
    </w:p>
    <w:p w14:paraId="4E117F16" w14:textId="58F8F1C1" w:rsidR="002B1CE5" w:rsidRPr="00816184" w:rsidRDefault="009E236D" w:rsidP="002B1CE5">
      <w:pPr>
        <w:pStyle w:val="Subtitle"/>
        <w:rPr>
          <w:sz w:val="36"/>
        </w:rPr>
      </w:pPr>
      <w:r>
        <w:rPr>
          <w:sz w:val="36"/>
        </w:rPr>
        <w:t>Introduction</w:t>
      </w:r>
    </w:p>
    <w:p w14:paraId="52D5BFD5" w14:textId="77777777" w:rsidR="009E236D" w:rsidRDefault="009E236D" w:rsidP="009E236D">
      <w:bookmarkStart w:id="0" w:name="_Toc30065224"/>
      <w:r>
        <w:t>This set of papers seeks to measure the impact that different demographic, social and health factors have on a Commonwealth Supported student completing an undergraduate degree.</w:t>
      </w:r>
    </w:p>
    <w:p w14:paraId="6D2D2D63" w14:textId="77777777" w:rsidR="009E236D" w:rsidRDefault="009E236D" w:rsidP="009E236D">
      <w:r w:rsidRPr="003C4775">
        <w:t xml:space="preserve">The </w:t>
      </w:r>
      <w:r w:rsidRPr="00D45566">
        <w:t>completion of an undergraduate degree has benefits for the individual, the economy and society</w:t>
      </w:r>
      <w:r>
        <w:t>.</w:t>
      </w:r>
      <w:r>
        <w:rPr>
          <w:rStyle w:val="FootnoteReference"/>
        </w:rPr>
        <w:footnoteReference w:id="1"/>
      </w:r>
      <w:r w:rsidRPr="00D45566">
        <w:t xml:space="preserve"> </w:t>
      </w:r>
      <w:r>
        <w:t xml:space="preserve">However, </w:t>
      </w:r>
      <w:r w:rsidRPr="00D45566">
        <w:t xml:space="preserve">the financial </w:t>
      </w:r>
      <w:r>
        <w:t xml:space="preserve">and opportunity </w:t>
      </w:r>
      <w:r w:rsidRPr="00D45566">
        <w:t xml:space="preserve">cost to individuals, families and the Australian Government </w:t>
      </w:r>
      <w:r>
        <w:t xml:space="preserve">to undertake the study </w:t>
      </w:r>
      <w:r w:rsidRPr="00D45566">
        <w:t>is substantial</w:t>
      </w:r>
      <w:r>
        <w:t>.</w:t>
      </w:r>
      <w:bookmarkStart w:id="1" w:name="_Ref45176232"/>
      <w:r w:rsidRPr="00D45566">
        <w:rPr>
          <w:rStyle w:val="FootnoteReference"/>
        </w:rPr>
        <w:footnoteReference w:id="2"/>
      </w:r>
      <w:bookmarkEnd w:id="1"/>
      <w:r w:rsidRPr="00D45566">
        <w:t xml:space="preserve"> Therefore, it is important </w:t>
      </w:r>
      <w:r>
        <w:t>to understand factors which may impact on completion rates to ensure policies and programs support individuals.</w:t>
      </w:r>
    </w:p>
    <w:p w14:paraId="79331517" w14:textId="77777777" w:rsidR="009E236D" w:rsidRPr="005435D5" w:rsidRDefault="009E236D" w:rsidP="00554EC5">
      <w:pPr>
        <w:pStyle w:val="Heading2"/>
      </w:pPr>
      <w:r>
        <w:t>What we found</w:t>
      </w:r>
    </w:p>
    <w:p w14:paraId="693742A1" w14:textId="374CA4A1" w:rsidR="009E236D" w:rsidRDefault="009E236D" w:rsidP="002F17A2">
      <w:pPr>
        <w:pStyle w:val="ListParagraph"/>
        <w:spacing w:after="0" w:line="240" w:lineRule="auto"/>
        <w:ind w:left="0"/>
        <w:rPr>
          <w:rFonts w:cstheme="minorHAnsi"/>
          <w:shd w:val="clear" w:color="auto" w:fill="FFFFFF"/>
        </w:rPr>
      </w:pPr>
      <w:r>
        <w:rPr>
          <w:noProof/>
        </w:rPr>
        <w:t xml:space="preserve">Our findings identified a range of factors that affect the </w:t>
      </w:r>
      <w:r>
        <w:rPr>
          <w:rFonts w:cstheme="minorHAnsi"/>
          <w:shd w:val="clear" w:color="auto" w:fill="FFFFFF"/>
        </w:rPr>
        <w:t xml:space="preserve">completion of a student’s studies, which are outlined in the following factsheets </w:t>
      </w:r>
      <w:r w:rsidR="00DB4436">
        <w:rPr>
          <w:rFonts w:cstheme="minorHAnsi"/>
          <w:shd w:val="clear" w:color="auto" w:fill="FFFFFF"/>
        </w:rPr>
        <w:t>and</w:t>
      </w:r>
      <w:r>
        <w:rPr>
          <w:rFonts w:cstheme="minorHAnsi"/>
          <w:shd w:val="clear" w:color="auto" w:fill="FFFFFF"/>
        </w:rPr>
        <w:t xml:space="preserve"> summarised in the infographic.</w:t>
      </w:r>
      <w:r w:rsidDel="00CC3268">
        <w:rPr>
          <w:rFonts w:cstheme="minorHAnsi"/>
          <w:shd w:val="clear" w:color="auto" w:fill="FFFFFF"/>
        </w:rPr>
        <w:t xml:space="preserve"> </w:t>
      </w:r>
    </w:p>
    <w:p w14:paraId="080402A4" w14:textId="17C6770A" w:rsidR="009E236D" w:rsidRPr="00310248" w:rsidRDefault="0069759D" w:rsidP="002F17A2">
      <w:pPr>
        <w:pStyle w:val="ListParagraph"/>
        <w:numPr>
          <w:ilvl w:val="0"/>
          <w:numId w:val="16"/>
        </w:numPr>
        <w:spacing w:before="200" w:line="276" w:lineRule="auto"/>
        <w:ind w:left="1066" w:hanging="357"/>
        <w:rPr>
          <w:rStyle w:val="Emphasis"/>
          <w:b/>
          <w:i w:val="0"/>
        </w:rPr>
      </w:pPr>
      <w:hyperlink r:id="rId15" w:history="1">
        <w:r w:rsidR="009E236D" w:rsidRPr="009910D7">
          <w:rPr>
            <w:rStyle w:val="Hyperlink"/>
            <w:i/>
          </w:rPr>
          <w:t>Predicting completion</w:t>
        </w:r>
      </w:hyperlink>
      <w:r w:rsidR="009E236D">
        <w:t xml:space="preserve"> – </w:t>
      </w:r>
      <w:r w:rsidR="009E236D" w:rsidRPr="00250627">
        <w:rPr>
          <w:bCs/>
          <w:iCs/>
        </w:rPr>
        <w:t xml:space="preserve">Combining health, tax, welfare and demographic data with student data improves our understanding of what drives higher education completions. Our analysis </w:t>
      </w:r>
      <w:proofErr w:type="gramStart"/>
      <w:r w:rsidR="009E236D">
        <w:rPr>
          <w:bCs/>
          <w:iCs/>
        </w:rPr>
        <w:t>is able to</w:t>
      </w:r>
      <w:proofErr w:type="gramEnd"/>
      <w:r w:rsidR="009E236D">
        <w:rPr>
          <w:bCs/>
          <w:iCs/>
        </w:rPr>
        <w:t xml:space="preserve"> predict 2011 commencing </w:t>
      </w:r>
      <w:r w:rsidR="009E236D" w:rsidRPr="00250627">
        <w:rPr>
          <w:bCs/>
          <w:iCs/>
        </w:rPr>
        <w:t xml:space="preserve">student </w:t>
      </w:r>
      <w:r w:rsidR="009E236D">
        <w:rPr>
          <w:bCs/>
          <w:iCs/>
        </w:rPr>
        <w:t xml:space="preserve">six-year </w:t>
      </w:r>
      <w:r w:rsidR="009E236D" w:rsidRPr="00250627">
        <w:rPr>
          <w:bCs/>
          <w:iCs/>
        </w:rPr>
        <w:t>university completion</w:t>
      </w:r>
      <w:r w:rsidR="009E236D">
        <w:rPr>
          <w:bCs/>
          <w:iCs/>
        </w:rPr>
        <w:t>s</w:t>
      </w:r>
      <w:r w:rsidR="009E236D" w:rsidRPr="00250627">
        <w:rPr>
          <w:bCs/>
          <w:iCs/>
        </w:rPr>
        <w:t xml:space="preserve"> with 81 per cent accuracy.</w:t>
      </w:r>
    </w:p>
    <w:p w14:paraId="1CE6137D" w14:textId="6EEF36A0" w:rsidR="009E236D" w:rsidRPr="00FD6F88" w:rsidRDefault="0069759D" w:rsidP="009E236D">
      <w:pPr>
        <w:pStyle w:val="ListParagraph"/>
        <w:numPr>
          <w:ilvl w:val="0"/>
          <w:numId w:val="16"/>
        </w:numPr>
        <w:spacing w:line="276" w:lineRule="auto"/>
      </w:pPr>
      <w:hyperlink r:id="rId16" w:history="1">
        <w:r w:rsidR="009E236D" w:rsidRPr="009910D7">
          <w:rPr>
            <w:rStyle w:val="Hyperlink"/>
            <w:i/>
          </w:rPr>
          <w:t>Work and study</w:t>
        </w:r>
      </w:hyperlink>
      <w:r w:rsidR="009E236D">
        <w:t xml:space="preserve"> – W</w:t>
      </w:r>
      <w:r w:rsidR="009E236D" w:rsidRPr="00A87E2B">
        <w:t xml:space="preserve">orking while studying generates an average increase in six-year </w:t>
      </w:r>
      <w:r w:rsidR="00DB4436" w:rsidRPr="00A87E2B">
        <w:t>bachelor’s</w:t>
      </w:r>
      <w:r w:rsidR="009E236D" w:rsidRPr="00A87E2B">
        <w:t xml:space="preserve"> degree completion rates of 13 and 9 percentage points in both full-time and part-time students, respectively.</w:t>
      </w:r>
    </w:p>
    <w:p w14:paraId="418667F2" w14:textId="53413CE1" w:rsidR="009E236D" w:rsidRPr="00310248" w:rsidRDefault="0069759D" w:rsidP="009E236D">
      <w:pPr>
        <w:pStyle w:val="ListParagraph"/>
        <w:numPr>
          <w:ilvl w:val="0"/>
          <w:numId w:val="16"/>
        </w:numPr>
        <w:spacing w:line="276" w:lineRule="auto"/>
        <w:rPr>
          <w:i/>
        </w:rPr>
      </w:pPr>
      <w:hyperlink r:id="rId17" w:history="1">
        <w:r w:rsidR="009E236D" w:rsidRPr="009910D7">
          <w:rPr>
            <w:rStyle w:val="Hyperlink"/>
            <w:i/>
          </w:rPr>
          <w:t>Disabilit</w:t>
        </w:r>
        <w:r w:rsidR="009E236D" w:rsidRPr="009910D7">
          <w:rPr>
            <w:rStyle w:val="Hyperlink"/>
          </w:rPr>
          <w:t>y</w:t>
        </w:r>
      </w:hyperlink>
      <w:r w:rsidR="009E236D">
        <w:t xml:space="preserve"> – After controlling for </w:t>
      </w:r>
      <w:proofErr w:type="gramStart"/>
      <w:r w:rsidR="009E236D">
        <w:t>a number of</w:t>
      </w:r>
      <w:proofErr w:type="gramEnd"/>
      <w:r w:rsidR="009E236D">
        <w:t xml:space="preserve"> factors including </w:t>
      </w:r>
      <w:r w:rsidR="009E236D" w:rsidRPr="00E55FAD">
        <w:t>age, gender, study load</w:t>
      </w:r>
      <w:r w:rsidR="009E236D">
        <w:t>, etc., students living with a disability only have marginally lower six-year completion rates.</w:t>
      </w:r>
    </w:p>
    <w:p w14:paraId="5C4E77F8" w14:textId="706450F5" w:rsidR="009E236D" w:rsidRPr="00310248" w:rsidRDefault="0069759D" w:rsidP="009E236D">
      <w:pPr>
        <w:pStyle w:val="ListParagraph"/>
        <w:numPr>
          <w:ilvl w:val="0"/>
          <w:numId w:val="16"/>
        </w:numPr>
        <w:spacing w:line="276" w:lineRule="auto"/>
        <w:rPr>
          <w:i/>
        </w:rPr>
      </w:pPr>
      <w:hyperlink r:id="rId18" w:history="1">
        <w:r w:rsidR="009E236D" w:rsidRPr="009910D7">
          <w:rPr>
            <w:rStyle w:val="Hyperlink"/>
            <w:i/>
          </w:rPr>
          <w:t>Mental health</w:t>
        </w:r>
      </w:hyperlink>
      <w:r w:rsidR="009E236D" w:rsidRPr="00310248">
        <w:rPr>
          <w:i/>
        </w:rPr>
        <w:t xml:space="preserve"> –</w:t>
      </w:r>
      <w:r w:rsidR="009E236D">
        <w:t xml:space="preserve"> </w:t>
      </w:r>
      <w:r w:rsidR="009E236D" w:rsidRPr="00D00A5A">
        <w:t xml:space="preserve">All else being equal, students </w:t>
      </w:r>
      <w:r w:rsidR="009E236D">
        <w:t>that accessed a mental health service during study</w:t>
      </w:r>
      <w:r w:rsidR="009E236D" w:rsidRPr="00D00A5A">
        <w:t xml:space="preserve"> have a nine percent lower likelihood of completing their studies.</w:t>
      </w:r>
      <w:r w:rsidR="009910D7">
        <w:rPr>
          <w:rStyle w:val="FootnoteReference"/>
        </w:rPr>
        <w:footnoteReference w:id="3"/>
      </w:r>
      <w:r w:rsidR="009E236D" w:rsidRPr="00D00A5A">
        <w:t xml:space="preserve"> </w:t>
      </w:r>
    </w:p>
    <w:p w14:paraId="495D42C1" w14:textId="0D527864" w:rsidR="009E236D" w:rsidRPr="006F591F" w:rsidRDefault="0069759D" w:rsidP="009E236D">
      <w:pPr>
        <w:pStyle w:val="ListParagraph"/>
        <w:numPr>
          <w:ilvl w:val="0"/>
          <w:numId w:val="16"/>
        </w:numPr>
        <w:spacing w:line="276" w:lineRule="auto"/>
      </w:pPr>
      <w:hyperlink r:id="rId19" w:history="1">
        <w:r w:rsidR="009E236D" w:rsidRPr="009910D7">
          <w:rPr>
            <w:rStyle w:val="Hyperlink"/>
            <w:i/>
          </w:rPr>
          <w:t>Gap-year</w:t>
        </w:r>
      </w:hyperlink>
      <w:r w:rsidR="009E236D" w:rsidRPr="00310248">
        <w:rPr>
          <w:i/>
        </w:rPr>
        <w:t xml:space="preserve"> </w:t>
      </w:r>
      <w:r w:rsidR="009E236D" w:rsidRPr="00A364CA">
        <w:t>– S</w:t>
      </w:r>
      <w:r w:rsidR="009E236D" w:rsidRPr="00A87E2B">
        <w:t>tudents that took a gap-year show no difference in six-year completion rates compared to those who entered university straight after school.</w:t>
      </w:r>
    </w:p>
    <w:p w14:paraId="19D6C1E7" w14:textId="3458DE75" w:rsidR="009E236D" w:rsidRPr="006F591F" w:rsidRDefault="0069759D" w:rsidP="009E236D">
      <w:pPr>
        <w:pStyle w:val="ListParagraph"/>
        <w:numPr>
          <w:ilvl w:val="0"/>
          <w:numId w:val="16"/>
        </w:numPr>
        <w:spacing w:line="276" w:lineRule="auto"/>
        <w:rPr>
          <w:i/>
        </w:rPr>
      </w:pPr>
      <w:hyperlink r:id="rId20" w:history="1">
        <w:r w:rsidR="009E236D" w:rsidRPr="009910D7">
          <w:rPr>
            <w:rStyle w:val="Hyperlink"/>
            <w:i/>
          </w:rPr>
          <w:t>Study assistance</w:t>
        </w:r>
      </w:hyperlink>
      <w:r w:rsidR="009E236D" w:rsidRPr="00310248">
        <w:rPr>
          <w:i/>
        </w:rPr>
        <w:t xml:space="preserve"> </w:t>
      </w:r>
      <w:r w:rsidR="009E236D">
        <w:t>- I</w:t>
      </w:r>
      <w:r w:rsidR="009E236D" w:rsidRPr="00A87E2B">
        <w:t>ncome support increases six-year completion rates on average by six to seven percentage points for full time students and higher for students from disadvantaged backgrounds</w:t>
      </w:r>
    </w:p>
    <w:p w14:paraId="5ED981F3" w14:textId="11D5FB64" w:rsidR="009E236D" w:rsidRPr="006F591F" w:rsidRDefault="0069759D" w:rsidP="009E236D">
      <w:pPr>
        <w:pStyle w:val="ListParagraph"/>
        <w:numPr>
          <w:ilvl w:val="0"/>
          <w:numId w:val="16"/>
        </w:numPr>
        <w:spacing w:line="276" w:lineRule="auto"/>
        <w:rPr>
          <w:i/>
        </w:rPr>
      </w:pPr>
      <w:hyperlink r:id="rId21" w:history="1">
        <w:r w:rsidR="009E236D" w:rsidRPr="009910D7">
          <w:rPr>
            <w:rStyle w:val="Hyperlink"/>
            <w:i/>
          </w:rPr>
          <w:t>Aboriginal and Torres Strait Islander completions</w:t>
        </w:r>
      </w:hyperlink>
      <w:r w:rsidR="009E236D">
        <w:t xml:space="preserve"> – </w:t>
      </w:r>
      <w:r w:rsidR="009E236D" w:rsidRPr="00250627">
        <w:rPr>
          <w:iCs/>
        </w:rPr>
        <w:t xml:space="preserve">Six-year completion rates of undergraduate student </w:t>
      </w:r>
      <w:r w:rsidR="00DB4436">
        <w:rPr>
          <w:iCs/>
        </w:rPr>
        <w:t>Aboriginal and Torres Strait Islander</w:t>
      </w:r>
      <w:r w:rsidR="009E236D" w:rsidRPr="00250627">
        <w:rPr>
          <w:iCs/>
        </w:rPr>
        <w:t xml:space="preserve"> Australians remain lower than other Australian students</w:t>
      </w:r>
      <w:r w:rsidR="009E236D" w:rsidRPr="00250627">
        <w:rPr>
          <w:bCs/>
          <w:iCs/>
        </w:rPr>
        <w:t>. However, u</w:t>
      </w:r>
      <w:r w:rsidR="009E236D" w:rsidRPr="00250627">
        <w:rPr>
          <w:iCs/>
        </w:rPr>
        <w:t xml:space="preserve">ndergraduate student </w:t>
      </w:r>
      <w:r w:rsidR="00DB4436">
        <w:rPr>
          <w:iCs/>
        </w:rPr>
        <w:t>Aboriginal and Torres Strait Islander</w:t>
      </w:r>
      <w:r w:rsidR="009E236D" w:rsidRPr="00250627">
        <w:rPr>
          <w:iCs/>
        </w:rPr>
        <w:t xml:space="preserve"> Australians receiving income support are more likely to complete.</w:t>
      </w:r>
    </w:p>
    <w:p w14:paraId="595B289C" w14:textId="78B98AEB" w:rsidR="009E236D" w:rsidRPr="00310248" w:rsidRDefault="0069759D" w:rsidP="009E236D">
      <w:pPr>
        <w:pStyle w:val="ListParagraph"/>
        <w:numPr>
          <w:ilvl w:val="0"/>
          <w:numId w:val="16"/>
        </w:numPr>
        <w:spacing w:line="276" w:lineRule="auto"/>
        <w:rPr>
          <w:i/>
        </w:rPr>
      </w:pPr>
      <w:hyperlink r:id="rId22" w:history="1">
        <w:r w:rsidR="009E236D" w:rsidRPr="009910D7">
          <w:rPr>
            <w:rStyle w:val="Hyperlink"/>
            <w:i/>
          </w:rPr>
          <w:t>Impact of multiple equity groups</w:t>
        </w:r>
      </w:hyperlink>
      <w:r w:rsidR="009E236D" w:rsidRPr="00310248">
        <w:rPr>
          <w:i/>
        </w:rPr>
        <w:t xml:space="preserve"> – </w:t>
      </w:r>
      <w:r w:rsidR="009E236D" w:rsidRPr="00250627">
        <w:t>While people</w:t>
      </w:r>
      <w:r w:rsidR="009E236D">
        <w:t xml:space="preserve"> who belong to multiple equity groups have lower completion rates, i</w:t>
      </w:r>
      <w:r w:rsidR="009E236D" w:rsidRPr="005D4E75">
        <w:t xml:space="preserve">ncome support helps overcome </w:t>
      </w:r>
      <w:r w:rsidR="009E236D">
        <w:t xml:space="preserve">this </w:t>
      </w:r>
      <w:r w:rsidR="009E236D" w:rsidRPr="005D4E75">
        <w:t xml:space="preserve">disadvantage, increasing completion rates for </w:t>
      </w:r>
      <w:r w:rsidR="009E236D">
        <w:t xml:space="preserve">those </w:t>
      </w:r>
      <w:r w:rsidR="009E236D" w:rsidRPr="005D4E75">
        <w:t>students with low</w:t>
      </w:r>
      <w:r w:rsidR="009E236D" w:rsidRPr="00283C32">
        <w:t xml:space="preserve"> Australian Tertiary Admissions Rank</w:t>
      </w:r>
      <w:r w:rsidR="009E236D" w:rsidRPr="005D4E75">
        <w:t xml:space="preserve"> </w:t>
      </w:r>
      <w:r w:rsidR="009E236D">
        <w:t>(</w:t>
      </w:r>
      <w:r w:rsidR="009E236D" w:rsidRPr="005D4E75">
        <w:t>ATAR</w:t>
      </w:r>
      <w:r w:rsidR="009E236D">
        <w:t>)</w:t>
      </w:r>
      <w:r w:rsidR="009E236D" w:rsidRPr="005D4E75">
        <w:t xml:space="preserve"> and/or belonging to multiple equity groups</w:t>
      </w:r>
      <w:r w:rsidR="009E236D">
        <w:t>.</w:t>
      </w:r>
    </w:p>
    <w:p w14:paraId="1931C0A4" w14:textId="77777777" w:rsidR="009E236D" w:rsidRDefault="009E236D" w:rsidP="00554EC5">
      <w:pPr>
        <w:pStyle w:val="Heading2"/>
      </w:pPr>
      <w:r>
        <w:t>Objectives</w:t>
      </w:r>
    </w:p>
    <w:p w14:paraId="24B8107F" w14:textId="77777777" w:rsidR="009E236D" w:rsidRDefault="009E236D" w:rsidP="009E236D">
      <w:r>
        <w:t xml:space="preserve">This research aims to measure the impact that different demographic, social and health factors have on a Commonwealth Supported student completing an undergraduate degree. This project is part of a broader piece of work to </w:t>
      </w:r>
      <w:r>
        <w:rPr>
          <w:i/>
        </w:rPr>
        <w:t>Better understanding the impact of health and social factor</w:t>
      </w:r>
      <w:bookmarkStart w:id="2" w:name="_GoBack"/>
      <w:bookmarkEnd w:id="2"/>
      <w:r>
        <w:rPr>
          <w:i/>
        </w:rPr>
        <w:t>s on the transition from education to w</w:t>
      </w:r>
      <w:r w:rsidRPr="00AD78A3">
        <w:rPr>
          <w:i/>
        </w:rPr>
        <w:t>ork</w:t>
      </w:r>
      <w:r w:rsidRPr="00AD78A3">
        <w:t xml:space="preserve"> </w:t>
      </w:r>
      <w:r>
        <w:t xml:space="preserve">was undertaken by </w:t>
      </w:r>
      <w:r w:rsidRPr="00AD78A3">
        <w:t xml:space="preserve">the Social, Health and Welfare Analytical Unit (SHWAU) </w:t>
      </w:r>
      <w:r>
        <w:t xml:space="preserve">and </w:t>
      </w:r>
      <w:r w:rsidRPr="00AD78A3">
        <w:t xml:space="preserve">funded by the Data Integration Partnership for Australia (DIPA). </w:t>
      </w:r>
      <w:r>
        <w:t xml:space="preserve">The SHWAU </w:t>
      </w:r>
      <w:r>
        <w:rPr>
          <w:rFonts w:eastAsia="Times New Roman"/>
          <w:color w:val="1E1E1E"/>
          <w:spacing w:val="4"/>
          <w:lang w:eastAsia="en-AU"/>
        </w:rPr>
        <w:t>is a collaboration between the d</w:t>
      </w:r>
      <w:r w:rsidRPr="00F60BF7">
        <w:rPr>
          <w:rFonts w:eastAsia="Times New Roman"/>
          <w:color w:val="1E1E1E"/>
          <w:spacing w:val="4"/>
          <w:lang w:eastAsia="en-AU"/>
        </w:rPr>
        <w:t>epartment</w:t>
      </w:r>
      <w:r>
        <w:rPr>
          <w:rFonts w:eastAsia="Times New Roman"/>
          <w:color w:val="1E1E1E"/>
          <w:spacing w:val="4"/>
          <w:lang w:eastAsia="en-AU"/>
        </w:rPr>
        <w:t>s</w:t>
      </w:r>
      <w:r w:rsidRPr="00F60BF7">
        <w:rPr>
          <w:rFonts w:eastAsia="Times New Roman"/>
          <w:color w:val="1E1E1E"/>
          <w:spacing w:val="4"/>
          <w:lang w:eastAsia="en-AU"/>
        </w:rPr>
        <w:t xml:space="preserve"> of Education</w:t>
      </w:r>
      <w:r>
        <w:rPr>
          <w:rFonts w:eastAsia="Times New Roman"/>
          <w:color w:val="1E1E1E"/>
          <w:spacing w:val="4"/>
          <w:lang w:eastAsia="en-AU"/>
        </w:rPr>
        <w:t>, Skills</w:t>
      </w:r>
      <w:r w:rsidRPr="00F60BF7">
        <w:rPr>
          <w:rFonts w:eastAsia="Times New Roman"/>
          <w:color w:val="1E1E1E"/>
          <w:spacing w:val="4"/>
          <w:lang w:eastAsia="en-AU"/>
        </w:rPr>
        <w:t xml:space="preserve"> and </w:t>
      </w:r>
      <w:r>
        <w:rPr>
          <w:rFonts w:eastAsia="Times New Roman"/>
          <w:color w:val="1E1E1E"/>
          <w:spacing w:val="4"/>
          <w:lang w:eastAsia="en-AU"/>
        </w:rPr>
        <w:t xml:space="preserve">Employment, </w:t>
      </w:r>
      <w:r w:rsidRPr="00F60BF7">
        <w:rPr>
          <w:rFonts w:eastAsia="Times New Roman"/>
          <w:color w:val="1E1E1E"/>
          <w:spacing w:val="4"/>
          <w:lang w:eastAsia="en-AU"/>
        </w:rPr>
        <w:t>Health</w:t>
      </w:r>
      <w:r>
        <w:rPr>
          <w:rFonts w:eastAsia="Times New Roman"/>
          <w:color w:val="1E1E1E"/>
          <w:spacing w:val="4"/>
          <w:lang w:eastAsia="en-AU"/>
        </w:rPr>
        <w:t xml:space="preserve"> and </w:t>
      </w:r>
      <w:r w:rsidRPr="00F60BF7">
        <w:rPr>
          <w:rFonts w:eastAsia="Times New Roman"/>
          <w:color w:val="1E1E1E"/>
          <w:spacing w:val="4"/>
          <w:lang w:eastAsia="en-AU"/>
        </w:rPr>
        <w:t>Social Services</w:t>
      </w:r>
      <w:r>
        <w:rPr>
          <w:rFonts w:eastAsia="Times New Roman"/>
          <w:color w:val="1E1E1E"/>
          <w:spacing w:val="4"/>
          <w:lang w:eastAsia="en-AU"/>
        </w:rPr>
        <w:t xml:space="preserve">. The Australian Bureau of Statistics created and </w:t>
      </w:r>
      <w:r w:rsidRPr="00D45566">
        <w:rPr>
          <w:rFonts w:eastAsia="Times New Roman"/>
          <w:color w:val="1E1E1E"/>
          <w:spacing w:val="4"/>
          <w:lang w:eastAsia="en-AU"/>
        </w:rPr>
        <w:t xml:space="preserve">hosted an extract of </w:t>
      </w:r>
      <w:r w:rsidRPr="00D45566">
        <w:t>Multi-Agency Data Integration Project (MADIP)</w:t>
      </w:r>
      <w:bookmarkStart w:id="3" w:name="_Ref45180876"/>
      <w:r w:rsidRPr="00D45566">
        <w:rPr>
          <w:rStyle w:val="FootnoteReference"/>
        </w:rPr>
        <w:footnoteReference w:id="4"/>
      </w:r>
      <w:bookmarkEnd w:id="3"/>
      <w:r w:rsidRPr="00D45566">
        <w:t xml:space="preserve"> data for this project. </w:t>
      </w:r>
    </w:p>
    <w:p w14:paraId="445DA576" w14:textId="1116BA90" w:rsidR="009E236D" w:rsidRDefault="009E236D" w:rsidP="00554EC5">
      <w:pPr>
        <w:pStyle w:val="Heading2"/>
      </w:pPr>
      <w:r>
        <w:t xml:space="preserve">Known factors affecting completion of a </w:t>
      </w:r>
      <w:r w:rsidR="00DB4436">
        <w:t>bachelor’s</w:t>
      </w:r>
      <w:r>
        <w:t xml:space="preserve"> degree by Australian students </w:t>
      </w:r>
    </w:p>
    <w:p w14:paraId="57A18B17" w14:textId="77777777" w:rsidR="009E236D" w:rsidRDefault="009E236D" w:rsidP="009E236D">
      <w:r>
        <w:t>There is a significant amount of evidence already on the influence of student- and institution-level factors that influence completion using higher education student data.</w:t>
      </w:r>
      <w:r>
        <w:rPr>
          <w:rStyle w:val="FootnoteReference"/>
        </w:rPr>
        <w:footnoteReference w:id="5"/>
      </w:r>
      <w:r w:rsidRPr="0034799B">
        <w:rPr>
          <w:vertAlign w:val="superscript"/>
        </w:rPr>
        <w:t>,</w:t>
      </w:r>
      <w:bookmarkStart w:id="4" w:name="_Ref45180007"/>
      <w:r>
        <w:rPr>
          <w:rStyle w:val="FootnoteReference"/>
        </w:rPr>
        <w:footnoteReference w:id="6"/>
      </w:r>
      <w:bookmarkEnd w:id="4"/>
      <w:r>
        <w:t xml:space="preserve"> </w:t>
      </w:r>
      <w:r w:rsidRPr="00D45566">
        <w:t xml:space="preserve">From 2006-2015, the dropout rate of first-year undergraduate students from Australian public universities increased </w:t>
      </w:r>
      <w:r>
        <w:t xml:space="preserve">slightly </w:t>
      </w:r>
      <w:r w:rsidRPr="00D45566">
        <w:t>from 15 per cent to a little more than 16 per cent</w:t>
      </w:r>
      <w:r>
        <w:t>.</w:t>
      </w:r>
      <w:bookmarkStart w:id="5" w:name="_Ref45175964"/>
      <w:r w:rsidRPr="00D45566">
        <w:rPr>
          <w:vertAlign w:val="superscript"/>
        </w:rPr>
        <w:footnoteReference w:id="7"/>
      </w:r>
      <w:bookmarkEnd w:id="5"/>
      <w:r w:rsidRPr="00D45566">
        <w:rPr>
          <w:vertAlign w:val="superscript"/>
        </w:rPr>
        <w:t>.</w:t>
      </w:r>
      <w:r w:rsidRPr="00D45566">
        <w:t xml:space="preserve"> </w:t>
      </w:r>
    </w:p>
    <w:p w14:paraId="6B61C86B" w14:textId="2324EDFB" w:rsidR="009E236D" w:rsidRDefault="009E236D" w:rsidP="009E236D">
      <w:r w:rsidRPr="00D45566">
        <w:t xml:space="preserve">Evidence of disadvantage, along with personal, systemic, and demographic factors affecting student attrition have emerged. Being </w:t>
      </w:r>
      <w:r w:rsidR="00DB4436">
        <w:t>Aboriginal or Torres Strait Islander Australian</w:t>
      </w:r>
      <w:r w:rsidRPr="00CD5DBD">
        <w:rPr>
          <w:vertAlign w:val="superscript"/>
        </w:rPr>
        <w:fldChar w:fldCharType="begin"/>
      </w:r>
      <w:r w:rsidRPr="00CD5DBD">
        <w:rPr>
          <w:vertAlign w:val="superscript"/>
        </w:rPr>
        <w:instrText xml:space="preserve"> NOTEREF _Ref45180007 \h  \* MERGEFORMAT </w:instrText>
      </w:r>
      <w:r w:rsidRPr="00CD5DBD">
        <w:rPr>
          <w:vertAlign w:val="superscript"/>
        </w:rPr>
      </w:r>
      <w:r w:rsidRPr="00CD5DBD">
        <w:rPr>
          <w:vertAlign w:val="superscript"/>
        </w:rPr>
        <w:fldChar w:fldCharType="separate"/>
      </w:r>
      <w:r w:rsidR="0069759D">
        <w:rPr>
          <w:vertAlign w:val="superscript"/>
        </w:rPr>
        <w:t>6</w:t>
      </w:r>
      <w:r w:rsidRPr="00CD5DBD">
        <w:rPr>
          <w:vertAlign w:val="superscript"/>
        </w:rPr>
        <w:fldChar w:fldCharType="end"/>
      </w:r>
      <w:r>
        <w:rPr>
          <w:vertAlign w:val="superscript"/>
        </w:rPr>
        <w:t>,</w:t>
      </w:r>
      <w:bookmarkStart w:id="6" w:name="_Ref45180234"/>
      <w:r>
        <w:rPr>
          <w:rStyle w:val="FootnoteReference"/>
        </w:rPr>
        <w:footnoteReference w:id="8"/>
      </w:r>
      <w:bookmarkEnd w:id="6"/>
      <w:r w:rsidRPr="00D45566">
        <w:t>, of low socio-economic status (SES)</w:t>
      </w:r>
      <w:r w:rsidRPr="008D29ED">
        <w:rPr>
          <w:vertAlign w:val="superscript"/>
        </w:rPr>
        <w:fldChar w:fldCharType="begin"/>
      </w:r>
      <w:r w:rsidRPr="008D29ED">
        <w:rPr>
          <w:vertAlign w:val="superscript"/>
        </w:rPr>
        <w:instrText xml:space="preserve"> NOTEREF _Ref45175964 \h </w:instrText>
      </w:r>
      <w:r>
        <w:rPr>
          <w:vertAlign w:val="superscript"/>
        </w:rPr>
        <w:instrText xml:space="preserve"> \* MERGEFORMAT </w:instrText>
      </w:r>
      <w:r w:rsidRPr="008D29ED">
        <w:rPr>
          <w:vertAlign w:val="superscript"/>
        </w:rPr>
      </w:r>
      <w:r w:rsidRPr="008D29ED">
        <w:rPr>
          <w:vertAlign w:val="superscript"/>
        </w:rPr>
        <w:fldChar w:fldCharType="separate"/>
      </w:r>
      <w:r w:rsidR="0069759D">
        <w:rPr>
          <w:vertAlign w:val="superscript"/>
        </w:rPr>
        <w:t>7</w:t>
      </w:r>
      <w:r w:rsidRPr="008D29ED">
        <w:rPr>
          <w:vertAlign w:val="superscript"/>
        </w:rPr>
        <w:fldChar w:fldCharType="end"/>
      </w:r>
      <w:r w:rsidRPr="008D29ED">
        <w:rPr>
          <w:vertAlign w:val="superscript"/>
        </w:rPr>
        <w:t>,</w:t>
      </w:r>
      <w:r w:rsidRPr="008D29ED">
        <w:rPr>
          <w:vertAlign w:val="superscript"/>
        </w:rPr>
        <w:fldChar w:fldCharType="begin"/>
      </w:r>
      <w:r w:rsidRPr="008D29ED">
        <w:rPr>
          <w:vertAlign w:val="superscript"/>
        </w:rPr>
        <w:instrText xml:space="preserve"> NOTEREF _Ref45180234 \h </w:instrText>
      </w:r>
      <w:r>
        <w:rPr>
          <w:vertAlign w:val="superscript"/>
        </w:rPr>
        <w:instrText xml:space="preserve"> \* MERGEFORMAT </w:instrText>
      </w:r>
      <w:r w:rsidRPr="008D29ED">
        <w:rPr>
          <w:vertAlign w:val="superscript"/>
        </w:rPr>
      </w:r>
      <w:r w:rsidRPr="008D29ED">
        <w:rPr>
          <w:vertAlign w:val="superscript"/>
        </w:rPr>
        <w:fldChar w:fldCharType="separate"/>
      </w:r>
      <w:r w:rsidR="0069759D">
        <w:rPr>
          <w:vertAlign w:val="superscript"/>
        </w:rPr>
        <w:t>8</w:t>
      </w:r>
      <w:r w:rsidRPr="008D29ED">
        <w:rPr>
          <w:vertAlign w:val="superscript"/>
        </w:rPr>
        <w:fldChar w:fldCharType="end"/>
      </w:r>
      <w:r w:rsidRPr="00D45566">
        <w:t xml:space="preserve"> or having a disability</w:t>
      </w:r>
      <w:r w:rsidRPr="00BE7A43">
        <w:rPr>
          <w:vertAlign w:val="superscript"/>
        </w:rPr>
        <w:fldChar w:fldCharType="begin"/>
      </w:r>
      <w:r w:rsidRPr="00BE7A43">
        <w:rPr>
          <w:vertAlign w:val="superscript"/>
        </w:rPr>
        <w:instrText xml:space="preserve"> NOTEREF _Ref45175964 \h  \* MERGEFORMAT </w:instrText>
      </w:r>
      <w:r w:rsidRPr="00BE7A43">
        <w:rPr>
          <w:vertAlign w:val="superscript"/>
        </w:rPr>
      </w:r>
      <w:r w:rsidRPr="00BE7A43">
        <w:rPr>
          <w:vertAlign w:val="superscript"/>
        </w:rPr>
        <w:fldChar w:fldCharType="separate"/>
      </w:r>
      <w:r w:rsidR="0069759D">
        <w:rPr>
          <w:vertAlign w:val="superscript"/>
        </w:rPr>
        <w:t>7</w:t>
      </w:r>
      <w:r w:rsidRPr="00BE7A43">
        <w:rPr>
          <w:vertAlign w:val="superscript"/>
        </w:rPr>
        <w:fldChar w:fldCharType="end"/>
      </w:r>
      <w:r w:rsidRPr="00D45566">
        <w:t>, each reduce a student’s chances of course completion. Studying part-time</w:t>
      </w:r>
      <w:r w:rsidRPr="006D5A7B">
        <w:rPr>
          <w:vertAlign w:val="superscript"/>
        </w:rPr>
        <w:fldChar w:fldCharType="begin"/>
      </w:r>
      <w:r w:rsidRPr="006D5A7B">
        <w:rPr>
          <w:vertAlign w:val="superscript"/>
        </w:rPr>
        <w:instrText xml:space="preserve"> NOTEREF _Ref45176232 \h  \* MERGEFORMAT </w:instrText>
      </w:r>
      <w:r w:rsidRPr="006D5A7B">
        <w:rPr>
          <w:vertAlign w:val="superscript"/>
        </w:rPr>
      </w:r>
      <w:r w:rsidRPr="006D5A7B">
        <w:rPr>
          <w:vertAlign w:val="superscript"/>
        </w:rPr>
        <w:fldChar w:fldCharType="separate"/>
      </w:r>
      <w:r w:rsidR="0069759D">
        <w:rPr>
          <w:vertAlign w:val="superscript"/>
        </w:rPr>
        <w:t>2</w:t>
      </w:r>
      <w:r w:rsidRPr="006D5A7B">
        <w:rPr>
          <w:vertAlign w:val="superscript"/>
        </w:rPr>
        <w:fldChar w:fldCharType="end"/>
      </w:r>
      <w:r w:rsidRPr="00D45566">
        <w:t xml:space="preserve"> and attending a regional university</w:t>
      </w:r>
      <w:r w:rsidRPr="00D45566">
        <w:rPr>
          <w:vertAlign w:val="superscript"/>
        </w:rPr>
        <w:t xml:space="preserve">2 </w:t>
      </w:r>
      <w:r w:rsidRPr="00D45566">
        <w:t>also reduced a student’s chances.</w:t>
      </w:r>
      <w:r>
        <w:t xml:space="preserve"> The aim of this project was to extend that body of research by safely and securely linking student data with other person-level social, welfare and health data that have not been studied before as factors affecting university completion.  </w:t>
      </w:r>
    </w:p>
    <w:p w14:paraId="2152B3A0" w14:textId="77777777" w:rsidR="009E236D" w:rsidRDefault="009E236D" w:rsidP="00554EC5">
      <w:pPr>
        <w:pStyle w:val="Heading2"/>
      </w:pPr>
      <w:r w:rsidRPr="00BF772C">
        <w:t xml:space="preserve">Our </w:t>
      </w:r>
      <w:r>
        <w:t>d</w:t>
      </w:r>
      <w:r w:rsidRPr="00DE48EE">
        <w:t>ata</w:t>
      </w:r>
      <w:r>
        <w:t xml:space="preserve"> and m</w:t>
      </w:r>
      <w:r w:rsidRPr="00CC3268">
        <w:t>eth</w:t>
      </w:r>
      <w:r>
        <w:t>ods</w:t>
      </w:r>
    </w:p>
    <w:p w14:paraId="7CC1B340" w14:textId="77777777" w:rsidR="009E236D" w:rsidRDefault="009E236D" w:rsidP="009E236D">
      <w:pPr>
        <w:rPr>
          <w:shd w:val="clear" w:color="auto" w:fill="FFFFFF"/>
        </w:rPr>
      </w:pPr>
      <w:r>
        <w:rPr>
          <w:shd w:val="clear" w:color="auto" w:fill="FFFFFF"/>
        </w:rPr>
        <w:t xml:space="preserve">This project used a microdata extract of the </w:t>
      </w:r>
      <w:r w:rsidRPr="00FE3571">
        <w:rPr>
          <w:shd w:val="clear" w:color="auto" w:fill="FFFFFF"/>
        </w:rPr>
        <w:t>Multi-Agency Data Integration Project</w:t>
      </w:r>
      <w:r>
        <w:rPr>
          <w:shd w:val="clear" w:color="auto" w:fill="FFFFFF"/>
        </w:rPr>
        <w:t xml:space="preserve"> (or MADIP) with the safe and secure linkage of Higher Education Student data. This project was approved by the DIPA and MADIP Boards and the data was accessed through the secure ABS DataLab environment. </w:t>
      </w:r>
    </w:p>
    <w:p w14:paraId="2E068BF2" w14:textId="26B3B6FC" w:rsidR="009E236D" w:rsidRDefault="009E236D" w:rsidP="009E236D">
      <w:pPr>
        <w:rPr>
          <w:shd w:val="clear" w:color="auto" w:fill="FFFFFF"/>
        </w:rPr>
      </w:pPr>
      <w:r>
        <w:rPr>
          <w:shd w:val="clear" w:color="auto" w:fill="FFFFFF"/>
        </w:rPr>
        <w:t xml:space="preserve">Using MADIP as a data source allows for detailed microdata for </w:t>
      </w:r>
      <w:proofErr w:type="gramStart"/>
      <w:r>
        <w:rPr>
          <w:shd w:val="clear" w:color="auto" w:fill="FFFFFF"/>
        </w:rPr>
        <w:t>a large number of</w:t>
      </w:r>
      <w:proofErr w:type="gramEnd"/>
      <w:r>
        <w:rPr>
          <w:shd w:val="clear" w:color="auto" w:fill="FFFFFF"/>
        </w:rPr>
        <w:t xml:space="preserve"> students, which might otherwise only be available through extensive and invasive surveying. This is the first time in an Australian context that higher education outcomes have been linked to a wide range of data on </w:t>
      </w:r>
      <w:r>
        <w:rPr>
          <w:shd w:val="clear" w:color="auto" w:fill="FFFFFF"/>
        </w:rPr>
        <w:lastRenderedPageBreak/>
        <w:t>student’s incomes, health, employment, socio-economic and income support status. The data sources used in this project and their sources are listed below in Table 1.</w:t>
      </w:r>
      <w:r w:rsidR="00E90D68" w:rsidRPr="00E90D68">
        <w:rPr>
          <w:shd w:val="clear" w:color="auto" w:fill="FFFFFF"/>
          <w:vertAlign w:val="superscript"/>
        </w:rPr>
        <w:fldChar w:fldCharType="begin"/>
      </w:r>
      <w:r w:rsidR="00E90D68" w:rsidRPr="00E90D68">
        <w:rPr>
          <w:shd w:val="clear" w:color="auto" w:fill="FFFFFF"/>
          <w:vertAlign w:val="superscript"/>
        </w:rPr>
        <w:instrText xml:space="preserve"> NOTEREF _Ref45180876 \h  \* MERGEFORMAT </w:instrText>
      </w:r>
      <w:r w:rsidR="00E90D68" w:rsidRPr="00E90D68">
        <w:rPr>
          <w:shd w:val="clear" w:color="auto" w:fill="FFFFFF"/>
          <w:vertAlign w:val="superscript"/>
        </w:rPr>
      </w:r>
      <w:r w:rsidR="00E90D68" w:rsidRPr="00E90D68">
        <w:rPr>
          <w:shd w:val="clear" w:color="auto" w:fill="FFFFFF"/>
          <w:vertAlign w:val="superscript"/>
        </w:rPr>
        <w:fldChar w:fldCharType="separate"/>
      </w:r>
      <w:r w:rsidR="0069759D">
        <w:rPr>
          <w:shd w:val="clear" w:color="auto" w:fill="FFFFFF"/>
          <w:vertAlign w:val="superscript"/>
        </w:rPr>
        <w:t>4</w:t>
      </w:r>
      <w:r w:rsidR="00E90D68" w:rsidRPr="00E90D68">
        <w:rPr>
          <w:shd w:val="clear" w:color="auto" w:fill="FFFFFF"/>
          <w:vertAlign w:val="superscript"/>
        </w:rPr>
        <w:fldChar w:fldCharType="end"/>
      </w:r>
      <w:r w:rsidRPr="00E90D68">
        <w:rPr>
          <w:shd w:val="clear" w:color="auto" w:fill="FFFFFF"/>
          <w:vertAlign w:val="superscript"/>
        </w:rPr>
        <w:t xml:space="preserve"> </w:t>
      </w:r>
    </w:p>
    <w:p w14:paraId="140E969B" w14:textId="7FFF1E81" w:rsidR="001256F3" w:rsidRPr="001256F3" w:rsidRDefault="001256F3" w:rsidP="001256F3">
      <w:pPr>
        <w:pStyle w:val="Caption"/>
        <w:keepNext/>
        <w:rPr>
          <w:color w:val="287DB2"/>
        </w:rPr>
      </w:pPr>
      <w:r w:rsidRPr="001256F3">
        <w:rPr>
          <w:color w:val="287DB2"/>
        </w:rPr>
        <w:t xml:space="preserve">Table </w:t>
      </w:r>
      <w:r w:rsidRPr="001256F3">
        <w:rPr>
          <w:color w:val="287DB2"/>
        </w:rPr>
        <w:fldChar w:fldCharType="begin"/>
      </w:r>
      <w:r w:rsidRPr="001256F3">
        <w:rPr>
          <w:color w:val="287DB2"/>
        </w:rPr>
        <w:instrText xml:space="preserve"> SEQ Table \* ARABIC </w:instrText>
      </w:r>
      <w:r w:rsidRPr="001256F3">
        <w:rPr>
          <w:color w:val="287DB2"/>
        </w:rPr>
        <w:fldChar w:fldCharType="separate"/>
      </w:r>
      <w:r w:rsidR="0069759D">
        <w:rPr>
          <w:noProof/>
          <w:color w:val="287DB2"/>
        </w:rPr>
        <w:t>1</w:t>
      </w:r>
      <w:r w:rsidRPr="001256F3">
        <w:rPr>
          <w:color w:val="287DB2"/>
        </w:rPr>
        <w:fldChar w:fldCharType="end"/>
      </w:r>
      <w:r w:rsidRPr="001256F3">
        <w:rPr>
          <w:color w:val="287DB2"/>
        </w:rPr>
        <w:t>. The MADIP data sources used in this project</w:t>
      </w:r>
    </w:p>
    <w:tbl>
      <w:tblPr>
        <w:tblStyle w:val="DESE"/>
        <w:tblW w:w="9351" w:type="dxa"/>
        <w:tblLook w:val="04A0" w:firstRow="1" w:lastRow="0" w:firstColumn="1" w:lastColumn="0" w:noHBand="0" w:noVBand="1"/>
        <w:tblDescription w:val="Two columns: data source, data custodian."/>
      </w:tblPr>
      <w:tblGrid>
        <w:gridCol w:w="4531"/>
        <w:gridCol w:w="4820"/>
      </w:tblGrid>
      <w:tr w:rsidR="009E236D" w:rsidRPr="0076720E" w14:paraId="60CC8B55" w14:textId="77777777" w:rsidTr="00B111CA">
        <w:trPr>
          <w:cnfStyle w:val="100000000000" w:firstRow="1" w:lastRow="0" w:firstColumn="0" w:lastColumn="0" w:oddVBand="0" w:evenVBand="0" w:oddHBand="0" w:evenHBand="0" w:firstRowFirstColumn="0" w:firstRowLastColumn="0" w:lastRowFirstColumn="0" w:lastRowLastColumn="0"/>
          <w:trHeight w:hRule="exact" w:val="680"/>
        </w:trPr>
        <w:tc>
          <w:tcPr>
            <w:cnfStyle w:val="001000000100" w:firstRow="0" w:lastRow="0" w:firstColumn="1" w:lastColumn="0" w:oddVBand="0" w:evenVBand="0" w:oddHBand="0" w:evenHBand="0" w:firstRowFirstColumn="1" w:firstRowLastColumn="0" w:lastRowFirstColumn="0" w:lastRowLastColumn="0"/>
            <w:tcW w:w="4531" w:type="dxa"/>
          </w:tcPr>
          <w:p w14:paraId="729E6EF5" w14:textId="77777777" w:rsidR="009E236D" w:rsidRPr="006F591F" w:rsidRDefault="009E236D" w:rsidP="007B1556">
            <w:pPr>
              <w:spacing w:before="120"/>
              <w:ind w:right="-187"/>
              <w:rPr>
                <w:color w:val="E7E6E6" w:themeColor="background2"/>
              </w:rPr>
            </w:pPr>
            <w:r w:rsidRPr="006F591F">
              <w:rPr>
                <w:color w:val="E7E6E6" w:themeColor="background2"/>
                <w:sz w:val="20"/>
              </w:rPr>
              <w:t>Data Source</w:t>
            </w:r>
          </w:p>
        </w:tc>
        <w:tc>
          <w:tcPr>
            <w:tcW w:w="4820" w:type="dxa"/>
          </w:tcPr>
          <w:p w14:paraId="431391C8" w14:textId="77777777" w:rsidR="009E236D" w:rsidRPr="006F591F" w:rsidRDefault="009E236D" w:rsidP="007B1556">
            <w:pPr>
              <w:ind w:right="-187"/>
              <w:cnfStyle w:val="100000000000" w:firstRow="1" w:lastRow="0" w:firstColumn="0" w:lastColumn="0" w:oddVBand="0" w:evenVBand="0" w:oddHBand="0" w:evenHBand="0" w:firstRowFirstColumn="0" w:firstRowLastColumn="0" w:lastRowFirstColumn="0" w:lastRowLastColumn="0"/>
              <w:rPr>
                <w:color w:val="E7E6E6" w:themeColor="background2"/>
                <w:sz w:val="20"/>
                <w:szCs w:val="20"/>
              </w:rPr>
            </w:pPr>
            <w:r w:rsidRPr="006F591F">
              <w:rPr>
                <w:color w:val="E7E6E6" w:themeColor="background2"/>
                <w:sz w:val="20"/>
                <w:szCs w:val="20"/>
              </w:rPr>
              <w:t>Data Custodian</w:t>
            </w:r>
          </w:p>
        </w:tc>
      </w:tr>
      <w:tr w:rsidR="009E236D" w:rsidRPr="007C1D32" w14:paraId="108D711F" w14:textId="77777777" w:rsidTr="00B111CA">
        <w:trPr>
          <w:trHeight w:hRule="exact" w:val="283"/>
        </w:trPr>
        <w:tc>
          <w:tcPr>
            <w:cnfStyle w:val="001000000000" w:firstRow="0" w:lastRow="0" w:firstColumn="1" w:lastColumn="0" w:oddVBand="0" w:evenVBand="0" w:oddHBand="0" w:evenHBand="0" w:firstRowFirstColumn="0" w:firstRowLastColumn="0" w:lastRowFirstColumn="0" w:lastRowLastColumn="0"/>
            <w:tcW w:w="4531" w:type="dxa"/>
          </w:tcPr>
          <w:p w14:paraId="220A2861" w14:textId="77777777" w:rsidR="009E236D" w:rsidRPr="007C1D32" w:rsidRDefault="009E236D" w:rsidP="007B1556">
            <w:pPr>
              <w:ind w:right="-187"/>
              <w:rPr>
                <w:sz w:val="20"/>
              </w:rPr>
            </w:pPr>
            <w:r>
              <w:rPr>
                <w:rFonts w:ascii="Calibri" w:hAnsi="Calibri" w:cs="Calibri"/>
                <w:color w:val="000000"/>
                <w:sz w:val="20"/>
              </w:rPr>
              <w:t>Census of Population and Housing 2016</w:t>
            </w:r>
          </w:p>
        </w:tc>
        <w:tc>
          <w:tcPr>
            <w:tcW w:w="4820" w:type="dxa"/>
          </w:tcPr>
          <w:p w14:paraId="7ABBC54F" w14:textId="77777777" w:rsidR="009E236D" w:rsidRPr="007C1D32" w:rsidRDefault="009E236D" w:rsidP="007B1556">
            <w:pPr>
              <w:ind w:right="-187"/>
              <w:cnfStyle w:val="000000000000" w:firstRow="0" w:lastRow="0" w:firstColumn="0" w:lastColumn="0" w:oddVBand="0" w:evenVBand="0" w:oddHBand="0" w:evenHBand="0" w:firstRowFirstColumn="0" w:firstRowLastColumn="0" w:lastRowFirstColumn="0" w:lastRowLastColumn="0"/>
              <w:rPr>
                <w:sz w:val="20"/>
              </w:rPr>
            </w:pPr>
            <w:r>
              <w:rPr>
                <w:rFonts w:ascii="Calibri" w:hAnsi="Calibri" w:cs="Calibri"/>
                <w:color w:val="000000"/>
                <w:sz w:val="20"/>
              </w:rPr>
              <w:t xml:space="preserve">Australian Bureau of Statistics </w:t>
            </w:r>
          </w:p>
        </w:tc>
      </w:tr>
      <w:tr w:rsidR="009E236D" w:rsidRPr="007C1D32" w14:paraId="0BB917D6" w14:textId="77777777" w:rsidTr="00B111CA">
        <w:trPr>
          <w:trHeight w:hRule="exact" w:val="283"/>
        </w:trPr>
        <w:tc>
          <w:tcPr>
            <w:cnfStyle w:val="001000000000" w:firstRow="0" w:lastRow="0" w:firstColumn="1" w:lastColumn="0" w:oddVBand="0" w:evenVBand="0" w:oddHBand="0" w:evenHBand="0" w:firstRowFirstColumn="0" w:firstRowLastColumn="0" w:lastRowFirstColumn="0" w:lastRowLastColumn="0"/>
            <w:tcW w:w="4531" w:type="dxa"/>
          </w:tcPr>
          <w:p w14:paraId="1D396AD6" w14:textId="77777777" w:rsidR="009E236D" w:rsidRPr="007C1D32" w:rsidRDefault="009E236D" w:rsidP="007B1556">
            <w:pPr>
              <w:ind w:right="-187"/>
              <w:rPr>
                <w:sz w:val="20"/>
              </w:rPr>
            </w:pPr>
            <w:r>
              <w:rPr>
                <w:rFonts w:ascii="Calibri" w:hAnsi="Calibri" w:cs="Calibri"/>
                <w:color w:val="000000"/>
                <w:sz w:val="20"/>
              </w:rPr>
              <w:t>Higher Education Information Management System</w:t>
            </w:r>
          </w:p>
        </w:tc>
        <w:tc>
          <w:tcPr>
            <w:tcW w:w="4820" w:type="dxa"/>
          </w:tcPr>
          <w:p w14:paraId="3EC44C8A" w14:textId="77777777" w:rsidR="009E236D" w:rsidRPr="007C1D32" w:rsidRDefault="009E236D" w:rsidP="007B1556">
            <w:pPr>
              <w:ind w:right="-187"/>
              <w:cnfStyle w:val="000000000000" w:firstRow="0" w:lastRow="0" w:firstColumn="0" w:lastColumn="0" w:oddVBand="0" w:evenVBand="0" w:oddHBand="0" w:evenHBand="0" w:firstRowFirstColumn="0" w:firstRowLastColumn="0" w:lastRowFirstColumn="0" w:lastRowLastColumn="0"/>
              <w:rPr>
                <w:sz w:val="20"/>
              </w:rPr>
            </w:pPr>
            <w:r>
              <w:rPr>
                <w:sz w:val="20"/>
              </w:rPr>
              <w:t>Department of Education, Skills and Employment</w:t>
            </w:r>
          </w:p>
        </w:tc>
      </w:tr>
      <w:tr w:rsidR="009E236D" w:rsidRPr="007C1D32" w14:paraId="70D5B69D" w14:textId="77777777" w:rsidTr="00B111CA">
        <w:trPr>
          <w:trHeight w:hRule="exact" w:val="283"/>
        </w:trPr>
        <w:tc>
          <w:tcPr>
            <w:cnfStyle w:val="001000000000" w:firstRow="0" w:lastRow="0" w:firstColumn="1" w:lastColumn="0" w:oddVBand="0" w:evenVBand="0" w:oddHBand="0" w:evenHBand="0" w:firstRowFirstColumn="0" w:firstRowLastColumn="0" w:lastRowFirstColumn="0" w:lastRowLastColumn="0"/>
            <w:tcW w:w="4531" w:type="dxa"/>
          </w:tcPr>
          <w:p w14:paraId="56D42E14" w14:textId="77777777" w:rsidR="009E236D" w:rsidRPr="007C1D32" w:rsidRDefault="009E236D" w:rsidP="007B1556">
            <w:pPr>
              <w:ind w:right="-187"/>
              <w:rPr>
                <w:sz w:val="20"/>
              </w:rPr>
            </w:pPr>
            <w:r>
              <w:rPr>
                <w:rFonts w:ascii="Calibri" w:hAnsi="Calibri" w:cs="Calibri"/>
                <w:color w:val="000000"/>
                <w:sz w:val="20"/>
              </w:rPr>
              <w:t>Personal Income Tax</w:t>
            </w:r>
          </w:p>
        </w:tc>
        <w:tc>
          <w:tcPr>
            <w:tcW w:w="4820" w:type="dxa"/>
          </w:tcPr>
          <w:p w14:paraId="24F89E18" w14:textId="77777777" w:rsidR="009E236D" w:rsidRPr="007C1D32" w:rsidRDefault="009E236D" w:rsidP="007B1556">
            <w:pPr>
              <w:ind w:right="-187"/>
              <w:cnfStyle w:val="000000000000" w:firstRow="0" w:lastRow="0" w:firstColumn="0" w:lastColumn="0" w:oddVBand="0" w:evenVBand="0" w:oddHBand="0" w:evenHBand="0" w:firstRowFirstColumn="0" w:firstRowLastColumn="0" w:lastRowFirstColumn="0" w:lastRowLastColumn="0"/>
              <w:rPr>
                <w:sz w:val="20"/>
              </w:rPr>
            </w:pPr>
            <w:r>
              <w:rPr>
                <w:sz w:val="20"/>
              </w:rPr>
              <w:t>Australian Tax Office</w:t>
            </w:r>
          </w:p>
        </w:tc>
      </w:tr>
      <w:tr w:rsidR="009E236D" w:rsidRPr="007C1D32" w14:paraId="77602268" w14:textId="77777777" w:rsidTr="00B111CA">
        <w:trPr>
          <w:trHeight w:hRule="exact" w:val="283"/>
        </w:trPr>
        <w:tc>
          <w:tcPr>
            <w:cnfStyle w:val="001000000000" w:firstRow="0" w:lastRow="0" w:firstColumn="1" w:lastColumn="0" w:oddVBand="0" w:evenVBand="0" w:oddHBand="0" w:evenHBand="0" w:firstRowFirstColumn="0" w:firstRowLastColumn="0" w:lastRowFirstColumn="0" w:lastRowLastColumn="0"/>
            <w:tcW w:w="4531" w:type="dxa"/>
          </w:tcPr>
          <w:p w14:paraId="51CB9234" w14:textId="77777777" w:rsidR="009E236D" w:rsidRPr="007C1D32" w:rsidRDefault="009E236D" w:rsidP="007B1556">
            <w:pPr>
              <w:ind w:right="-187"/>
              <w:rPr>
                <w:sz w:val="20"/>
              </w:rPr>
            </w:pPr>
            <w:r>
              <w:rPr>
                <w:sz w:val="20"/>
              </w:rPr>
              <w:t xml:space="preserve">Pay </w:t>
            </w:r>
            <w:proofErr w:type="gramStart"/>
            <w:r>
              <w:rPr>
                <w:sz w:val="20"/>
              </w:rPr>
              <w:t>As</w:t>
            </w:r>
            <w:proofErr w:type="gramEnd"/>
            <w:r>
              <w:rPr>
                <w:sz w:val="20"/>
              </w:rPr>
              <w:t xml:space="preserve"> You Go Payment Summaries</w:t>
            </w:r>
          </w:p>
        </w:tc>
        <w:tc>
          <w:tcPr>
            <w:tcW w:w="4820" w:type="dxa"/>
          </w:tcPr>
          <w:p w14:paraId="09B4C7C2" w14:textId="77777777" w:rsidR="009E236D" w:rsidRPr="007C1D32" w:rsidRDefault="009E236D" w:rsidP="007B1556">
            <w:pPr>
              <w:ind w:right="-187"/>
              <w:cnfStyle w:val="000000000000" w:firstRow="0" w:lastRow="0" w:firstColumn="0" w:lastColumn="0" w:oddVBand="0" w:evenVBand="0" w:oddHBand="0" w:evenHBand="0" w:firstRowFirstColumn="0" w:firstRowLastColumn="0" w:lastRowFirstColumn="0" w:lastRowLastColumn="0"/>
              <w:rPr>
                <w:sz w:val="20"/>
              </w:rPr>
            </w:pPr>
            <w:r>
              <w:rPr>
                <w:sz w:val="20"/>
              </w:rPr>
              <w:t>Australian Tax Office</w:t>
            </w:r>
          </w:p>
        </w:tc>
      </w:tr>
      <w:tr w:rsidR="009E236D" w:rsidRPr="007C1D32" w14:paraId="21E00F7C" w14:textId="77777777" w:rsidTr="00B111CA">
        <w:trPr>
          <w:trHeight w:hRule="exact" w:val="283"/>
        </w:trPr>
        <w:tc>
          <w:tcPr>
            <w:cnfStyle w:val="001000000000" w:firstRow="0" w:lastRow="0" w:firstColumn="1" w:lastColumn="0" w:oddVBand="0" w:evenVBand="0" w:oddHBand="0" w:evenHBand="0" w:firstRowFirstColumn="0" w:firstRowLastColumn="0" w:lastRowFirstColumn="0" w:lastRowLastColumn="0"/>
            <w:tcW w:w="4531" w:type="dxa"/>
          </w:tcPr>
          <w:p w14:paraId="3E14F42E" w14:textId="77777777" w:rsidR="009E236D" w:rsidRPr="007C1D32" w:rsidRDefault="009E236D" w:rsidP="007B1556">
            <w:pPr>
              <w:ind w:right="-187"/>
              <w:rPr>
                <w:sz w:val="20"/>
              </w:rPr>
            </w:pPr>
            <w:r>
              <w:rPr>
                <w:sz w:val="20"/>
              </w:rPr>
              <w:t>Social Security and Related Information</w:t>
            </w:r>
          </w:p>
        </w:tc>
        <w:tc>
          <w:tcPr>
            <w:tcW w:w="4820" w:type="dxa"/>
          </w:tcPr>
          <w:p w14:paraId="44E8610D" w14:textId="77777777" w:rsidR="009E236D" w:rsidRPr="007C1D32" w:rsidRDefault="009E236D" w:rsidP="007B1556">
            <w:pPr>
              <w:ind w:right="-187"/>
              <w:cnfStyle w:val="000000000000" w:firstRow="0" w:lastRow="0" w:firstColumn="0" w:lastColumn="0" w:oddVBand="0" w:evenVBand="0" w:oddHBand="0" w:evenHBand="0" w:firstRowFirstColumn="0" w:firstRowLastColumn="0" w:lastRowFirstColumn="0" w:lastRowLastColumn="0"/>
              <w:rPr>
                <w:sz w:val="20"/>
              </w:rPr>
            </w:pPr>
            <w:r>
              <w:rPr>
                <w:sz w:val="20"/>
              </w:rPr>
              <w:t>Department of Social Services</w:t>
            </w:r>
          </w:p>
        </w:tc>
      </w:tr>
      <w:tr w:rsidR="009E236D" w:rsidRPr="007C1D32" w14:paraId="2D42AB6F" w14:textId="77777777" w:rsidTr="00B111CA">
        <w:trPr>
          <w:trHeight w:hRule="exact" w:val="283"/>
        </w:trPr>
        <w:tc>
          <w:tcPr>
            <w:cnfStyle w:val="001000000000" w:firstRow="0" w:lastRow="0" w:firstColumn="1" w:lastColumn="0" w:oddVBand="0" w:evenVBand="0" w:oddHBand="0" w:evenHBand="0" w:firstRowFirstColumn="0" w:firstRowLastColumn="0" w:lastRowFirstColumn="0" w:lastRowLastColumn="0"/>
            <w:tcW w:w="4531" w:type="dxa"/>
          </w:tcPr>
          <w:p w14:paraId="2BBEC0C5" w14:textId="77777777" w:rsidR="009E236D" w:rsidRPr="007C1D32" w:rsidRDefault="009E236D" w:rsidP="007B1556">
            <w:pPr>
              <w:ind w:right="-187"/>
              <w:rPr>
                <w:sz w:val="20"/>
              </w:rPr>
            </w:pPr>
            <w:r>
              <w:rPr>
                <w:sz w:val="20"/>
              </w:rPr>
              <w:t>Medicare Benefits Schedule</w:t>
            </w:r>
          </w:p>
        </w:tc>
        <w:tc>
          <w:tcPr>
            <w:tcW w:w="4820" w:type="dxa"/>
          </w:tcPr>
          <w:p w14:paraId="4FF60C4C" w14:textId="77777777" w:rsidR="009E236D" w:rsidRPr="007C1D32" w:rsidRDefault="009E236D" w:rsidP="007B1556">
            <w:pPr>
              <w:ind w:right="-187"/>
              <w:cnfStyle w:val="000000000000" w:firstRow="0" w:lastRow="0" w:firstColumn="0" w:lastColumn="0" w:oddVBand="0" w:evenVBand="0" w:oddHBand="0" w:evenHBand="0" w:firstRowFirstColumn="0" w:firstRowLastColumn="0" w:lastRowFirstColumn="0" w:lastRowLastColumn="0"/>
              <w:rPr>
                <w:sz w:val="20"/>
              </w:rPr>
            </w:pPr>
            <w:r>
              <w:rPr>
                <w:sz w:val="20"/>
              </w:rPr>
              <w:t>Department of Health</w:t>
            </w:r>
          </w:p>
        </w:tc>
      </w:tr>
      <w:tr w:rsidR="009E236D" w:rsidRPr="007C1D32" w14:paraId="35B04396" w14:textId="77777777" w:rsidTr="00B111CA">
        <w:trPr>
          <w:trHeight w:hRule="exact" w:val="283"/>
        </w:trPr>
        <w:tc>
          <w:tcPr>
            <w:cnfStyle w:val="001000000000" w:firstRow="0" w:lastRow="0" w:firstColumn="1" w:lastColumn="0" w:oddVBand="0" w:evenVBand="0" w:oddHBand="0" w:evenHBand="0" w:firstRowFirstColumn="0" w:firstRowLastColumn="0" w:lastRowFirstColumn="0" w:lastRowLastColumn="0"/>
            <w:tcW w:w="4531" w:type="dxa"/>
          </w:tcPr>
          <w:p w14:paraId="71B78369" w14:textId="51BA4C68" w:rsidR="009E236D" w:rsidRPr="007C1D32" w:rsidRDefault="009E236D" w:rsidP="007B1556">
            <w:pPr>
              <w:ind w:right="-187"/>
              <w:rPr>
                <w:sz w:val="20"/>
              </w:rPr>
            </w:pPr>
            <w:r>
              <w:rPr>
                <w:sz w:val="20"/>
              </w:rPr>
              <w:t>Pharmaceutical Benefits Sche</w:t>
            </w:r>
            <w:r w:rsidR="003E5721">
              <w:rPr>
                <w:sz w:val="20"/>
              </w:rPr>
              <w:t>dule</w:t>
            </w:r>
          </w:p>
        </w:tc>
        <w:tc>
          <w:tcPr>
            <w:tcW w:w="4820" w:type="dxa"/>
          </w:tcPr>
          <w:p w14:paraId="283934EE" w14:textId="77777777" w:rsidR="009E236D" w:rsidRPr="007C1D32" w:rsidRDefault="009E236D" w:rsidP="007B1556">
            <w:pPr>
              <w:ind w:right="-187"/>
              <w:cnfStyle w:val="000000000000" w:firstRow="0" w:lastRow="0" w:firstColumn="0" w:lastColumn="0" w:oddVBand="0" w:evenVBand="0" w:oddHBand="0" w:evenHBand="0" w:firstRowFirstColumn="0" w:firstRowLastColumn="0" w:lastRowFirstColumn="0" w:lastRowLastColumn="0"/>
              <w:rPr>
                <w:sz w:val="20"/>
              </w:rPr>
            </w:pPr>
            <w:r>
              <w:rPr>
                <w:sz w:val="20"/>
              </w:rPr>
              <w:t>Department of Health</w:t>
            </w:r>
          </w:p>
        </w:tc>
      </w:tr>
      <w:tr w:rsidR="009E236D" w:rsidRPr="007C1D32" w14:paraId="7780E9BF" w14:textId="77777777" w:rsidTr="00B111CA">
        <w:trPr>
          <w:trHeight w:hRule="exact" w:val="283"/>
        </w:trPr>
        <w:tc>
          <w:tcPr>
            <w:cnfStyle w:val="001000000000" w:firstRow="0" w:lastRow="0" w:firstColumn="1" w:lastColumn="0" w:oddVBand="0" w:evenVBand="0" w:oddHBand="0" w:evenHBand="0" w:firstRowFirstColumn="0" w:firstRowLastColumn="0" w:lastRowFirstColumn="0" w:lastRowLastColumn="0"/>
            <w:tcW w:w="4531" w:type="dxa"/>
          </w:tcPr>
          <w:p w14:paraId="461DA304" w14:textId="77777777" w:rsidR="009E236D" w:rsidRPr="007C1D32" w:rsidRDefault="009E236D" w:rsidP="007B1556">
            <w:pPr>
              <w:ind w:right="-187"/>
              <w:rPr>
                <w:sz w:val="20"/>
              </w:rPr>
            </w:pPr>
            <w:r>
              <w:rPr>
                <w:sz w:val="20"/>
              </w:rPr>
              <w:t>Registries Death Data</w:t>
            </w:r>
          </w:p>
        </w:tc>
        <w:tc>
          <w:tcPr>
            <w:tcW w:w="4820" w:type="dxa"/>
          </w:tcPr>
          <w:p w14:paraId="7A039BE7" w14:textId="77777777" w:rsidR="009E236D" w:rsidRPr="007C1D32" w:rsidRDefault="009E236D" w:rsidP="007B1556">
            <w:pPr>
              <w:ind w:right="-187"/>
              <w:cnfStyle w:val="000000000000" w:firstRow="0" w:lastRow="0" w:firstColumn="0" w:lastColumn="0" w:oddVBand="0" w:evenVBand="0" w:oddHBand="0" w:evenHBand="0" w:firstRowFirstColumn="0" w:firstRowLastColumn="0" w:lastRowFirstColumn="0" w:lastRowLastColumn="0"/>
              <w:rPr>
                <w:sz w:val="20"/>
              </w:rPr>
            </w:pPr>
            <w:r>
              <w:rPr>
                <w:rFonts w:ascii="Calibri" w:hAnsi="Calibri" w:cs="Calibri"/>
                <w:color w:val="000000"/>
                <w:sz w:val="20"/>
              </w:rPr>
              <w:t xml:space="preserve">Australian Bureau of Statistics </w:t>
            </w:r>
          </w:p>
        </w:tc>
      </w:tr>
    </w:tbl>
    <w:p w14:paraId="279435E8" w14:textId="77777777" w:rsidR="009E236D" w:rsidRPr="00B202B3" w:rsidRDefault="009E236D" w:rsidP="009E236D">
      <w:pPr>
        <w:rPr>
          <w:shd w:val="clear" w:color="auto" w:fill="FFFFFF"/>
        </w:rPr>
      </w:pPr>
      <w:r w:rsidRPr="00DB488C">
        <w:rPr>
          <w:shd w:val="clear" w:color="auto" w:fill="FFFFFF"/>
        </w:rPr>
        <w:t xml:space="preserve">Our analyses used the statistical inference techniques of descriptive and predictive modelling, and causal inference modelling. More detailed information is available in the </w:t>
      </w:r>
      <w:r w:rsidRPr="006F591F">
        <w:rPr>
          <w:i/>
        </w:rPr>
        <w:t>Methodology</w:t>
      </w:r>
      <w:r>
        <w:t xml:space="preserve"> </w:t>
      </w:r>
      <w:r w:rsidRPr="00DB488C">
        <w:rPr>
          <w:shd w:val="clear" w:color="auto" w:fill="FFFFFF"/>
        </w:rPr>
        <w:t>factsheet.</w:t>
      </w:r>
      <w:r>
        <w:rPr>
          <w:shd w:val="clear" w:color="auto" w:fill="FFFFFF"/>
        </w:rPr>
        <w:t xml:space="preserve"> </w:t>
      </w:r>
    </w:p>
    <w:bookmarkEnd w:id="0"/>
    <w:sectPr w:rsidR="009E236D" w:rsidRPr="00B202B3" w:rsidSect="00177121">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EFB94" w14:textId="77777777" w:rsidR="008E44A3" w:rsidRDefault="008E44A3" w:rsidP="0051352E">
      <w:pPr>
        <w:spacing w:after="0" w:line="240" w:lineRule="auto"/>
      </w:pPr>
      <w:r>
        <w:separator/>
      </w:r>
    </w:p>
  </w:endnote>
  <w:endnote w:type="continuationSeparator" w:id="0">
    <w:p w14:paraId="78AA922E" w14:textId="77777777" w:rsidR="008E44A3" w:rsidRDefault="008E44A3"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721720"/>
      <w:docPartObj>
        <w:docPartGallery w:val="Page Numbers (Bottom of Page)"/>
        <w:docPartUnique/>
      </w:docPartObj>
    </w:sdtPr>
    <w:sdtEndPr>
      <w:rPr>
        <w:noProof/>
      </w:rPr>
    </w:sdtEndPr>
    <w:sdtContent>
      <w:p w14:paraId="783B771C" w14:textId="77777777" w:rsidR="00177121" w:rsidRDefault="00177121">
        <w:pPr>
          <w:pStyle w:val="Footer"/>
          <w:jc w:val="right"/>
        </w:pPr>
        <w:r>
          <w:fldChar w:fldCharType="begin"/>
        </w:r>
        <w:r>
          <w:instrText xml:space="preserve"> PAGE   \* MERGEFORMAT </w:instrText>
        </w:r>
        <w:r>
          <w:fldChar w:fldCharType="separate"/>
        </w:r>
        <w:r w:rsidR="00DD2835">
          <w:rPr>
            <w:noProof/>
          </w:rPr>
          <w:t>5</w:t>
        </w:r>
        <w:r>
          <w:rPr>
            <w:noProof/>
          </w:rPr>
          <w:fldChar w:fldCharType="end"/>
        </w:r>
      </w:p>
    </w:sdtContent>
  </w:sdt>
  <w:p w14:paraId="1C555360" w14:textId="77777777" w:rsidR="00177121" w:rsidRDefault="0017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C2C15" w14:textId="77777777" w:rsidR="008E44A3" w:rsidRDefault="008E44A3" w:rsidP="0051352E">
      <w:pPr>
        <w:spacing w:after="0" w:line="240" w:lineRule="auto"/>
      </w:pPr>
      <w:r>
        <w:separator/>
      </w:r>
    </w:p>
  </w:footnote>
  <w:footnote w:type="continuationSeparator" w:id="0">
    <w:p w14:paraId="346896A6" w14:textId="77777777" w:rsidR="008E44A3" w:rsidRDefault="008E44A3" w:rsidP="0051352E">
      <w:pPr>
        <w:spacing w:after="0" w:line="240" w:lineRule="auto"/>
      </w:pPr>
      <w:r>
        <w:continuationSeparator/>
      </w:r>
    </w:p>
  </w:footnote>
  <w:footnote w:id="1">
    <w:p w14:paraId="11A4AFBC" w14:textId="7D27CBCB" w:rsidR="009E236D" w:rsidRPr="00994513" w:rsidRDefault="009E236D" w:rsidP="009E236D">
      <w:pPr>
        <w:pStyle w:val="FootnoteText"/>
        <w:rPr>
          <w:sz w:val="16"/>
          <w:szCs w:val="16"/>
        </w:rPr>
      </w:pPr>
      <w:r w:rsidRPr="00994513">
        <w:rPr>
          <w:rStyle w:val="FootnoteReference"/>
          <w:sz w:val="16"/>
          <w:szCs w:val="16"/>
        </w:rPr>
        <w:footnoteRef/>
      </w:r>
      <w:r w:rsidRPr="00994513">
        <w:rPr>
          <w:sz w:val="16"/>
          <w:szCs w:val="16"/>
        </w:rPr>
        <w:t xml:space="preserve"> Australian Government Department of Education, Skills and Employment</w:t>
      </w:r>
      <w:r w:rsidR="00813786">
        <w:rPr>
          <w:sz w:val="16"/>
          <w:szCs w:val="16"/>
        </w:rPr>
        <w:t xml:space="preserve"> (2019)</w:t>
      </w:r>
      <w:r w:rsidRPr="00994513">
        <w:rPr>
          <w:sz w:val="16"/>
          <w:szCs w:val="16"/>
        </w:rPr>
        <w:t xml:space="preserve"> </w:t>
      </w:r>
      <w:hyperlink r:id="rId1" w:history="1">
        <w:r w:rsidRPr="00813786">
          <w:rPr>
            <w:rStyle w:val="Hyperlink"/>
            <w:i/>
            <w:iCs/>
            <w:sz w:val="16"/>
            <w:szCs w:val="16"/>
          </w:rPr>
          <w:t>Benefits of Educational Attainment Project</w:t>
        </w:r>
      </w:hyperlink>
      <w:r w:rsidR="00813786">
        <w:rPr>
          <w:sz w:val="16"/>
          <w:szCs w:val="16"/>
        </w:rPr>
        <w:t>, Department of Education, Skills and Employment</w:t>
      </w:r>
      <w:r w:rsidRPr="00994513">
        <w:rPr>
          <w:sz w:val="16"/>
          <w:szCs w:val="16"/>
        </w:rPr>
        <w:t xml:space="preserve"> </w:t>
      </w:r>
    </w:p>
  </w:footnote>
  <w:footnote w:id="2">
    <w:p w14:paraId="75F68CD8" w14:textId="5E9F76B9" w:rsidR="009E236D" w:rsidRPr="00DB4436" w:rsidRDefault="009E236D" w:rsidP="00DB4436">
      <w:pPr>
        <w:pStyle w:val="Heading1"/>
        <w:spacing w:before="0" w:line="240" w:lineRule="auto"/>
        <w:ind w:right="-187"/>
        <w:rPr>
          <w:sz w:val="18"/>
          <w:szCs w:val="18"/>
        </w:rPr>
      </w:pPr>
      <w:r w:rsidRPr="00994513">
        <w:rPr>
          <w:rFonts w:asciiTheme="minorHAnsi" w:eastAsiaTheme="minorEastAsia" w:hAnsiTheme="minorHAnsi" w:cstheme="minorHAnsi"/>
          <w:b w:val="0"/>
          <w:color w:val="auto"/>
          <w:sz w:val="16"/>
          <w:szCs w:val="16"/>
          <w:vertAlign w:val="superscript"/>
        </w:rPr>
        <w:footnoteRef/>
      </w:r>
      <w:r w:rsidRPr="00994513">
        <w:rPr>
          <w:rFonts w:asciiTheme="minorHAnsi" w:eastAsiaTheme="minorEastAsia" w:hAnsiTheme="minorHAnsi" w:cstheme="minorHAnsi"/>
          <w:b w:val="0"/>
          <w:color w:val="auto"/>
          <w:sz w:val="16"/>
          <w:szCs w:val="16"/>
        </w:rPr>
        <w:t xml:space="preserve"> RMIT University. </w:t>
      </w:r>
      <w:r w:rsidRPr="00994513">
        <w:rPr>
          <w:rFonts w:asciiTheme="minorHAnsi" w:eastAsiaTheme="minorEastAsia" w:hAnsiTheme="minorHAnsi" w:cstheme="minorHAnsi"/>
          <w:b w:val="0"/>
          <w:iCs/>
          <w:color w:val="auto"/>
          <w:sz w:val="16"/>
          <w:szCs w:val="16"/>
        </w:rPr>
        <w:t xml:space="preserve">(2018) </w:t>
      </w:r>
      <w:hyperlink r:id="rId2" w:history="1">
        <w:r w:rsidRPr="00813786">
          <w:rPr>
            <w:rStyle w:val="Hyperlink"/>
            <w:rFonts w:asciiTheme="minorHAnsi" w:eastAsiaTheme="minorEastAsia" w:hAnsiTheme="minorHAnsi" w:cstheme="minorHAnsi"/>
            <w:b w:val="0"/>
            <w:i/>
            <w:sz w:val="16"/>
            <w:szCs w:val="16"/>
          </w:rPr>
          <w:t>Fact check: Do Australian taxpayers subsidise over half the cost of each student's higher education</w:t>
        </w:r>
        <w:r w:rsidRPr="00813786">
          <w:rPr>
            <w:rStyle w:val="Hyperlink"/>
            <w:rFonts w:asciiTheme="minorHAnsi" w:eastAsiaTheme="minorEastAsia" w:hAnsiTheme="minorHAnsi" w:cstheme="minorHAnsi"/>
            <w:b w:val="0"/>
            <w:sz w:val="16"/>
            <w:szCs w:val="16"/>
          </w:rPr>
          <w:t>?</w:t>
        </w:r>
      </w:hyperlink>
      <w:r w:rsidRPr="00994513">
        <w:rPr>
          <w:rFonts w:asciiTheme="minorHAnsi" w:eastAsiaTheme="minorEastAsia" w:hAnsiTheme="minorHAnsi" w:cstheme="minorHAnsi"/>
          <w:b w:val="0"/>
          <w:iCs/>
          <w:color w:val="auto"/>
          <w:sz w:val="16"/>
          <w:szCs w:val="16"/>
        </w:rPr>
        <w:t xml:space="preserve"> </w:t>
      </w:r>
    </w:p>
  </w:footnote>
  <w:footnote w:id="3">
    <w:p w14:paraId="4C2707F1" w14:textId="6CA01EC4" w:rsidR="009910D7" w:rsidRDefault="009910D7">
      <w:pPr>
        <w:pStyle w:val="FootnoteText"/>
      </w:pPr>
    </w:p>
  </w:footnote>
  <w:footnote w:id="4">
    <w:p w14:paraId="0E863A99" w14:textId="390CC412" w:rsidR="009E236D" w:rsidRPr="00994513" w:rsidRDefault="009E236D" w:rsidP="009E236D">
      <w:pPr>
        <w:pStyle w:val="FootnoteText"/>
        <w:rPr>
          <w:sz w:val="16"/>
          <w:szCs w:val="16"/>
        </w:rPr>
      </w:pPr>
      <w:r w:rsidRPr="00994513">
        <w:rPr>
          <w:rStyle w:val="FootnoteReference"/>
          <w:sz w:val="16"/>
          <w:szCs w:val="16"/>
        </w:rPr>
        <w:footnoteRef/>
      </w:r>
      <w:r w:rsidRPr="00994513">
        <w:rPr>
          <w:sz w:val="16"/>
          <w:szCs w:val="16"/>
        </w:rPr>
        <w:t xml:space="preserve"> </w:t>
      </w:r>
      <w:r w:rsidRPr="00994513">
        <w:rPr>
          <w:rFonts w:cstheme="minorHAnsi"/>
          <w:sz w:val="16"/>
          <w:szCs w:val="16"/>
        </w:rPr>
        <w:t>A</w:t>
      </w:r>
      <w:r w:rsidR="00617B4D">
        <w:rPr>
          <w:rFonts w:cstheme="minorHAnsi"/>
          <w:sz w:val="16"/>
          <w:szCs w:val="16"/>
        </w:rPr>
        <w:t>BS (A</w:t>
      </w:r>
      <w:r w:rsidRPr="00994513">
        <w:rPr>
          <w:rFonts w:cstheme="minorHAnsi"/>
          <w:sz w:val="16"/>
          <w:szCs w:val="16"/>
        </w:rPr>
        <w:t>ustralian Bureau of Statistics</w:t>
      </w:r>
      <w:r w:rsidR="00617B4D">
        <w:rPr>
          <w:rFonts w:cstheme="minorHAnsi"/>
          <w:sz w:val="16"/>
          <w:szCs w:val="16"/>
        </w:rPr>
        <w:t>)</w:t>
      </w:r>
      <w:r w:rsidRPr="00994513">
        <w:rPr>
          <w:rFonts w:cstheme="minorHAnsi"/>
          <w:i/>
          <w:sz w:val="16"/>
          <w:szCs w:val="16"/>
        </w:rPr>
        <w:t xml:space="preserve"> </w:t>
      </w:r>
      <w:hyperlink r:id="rId3" w:history="1">
        <w:r w:rsidRPr="00617B4D">
          <w:rPr>
            <w:rStyle w:val="Hyperlink"/>
            <w:rFonts w:cstheme="minorHAnsi"/>
            <w:i/>
            <w:sz w:val="16"/>
            <w:szCs w:val="16"/>
          </w:rPr>
          <w:t>Multi-Agency Data Integration Project (MADIP)</w:t>
        </w:r>
      </w:hyperlink>
      <w:r w:rsidR="00617B4D">
        <w:rPr>
          <w:sz w:val="16"/>
          <w:szCs w:val="16"/>
        </w:rPr>
        <w:t xml:space="preserve">, ABS, </w:t>
      </w:r>
      <w:r w:rsidRPr="00994513">
        <w:rPr>
          <w:sz w:val="16"/>
          <w:szCs w:val="16"/>
        </w:rPr>
        <w:t>Accessed 09/07/2020</w:t>
      </w:r>
      <w:r w:rsidR="00617B4D">
        <w:rPr>
          <w:sz w:val="16"/>
          <w:szCs w:val="16"/>
        </w:rPr>
        <w:t>.</w:t>
      </w:r>
    </w:p>
  </w:footnote>
  <w:footnote w:id="5">
    <w:p w14:paraId="4E82CA6F" w14:textId="5AA12BAD" w:rsidR="009E236D" w:rsidRPr="00994513" w:rsidRDefault="009E236D" w:rsidP="009E236D">
      <w:pPr>
        <w:pStyle w:val="FootnoteText"/>
        <w:rPr>
          <w:sz w:val="16"/>
          <w:szCs w:val="16"/>
        </w:rPr>
      </w:pPr>
      <w:r w:rsidRPr="00994513">
        <w:rPr>
          <w:rStyle w:val="FootnoteReference"/>
          <w:sz w:val="16"/>
          <w:szCs w:val="16"/>
        </w:rPr>
        <w:footnoteRef/>
      </w:r>
      <w:r w:rsidRPr="00994513">
        <w:rPr>
          <w:sz w:val="16"/>
          <w:szCs w:val="16"/>
        </w:rPr>
        <w:t xml:space="preserve"> </w:t>
      </w:r>
      <w:r w:rsidR="00617B4D">
        <w:rPr>
          <w:sz w:val="16"/>
          <w:szCs w:val="16"/>
        </w:rPr>
        <w:t>DESE (</w:t>
      </w:r>
      <w:r w:rsidRPr="00994513">
        <w:rPr>
          <w:sz w:val="16"/>
          <w:szCs w:val="16"/>
        </w:rPr>
        <w:t>Australian Government Department of Education, Skills and Employment</w:t>
      </w:r>
      <w:r w:rsidR="00617B4D">
        <w:rPr>
          <w:sz w:val="16"/>
          <w:szCs w:val="16"/>
        </w:rPr>
        <w:t>)</w:t>
      </w:r>
      <w:r w:rsidRPr="00994513">
        <w:rPr>
          <w:sz w:val="16"/>
          <w:szCs w:val="16"/>
        </w:rPr>
        <w:t xml:space="preserve"> </w:t>
      </w:r>
      <w:hyperlink r:id="rId4" w:history="1">
        <w:r w:rsidRPr="00617B4D">
          <w:rPr>
            <w:rStyle w:val="Hyperlink"/>
            <w:i/>
            <w:iCs/>
            <w:sz w:val="16"/>
            <w:szCs w:val="16"/>
          </w:rPr>
          <w:t>Completion rates – cohort analyses</w:t>
        </w:r>
      </w:hyperlink>
      <w:r w:rsidR="00617B4D">
        <w:rPr>
          <w:i/>
          <w:iCs/>
          <w:sz w:val="16"/>
          <w:szCs w:val="16"/>
        </w:rPr>
        <w:t xml:space="preserve">, </w:t>
      </w:r>
      <w:r w:rsidR="00617B4D" w:rsidRPr="00617B4D">
        <w:rPr>
          <w:sz w:val="16"/>
          <w:szCs w:val="16"/>
        </w:rPr>
        <w:t>DESE,</w:t>
      </w:r>
      <w:r w:rsidRPr="00617B4D">
        <w:rPr>
          <w:sz w:val="16"/>
          <w:szCs w:val="16"/>
        </w:rPr>
        <w:t xml:space="preserve"> </w:t>
      </w:r>
      <w:r w:rsidRPr="00994513">
        <w:rPr>
          <w:sz w:val="16"/>
          <w:szCs w:val="16"/>
        </w:rPr>
        <w:t>Accessed 09/07/2020</w:t>
      </w:r>
      <w:r w:rsidR="00617B4D">
        <w:rPr>
          <w:sz w:val="16"/>
          <w:szCs w:val="16"/>
        </w:rPr>
        <w:t>.</w:t>
      </w:r>
    </w:p>
  </w:footnote>
  <w:footnote w:id="6">
    <w:p w14:paraId="0A9CEFC6" w14:textId="74157618" w:rsidR="009E236D" w:rsidRPr="00994513" w:rsidRDefault="009E236D" w:rsidP="009E236D">
      <w:pPr>
        <w:pStyle w:val="FootnoteText"/>
        <w:rPr>
          <w:rFonts w:cstheme="minorHAnsi"/>
          <w:sz w:val="16"/>
          <w:szCs w:val="16"/>
        </w:rPr>
      </w:pPr>
      <w:r w:rsidRPr="00994513">
        <w:rPr>
          <w:rStyle w:val="FootnoteReference"/>
          <w:sz w:val="16"/>
          <w:szCs w:val="16"/>
        </w:rPr>
        <w:footnoteRef/>
      </w:r>
      <w:r w:rsidRPr="00994513">
        <w:rPr>
          <w:sz w:val="16"/>
          <w:szCs w:val="16"/>
        </w:rPr>
        <w:t xml:space="preserve"> </w:t>
      </w:r>
      <w:r w:rsidRPr="00994513">
        <w:rPr>
          <w:rFonts w:cstheme="minorHAnsi"/>
          <w:sz w:val="16"/>
          <w:szCs w:val="16"/>
          <w:shd w:val="clear" w:color="auto" w:fill="FFFFFF"/>
        </w:rPr>
        <w:t xml:space="preserve">Li I, Carroll D (2017) </w:t>
      </w:r>
      <w:r w:rsidRPr="00994513">
        <w:rPr>
          <w:rStyle w:val="Emphasis"/>
          <w:rFonts w:cstheme="minorHAnsi"/>
          <w:bCs/>
          <w:sz w:val="16"/>
          <w:szCs w:val="16"/>
          <w:bdr w:val="none" w:sz="0" w:space="0" w:color="auto" w:frame="1"/>
          <w:shd w:val="clear" w:color="auto" w:fill="FFFFFF"/>
        </w:rPr>
        <w:t>Factors influencing university student satisfaction, dropout and academic performance.</w:t>
      </w:r>
      <w:r w:rsidRPr="00994513">
        <w:rPr>
          <w:rStyle w:val="Emphasis"/>
          <w:rFonts w:cstheme="minorHAnsi"/>
          <w:sz w:val="16"/>
          <w:szCs w:val="16"/>
          <w:bdr w:val="none" w:sz="0" w:space="0" w:color="auto" w:frame="1"/>
          <w:shd w:val="clear" w:color="auto" w:fill="FFFFFF"/>
        </w:rPr>
        <w:t xml:space="preserve"> </w:t>
      </w:r>
      <w:r w:rsidRPr="00994513">
        <w:rPr>
          <w:rFonts w:cstheme="minorHAnsi"/>
          <w:sz w:val="16"/>
          <w:szCs w:val="16"/>
          <w:shd w:val="clear" w:color="auto" w:fill="FFFFFF"/>
        </w:rPr>
        <w:t>National Centre for Student Equity in Higher Education. Curtin University: </w:t>
      </w:r>
      <w:r w:rsidRPr="00994513">
        <w:rPr>
          <w:rFonts w:cstheme="minorHAnsi"/>
          <w:sz w:val="16"/>
          <w:szCs w:val="16"/>
          <w:bdr w:val="none" w:sz="0" w:space="0" w:color="auto" w:frame="1"/>
          <w:shd w:val="clear" w:color="auto" w:fill="FFFFFF"/>
        </w:rPr>
        <w:t xml:space="preserve">Perth. </w:t>
      </w:r>
    </w:p>
  </w:footnote>
  <w:footnote w:id="7">
    <w:p w14:paraId="41A7448A" w14:textId="76606649" w:rsidR="009E236D" w:rsidRPr="00994513" w:rsidRDefault="009E236D" w:rsidP="009E236D">
      <w:pPr>
        <w:pStyle w:val="FootnoteText"/>
        <w:rPr>
          <w:rFonts w:cstheme="minorHAnsi"/>
          <w:sz w:val="16"/>
          <w:szCs w:val="16"/>
        </w:rPr>
      </w:pPr>
      <w:r w:rsidRPr="00994513">
        <w:rPr>
          <w:rStyle w:val="FootnoteReference"/>
          <w:rFonts w:cstheme="minorHAnsi"/>
          <w:sz w:val="16"/>
          <w:szCs w:val="16"/>
        </w:rPr>
        <w:footnoteRef/>
      </w:r>
      <w:r w:rsidRPr="00994513">
        <w:rPr>
          <w:rFonts w:cstheme="minorHAnsi"/>
          <w:sz w:val="16"/>
          <w:szCs w:val="16"/>
        </w:rPr>
        <w:t xml:space="preserve"> </w:t>
      </w:r>
      <w:proofErr w:type="spellStart"/>
      <w:r w:rsidRPr="00994513">
        <w:rPr>
          <w:rFonts w:cstheme="minorHAnsi"/>
          <w:sz w:val="16"/>
          <w:szCs w:val="16"/>
        </w:rPr>
        <w:t>Cherastidtham</w:t>
      </w:r>
      <w:proofErr w:type="spellEnd"/>
      <w:r w:rsidRPr="00994513">
        <w:rPr>
          <w:rFonts w:cstheme="minorHAnsi"/>
          <w:sz w:val="16"/>
          <w:szCs w:val="16"/>
        </w:rPr>
        <w:t xml:space="preserve"> I, Norton A (2018) </w:t>
      </w:r>
      <w:r w:rsidRPr="00994513">
        <w:rPr>
          <w:rFonts w:cstheme="minorHAnsi"/>
          <w:i/>
          <w:sz w:val="16"/>
          <w:szCs w:val="16"/>
        </w:rPr>
        <w:t>University attrition: What helps and what hinders university completion?</w:t>
      </w:r>
      <w:r w:rsidRPr="00994513">
        <w:rPr>
          <w:rFonts w:cstheme="minorHAnsi"/>
          <w:sz w:val="16"/>
          <w:szCs w:val="16"/>
        </w:rPr>
        <w:t xml:space="preserve"> Grattan Institute </w:t>
      </w:r>
    </w:p>
  </w:footnote>
  <w:footnote w:id="8">
    <w:p w14:paraId="48FD3228" w14:textId="6B40EA30" w:rsidR="009E236D" w:rsidRPr="00994513" w:rsidRDefault="009E236D" w:rsidP="009E236D">
      <w:pPr>
        <w:rPr>
          <w:sz w:val="16"/>
          <w:szCs w:val="16"/>
        </w:rPr>
      </w:pPr>
      <w:r w:rsidRPr="00994513">
        <w:rPr>
          <w:rStyle w:val="FootnoteReference"/>
          <w:sz w:val="16"/>
          <w:szCs w:val="16"/>
        </w:rPr>
        <w:footnoteRef/>
      </w:r>
      <w:r w:rsidRPr="00994513">
        <w:rPr>
          <w:sz w:val="16"/>
          <w:szCs w:val="16"/>
        </w:rPr>
        <w:t xml:space="preserve"> </w:t>
      </w:r>
      <w:r w:rsidRPr="00994513">
        <w:rPr>
          <w:rFonts w:cstheme="minorHAnsi"/>
          <w:sz w:val="16"/>
          <w:szCs w:val="16"/>
        </w:rPr>
        <w:t xml:space="preserve">Edwards D, McMillan J (2015) </w:t>
      </w:r>
      <w:r w:rsidRPr="00994513">
        <w:rPr>
          <w:rFonts w:cstheme="minorHAnsi"/>
          <w:i/>
          <w:sz w:val="16"/>
          <w:szCs w:val="16"/>
        </w:rPr>
        <w:t>Completing University in a growing sector: Is equity an issue?</w:t>
      </w:r>
      <w:r w:rsidRPr="00994513">
        <w:rPr>
          <w:rFonts w:cstheme="minorHAnsi"/>
          <w:sz w:val="16"/>
          <w:szCs w:val="16"/>
        </w:rPr>
        <w:t xml:space="preserve"> ACER.</w:t>
      </w:r>
    </w:p>
    <w:p w14:paraId="347A0212" w14:textId="77777777" w:rsidR="009E236D" w:rsidRDefault="009E236D" w:rsidP="009E236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5C9C2" w14:textId="78F8C7D9" w:rsidR="005353B6" w:rsidRDefault="005353B6">
    <w:pPr>
      <w:pStyle w:val="Header"/>
    </w:pPr>
    <w:r>
      <w:ptab w:relativeTo="margin" w:alignment="right" w:leader="none"/>
    </w:r>
    <w:r w:rsidR="00E04EF8">
      <w:t>Completing Higher Education</w:t>
    </w:r>
    <w:r>
      <w:t xml:space="preserve"> – </w:t>
    </w:r>
    <w:r w:rsidR="009E236D">
      <w:t>Introduction</w:t>
    </w:r>
  </w:p>
  <w:p w14:paraId="1059BFCB" w14:textId="77777777" w:rsidR="005353B6" w:rsidRDefault="005353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E1AF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0CE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0AAF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5A08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906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EE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B217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C85E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FBA5C77"/>
    <w:multiLevelType w:val="multilevel"/>
    <w:tmpl w:val="FF4E1B02"/>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CB15D2B"/>
    <w:multiLevelType w:val="hybridMultilevel"/>
    <w:tmpl w:val="3372E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A930EB"/>
    <w:multiLevelType w:val="hybridMultilevel"/>
    <w:tmpl w:val="2D660ED2"/>
    <w:lvl w:ilvl="0" w:tplc="0C090001">
      <w:start w:val="1"/>
      <w:numFmt w:val="bullet"/>
      <w:lvlText w:val=""/>
      <w:lvlJc w:val="left"/>
      <w:pPr>
        <w:ind w:left="1070" w:hanging="360"/>
      </w:pPr>
      <w:rPr>
        <w:rFonts w:ascii="Symbol" w:hAnsi="Symbol" w:hint="default"/>
        <w:u w:val="none"/>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1">
      <w:start w:val="1"/>
      <w:numFmt w:val="bullet"/>
      <w:lvlText w:val=""/>
      <w:lvlJc w:val="left"/>
      <w:pPr>
        <w:ind w:left="2880" w:hanging="360"/>
      </w:pPr>
      <w:rPr>
        <w:rFonts w:ascii="Symbol" w:hAnsi="Symbol"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4"/>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521"/>
    <w:rsid w:val="00040993"/>
    <w:rsid w:val="000458D4"/>
    <w:rsid w:val="00052BBC"/>
    <w:rsid w:val="000A453D"/>
    <w:rsid w:val="000B1BA5"/>
    <w:rsid w:val="000D4655"/>
    <w:rsid w:val="001256F3"/>
    <w:rsid w:val="00143B8F"/>
    <w:rsid w:val="0014788E"/>
    <w:rsid w:val="00157F35"/>
    <w:rsid w:val="00177121"/>
    <w:rsid w:val="00217EAB"/>
    <w:rsid w:val="0022498C"/>
    <w:rsid w:val="002724D0"/>
    <w:rsid w:val="00291979"/>
    <w:rsid w:val="002A7840"/>
    <w:rsid w:val="002B1CE5"/>
    <w:rsid w:val="002B3526"/>
    <w:rsid w:val="002C078D"/>
    <w:rsid w:val="002F17A2"/>
    <w:rsid w:val="002F4DB3"/>
    <w:rsid w:val="00350FFA"/>
    <w:rsid w:val="00382F07"/>
    <w:rsid w:val="003E5721"/>
    <w:rsid w:val="00414677"/>
    <w:rsid w:val="004224F4"/>
    <w:rsid w:val="00432409"/>
    <w:rsid w:val="00433662"/>
    <w:rsid w:val="0045157A"/>
    <w:rsid w:val="00453C04"/>
    <w:rsid w:val="00457645"/>
    <w:rsid w:val="00495D49"/>
    <w:rsid w:val="00497764"/>
    <w:rsid w:val="004C3B91"/>
    <w:rsid w:val="0051352E"/>
    <w:rsid w:val="00517DA7"/>
    <w:rsid w:val="00520A33"/>
    <w:rsid w:val="00527AE4"/>
    <w:rsid w:val="005353B6"/>
    <w:rsid w:val="00554EC5"/>
    <w:rsid w:val="0055569D"/>
    <w:rsid w:val="005740F5"/>
    <w:rsid w:val="005D7CE7"/>
    <w:rsid w:val="005E1C83"/>
    <w:rsid w:val="00610A38"/>
    <w:rsid w:val="00615FF8"/>
    <w:rsid w:val="00617B4D"/>
    <w:rsid w:val="00630DDF"/>
    <w:rsid w:val="00683680"/>
    <w:rsid w:val="0069759D"/>
    <w:rsid w:val="006E5D6E"/>
    <w:rsid w:val="00705A17"/>
    <w:rsid w:val="00721B03"/>
    <w:rsid w:val="007570DC"/>
    <w:rsid w:val="007B1ABA"/>
    <w:rsid w:val="007B416F"/>
    <w:rsid w:val="007B74C5"/>
    <w:rsid w:val="007F32F1"/>
    <w:rsid w:val="00813786"/>
    <w:rsid w:val="00816184"/>
    <w:rsid w:val="008507C1"/>
    <w:rsid w:val="00861934"/>
    <w:rsid w:val="0087524A"/>
    <w:rsid w:val="00896E60"/>
    <w:rsid w:val="008A7D01"/>
    <w:rsid w:val="008E44A3"/>
    <w:rsid w:val="008F0AC9"/>
    <w:rsid w:val="008F301E"/>
    <w:rsid w:val="0093473D"/>
    <w:rsid w:val="00944ECC"/>
    <w:rsid w:val="0095641F"/>
    <w:rsid w:val="00972F57"/>
    <w:rsid w:val="009772F4"/>
    <w:rsid w:val="009910D7"/>
    <w:rsid w:val="00994513"/>
    <w:rsid w:val="009950AF"/>
    <w:rsid w:val="00995280"/>
    <w:rsid w:val="009B5166"/>
    <w:rsid w:val="009E236D"/>
    <w:rsid w:val="00A24E6E"/>
    <w:rsid w:val="00A41AE0"/>
    <w:rsid w:val="00A43694"/>
    <w:rsid w:val="00A56FC7"/>
    <w:rsid w:val="00A668BF"/>
    <w:rsid w:val="00A72575"/>
    <w:rsid w:val="00A74071"/>
    <w:rsid w:val="00A754E4"/>
    <w:rsid w:val="00A76D77"/>
    <w:rsid w:val="00A90C5E"/>
    <w:rsid w:val="00AA124A"/>
    <w:rsid w:val="00AA2A96"/>
    <w:rsid w:val="00B100CC"/>
    <w:rsid w:val="00B111CA"/>
    <w:rsid w:val="00B42213"/>
    <w:rsid w:val="00B45590"/>
    <w:rsid w:val="00B6689D"/>
    <w:rsid w:val="00B72368"/>
    <w:rsid w:val="00B8516F"/>
    <w:rsid w:val="00C01DB9"/>
    <w:rsid w:val="00C10521"/>
    <w:rsid w:val="00C13402"/>
    <w:rsid w:val="00C54D58"/>
    <w:rsid w:val="00C573E1"/>
    <w:rsid w:val="00C60222"/>
    <w:rsid w:val="00C6371F"/>
    <w:rsid w:val="00C736D3"/>
    <w:rsid w:val="00C95DF6"/>
    <w:rsid w:val="00CB3618"/>
    <w:rsid w:val="00CF4AA2"/>
    <w:rsid w:val="00DA1B7B"/>
    <w:rsid w:val="00DB4436"/>
    <w:rsid w:val="00DB79DF"/>
    <w:rsid w:val="00DD2835"/>
    <w:rsid w:val="00E04EF8"/>
    <w:rsid w:val="00E63F0B"/>
    <w:rsid w:val="00E85BFA"/>
    <w:rsid w:val="00E90D68"/>
    <w:rsid w:val="00E9526E"/>
    <w:rsid w:val="00EA125F"/>
    <w:rsid w:val="00EA32F7"/>
    <w:rsid w:val="00F049BE"/>
    <w:rsid w:val="00F22C4F"/>
    <w:rsid w:val="00F230CD"/>
    <w:rsid w:val="00F24F0D"/>
    <w:rsid w:val="00F51C18"/>
    <w:rsid w:val="00FA31E2"/>
    <w:rsid w:val="00FA5B13"/>
    <w:rsid w:val="00FC0A00"/>
    <w:rsid w:val="00FE0B48"/>
    <w:rsid w:val="00FE4B75"/>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279A7149"/>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5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aliases w:val="0Bullet,Body text,Bullet Point,Bullet point,Content descriptions,DDM Gen Text,Indented bullet,L,List Paragraph - bullets,List Paragraph Number,List Paragraph1,List Paragraph11,NFP GP Bulleted List,Recommendation,bullet point list"/>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B79DF"/>
    <w:rPr>
      <w:rFonts w:ascii="Segoe UI" w:hAnsi="Segoe UI" w:cs="Segoe UI"/>
      <w:sz w:val="18"/>
      <w:szCs w:val="18"/>
    </w:rPr>
  </w:style>
  <w:style w:type="character" w:styleId="Emphasis">
    <w:name w:val="Emphasis"/>
    <w:basedOn w:val="DefaultParagraphFont"/>
    <w:uiPriority w:val="20"/>
    <w:qFormat/>
    <w:rsid w:val="000D4655"/>
    <w:rPr>
      <w:i/>
      <w:iCs/>
    </w:rPr>
  </w:style>
  <w:style w:type="character" w:styleId="IntenseEmphasis">
    <w:name w:val="Intense Emphasis"/>
    <w:basedOn w:val="DefaultParagraphFont"/>
    <w:uiPriority w:val="21"/>
    <w:semiHidden/>
    <w:rsid w:val="000D4655"/>
    <w:rPr>
      <w:i/>
      <w:iCs/>
      <w:color w:val="002D3F" w:themeColor="accent1"/>
    </w:rPr>
  </w:style>
  <w:style w:type="paragraph" w:styleId="FootnoteText">
    <w:name w:val="footnote text"/>
    <w:basedOn w:val="Normal"/>
    <w:link w:val="FootnoteTextChar"/>
    <w:uiPriority w:val="99"/>
    <w:semiHidden/>
    <w:unhideWhenUsed/>
    <w:rsid w:val="00432409"/>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432409"/>
    <w:rPr>
      <w:rFonts w:eastAsiaTheme="minorEastAsia"/>
      <w:sz w:val="20"/>
      <w:szCs w:val="20"/>
    </w:rPr>
  </w:style>
  <w:style w:type="character" w:styleId="FootnoteReference">
    <w:name w:val="footnote reference"/>
    <w:basedOn w:val="DefaultParagraphFont"/>
    <w:uiPriority w:val="99"/>
    <w:semiHidden/>
    <w:unhideWhenUsed/>
    <w:rsid w:val="00432409"/>
    <w:rPr>
      <w:vertAlign w:val="superscript"/>
    </w:rPr>
  </w:style>
  <w:style w:type="paragraph" w:styleId="EndnoteText">
    <w:name w:val="endnote text"/>
    <w:basedOn w:val="Normal"/>
    <w:link w:val="EndnoteTextChar"/>
    <w:uiPriority w:val="99"/>
    <w:unhideWhenUsed/>
    <w:rsid w:val="00432409"/>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rsid w:val="00432409"/>
    <w:rPr>
      <w:rFonts w:eastAsiaTheme="minorEastAsia"/>
      <w:sz w:val="20"/>
      <w:szCs w:val="20"/>
    </w:rPr>
  </w:style>
  <w:style w:type="character" w:styleId="EndnoteReference">
    <w:name w:val="endnote reference"/>
    <w:basedOn w:val="DefaultParagraphFont"/>
    <w:uiPriority w:val="99"/>
    <w:semiHidden/>
    <w:unhideWhenUsed/>
    <w:rsid w:val="00432409"/>
    <w:rPr>
      <w:vertAlign w:val="superscript"/>
    </w:rPr>
  </w:style>
  <w:style w:type="paragraph" w:customStyle="1" w:styleId="FigureStyle">
    <w:name w:val="Figure Style"/>
    <w:basedOn w:val="Caption"/>
    <w:link w:val="FigureStyleChar"/>
    <w:qFormat/>
    <w:rsid w:val="00040993"/>
    <w:pPr>
      <w:keepNext/>
      <w:spacing w:before="200" w:after="0"/>
      <w:outlineLvl w:val="3"/>
    </w:pPr>
    <w:rPr>
      <w:rFonts w:ascii="Calibri" w:eastAsiaTheme="majorEastAsia" w:hAnsi="Calibri" w:cstheme="majorBidi"/>
      <w:bCs/>
      <w:szCs w:val="22"/>
    </w:rPr>
  </w:style>
  <w:style w:type="character" w:customStyle="1" w:styleId="FigureStyleChar">
    <w:name w:val="Figure Style Char"/>
    <w:basedOn w:val="DefaultParagraphFont"/>
    <w:link w:val="FigureStyle"/>
    <w:rsid w:val="00040993"/>
    <w:rPr>
      <w:rFonts w:ascii="Calibri" w:eastAsiaTheme="majorEastAsia" w:hAnsi="Calibri" w:cstheme="majorBidi"/>
      <w:b/>
      <w:bCs/>
      <w:iCs/>
    </w:rPr>
  </w:style>
  <w:style w:type="table" w:styleId="GridTable2-Accent2">
    <w:name w:val="Grid Table 2 Accent 2"/>
    <w:basedOn w:val="TableNormal"/>
    <w:uiPriority w:val="47"/>
    <w:rsid w:val="00040993"/>
    <w:pPr>
      <w:spacing w:after="0" w:line="240" w:lineRule="auto"/>
    </w:pPr>
    <w:rPr>
      <w:rFonts w:eastAsiaTheme="minorEastAsia"/>
    </w:rPr>
    <w:tblPr>
      <w:tblStyleRowBandSize w:val="1"/>
      <w:tblStyleColBandSize w:val="1"/>
      <w:tblBorders>
        <w:top w:val="single" w:sz="2" w:space="0" w:color="F7A07A" w:themeColor="accent2" w:themeTint="99"/>
        <w:bottom w:val="single" w:sz="2" w:space="0" w:color="F7A07A" w:themeColor="accent2" w:themeTint="99"/>
        <w:insideH w:val="single" w:sz="2" w:space="0" w:color="F7A07A" w:themeColor="accent2" w:themeTint="99"/>
        <w:insideV w:val="single" w:sz="2" w:space="0" w:color="F7A07A" w:themeColor="accent2" w:themeTint="99"/>
      </w:tblBorders>
    </w:tblPr>
    <w:tblStylePr w:type="firstRow">
      <w:rPr>
        <w:b/>
        <w:bCs/>
      </w:rPr>
      <w:tblPr/>
      <w:tcPr>
        <w:tcBorders>
          <w:top w:val="nil"/>
          <w:bottom w:val="single" w:sz="12" w:space="0" w:color="F7A07A" w:themeColor="accent2" w:themeTint="99"/>
          <w:insideH w:val="nil"/>
          <w:insideV w:val="nil"/>
        </w:tcBorders>
        <w:shd w:val="clear" w:color="auto" w:fill="FFFFFF" w:themeFill="background1"/>
      </w:tcPr>
    </w:tblStylePr>
    <w:tblStylePr w:type="lastRow">
      <w:rPr>
        <w:b/>
        <w:bCs/>
      </w:rPr>
      <w:tblPr/>
      <w:tcPr>
        <w:tcBorders>
          <w:top w:val="double" w:sz="2" w:space="0" w:color="F7A0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D2" w:themeFill="accent2" w:themeFillTint="33"/>
      </w:tcPr>
    </w:tblStylePr>
    <w:tblStylePr w:type="band1Horz">
      <w:tblPr/>
      <w:tcPr>
        <w:shd w:val="clear" w:color="auto" w:fill="FCDFD2" w:themeFill="accent2" w:themeFillTint="33"/>
      </w:tcPr>
    </w:tblStylePr>
  </w:style>
  <w:style w:type="table" w:customStyle="1" w:styleId="table1">
    <w:name w:val="table1"/>
    <w:basedOn w:val="TableNormal"/>
    <w:uiPriority w:val="99"/>
    <w:rsid w:val="00F24F0D"/>
    <w:pPr>
      <w:spacing w:after="0" w:line="240" w:lineRule="auto"/>
    </w:pPr>
    <w:tblPr>
      <w:tblStyleRowBandSize w:val="1"/>
    </w:tblPr>
    <w:tblStylePr w:type="firstRow">
      <w:rPr>
        <w:color w:val="FFFFFF" w:themeColor="background1"/>
      </w:rPr>
      <w:tblPr/>
      <w:tcPr>
        <w:shd w:val="clear" w:color="auto" w:fill="287DB2"/>
      </w:tcPr>
    </w:tblStylePr>
    <w:tblStylePr w:type="band1Horz">
      <w:tblPr/>
      <w:tcPr>
        <w:shd w:val="clear" w:color="auto" w:fill="7BBAE1"/>
      </w:tcPr>
    </w:tblStylePr>
  </w:style>
  <w:style w:type="paragraph" w:styleId="Revision">
    <w:name w:val="Revision"/>
    <w:hidden/>
    <w:uiPriority w:val="99"/>
    <w:semiHidden/>
    <w:rsid w:val="00433662"/>
    <w:pPr>
      <w:spacing w:after="0" w:line="240" w:lineRule="auto"/>
    </w:pPr>
  </w:style>
  <w:style w:type="paragraph" w:styleId="ListNumber2">
    <w:name w:val="List Number 2"/>
    <w:basedOn w:val="Normal"/>
    <w:uiPriority w:val="99"/>
    <w:unhideWhenUsed/>
    <w:rsid w:val="009E236D"/>
    <w:pPr>
      <w:tabs>
        <w:tab w:val="left" w:pos="1134"/>
      </w:tabs>
      <w:spacing w:after="120"/>
      <w:ind w:left="936" w:hanging="567"/>
      <w:contextualSpacing/>
    </w:pPr>
    <w:rPr>
      <w:rFonts w:eastAsiaTheme="minorEastAsia"/>
    </w:rPr>
  </w:style>
  <w:style w:type="paragraph" w:styleId="ListNumber3">
    <w:name w:val="List Number 3"/>
    <w:basedOn w:val="Normal"/>
    <w:uiPriority w:val="99"/>
    <w:unhideWhenUsed/>
    <w:rsid w:val="009E236D"/>
    <w:pPr>
      <w:spacing w:after="120"/>
      <w:ind w:left="1701" w:hanging="765"/>
      <w:contextualSpacing/>
    </w:pPr>
    <w:rPr>
      <w:rFonts w:eastAsiaTheme="minorEastAsia"/>
    </w:rPr>
  </w:style>
  <w:style w:type="paragraph" w:styleId="ListNumber4">
    <w:name w:val="List Number 4"/>
    <w:basedOn w:val="Normal"/>
    <w:uiPriority w:val="99"/>
    <w:unhideWhenUsed/>
    <w:rsid w:val="009E236D"/>
    <w:pPr>
      <w:spacing w:after="120"/>
      <w:ind w:left="2637" w:hanging="936"/>
      <w:contextualSpacing/>
    </w:pPr>
    <w:rPr>
      <w:rFonts w:eastAsiaTheme="minorEastAsia"/>
    </w:rPr>
  </w:style>
  <w:style w:type="character" w:customStyle="1" w:styleId="ListParagraphChar">
    <w:name w:val="List Paragraph Char"/>
    <w:aliases w:val="0Bullet Char,Body text Char,Bullet Point Char,Bullet point Char,Content descriptions Char,DDM Gen Text Char,Indented bullet Char,L Char,List Paragraph - bullets Char,List Paragraph Number Char,List Paragraph1 Char,Recommendation Char"/>
    <w:basedOn w:val="DefaultParagraphFont"/>
    <w:link w:val="ListParagraph"/>
    <w:uiPriority w:val="34"/>
    <w:qFormat/>
    <w:rsid w:val="009E236D"/>
  </w:style>
  <w:style w:type="character" w:styleId="FollowedHyperlink">
    <w:name w:val="FollowedHyperlink"/>
    <w:basedOn w:val="DefaultParagraphFont"/>
    <w:uiPriority w:val="99"/>
    <w:semiHidden/>
    <w:unhideWhenUsed/>
    <w:rsid w:val="009E236D"/>
    <w:rPr>
      <w:color w:val="002D3F" w:themeColor="followedHyperlink"/>
      <w:u w:val="single"/>
    </w:rPr>
  </w:style>
  <w:style w:type="character" w:styleId="UnresolvedMention">
    <w:name w:val="Unresolved Mention"/>
    <w:basedOn w:val="DefaultParagraphFont"/>
    <w:uiPriority w:val="99"/>
    <w:semiHidden/>
    <w:unhideWhenUsed/>
    <w:rsid w:val="00DB4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hyperlink" Target="https://www.education.gov.au/transitions-mental-health" TargetMode="External"/><Relationship Id="rId3" Type="http://schemas.openxmlformats.org/officeDocument/2006/relationships/customXml" Target="../customXml/item3.xml"/><Relationship Id="rId21" Type="http://schemas.openxmlformats.org/officeDocument/2006/relationships/hyperlink" Target="https://www.education.gov.au/transitions-indigenou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ducation.gov.au/transitions-disability" TargetMode="External"/><Relationship Id="rId2" Type="http://schemas.openxmlformats.org/officeDocument/2006/relationships/customXml" Target="../customXml/item2.xml"/><Relationship Id="rId16" Type="http://schemas.openxmlformats.org/officeDocument/2006/relationships/hyperlink" Target="https://www.education.gov.au/transitions-work-study" TargetMode="External"/><Relationship Id="rId20" Type="http://schemas.openxmlformats.org/officeDocument/2006/relationships/hyperlink" Target="https://www.education.gov.au/transitions-study-assist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ducation.gov.au/transitions-predict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ducation.gov.au/transitions-gap-yea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education.gov.au/transitions-equit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websitedbs/d3310114.nsf/home/statistical+data+integration+-+madip" TargetMode="External"/><Relationship Id="rId2" Type="http://schemas.openxmlformats.org/officeDocument/2006/relationships/hyperlink" Target="https://www.abc.net.au/news/2017-06-14/fact-check-do-taxpayers-subsidise-over-half-higher-education/8605406" TargetMode="External"/><Relationship Id="rId1" Type="http://schemas.openxmlformats.org/officeDocument/2006/relationships/hyperlink" Target="https://www.education.gov.au/benefits-educational-attainment" TargetMode="External"/><Relationship Id="rId4" Type="http://schemas.openxmlformats.org/officeDocument/2006/relationships/hyperlink" Target="https://www.education.gov.au/completion-rates-cohort-analy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rodapp.application.enet\OfficeTemplates\DESE\Factsheet%20Template.dotx"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D6226-3EAF-46C5-B0F2-A2410F074527}">
  <ds:schemaRefs>
    <ds:schemaRef ds:uri="http://purl.org/dc/terms/"/>
    <ds:schemaRef ds:uri="http://purl.org/dc/elements/1.1/"/>
    <ds:schemaRef ds:uri="http://schemas.microsoft.com/office/2006/documentManagement/types"/>
    <ds:schemaRef ds:uri="http://www.w3.org/XML/1998/namespace"/>
    <ds:schemaRef ds:uri="e72c3662-d489-4d5c-a678-b18c0e8aeb72"/>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93F9CC-2584-4B81-8011-3535C250E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 Template.dotx</Template>
  <TotalTime>0</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
  <cp:keywords/>
  <dc:description/>
  <cp:lastModifiedBy/>
  <cp:revision>1</cp:revision>
  <dcterms:created xsi:type="dcterms:W3CDTF">2020-07-09T01:56:00Z</dcterms:created>
  <dcterms:modified xsi:type="dcterms:W3CDTF">2020-08-27T03:29:00Z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ies>
</file>