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D3008F" w14:textId="77777777" w:rsidR="00A668BF" w:rsidRDefault="00C60222" w:rsidP="00414677">
      <w:pPr>
        <w:ind w:left="709"/>
        <w:sectPr w:rsidR="00A668BF" w:rsidSect="002A7840">
          <w:headerReference w:type="default" r:id="rId11"/>
          <w:type w:val="continuous"/>
          <w:pgSz w:w="11906" w:h="16838"/>
          <w:pgMar w:top="567" w:right="720" w:bottom="720" w:left="720" w:header="708" w:footer="708" w:gutter="0"/>
          <w:cols w:space="708"/>
          <w:docGrid w:linePitch="360"/>
        </w:sectPr>
      </w:pPr>
      <w:r w:rsidRPr="00A668BF">
        <w:rPr>
          <w:noProof/>
        </w:rPr>
        <w:drawing>
          <wp:anchor distT="0" distB="0" distL="114300" distR="114300" simplePos="0" relativeHeight="251658240" behindDoc="1" locked="1" layoutInCell="1" allowOverlap="1" wp14:anchorId="3ECD5371" wp14:editId="6606FE46">
            <wp:simplePos x="0" y="0"/>
            <wp:positionH relativeFrom="column">
              <wp:posOffset>-476250</wp:posOffset>
            </wp:positionH>
            <wp:positionV relativeFrom="page">
              <wp:posOffset>-25400</wp:posOffset>
            </wp:positionV>
            <wp:extent cx="7592400" cy="2167200"/>
            <wp:effectExtent l="0" t="0" r="0" b="5080"/>
            <wp:wrapNone/>
            <wp:docPr id="7" name="Picture 7" descr="Decorativ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2"/>
                    <a:stretch>
                      <a:fillRect/>
                    </a:stretch>
                  </pic:blipFill>
                  <pic:spPr bwMode="auto">
                    <a:xfrm>
                      <a:off x="0" y="0"/>
                      <a:ext cx="7592400" cy="216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668BF">
        <w:rPr>
          <w:noProof/>
        </w:rPr>
        <w:drawing>
          <wp:inline distT="0" distB="0" distL="0" distR="0" wp14:anchorId="3555B6AC" wp14:editId="344DA5E6">
            <wp:extent cx="2331725" cy="716281"/>
            <wp:effectExtent l="0" t="0" r="0" b="7620"/>
            <wp:docPr id="1" name="Picture 1" descr="Australian Government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t Education, Skills and Employment_Inline_Rev.png"/>
                    <pic:cNvPicPr/>
                  </pic:nvPicPr>
                  <pic:blipFill>
                    <a:blip r:embed="rId13"/>
                    <a:stretch>
                      <a:fillRect/>
                    </a:stretch>
                  </pic:blipFill>
                  <pic:spPr>
                    <a:xfrm>
                      <a:off x="0" y="0"/>
                      <a:ext cx="2331725" cy="716281"/>
                    </a:xfrm>
                    <a:prstGeom prst="rect">
                      <a:avLst/>
                    </a:prstGeom>
                  </pic:spPr>
                </pic:pic>
              </a:graphicData>
            </a:graphic>
          </wp:inline>
        </w:drawing>
      </w:r>
    </w:p>
    <w:p w14:paraId="25C955BA" w14:textId="69D62A6D" w:rsidR="002B1CE5" w:rsidRPr="00A668BF" w:rsidRDefault="007B70A8" w:rsidP="00610A38">
      <w:pPr>
        <w:pStyle w:val="Title"/>
      </w:pPr>
      <w:r>
        <w:t>Completing Higher Education</w:t>
      </w:r>
    </w:p>
    <w:p w14:paraId="37EA8A00" w14:textId="0C3FCCBE" w:rsidR="002B1CE5" w:rsidRDefault="004B371C" w:rsidP="002B1CE5">
      <w:pPr>
        <w:pStyle w:val="Subtitle"/>
      </w:pPr>
      <w:r>
        <w:t>Methodology</w:t>
      </w:r>
    </w:p>
    <w:p w14:paraId="6CACBAA6" w14:textId="3B292E18" w:rsidR="008709A8" w:rsidRPr="000D4655" w:rsidRDefault="008709A8" w:rsidP="00073FD9">
      <w:pPr>
        <w:pStyle w:val="BalloonText"/>
        <w:numPr>
          <w:ilvl w:val="0"/>
          <w:numId w:val="32"/>
        </w:numPr>
        <w:shd w:val="clear" w:color="auto" w:fill="B4D8EE"/>
        <w:rPr>
          <w:rStyle w:val="IntenseEmphasis"/>
        </w:rPr>
      </w:pPr>
      <w:r>
        <w:rPr>
          <w:rStyle w:val="IntenseEmphasis"/>
        </w:rPr>
        <w:t xml:space="preserve">This project utilised the </w:t>
      </w:r>
      <w:r w:rsidRPr="008709A8">
        <w:rPr>
          <w:rStyle w:val="IntenseEmphasis"/>
        </w:rPr>
        <w:t>Australian Bureau of Statistics Multi-Agency Data Integration Project</w:t>
      </w:r>
      <w:r w:rsidR="00500BAB">
        <w:rPr>
          <w:rStyle w:val="FootnoteReference"/>
          <w:i/>
          <w:iCs/>
          <w:color w:val="002D3F" w:themeColor="accent1"/>
        </w:rPr>
        <w:footnoteReference w:id="1"/>
      </w:r>
      <w:r w:rsidRPr="008709A8">
        <w:rPr>
          <w:rStyle w:val="IntenseEmphasis"/>
        </w:rPr>
        <w:t xml:space="preserve"> (MADIP), which contains highly detailed de-identified unit level data.  This factsheet explains the three main processes that supported the analysis of factors affecting undergraduate bachelor’s degree completions.</w:t>
      </w:r>
    </w:p>
    <w:p w14:paraId="39816120" w14:textId="105D42DD" w:rsidR="008709A8" w:rsidRDefault="008709A8" w:rsidP="00073FD9">
      <w:pPr>
        <w:pStyle w:val="BalloonText"/>
        <w:numPr>
          <w:ilvl w:val="0"/>
          <w:numId w:val="32"/>
        </w:numPr>
        <w:shd w:val="clear" w:color="auto" w:fill="B4D8EE"/>
        <w:rPr>
          <w:rStyle w:val="IntenseEmphasis"/>
        </w:rPr>
      </w:pPr>
      <w:r>
        <w:rPr>
          <w:rStyle w:val="IntenseEmphasis"/>
        </w:rPr>
        <w:t>Data was linked from various administrative datasets across government.</w:t>
      </w:r>
    </w:p>
    <w:p w14:paraId="552BC45B" w14:textId="57EB05B0" w:rsidR="008709A8" w:rsidRPr="000D4655" w:rsidRDefault="008709A8" w:rsidP="00073FD9">
      <w:pPr>
        <w:pStyle w:val="BalloonText"/>
        <w:numPr>
          <w:ilvl w:val="0"/>
          <w:numId w:val="32"/>
        </w:numPr>
        <w:shd w:val="clear" w:color="auto" w:fill="B4D8EE"/>
        <w:rPr>
          <w:rStyle w:val="IntenseEmphasis"/>
        </w:rPr>
      </w:pPr>
      <w:r>
        <w:rPr>
          <w:rStyle w:val="IntenseEmphasis"/>
        </w:rPr>
        <w:t>Data cleaning and generation of analytical datasets.</w:t>
      </w:r>
    </w:p>
    <w:p w14:paraId="0B18BF40" w14:textId="36BAC3FC" w:rsidR="008709A8" w:rsidRDefault="008709A8" w:rsidP="00073FD9">
      <w:pPr>
        <w:pStyle w:val="BalloonText"/>
        <w:numPr>
          <w:ilvl w:val="0"/>
          <w:numId w:val="32"/>
        </w:numPr>
        <w:shd w:val="clear" w:color="auto" w:fill="B4D8EE"/>
        <w:rPr>
          <w:rStyle w:val="IntenseEmphasis"/>
        </w:rPr>
      </w:pPr>
      <w:r>
        <w:rPr>
          <w:rStyle w:val="IntenseEmphasis"/>
        </w:rPr>
        <w:t>Methodologies and statistical techniques that draw associative and causal inferences between the variables of interest in our analysis.</w:t>
      </w:r>
    </w:p>
    <w:p w14:paraId="097095BA" w14:textId="77777777" w:rsidR="00525028" w:rsidRDefault="00525028" w:rsidP="00525028">
      <w:pPr>
        <w:pStyle w:val="Heading1"/>
      </w:pPr>
      <w:bookmarkStart w:id="0" w:name="_Toc42594024"/>
      <w:bookmarkStart w:id="1" w:name="_Toc47696940"/>
      <w:r>
        <w:t>Introduction</w:t>
      </w:r>
      <w:bookmarkEnd w:id="0"/>
      <w:bookmarkEnd w:id="1"/>
    </w:p>
    <w:p w14:paraId="3F2CAF67" w14:textId="430827FA" w:rsidR="00525028" w:rsidRDefault="00525028" w:rsidP="00525028">
      <w:r>
        <w:t>The Data Integration Partnership for Australia</w:t>
      </w:r>
      <w:r>
        <w:rPr>
          <w:rStyle w:val="FootnoteReference"/>
        </w:rPr>
        <w:footnoteReference w:id="2"/>
      </w:r>
      <w:r>
        <w:t xml:space="preserve"> (DIPA) was a three-year partnership across 20 Commonwealth agencies which commenced on</w:t>
      </w:r>
      <w:r w:rsidR="00C34D83">
        <w:t xml:space="preserve"> 01</w:t>
      </w:r>
      <w:r>
        <w:t xml:space="preserve"> July 2017 and ended 30 June 2020. DIPA supported this project to better understand the factors that affect bachelor’s degree student completion in higher education. This paper details the data and methodology we employed to deliver the findings in our factsheets.</w:t>
      </w:r>
      <w:r>
        <w:rPr>
          <w:rStyle w:val="FootnoteReference"/>
        </w:rPr>
        <w:footnoteReference w:id="3"/>
      </w:r>
      <w:r>
        <w:t xml:space="preserve"> </w:t>
      </w:r>
    </w:p>
    <w:p w14:paraId="3051CA0D" w14:textId="77777777" w:rsidR="00525028" w:rsidRDefault="00525028" w:rsidP="00525028">
      <w:pPr>
        <w:pStyle w:val="ListParagraph"/>
        <w:numPr>
          <w:ilvl w:val="0"/>
          <w:numId w:val="30"/>
        </w:numPr>
        <w:spacing w:after="120" w:line="240" w:lineRule="auto"/>
      </w:pPr>
      <w:r>
        <w:t xml:space="preserve">The Data Linkage and Assembly section explains how the Australian Bureau of Statistics (ABS) facilitated the migration and linkage of the administrative datasets used in this project. </w:t>
      </w:r>
    </w:p>
    <w:p w14:paraId="4CC12113" w14:textId="77777777" w:rsidR="00525028" w:rsidRDefault="00525028" w:rsidP="00525028">
      <w:pPr>
        <w:pStyle w:val="ListParagraph"/>
        <w:numPr>
          <w:ilvl w:val="0"/>
          <w:numId w:val="30"/>
        </w:numPr>
        <w:spacing w:after="120" w:line="240" w:lineRule="auto"/>
      </w:pPr>
      <w:r>
        <w:t xml:space="preserve">The Construction of the Analytical Dataset section details the steps taken to integrate the datasets into a form suitable for analysis, and the steps for deriving variables of interest. </w:t>
      </w:r>
    </w:p>
    <w:p w14:paraId="281EB344" w14:textId="08857BDE" w:rsidR="00525028" w:rsidRDefault="00525028" w:rsidP="00525028">
      <w:pPr>
        <w:pStyle w:val="ListParagraph"/>
        <w:numPr>
          <w:ilvl w:val="0"/>
          <w:numId w:val="30"/>
        </w:numPr>
        <w:spacing w:after="120" w:line="240" w:lineRule="auto"/>
      </w:pPr>
      <w:r>
        <w:t xml:space="preserve">Methodologies and Statistical Techniques is split into two sections: </w:t>
      </w:r>
      <w:r w:rsidR="00E97C85">
        <w:t>Descriptive and p</w:t>
      </w:r>
      <w:r>
        <w:t>redictive modelling</w:t>
      </w:r>
      <w:r w:rsidR="00223A76">
        <w:t>,</w:t>
      </w:r>
      <w:r>
        <w:t xml:space="preserve"> and Causal inference. The Descriptive and predictive modelling section reveals how we were able to use machine learning to identify key variables that affect undergraduate completion rates as seen in the Introduction factsheet</w:t>
      </w:r>
      <w:bookmarkStart w:id="2" w:name="_Ref47602710"/>
      <w:r>
        <w:rPr>
          <w:rStyle w:val="FootnoteReference"/>
        </w:rPr>
        <w:footnoteReference w:id="4"/>
      </w:r>
      <w:bookmarkEnd w:id="2"/>
      <w:r>
        <w:t>. The Causal inference section provides an explanation of how we were able to estimate average treatment effects for variables such as: gap years</w:t>
      </w:r>
      <w:r>
        <w:rPr>
          <w:rStyle w:val="FootnoteReference"/>
        </w:rPr>
        <w:footnoteReference w:id="5"/>
      </w:r>
      <w:r>
        <w:t xml:space="preserve">, </w:t>
      </w:r>
      <w:r w:rsidR="00110E49">
        <w:t>living with a disability</w:t>
      </w:r>
      <w:r>
        <w:rPr>
          <w:rStyle w:val="FootnoteReference"/>
        </w:rPr>
        <w:footnoteReference w:id="6"/>
      </w:r>
      <w:r>
        <w:t>, student payments</w:t>
      </w:r>
      <w:r>
        <w:rPr>
          <w:rStyle w:val="FootnoteReference"/>
        </w:rPr>
        <w:footnoteReference w:id="7"/>
      </w:r>
      <w:r>
        <w:t xml:space="preserve"> and more. </w:t>
      </w:r>
    </w:p>
    <w:p w14:paraId="294A362D" w14:textId="3FD1A603" w:rsidR="007B70A8" w:rsidRDefault="00D6543A" w:rsidP="00D6543A">
      <w:pPr>
        <w:pStyle w:val="ListParagraph"/>
        <w:numPr>
          <w:ilvl w:val="0"/>
          <w:numId w:val="30"/>
        </w:numPr>
        <w:spacing w:after="120" w:line="240" w:lineRule="auto"/>
      </w:pPr>
      <w:r>
        <w:t>The</w:t>
      </w:r>
      <w:r w:rsidR="00525028">
        <w:t xml:space="preserve"> </w:t>
      </w:r>
      <w:r>
        <w:t>e</w:t>
      </w:r>
      <w:r w:rsidR="00525028">
        <w:t>ndnotes section contains further readings on the subjects discussed in this paper.</w:t>
      </w:r>
    </w:p>
    <w:p w14:paraId="68DA965B" w14:textId="77777777" w:rsidR="007B70A8" w:rsidRDefault="007B70A8">
      <w:pPr>
        <w:spacing w:after="160" w:line="259" w:lineRule="auto"/>
      </w:pPr>
      <w:bookmarkStart w:id="3" w:name="_GoBack"/>
      <w:bookmarkEnd w:id="3"/>
      <w:r>
        <w:br w:type="page"/>
      </w:r>
    </w:p>
    <w:sdt>
      <w:sdtPr>
        <w:rPr>
          <w:rFonts w:asciiTheme="minorHAnsi" w:eastAsiaTheme="minorHAnsi" w:hAnsiTheme="minorHAnsi" w:cstheme="minorBidi"/>
          <w:b w:val="0"/>
          <w:color w:val="auto"/>
          <w:sz w:val="22"/>
          <w:szCs w:val="22"/>
        </w:rPr>
        <w:id w:val="1361242196"/>
        <w:docPartObj>
          <w:docPartGallery w:val="Table of Contents"/>
          <w:docPartUnique/>
        </w:docPartObj>
      </w:sdtPr>
      <w:sdtEndPr>
        <w:rPr>
          <w:bCs/>
          <w:noProof/>
        </w:rPr>
      </w:sdtEndPr>
      <w:sdtContent>
        <w:p w14:paraId="78ED227A" w14:textId="231D8137" w:rsidR="00D6543A" w:rsidRDefault="00D6543A">
          <w:pPr>
            <w:pStyle w:val="TOCHeading"/>
          </w:pPr>
          <w:r>
            <w:t>Contents</w:t>
          </w:r>
        </w:p>
        <w:p w14:paraId="5A8FEB46" w14:textId="0D47C267" w:rsidR="00235281" w:rsidRDefault="00D6543A">
          <w:pPr>
            <w:pStyle w:val="TOC1"/>
            <w:tabs>
              <w:tab w:val="right" w:leader="dot" w:pos="9016"/>
            </w:tabs>
            <w:rPr>
              <w:rFonts w:eastAsiaTheme="minorEastAsia"/>
              <w:b w:val="0"/>
              <w:noProof/>
              <w:lang w:eastAsia="en-AU"/>
            </w:rPr>
          </w:pPr>
          <w:r>
            <w:fldChar w:fldCharType="begin"/>
          </w:r>
          <w:r>
            <w:instrText xml:space="preserve"> TOC \o "1-3" \h \z \u </w:instrText>
          </w:r>
          <w:r>
            <w:fldChar w:fldCharType="separate"/>
          </w:r>
          <w:hyperlink w:anchor="_Toc47696940" w:history="1">
            <w:r w:rsidR="00235281" w:rsidRPr="00BF7B13">
              <w:rPr>
                <w:rStyle w:val="Hyperlink"/>
                <w:noProof/>
              </w:rPr>
              <w:t>Introduction</w:t>
            </w:r>
            <w:r w:rsidR="00235281">
              <w:rPr>
                <w:noProof/>
                <w:webHidden/>
              </w:rPr>
              <w:tab/>
            </w:r>
            <w:r w:rsidR="00235281">
              <w:rPr>
                <w:noProof/>
                <w:webHidden/>
              </w:rPr>
              <w:fldChar w:fldCharType="begin"/>
            </w:r>
            <w:r w:rsidR="00235281">
              <w:rPr>
                <w:noProof/>
                <w:webHidden/>
              </w:rPr>
              <w:instrText xml:space="preserve"> PAGEREF _Toc47696940 \h </w:instrText>
            </w:r>
            <w:r w:rsidR="00235281">
              <w:rPr>
                <w:noProof/>
                <w:webHidden/>
              </w:rPr>
            </w:r>
            <w:r w:rsidR="00235281">
              <w:rPr>
                <w:noProof/>
                <w:webHidden/>
              </w:rPr>
              <w:fldChar w:fldCharType="separate"/>
            </w:r>
            <w:r w:rsidR="0099681F">
              <w:rPr>
                <w:noProof/>
                <w:webHidden/>
              </w:rPr>
              <w:t>1</w:t>
            </w:r>
            <w:r w:rsidR="00235281">
              <w:rPr>
                <w:noProof/>
                <w:webHidden/>
              </w:rPr>
              <w:fldChar w:fldCharType="end"/>
            </w:r>
          </w:hyperlink>
        </w:p>
        <w:p w14:paraId="5E41B704" w14:textId="610C4398" w:rsidR="00235281" w:rsidRDefault="0099681F">
          <w:pPr>
            <w:pStyle w:val="TOC1"/>
            <w:tabs>
              <w:tab w:val="right" w:leader="dot" w:pos="9016"/>
            </w:tabs>
            <w:rPr>
              <w:rFonts w:eastAsiaTheme="minorEastAsia"/>
              <w:b w:val="0"/>
              <w:noProof/>
              <w:lang w:eastAsia="en-AU"/>
            </w:rPr>
          </w:pPr>
          <w:hyperlink w:anchor="_Toc47696941" w:history="1">
            <w:r w:rsidR="00235281" w:rsidRPr="00BF7B13">
              <w:rPr>
                <w:rStyle w:val="Hyperlink"/>
                <w:noProof/>
              </w:rPr>
              <w:t>Data Linkage and Assembly</w:t>
            </w:r>
            <w:r w:rsidR="00235281">
              <w:rPr>
                <w:noProof/>
                <w:webHidden/>
              </w:rPr>
              <w:tab/>
            </w:r>
            <w:r w:rsidR="00235281">
              <w:rPr>
                <w:noProof/>
                <w:webHidden/>
              </w:rPr>
              <w:fldChar w:fldCharType="begin"/>
            </w:r>
            <w:r w:rsidR="00235281">
              <w:rPr>
                <w:noProof/>
                <w:webHidden/>
              </w:rPr>
              <w:instrText xml:space="preserve"> PAGEREF _Toc47696941 \h </w:instrText>
            </w:r>
            <w:r w:rsidR="00235281">
              <w:rPr>
                <w:noProof/>
                <w:webHidden/>
              </w:rPr>
            </w:r>
            <w:r w:rsidR="00235281">
              <w:rPr>
                <w:noProof/>
                <w:webHidden/>
              </w:rPr>
              <w:fldChar w:fldCharType="separate"/>
            </w:r>
            <w:r>
              <w:rPr>
                <w:noProof/>
                <w:webHidden/>
              </w:rPr>
              <w:t>3</w:t>
            </w:r>
            <w:r w:rsidR="00235281">
              <w:rPr>
                <w:noProof/>
                <w:webHidden/>
              </w:rPr>
              <w:fldChar w:fldCharType="end"/>
            </w:r>
          </w:hyperlink>
        </w:p>
        <w:p w14:paraId="1A170573" w14:textId="7ECD1FCE" w:rsidR="00235281" w:rsidRDefault="0099681F">
          <w:pPr>
            <w:pStyle w:val="TOC1"/>
            <w:tabs>
              <w:tab w:val="right" w:leader="dot" w:pos="9016"/>
            </w:tabs>
            <w:rPr>
              <w:rFonts w:eastAsiaTheme="minorEastAsia"/>
              <w:b w:val="0"/>
              <w:noProof/>
              <w:lang w:eastAsia="en-AU"/>
            </w:rPr>
          </w:pPr>
          <w:hyperlink w:anchor="_Toc47696942" w:history="1">
            <w:r w:rsidR="00235281" w:rsidRPr="00BF7B13">
              <w:rPr>
                <w:rStyle w:val="Hyperlink"/>
                <w:noProof/>
              </w:rPr>
              <w:t>Methodologies and statistical techniques</w:t>
            </w:r>
            <w:r w:rsidR="00235281">
              <w:rPr>
                <w:noProof/>
                <w:webHidden/>
              </w:rPr>
              <w:tab/>
            </w:r>
            <w:r w:rsidR="00235281">
              <w:rPr>
                <w:noProof/>
                <w:webHidden/>
              </w:rPr>
              <w:fldChar w:fldCharType="begin"/>
            </w:r>
            <w:r w:rsidR="00235281">
              <w:rPr>
                <w:noProof/>
                <w:webHidden/>
              </w:rPr>
              <w:instrText xml:space="preserve"> PAGEREF _Toc47696942 \h </w:instrText>
            </w:r>
            <w:r w:rsidR="00235281">
              <w:rPr>
                <w:noProof/>
                <w:webHidden/>
              </w:rPr>
            </w:r>
            <w:r w:rsidR="00235281">
              <w:rPr>
                <w:noProof/>
                <w:webHidden/>
              </w:rPr>
              <w:fldChar w:fldCharType="separate"/>
            </w:r>
            <w:r>
              <w:rPr>
                <w:noProof/>
                <w:webHidden/>
              </w:rPr>
              <w:t>3</w:t>
            </w:r>
            <w:r w:rsidR="00235281">
              <w:rPr>
                <w:noProof/>
                <w:webHidden/>
              </w:rPr>
              <w:fldChar w:fldCharType="end"/>
            </w:r>
          </w:hyperlink>
        </w:p>
        <w:p w14:paraId="0038BCF6" w14:textId="1E7E5A92" w:rsidR="00235281" w:rsidRDefault="0099681F">
          <w:pPr>
            <w:pStyle w:val="TOC2"/>
            <w:tabs>
              <w:tab w:val="right" w:leader="dot" w:pos="9016"/>
            </w:tabs>
            <w:rPr>
              <w:rFonts w:eastAsiaTheme="minorEastAsia"/>
              <w:noProof/>
              <w:lang w:eastAsia="en-AU"/>
            </w:rPr>
          </w:pPr>
          <w:hyperlink w:anchor="_Toc47696943" w:history="1">
            <w:r w:rsidR="00235281" w:rsidRPr="00BF7B13">
              <w:rPr>
                <w:rStyle w:val="Hyperlink"/>
                <w:noProof/>
              </w:rPr>
              <w:t>Descriptive and predictive modelling</w:t>
            </w:r>
            <w:r w:rsidR="00235281">
              <w:rPr>
                <w:noProof/>
                <w:webHidden/>
              </w:rPr>
              <w:tab/>
            </w:r>
            <w:r w:rsidR="00235281">
              <w:rPr>
                <w:noProof/>
                <w:webHidden/>
              </w:rPr>
              <w:fldChar w:fldCharType="begin"/>
            </w:r>
            <w:r w:rsidR="00235281">
              <w:rPr>
                <w:noProof/>
                <w:webHidden/>
              </w:rPr>
              <w:instrText xml:space="preserve"> PAGEREF _Toc47696943 \h </w:instrText>
            </w:r>
            <w:r w:rsidR="00235281">
              <w:rPr>
                <w:noProof/>
                <w:webHidden/>
              </w:rPr>
            </w:r>
            <w:r w:rsidR="00235281">
              <w:rPr>
                <w:noProof/>
                <w:webHidden/>
              </w:rPr>
              <w:fldChar w:fldCharType="separate"/>
            </w:r>
            <w:r>
              <w:rPr>
                <w:noProof/>
                <w:webHidden/>
              </w:rPr>
              <w:t>3</w:t>
            </w:r>
            <w:r w:rsidR="00235281">
              <w:rPr>
                <w:noProof/>
                <w:webHidden/>
              </w:rPr>
              <w:fldChar w:fldCharType="end"/>
            </w:r>
          </w:hyperlink>
        </w:p>
        <w:p w14:paraId="1BB5D4FA" w14:textId="797CDA0B" w:rsidR="00235281" w:rsidRDefault="0099681F">
          <w:pPr>
            <w:pStyle w:val="TOC3"/>
            <w:tabs>
              <w:tab w:val="right" w:leader="dot" w:pos="9016"/>
            </w:tabs>
            <w:rPr>
              <w:rFonts w:eastAsiaTheme="minorEastAsia"/>
              <w:noProof/>
              <w:lang w:eastAsia="en-AU"/>
            </w:rPr>
          </w:pPr>
          <w:hyperlink w:anchor="_Toc47696944" w:history="1">
            <w:r w:rsidR="00235281" w:rsidRPr="00BF7B13">
              <w:rPr>
                <w:rStyle w:val="Hyperlink"/>
                <w:noProof/>
              </w:rPr>
              <w:t>Logistic regression</w:t>
            </w:r>
            <w:r w:rsidR="00235281">
              <w:rPr>
                <w:noProof/>
                <w:webHidden/>
              </w:rPr>
              <w:tab/>
            </w:r>
            <w:r w:rsidR="00235281">
              <w:rPr>
                <w:noProof/>
                <w:webHidden/>
              </w:rPr>
              <w:fldChar w:fldCharType="begin"/>
            </w:r>
            <w:r w:rsidR="00235281">
              <w:rPr>
                <w:noProof/>
                <w:webHidden/>
              </w:rPr>
              <w:instrText xml:space="preserve"> PAGEREF _Toc47696944 \h </w:instrText>
            </w:r>
            <w:r w:rsidR="00235281">
              <w:rPr>
                <w:noProof/>
                <w:webHidden/>
              </w:rPr>
            </w:r>
            <w:r w:rsidR="00235281">
              <w:rPr>
                <w:noProof/>
                <w:webHidden/>
              </w:rPr>
              <w:fldChar w:fldCharType="separate"/>
            </w:r>
            <w:r>
              <w:rPr>
                <w:noProof/>
                <w:webHidden/>
              </w:rPr>
              <w:t>4</w:t>
            </w:r>
            <w:r w:rsidR="00235281">
              <w:rPr>
                <w:noProof/>
                <w:webHidden/>
              </w:rPr>
              <w:fldChar w:fldCharType="end"/>
            </w:r>
          </w:hyperlink>
        </w:p>
        <w:p w14:paraId="29B849B9" w14:textId="505A816A" w:rsidR="00235281" w:rsidRDefault="0099681F">
          <w:pPr>
            <w:pStyle w:val="TOC3"/>
            <w:tabs>
              <w:tab w:val="right" w:leader="dot" w:pos="9016"/>
            </w:tabs>
            <w:rPr>
              <w:rFonts w:eastAsiaTheme="minorEastAsia"/>
              <w:noProof/>
              <w:lang w:eastAsia="en-AU"/>
            </w:rPr>
          </w:pPr>
          <w:hyperlink w:anchor="_Toc47696945" w:history="1">
            <w:r w:rsidR="00235281" w:rsidRPr="00BF7B13">
              <w:rPr>
                <w:rStyle w:val="Hyperlink"/>
                <w:noProof/>
              </w:rPr>
              <w:t>Random forests</w:t>
            </w:r>
            <w:r w:rsidR="00235281">
              <w:rPr>
                <w:noProof/>
                <w:webHidden/>
              </w:rPr>
              <w:tab/>
            </w:r>
            <w:r w:rsidR="00235281">
              <w:rPr>
                <w:noProof/>
                <w:webHidden/>
              </w:rPr>
              <w:fldChar w:fldCharType="begin"/>
            </w:r>
            <w:r w:rsidR="00235281">
              <w:rPr>
                <w:noProof/>
                <w:webHidden/>
              </w:rPr>
              <w:instrText xml:space="preserve"> PAGEREF _Toc47696945 \h </w:instrText>
            </w:r>
            <w:r w:rsidR="00235281">
              <w:rPr>
                <w:noProof/>
                <w:webHidden/>
              </w:rPr>
            </w:r>
            <w:r w:rsidR="00235281">
              <w:rPr>
                <w:noProof/>
                <w:webHidden/>
              </w:rPr>
              <w:fldChar w:fldCharType="separate"/>
            </w:r>
            <w:r>
              <w:rPr>
                <w:noProof/>
                <w:webHidden/>
              </w:rPr>
              <w:t>4</w:t>
            </w:r>
            <w:r w:rsidR="00235281">
              <w:rPr>
                <w:noProof/>
                <w:webHidden/>
              </w:rPr>
              <w:fldChar w:fldCharType="end"/>
            </w:r>
          </w:hyperlink>
        </w:p>
        <w:p w14:paraId="1DF10A56" w14:textId="6023587A" w:rsidR="00235281" w:rsidRDefault="0099681F">
          <w:pPr>
            <w:pStyle w:val="TOC2"/>
            <w:tabs>
              <w:tab w:val="right" w:leader="dot" w:pos="9016"/>
            </w:tabs>
            <w:rPr>
              <w:rFonts w:eastAsiaTheme="minorEastAsia"/>
              <w:noProof/>
              <w:lang w:eastAsia="en-AU"/>
            </w:rPr>
          </w:pPr>
          <w:hyperlink w:anchor="_Toc47696946" w:history="1">
            <w:r w:rsidR="00235281" w:rsidRPr="00BF7B13">
              <w:rPr>
                <w:rStyle w:val="Hyperlink"/>
                <w:noProof/>
              </w:rPr>
              <w:t>Causal inference modelling</w:t>
            </w:r>
            <w:r w:rsidR="00235281">
              <w:rPr>
                <w:noProof/>
                <w:webHidden/>
              </w:rPr>
              <w:tab/>
            </w:r>
            <w:r w:rsidR="00235281">
              <w:rPr>
                <w:noProof/>
                <w:webHidden/>
              </w:rPr>
              <w:fldChar w:fldCharType="begin"/>
            </w:r>
            <w:r w:rsidR="00235281">
              <w:rPr>
                <w:noProof/>
                <w:webHidden/>
              </w:rPr>
              <w:instrText xml:space="preserve"> PAGEREF _Toc47696946 \h </w:instrText>
            </w:r>
            <w:r w:rsidR="00235281">
              <w:rPr>
                <w:noProof/>
                <w:webHidden/>
              </w:rPr>
            </w:r>
            <w:r w:rsidR="00235281">
              <w:rPr>
                <w:noProof/>
                <w:webHidden/>
              </w:rPr>
              <w:fldChar w:fldCharType="separate"/>
            </w:r>
            <w:r>
              <w:rPr>
                <w:noProof/>
                <w:webHidden/>
              </w:rPr>
              <w:t>4</w:t>
            </w:r>
            <w:r w:rsidR="00235281">
              <w:rPr>
                <w:noProof/>
                <w:webHidden/>
              </w:rPr>
              <w:fldChar w:fldCharType="end"/>
            </w:r>
          </w:hyperlink>
        </w:p>
        <w:p w14:paraId="43264DB3" w14:textId="5176B96F" w:rsidR="00235281" w:rsidRDefault="0099681F">
          <w:pPr>
            <w:pStyle w:val="TOC3"/>
            <w:tabs>
              <w:tab w:val="right" w:leader="dot" w:pos="9016"/>
            </w:tabs>
            <w:rPr>
              <w:rFonts w:eastAsiaTheme="minorEastAsia"/>
              <w:noProof/>
              <w:lang w:eastAsia="en-AU"/>
            </w:rPr>
          </w:pPr>
          <w:hyperlink w:anchor="_Toc47696947" w:history="1">
            <w:r w:rsidR="00235281" w:rsidRPr="00BF7B13">
              <w:rPr>
                <w:rStyle w:val="Hyperlink"/>
                <w:noProof/>
              </w:rPr>
              <w:t>Directed Acyclic Graphs (DAGs)</w:t>
            </w:r>
            <w:r w:rsidR="00235281">
              <w:rPr>
                <w:noProof/>
                <w:webHidden/>
              </w:rPr>
              <w:tab/>
            </w:r>
            <w:r w:rsidR="00235281">
              <w:rPr>
                <w:noProof/>
                <w:webHidden/>
              </w:rPr>
              <w:fldChar w:fldCharType="begin"/>
            </w:r>
            <w:r w:rsidR="00235281">
              <w:rPr>
                <w:noProof/>
                <w:webHidden/>
              </w:rPr>
              <w:instrText xml:space="preserve"> PAGEREF _Toc47696947 \h </w:instrText>
            </w:r>
            <w:r w:rsidR="00235281">
              <w:rPr>
                <w:noProof/>
                <w:webHidden/>
              </w:rPr>
            </w:r>
            <w:r w:rsidR="00235281">
              <w:rPr>
                <w:noProof/>
                <w:webHidden/>
              </w:rPr>
              <w:fldChar w:fldCharType="separate"/>
            </w:r>
            <w:r>
              <w:rPr>
                <w:noProof/>
                <w:webHidden/>
              </w:rPr>
              <w:t>4</w:t>
            </w:r>
            <w:r w:rsidR="00235281">
              <w:rPr>
                <w:noProof/>
                <w:webHidden/>
              </w:rPr>
              <w:fldChar w:fldCharType="end"/>
            </w:r>
          </w:hyperlink>
        </w:p>
        <w:p w14:paraId="2F7F984E" w14:textId="7B676E1F" w:rsidR="00235281" w:rsidRDefault="0099681F">
          <w:pPr>
            <w:pStyle w:val="TOC3"/>
            <w:tabs>
              <w:tab w:val="right" w:leader="dot" w:pos="9016"/>
            </w:tabs>
            <w:rPr>
              <w:rFonts w:eastAsiaTheme="minorEastAsia"/>
              <w:noProof/>
              <w:lang w:eastAsia="en-AU"/>
            </w:rPr>
          </w:pPr>
          <w:hyperlink w:anchor="_Toc47696948" w:history="1">
            <w:r w:rsidR="00235281" w:rsidRPr="00BF7B13">
              <w:rPr>
                <w:rStyle w:val="Hyperlink"/>
                <w:noProof/>
              </w:rPr>
              <w:t>Coarsened Exact Matching (CEM)</w:t>
            </w:r>
            <w:r w:rsidR="00235281">
              <w:rPr>
                <w:noProof/>
                <w:webHidden/>
              </w:rPr>
              <w:tab/>
            </w:r>
            <w:r w:rsidR="00235281">
              <w:rPr>
                <w:noProof/>
                <w:webHidden/>
              </w:rPr>
              <w:fldChar w:fldCharType="begin"/>
            </w:r>
            <w:r w:rsidR="00235281">
              <w:rPr>
                <w:noProof/>
                <w:webHidden/>
              </w:rPr>
              <w:instrText xml:space="preserve"> PAGEREF _Toc47696948 \h </w:instrText>
            </w:r>
            <w:r w:rsidR="00235281">
              <w:rPr>
                <w:noProof/>
                <w:webHidden/>
              </w:rPr>
            </w:r>
            <w:r w:rsidR="00235281">
              <w:rPr>
                <w:noProof/>
                <w:webHidden/>
              </w:rPr>
              <w:fldChar w:fldCharType="separate"/>
            </w:r>
            <w:r>
              <w:rPr>
                <w:noProof/>
                <w:webHidden/>
              </w:rPr>
              <w:t>4</w:t>
            </w:r>
            <w:r w:rsidR="00235281">
              <w:rPr>
                <w:noProof/>
                <w:webHidden/>
              </w:rPr>
              <w:fldChar w:fldCharType="end"/>
            </w:r>
          </w:hyperlink>
        </w:p>
        <w:p w14:paraId="4D02BEBA" w14:textId="60D2DD03" w:rsidR="00235281" w:rsidRDefault="0099681F">
          <w:pPr>
            <w:pStyle w:val="TOC3"/>
            <w:tabs>
              <w:tab w:val="right" w:leader="dot" w:pos="9016"/>
            </w:tabs>
            <w:rPr>
              <w:rFonts w:eastAsiaTheme="minorEastAsia"/>
              <w:noProof/>
              <w:lang w:eastAsia="en-AU"/>
            </w:rPr>
          </w:pPr>
          <w:hyperlink w:anchor="_Toc47696949" w:history="1">
            <w:r w:rsidR="00235281" w:rsidRPr="00BF7B13">
              <w:rPr>
                <w:rStyle w:val="Hyperlink"/>
                <w:noProof/>
              </w:rPr>
              <w:t>Relative risk estimation</w:t>
            </w:r>
            <w:r w:rsidR="00235281">
              <w:rPr>
                <w:noProof/>
                <w:webHidden/>
              </w:rPr>
              <w:tab/>
            </w:r>
            <w:r w:rsidR="00235281">
              <w:rPr>
                <w:noProof/>
                <w:webHidden/>
              </w:rPr>
              <w:fldChar w:fldCharType="begin"/>
            </w:r>
            <w:r w:rsidR="00235281">
              <w:rPr>
                <w:noProof/>
                <w:webHidden/>
              </w:rPr>
              <w:instrText xml:space="preserve"> PAGEREF _Toc47696949 \h </w:instrText>
            </w:r>
            <w:r w:rsidR="00235281">
              <w:rPr>
                <w:noProof/>
                <w:webHidden/>
              </w:rPr>
            </w:r>
            <w:r w:rsidR="00235281">
              <w:rPr>
                <w:noProof/>
                <w:webHidden/>
              </w:rPr>
              <w:fldChar w:fldCharType="separate"/>
            </w:r>
            <w:r>
              <w:rPr>
                <w:noProof/>
                <w:webHidden/>
              </w:rPr>
              <w:t>5</w:t>
            </w:r>
            <w:r w:rsidR="00235281">
              <w:rPr>
                <w:noProof/>
                <w:webHidden/>
              </w:rPr>
              <w:fldChar w:fldCharType="end"/>
            </w:r>
          </w:hyperlink>
        </w:p>
        <w:p w14:paraId="7D5BCFF7" w14:textId="032D01C7" w:rsidR="00235281" w:rsidRDefault="0099681F">
          <w:pPr>
            <w:pStyle w:val="TOC3"/>
            <w:tabs>
              <w:tab w:val="right" w:leader="dot" w:pos="9016"/>
            </w:tabs>
            <w:rPr>
              <w:rFonts w:eastAsiaTheme="minorEastAsia"/>
              <w:noProof/>
              <w:lang w:eastAsia="en-AU"/>
            </w:rPr>
          </w:pPr>
          <w:hyperlink w:anchor="_Toc47696950" w:history="1">
            <w:r w:rsidR="00235281" w:rsidRPr="00BF7B13">
              <w:rPr>
                <w:rStyle w:val="Hyperlink"/>
                <w:noProof/>
              </w:rPr>
              <w:t>Causal Forests</w:t>
            </w:r>
            <w:r w:rsidR="00235281">
              <w:rPr>
                <w:noProof/>
                <w:webHidden/>
              </w:rPr>
              <w:tab/>
            </w:r>
            <w:r w:rsidR="00235281">
              <w:rPr>
                <w:noProof/>
                <w:webHidden/>
              </w:rPr>
              <w:fldChar w:fldCharType="begin"/>
            </w:r>
            <w:r w:rsidR="00235281">
              <w:rPr>
                <w:noProof/>
                <w:webHidden/>
              </w:rPr>
              <w:instrText xml:space="preserve"> PAGEREF _Toc47696950 \h </w:instrText>
            </w:r>
            <w:r w:rsidR="00235281">
              <w:rPr>
                <w:noProof/>
                <w:webHidden/>
              </w:rPr>
            </w:r>
            <w:r w:rsidR="00235281">
              <w:rPr>
                <w:noProof/>
                <w:webHidden/>
              </w:rPr>
              <w:fldChar w:fldCharType="separate"/>
            </w:r>
            <w:r>
              <w:rPr>
                <w:noProof/>
                <w:webHidden/>
              </w:rPr>
              <w:t>5</w:t>
            </w:r>
            <w:r w:rsidR="00235281">
              <w:rPr>
                <w:noProof/>
                <w:webHidden/>
              </w:rPr>
              <w:fldChar w:fldCharType="end"/>
            </w:r>
          </w:hyperlink>
        </w:p>
        <w:p w14:paraId="4646343C" w14:textId="3E98E652" w:rsidR="00235281" w:rsidRDefault="0099681F">
          <w:pPr>
            <w:pStyle w:val="TOC1"/>
            <w:tabs>
              <w:tab w:val="right" w:leader="dot" w:pos="9016"/>
            </w:tabs>
            <w:rPr>
              <w:rFonts w:eastAsiaTheme="minorEastAsia"/>
              <w:b w:val="0"/>
              <w:noProof/>
              <w:lang w:eastAsia="en-AU"/>
            </w:rPr>
          </w:pPr>
          <w:hyperlink w:anchor="_Toc47696951" w:history="1">
            <w:r w:rsidR="00235281" w:rsidRPr="00BF7B13">
              <w:rPr>
                <w:rStyle w:val="Hyperlink"/>
                <w:noProof/>
              </w:rPr>
              <w:t>Construction of the analytical dataset</w:t>
            </w:r>
            <w:r w:rsidR="00235281">
              <w:rPr>
                <w:noProof/>
                <w:webHidden/>
              </w:rPr>
              <w:tab/>
            </w:r>
            <w:r w:rsidR="00235281">
              <w:rPr>
                <w:noProof/>
                <w:webHidden/>
              </w:rPr>
              <w:fldChar w:fldCharType="begin"/>
            </w:r>
            <w:r w:rsidR="00235281">
              <w:rPr>
                <w:noProof/>
                <w:webHidden/>
              </w:rPr>
              <w:instrText xml:space="preserve"> PAGEREF _Toc47696951 \h </w:instrText>
            </w:r>
            <w:r w:rsidR="00235281">
              <w:rPr>
                <w:noProof/>
                <w:webHidden/>
              </w:rPr>
            </w:r>
            <w:r w:rsidR="00235281">
              <w:rPr>
                <w:noProof/>
                <w:webHidden/>
              </w:rPr>
              <w:fldChar w:fldCharType="separate"/>
            </w:r>
            <w:r>
              <w:rPr>
                <w:noProof/>
                <w:webHidden/>
              </w:rPr>
              <w:t>6</w:t>
            </w:r>
            <w:r w:rsidR="00235281">
              <w:rPr>
                <w:noProof/>
                <w:webHidden/>
              </w:rPr>
              <w:fldChar w:fldCharType="end"/>
            </w:r>
          </w:hyperlink>
        </w:p>
        <w:p w14:paraId="0E4EC53B" w14:textId="50E2F8B1" w:rsidR="00235281" w:rsidRDefault="0099681F">
          <w:pPr>
            <w:pStyle w:val="TOC2"/>
            <w:tabs>
              <w:tab w:val="right" w:leader="dot" w:pos="9016"/>
            </w:tabs>
            <w:rPr>
              <w:rFonts w:eastAsiaTheme="minorEastAsia"/>
              <w:noProof/>
              <w:lang w:eastAsia="en-AU"/>
            </w:rPr>
          </w:pPr>
          <w:hyperlink w:anchor="_Toc47696952" w:history="1">
            <w:r w:rsidR="00235281" w:rsidRPr="00BF7B13">
              <w:rPr>
                <w:rStyle w:val="Hyperlink"/>
                <w:noProof/>
              </w:rPr>
              <w:t>Variables prior to commencement</w:t>
            </w:r>
            <w:r w:rsidR="00235281">
              <w:rPr>
                <w:noProof/>
                <w:webHidden/>
              </w:rPr>
              <w:tab/>
            </w:r>
            <w:r w:rsidR="00235281">
              <w:rPr>
                <w:noProof/>
                <w:webHidden/>
              </w:rPr>
              <w:fldChar w:fldCharType="begin"/>
            </w:r>
            <w:r w:rsidR="00235281">
              <w:rPr>
                <w:noProof/>
                <w:webHidden/>
              </w:rPr>
              <w:instrText xml:space="preserve"> PAGEREF _Toc47696952 \h </w:instrText>
            </w:r>
            <w:r w:rsidR="00235281">
              <w:rPr>
                <w:noProof/>
                <w:webHidden/>
              </w:rPr>
            </w:r>
            <w:r w:rsidR="00235281">
              <w:rPr>
                <w:noProof/>
                <w:webHidden/>
              </w:rPr>
              <w:fldChar w:fldCharType="separate"/>
            </w:r>
            <w:r>
              <w:rPr>
                <w:noProof/>
                <w:webHidden/>
              </w:rPr>
              <w:t>6</w:t>
            </w:r>
            <w:r w:rsidR="00235281">
              <w:rPr>
                <w:noProof/>
                <w:webHidden/>
              </w:rPr>
              <w:fldChar w:fldCharType="end"/>
            </w:r>
          </w:hyperlink>
        </w:p>
        <w:p w14:paraId="7EF11D54" w14:textId="6F7925E1" w:rsidR="00235281" w:rsidRDefault="0099681F">
          <w:pPr>
            <w:pStyle w:val="TOC2"/>
            <w:tabs>
              <w:tab w:val="right" w:leader="dot" w:pos="9016"/>
            </w:tabs>
            <w:rPr>
              <w:rFonts w:eastAsiaTheme="minorEastAsia"/>
              <w:noProof/>
              <w:lang w:eastAsia="en-AU"/>
            </w:rPr>
          </w:pPr>
          <w:hyperlink w:anchor="_Toc47696953" w:history="1">
            <w:r w:rsidR="00235281" w:rsidRPr="00BF7B13">
              <w:rPr>
                <w:rStyle w:val="Hyperlink"/>
                <w:noProof/>
              </w:rPr>
              <w:t>Variables during study</w:t>
            </w:r>
            <w:r w:rsidR="00235281">
              <w:rPr>
                <w:noProof/>
                <w:webHidden/>
              </w:rPr>
              <w:tab/>
            </w:r>
            <w:r w:rsidR="00235281">
              <w:rPr>
                <w:noProof/>
                <w:webHidden/>
              </w:rPr>
              <w:fldChar w:fldCharType="begin"/>
            </w:r>
            <w:r w:rsidR="00235281">
              <w:rPr>
                <w:noProof/>
                <w:webHidden/>
              </w:rPr>
              <w:instrText xml:space="preserve"> PAGEREF _Toc47696953 \h </w:instrText>
            </w:r>
            <w:r w:rsidR="00235281">
              <w:rPr>
                <w:noProof/>
                <w:webHidden/>
              </w:rPr>
            </w:r>
            <w:r w:rsidR="00235281">
              <w:rPr>
                <w:noProof/>
                <w:webHidden/>
              </w:rPr>
              <w:fldChar w:fldCharType="separate"/>
            </w:r>
            <w:r>
              <w:rPr>
                <w:noProof/>
                <w:webHidden/>
              </w:rPr>
              <w:t>8</w:t>
            </w:r>
            <w:r w:rsidR="00235281">
              <w:rPr>
                <w:noProof/>
                <w:webHidden/>
              </w:rPr>
              <w:fldChar w:fldCharType="end"/>
            </w:r>
          </w:hyperlink>
        </w:p>
        <w:p w14:paraId="02FF28DD" w14:textId="7C01B473" w:rsidR="00235281" w:rsidRDefault="0099681F">
          <w:pPr>
            <w:pStyle w:val="TOC1"/>
            <w:tabs>
              <w:tab w:val="right" w:leader="dot" w:pos="9016"/>
            </w:tabs>
            <w:rPr>
              <w:rFonts w:eastAsiaTheme="minorEastAsia"/>
              <w:b w:val="0"/>
              <w:noProof/>
              <w:lang w:eastAsia="en-AU"/>
            </w:rPr>
          </w:pPr>
          <w:hyperlink w:anchor="_Toc47696954" w:history="1">
            <w:r w:rsidR="00235281" w:rsidRPr="00BF7B13">
              <w:rPr>
                <w:rStyle w:val="Hyperlink"/>
                <w:noProof/>
              </w:rPr>
              <w:t>Appendix A: Income rules</w:t>
            </w:r>
            <w:r w:rsidR="00235281">
              <w:rPr>
                <w:noProof/>
                <w:webHidden/>
              </w:rPr>
              <w:tab/>
            </w:r>
            <w:r w:rsidR="00235281">
              <w:rPr>
                <w:noProof/>
                <w:webHidden/>
              </w:rPr>
              <w:fldChar w:fldCharType="begin"/>
            </w:r>
            <w:r w:rsidR="00235281">
              <w:rPr>
                <w:noProof/>
                <w:webHidden/>
              </w:rPr>
              <w:instrText xml:space="preserve"> PAGEREF _Toc47696954 \h </w:instrText>
            </w:r>
            <w:r w:rsidR="00235281">
              <w:rPr>
                <w:noProof/>
                <w:webHidden/>
              </w:rPr>
            </w:r>
            <w:r w:rsidR="00235281">
              <w:rPr>
                <w:noProof/>
                <w:webHidden/>
              </w:rPr>
              <w:fldChar w:fldCharType="separate"/>
            </w:r>
            <w:r>
              <w:rPr>
                <w:noProof/>
                <w:webHidden/>
              </w:rPr>
              <w:t>10</w:t>
            </w:r>
            <w:r w:rsidR="00235281">
              <w:rPr>
                <w:noProof/>
                <w:webHidden/>
              </w:rPr>
              <w:fldChar w:fldCharType="end"/>
            </w:r>
          </w:hyperlink>
        </w:p>
        <w:p w14:paraId="11CF57D1" w14:textId="5C0D9EA8" w:rsidR="00235281" w:rsidRDefault="0099681F">
          <w:pPr>
            <w:pStyle w:val="TOC1"/>
            <w:tabs>
              <w:tab w:val="right" w:leader="dot" w:pos="9016"/>
            </w:tabs>
            <w:rPr>
              <w:rFonts w:eastAsiaTheme="minorEastAsia"/>
              <w:b w:val="0"/>
              <w:noProof/>
              <w:lang w:eastAsia="en-AU"/>
            </w:rPr>
          </w:pPr>
          <w:hyperlink w:anchor="_Toc47696955" w:history="1">
            <w:r w:rsidR="00235281" w:rsidRPr="00BF7B13">
              <w:rPr>
                <w:rStyle w:val="Hyperlink"/>
                <w:noProof/>
              </w:rPr>
              <w:t>References</w:t>
            </w:r>
            <w:r w:rsidR="00235281">
              <w:rPr>
                <w:noProof/>
                <w:webHidden/>
              </w:rPr>
              <w:tab/>
            </w:r>
            <w:r w:rsidR="00235281">
              <w:rPr>
                <w:noProof/>
                <w:webHidden/>
              </w:rPr>
              <w:fldChar w:fldCharType="begin"/>
            </w:r>
            <w:r w:rsidR="00235281">
              <w:rPr>
                <w:noProof/>
                <w:webHidden/>
              </w:rPr>
              <w:instrText xml:space="preserve"> PAGEREF _Toc47696955 \h </w:instrText>
            </w:r>
            <w:r w:rsidR="00235281">
              <w:rPr>
                <w:noProof/>
                <w:webHidden/>
              </w:rPr>
            </w:r>
            <w:r w:rsidR="00235281">
              <w:rPr>
                <w:noProof/>
                <w:webHidden/>
              </w:rPr>
              <w:fldChar w:fldCharType="separate"/>
            </w:r>
            <w:r>
              <w:rPr>
                <w:noProof/>
                <w:webHidden/>
              </w:rPr>
              <w:t>14</w:t>
            </w:r>
            <w:r w:rsidR="00235281">
              <w:rPr>
                <w:noProof/>
                <w:webHidden/>
              </w:rPr>
              <w:fldChar w:fldCharType="end"/>
            </w:r>
          </w:hyperlink>
        </w:p>
        <w:p w14:paraId="0649C26A" w14:textId="168A8152" w:rsidR="00D6543A" w:rsidRDefault="00D6543A" w:rsidP="00D6543A">
          <w:r>
            <w:rPr>
              <w:b/>
              <w:bCs/>
              <w:noProof/>
            </w:rPr>
            <w:fldChar w:fldCharType="end"/>
          </w:r>
        </w:p>
      </w:sdtContent>
    </w:sdt>
    <w:p w14:paraId="77191BC6" w14:textId="77777777" w:rsidR="00D6543A" w:rsidRDefault="00D6543A">
      <w:pPr>
        <w:spacing w:after="160" w:line="259" w:lineRule="auto"/>
        <w:rPr>
          <w:rFonts w:ascii="Calibri" w:eastAsiaTheme="majorEastAsia" w:hAnsi="Calibri" w:cstheme="majorBidi"/>
          <w:b/>
          <w:color w:val="343741"/>
          <w:sz w:val="32"/>
          <w:szCs w:val="32"/>
        </w:rPr>
      </w:pPr>
      <w:bookmarkStart w:id="4" w:name="_Toc42594025"/>
      <w:r>
        <w:br w:type="page"/>
      </w:r>
    </w:p>
    <w:p w14:paraId="115B3FEB" w14:textId="468F00A9" w:rsidR="00525028" w:rsidRDefault="00525028" w:rsidP="00525028">
      <w:pPr>
        <w:pStyle w:val="Heading1"/>
      </w:pPr>
      <w:bookmarkStart w:id="5" w:name="_Toc47696941"/>
      <w:r>
        <w:lastRenderedPageBreak/>
        <w:t>Data Linkage and Assembly</w:t>
      </w:r>
      <w:bookmarkEnd w:id="4"/>
      <w:bookmarkEnd w:id="5"/>
    </w:p>
    <w:p w14:paraId="74AFD3D7" w14:textId="77777777" w:rsidR="00525028" w:rsidRDefault="00525028" w:rsidP="00525028">
      <w:r w:rsidRPr="00E34B21">
        <w:t>The Multi-Agency Data Integration Project (MADIP) is a partnership among Australian Government agencies to develop a secure and enduring approach for combining information on healthcare, education, government payments, personal income tax, and population demographics (including the Census) to create a comprehensive picture of Australia over time.</w:t>
      </w:r>
    </w:p>
    <w:p w14:paraId="185EC529" w14:textId="77777777" w:rsidR="00525028" w:rsidRDefault="00525028" w:rsidP="00525028">
      <w:pPr>
        <w:rPr>
          <w:noProof/>
        </w:rPr>
      </w:pPr>
      <w:r>
        <w:rPr>
          <w:noProof/>
        </w:rPr>
        <w:t>This project uses a customised MADIP extract which contains data from the following administrative collections:</w:t>
      </w:r>
    </w:p>
    <w:p w14:paraId="06BE78A9" w14:textId="77777777" w:rsidR="00525028" w:rsidRDefault="00525028" w:rsidP="00525028">
      <w:pPr>
        <w:pStyle w:val="ListParagraph"/>
        <w:numPr>
          <w:ilvl w:val="0"/>
          <w:numId w:val="17"/>
        </w:numPr>
        <w:spacing w:after="120" w:line="240" w:lineRule="auto"/>
        <w:rPr>
          <w:noProof/>
        </w:rPr>
      </w:pPr>
      <w:r>
        <w:rPr>
          <w:noProof/>
        </w:rPr>
        <w:t>Social Security and Related Informations (SSRI)</w:t>
      </w:r>
    </w:p>
    <w:p w14:paraId="542798CD" w14:textId="2AC2A6D3" w:rsidR="00525028" w:rsidRDefault="00525028" w:rsidP="00525028">
      <w:pPr>
        <w:pStyle w:val="ListParagraph"/>
        <w:numPr>
          <w:ilvl w:val="0"/>
          <w:numId w:val="17"/>
        </w:numPr>
        <w:spacing w:after="120" w:line="240" w:lineRule="auto"/>
        <w:rPr>
          <w:noProof/>
        </w:rPr>
      </w:pPr>
      <w:r>
        <w:rPr>
          <w:noProof/>
        </w:rPr>
        <w:t>Medicare Benefits Schedule (MBS)</w:t>
      </w:r>
    </w:p>
    <w:p w14:paraId="2CD59E01" w14:textId="7ACA4700" w:rsidR="0084237A" w:rsidRDefault="0084237A" w:rsidP="00525028">
      <w:pPr>
        <w:pStyle w:val="ListParagraph"/>
        <w:numPr>
          <w:ilvl w:val="0"/>
          <w:numId w:val="17"/>
        </w:numPr>
        <w:spacing w:after="120" w:line="240" w:lineRule="auto"/>
        <w:rPr>
          <w:noProof/>
        </w:rPr>
      </w:pPr>
      <w:r>
        <w:rPr>
          <w:noProof/>
        </w:rPr>
        <w:t>Pharmaceutical Benefits Schedule (PBS)</w:t>
      </w:r>
    </w:p>
    <w:p w14:paraId="0E1DCD2A" w14:textId="77777777" w:rsidR="00525028" w:rsidRDefault="00525028" w:rsidP="00525028">
      <w:pPr>
        <w:pStyle w:val="ListParagraph"/>
        <w:numPr>
          <w:ilvl w:val="0"/>
          <w:numId w:val="17"/>
        </w:numPr>
        <w:spacing w:after="120" w:line="240" w:lineRule="auto"/>
        <w:rPr>
          <w:noProof/>
        </w:rPr>
      </w:pPr>
      <w:r>
        <w:rPr>
          <w:noProof/>
        </w:rPr>
        <w:t>Census of Population and Housing 2016</w:t>
      </w:r>
    </w:p>
    <w:p w14:paraId="28546BD2" w14:textId="77777777" w:rsidR="00525028" w:rsidRDefault="00525028" w:rsidP="00525028">
      <w:pPr>
        <w:pStyle w:val="ListParagraph"/>
        <w:numPr>
          <w:ilvl w:val="0"/>
          <w:numId w:val="17"/>
        </w:numPr>
        <w:spacing w:after="120" w:line="240" w:lineRule="auto"/>
        <w:rPr>
          <w:noProof/>
        </w:rPr>
      </w:pPr>
      <w:r>
        <w:rPr>
          <w:noProof/>
        </w:rPr>
        <w:t>Higher Education Management System (HEIMS)</w:t>
      </w:r>
    </w:p>
    <w:p w14:paraId="49B92D88" w14:textId="3FE0497F" w:rsidR="00525028" w:rsidRDefault="00525028" w:rsidP="00525028">
      <w:pPr>
        <w:pStyle w:val="ListParagraph"/>
        <w:numPr>
          <w:ilvl w:val="0"/>
          <w:numId w:val="17"/>
        </w:numPr>
        <w:spacing w:after="120" w:line="240" w:lineRule="auto"/>
        <w:rPr>
          <w:noProof/>
        </w:rPr>
      </w:pPr>
      <w:r>
        <w:rPr>
          <w:noProof/>
        </w:rPr>
        <w:t xml:space="preserve">Personal Income Tax and Pay </w:t>
      </w:r>
      <w:r w:rsidR="00792E59">
        <w:rPr>
          <w:noProof/>
        </w:rPr>
        <w:t>A</w:t>
      </w:r>
      <w:r>
        <w:rPr>
          <w:noProof/>
        </w:rPr>
        <w:t xml:space="preserve">s </w:t>
      </w:r>
      <w:r w:rsidR="00792E59">
        <w:rPr>
          <w:noProof/>
        </w:rPr>
        <w:t>Y</w:t>
      </w:r>
      <w:r>
        <w:rPr>
          <w:noProof/>
        </w:rPr>
        <w:t xml:space="preserve">ou </w:t>
      </w:r>
      <w:r w:rsidR="00792E59">
        <w:rPr>
          <w:noProof/>
        </w:rPr>
        <w:t>G</w:t>
      </w:r>
      <w:r>
        <w:rPr>
          <w:noProof/>
        </w:rPr>
        <w:t>o summaries (PIT/PAYG)</w:t>
      </w:r>
    </w:p>
    <w:p w14:paraId="1A70676E" w14:textId="31DEEC9F" w:rsidR="0084237A" w:rsidRDefault="0084237A" w:rsidP="00525028">
      <w:pPr>
        <w:pStyle w:val="ListParagraph"/>
        <w:numPr>
          <w:ilvl w:val="0"/>
          <w:numId w:val="17"/>
        </w:numPr>
        <w:spacing w:after="120" w:line="240" w:lineRule="auto"/>
        <w:rPr>
          <w:noProof/>
        </w:rPr>
      </w:pPr>
      <w:r>
        <w:rPr>
          <w:noProof/>
        </w:rPr>
        <w:t>Registries Death Data</w:t>
      </w:r>
    </w:p>
    <w:p w14:paraId="601496DE" w14:textId="3FAF798F" w:rsidR="00525028" w:rsidRDefault="00525028" w:rsidP="00525028">
      <w:r>
        <w:t xml:space="preserve">The ABS provided the infrastructure and support to link these datasets and provide us access to confidential unit record files. Linkage rates were above ninety percent and the overall data linkage quality was high. </w:t>
      </w:r>
    </w:p>
    <w:p w14:paraId="10ECA209" w14:textId="77777777" w:rsidR="00525028" w:rsidRDefault="00525028" w:rsidP="00525028">
      <w:pPr>
        <w:pStyle w:val="Heading1"/>
        <w:rPr>
          <w:rFonts w:asciiTheme="minorHAnsi" w:eastAsiaTheme="minorEastAsia" w:hAnsiTheme="minorHAnsi" w:cstheme="minorBidi"/>
          <w:b w:val="0"/>
          <w:bCs/>
          <w:color w:val="auto"/>
          <w:sz w:val="22"/>
          <w:szCs w:val="22"/>
        </w:rPr>
      </w:pPr>
      <w:bookmarkStart w:id="6" w:name="_Toc42594026"/>
      <w:bookmarkStart w:id="7" w:name="_Toc47696942"/>
      <w:bookmarkStart w:id="8" w:name="_Toc364946116"/>
      <w:r>
        <w:t>Methodologies and statistical techniques</w:t>
      </w:r>
      <w:bookmarkEnd w:id="6"/>
      <w:bookmarkEnd w:id="7"/>
    </w:p>
    <w:p w14:paraId="6110EF83" w14:textId="19E3EB8D" w:rsidR="00525028" w:rsidRDefault="00525028" w:rsidP="00525028">
      <w:r>
        <w:t>To investigate the factors affecting bachelor’s degree completions we used several types of s</w:t>
      </w:r>
      <w:r w:rsidRPr="002A1FA9">
        <w:t xml:space="preserve">tatistical </w:t>
      </w:r>
      <w:r>
        <w:t>i</w:t>
      </w:r>
      <w:r w:rsidRPr="002A1FA9">
        <w:t xml:space="preserve">nference </w:t>
      </w:r>
      <w:r>
        <w:t>t</w:t>
      </w:r>
      <w:r w:rsidRPr="002A1FA9">
        <w:t>echniques</w:t>
      </w:r>
      <w:r>
        <w:t xml:space="preserve">: descriptive and predictive modelling, and causal inference modelling. </w:t>
      </w:r>
    </w:p>
    <w:p w14:paraId="61C14FED" w14:textId="77777777" w:rsidR="00525028" w:rsidRDefault="00525028" w:rsidP="00525028">
      <w:r>
        <w:t xml:space="preserve">The differences between these techniques can be understood by the types of questions they are trying to answer. </w:t>
      </w:r>
    </w:p>
    <w:p w14:paraId="5024210C" w14:textId="283AED04" w:rsidR="00525028" w:rsidRDefault="00525028" w:rsidP="00525028">
      <w:r>
        <w:t xml:space="preserve">Descriptive modelling seeks to understand how variables may be related to one another, e.g. </w:t>
      </w:r>
      <w:r w:rsidRPr="00EF5176">
        <w:rPr>
          <w:i/>
        </w:rPr>
        <w:t>Is there a trend between commencement age and bachelor’s completion rates</w:t>
      </w:r>
      <w:r>
        <w:t xml:space="preserve">? </w:t>
      </w:r>
    </w:p>
    <w:p w14:paraId="15149D0F" w14:textId="77777777" w:rsidR="00525028" w:rsidRDefault="00525028" w:rsidP="00525028">
      <w:r>
        <w:t xml:space="preserve">Predictive modelling is used to achieve the best possible accuracy when trying to predict an outcome based on covariates, e.g. </w:t>
      </w:r>
      <w:r w:rsidRPr="00EF5176">
        <w:rPr>
          <w:i/>
        </w:rPr>
        <w:t>How well can we predict student completion rates</w:t>
      </w:r>
      <w:r>
        <w:t xml:space="preserve">? </w:t>
      </w:r>
    </w:p>
    <w:p w14:paraId="52D9F7CE" w14:textId="17C17195" w:rsidR="00525028" w:rsidRPr="002A1FA9" w:rsidRDefault="00525028" w:rsidP="00525028">
      <w:r>
        <w:t>Causal inference modelling answers the ‘</w:t>
      </w:r>
      <w:r w:rsidRPr="00EF5176">
        <w:rPr>
          <w:i/>
        </w:rPr>
        <w:t>what if</w:t>
      </w:r>
      <w:r w:rsidRPr="00EF5176">
        <w:t>?</w:t>
      </w:r>
      <w:r>
        <w:t xml:space="preserve">’ questions, e.g. </w:t>
      </w:r>
      <w:r>
        <w:rPr>
          <w:i/>
        </w:rPr>
        <w:t>what if we gave all undergraduate bachelor</w:t>
      </w:r>
      <w:r w:rsidR="00CA2100">
        <w:rPr>
          <w:i/>
        </w:rPr>
        <w:t>’</w:t>
      </w:r>
      <w:r>
        <w:rPr>
          <w:i/>
        </w:rPr>
        <w:t>s students youth allowance</w:t>
      </w:r>
      <w:r w:rsidRPr="00EF5176">
        <w:t>?</w:t>
      </w:r>
      <w:r>
        <w:rPr>
          <w:i/>
        </w:rPr>
        <w:t xml:space="preserve"> How would this affect their completion rates</w:t>
      </w:r>
      <w:r w:rsidRPr="00EF5176">
        <w:t>?</w:t>
      </w:r>
      <w:r w:rsidRPr="00EF5176">
        <w:rPr>
          <w:rStyle w:val="EndnoteReference"/>
        </w:rPr>
        <w:endnoteReference w:id="1"/>
      </w:r>
    </w:p>
    <w:p w14:paraId="0F046BE3" w14:textId="77777777" w:rsidR="00525028" w:rsidRDefault="00525028" w:rsidP="00525028">
      <w:pPr>
        <w:pStyle w:val="Heading2"/>
      </w:pPr>
      <w:bookmarkStart w:id="9" w:name="_Toc42594027"/>
      <w:bookmarkStart w:id="10" w:name="_Toc47696943"/>
      <w:r>
        <w:t>Descriptive and predictive modelling</w:t>
      </w:r>
      <w:bookmarkEnd w:id="9"/>
      <w:bookmarkEnd w:id="10"/>
    </w:p>
    <w:p w14:paraId="37AB92F8" w14:textId="428509E9" w:rsidR="00525028" w:rsidRDefault="00117782" w:rsidP="00525028">
      <w:r>
        <w:t>Our team used R</w:t>
      </w:r>
      <w:r>
        <w:rPr>
          <w:rStyle w:val="EndnoteReference"/>
        </w:rPr>
        <w:endnoteReference w:id="2"/>
      </w:r>
      <w:r>
        <w:t>, Python</w:t>
      </w:r>
      <w:r>
        <w:rPr>
          <w:rStyle w:val="EndnoteReference"/>
        </w:rPr>
        <w:endnoteReference w:id="3"/>
      </w:r>
      <w:r>
        <w:t>, SAS</w:t>
      </w:r>
      <w:r w:rsidR="006F47EA">
        <w:rPr>
          <w:rStyle w:val="EndnoteReference"/>
        </w:rPr>
        <w:endnoteReference w:id="4"/>
      </w:r>
      <w:r>
        <w:t xml:space="preserve"> and Stata</w:t>
      </w:r>
      <w:r w:rsidR="006F47EA">
        <w:rPr>
          <w:rStyle w:val="EndnoteReference"/>
        </w:rPr>
        <w:endnoteReference w:id="5"/>
      </w:r>
      <w:r>
        <w:t xml:space="preserve"> to generate our results. RStudio</w:t>
      </w:r>
      <w:r w:rsidR="006F47EA">
        <w:rPr>
          <w:rStyle w:val="EndnoteReference"/>
        </w:rPr>
        <w:endnoteReference w:id="6"/>
      </w:r>
      <w:r>
        <w:t xml:space="preserve"> was used for R programming. Spyder</w:t>
      </w:r>
      <w:r>
        <w:rPr>
          <w:rStyle w:val="EndnoteReference"/>
        </w:rPr>
        <w:endnoteReference w:id="7"/>
      </w:r>
      <w:r>
        <w:t xml:space="preserve"> and </w:t>
      </w:r>
      <w:proofErr w:type="spellStart"/>
      <w:r>
        <w:t>Jupyter</w:t>
      </w:r>
      <w:proofErr w:type="spellEnd"/>
      <w:r>
        <w:t xml:space="preserve"> Notebook</w:t>
      </w:r>
      <w:r>
        <w:rPr>
          <w:rStyle w:val="EndnoteReference"/>
        </w:rPr>
        <w:endnoteReference w:id="8"/>
      </w:r>
      <w:r>
        <w:t xml:space="preserve"> were used for Python programming. Packages from these programs are also referenced throughout this document. </w:t>
      </w:r>
      <w:r w:rsidR="00525028">
        <w:t xml:space="preserve">Two main models were used to assess the relative importance and relative effect sizes of our covariates: random forests and logistic regression. </w:t>
      </w:r>
    </w:p>
    <w:p w14:paraId="4C321414" w14:textId="77777777" w:rsidR="00525028" w:rsidRDefault="00525028" w:rsidP="00525028">
      <w:pPr>
        <w:pStyle w:val="Heading3"/>
      </w:pPr>
      <w:bookmarkStart w:id="11" w:name="_Toc42594028"/>
      <w:bookmarkStart w:id="12" w:name="_Toc47696944"/>
      <w:r>
        <w:lastRenderedPageBreak/>
        <w:t>Logistic regression</w:t>
      </w:r>
      <w:bookmarkEnd w:id="11"/>
      <w:bookmarkEnd w:id="12"/>
    </w:p>
    <w:p w14:paraId="383910E4" w14:textId="7B54BD28" w:rsidR="00525028" w:rsidRDefault="00525028" w:rsidP="00525028">
      <w:r>
        <w:t xml:space="preserve">Logistic regression was used as a descriptive tool to model the completion rates of students against </w:t>
      </w:r>
      <w:r w:rsidR="00D6543A">
        <w:t>all</w:t>
      </w:r>
      <w:r>
        <w:t xml:space="preserve"> the </w:t>
      </w:r>
      <w:r w:rsidR="00D47BD5">
        <w:t>variables</w:t>
      </w:r>
      <w:r>
        <w:t xml:space="preserve">. This gave an overview of the effect sizes for each variable and how they compare. An application of this technique </w:t>
      </w:r>
      <w:r w:rsidR="00022704">
        <w:t xml:space="preserve">is </w:t>
      </w:r>
      <w:r>
        <w:t xml:space="preserve">in the </w:t>
      </w:r>
      <w:r w:rsidRPr="009357E0">
        <w:rPr>
          <w:iCs/>
        </w:rPr>
        <w:t>Introduction</w:t>
      </w:r>
      <w:r w:rsidRPr="00926B10">
        <w:t>.</w:t>
      </w:r>
      <w:r w:rsidR="004C295C" w:rsidRPr="004C295C">
        <w:rPr>
          <w:vertAlign w:val="superscript"/>
        </w:rPr>
        <w:fldChar w:fldCharType="begin"/>
      </w:r>
      <w:r w:rsidR="004C295C" w:rsidRPr="004C295C">
        <w:rPr>
          <w:vertAlign w:val="superscript"/>
        </w:rPr>
        <w:instrText xml:space="preserve"> NOTEREF _Ref47602710 \h </w:instrText>
      </w:r>
      <w:r w:rsidR="004C295C">
        <w:rPr>
          <w:vertAlign w:val="superscript"/>
        </w:rPr>
        <w:instrText xml:space="preserve"> \* MERGEFORMAT </w:instrText>
      </w:r>
      <w:r w:rsidR="004C295C" w:rsidRPr="004C295C">
        <w:rPr>
          <w:vertAlign w:val="superscript"/>
        </w:rPr>
      </w:r>
      <w:r w:rsidR="004C295C" w:rsidRPr="004C295C">
        <w:rPr>
          <w:vertAlign w:val="superscript"/>
        </w:rPr>
        <w:fldChar w:fldCharType="separate"/>
      </w:r>
      <w:r w:rsidR="0099681F">
        <w:rPr>
          <w:vertAlign w:val="superscript"/>
        </w:rPr>
        <w:t>4</w:t>
      </w:r>
      <w:r w:rsidR="004C295C" w:rsidRPr="004C295C">
        <w:rPr>
          <w:vertAlign w:val="superscript"/>
        </w:rPr>
        <w:fldChar w:fldCharType="end"/>
      </w:r>
      <w:r w:rsidR="000D5015">
        <w:t xml:space="preserve"> This analysis was performed with SAS.</w:t>
      </w:r>
    </w:p>
    <w:p w14:paraId="0049DB91" w14:textId="77777777" w:rsidR="00525028" w:rsidRDefault="00525028" w:rsidP="00525028">
      <w:pPr>
        <w:pStyle w:val="Heading3"/>
      </w:pPr>
      <w:bookmarkStart w:id="13" w:name="_Toc42594029"/>
      <w:bookmarkStart w:id="14" w:name="_Toc47696945"/>
      <w:r>
        <w:t>Random forests</w:t>
      </w:r>
      <w:bookmarkEnd w:id="13"/>
      <w:bookmarkEnd w:id="14"/>
    </w:p>
    <w:p w14:paraId="2C78E9E5" w14:textId="2BA67F88" w:rsidR="00525028" w:rsidRDefault="00525028" w:rsidP="00525028">
      <w:r>
        <w:t>A random forest model</w:t>
      </w:r>
      <w:r>
        <w:rPr>
          <w:rStyle w:val="EndnoteReference"/>
        </w:rPr>
        <w:endnoteReference w:id="9"/>
      </w:r>
      <w:r>
        <w:t xml:space="preserve"> was used to complement the logistic regression results, however taking the non-parametric approach allowed for greater predictive accuracy. The random forest was primarily used to retrieve a variable importance list. While the logistic regression may tell us the effect sizes of our variables, the variable importance tells us which have a greater impact on predicting completions. </w:t>
      </w:r>
      <w:r w:rsidRPr="005A17F5">
        <w:rPr>
          <w:i/>
        </w:rPr>
        <w:t>Relative importance</w:t>
      </w:r>
      <w:r>
        <w:t xml:space="preserve"> was calculated using Gini impurity</w:t>
      </w:r>
      <w:r>
        <w:rPr>
          <w:rStyle w:val="EndnoteReference"/>
        </w:rPr>
        <w:endnoteReference w:id="10"/>
      </w:r>
      <w:r>
        <w:t xml:space="preserve"> which calculates the decrease in node purity if a variable was to be removed from the model. An application of this technique in the </w:t>
      </w:r>
      <w:r w:rsidRPr="009357E0">
        <w:rPr>
          <w:iCs/>
        </w:rPr>
        <w:t>Introduction</w:t>
      </w:r>
      <w:r w:rsidRPr="00056C13">
        <w:t>.</w:t>
      </w:r>
      <w:r w:rsidR="004C295C" w:rsidRPr="004C295C">
        <w:rPr>
          <w:vertAlign w:val="superscript"/>
        </w:rPr>
        <w:fldChar w:fldCharType="begin"/>
      </w:r>
      <w:r w:rsidR="004C295C" w:rsidRPr="004C295C">
        <w:rPr>
          <w:vertAlign w:val="superscript"/>
        </w:rPr>
        <w:instrText xml:space="preserve"> NOTEREF _Ref47602710 \h  \* MERGEFORMAT </w:instrText>
      </w:r>
      <w:r w:rsidR="004C295C" w:rsidRPr="004C295C">
        <w:rPr>
          <w:vertAlign w:val="superscript"/>
        </w:rPr>
      </w:r>
      <w:r w:rsidR="004C295C" w:rsidRPr="004C295C">
        <w:rPr>
          <w:vertAlign w:val="superscript"/>
        </w:rPr>
        <w:fldChar w:fldCharType="separate"/>
      </w:r>
      <w:r w:rsidR="0099681F">
        <w:rPr>
          <w:vertAlign w:val="superscript"/>
        </w:rPr>
        <w:t>4</w:t>
      </w:r>
      <w:r w:rsidR="004C295C" w:rsidRPr="004C295C">
        <w:rPr>
          <w:vertAlign w:val="superscript"/>
        </w:rPr>
        <w:fldChar w:fldCharType="end"/>
      </w:r>
      <w:r w:rsidR="000D5015">
        <w:t xml:space="preserve"> This analysis was performed with Python, using the </w:t>
      </w:r>
      <w:proofErr w:type="spellStart"/>
      <w:r w:rsidR="000D5015">
        <w:t>Scikit</w:t>
      </w:r>
      <w:proofErr w:type="spellEnd"/>
      <w:r w:rsidR="000D5015">
        <w:t>-learn package.</w:t>
      </w:r>
      <w:r w:rsidR="000D5015">
        <w:rPr>
          <w:rStyle w:val="EndnoteReference"/>
        </w:rPr>
        <w:endnoteReference w:id="11"/>
      </w:r>
    </w:p>
    <w:p w14:paraId="35B1D414" w14:textId="77777777" w:rsidR="00525028" w:rsidRPr="007A3A84" w:rsidRDefault="00525028" w:rsidP="00525028">
      <w:r>
        <w:t xml:space="preserve">Random forests were also used to generate lists of the most confounding variables to control for in causal inference modelling. A random forest was fit to predict completion rates and our treatment variable of interest, i.e. </w:t>
      </w:r>
      <w:r w:rsidRPr="00AC7846">
        <w:t>confoundedness</w:t>
      </w:r>
      <w:r>
        <w:t xml:space="preserve">. </w:t>
      </w:r>
    </w:p>
    <w:p w14:paraId="0221DBFC" w14:textId="77777777" w:rsidR="00525028" w:rsidRDefault="00525028" w:rsidP="00525028">
      <w:pPr>
        <w:pStyle w:val="Heading4"/>
      </w:pPr>
      <w:r>
        <w:t>The Synthetic Minority Oversampling Technique (SMOTE)</w:t>
      </w:r>
    </w:p>
    <w:p w14:paraId="6801086B" w14:textId="6FA213DE" w:rsidR="00525028" w:rsidRPr="005578AA" w:rsidRDefault="00525028" w:rsidP="00525028">
      <w:r>
        <w:t xml:space="preserve">Some sample sizes for our confoundedness random forests had very low numbers (i.e. imbalanced data). This is a problem for the random forest algorithm which optimises global accuracy. To combat </w:t>
      </w:r>
      <w:r w:rsidR="00D6543A">
        <w:t>this,</w:t>
      </w:r>
      <w:r>
        <w:t xml:space="preserve"> we used the SMOTE</w:t>
      </w:r>
      <w:r>
        <w:rPr>
          <w:rStyle w:val="EndnoteReference"/>
        </w:rPr>
        <w:endnoteReference w:id="12"/>
      </w:r>
      <w:r>
        <w:t xml:space="preserve"> </w:t>
      </w:r>
      <w:r w:rsidR="00D6543A">
        <w:t xml:space="preserve">(Synthetic Minority Oversampling Technique) </w:t>
      </w:r>
      <w:r>
        <w:t xml:space="preserve">algorithm to oversample small sub-populations of interest. </w:t>
      </w:r>
    </w:p>
    <w:p w14:paraId="0AACE1B8" w14:textId="77777777" w:rsidR="00525028" w:rsidRDefault="00525028" w:rsidP="00525028">
      <w:pPr>
        <w:pStyle w:val="Heading2"/>
      </w:pPr>
      <w:bookmarkStart w:id="15" w:name="_Toc42594030"/>
      <w:bookmarkStart w:id="16" w:name="_Toc47696946"/>
      <w:r>
        <w:t>Causal inference modelling</w:t>
      </w:r>
      <w:bookmarkEnd w:id="15"/>
      <w:bookmarkEnd w:id="16"/>
    </w:p>
    <w:p w14:paraId="255C0917" w14:textId="5030A6BC" w:rsidR="00525028" w:rsidRDefault="00525028" w:rsidP="00525028">
      <w:r>
        <w:t>For causal inference estimation we developed a doubly robust methodology using coarsened exact matching plus relative risk estimation. When we had poor exchangeability</w:t>
      </w:r>
      <w:r>
        <w:rPr>
          <w:rStyle w:val="FootnoteReference"/>
        </w:rPr>
        <w:footnoteReference w:id="8"/>
      </w:r>
      <w:r>
        <w:t xml:space="preserve"> we used a causal forest</w:t>
      </w:r>
      <w:r>
        <w:rPr>
          <w:rStyle w:val="EndnoteReference"/>
        </w:rPr>
        <w:endnoteReference w:id="13"/>
      </w:r>
      <w:r>
        <w:t xml:space="preserve"> with overlap weighting</w:t>
      </w:r>
      <w:r w:rsidR="00D47BD5">
        <w:t>.</w:t>
      </w:r>
      <w:r>
        <w:rPr>
          <w:rStyle w:val="EndnoteReference"/>
        </w:rPr>
        <w:endnoteReference w:id="14"/>
      </w:r>
    </w:p>
    <w:p w14:paraId="56D58880" w14:textId="77777777" w:rsidR="00525028" w:rsidRDefault="00525028" w:rsidP="00525028">
      <w:pPr>
        <w:pStyle w:val="Heading3"/>
      </w:pPr>
      <w:bookmarkStart w:id="17" w:name="_Toc42594031"/>
      <w:bookmarkStart w:id="18" w:name="_Toc47696947"/>
      <w:r>
        <w:t>Directed Acyclic Graphs (DAGs)</w:t>
      </w:r>
      <w:bookmarkEnd w:id="17"/>
      <w:bookmarkEnd w:id="18"/>
    </w:p>
    <w:p w14:paraId="58E28BD6" w14:textId="77777777" w:rsidR="00525028" w:rsidRPr="00AC7846" w:rsidRDefault="00525028" w:rsidP="00525028">
      <w:r>
        <w:t>To estimate the causal effect of a treatment a DAG must first be drawn to identify the variables (confounders) which must be controlled for and those that must be ignored (i.e. colliders or mediators)</w:t>
      </w:r>
      <w:r>
        <w:rPr>
          <w:rStyle w:val="EndnoteReference"/>
        </w:rPr>
        <w:endnoteReference w:id="15"/>
      </w:r>
      <w:r>
        <w:t>. The remaining variables that do not fit into either of these groups can be selected for matching using the confoundedness random forest variable importance list.</w:t>
      </w:r>
    </w:p>
    <w:p w14:paraId="061B7BD2" w14:textId="77777777" w:rsidR="00525028" w:rsidRDefault="00525028" w:rsidP="00525028">
      <w:pPr>
        <w:pStyle w:val="Heading3"/>
      </w:pPr>
      <w:bookmarkStart w:id="19" w:name="_Toc42594032"/>
      <w:bookmarkStart w:id="20" w:name="_Toc47696948"/>
      <w:r>
        <w:t>Coarsened Exact Matching (CEM)</w:t>
      </w:r>
      <w:bookmarkEnd w:id="19"/>
      <w:bookmarkEnd w:id="20"/>
    </w:p>
    <w:p w14:paraId="6769CA0E" w14:textId="77777777" w:rsidR="00525028" w:rsidRDefault="00525028" w:rsidP="00525028">
      <w:r>
        <w:t>Matching is used in causal inference studies to group observations with similar covariates together and emulate randomised control trials.</w:t>
      </w:r>
      <w:r>
        <w:rPr>
          <w:rStyle w:val="EndnoteReference"/>
        </w:rPr>
        <w:endnoteReference w:id="16"/>
      </w:r>
      <w:r>
        <w:t xml:space="preserve"> The concept is to ‘hold all else equal’ and observe the average effect of a treatment over our sample and infer to the population. Traditionally propensity scores</w:t>
      </w:r>
      <w:r w:rsidRPr="53290B49">
        <w:rPr>
          <w:rStyle w:val="FootnoteReference"/>
        </w:rPr>
        <w:footnoteReference w:id="9"/>
      </w:r>
      <w:r>
        <w:t xml:space="preserve"> have been used for matching,</w:t>
      </w:r>
      <w:r>
        <w:rPr>
          <w:rStyle w:val="EndnoteReference"/>
        </w:rPr>
        <w:endnoteReference w:id="17"/>
      </w:r>
      <w:r>
        <w:t xml:space="preserve"> however, a treated unit may have a very similar propensity score to an untreated unit but may not have many characteristics exactly in common. Propensity score matching is a simple way of reducing the dimensionality of a unit's covariates into a single </w:t>
      </w:r>
      <w:r>
        <w:lastRenderedPageBreak/>
        <w:t>dimension, however exact matching allows us to retain more dimensions. Exact matching works by grouping treated and untreated individuals into strata based on their covariate levels, e.g. women of age 18 that come from a regional background with and without student payments may be grouped together. Any units that do not have a counterfactual (any treated or untreated unit that does not have a statistical pair) gets discarded, so we used coarsened exact matching to allow our covariate groups to be more flexible. An example of this is grouping women of ages 18 – 20 that come from regional or remote backgrounds. This increases our sample retention while still approximating a randomised controlled trial. Within each matching stratum the treated are weighted such that their representation in each stratum is 50 per cent (or a 1:1 relationship between treated and untreated). To maintain the unweighted post-matching sample size these groups are then down-weighted appropriately.</w:t>
      </w:r>
      <w:r w:rsidRPr="5453CEAD">
        <w:rPr>
          <w:rStyle w:val="EndnoteReference"/>
        </w:rPr>
        <w:endnoteReference w:id="18"/>
      </w:r>
      <w:r>
        <w:t xml:space="preserve"> </w:t>
      </w:r>
    </w:p>
    <w:p w14:paraId="60795FB7" w14:textId="77777777" w:rsidR="00525028" w:rsidRDefault="00525028" w:rsidP="00525028">
      <w:pPr>
        <w:pStyle w:val="Heading3"/>
      </w:pPr>
      <w:bookmarkStart w:id="21" w:name="_Toc42594033"/>
      <w:bookmarkStart w:id="22" w:name="_Toc47696949"/>
      <w:r>
        <w:t>Relative risk estimation</w:t>
      </w:r>
      <w:bookmarkEnd w:id="21"/>
      <w:bookmarkEnd w:id="22"/>
    </w:p>
    <w:p w14:paraId="2B59C726" w14:textId="77777777" w:rsidR="00525028" w:rsidRDefault="00525028" w:rsidP="00525028">
      <w:bookmarkStart w:id="23" w:name="_Hlk47365516"/>
      <w:r>
        <w:t>Relative risk estimation was used on the matched sub-samples to estimate the causal effect of the treatments.</w:t>
      </w:r>
      <w:bookmarkEnd w:id="23"/>
      <w:r>
        <w:t xml:space="preserve"> Logistic regression (which fits odds-ratios) was used in our larger model to understand the effect sizes of our predictors on completion rates, however, for causal inference relative risk estimation was preferred due to the collapsibility property which allows for inference from the matching stratum to the population.</w:t>
      </w:r>
      <w:r>
        <w:rPr>
          <w:rStyle w:val="EndnoteReference"/>
        </w:rPr>
        <w:endnoteReference w:id="19"/>
      </w:r>
      <w:r>
        <w:t xml:space="preserve"> Relative risk was estimated using a Poisson generalised linear model with Stata.</w:t>
      </w:r>
      <w:r>
        <w:rPr>
          <w:rStyle w:val="EndnoteReference"/>
        </w:rPr>
        <w:endnoteReference w:id="20"/>
      </w:r>
      <w:r>
        <w:t xml:space="preserve"> Calculating the margins post-regression allows for an easily interpretable treatment effect as probability of completion rate increases.</w:t>
      </w:r>
    </w:p>
    <w:p w14:paraId="2E39C436" w14:textId="77777777" w:rsidR="00525028" w:rsidRDefault="00525028" w:rsidP="00525028">
      <w:pPr>
        <w:pStyle w:val="Heading3"/>
      </w:pPr>
      <w:bookmarkStart w:id="24" w:name="_Toc47696950"/>
      <w:r>
        <w:t>Causal Forests</w:t>
      </w:r>
      <w:bookmarkEnd w:id="24"/>
    </w:p>
    <w:p w14:paraId="3B272452" w14:textId="053EAFF1" w:rsidR="00525028" w:rsidRPr="00954023" w:rsidRDefault="00525028" w:rsidP="00525028">
      <w:r>
        <w:t xml:space="preserve">A causal forest is a doubly robust technique which </w:t>
      </w:r>
      <w:r w:rsidRPr="00D22C9B">
        <w:t>uses random forests to group observations into categories and estimate their propensity scores. Causal forests perform inverse propensity score weighting</w:t>
      </w:r>
      <w:r w:rsidR="00D47BD5">
        <w:t xml:space="preserve"> (IPSW)</w:t>
      </w:r>
      <w:r>
        <w:rPr>
          <w:rStyle w:val="EndnoteReference"/>
        </w:rPr>
        <w:endnoteReference w:id="21"/>
      </w:r>
      <w:r>
        <w:rPr>
          <w:vertAlign w:val="superscript"/>
        </w:rPr>
        <w:t xml:space="preserve"> </w:t>
      </w:r>
      <w:r w:rsidR="00D47BD5">
        <w:rPr>
          <w:vertAlign w:val="superscript"/>
        </w:rPr>
        <w:t xml:space="preserve"> </w:t>
      </w:r>
      <w:r w:rsidR="00D47BD5">
        <w:t>i</w:t>
      </w:r>
      <w:r w:rsidRPr="00D22C9B">
        <w:t xml:space="preserve">n the leaves of the forests averaged over all the trees generated, resulting in an average treatment effect for a </w:t>
      </w:r>
      <w:r w:rsidR="00D6543A" w:rsidRPr="00D22C9B">
        <w:t>variable</w:t>
      </w:r>
      <w:r w:rsidRPr="00D22C9B">
        <w:t xml:space="preserve"> of interest, randomising all other variables. For the work and study factsheet, we were interested in the non-financial effect of jobs on completion rates. Matching plus regression was not possible due to almost perfect prediction of job status by controlling for income, resulti</w:t>
      </w:r>
      <w:r>
        <w:t>ng in extreme propensity scores.</w:t>
      </w:r>
      <w:r>
        <w:rPr>
          <w:rStyle w:val="FootnoteReference"/>
        </w:rPr>
        <w:footnoteReference w:id="10"/>
      </w:r>
      <w:r w:rsidRPr="00D22C9B">
        <w:t> The causal forest procedure was paired with overlap weights, a technique that estimates how likely an observation is to be in the opposite group (e.g. if someone doesn’t have a job, what is the probability of them having a job based on other covariates). </w:t>
      </w:r>
      <w:r>
        <w:t>These overlap weights are robust to extreme scores and were used instead of the IPSW.</w:t>
      </w:r>
      <w:r w:rsidR="003B3329">
        <w:t xml:space="preserve"> Causal forest analysis was performed using the R package </w:t>
      </w:r>
      <w:proofErr w:type="spellStart"/>
      <w:r w:rsidR="003B3329">
        <w:t>grf</w:t>
      </w:r>
      <w:proofErr w:type="spellEnd"/>
      <w:r w:rsidR="003B3329">
        <w:t>.</w:t>
      </w:r>
      <w:r w:rsidR="003B3329">
        <w:rPr>
          <w:rStyle w:val="EndnoteReference"/>
        </w:rPr>
        <w:endnoteReference w:id="22"/>
      </w:r>
    </w:p>
    <w:p w14:paraId="67A94304" w14:textId="77777777" w:rsidR="00525028" w:rsidRDefault="00525028" w:rsidP="00525028">
      <w:pPr>
        <w:rPr>
          <w:rFonts w:ascii="Calibri" w:eastAsiaTheme="majorEastAsia" w:hAnsi="Calibri" w:cstheme="majorBidi"/>
          <w:b/>
          <w:bCs/>
          <w:color w:val="660066"/>
          <w:sz w:val="36"/>
          <w:szCs w:val="28"/>
        </w:rPr>
      </w:pPr>
      <w:r>
        <w:br w:type="page"/>
      </w:r>
    </w:p>
    <w:p w14:paraId="637CD980" w14:textId="77777777" w:rsidR="00525028" w:rsidRDefault="00525028" w:rsidP="00525028">
      <w:pPr>
        <w:pStyle w:val="Heading1"/>
      </w:pPr>
      <w:bookmarkStart w:id="25" w:name="_Toc42594034"/>
      <w:bookmarkStart w:id="26" w:name="_Toc47696951"/>
      <w:r>
        <w:lastRenderedPageBreak/>
        <w:t>Construction of the analytical dataset</w:t>
      </w:r>
      <w:bookmarkEnd w:id="25"/>
      <w:bookmarkEnd w:id="26"/>
    </w:p>
    <w:p w14:paraId="47B0F6AA" w14:textId="21AECDB3" w:rsidR="00525028" w:rsidRDefault="00525028" w:rsidP="00525028">
      <w:pPr>
        <w:rPr>
          <w:noProof/>
        </w:rPr>
      </w:pPr>
      <w:r>
        <w:rPr>
          <w:noProof/>
        </w:rPr>
        <w:t>The majority of the MADIP data covers the years 2011 – 2016 so we decided to look at a 6 year completion rate for first time bachelor</w:t>
      </w:r>
      <w:r w:rsidR="00CA2100">
        <w:rPr>
          <w:noProof/>
        </w:rPr>
        <w:t>’</w:t>
      </w:r>
      <w:r>
        <w:rPr>
          <w:noProof/>
        </w:rPr>
        <w:t>s students commencing in 2011. If they did not complete their degree by semester 2 2016, we considered them incomplete.</w:t>
      </w:r>
      <w:r>
        <w:rPr>
          <w:rStyle w:val="FootnoteReference"/>
          <w:noProof/>
        </w:rPr>
        <w:footnoteReference w:id="11"/>
      </w:r>
      <w:r>
        <w:rPr>
          <w:noProof/>
        </w:rPr>
        <w:t xml:space="preserve"> </w:t>
      </w:r>
    </w:p>
    <w:p w14:paraId="6AF3B890" w14:textId="77777777" w:rsidR="00525028" w:rsidRPr="003C2BA4" w:rsidRDefault="00525028" w:rsidP="00525028">
      <w:pPr>
        <w:pStyle w:val="Heading2"/>
        <w:rPr>
          <w:noProof/>
        </w:rPr>
      </w:pPr>
      <w:bookmarkStart w:id="27" w:name="_Toc42594035"/>
      <w:bookmarkStart w:id="28" w:name="_Toc47696952"/>
      <w:r>
        <w:rPr>
          <w:noProof/>
        </w:rPr>
        <w:t>Variables prior to commencement</w:t>
      </w:r>
      <w:bookmarkEnd w:id="27"/>
      <w:bookmarkEnd w:id="28"/>
    </w:p>
    <w:p w14:paraId="22FC603B" w14:textId="77777777" w:rsidR="00525028" w:rsidRDefault="00525028" w:rsidP="00525028">
      <w:r>
        <w:t>Most static demographic variables were taken from the 2016 Census. These include:</w:t>
      </w:r>
    </w:p>
    <w:p w14:paraId="47046AE9" w14:textId="77777777" w:rsidR="00525028" w:rsidRDefault="00525028" w:rsidP="00525028">
      <w:pPr>
        <w:pStyle w:val="ListParagraph"/>
        <w:numPr>
          <w:ilvl w:val="0"/>
          <w:numId w:val="18"/>
        </w:numPr>
        <w:spacing w:after="120" w:line="240" w:lineRule="auto"/>
      </w:pPr>
      <w:r>
        <w:t>Aboriginal and Torres Strait Islander (Indigenous) status</w:t>
      </w:r>
    </w:p>
    <w:p w14:paraId="0F863E52" w14:textId="77777777" w:rsidR="00525028" w:rsidRDefault="00525028" w:rsidP="00525028">
      <w:pPr>
        <w:pStyle w:val="ListParagraph"/>
        <w:numPr>
          <w:ilvl w:val="0"/>
          <w:numId w:val="18"/>
        </w:numPr>
        <w:spacing w:after="120" w:line="240" w:lineRule="auto"/>
      </w:pPr>
      <w:r>
        <w:t>Gender</w:t>
      </w:r>
    </w:p>
    <w:p w14:paraId="2C1182D1" w14:textId="77777777" w:rsidR="00525028" w:rsidRDefault="00525028" w:rsidP="00525028">
      <w:pPr>
        <w:pStyle w:val="ListParagraph"/>
        <w:numPr>
          <w:ilvl w:val="0"/>
          <w:numId w:val="18"/>
        </w:numPr>
        <w:spacing w:after="120" w:line="240" w:lineRule="auto"/>
      </w:pPr>
      <w:r>
        <w:t>English speaking country of birth</w:t>
      </w:r>
    </w:p>
    <w:p w14:paraId="36D45A27" w14:textId="77777777" w:rsidR="00525028" w:rsidRDefault="00525028" w:rsidP="00525028">
      <w:pPr>
        <w:pStyle w:val="ListParagraph"/>
        <w:numPr>
          <w:ilvl w:val="0"/>
          <w:numId w:val="18"/>
        </w:numPr>
        <w:spacing w:after="120" w:line="240" w:lineRule="auto"/>
      </w:pPr>
      <w:r>
        <w:t>Language spoken at home</w:t>
      </w:r>
    </w:p>
    <w:p w14:paraId="0B9355ED" w14:textId="77777777" w:rsidR="00525028" w:rsidRDefault="00525028" w:rsidP="00525028">
      <w:pPr>
        <w:pStyle w:val="ListParagraph"/>
        <w:numPr>
          <w:ilvl w:val="0"/>
          <w:numId w:val="18"/>
        </w:numPr>
        <w:spacing w:after="120" w:line="240" w:lineRule="auto"/>
      </w:pPr>
      <w:r>
        <w:t>Age at commencement of study</w:t>
      </w:r>
    </w:p>
    <w:p w14:paraId="2E540AB7" w14:textId="11DAA1BD" w:rsidR="00525028" w:rsidRDefault="00525028" w:rsidP="00525028">
      <w:r>
        <w:t xml:space="preserve">If there were non-binary genders, those students were excluded from the analyses due to low sample. When either </w:t>
      </w:r>
      <w:r w:rsidRPr="005D3B80">
        <w:rPr>
          <w:b/>
        </w:rPr>
        <w:t>Gender</w:t>
      </w:r>
      <w:r>
        <w:t xml:space="preserve"> or </w:t>
      </w:r>
      <w:r w:rsidRPr="005D3B80">
        <w:rPr>
          <w:b/>
        </w:rPr>
        <w:t>Indigenous status</w:t>
      </w:r>
      <w:r>
        <w:t xml:space="preserve"> was missing from the census, we used the statistical mode from all our other datasets to supplement.</w:t>
      </w:r>
    </w:p>
    <w:p w14:paraId="692BC8FF" w14:textId="77777777" w:rsidR="00525028" w:rsidRDefault="00525028" w:rsidP="00525028">
      <w:r>
        <w:t>When</w:t>
      </w:r>
      <w:r w:rsidRPr="4AD4430D">
        <w:rPr>
          <w:b/>
          <w:bCs/>
        </w:rPr>
        <w:t xml:space="preserve"> English speaking country of birth</w:t>
      </w:r>
      <w:r>
        <w:t xml:space="preserve"> was missing from census, we used the HEIMS enrolment file to supplement.</w:t>
      </w:r>
    </w:p>
    <w:p w14:paraId="4FCAD985" w14:textId="19DA6036" w:rsidR="00525028" w:rsidRPr="00296679" w:rsidRDefault="00525028" w:rsidP="00525028">
      <w:pPr>
        <w:rPr>
          <w:rFonts w:cstheme="minorHAnsi"/>
        </w:rPr>
      </w:pPr>
      <w:r w:rsidRPr="009D2141">
        <w:rPr>
          <w:rFonts w:cstheme="minorHAnsi"/>
        </w:rPr>
        <w:t xml:space="preserve">As </w:t>
      </w:r>
      <w:r w:rsidRPr="009D2141">
        <w:rPr>
          <w:rFonts w:cstheme="minorHAnsi"/>
          <w:b/>
        </w:rPr>
        <w:t>Language spoken at home</w:t>
      </w:r>
      <w:r w:rsidRPr="009D2141">
        <w:rPr>
          <w:rFonts w:cstheme="minorHAnsi"/>
        </w:rPr>
        <w:t xml:space="preserve"> is a potentially dynamic</w:t>
      </w:r>
      <w:r>
        <w:rPr>
          <w:rFonts w:cstheme="minorHAnsi"/>
        </w:rPr>
        <w:t xml:space="preserve"> indicator</w:t>
      </w:r>
      <w:r w:rsidRPr="009D2141">
        <w:rPr>
          <w:rFonts w:cstheme="minorHAnsi"/>
        </w:rPr>
        <w:t xml:space="preserve">, we took the modal language spoken at home during a student’s 2011 enrolment from the HEIMS enrolment file. When enrolment data was missing, we took the language spoken at home from census 2016 data. </w:t>
      </w:r>
    </w:p>
    <w:p w14:paraId="340798F6" w14:textId="77777777" w:rsidR="00525028" w:rsidRDefault="00525028" w:rsidP="00525028">
      <w:r w:rsidRPr="4AD4430D">
        <w:rPr>
          <w:b/>
          <w:bCs/>
        </w:rPr>
        <w:t>English speaking country of birth</w:t>
      </w:r>
      <w:r>
        <w:t xml:space="preserve"> was aggregated into three categories:</w:t>
      </w:r>
    </w:p>
    <w:p w14:paraId="2283E073" w14:textId="77777777" w:rsidR="00525028" w:rsidRDefault="00525028" w:rsidP="00525028">
      <w:pPr>
        <w:pStyle w:val="ListParagraph"/>
        <w:numPr>
          <w:ilvl w:val="0"/>
          <w:numId w:val="19"/>
        </w:numPr>
        <w:spacing w:after="120" w:line="240" w:lineRule="auto"/>
      </w:pPr>
      <w:r>
        <w:t xml:space="preserve">Australia </w:t>
      </w:r>
    </w:p>
    <w:p w14:paraId="38464F67" w14:textId="77777777" w:rsidR="00525028" w:rsidRDefault="00525028" w:rsidP="00525028">
      <w:pPr>
        <w:pStyle w:val="ListParagraph"/>
        <w:numPr>
          <w:ilvl w:val="0"/>
          <w:numId w:val="19"/>
        </w:numPr>
        <w:spacing w:after="120" w:line="240" w:lineRule="auto"/>
      </w:pPr>
      <w:r>
        <w:t>English speaking</w:t>
      </w:r>
    </w:p>
    <w:p w14:paraId="7C610206" w14:textId="77777777" w:rsidR="00525028" w:rsidRDefault="00525028" w:rsidP="00525028">
      <w:pPr>
        <w:pStyle w:val="ListParagraph"/>
        <w:numPr>
          <w:ilvl w:val="0"/>
          <w:numId w:val="19"/>
        </w:numPr>
        <w:spacing w:after="120" w:line="240" w:lineRule="auto"/>
      </w:pPr>
      <w:r>
        <w:t>Non-English speaking</w:t>
      </w:r>
    </w:p>
    <w:p w14:paraId="309797B1" w14:textId="77777777" w:rsidR="00525028" w:rsidRDefault="00525028" w:rsidP="00525028">
      <w:r>
        <w:t xml:space="preserve">Similarly, </w:t>
      </w:r>
      <w:r w:rsidRPr="00286EF5">
        <w:rPr>
          <w:b/>
        </w:rPr>
        <w:t>Language</w:t>
      </w:r>
      <w:r>
        <w:rPr>
          <w:b/>
        </w:rPr>
        <w:t xml:space="preserve"> spoken at home</w:t>
      </w:r>
      <w:r>
        <w:t xml:space="preserve"> was aggregated into:</w:t>
      </w:r>
    </w:p>
    <w:p w14:paraId="42A3305A" w14:textId="77777777" w:rsidR="00525028" w:rsidRDefault="00525028" w:rsidP="00525028">
      <w:pPr>
        <w:pStyle w:val="ListParagraph"/>
        <w:numPr>
          <w:ilvl w:val="0"/>
          <w:numId w:val="20"/>
        </w:numPr>
        <w:spacing w:after="120" w:line="240" w:lineRule="auto"/>
      </w:pPr>
      <w:r>
        <w:t>English</w:t>
      </w:r>
    </w:p>
    <w:p w14:paraId="0982B860" w14:textId="77777777" w:rsidR="00525028" w:rsidRDefault="00525028" w:rsidP="00525028">
      <w:pPr>
        <w:pStyle w:val="ListParagraph"/>
        <w:numPr>
          <w:ilvl w:val="0"/>
          <w:numId w:val="20"/>
        </w:numPr>
        <w:spacing w:after="120" w:line="240" w:lineRule="auto"/>
      </w:pPr>
      <w:r>
        <w:t>Non-English</w:t>
      </w:r>
    </w:p>
    <w:p w14:paraId="76E7FFE2" w14:textId="77777777" w:rsidR="00525028" w:rsidRDefault="00525028" w:rsidP="00525028">
      <w:r>
        <w:rPr>
          <w:b/>
        </w:rPr>
        <w:t>Commencement age</w:t>
      </w:r>
      <w:r>
        <w:t xml:space="preserve"> was simply derived by using a student’s age reported at census and subtracting the number of months relative to their 2011 commencing semester. Note that age was also supplemented with other MADIP datasets</w:t>
      </w:r>
      <w:r>
        <w:rPr>
          <w:rStyle w:val="FootnoteReference"/>
        </w:rPr>
        <w:footnoteReference w:id="12"/>
      </w:r>
      <w:r>
        <w:t xml:space="preserve"> and the modal age was used.</w:t>
      </w:r>
    </w:p>
    <w:p w14:paraId="3D50661B" w14:textId="77777777" w:rsidR="00525028" w:rsidRDefault="00525028" w:rsidP="00525028">
      <w:r>
        <w:t>An Index of Relative Socio-economic Advantage and Disadvantage (</w:t>
      </w:r>
      <w:r w:rsidRPr="003A19F6">
        <w:rPr>
          <w:b/>
        </w:rPr>
        <w:t>IRSAD</w:t>
      </w:r>
      <w:r>
        <w:t>) was constructed at the statistical area 1 level and grouped into deciles.</w:t>
      </w:r>
      <w:r>
        <w:rPr>
          <w:rStyle w:val="EndnoteReference"/>
        </w:rPr>
        <w:endnoteReference w:id="23"/>
      </w:r>
      <w:r>
        <w:t xml:space="preserve"> It was derived using an address history file collated from all possible addresses across the MADIP datasets. The most common address at any given point in time was used. </w:t>
      </w:r>
    </w:p>
    <w:p w14:paraId="5069EDF4" w14:textId="77777777" w:rsidR="00525028" w:rsidRDefault="00525028" w:rsidP="00525028">
      <w:r>
        <w:t xml:space="preserve">The same methodology was also used to derive a </w:t>
      </w:r>
      <w:r>
        <w:rPr>
          <w:b/>
        </w:rPr>
        <w:t>Remoteness</w:t>
      </w:r>
      <w:r>
        <w:t xml:space="preserve"> value, categorised into six levels:</w:t>
      </w:r>
    </w:p>
    <w:p w14:paraId="0ADA82CF" w14:textId="77777777" w:rsidR="00525028" w:rsidRDefault="00525028" w:rsidP="00525028">
      <w:pPr>
        <w:pStyle w:val="ListParagraph"/>
        <w:numPr>
          <w:ilvl w:val="0"/>
          <w:numId w:val="24"/>
        </w:numPr>
        <w:spacing w:after="120" w:line="240" w:lineRule="auto"/>
      </w:pPr>
      <w:r>
        <w:t>Major cities</w:t>
      </w:r>
    </w:p>
    <w:p w14:paraId="7BD8F884" w14:textId="77777777" w:rsidR="00525028" w:rsidRDefault="00525028" w:rsidP="00525028">
      <w:pPr>
        <w:pStyle w:val="ListParagraph"/>
        <w:numPr>
          <w:ilvl w:val="0"/>
          <w:numId w:val="24"/>
        </w:numPr>
        <w:spacing w:after="120" w:line="240" w:lineRule="auto"/>
      </w:pPr>
      <w:r>
        <w:lastRenderedPageBreak/>
        <w:t>Inner regional</w:t>
      </w:r>
    </w:p>
    <w:p w14:paraId="4DC2DE6E" w14:textId="77777777" w:rsidR="00525028" w:rsidRDefault="00525028" w:rsidP="00525028">
      <w:pPr>
        <w:pStyle w:val="ListParagraph"/>
        <w:numPr>
          <w:ilvl w:val="0"/>
          <w:numId w:val="24"/>
        </w:numPr>
        <w:spacing w:after="120" w:line="240" w:lineRule="auto"/>
      </w:pPr>
      <w:r>
        <w:t>Outer regional</w:t>
      </w:r>
    </w:p>
    <w:p w14:paraId="47DC132D" w14:textId="77777777" w:rsidR="00525028" w:rsidRDefault="00525028" w:rsidP="00525028">
      <w:pPr>
        <w:pStyle w:val="ListParagraph"/>
        <w:numPr>
          <w:ilvl w:val="0"/>
          <w:numId w:val="24"/>
        </w:numPr>
        <w:spacing w:after="120" w:line="240" w:lineRule="auto"/>
      </w:pPr>
      <w:r>
        <w:t>Remote</w:t>
      </w:r>
    </w:p>
    <w:p w14:paraId="60D890CB" w14:textId="77777777" w:rsidR="00525028" w:rsidRDefault="00525028" w:rsidP="00525028">
      <w:pPr>
        <w:pStyle w:val="ListParagraph"/>
        <w:numPr>
          <w:ilvl w:val="0"/>
          <w:numId w:val="24"/>
        </w:numPr>
        <w:spacing w:after="120" w:line="240" w:lineRule="auto"/>
      </w:pPr>
      <w:r>
        <w:t>Very remote</w:t>
      </w:r>
    </w:p>
    <w:p w14:paraId="6F37A7B7" w14:textId="77777777" w:rsidR="00525028" w:rsidRDefault="00525028" w:rsidP="00525028">
      <w:pPr>
        <w:pStyle w:val="ListParagraph"/>
        <w:numPr>
          <w:ilvl w:val="0"/>
          <w:numId w:val="24"/>
        </w:numPr>
        <w:spacing w:after="120" w:line="240" w:lineRule="auto"/>
      </w:pPr>
      <w:r>
        <w:t>Missing or unknown</w:t>
      </w:r>
    </w:p>
    <w:p w14:paraId="452A0DDE" w14:textId="77777777" w:rsidR="00525028" w:rsidRPr="00953AE0" w:rsidRDefault="00525028" w:rsidP="00525028">
      <w:r>
        <w:rPr>
          <w:b/>
        </w:rPr>
        <w:t>Remoteness</w:t>
      </w:r>
      <w:r>
        <w:t xml:space="preserve"> was further aggregated into Major cities (Metro) and regional/remote for specific analyses.</w:t>
      </w:r>
    </w:p>
    <w:p w14:paraId="7962D72F" w14:textId="77777777" w:rsidR="00525028" w:rsidRDefault="00525028" w:rsidP="00525028">
      <w:r>
        <w:rPr>
          <w:b/>
        </w:rPr>
        <w:t xml:space="preserve">Tertiary entrance score (TES) </w:t>
      </w:r>
      <w:r>
        <w:t xml:space="preserve">and </w:t>
      </w:r>
      <w:r>
        <w:rPr>
          <w:b/>
        </w:rPr>
        <w:t>Parental educational attainment</w:t>
      </w:r>
      <w:r>
        <w:t xml:space="preserve"> were derived from the HEIMS enrolment file.</w:t>
      </w:r>
    </w:p>
    <w:p w14:paraId="5FE62899" w14:textId="77777777" w:rsidR="00525028" w:rsidRDefault="00525028" w:rsidP="00525028">
      <w:r>
        <w:rPr>
          <w:b/>
        </w:rPr>
        <w:t>TES</w:t>
      </w:r>
      <w:r>
        <w:t xml:space="preserve"> was numeric from 30 to 100 for those that had an ATAR</w:t>
      </w:r>
      <w:r>
        <w:rPr>
          <w:rStyle w:val="FootnoteReference"/>
        </w:rPr>
        <w:footnoteReference w:id="13"/>
      </w:r>
      <w:r>
        <w:t>. Those that did not have an ATAR were grouped into:</w:t>
      </w:r>
    </w:p>
    <w:p w14:paraId="1BB05F9C" w14:textId="77777777" w:rsidR="00525028" w:rsidRDefault="00525028" w:rsidP="00525028">
      <w:pPr>
        <w:pStyle w:val="ListParagraph"/>
        <w:numPr>
          <w:ilvl w:val="0"/>
          <w:numId w:val="21"/>
        </w:numPr>
        <w:spacing w:after="120" w:line="240" w:lineRule="auto"/>
      </w:pPr>
      <w:r>
        <w:t>Prior VET</w:t>
      </w:r>
      <w:r>
        <w:rPr>
          <w:rStyle w:val="FootnoteReference"/>
        </w:rPr>
        <w:footnoteReference w:id="14"/>
      </w:r>
      <w:r>
        <w:t xml:space="preserve"> completions</w:t>
      </w:r>
    </w:p>
    <w:p w14:paraId="585097F8" w14:textId="77777777" w:rsidR="00525028" w:rsidRDefault="00525028" w:rsidP="00525028">
      <w:pPr>
        <w:pStyle w:val="ListParagraph"/>
        <w:numPr>
          <w:ilvl w:val="0"/>
          <w:numId w:val="21"/>
        </w:numPr>
        <w:spacing w:after="120" w:line="240" w:lineRule="auto"/>
      </w:pPr>
      <w:r>
        <w:t>Prior VET study, but not completed</w:t>
      </w:r>
    </w:p>
    <w:p w14:paraId="26E2FD0E" w14:textId="77777777" w:rsidR="00525028" w:rsidRDefault="00525028" w:rsidP="00525028">
      <w:pPr>
        <w:pStyle w:val="ListParagraph"/>
        <w:numPr>
          <w:ilvl w:val="0"/>
          <w:numId w:val="21"/>
        </w:numPr>
        <w:spacing w:after="120" w:line="240" w:lineRule="auto"/>
      </w:pPr>
      <w:r>
        <w:t>Missing TES</w:t>
      </w:r>
    </w:p>
    <w:p w14:paraId="6D12D481" w14:textId="77777777" w:rsidR="00525028" w:rsidRDefault="00525028" w:rsidP="00525028">
      <w:r>
        <w:t>Those with ATARs were further binned into the following groupings of roughly equal sample size:</w:t>
      </w:r>
    </w:p>
    <w:p w14:paraId="066F5194" w14:textId="77777777" w:rsidR="00525028" w:rsidRDefault="00525028" w:rsidP="00525028">
      <w:pPr>
        <w:pStyle w:val="ListParagraph"/>
        <w:numPr>
          <w:ilvl w:val="0"/>
          <w:numId w:val="22"/>
        </w:numPr>
        <w:spacing w:after="120" w:line="240" w:lineRule="auto"/>
      </w:pPr>
      <w:r>
        <w:rPr>
          <w:rFonts w:cstheme="minorHAnsi"/>
        </w:rPr>
        <w:t>≤</w:t>
      </w:r>
      <w:r>
        <w:t xml:space="preserve"> 60</w:t>
      </w:r>
    </w:p>
    <w:p w14:paraId="77993FDA" w14:textId="77777777" w:rsidR="00525028" w:rsidRDefault="00525028" w:rsidP="00525028">
      <w:pPr>
        <w:pStyle w:val="ListParagraph"/>
        <w:numPr>
          <w:ilvl w:val="0"/>
          <w:numId w:val="22"/>
        </w:numPr>
        <w:spacing w:after="120" w:line="240" w:lineRule="auto"/>
      </w:pPr>
      <w:r>
        <w:t>61 – 67</w:t>
      </w:r>
    </w:p>
    <w:p w14:paraId="4D338B06" w14:textId="77777777" w:rsidR="00525028" w:rsidRDefault="00525028" w:rsidP="00525028">
      <w:pPr>
        <w:pStyle w:val="ListParagraph"/>
        <w:numPr>
          <w:ilvl w:val="0"/>
          <w:numId w:val="22"/>
        </w:numPr>
        <w:spacing w:after="120" w:line="240" w:lineRule="auto"/>
      </w:pPr>
      <w:r>
        <w:t>68 – 73</w:t>
      </w:r>
    </w:p>
    <w:p w14:paraId="4D6956B2" w14:textId="77777777" w:rsidR="00525028" w:rsidRDefault="00525028" w:rsidP="00525028">
      <w:pPr>
        <w:pStyle w:val="ListParagraph"/>
        <w:numPr>
          <w:ilvl w:val="0"/>
          <w:numId w:val="22"/>
        </w:numPr>
        <w:spacing w:after="120" w:line="240" w:lineRule="auto"/>
      </w:pPr>
      <w:r>
        <w:t xml:space="preserve">74 – 78 </w:t>
      </w:r>
    </w:p>
    <w:p w14:paraId="5D2FCB9F" w14:textId="77777777" w:rsidR="00525028" w:rsidRDefault="00525028" w:rsidP="00525028">
      <w:pPr>
        <w:pStyle w:val="ListParagraph"/>
        <w:numPr>
          <w:ilvl w:val="0"/>
          <w:numId w:val="22"/>
        </w:numPr>
        <w:spacing w:after="120" w:line="240" w:lineRule="auto"/>
      </w:pPr>
      <w:r>
        <w:t>79 – 82</w:t>
      </w:r>
    </w:p>
    <w:p w14:paraId="0DA36E41" w14:textId="77777777" w:rsidR="00525028" w:rsidRDefault="00525028" w:rsidP="00525028">
      <w:pPr>
        <w:pStyle w:val="ListParagraph"/>
        <w:numPr>
          <w:ilvl w:val="0"/>
          <w:numId w:val="22"/>
        </w:numPr>
        <w:spacing w:after="120" w:line="240" w:lineRule="auto"/>
      </w:pPr>
      <w:r>
        <w:t>83 – 86</w:t>
      </w:r>
    </w:p>
    <w:p w14:paraId="51C95EC5" w14:textId="77777777" w:rsidR="00525028" w:rsidRDefault="00525028" w:rsidP="00525028">
      <w:pPr>
        <w:pStyle w:val="ListParagraph"/>
        <w:numPr>
          <w:ilvl w:val="0"/>
          <w:numId w:val="22"/>
        </w:numPr>
        <w:spacing w:after="120" w:line="240" w:lineRule="auto"/>
      </w:pPr>
      <w:r>
        <w:t>87 – 90</w:t>
      </w:r>
    </w:p>
    <w:p w14:paraId="35459D62" w14:textId="77777777" w:rsidR="00525028" w:rsidRDefault="00525028" w:rsidP="00525028">
      <w:pPr>
        <w:pStyle w:val="ListParagraph"/>
        <w:numPr>
          <w:ilvl w:val="0"/>
          <w:numId w:val="22"/>
        </w:numPr>
        <w:spacing w:after="120" w:line="240" w:lineRule="auto"/>
      </w:pPr>
      <w:r>
        <w:t>91 – 93</w:t>
      </w:r>
    </w:p>
    <w:p w14:paraId="4AB38F12" w14:textId="77777777" w:rsidR="00525028" w:rsidRDefault="00525028" w:rsidP="00525028">
      <w:pPr>
        <w:pStyle w:val="ListParagraph"/>
        <w:numPr>
          <w:ilvl w:val="0"/>
          <w:numId w:val="22"/>
        </w:numPr>
        <w:spacing w:after="120" w:line="240" w:lineRule="auto"/>
      </w:pPr>
      <w:r>
        <w:t>94 – 97</w:t>
      </w:r>
    </w:p>
    <w:p w14:paraId="6584708A" w14:textId="77777777" w:rsidR="00525028" w:rsidRDefault="00525028" w:rsidP="00525028">
      <w:pPr>
        <w:pStyle w:val="ListParagraph"/>
        <w:numPr>
          <w:ilvl w:val="0"/>
          <w:numId w:val="22"/>
        </w:numPr>
        <w:spacing w:after="120" w:line="240" w:lineRule="auto"/>
      </w:pPr>
      <w:r>
        <w:t>98 – 100</w:t>
      </w:r>
    </w:p>
    <w:p w14:paraId="24DE5785" w14:textId="77777777" w:rsidR="00525028" w:rsidRDefault="00525028" w:rsidP="00525028">
      <w:r>
        <w:rPr>
          <w:b/>
        </w:rPr>
        <w:t xml:space="preserve">Parental educational attainment </w:t>
      </w:r>
      <w:r>
        <w:t>was grouped into 4 categories based off the number of parents a student reported as having a tertiary qualification:</w:t>
      </w:r>
    </w:p>
    <w:p w14:paraId="00D046B0" w14:textId="77777777" w:rsidR="00525028" w:rsidRDefault="00525028" w:rsidP="00525028">
      <w:pPr>
        <w:pStyle w:val="ListParagraph"/>
        <w:numPr>
          <w:ilvl w:val="0"/>
          <w:numId w:val="23"/>
        </w:numPr>
        <w:spacing w:after="120" w:line="240" w:lineRule="auto"/>
        <w:ind w:left="720"/>
      </w:pPr>
      <w:r>
        <w:t>No parents with tertiary education</w:t>
      </w:r>
    </w:p>
    <w:p w14:paraId="51347859" w14:textId="77777777" w:rsidR="00525028" w:rsidRDefault="00525028" w:rsidP="00525028">
      <w:pPr>
        <w:pStyle w:val="ListParagraph"/>
        <w:numPr>
          <w:ilvl w:val="0"/>
          <w:numId w:val="23"/>
        </w:numPr>
        <w:spacing w:after="120" w:line="240" w:lineRule="auto"/>
        <w:ind w:left="720"/>
      </w:pPr>
      <w:r>
        <w:t>1 parent with tertiary education</w:t>
      </w:r>
    </w:p>
    <w:p w14:paraId="64F9C0D4" w14:textId="77777777" w:rsidR="00525028" w:rsidRDefault="00525028" w:rsidP="00525028">
      <w:pPr>
        <w:pStyle w:val="ListParagraph"/>
        <w:numPr>
          <w:ilvl w:val="0"/>
          <w:numId w:val="23"/>
        </w:numPr>
        <w:spacing w:after="120" w:line="240" w:lineRule="auto"/>
        <w:ind w:left="720"/>
      </w:pPr>
      <w:r>
        <w:t>2 parents with tertiary education</w:t>
      </w:r>
    </w:p>
    <w:p w14:paraId="5C6769CB" w14:textId="77777777" w:rsidR="00525028" w:rsidRDefault="00525028" w:rsidP="00525028">
      <w:pPr>
        <w:pStyle w:val="ListParagraph"/>
        <w:numPr>
          <w:ilvl w:val="0"/>
          <w:numId w:val="23"/>
        </w:numPr>
        <w:spacing w:after="120" w:line="240" w:lineRule="auto"/>
        <w:ind w:left="720"/>
      </w:pPr>
      <w:r>
        <w:t>Missing or unknown</w:t>
      </w:r>
    </w:p>
    <w:p w14:paraId="0652765A" w14:textId="77777777" w:rsidR="00525028" w:rsidRPr="009D2141" w:rsidRDefault="00525028" w:rsidP="00525028">
      <w:pPr>
        <w:rPr>
          <w:rFonts w:cstheme="minorHAnsi"/>
        </w:rPr>
      </w:pPr>
      <w:r w:rsidRPr="009D2141">
        <w:rPr>
          <w:rFonts w:cstheme="minorHAnsi"/>
        </w:rPr>
        <w:t xml:space="preserve">We created two </w:t>
      </w:r>
      <w:r w:rsidRPr="00296679">
        <w:rPr>
          <w:rFonts w:cstheme="minorHAnsi"/>
          <w:b/>
        </w:rPr>
        <w:t>gap year</w:t>
      </w:r>
      <w:r w:rsidRPr="009D2141">
        <w:rPr>
          <w:rFonts w:cstheme="minorHAnsi"/>
        </w:rPr>
        <w:t xml:space="preserve"> variables. The first was specifically made for the gap year factsheet and strictly focussed on a school year cohort for</w:t>
      </w:r>
      <w:r>
        <w:rPr>
          <w:rFonts w:cstheme="minorHAnsi"/>
        </w:rPr>
        <w:t xml:space="preserve"> school leavers 2008 to 2014. </w:t>
      </w:r>
      <w:r w:rsidRPr="009D2141">
        <w:rPr>
          <w:rFonts w:cstheme="minorHAnsi"/>
        </w:rPr>
        <w:t xml:space="preserve">The second variable was a simplified flag used as a covariate for the 2011 six-year completion cohort.  </w:t>
      </w:r>
    </w:p>
    <w:p w14:paraId="249319DD" w14:textId="287DE49A" w:rsidR="00525028" w:rsidRPr="009D2141" w:rsidRDefault="00525028" w:rsidP="00525028">
      <w:pPr>
        <w:rPr>
          <w:rFonts w:cstheme="minorHAnsi"/>
        </w:rPr>
      </w:pPr>
      <w:r w:rsidRPr="009D2141">
        <w:rPr>
          <w:rFonts w:cstheme="minorHAnsi"/>
        </w:rPr>
        <w:t xml:space="preserve">For the </w:t>
      </w:r>
      <w:r>
        <w:rPr>
          <w:rFonts w:cstheme="minorHAnsi"/>
        </w:rPr>
        <w:t xml:space="preserve">gap year </w:t>
      </w:r>
      <w:r w:rsidRPr="009D2141">
        <w:rPr>
          <w:rFonts w:cstheme="minorHAnsi"/>
        </w:rPr>
        <w:t xml:space="preserve">factsheet, the </w:t>
      </w:r>
      <w:r w:rsidRPr="00296679">
        <w:rPr>
          <w:rFonts w:cstheme="minorHAnsi"/>
          <w:b/>
        </w:rPr>
        <w:t>gap year</w:t>
      </w:r>
      <w:r w:rsidRPr="009D2141">
        <w:rPr>
          <w:rFonts w:cstheme="minorHAnsi"/>
        </w:rPr>
        <w:t xml:space="preserve"> variable and cohort were derived </w:t>
      </w:r>
      <w:r>
        <w:rPr>
          <w:rFonts w:cstheme="minorHAnsi"/>
        </w:rPr>
        <w:t xml:space="preserve">from HEIMS course, enrol and load files, plus data from PIT and census. </w:t>
      </w:r>
      <w:r w:rsidRPr="009D2141">
        <w:rPr>
          <w:rFonts w:cstheme="minorHAnsi"/>
        </w:rPr>
        <w:t xml:space="preserve">We defined students as gap year takers when a 1-year break was taken between completing high school and starting a </w:t>
      </w:r>
      <w:r w:rsidR="00D6543A" w:rsidRPr="009D2141">
        <w:rPr>
          <w:rFonts w:cstheme="minorHAnsi"/>
        </w:rPr>
        <w:t>bachelor’s</w:t>
      </w:r>
      <w:r w:rsidRPr="009D2141">
        <w:rPr>
          <w:rFonts w:cstheme="minorHAnsi"/>
        </w:rPr>
        <w:t xml:space="preserve"> degree.  We defined non-gap year takers as those who directly enter university the year following graduating high school.</w:t>
      </w:r>
      <w:r>
        <w:rPr>
          <w:rFonts w:cstheme="minorHAnsi"/>
        </w:rPr>
        <w:t xml:space="preserve"> </w:t>
      </w:r>
      <w:r w:rsidRPr="009D2141">
        <w:rPr>
          <w:rFonts w:cstheme="minorHAnsi"/>
        </w:rPr>
        <w:t xml:space="preserve">For </w:t>
      </w:r>
      <w:r w:rsidRPr="009D2141">
        <w:rPr>
          <w:rFonts w:cstheme="minorHAnsi"/>
        </w:rPr>
        <w:lastRenderedPageBreak/>
        <w:t xml:space="preserve">the purposes of income support analysis, we also analysed those who took a 2-year break before starting a </w:t>
      </w:r>
      <w:r w:rsidR="00D6543A" w:rsidRPr="009D2141">
        <w:rPr>
          <w:rFonts w:cstheme="minorHAnsi"/>
        </w:rPr>
        <w:t>bachelor’s</w:t>
      </w:r>
      <w:r w:rsidRPr="009D2141">
        <w:rPr>
          <w:rFonts w:cstheme="minorHAnsi"/>
        </w:rPr>
        <w:t xml:space="preserve"> degree. </w:t>
      </w:r>
    </w:p>
    <w:p w14:paraId="3A53EB7B" w14:textId="77777777" w:rsidR="00525028" w:rsidRPr="009D2141" w:rsidRDefault="00525028" w:rsidP="00525028">
      <w:pPr>
        <w:rPr>
          <w:rFonts w:cstheme="minorHAnsi"/>
        </w:rPr>
      </w:pPr>
      <w:r w:rsidRPr="009D2141">
        <w:rPr>
          <w:rFonts w:cstheme="minorHAnsi"/>
        </w:rPr>
        <w:t>Following advice from university stat</w:t>
      </w:r>
      <w:r>
        <w:rPr>
          <w:rFonts w:cstheme="minorHAnsi"/>
        </w:rPr>
        <w:t>istic</w:t>
      </w:r>
      <w:r w:rsidRPr="009D2141">
        <w:rPr>
          <w:rFonts w:cstheme="minorHAnsi"/>
        </w:rPr>
        <w:t>s team, we applied the following filters:</w:t>
      </w:r>
    </w:p>
    <w:p w14:paraId="407DB05D" w14:textId="77777777" w:rsidR="00525028" w:rsidRPr="009D2141" w:rsidRDefault="00525028" w:rsidP="00525028">
      <w:pPr>
        <w:pStyle w:val="ListParagraph"/>
        <w:numPr>
          <w:ilvl w:val="0"/>
          <w:numId w:val="27"/>
        </w:numPr>
        <w:spacing w:after="120" w:line="240" w:lineRule="auto"/>
        <w:rPr>
          <w:rFonts w:cstheme="minorHAnsi"/>
        </w:rPr>
      </w:pPr>
      <w:r w:rsidRPr="009D2141">
        <w:rPr>
          <w:rFonts w:cstheme="minorHAnsi"/>
        </w:rPr>
        <w:t>Unit status: 2,</w:t>
      </w:r>
      <w:r>
        <w:rPr>
          <w:rFonts w:cstheme="minorHAnsi"/>
        </w:rPr>
        <w:t xml:space="preserve"> </w:t>
      </w:r>
      <w:r w:rsidRPr="009D2141">
        <w:rPr>
          <w:rFonts w:cstheme="minorHAnsi"/>
        </w:rPr>
        <w:t>3 (pass/fails only, removes instances of withdrawals)</w:t>
      </w:r>
      <w:r>
        <w:rPr>
          <w:rFonts w:cstheme="minorHAnsi"/>
        </w:rPr>
        <w:t>;</w:t>
      </w:r>
    </w:p>
    <w:p w14:paraId="30E3C218" w14:textId="64BE9ECD" w:rsidR="00525028" w:rsidRPr="009D2141" w:rsidRDefault="00525028" w:rsidP="00525028">
      <w:pPr>
        <w:pStyle w:val="ListParagraph"/>
        <w:numPr>
          <w:ilvl w:val="0"/>
          <w:numId w:val="27"/>
        </w:numPr>
        <w:spacing w:after="120" w:line="240" w:lineRule="auto"/>
        <w:rPr>
          <w:rFonts w:cstheme="minorHAnsi"/>
        </w:rPr>
      </w:pPr>
      <w:r w:rsidRPr="009D2141">
        <w:rPr>
          <w:rFonts w:cstheme="minorHAnsi"/>
        </w:rPr>
        <w:t>Course type:</w:t>
      </w:r>
      <w:r>
        <w:rPr>
          <w:rFonts w:cstheme="minorHAnsi"/>
        </w:rPr>
        <w:t xml:space="preserve"> </w:t>
      </w:r>
      <w:r w:rsidRPr="009D2141">
        <w:rPr>
          <w:rFonts w:cstheme="minorHAnsi"/>
        </w:rPr>
        <w:t>09,</w:t>
      </w:r>
      <w:r>
        <w:rPr>
          <w:rFonts w:cstheme="minorHAnsi"/>
        </w:rPr>
        <w:t xml:space="preserve"> </w:t>
      </w:r>
      <w:r w:rsidRPr="009D2141">
        <w:rPr>
          <w:rFonts w:cstheme="minorHAnsi"/>
        </w:rPr>
        <w:t>10 (bachelor’s degree courses)</w:t>
      </w:r>
      <w:r>
        <w:rPr>
          <w:rFonts w:cstheme="minorHAnsi"/>
        </w:rPr>
        <w:t>;</w:t>
      </w:r>
    </w:p>
    <w:p w14:paraId="2C99D22F" w14:textId="77777777" w:rsidR="00525028" w:rsidRPr="009D2141" w:rsidRDefault="00525028" w:rsidP="00525028">
      <w:pPr>
        <w:pStyle w:val="ListParagraph"/>
        <w:numPr>
          <w:ilvl w:val="0"/>
          <w:numId w:val="27"/>
        </w:numPr>
        <w:spacing w:after="120" w:line="240" w:lineRule="auto"/>
        <w:rPr>
          <w:rFonts w:cstheme="minorHAnsi"/>
        </w:rPr>
      </w:pPr>
      <w:r w:rsidRPr="009D2141">
        <w:rPr>
          <w:rFonts w:cstheme="minorHAnsi"/>
        </w:rPr>
        <w:t>New Admission: 33 (university criterion for acceptance was secondary school completion)</w:t>
      </w:r>
      <w:r>
        <w:rPr>
          <w:rFonts w:cstheme="minorHAnsi"/>
        </w:rPr>
        <w:t>;</w:t>
      </w:r>
    </w:p>
    <w:p w14:paraId="24212925" w14:textId="77777777" w:rsidR="00525028" w:rsidRPr="009D2141" w:rsidRDefault="00525028" w:rsidP="00525028">
      <w:pPr>
        <w:pStyle w:val="ListParagraph"/>
        <w:numPr>
          <w:ilvl w:val="0"/>
          <w:numId w:val="27"/>
        </w:numPr>
        <w:spacing w:after="120" w:line="240" w:lineRule="auto"/>
        <w:rPr>
          <w:rFonts w:cstheme="minorHAnsi"/>
        </w:rPr>
      </w:pPr>
      <w:r w:rsidRPr="009D2141">
        <w:rPr>
          <w:rFonts w:cstheme="minorHAnsi"/>
        </w:rPr>
        <w:t>Highest Participation: 7X (Highest education w</w:t>
      </w:r>
      <w:r>
        <w:rPr>
          <w:rFonts w:cstheme="minorHAnsi"/>
        </w:rPr>
        <w:t>as secondary school completion);</w:t>
      </w:r>
    </w:p>
    <w:p w14:paraId="273442A4" w14:textId="77777777" w:rsidR="00525028" w:rsidRPr="009D2141" w:rsidRDefault="00525028" w:rsidP="00525028">
      <w:pPr>
        <w:pStyle w:val="ListParagraph"/>
        <w:numPr>
          <w:ilvl w:val="0"/>
          <w:numId w:val="27"/>
        </w:numPr>
        <w:spacing w:after="120" w:line="240" w:lineRule="auto"/>
        <w:rPr>
          <w:rFonts w:cstheme="minorHAnsi"/>
        </w:rPr>
      </w:pPr>
      <w:r w:rsidRPr="009D2141">
        <w:rPr>
          <w:rFonts w:cstheme="minorHAnsi"/>
        </w:rPr>
        <w:t>Com</w:t>
      </w:r>
      <w:r>
        <w:rPr>
          <w:rFonts w:cstheme="minorHAnsi"/>
        </w:rPr>
        <w:t>mencement</w:t>
      </w:r>
      <w:r w:rsidRPr="009D2141">
        <w:rPr>
          <w:rFonts w:cstheme="minorHAnsi"/>
        </w:rPr>
        <w:t xml:space="preserve"> Indicato</w:t>
      </w:r>
      <w:r>
        <w:rPr>
          <w:rFonts w:cstheme="minorHAnsi"/>
        </w:rPr>
        <w:t>r: 1 (newly commencing student);</w:t>
      </w:r>
    </w:p>
    <w:p w14:paraId="1AED4B06" w14:textId="55E2EA4A" w:rsidR="00525028" w:rsidRPr="009D2141" w:rsidRDefault="00525028" w:rsidP="00525028">
      <w:pPr>
        <w:pStyle w:val="ListParagraph"/>
        <w:numPr>
          <w:ilvl w:val="0"/>
          <w:numId w:val="27"/>
        </w:numPr>
        <w:spacing w:after="120" w:line="240" w:lineRule="auto"/>
        <w:rPr>
          <w:rFonts w:cstheme="minorHAnsi"/>
        </w:rPr>
      </w:pPr>
      <w:r w:rsidRPr="009D2141">
        <w:rPr>
          <w:rFonts w:cstheme="minorHAnsi"/>
        </w:rPr>
        <w:t>T</w:t>
      </w:r>
      <w:r w:rsidR="005660D4">
        <w:rPr>
          <w:rFonts w:cstheme="minorHAnsi"/>
        </w:rPr>
        <w:t>ertiary entrance score</w:t>
      </w:r>
      <w:r>
        <w:rPr>
          <w:rFonts w:cstheme="minorHAnsi"/>
        </w:rPr>
        <w:t>: 0 to 100 (Award courses only);</w:t>
      </w:r>
    </w:p>
    <w:p w14:paraId="1C63D68F" w14:textId="77777777" w:rsidR="00525028" w:rsidRPr="009D2141" w:rsidRDefault="00525028" w:rsidP="00525028">
      <w:pPr>
        <w:pStyle w:val="ListParagraph"/>
        <w:numPr>
          <w:ilvl w:val="0"/>
          <w:numId w:val="27"/>
        </w:numPr>
        <w:spacing w:after="120" w:line="240" w:lineRule="auto"/>
        <w:rPr>
          <w:rFonts w:cstheme="minorHAnsi"/>
        </w:rPr>
      </w:pPr>
      <w:r w:rsidRPr="009D2141">
        <w:rPr>
          <w:rFonts w:cstheme="minorHAnsi"/>
        </w:rPr>
        <w:t>First</w:t>
      </w:r>
      <w:r>
        <w:rPr>
          <w:rFonts w:cstheme="minorHAnsi"/>
        </w:rPr>
        <w:t xml:space="preserve"> year of enrolment 2009 to 2016;</w:t>
      </w:r>
    </w:p>
    <w:p w14:paraId="3D2AFA53" w14:textId="77777777" w:rsidR="00525028" w:rsidRPr="009D2141" w:rsidRDefault="00525028" w:rsidP="00525028">
      <w:pPr>
        <w:pStyle w:val="ListParagraph"/>
        <w:numPr>
          <w:ilvl w:val="0"/>
          <w:numId w:val="28"/>
        </w:numPr>
        <w:spacing w:after="120" w:line="240" w:lineRule="auto"/>
        <w:rPr>
          <w:rFonts w:cstheme="minorHAnsi"/>
        </w:rPr>
      </w:pPr>
      <w:r>
        <w:rPr>
          <w:rFonts w:cstheme="minorHAnsi"/>
        </w:rPr>
        <w:t xml:space="preserve">Age left school between </w:t>
      </w:r>
      <w:r w:rsidRPr="009D2141">
        <w:rPr>
          <w:rFonts w:cstheme="minorHAnsi"/>
        </w:rPr>
        <w:t>15</w:t>
      </w:r>
      <w:r>
        <w:rPr>
          <w:rFonts w:cstheme="minorHAnsi"/>
        </w:rPr>
        <w:t xml:space="preserve"> and 21;</w:t>
      </w:r>
    </w:p>
    <w:p w14:paraId="34D21BD8" w14:textId="77777777" w:rsidR="00525028" w:rsidRPr="00022A02" w:rsidRDefault="00525028" w:rsidP="00525028">
      <w:pPr>
        <w:pStyle w:val="ListParagraph"/>
        <w:numPr>
          <w:ilvl w:val="0"/>
          <w:numId w:val="28"/>
        </w:numPr>
        <w:spacing w:after="120" w:line="240" w:lineRule="auto"/>
        <w:rPr>
          <w:rFonts w:cstheme="minorHAnsi"/>
        </w:rPr>
      </w:pPr>
      <w:r w:rsidRPr="009D2141">
        <w:rPr>
          <w:rFonts w:cstheme="minorHAnsi"/>
        </w:rPr>
        <w:t>Combined</w:t>
      </w:r>
      <w:r>
        <w:rPr>
          <w:rFonts w:cstheme="minorHAnsi"/>
        </w:rPr>
        <w:t xml:space="preserve"> Year left school 2008 to 2014.</w:t>
      </w:r>
    </w:p>
    <w:p w14:paraId="7B82F133" w14:textId="39D8FB39" w:rsidR="00525028" w:rsidRPr="00022A02" w:rsidRDefault="00525028" w:rsidP="00525028">
      <w:pPr>
        <w:rPr>
          <w:rFonts w:cstheme="minorHAnsi"/>
        </w:rPr>
      </w:pPr>
      <w:r w:rsidRPr="009D2141">
        <w:rPr>
          <w:rFonts w:cstheme="minorHAnsi"/>
        </w:rPr>
        <w:t>For the 2011 cohort analys</w:t>
      </w:r>
      <w:r>
        <w:rPr>
          <w:rFonts w:cstheme="minorHAnsi"/>
        </w:rPr>
        <w:t>es</w:t>
      </w:r>
      <w:r w:rsidRPr="009D2141">
        <w:rPr>
          <w:rFonts w:cstheme="minorHAnsi"/>
        </w:rPr>
        <w:t xml:space="preserve">, we derived a simpler derivation of gap year to be used as a covariate.  This simple gap year definition provided better coverage of our overall cohort. </w:t>
      </w:r>
      <w:r>
        <w:rPr>
          <w:rFonts w:cstheme="minorHAnsi"/>
        </w:rPr>
        <w:t>It</w:t>
      </w:r>
      <w:r w:rsidRPr="009D2141">
        <w:rPr>
          <w:rFonts w:cstheme="minorHAnsi"/>
        </w:rPr>
        <w:t xml:space="preserve"> was defined as having a 1- or 2-year break between year left school and first year of bachelor’s degree enrolment based on the enrol file.  All other students were considered non-gap year takers.</w:t>
      </w:r>
    </w:p>
    <w:p w14:paraId="696C3985" w14:textId="77777777" w:rsidR="00525028" w:rsidRPr="00812EAC" w:rsidRDefault="00525028" w:rsidP="00525028">
      <w:pPr>
        <w:pStyle w:val="Heading2"/>
      </w:pPr>
      <w:bookmarkStart w:id="29" w:name="_Toc42594036"/>
      <w:bookmarkStart w:id="30" w:name="_Toc47696953"/>
      <w:r>
        <w:t>Variables during study</w:t>
      </w:r>
      <w:bookmarkEnd w:id="29"/>
      <w:bookmarkEnd w:id="30"/>
    </w:p>
    <w:p w14:paraId="77E7973A" w14:textId="77777777" w:rsidR="00525028" w:rsidRDefault="00525028" w:rsidP="00525028">
      <w:r>
        <w:t>We created a semester definition which splits the whole calendar year in half to account for students that may be taking courses outside the standard two semesters per year. We defined a unit as being in the first or last half of the year using the census date for that unit contained in the HEIMS load file.</w:t>
      </w:r>
    </w:p>
    <w:p w14:paraId="0AA18C34" w14:textId="77777777" w:rsidR="00525028" w:rsidRPr="00F26A9E" w:rsidRDefault="00525028" w:rsidP="00525028">
      <w:r>
        <w:t>Study variables taken from HEIMS were aggregated across time for analyses, these include equivalent full-time student load</w:t>
      </w:r>
      <w:r>
        <w:rPr>
          <w:rStyle w:val="EndnoteReference"/>
        </w:rPr>
        <w:endnoteReference w:id="24"/>
      </w:r>
      <w:r>
        <w:t xml:space="preserve"> (</w:t>
      </w:r>
      <w:r w:rsidRPr="4AD4430D">
        <w:rPr>
          <w:b/>
          <w:bCs/>
        </w:rPr>
        <w:t>EFTSL</w:t>
      </w:r>
      <w:r>
        <w:t>), field of education (</w:t>
      </w:r>
      <w:r w:rsidRPr="4AD4430D">
        <w:rPr>
          <w:b/>
          <w:bCs/>
        </w:rPr>
        <w:t>FOE</w:t>
      </w:r>
      <w:r>
        <w:t xml:space="preserve">), </w:t>
      </w:r>
      <w:r w:rsidRPr="4AD4430D">
        <w:rPr>
          <w:b/>
          <w:bCs/>
        </w:rPr>
        <w:t>attendance mode</w:t>
      </w:r>
      <w:r>
        <w:t xml:space="preserve">, </w:t>
      </w:r>
      <w:r w:rsidRPr="007B61EB">
        <w:t>and</w:t>
      </w:r>
      <w:r>
        <w:t xml:space="preserve"> </w:t>
      </w:r>
      <w:r w:rsidRPr="4AD4430D">
        <w:rPr>
          <w:b/>
          <w:bCs/>
        </w:rPr>
        <w:t>institution</w:t>
      </w:r>
      <w:r>
        <w:t xml:space="preserve"> of study. As students regularly change their degrees throughout their study, we assigned </w:t>
      </w:r>
      <w:r w:rsidRPr="4AD4430D">
        <w:rPr>
          <w:b/>
          <w:bCs/>
        </w:rPr>
        <w:t>FOE</w:t>
      </w:r>
      <w:r>
        <w:t xml:space="preserve"> and </w:t>
      </w:r>
      <w:r w:rsidRPr="4AD4430D">
        <w:rPr>
          <w:b/>
          <w:bCs/>
        </w:rPr>
        <w:t>institution</w:t>
      </w:r>
      <w:r>
        <w:t xml:space="preserve"> based off their completion entry.</w:t>
      </w:r>
      <w:r>
        <w:rPr>
          <w:rStyle w:val="FootnoteReference"/>
        </w:rPr>
        <w:footnoteReference w:id="15"/>
      </w:r>
      <w:r>
        <w:t xml:space="preserve"> For those that did not complete their studies, we took their statistical modes. </w:t>
      </w:r>
      <w:r w:rsidRPr="4AD4430D">
        <w:rPr>
          <w:b/>
          <w:bCs/>
        </w:rPr>
        <w:t>EFTSL</w:t>
      </w:r>
      <w:r>
        <w:t xml:space="preserve"> was calculated as a per-semester-studied value as opposed to a per-semester or per-year. This way students who took breaks from studying were not misrepresented as having low study loads overall. </w:t>
      </w:r>
      <w:r w:rsidRPr="4AD4430D">
        <w:rPr>
          <w:b/>
          <w:bCs/>
        </w:rPr>
        <w:t>Attendance mode</w:t>
      </w:r>
      <w:r>
        <w:t xml:space="preserve"> was also categorised using the statistical mode over the duration of the student’s enrolment. </w:t>
      </w:r>
      <w:r w:rsidRPr="4AD4430D">
        <w:rPr>
          <w:b/>
          <w:bCs/>
        </w:rPr>
        <w:t xml:space="preserve">FOE </w:t>
      </w:r>
      <w:r>
        <w:t>was used at the 2-digit level</w:t>
      </w:r>
      <w:r>
        <w:rPr>
          <w:rStyle w:val="EndnoteReference"/>
        </w:rPr>
        <w:endnoteReference w:id="25"/>
      </w:r>
      <w:r>
        <w:t xml:space="preserve"> and </w:t>
      </w:r>
      <w:r w:rsidRPr="4AD4430D">
        <w:rPr>
          <w:b/>
          <w:bCs/>
        </w:rPr>
        <w:t>institution</w:t>
      </w:r>
      <w:r>
        <w:t xml:space="preserve"> only contained Table A and B providers</w:t>
      </w:r>
      <w:r>
        <w:rPr>
          <w:rStyle w:val="EndnoteReference"/>
        </w:rPr>
        <w:endnoteReference w:id="26"/>
      </w:r>
      <w:r>
        <w:t xml:space="preserve"> and we aggregated all non-university providers into a single grouping.</w:t>
      </w:r>
    </w:p>
    <w:p w14:paraId="728C4B61" w14:textId="77777777" w:rsidR="00525028" w:rsidRPr="00022A02" w:rsidRDefault="00525028" w:rsidP="00525028">
      <w:r w:rsidRPr="4AD4430D">
        <w:rPr>
          <w:b/>
          <w:bCs/>
        </w:rPr>
        <w:t>Mental health</w:t>
      </w:r>
      <w:r>
        <w:t xml:space="preserve">, </w:t>
      </w:r>
      <w:r w:rsidRPr="4AD4430D">
        <w:rPr>
          <w:b/>
          <w:bCs/>
        </w:rPr>
        <w:t>disability</w:t>
      </w:r>
      <w:r>
        <w:t xml:space="preserve">, and </w:t>
      </w:r>
      <w:r w:rsidRPr="4AD4430D">
        <w:rPr>
          <w:b/>
          <w:bCs/>
        </w:rPr>
        <w:t>chronic health</w:t>
      </w:r>
      <w:r>
        <w:t xml:space="preserve"> services flags were based on advice from the Department of Health and were derived using a combination of items from MBS/PBS as well as self-reporting on enrolment for </w:t>
      </w:r>
      <w:r w:rsidRPr="4AD4430D">
        <w:rPr>
          <w:b/>
          <w:bCs/>
        </w:rPr>
        <w:t>disability</w:t>
      </w:r>
      <w:r>
        <w:t xml:space="preserve"> and access to </w:t>
      </w:r>
      <w:r w:rsidRPr="4AD4430D">
        <w:rPr>
          <w:b/>
          <w:bCs/>
        </w:rPr>
        <w:t>non-student support payments</w:t>
      </w:r>
      <w:r>
        <w:t xml:space="preserve"> through SSRI. The flags were used as indicators of present conditions during study. </w:t>
      </w:r>
      <w:r w:rsidRPr="009D2141">
        <w:rPr>
          <w:rFonts w:cstheme="minorHAnsi"/>
        </w:rPr>
        <w:t xml:space="preserve">Health data was provided in six-monthly volumes per student from </w:t>
      </w:r>
      <w:r>
        <w:rPr>
          <w:rFonts w:cstheme="minorHAnsi"/>
        </w:rPr>
        <w:t xml:space="preserve">MBS </w:t>
      </w:r>
      <w:r w:rsidRPr="009D2141">
        <w:rPr>
          <w:rFonts w:cstheme="minorHAnsi"/>
        </w:rPr>
        <w:t xml:space="preserve">and </w:t>
      </w:r>
      <w:r>
        <w:rPr>
          <w:rFonts w:cstheme="minorHAnsi"/>
        </w:rPr>
        <w:t>PBS</w:t>
      </w:r>
      <w:r>
        <w:rPr>
          <w:rStyle w:val="FootnoteReference"/>
          <w:rFonts w:cstheme="minorHAnsi"/>
        </w:rPr>
        <w:footnoteReference w:id="16"/>
      </w:r>
      <w:r w:rsidRPr="009D2141">
        <w:rPr>
          <w:rFonts w:cstheme="minorHAnsi"/>
        </w:rPr>
        <w:t>. Health flags were derived based on guidance fr</w:t>
      </w:r>
      <w:r>
        <w:rPr>
          <w:rFonts w:cstheme="minorHAnsi"/>
        </w:rPr>
        <w:t>om Department of Health.</w:t>
      </w:r>
    </w:p>
    <w:p w14:paraId="0B34B3B0" w14:textId="77777777" w:rsidR="00525028" w:rsidRPr="009D2141" w:rsidRDefault="00525028" w:rsidP="00525028">
      <w:pPr>
        <w:rPr>
          <w:rFonts w:cstheme="minorHAnsi"/>
        </w:rPr>
      </w:pPr>
      <w:r>
        <w:rPr>
          <w:rFonts w:cstheme="minorHAnsi"/>
        </w:rPr>
        <w:t>The</w:t>
      </w:r>
      <w:r w:rsidRPr="009D2141">
        <w:rPr>
          <w:rFonts w:cstheme="minorHAnsi"/>
        </w:rPr>
        <w:t xml:space="preserve"> </w:t>
      </w:r>
      <w:r>
        <w:rPr>
          <w:rFonts w:cstheme="minorHAnsi"/>
          <w:b/>
        </w:rPr>
        <w:t>chronic health flag</w:t>
      </w:r>
      <w:r>
        <w:rPr>
          <w:rFonts w:cstheme="minorHAnsi"/>
        </w:rPr>
        <w:t xml:space="preserve"> was </w:t>
      </w:r>
      <w:r w:rsidRPr="009D2141">
        <w:rPr>
          <w:rFonts w:cstheme="minorHAnsi"/>
        </w:rPr>
        <w:t xml:space="preserve">based on MBS six-monthly volume data. A student was flagged as having a chronic health condition if they accessed any services for MBS chronic disease management (CDM) </w:t>
      </w:r>
      <w:r w:rsidRPr="009D2141">
        <w:rPr>
          <w:rFonts w:cstheme="minorHAnsi"/>
        </w:rPr>
        <w:lastRenderedPageBreak/>
        <w:t>items during study. CDM items included chronic disease and other allied health services. The ’during study’ time period is defined as between a student’s initial commencing 2011 semester and the last semester of a student’s course of completion or modal course of study inclusive.</w:t>
      </w:r>
    </w:p>
    <w:p w14:paraId="7FDE2CB1" w14:textId="4237FE9C" w:rsidR="00525028" w:rsidRPr="009D2141" w:rsidRDefault="00525028" w:rsidP="00525028">
      <w:pPr>
        <w:rPr>
          <w:rFonts w:cstheme="minorHAnsi"/>
        </w:rPr>
      </w:pPr>
      <w:r>
        <w:rPr>
          <w:rFonts w:cstheme="minorHAnsi"/>
        </w:rPr>
        <w:t xml:space="preserve">The </w:t>
      </w:r>
      <w:r w:rsidRPr="00022A02">
        <w:rPr>
          <w:rFonts w:cstheme="minorHAnsi"/>
          <w:b/>
        </w:rPr>
        <w:t>mental health flag</w:t>
      </w:r>
      <w:r w:rsidRPr="009D2141">
        <w:rPr>
          <w:rFonts w:cstheme="minorHAnsi"/>
        </w:rPr>
        <w:t xml:space="preserve"> </w:t>
      </w:r>
      <w:r>
        <w:rPr>
          <w:rFonts w:cstheme="minorHAnsi"/>
        </w:rPr>
        <w:t xml:space="preserve">was derived in a similar way to the </w:t>
      </w:r>
      <w:r>
        <w:rPr>
          <w:rFonts w:cstheme="minorHAnsi"/>
          <w:b/>
        </w:rPr>
        <w:t>chronic health flag</w:t>
      </w:r>
      <w:r w:rsidR="001B206A">
        <w:rPr>
          <w:rStyle w:val="FootnoteReference"/>
          <w:rFonts w:cstheme="minorHAnsi"/>
          <w:b/>
        </w:rPr>
        <w:footnoteReference w:id="17"/>
      </w:r>
      <w:r>
        <w:rPr>
          <w:rFonts w:cstheme="minorHAnsi"/>
        </w:rPr>
        <w:t xml:space="preserve">. A </w:t>
      </w:r>
      <w:r w:rsidRPr="009D2141">
        <w:rPr>
          <w:rFonts w:cstheme="minorHAnsi"/>
        </w:rPr>
        <w:t xml:space="preserve">student was flagged as having a </w:t>
      </w:r>
      <w:r>
        <w:rPr>
          <w:rFonts w:cstheme="minorHAnsi"/>
        </w:rPr>
        <w:t xml:space="preserve">known </w:t>
      </w:r>
      <w:r w:rsidRPr="009D2141">
        <w:rPr>
          <w:rFonts w:cstheme="minorHAnsi"/>
        </w:rPr>
        <w:t xml:space="preserve">mental health condition if they accessed any </w:t>
      </w:r>
      <w:r>
        <w:rPr>
          <w:rFonts w:cstheme="minorHAnsi"/>
        </w:rPr>
        <w:t xml:space="preserve">of the following mental health </w:t>
      </w:r>
      <w:r w:rsidRPr="009D2141">
        <w:rPr>
          <w:rFonts w:cstheme="minorHAnsi"/>
        </w:rPr>
        <w:t>services items during</w:t>
      </w:r>
      <w:r>
        <w:rPr>
          <w:rFonts w:cstheme="minorHAnsi"/>
        </w:rPr>
        <w:t xml:space="preserve"> study</w:t>
      </w:r>
      <w:r w:rsidRPr="009D2141">
        <w:rPr>
          <w:rFonts w:cstheme="minorHAnsi"/>
        </w:rPr>
        <w:t>:</w:t>
      </w:r>
    </w:p>
    <w:p w14:paraId="096586A1" w14:textId="77777777" w:rsidR="00525028" w:rsidRPr="009D2141" w:rsidRDefault="00525028" w:rsidP="00525028">
      <w:pPr>
        <w:pStyle w:val="ListParagraph"/>
        <w:numPr>
          <w:ilvl w:val="0"/>
          <w:numId w:val="29"/>
        </w:numPr>
        <w:spacing w:after="160" w:line="256" w:lineRule="auto"/>
        <w:rPr>
          <w:rFonts w:cstheme="minorHAnsi"/>
        </w:rPr>
      </w:pPr>
      <w:r>
        <w:rPr>
          <w:rFonts w:cstheme="minorHAnsi"/>
        </w:rPr>
        <w:t>P</w:t>
      </w:r>
      <w:r w:rsidRPr="009D2141">
        <w:rPr>
          <w:rFonts w:cstheme="minorHAnsi"/>
        </w:rPr>
        <w:t>sychiatri</w:t>
      </w:r>
      <w:r>
        <w:rPr>
          <w:rFonts w:cstheme="minorHAnsi"/>
        </w:rPr>
        <w:t>c</w:t>
      </w:r>
      <w:r w:rsidRPr="009D2141">
        <w:rPr>
          <w:rFonts w:cstheme="minorHAnsi"/>
        </w:rPr>
        <w:t xml:space="preserve"> services</w:t>
      </w:r>
      <w:r>
        <w:rPr>
          <w:rFonts w:cstheme="minorHAnsi"/>
        </w:rPr>
        <w:t>;</w:t>
      </w:r>
    </w:p>
    <w:p w14:paraId="16EA7993" w14:textId="77777777" w:rsidR="00525028" w:rsidRPr="009D2141" w:rsidRDefault="00525028" w:rsidP="00525028">
      <w:pPr>
        <w:pStyle w:val="ListParagraph"/>
        <w:numPr>
          <w:ilvl w:val="0"/>
          <w:numId w:val="29"/>
        </w:numPr>
        <w:spacing w:after="160" w:line="256" w:lineRule="auto"/>
        <w:rPr>
          <w:rFonts w:cstheme="minorHAnsi"/>
        </w:rPr>
      </w:pPr>
      <w:r>
        <w:rPr>
          <w:rFonts w:cstheme="minorHAnsi"/>
        </w:rPr>
        <w:t xml:space="preserve">General Practitioner </w:t>
      </w:r>
      <w:r w:rsidRPr="009D2141">
        <w:rPr>
          <w:rFonts w:cstheme="minorHAnsi"/>
        </w:rPr>
        <w:t>mental health services</w:t>
      </w:r>
      <w:r>
        <w:rPr>
          <w:rFonts w:cstheme="minorHAnsi"/>
        </w:rPr>
        <w:t>, such as a mental health plan;</w:t>
      </w:r>
    </w:p>
    <w:p w14:paraId="3C46C0E3" w14:textId="77777777" w:rsidR="00525028" w:rsidRPr="009D2141" w:rsidRDefault="00525028" w:rsidP="00525028">
      <w:pPr>
        <w:pStyle w:val="ListParagraph"/>
        <w:numPr>
          <w:ilvl w:val="0"/>
          <w:numId w:val="29"/>
        </w:numPr>
        <w:spacing w:after="160" w:line="256" w:lineRule="auto"/>
        <w:rPr>
          <w:rFonts w:cstheme="minorHAnsi"/>
        </w:rPr>
      </w:pPr>
      <w:r>
        <w:rPr>
          <w:rFonts w:cstheme="minorHAnsi"/>
        </w:rPr>
        <w:t>C</w:t>
      </w:r>
      <w:r w:rsidRPr="009D2141">
        <w:rPr>
          <w:rFonts w:cstheme="minorHAnsi"/>
        </w:rPr>
        <w:t>linical psycholog</w:t>
      </w:r>
      <w:r>
        <w:rPr>
          <w:rFonts w:cstheme="minorHAnsi"/>
        </w:rPr>
        <w:t>y</w:t>
      </w:r>
      <w:r w:rsidRPr="009D2141">
        <w:rPr>
          <w:rFonts w:cstheme="minorHAnsi"/>
        </w:rPr>
        <w:t xml:space="preserve"> services</w:t>
      </w:r>
      <w:r>
        <w:rPr>
          <w:rFonts w:cstheme="minorHAnsi"/>
        </w:rPr>
        <w:t>;</w:t>
      </w:r>
    </w:p>
    <w:p w14:paraId="01629F0F" w14:textId="77777777" w:rsidR="00525028" w:rsidRPr="009D2141" w:rsidRDefault="00525028" w:rsidP="00525028">
      <w:pPr>
        <w:pStyle w:val="ListParagraph"/>
        <w:numPr>
          <w:ilvl w:val="0"/>
          <w:numId w:val="29"/>
        </w:numPr>
        <w:spacing w:after="160" w:line="256" w:lineRule="auto"/>
        <w:rPr>
          <w:rFonts w:cstheme="minorHAnsi"/>
        </w:rPr>
      </w:pPr>
      <w:r>
        <w:rPr>
          <w:rFonts w:cstheme="minorHAnsi"/>
        </w:rPr>
        <w:t>O</w:t>
      </w:r>
      <w:r w:rsidRPr="009D2141">
        <w:rPr>
          <w:rFonts w:cstheme="minorHAnsi"/>
        </w:rPr>
        <w:t>ther psycholog</w:t>
      </w:r>
      <w:r>
        <w:rPr>
          <w:rFonts w:cstheme="minorHAnsi"/>
        </w:rPr>
        <w:t>y</w:t>
      </w:r>
      <w:r w:rsidRPr="009D2141">
        <w:rPr>
          <w:rFonts w:cstheme="minorHAnsi"/>
        </w:rPr>
        <w:t xml:space="preserve"> services</w:t>
      </w:r>
      <w:r>
        <w:rPr>
          <w:rFonts w:cstheme="minorHAnsi"/>
        </w:rPr>
        <w:t>; and</w:t>
      </w:r>
    </w:p>
    <w:p w14:paraId="3F7CA6B7" w14:textId="77777777" w:rsidR="00525028" w:rsidRPr="009D2141" w:rsidRDefault="00525028" w:rsidP="00525028">
      <w:pPr>
        <w:pStyle w:val="ListParagraph"/>
        <w:numPr>
          <w:ilvl w:val="0"/>
          <w:numId w:val="29"/>
        </w:numPr>
        <w:spacing w:after="160" w:line="256" w:lineRule="auto"/>
        <w:rPr>
          <w:rFonts w:cstheme="minorHAnsi"/>
        </w:rPr>
      </w:pPr>
      <w:r>
        <w:rPr>
          <w:rFonts w:cstheme="minorHAnsi"/>
        </w:rPr>
        <w:t>O</w:t>
      </w:r>
      <w:r w:rsidRPr="009D2141">
        <w:rPr>
          <w:rFonts w:cstheme="minorHAnsi"/>
        </w:rPr>
        <w:t>ther mental health professional services</w:t>
      </w:r>
      <w:r>
        <w:rPr>
          <w:rFonts w:cstheme="minorHAnsi"/>
        </w:rPr>
        <w:t>.</w:t>
      </w:r>
    </w:p>
    <w:p w14:paraId="2C149106" w14:textId="77777777" w:rsidR="00525028" w:rsidRPr="009D2141" w:rsidRDefault="00525028" w:rsidP="00525028">
      <w:pPr>
        <w:spacing w:after="160" w:line="256" w:lineRule="auto"/>
        <w:rPr>
          <w:rFonts w:cstheme="minorHAnsi"/>
        </w:rPr>
      </w:pPr>
      <w:r w:rsidRPr="009D2141">
        <w:rPr>
          <w:rFonts w:cstheme="minorHAnsi"/>
        </w:rPr>
        <w:t>The ’during study’ time period is defined as between a student’s initial commencing 2011 semester and the last semester of a student’s course of completion or modal course of study inclusive.</w:t>
      </w:r>
    </w:p>
    <w:p w14:paraId="2C0C709E" w14:textId="3D5E57E8" w:rsidR="00525028" w:rsidRPr="00922E35" w:rsidRDefault="00525028" w:rsidP="00525028">
      <w:pPr>
        <w:rPr>
          <w:rFonts w:cstheme="minorHAnsi"/>
        </w:rPr>
      </w:pPr>
      <w:r w:rsidRPr="009D2141">
        <w:rPr>
          <w:rFonts w:cstheme="minorHAnsi"/>
        </w:rPr>
        <w:t>Within the mental health factsheet, we additionally explored any mental health condition between 2011 and 2016 regardless of study period.  We also analysed mental health after study, the ‘after study’ time period was defined as after the last semester of a student’s course of completion or modal course of study.</w:t>
      </w:r>
    </w:p>
    <w:p w14:paraId="74492447" w14:textId="046F1F52" w:rsidR="00525028" w:rsidRDefault="00525028" w:rsidP="00525028">
      <w:r w:rsidRPr="4AD4430D">
        <w:rPr>
          <w:b/>
          <w:bCs/>
        </w:rPr>
        <w:t xml:space="preserve">Gross </w:t>
      </w:r>
      <w:r w:rsidR="0030564C">
        <w:rPr>
          <w:b/>
          <w:bCs/>
        </w:rPr>
        <w:t>i</w:t>
      </w:r>
      <w:r w:rsidRPr="4AD4430D">
        <w:rPr>
          <w:b/>
          <w:bCs/>
        </w:rPr>
        <w:t>ncome</w:t>
      </w:r>
      <w:r w:rsidRPr="0098688E">
        <w:rPr>
          <w:rStyle w:val="EndnoteReference"/>
        </w:rPr>
        <w:endnoteReference w:id="27"/>
      </w:r>
      <w:r w:rsidRPr="0098688E">
        <w:t xml:space="preserve"> </w:t>
      </w:r>
      <w:r>
        <w:t>while studying was calculated using a combination of PIT</w:t>
      </w:r>
      <w:r w:rsidR="0030564C">
        <w:t xml:space="preserve">, </w:t>
      </w:r>
      <w:r>
        <w:t>PAYG</w:t>
      </w:r>
      <w:r w:rsidR="0030564C">
        <w:t xml:space="preserve"> and SSRI</w:t>
      </w:r>
      <w:r>
        <w:t xml:space="preserve">. </w:t>
      </w:r>
      <w:r w:rsidRPr="4AD4430D">
        <w:rPr>
          <w:b/>
          <w:bCs/>
        </w:rPr>
        <w:t xml:space="preserve">Gross </w:t>
      </w:r>
      <w:r w:rsidR="0030564C">
        <w:rPr>
          <w:b/>
          <w:bCs/>
        </w:rPr>
        <w:t>i</w:t>
      </w:r>
      <w:r w:rsidRPr="4AD4430D">
        <w:rPr>
          <w:b/>
          <w:bCs/>
        </w:rPr>
        <w:t>ncome</w:t>
      </w:r>
      <w:r>
        <w:t xml:space="preserve"> was averaged over semesters studied. To ensure that we did not include income from semesters where students weren’t studying, we only include semesters where there was full coverage over the financial year. PAYG was more flexible as sometimes the payment summaries contained detailed start and end dates.</w:t>
      </w:r>
      <w:r w:rsidR="0030564C">
        <w:t xml:space="preserve"> </w:t>
      </w:r>
      <w:r w:rsidR="0030564C">
        <w:rPr>
          <w:b/>
          <w:bCs/>
        </w:rPr>
        <w:t>Gross income</w:t>
      </w:r>
      <w:r w:rsidR="0030564C">
        <w:t xml:space="preserve"> is a summation of:</w:t>
      </w:r>
    </w:p>
    <w:p w14:paraId="3611504D" w14:textId="772FECCB" w:rsidR="0030564C" w:rsidRPr="0030564C" w:rsidRDefault="0030564C" w:rsidP="0030564C">
      <w:pPr>
        <w:pStyle w:val="ListParagraph"/>
        <w:numPr>
          <w:ilvl w:val="0"/>
          <w:numId w:val="31"/>
        </w:numPr>
      </w:pPr>
      <w:r>
        <w:rPr>
          <w:b/>
          <w:bCs/>
        </w:rPr>
        <w:t>Employment income</w:t>
      </w:r>
    </w:p>
    <w:p w14:paraId="049C234F" w14:textId="2E5152A4" w:rsidR="0030564C" w:rsidRPr="0030564C" w:rsidRDefault="0030564C" w:rsidP="0030564C">
      <w:pPr>
        <w:pStyle w:val="ListParagraph"/>
        <w:numPr>
          <w:ilvl w:val="0"/>
          <w:numId w:val="31"/>
        </w:numPr>
      </w:pPr>
      <w:r>
        <w:rPr>
          <w:b/>
          <w:bCs/>
        </w:rPr>
        <w:t>Business income</w:t>
      </w:r>
    </w:p>
    <w:p w14:paraId="00DC2EE2" w14:textId="60BAC90E" w:rsidR="0030564C" w:rsidRPr="0030564C" w:rsidRDefault="0030564C" w:rsidP="0030564C">
      <w:pPr>
        <w:pStyle w:val="ListParagraph"/>
        <w:numPr>
          <w:ilvl w:val="0"/>
          <w:numId w:val="31"/>
        </w:numPr>
      </w:pPr>
      <w:r>
        <w:rPr>
          <w:b/>
          <w:bCs/>
        </w:rPr>
        <w:t>Investment income</w:t>
      </w:r>
    </w:p>
    <w:p w14:paraId="78C0094E" w14:textId="3474E30E" w:rsidR="0030564C" w:rsidRPr="0030564C" w:rsidRDefault="0030564C" w:rsidP="0030564C">
      <w:pPr>
        <w:pStyle w:val="ListParagraph"/>
        <w:numPr>
          <w:ilvl w:val="0"/>
          <w:numId w:val="31"/>
        </w:numPr>
      </w:pPr>
      <w:r>
        <w:rPr>
          <w:b/>
          <w:bCs/>
        </w:rPr>
        <w:t>Superannuation</w:t>
      </w:r>
    </w:p>
    <w:p w14:paraId="79A53F8A" w14:textId="64709536" w:rsidR="0030564C" w:rsidRPr="0030564C" w:rsidRDefault="0030564C" w:rsidP="0030564C">
      <w:pPr>
        <w:pStyle w:val="ListParagraph"/>
        <w:numPr>
          <w:ilvl w:val="0"/>
          <w:numId w:val="31"/>
        </w:numPr>
      </w:pPr>
      <w:r>
        <w:rPr>
          <w:b/>
          <w:bCs/>
        </w:rPr>
        <w:t>Other income</w:t>
      </w:r>
    </w:p>
    <w:p w14:paraId="4E1932D3" w14:textId="6BE6E1F6" w:rsidR="0030564C" w:rsidRPr="0030564C" w:rsidRDefault="0030564C" w:rsidP="0030564C">
      <w:pPr>
        <w:pStyle w:val="ListParagraph"/>
        <w:numPr>
          <w:ilvl w:val="0"/>
          <w:numId w:val="31"/>
        </w:numPr>
      </w:pPr>
      <w:r>
        <w:rPr>
          <w:b/>
          <w:bCs/>
        </w:rPr>
        <w:t>Government pensions</w:t>
      </w:r>
    </w:p>
    <w:bookmarkEnd w:id="8"/>
    <w:p w14:paraId="018B98DF" w14:textId="36E90349" w:rsidR="00525028" w:rsidRDefault="0030564C" w:rsidP="00525028">
      <w:r>
        <w:t>For the work and study factsheet</w:t>
      </w:r>
      <w:r w:rsidR="00525028">
        <w:t xml:space="preserve">, </w:t>
      </w:r>
      <w:r>
        <w:rPr>
          <w:b/>
          <w:bCs/>
        </w:rPr>
        <w:t xml:space="preserve">employment income </w:t>
      </w:r>
      <w:r w:rsidR="00525028">
        <w:t xml:space="preserve">was used to investigate the </w:t>
      </w:r>
      <w:r>
        <w:t xml:space="preserve">labour </w:t>
      </w:r>
      <w:r w:rsidR="00525028">
        <w:t>earnings of students.</w:t>
      </w:r>
      <w:r>
        <w:t xml:space="preserve"> For the income derivation rules please see Appendix A.</w:t>
      </w:r>
    </w:p>
    <w:p w14:paraId="560D9C91" w14:textId="512EE8C2" w:rsidR="00525028" w:rsidRDefault="00525028" w:rsidP="00525028">
      <w:r>
        <w:rPr>
          <w:b/>
        </w:rPr>
        <w:t xml:space="preserve">Student support </w:t>
      </w:r>
      <w:r>
        <w:t xml:space="preserve">and </w:t>
      </w:r>
      <w:r>
        <w:rPr>
          <w:b/>
        </w:rPr>
        <w:t>non-student support payments</w:t>
      </w:r>
      <w:r>
        <w:t xml:space="preserve"> were identified using the SSRI six monthly dataset. If a student had accessed </w:t>
      </w:r>
      <w:r w:rsidR="00CD3F36">
        <w:t>Y</w:t>
      </w:r>
      <w:r>
        <w:t xml:space="preserve">outh </w:t>
      </w:r>
      <w:r w:rsidR="00CD3F36">
        <w:t>A</w:t>
      </w:r>
      <w:r>
        <w:t>llowance, A</w:t>
      </w:r>
      <w:r w:rsidR="00094B8C">
        <w:t>ustudy</w:t>
      </w:r>
      <w:r>
        <w:t xml:space="preserve"> or ABSTUDY at any point in time during their study we gave them a student payment flag and if they had received any other support payment (such as disability payments or parental payments etc.) they received a separate flag.</w:t>
      </w:r>
      <w:r>
        <w:rPr>
          <w:rStyle w:val="EndnoteReference"/>
        </w:rPr>
        <w:endnoteReference w:id="28"/>
      </w:r>
    </w:p>
    <w:p w14:paraId="6AA024B8" w14:textId="77777777" w:rsidR="0030564C" w:rsidRDefault="0030564C" w:rsidP="0030564C">
      <w:pPr>
        <w:pStyle w:val="Heading1"/>
        <w:sectPr w:rsidR="0030564C" w:rsidSect="008507C1">
          <w:type w:val="continuous"/>
          <w:pgSz w:w="11906" w:h="16838"/>
          <w:pgMar w:top="1440" w:right="1440" w:bottom="1440" w:left="1440" w:header="708" w:footer="708" w:gutter="0"/>
          <w:cols w:space="708"/>
          <w:docGrid w:linePitch="360"/>
        </w:sectPr>
      </w:pPr>
      <w:bookmarkStart w:id="31" w:name="_Toc42594037"/>
    </w:p>
    <w:p w14:paraId="23E37AD1" w14:textId="4B7BE229" w:rsidR="0030564C" w:rsidRDefault="0030564C" w:rsidP="0030564C">
      <w:pPr>
        <w:pStyle w:val="Heading1"/>
      </w:pPr>
      <w:bookmarkStart w:id="32" w:name="_Toc47696954"/>
      <w:r>
        <w:lastRenderedPageBreak/>
        <w:t>Appendix A: Income rules</w:t>
      </w:r>
      <w:bookmarkEnd w:id="32"/>
    </w:p>
    <w:tbl>
      <w:tblPr>
        <w:tblStyle w:val="DESE"/>
        <w:tblW w:w="5000" w:type="pct"/>
        <w:tblLayout w:type="fixed"/>
        <w:tblLook w:val="04A0" w:firstRow="1" w:lastRow="0" w:firstColumn="1" w:lastColumn="0" w:noHBand="0" w:noVBand="1"/>
        <w:tblDescription w:val="Six columns: income type, data source, operator, variable used, description of variable, notes."/>
      </w:tblPr>
      <w:tblGrid>
        <w:gridCol w:w="1411"/>
        <w:gridCol w:w="851"/>
        <w:gridCol w:w="993"/>
        <w:gridCol w:w="3543"/>
        <w:gridCol w:w="5247"/>
        <w:gridCol w:w="1903"/>
      </w:tblGrid>
      <w:tr w:rsidR="0030564C" w:rsidRPr="0031647F" w14:paraId="6B6EAE07" w14:textId="77777777" w:rsidTr="008407DB">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506" w:type="pct"/>
            <w:noWrap/>
            <w:hideMark/>
          </w:tcPr>
          <w:p w14:paraId="34661462" w14:textId="77777777" w:rsidR="0030564C" w:rsidRPr="0031647F" w:rsidRDefault="0030564C" w:rsidP="0030564C">
            <w:pPr>
              <w:spacing w:after="0" w:line="240" w:lineRule="auto"/>
              <w:rPr>
                <w:rFonts w:eastAsia="Times New Roman" w:cs="Calibri"/>
                <w:b/>
                <w:bCs/>
                <w:color w:val="FFFFFF"/>
                <w:sz w:val="20"/>
                <w:szCs w:val="20"/>
                <w:lang w:eastAsia="en-AU"/>
              </w:rPr>
            </w:pPr>
            <w:r w:rsidRPr="0031647F">
              <w:rPr>
                <w:rFonts w:eastAsia="Times New Roman" w:cs="Calibri"/>
                <w:bCs/>
                <w:color w:val="FFFFFF"/>
                <w:sz w:val="20"/>
                <w:szCs w:val="20"/>
                <w:lang w:eastAsia="en-AU"/>
              </w:rPr>
              <w:t>Income type</w:t>
            </w:r>
          </w:p>
        </w:tc>
        <w:tc>
          <w:tcPr>
            <w:tcW w:w="305" w:type="pct"/>
            <w:noWrap/>
            <w:hideMark/>
          </w:tcPr>
          <w:p w14:paraId="4B28C353" w14:textId="77777777" w:rsidR="0030564C" w:rsidRPr="0031647F" w:rsidRDefault="0030564C" w:rsidP="0030564C">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Calibri"/>
                <w:b/>
                <w:bCs/>
                <w:color w:val="FFFFFF"/>
                <w:sz w:val="20"/>
                <w:szCs w:val="20"/>
                <w:lang w:eastAsia="en-AU"/>
              </w:rPr>
            </w:pPr>
            <w:r w:rsidRPr="0031647F">
              <w:rPr>
                <w:rFonts w:eastAsia="Times New Roman" w:cs="Calibri"/>
                <w:bCs/>
                <w:color w:val="FFFFFF"/>
                <w:sz w:val="20"/>
                <w:szCs w:val="20"/>
                <w:lang w:eastAsia="en-AU"/>
              </w:rPr>
              <w:t>Version</w:t>
            </w:r>
          </w:p>
        </w:tc>
        <w:tc>
          <w:tcPr>
            <w:tcW w:w="356" w:type="pct"/>
            <w:noWrap/>
            <w:hideMark/>
          </w:tcPr>
          <w:p w14:paraId="75DA2B2E" w14:textId="77777777" w:rsidR="0030564C" w:rsidRPr="0031647F" w:rsidRDefault="0030564C" w:rsidP="0030564C">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Calibri"/>
                <w:b/>
                <w:bCs/>
                <w:color w:val="FFFFFF"/>
                <w:sz w:val="20"/>
                <w:szCs w:val="20"/>
                <w:lang w:eastAsia="en-AU"/>
              </w:rPr>
            </w:pPr>
            <w:r w:rsidRPr="0031647F">
              <w:rPr>
                <w:rFonts w:eastAsia="Times New Roman" w:cs="Calibri"/>
                <w:bCs/>
                <w:color w:val="FFFFFF"/>
                <w:sz w:val="20"/>
                <w:szCs w:val="20"/>
                <w:lang w:eastAsia="en-AU"/>
              </w:rPr>
              <w:t>Operator</w:t>
            </w:r>
          </w:p>
        </w:tc>
        <w:tc>
          <w:tcPr>
            <w:tcW w:w="1270" w:type="pct"/>
            <w:noWrap/>
            <w:hideMark/>
          </w:tcPr>
          <w:p w14:paraId="4DB7705B" w14:textId="77777777" w:rsidR="0030564C" w:rsidRPr="0031647F" w:rsidRDefault="0030564C" w:rsidP="0030564C">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Calibri"/>
                <w:b/>
                <w:bCs/>
                <w:color w:val="FFFFFF"/>
                <w:sz w:val="20"/>
                <w:szCs w:val="20"/>
                <w:lang w:eastAsia="en-AU"/>
              </w:rPr>
            </w:pPr>
            <w:r w:rsidRPr="0031647F">
              <w:rPr>
                <w:rFonts w:eastAsia="Times New Roman" w:cs="Calibri"/>
                <w:bCs/>
                <w:color w:val="FFFFFF"/>
                <w:sz w:val="20"/>
                <w:szCs w:val="20"/>
                <w:lang w:eastAsia="en-AU"/>
              </w:rPr>
              <w:t>Variable</w:t>
            </w:r>
          </w:p>
        </w:tc>
        <w:tc>
          <w:tcPr>
            <w:tcW w:w="1881" w:type="pct"/>
            <w:noWrap/>
            <w:hideMark/>
          </w:tcPr>
          <w:p w14:paraId="115E3B96" w14:textId="77777777" w:rsidR="0030564C" w:rsidRPr="0031647F" w:rsidRDefault="0030564C" w:rsidP="0030564C">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Calibri"/>
                <w:b/>
                <w:bCs/>
                <w:color w:val="FFFFFF"/>
                <w:sz w:val="20"/>
                <w:szCs w:val="20"/>
                <w:lang w:eastAsia="en-AU"/>
              </w:rPr>
            </w:pPr>
            <w:r w:rsidRPr="0031647F">
              <w:rPr>
                <w:rFonts w:eastAsia="Times New Roman" w:cs="Calibri"/>
                <w:bCs/>
                <w:color w:val="FFFFFF"/>
                <w:sz w:val="20"/>
                <w:szCs w:val="20"/>
                <w:lang w:eastAsia="en-AU"/>
              </w:rPr>
              <w:t>Description</w:t>
            </w:r>
          </w:p>
        </w:tc>
        <w:tc>
          <w:tcPr>
            <w:tcW w:w="682" w:type="pct"/>
            <w:noWrap/>
            <w:hideMark/>
          </w:tcPr>
          <w:p w14:paraId="6720ABE0" w14:textId="77777777" w:rsidR="0030564C" w:rsidRPr="0031647F" w:rsidRDefault="0030564C" w:rsidP="0030564C">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Calibri"/>
                <w:b/>
                <w:bCs/>
                <w:color w:val="FFFFFF"/>
                <w:sz w:val="20"/>
                <w:szCs w:val="20"/>
                <w:lang w:eastAsia="en-AU"/>
              </w:rPr>
            </w:pPr>
            <w:r w:rsidRPr="0031647F">
              <w:rPr>
                <w:rFonts w:eastAsia="Times New Roman" w:cs="Calibri"/>
                <w:bCs/>
                <w:color w:val="FFFFFF"/>
                <w:sz w:val="20"/>
                <w:szCs w:val="20"/>
                <w:lang w:eastAsia="en-AU"/>
              </w:rPr>
              <w:t>Notes</w:t>
            </w:r>
          </w:p>
        </w:tc>
      </w:tr>
      <w:tr w:rsidR="0030564C" w:rsidRPr="0031647F" w14:paraId="46B3C80D" w14:textId="77777777" w:rsidTr="008407DB">
        <w:trPr>
          <w:trHeight w:val="300"/>
        </w:trPr>
        <w:tc>
          <w:tcPr>
            <w:cnfStyle w:val="001000000000" w:firstRow="0" w:lastRow="0" w:firstColumn="1" w:lastColumn="0" w:oddVBand="0" w:evenVBand="0" w:oddHBand="0" w:evenHBand="0" w:firstRowFirstColumn="0" w:firstRowLastColumn="0" w:lastRowFirstColumn="0" w:lastRowLastColumn="0"/>
            <w:tcW w:w="506" w:type="pct"/>
            <w:noWrap/>
            <w:hideMark/>
          </w:tcPr>
          <w:p w14:paraId="101733D6" w14:textId="77777777" w:rsidR="0030564C" w:rsidRPr="0031647F" w:rsidRDefault="0030564C" w:rsidP="0030564C">
            <w:pPr>
              <w:spacing w:after="0" w:line="240" w:lineRule="auto"/>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Employee/Exertion</w:t>
            </w:r>
          </w:p>
        </w:tc>
        <w:tc>
          <w:tcPr>
            <w:tcW w:w="305" w:type="pct"/>
            <w:noWrap/>
            <w:hideMark/>
          </w:tcPr>
          <w:p w14:paraId="652C64CB"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PIT</w:t>
            </w:r>
          </w:p>
        </w:tc>
        <w:tc>
          <w:tcPr>
            <w:tcW w:w="356" w:type="pct"/>
            <w:noWrap/>
            <w:hideMark/>
          </w:tcPr>
          <w:p w14:paraId="7323A798"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w:t>
            </w:r>
          </w:p>
        </w:tc>
        <w:tc>
          <w:tcPr>
            <w:tcW w:w="1270" w:type="pct"/>
            <w:noWrap/>
            <w:hideMark/>
          </w:tcPr>
          <w:p w14:paraId="39E168FB"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roofErr w:type="spellStart"/>
            <w:r w:rsidRPr="0031647F">
              <w:rPr>
                <w:rFonts w:ascii="Calibri" w:eastAsia="Times New Roman" w:hAnsi="Calibri" w:cs="Calibri"/>
                <w:color w:val="000000"/>
                <w:sz w:val="20"/>
                <w:szCs w:val="20"/>
                <w:lang w:eastAsia="en-AU"/>
              </w:rPr>
              <w:t>Grs_Pmt_Totl_Calcd_Amt</w:t>
            </w:r>
            <w:proofErr w:type="spellEnd"/>
          </w:p>
        </w:tc>
        <w:tc>
          <w:tcPr>
            <w:tcW w:w="1881" w:type="pct"/>
            <w:noWrap/>
            <w:hideMark/>
          </w:tcPr>
          <w:p w14:paraId="17853B47"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Salary or wages</w:t>
            </w:r>
          </w:p>
        </w:tc>
        <w:tc>
          <w:tcPr>
            <w:tcW w:w="682" w:type="pct"/>
            <w:noWrap/>
            <w:hideMark/>
          </w:tcPr>
          <w:p w14:paraId="6D3FE151"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
        </w:tc>
      </w:tr>
      <w:tr w:rsidR="0030564C" w:rsidRPr="0031647F" w14:paraId="1EC429BB" w14:textId="77777777" w:rsidTr="008407DB">
        <w:trPr>
          <w:trHeight w:val="300"/>
        </w:trPr>
        <w:tc>
          <w:tcPr>
            <w:cnfStyle w:val="001000000000" w:firstRow="0" w:lastRow="0" w:firstColumn="1" w:lastColumn="0" w:oddVBand="0" w:evenVBand="0" w:oddHBand="0" w:evenHBand="0" w:firstRowFirstColumn="0" w:firstRowLastColumn="0" w:lastRowFirstColumn="0" w:lastRowLastColumn="0"/>
            <w:tcW w:w="506" w:type="pct"/>
            <w:noWrap/>
            <w:hideMark/>
          </w:tcPr>
          <w:p w14:paraId="7A0E7CA7" w14:textId="77777777" w:rsidR="0030564C" w:rsidRPr="0031647F" w:rsidRDefault="0030564C" w:rsidP="0030564C">
            <w:pPr>
              <w:spacing w:after="0" w:line="240" w:lineRule="auto"/>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Employee/Exertion</w:t>
            </w:r>
          </w:p>
        </w:tc>
        <w:tc>
          <w:tcPr>
            <w:tcW w:w="305" w:type="pct"/>
            <w:noWrap/>
            <w:hideMark/>
          </w:tcPr>
          <w:p w14:paraId="18D0FC05"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PIT</w:t>
            </w:r>
          </w:p>
        </w:tc>
        <w:tc>
          <w:tcPr>
            <w:tcW w:w="356" w:type="pct"/>
            <w:noWrap/>
            <w:hideMark/>
          </w:tcPr>
          <w:p w14:paraId="24610E48"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w:t>
            </w:r>
          </w:p>
        </w:tc>
        <w:tc>
          <w:tcPr>
            <w:tcW w:w="1270" w:type="pct"/>
            <w:noWrap/>
            <w:hideMark/>
          </w:tcPr>
          <w:p w14:paraId="3A6D980E"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roofErr w:type="spellStart"/>
            <w:r w:rsidRPr="0031647F">
              <w:rPr>
                <w:rFonts w:ascii="Calibri" w:eastAsia="Times New Roman" w:hAnsi="Calibri" w:cs="Calibri"/>
                <w:color w:val="000000"/>
                <w:sz w:val="20"/>
                <w:szCs w:val="20"/>
                <w:lang w:eastAsia="en-AU"/>
              </w:rPr>
              <w:t>AlwncErngs_TipsDrctrsFees_Amt</w:t>
            </w:r>
            <w:proofErr w:type="spellEnd"/>
          </w:p>
        </w:tc>
        <w:tc>
          <w:tcPr>
            <w:tcW w:w="1881" w:type="pct"/>
            <w:noWrap/>
            <w:hideMark/>
          </w:tcPr>
          <w:p w14:paraId="196F17E5" w14:textId="2AD1F57A"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 xml:space="preserve">Allowances earnings tips </w:t>
            </w:r>
            <w:r w:rsidR="00ED5DF3" w:rsidRPr="0031647F">
              <w:rPr>
                <w:rFonts w:ascii="Calibri" w:eastAsia="Times New Roman" w:hAnsi="Calibri" w:cs="Calibri"/>
                <w:color w:val="000000"/>
                <w:sz w:val="20"/>
                <w:szCs w:val="20"/>
                <w:lang w:eastAsia="en-AU"/>
              </w:rPr>
              <w:t>directors’</w:t>
            </w:r>
            <w:r w:rsidRPr="0031647F">
              <w:rPr>
                <w:rFonts w:ascii="Calibri" w:eastAsia="Times New Roman" w:hAnsi="Calibri" w:cs="Calibri"/>
                <w:color w:val="000000"/>
                <w:sz w:val="20"/>
                <w:szCs w:val="20"/>
                <w:lang w:eastAsia="en-AU"/>
              </w:rPr>
              <w:t xml:space="preserve"> fees etc</w:t>
            </w:r>
          </w:p>
        </w:tc>
        <w:tc>
          <w:tcPr>
            <w:tcW w:w="682" w:type="pct"/>
            <w:noWrap/>
            <w:hideMark/>
          </w:tcPr>
          <w:p w14:paraId="55F4789E"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
        </w:tc>
      </w:tr>
      <w:tr w:rsidR="0030564C" w:rsidRPr="0031647F" w14:paraId="55BD21A5" w14:textId="77777777" w:rsidTr="008407DB">
        <w:trPr>
          <w:trHeight w:val="300"/>
        </w:trPr>
        <w:tc>
          <w:tcPr>
            <w:cnfStyle w:val="001000000000" w:firstRow="0" w:lastRow="0" w:firstColumn="1" w:lastColumn="0" w:oddVBand="0" w:evenVBand="0" w:oddHBand="0" w:evenHBand="0" w:firstRowFirstColumn="0" w:firstRowLastColumn="0" w:lastRowFirstColumn="0" w:lastRowLastColumn="0"/>
            <w:tcW w:w="506" w:type="pct"/>
            <w:noWrap/>
            <w:hideMark/>
          </w:tcPr>
          <w:p w14:paraId="6681A6B9" w14:textId="77777777" w:rsidR="0030564C" w:rsidRPr="0031647F" w:rsidRDefault="0030564C" w:rsidP="0030564C">
            <w:pPr>
              <w:spacing w:after="0" w:line="240" w:lineRule="auto"/>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Employee/Exertion</w:t>
            </w:r>
          </w:p>
        </w:tc>
        <w:tc>
          <w:tcPr>
            <w:tcW w:w="305" w:type="pct"/>
            <w:noWrap/>
            <w:hideMark/>
          </w:tcPr>
          <w:p w14:paraId="16E60577"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PIT</w:t>
            </w:r>
          </w:p>
        </w:tc>
        <w:tc>
          <w:tcPr>
            <w:tcW w:w="356" w:type="pct"/>
            <w:noWrap/>
            <w:hideMark/>
          </w:tcPr>
          <w:p w14:paraId="116C5C2F"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w:t>
            </w:r>
          </w:p>
        </w:tc>
        <w:tc>
          <w:tcPr>
            <w:tcW w:w="1270" w:type="pct"/>
            <w:noWrap/>
            <w:hideMark/>
          </w:tcPr>
          <w:p w14:paraId="05192229"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roofErr w:type="spellStart"/>
            <w:r w:rsidRPr="0031647F">
              <w:rPr>
                <w:rFonts w:ascii="Calibri" w:eastAsia="Times New Roman" w:hAnsi="Calibri" w:cs="Calibri"/>
                <w:color w:val="000000"/>
                <w:sz w:val="20"/>
                <w:szCs w:val="20"/>
                <w:lang w:eastAsia="en-AU"/>
              </w:rPr>
              <w:t>ETPs_OthrThn_ExcsvCmpnt_Amt</w:t>
            </w:r>
            <w:proofErr w:type="spellEnd"/>
          </w:p>
        </w:tc>
        <w:tc>
          <w:tcPr>
            <w:tcW w:w="1881" w:type="pct"/>
            <w:noWrap/>
            <w:hideMark/>
          </w:tcPr>
          <w:p w14:paraId="30404361"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Employment termination payments taxable component</w:t>
            </w:r>
          </w:p>
        </w:tc>
        <w:tc>
          <w:tcPr>
            <w:tcW w:w="682" w:type="pct"/>
            <w:noWrap/>
            <w:hideMark/>
          </w:tcPr>
          <w:p w14:paraId="2C65BAD4"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
        </w:tc>
      </w:tr>
      <w:tr w:rsidR="0030564C" w:rsidRPr="0031647F" w14:paraId="3F9AA4FB" w14:textId="77777777" w:rsidTr="008407DB">
        <w:trPr>
          <w:trHeight w:val="300"/>
        </w:trPr>
        <w:tc>
          <w:tcPr>
            <w:cnfStyle w:val="001000000000" w:firstRow="0" w:lastRow="0" w:firstColumn="1" w:lastColumn="0" w:oddVBand="0" w:evenVBand="0" w:oddHBand="0" w:evenHBand="0" w:firstRowFirstColumn="0" w:firstRowLastColumn="0" w:lastRowFirstColumn="0" w:lastRowLastColumn="0"/>
            <w:tcW w:w="506" w:type="pct"/>
            <w:noWrap/>
            <w:hideMark/>
          </w:tcPr>
          <w:p w14:paraId="53C08D7C" w14:textId="77777777" w:rsidR="0030564C" w:rsidRPr="0031647F" w:rsidRDefault="0030564C" w:rsidP="0030564C">
            <w:pPr>
              <w:spacing w:after="0" w:line="240" w:lineRule="auto"/>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Employee/Exertion</w:t>
            </w:r>
          </w:p>
        </w:tc>
        <w:tc>
          <w:tcPr>
            <w:tcW w:w="305" w:type="pct"/>
            <w:noWrap/>
            <w:hideMark/>
          </w:tcPr>
          <w:p w14:paraId="1D00A005"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PIT</w:t>
            </w:r>
          </w:p>
        </w:tc>
        <w:tc>
          <w:tcPr>
            <w:tcW w:w="356" w:type="pct"/>
            <w:noWrap/>
            <w:hideMark/>
          </w:tcPr>
          <w:p w14:paraId="3C07AEB7"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w:t>
            </w:r>
          </w:p>
        </w:tc>
        <w:tc>
          <w:tcPr>
            <w:tcW w:w="1270" w:type="pct"/>
            <w:noWrap/>
            <w:hideMark/>
          </w:tcPr>
          <w:p w14:paraId="0DC68697"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roofErr w:type="spellStart"/>
            <w:r w:rsidRPr="0031647F">
              <w:rPr>
                <w:rFonts w:ascii="Calibri" w:eastAsia="Times New Roman" w:hAnsi="Calibri" w:cs="Calibri"/>
                <w:color w:val="000000"/>
                <w:sz w:val="20"/>
                <w:szCs w:val="20"/>
                <w:lang w:eastAsia="en-AU"/>
              </w:rPr>
              <w:t>Prsnl_Srvcs_Atrbd_Incm_Amt</w:t>
            </w:r>
            <w:proofErr w:type="spellEnd"/>
          </w:p>
        </w:tc>
        <w:tc>
          <w:tcPr>
            <w:tcW w:w="1881" w:type="pct"/>
            <w:noWrap/>
            <w:hideMark/>
          </w:tcPr>
          <w:p w14:paraId="1425F5BF"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Attributed personal services income</w:t>
            </w:r>
          </w:p>
        </w:tc>
        <w:tc>
          <w:tcPr>
            <w:tcW w:w="682" w:type="pct"/>
            <w:noWrap/>
            <w:hideMark/>
          </w:tcPr>
          <w:p w14:paraId="0F515E48"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
        </w:tc>
      </w:tr>
      <w:tr w:rsidR="0030564C" w:rsidRPr="0031647F" w14:paraId="5AD160B7" w14:textId="77777777" w:rsidTr="008407DB">
        <w:trPr>
          <w:trHeight w:val="300"/>
        </w:trPr>
        <w:tc>
          <w:tcPr>
            <w:cnfStyle w:val="001000000000" w:firstRow="0" w:lastRow="0" w:firstColumn="1" w:lastColumn="0" w:oddVBand="0" w:evenVBand="0" w:oddHBand="0" w:evenHBand="0" w:firstRowFirstColumn="0" w:firstRowLastColumn="0" w:lastRowFirstColumn="0" w:lastRowLastColumn="0"/>
            <w:tcW w:w="506" w:type="pct"/>
            <w:noWrap/>
            <w:hideMark/>
          </w:tcPr>
          <w:p w14:paraId="2AB80D32" w14:textId="77777777" w:rsidR="0030564C" w:rsidRPr="0031647F" w:rsidRDefault="0030564C" w:rsidP="0030564C">
            <w:pPr>
              <w:spacing w:after="0" w:line="240" w:lineRule="auto"/>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Employee/Exertion</w:t>
            </w:r>
          </w:p>
        </w:tc>
        <w:tc>
          <w:tcPr>
            <w:tcW w:w="305" w:type="pct"/>
            <w:noWrap/>
            <w:hideMark/>
          </w:tcPr>
          <w:p w14:paraId="71DF1319"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PIT</w:t>
            </w:r>
          </w:p>
        </w:tc>
        <w:tc>
          <w:tcPr>
            <w:tcW w:w="356" w:type="pct"/>
            <w:noWrap/>
            <w:hideMark/>
          </w:tcPr>
          <w:p w14:paraId="15ECA16B"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w:t>
            </w:r>
          </w:p>
        </w:tc>
        <w:tc>
          <w:tcPr>
            <w:tcW w:w="1270" w:type="pct"/>
            <w:noWrap/>
            <w:hideMark/>
          </w:tcPr>
          <w:p w14:paraId="31F938C0"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roofErr w:type="spellStart"/>
            <w:r w:rsidRPr="0031647F">
              <w:rPr>
                <w:rFonts w:ascii="Calibri" w:eastAsia="Times New Roman" w:hAnsi="Calibri" w:cs="Calibri"/>
                <w:color w:val="000000"/>
                <w:sz w:val="20"/>
                <w:szCs w:val="20"/>
                <w:lang w:eastAsia="en-AU"/>
              </w:rPr>
              <w:t>RFBs_Totl_Amt</w:t>
            </w:r>
            <w:proofErr w:type="spellEnd"/>
          </w:p>
        </w:tc>
        <w:tc>
          <w:tcPr>
            <w:tcW w:w="1881" w:type="pct"/>
            <w:noWrap/>
            <w:hideMark/>
          </w:tcPr>
          <w:p w14:paraId="4102DE0A"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Total reportable fringe benefits amount</w:t>
            </w:r>
          </w:p>
        </w:tc>
        <w:tc>
          <w:tcPr>
            <w:tcW w:w="682" w:type="pct"/>
            <w:noWrap/>
            <w:hideMark/>
          </w:tcPr>
          <w:p w14:paraId="260CF9A1"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
        </w:tc>
      </w:tr>
      <w:tr w:rsidR="0030564C" w:rsidRPr="0031647F" w14:paraId="62D4D37E" w14:textId="77777777" w:rsidTr="008407DB">
        <w:trPr>
          <w:trHeight w:val="300"/>
        </w:trPr>
        <w:tc>
          <w:tcPr>
            <w:cnfStyle w:val="001000000000" w:firstRow="0" w:lastRow="0" w:firstColumn="1" w:lastColumn="0" w:oddVBand="0" w:evenVBand="0" w:oddHBand="0" w:evenHBand="0" w:firstRowFirstColumn="0" w:firstRowLastColumn="0" w:lastRowFirstColumn="0" w:lastRowLastColumn="0"/>
            <w:tcW w:w="506" w:type="pct"/>
            <w:noWrap/>
            <w:hideMark/>
          </w:tcPr>
          <w:p w14:paraId="2D783468" w14:textId="77777777" w:rsidR="0030564C" w:rsidRPr="0031647F" w:rsidRDefault="0030564C" w:rsidP="0030564C">
            <w:pPr>
              <w:spacing w:after="0" w:line="240" w:lineRule="auto"/>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Employee/Exertion</w:t>
            </w:r>
          </w:p>
        </w:tc>
        <w:tc>
          <w:tcPr>
            <w:tcW w:w="305" w:type="pct"/>
            <w:noWrap/>
            <w:hideMark/>
          </w:tcPr>
          <w:p w14:paraId="777F5125"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PIT</w:t>
            </w:r>
          </w:p>
        </w:tc>
        <w:tc>
          <w:tcPr>
            <w:tcW w:w="356" w:type="pct"/>
            <w:noWrap/>
            <w:hideMark/>
          </w:tcPr>
          <w:p w14:paraId="6A58F0B3"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w:t>
            </w:r>
          </w:p>
        </w:tc>
        <w:tc>
          <w:tcPr>
            <w:tcW w:w="1270" w:type="pct"/>
            <w:noWrap/>
            <w:hideMark/>
          </w:tcPr>
          <w:p w14:paraId="7116F165"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roofErr w:type="spellStart"/>
            <w:r w:rsidRPr="0031647F">
              <w:rPr>
                <w:rFonts w:ascii="Calibri" w:eastAsia="Times New Roman" w:hAnsi="Calibri" w:cs="Calibri"/>
                <w:color w:val="000000"/>
                <w:sz w:val="20"/>
                <w:szCs w:val="20"/>
                <w:lang w:eastAsia="en-AU"/>
              </w:rPr>
              <w:t>RprtblEmplr_Spntn_Cntrbtns_Amt</w:t>
            </w:r>
            <w:proofErr w:type="spellEnd"/>
          </w:p>
        </w:tc>
        <w:tc>
          <w:tcPr>
            <w:tcW w:w="1881" w:type="pct"/>
            <w:noWrap/>
            <w:hideMark/>
          </w:tcPr>
          <w:p w14:paraId="18379EE3"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Reportable employer superannuation contributions</w:t>
            </w:r>
          </w:p>
        </w:tc>
        <w:tc>
          <w:tcPr>
            <w:tcW w:w="682" w:type="pct"/>
            <w:noWrap/>
            <w:hideMark/>
          </w:tcPr>
          <w:p w14:paraId="28D73339"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
        </w:tc>
      </w:tr>
      <w:tr w:rsidR="0030564C" w:rsidRPr="0031647F" w14:paraId="3D6FF694" w14:textId="77777777" w:rsidTr="008407DB">
        <w:trPr>
          <w:trHeight w:val="300"/>
        </w:trPr>
        <w:tc>
          <w:tcPr>
            <w:cnfStyle w:val="001000000000" w:firstRow="0" w:lastRow="0" w:firstColumn="1" w:lastColumn="0" w:oddVBand="0" w:evenVBand="0" w:oddHBand="0" w:evenHBand="0" w:firstRowFirstColumn="0" w:firstRowLastColumn="0" w:lastRowFirstColumn="0" w:lastRowLastColumn="0"/>
            <w:tcW w:w="506" w:type="pct"/>
            <w:noWrap/>
            <w:hideMark/>
          </w:tcPr>
          <w:p w14:paraId="19C2750C" w14:textId="77777777" w:rsidR="0030564C" w:rsidRPr="0031647F" w:rsidRDefault="0030564C" w:rsidP="0030564C">
            <w:pPr>
              <w:spacing w:after="0" w:line="240" w:lineRule="auto"/>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Employee/Exertion</w:t>
            </w:r>
          </w:p>
        </w:tc>
        <w:tc>
          <w:tcPr>
            <w:tcW w:w="305" w:type="pct"/>
            <w:noWrap/>
            <w:hideMark/>
          </w:tcPr>
          <w:p w14:paraId="541112E4"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PIT</w:t>
            </w:r>
          </w:p>
        </w:tc>
        <w:tc>
          <w:tcPr>
            <w:tcW w:w="356" w:type="pct"/>
            <w:noWrap/>
            <w:hideMark/>
          </w:tcPr>
          <w:p w14:paraId="2E0EA43F"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w:t>
            </w:r>
          </w:p>
        </w:tc>
        <w:tc>
          <w:tcPr>
            <w:tcW w:w="1270" w:type="pct"/>
            <w:noWrap/>
            <w:hideMark/>
          </w:tcPr>
          <w:p w14:paraId="02BFE28D"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roofErr w:type="spellStart"/>
            <w:r w:rsidRPr="0031647F">
              <w:rPr>
                <w:rFonts w:ascii="Calibri" w:eastAsia="Times New Roman" w:hAnsi="Calibri" w:cs="Calibri"/>
                <w:color w:val="000000"/>
                <w:sz w:val="20"/>
                <w:szCs w:val="20"/>
                <w:lang w:eastAsia="en-AU"/>
              </w:rPr>
              <w:t>Assbl_FSI_Amt</w:t>
            </w:r>
            <w:proofErr w:type="spellEnd"/>
          </w:p>
        </w:tc>
        <w:tc>
          <w:tcPr>
            <w:tcW w:w="1881" w:type="pct"/>
            <w:noWrap/>
            <w:hideMark/>
          </w:tcPr>
          <w:p w14:paraId="1662F0A6"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Foreign source income assessable foreign source income</w:t>
            </w:r>
          </w:p>
        </w:tc>
        <w:tc>
          <w:tcPr>
            <w:tcW w:w="682" w:type="pct"/>
            <w:noWrap/>
            <w:hideMark/>
          </w:tcPr>
          <w:p w14:paraId="6CB6D756"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
        </w:tc>
      </w:tr>
      <w:tr w:rsidR="0030564C" w:rsidRPr="0031647F" w14:paraId="1B60CE25" w14:textId="77777777" w:rsidTr="008407DB">
        <w:trPr>
          <w:trHeight w:val="300"/>
        </w:trPr>
        <w:tc>
          <w:tcPr>
            <w:cnfStyle w:val="001000000000" w:firstRow="0" w:lastRow="0" w:firstColumn="1" w:lastColumn="0" w:oddVBand="0" w:evenVBand="0" w:oddHBand="0" w:evenHBand="0" w:firstRowFirstColumn="0" w:firstRowLastColumn="0" w:lastRowFirstColumn="0" w:lastRowLastColumn="0"/>
            <w:tcW w:w="506" w:type="pct"/>
            <w:noWrap/>
            <w:hideMark/>
          </w:tcPr>
          <w:p w14:paraId="0B535AD2" w14:textId="77777777" w:rsidR="0030564C" w:rsidRPr="0031647F" w:rsidRDefault="0030564C" w:rsidP="0030564C">
            <w:pPr>
              <w:spacing w:after="0" w:line="240" w:lineRule="auto"/>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Employee/Exertion</w:t>
            </w:r>
          </w:p>
        </w:tc>
        <w:tc>
          <w:tcPr>
            <w:tcW w:w="305" w:type="pct"/>
            <w:noWrap/>
            <w:hideMark/>
          </w:tcPr>
          <w:p w14:paraId="17CFCF9B"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PIT</w:t>
            </w:r>
          </w:p>
        </w:tc>
        <w:tc>
          <w:tcPr>
            <w:tcW w:w="356" w:type="pct"/>
            <w:noWrap/>
            <w:hideMark/>
          </w:tcPr>
          <w:p w14:paraId="1A5C3252"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w:t>
            </w:r>
          </w:p>
        </w:tc>
        <w:tc>
          <w:tcPr>
            <w:tcW w:w="1270" w:type="pct"/>
            <w:noWrap/>
            <w:hideMark/>
          </w:tcPr>
          <w:p w14:paraId="5E03326D"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TAX_FREE_AMT</w:t>
            </w:r>
          </w:p>
        </w:tc>
        <w:tc>
          <w:tcPr>
            <w:tcW w:w="1881" w:type="pct"/>
            <w:noWrap/>
            <w:hideMark/>
          </w:tcPr>
          <w:p w14:paraId="3BB27A1B"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Tax-free component</w:t>
            </w:r>
          </w:p>
        </w:tc>
        <w:tc>
          <w:tcPr>
            <w:tcW w:w="682" w:type="pct"/>
            <w:noWrap/>
            <w:hideMark/>
          </w:tcPr>
          <w:p w14:paraId="490336F9"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EMP termination payments from PAYG</w:t>
            </w:r>
          </w:p>
        </w:tc>
      </w:tr>
      <w:tr w:rsidR="0030564C" w:rsidRPr="0031647F" w14:paraId="2E179703" w14:textId="77777777" w:rsidTr="008407DB">
        <w:trPr>
          <w:trHeight w:val="300"/>
        </w:trPr>
        <w:tc>
          <w:tcPr>
            <w:cnfStyle w:val="001000000000" w:firstRow="0" w:lastRow="0" w:firstColumn="1" w:lastColumn="0" w:oddVBand="0" w:evenVBand="0" w:oddHBand="0" w:evenHBand="0" w:firstRowFirstColumn="0" w:firstRowLastColumn="0" w:lastRowFirstColumn="0" w:lastRowLastColumn="0"/>
            <w:tcW w:w="506" w:type="pct"/>
            <w:noWrap/>
            <w:hideMark/>
          </w:tcPr>
          <w:p w14:paraId="6BD11331" w14:textId="77777777" w:rsidR="0030564C" w:rsidRPr="0031647F" w:rsidRDefault="0030564C" w:rsidP="0030564C">
            <w:pPr>
              <w:spacing w:after="0" w:line="240" w:lineRule="auto"/>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Employee/Exertion</w:t>
            </w:r>
          </w:p>
        </w:tc>
        <w:tc>
          <w:tcPr>
            <w:tcW w:w="305" w:type="pct"/>
            <w:noWrap/>
            <w:hideMark/>
          </w:tcPr>
          <w:p w14:paraId="4EDA3004"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PIT</w:t>
            </w:r>
          </w:p>
        </w:tc>
        <w:tc>
          <w:tcPr>
            <w:tcW w:w="356" w:type="pct"/>
            <w:noWrap/>
            <w:hideMark/>
          </w:tcPr>
          <w:p w14:paraId="2370F4FA"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w:t>
            </w:r>
          </w:p>
        </w:tc>
        <w:tc>
          <w:tcPr>
            <w:tcW w:w="1270" w:type="pct"/>
            <w:noWrap/>
            <w:hideMark/>
          </w:tcPr>
          <w:p w14:paraId="3F72E766"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roofErr w:type="spellStart"/>
            <w:r w:rsidRPr="0031647F">
              <w:rPr>
                <w:rFonts w:ascii="Calibri" w:eastAsia="Times New Roman" w:hAnsi="Calibri" w:cs="Calibri"/>
                <w:color w:val="000000"/>
                <w:sz w:val="20"/>
                <w:szCs w:val="20"/>
                <w:lang w:eastAsia="en-AU"/>
              </w:rPr>
              <w:t>Lump_A</w:t>
            </w:r>
            <w:proofErr w:type="spellEnd"/>
          </w:p>
        </w:tc>
        <w:tc>
          <w:tcPr>
            <w:tcW w:w="1881" w:type="pct"/>
            <w:noWrap/>
            <w:hideMark/>
          </w:tcPr>
          <w:p w14:paraId="3623FFF5"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Lump sum A</w:t>
            </w:r>
          </w:p>
        </w:tc>
        <w:tc>
          <w:tcPr>
            <w:tcW w:w="682" w:type="pct"/>
            <w:noWrap/>
            <w:hideMark/>
          </w:tcPr>
          <w:p w14:paraId="1E1F33EC"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From PAYG</w:t>
            </w:r>
          </w:p>
        </w:tc>
      </w:tr>
      <w:tr w:rsidR="0030564C" w:rsidRPr="0031647F" w14:paraId="6823EEF5" w14:textId="77777777" w:rsidTr="008407DB">
        <w:trPr>
          <w:trHeight w:val="300"/>
        </w:trPr>
        <w:tc>
          <w:tcPr>
            <w:cnfStyle w:val="001000000000" w:firstRow="0" w:lastRow="0" w:firstColumn="1" w:lastColumn="0" w:oddVBand="0" w:evenVBand="0" w:oddHBand="0" w:evenHBand="0" w:firstRowFirstColumn="0" w:firstRowLastColumn="0" w:lastRowFirstColumn="0" w:lastRowLastColumn="0"/>
            <w:tcW w:w="506" w:type="pct"/>
            <w:noWrap/>
            <w:hideMark/>
          </w:tcPr>
          <w:p w14:paraId="5A09235B" w14:textId="77777777" w:rsidR="0030564C" w:rsidRPr="0031647F" w:rsidRDefault="0030564C" w:rsidP="0030564C">
            <w:pPr>
              <w:spacing w:after="0" w:line="240" w:lineRule="auto"/>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Employee/Exertion</w:t>
            </w:r>
          </w:p>
        </w:tc>
        <w:tc>
          <w:tcPr>
            <w:tcW w:w="305" w:type="pct"/>
            <w:noWrap/>
            <w:hideMark/>
          </w:tcPr>
          <w:p w14:paraId="2B9E4F06"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PIT</w:t>
            </w:r>
          </w:p>
        </w:tc>
        <w:tc>
          <w:tcPr>
            <w:tcW w:w="356" w:type="pct"/>
            <w:noWrap/>
            <w:hideMark/>
          </w:tcPr>
          <w:p w14:paraId="734A6168"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w:t>
            </w:r>
          </w:p>
        </w:tc>
        <w:tc>
          <w:tcPr>
            <w:tcW w:w="1270" w:type="pct"/>
            <w:noWrap/>
            <w:hideMark/>
          </w:tcPr>
          <w:p w14:paraId="0787D6E2"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roofErr w:type="spellStart"/>
            <w:r w:rsidRPr="0031647F">
              <w:rPr>
                <w:rFonts w:ascii="Calibri" w:eastAsia="Times New Roman" w:hAnsi="Calibri" w:cs="Calibri"/>
                <w:color w:val="000000"/>
                <w:sz w:val="20"/>
                <w:szCs w:val="20"/>
                <w:lang w:eastAsia="en-AU"/>
              </w:rPr>
              <w:t>Lump_B</w:t>
            </w:r>
            <w:proofErr w:type="spellEnd"/>
          </w:p>
        </w:tc>
        <w:tc>
          <w:tcPr>
            <w:tcW w:w="1881" w:type="pct"/>
            <w:noWrap/>
            <w:hideMark/>
          </w:tcPr>
          <w:p w14:paraId="014B5893"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Lump sum B</w:t>
            </w:r>
          </w:p>
        </w:tc>
        <w:tc>
          <w:tcPr>
            <w:tcW w:w="682" w:type="pct"/>
            <w:noWrap/>
            <w:hideMark/>
          </w:tcPr>
          <w:p w14:paraId="4291A2EB"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From PAYG</w:t>
            </w:r>
          </w:p>
        </w:tc>
      </w:tr>
      <w:tr w:rsidR="0030564C" w:rsidRPr="0031647F" w14:paraId="73F1A07E" w14:textId="77777777" w:rsidTr="008407DB">
        <w:trPr>
          <w:trHeight w:val="300"/>
        </w:trPr>
        <w:tc>
          <w:tcPr>
            <w:cnfStyle w:val="001000000000" w:firstRow="0" w:lastRow="0" w:firstColumn="1" w:lastColumn="0" w:oddVBand="0" w:evenVBand="0" w:oddHBand="0" w:evenHBand="0" w:firstRowFirstColumn="0" w:firstRowLastColumn="0" w:lastRowFirstColumn="0" w:lastRowLastColumn="0"/>
            <w:tcW w:w="506" w:type="pct"/>
            <w:noWrap/>
            <w:hideMark/>
          </w:tcPr>
          <w:p w14:paraId="45930D49" w14:textId="77777777" w:rsidR="0030564C" w:rsidRPr="0031647F" w:rsidRDefault="0030564C" w:rsidP="0030564C">
            <w:pPr>
              <w:spacing w:after="0" w:line="240" w:lineRule="auto"/>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Employee/Exertion</w:t>
            </w:r>
          </w:p>
        </w:tc>
        <w:tc>
          <w:tcPr>
            <w:tcW w:w="305" w:type="pct"/>
            <w:noWrap/>
            <w:hideMark/>
          </w:tcPr>
          <w:p w14:paraId="35719305"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PIT</w:t>
            </w:r>
          </w:p>
        </w:tc>
        <w:tc>
          <w:tcPr>
            <w:tcW w:w="356" w:type="pct"/>
            <w:noWrap/>
            <w:hideMark/>
          </w:tcPr>
          <w:p w14:paraId="6121F710"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w:t>
            </w:r>
          </w:p>
        </w:tc>
        <w:tc>
          <w:tcPr>
            <w:tcW w:w="1270" w:type="pct"/>
            <w:noWrap/>
            <w:hideMark/>
          </w:tcPr>
          <w:p w14:paraId="6F100F41"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roofErr w:type="spellStart"/>
            <w:r w:rsidRPr="0031647F">
              <w:rPr>
                <w:rFonts w:ascii="Calibri" w:eastAsia="Times New Roman" w:hAnsi="Calibri" w:cs="Calibri"/>
                <w:color w:val="000000"/>
                <w:sz w:val="20"/>
                <w:szCs w:val="20"/>
                <w:lang w:eastAsia="en-AU"/>
              </w:rPr>
              <w:t>Lump_D</w:t>
            </w:r>
            <w:proofErr w:type="spellEnd"/>
          </w:p>
        </w:tc>
        <w:tc>
          <w:tcPr>
            <w:tcW w:w="1881" w:type="pct"/>
            <w:noWrap/>
            <w:hideMark/>
          </w:tcPr>
          <w:p w14:paraId="562626C6"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Lump sum D</w:t>
            </w:r>
          </w:p>
        </w:tc>
        <w:tc>
          <w:tcPr>
            <w:tcW w:w="682" w:type="pct"/>
            <w:noWrap/>
            <w:hideMark/>
          </w:tcPr>
          <w:p w14:paraId="10AA6501"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From PAYG</w:t>
            </w:r>
          </w:p>
        </w:tc>
      </w:tr>
      <w:tr w:rsidR="0030564C" w:rsidRPr="0031647F" w14:paraId="4CCA0422" w14:textId="77777777" w:rsidTr="008407DB">
        <w:trPr>
          <w:trHeight w:val="300"/>
        </w:trPr>
        <w:tc>
          <w:tcPr>
            <w:cnfStyle w:val="001000000000" w:firstRow="0" w:lastRow="0" w:firstColumn="1" w:lastColumn="0" w:oddVBand="0" w:evenVBand="0" w:oddHBand="0" w:evenHBand="0" w:firstRowFirstColumn="0" w:firstRowLastColumn="0" w:lastRowFirstColumn="0" w:lastRowLastColumn="0"/>
            <w:tcW w:w="506" w:type="pct"/>
            <w:noWrap/>
            <w:hideMark/>
          </w:tcPr>
          <w:p w14:paraId="17A6E668" w14:textId="77777777" w:rsidR="0030564C" w:rsidRPr="0031647F" w:rsidRDefault="0030564C" w:rsidP="0030564C">
            <w:pPr>
              <w:spacing w:after="0" w:line="240" w:lineRule="auto"/>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Employee/Exertion</w:t>
            </w:r>
          </w:p>
        </w:tc>
        <w:tc>
          <w:tcPr>
            <w:tcW w:w="305" w:type="pct"/>
            <w:noWrap/>
            <w:hideMark/>
          </w:tcPr>
          <w:p w14:paraId="78E1D528"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PIT</w:t>
            </w:r>
          </w:p>
        </w:tc>
        <w:tc>
          <w:tcPr>
            <w:tcW w:w="356" w:type="pct"/>
            <w:noWrap/>
            <w:hideMark/>
          </w:tcPr>
          <w:p w14:paraId="0ABB5446"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w:t>
            </w:r>
          </w:p>
        </w:tc>
        <w:tc>
          <w:tcPr>
            <w:tcW w:w="1270" w:type="pct"/>
            <w:noWrap/>
            <w:hideMark/>
          </w:tcPr>
          <w:p w14:paraId="4F9CB4E8"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roofErr w:type="spellStart"/>
            <w:r w:rsidRPr="0031647F">
              <w:rPr>
                <w:rFonts w:ascii="Calibri" w:eastAsia="Times New Roman" w:hAnsi="Calibri" w:cs="Calibri"/>
                <w:color w:val="000000"/>
                <w:sz w:val="20"/>
                <w:szCs w:val="20"/>
                <w:lang w:eastAsia="en-AU"/>
              </w:rPr>
              <w:t>Exmt_Forgn_Emplt_Incm_Amt</w:t>
            </w:r>
            <w:proofErr w:type="spellEnd"/>
          </w:p>
        </w:tc>
        <w:tc>
          <w:tcPr>
            <w:tcW w:w="1881" w:type="pct"/>
            <w:noWrap/>
            <w:hideMark/>
          </w:tcPr>
          <w:p w14:paraId="49D4F9F4"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 xml:space="preserve">Foreign source income </w:t>
            </w:r>
            <w:proofErr w:type="gramStart"/>
            <w:r w:rsidRPr="0031647F">
              <w:rPr>
                <w:rFonts w:ascii="Calibri" w:eastAsia="Times New Roman" w:hAnsi="Calibri" w:cs="Calibri"/>
                <w:color w:val="000000"/>
                <w:sz w:val="20"/>
                <w:szCs w:val="20"/>
                <w:lang w:eastAsia="en-AU"/>
              </w:rPr>
              <w:t>exempt</w:t>
            </w:r>
            <w:proofErr w:type="gramEnd"/>
            <w:r w:rsidRPr="0031647F">
              <w:rPr>
                <w:rFonts w:ascii="Calibri" w:eastAsia="Times New Roman" w:hAnsi="Calibri" w:cs="Calibri"/>
                <w:color w:val="000000"/>
                <w:sz w:val="20"/>
                <w:szCs w:val="20"/>
                <w:lang w:eastAsia="en-AU"/>
              </w:rPr>
              <w:t xml:space="preserve"> foreign employment income</w:t>
            </w:r>
          </w:p>
        </w:tc>
        <w:tc>
          <w:tcPr>
            <w:tcW w:w="682" w:type="pct"/>
            <w:noWrap/>
            <w:hideMark/>
          </w:tcPr>
          <w:p w14:paraId="0A85DF09"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
        </w:tc>
      </w:tr>
      <w:tr w:rsidR="0030564C" w:rsidRPr="0031647F" w14:paraId="12A364BC" w14:textId="77777777" w:rsidTr="008407DB">
        <w:trPr>
          <w:trHeight w:val="300"/>
        </w:trPr>
        <w:tc>
          <w:tcPr>
            <w:cnfStyle w:val="001000000000" w:firstRow="0" w:lastRow="0" w:firstColumn="1" w:lastColumn="0" w:oddVBand="0" w:evenVBand="0" w:oddHBand="0" w:evenHBand="0" w:firstRowFirstColumn="0" w:firstRowLastColumn="0" w:lastRowFirstColumn="0" w:lastRowLastColumn="0"/>
            <w:tcW w:w="506" w:type="pct"/>
            <w:noWrap/>
            <w:hideMark/>
          </w:tcPr>
          <w:p w14:paraId="7D0D581A" w14:textId="77777777" w:rsidR="0030564C" w:rsidRPr="0031647F" w:rsidRDefault="0030564C" w:rsidP="0030564C">
            <w:pPr>
              <w:spacing w:after="0" w:line="240" w:lineRule="auto"/>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Employee/Exertion</w:t>
            </w:r>
          </w:p>
        </w:tc>
        <w:tc>
          <w:tcPr>
            <w:tcW w:w="305" w:type="pct"/>
            <w:noWrap/>
            <w:hideMark/>
          </w:tcPr>
          <w:p w14:paraId="03F9CFCA"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PAYG</w:t>
            </w:r>
          </w:p>
        </w:tc>
        <w:tc>
          <w:tcPr>
            <w:tcW w:w="356" w:type="pct"/>
            <w:noWrap/>
            <w:hideMark/>
          </w:tcPr>
          <w:p w14:paraId="21A5330E"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w:t>
            </w:r>
          </w:p>
        </w:tc>
        <w:tc>
          <w:tcPr>
            <w:tcW w:w="1270" w:type="pct"/>
            <w:noWrap/>
            <w:hideMark/>
          </w:tcPr>
          <w:p w14:paraId="59A45C2D"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roofErr w:type="spellStart"/>
            <w:r w:rsidRPr="0031647F">
              <w:rPr>
                <w:rFonts w:ascii="Calibri" w:eastAsia="Times New Roman" w:hAnsi="Calibri" w:cs="Calibri"/>
                <w:color w:val="000000"/>
                <w:sz w:val="20"/>
                <w:szCs w:val="20"/>
                <w:lang w:eastAsia="en-AU"/>
              </w:rPr>
              <w:t>Lump_A</w:t>
            </w:r>
            <w:proofErr w:type="spellEnd"/>
          </w:p>
        </w:tc>
        <w:tc>
          <w:tcPr>
            <w:tcW w:w="1881" w:type="pct"/>
            <w:noWrap/>
            <w:hideMark/>
          </w:tcPr>
          <w:p w14:paraId="11711E1D"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Lump sum A</w:t>
            </w:r>
          </w:p>
        </w:tc>
        <w:tc>
          <w:tcPr>
            <w:tcW w:w="682" w:type="pct"/>
            <w:noWrap/>
            <w:hideMark/>
          </w:tcPr>
          <w:p w14:paraId="3B9D0A5D"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
        </w:tc>
      </w:tr>
      <w:tr w:rsidR="0030564C" w:rsidRPr="0031647F" w14:paraId="45F1FC59" w14:textId="77777777" w:rsidTr="008407DB">
        <w:trPr>
          <w:trHeight w:val="300"/>
        </w:trPr>
        <w:tc>
          <w:tcPr>
            <w:cnfStyle w:val="001000000000" w:firstRow="0" w:lastRow="0" w:firstColumn="1" w:lastColumn="0" w:oddVBand="0" w:evenVBand="0" w:oddHBand="0" w:evenHBand="0" w:firstRowFirstColumn="0" w:firstRowLastColumn="0" w:lastRowFirstColumn="0" w:lastRowLastColumn="0"/>
            <w:tcW w:w="506" w:type="pct"/>
            <w:noWrap/>
            <w:hideMark/>
          </w:tcPr>
          <w:p w14:paraId="215C36B2" w14:textId="77777777" w:rsidR="0030564C" w:rsidRPr="0031647F" w:rsidRDefault="0030564C" w:rsidP="0030564C">
            <w:pPr>
              <w:spacing w:after="0" w:line="240" w:lineRule="auto"/>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Employee/Exertion</w:t>
            </w:r>
          </w:p>
        </w:tc>
        <w:tc>
          <w:tcPr>
            <w:tcW w:w="305" w:type="pct"/>
            <w:noWrap/>
            <w:hideMark/>
          </w:tcPr>
          <w:p w14:paraId="69AB1F8E"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PAYG</w:t>
            </w:r>
          </w:p>
        </w:tc>
        <w:tc>
          <w:tcPr>
            <w:tcW w:w="356" w:type="pct"/>
            <w:noWrap/>
            <w:hideMark/>
          </w:tcPr>
          <w:p w14:paraId="64E68312"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w:t>
            </w:r>
          </w:p>
        </w:tc>
        <w:tc>
          <w:tcPr>
            <w:tcW w:w="1270" w:type="pct"/>
            <w:noWrap/>
            <w:hideMark/>
          </w:tcPr>
          <w:p w14:paraId="7A3F265F"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roofErr w:type="spellStart"/>
            <w:r w:rsidRPr="0031647F">
              <w:rPr>
                <w:rFonts w:ascii="Calibri" w:eastAsia="Times New Roman" w:hAnsi="Calibri" w:cs="Calibri"/>
                <w:color w:val="000000"/>
                <w:sz w:val="20"/>
                <w:szCs w:val="20"/>
                <w:lang w:eastAsia="en-AU"/>
              </w:rPr>
              <w:t>Lump_B</w:t>
            </w:r>
            <w:proofErr w:type="spellEnd"/>
          </w:p>
        </w:tc>
        <w:tc>
          <w:tcPr>
            <w:tcW w:w="1881" w:type="pct"/>
            <w:noWrap/>
            <w:hideMark/>
          </w:tcPr>
          <w:p w14:paraId="63B00CBC"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Lump sum B</w:t>
            </w:r>
          </w:p>
        </w:tc>
        <w:tc>
          <w:tcPr>
            <w:tcW w:w="682" w:type="pct"/>
            <w:noWrap/>
            <w:hideMark/>
          </w:tcPr>
          <w:p w14:paraId="73E57CCF"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
        </w:tc>
      </w:tr>
      <w:tr w:rsidR="0030564C" w:rsidRPr="0031647F" w14:paraId="1F2D13B7" w14:textId="77777777" w:rsidTr="008407DB">
        <w:trPr>
          <w:trHeight w:val="300"/>
        </w:trPr>
        <w:tc>
          <w:tcPr>
            <w:cnfStyle w:val="001000000000" w:firstRow="0" w:lastRow="0" w:firstColumn="1" w:lastColumn="0" w:oddVBand="0" w:evenVBand="0" w:oddHBand="0" w:evenHBand="0" w:firstRowFirstColumn="0" w:firstRowLastColumn="0" w:lastRowFirstColumn="0" w:lastRowLastColumn="0"/>
            <w:tcW w:w="506" w:type="pct"/>
            <w:noWrap/>
            <w:hideMark/>
          </w:tcPr>
          <w:p w14:paraId="6F6AB294" w14:textId="77777777" w:rsidR="0030564C" w:rsidRPr="0031647F" w:rsidRDefault="0030564C" w:rsidP="0030564C">
            <w:pPr>
              <w:spacing w:after="0" w:line="240" w:lineRule="auto"/>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Employee/Exertion</w:t>
            </w:r>
          </w:p>
        </w:tc>
        <w:tc>
          <w:tcPr>
            <w:tcW w:w="305" w:type="pct"/>
            <w:noWrap/>
            <w:hideMark/>
          </w:tcPr>
          <w:p w14:paraId="6B51C635"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PAYG</w:t>
            </w:r>
          </w:p>
        </w:tc>
        <w:tc>
          <w:tcPr>
            <w:tcW w:w="356" w:type="pct"/>
            <w:noWrap/>
            <w:hideMark/>
          </w:tcPr>
          <w:p w14:paraId="3B2DD591"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w:t>
            </w:r>
          </w:p>
        </w:tc>
        <w:tc>
          <w:tcPr>
            <w:tcW w:w="1270" w:type="pct"/>
            <w:noWrap/>
            <w:hideMark/>
          </w:tcPr>
          <w:p w14:paraId="6866EE52"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roofErr w:type="spellStart"/>
            <w:r w:rsidRPr="0031647F">
              <w:rPr>
                <w:rFonts w:ascii="Calibri" w:eastAsia="Times New Roman" w:hAnsi="Calibri" w:cs="Calibri"/>
                <w:color w:val="000000"/>
                <w:sz w:val="20"/>
                <w:szCs w:val="20"/>
                <w:lang w:eastAsia="en-AU"/>
              </w:rPr>
              <w:t>Lump_D</w:t>
            </w:r>
            <w:proofErr w:type="spellEnd"/>
          </w:p>
        </w:tc>
        <w:tc>
          <w:tcPr>
            <w:tcW w:w="1881" w:type="pct"/>
            <w:noWrap/>
            <w:hideMark/>
          </w:tcPr>
          <w:p w14:paraId="4FD1A70A"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Lump sum D</w:t>
            </w:r>
          </w:p>
        </w:tc>
        <w:tc>
          <w:tcPr>
            <w:tcW w:w="682" w:type="pct"/>
            <w:noWrap/>
            <w:hideMark/>
          </w:tcPr>
          <w:p w14:paraId="39021003"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
        </w:tc>
      </w:tr>
      <w:tr w:rsidR="0030564C" w:rsidRPr="0031647F" w14:paraId="590BC942" w14:textId="77777777" w:rsidTr="008407DB">
        <w:trPr>
          <w:trHeight w:val="300"/>
        </w:trPr>
        <w:tc>
          <w:tcPr>
            <w:cnfStyle w:val="001000000000" w:firstRow="0" w:lastRow="0" w:firstColumn="1" w:lastColumn="0" w:oddVBand="0" w:evenVBand="0" w:oddHBand="0" w:evenHBand="0" w:firstRowFirstColumn="0" w:firstRowLastColumn="0" w:lastRowFirstColumn="0" w:lastRowLastColumn="0"/>
            <w:tcW w:w="506" w:type="pct"/>
            <w:noWrap/>
            <w:hideMark/>
          </w:tcPr>
          <w:p w14:paraId="1F5A180B" w14:textId="77777777" w:rsidR="0030564C" w:rsidRPr="0031647F" w:rsidRDefault="0030564C" w:rsidP="0030564C">
            <w:pPr>
              <w:spacing w:after="0" w:line="240" w:lineRule="auto"/>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lastRenderedPageBreak/>
              <w:t>Employee/Exertion</w:t>
            </w:r>
          </w:p>
        </w:tc>
        <w:tc>
          <w:tcPr>
            <w:tcW w:w="305" w:type="pct"/>
            <w:noWrap/>
            <w:hideMark/>
          </w:tcPr>
          <w:p w14:paraId="5E591930"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PAYG</w:t>
            </w:r>
          </w:p>
        </w:tc>
        <w:tc>
          <w:tcPr>
            <w:tcW w:w="356" w:type="pct"/>
            <w:noWrap/>
            <w:hideMark/>
          </w:tcPr>
          <w:p w14:paraId="1B283350"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w:t>
            </w:r>
          </w:p>
        </w:tc>
        <w:tc>
          <w:tcPr>
            <w:tcW w:w="1270" w:type="pct"/>
            <w:noWrap/>
            <w:hideMark/>
          </w:tcPr>
          <w:p w14:paraId="7045349D"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roofErr w:type="spellStart"/>
            <w:r w:rsidRPr="0031647F">
              <w:rPr>
                <w:rFonts w:ascii="Calibri" w:eastAsia="Times New Roman" w:hAnsi="Calibri" w:cs="Calibri"/>
                <w:color w:val="000000"/>
                <w:sz w:val="20"/>
                <w:szCs w:val="20"/>
                <w:lang w:eastAsia="en-AU"/>
              </w:rPr>
              <w:t>Lump_E</w:t>
            </w:r>
            <w:proofErr w:type="spellEnd"/>
          </w:p>
        </w:tc>
        <w:tc>
          <w:tcPr>
            <w:tcW w:w="1881" w:type="pct"/>
            <w:noWrap/>
            <w:hideMark/>
          </w:tcPr>
          <w:p w14:paraId="2A005FDA"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Lump sum E</w:t>
            </w:r>
          </w:p>
        </w:tc>
        <w:tc>
          <w:tcPr>
            <w:tcW w:w="682" w:type="pct"/>
            <w:noWrap/>
            <w:hideMark/>
          </w:tcPr>
          <w:p w14:paraId="6B69E890"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
        </w:tc>
      </w:tr>
      <w:tr w:rsidR="0030564C" w:rsidRPr="0031647F" w14:paraId="5262E74E" w14:textId="77777777" w:rsidTr="008407DB">
        <w:trPr>
          <w:trHeight w:val="300"/>
        </w:trPr>
        <w:tc>
          <w:tcPr>
            <w:cnfStyle w:val="001000000000" w:firstRow="0" w:lastRow="0" w:firstColumn="1" w:lastColumn="0" w:oddVBand="0" w:evenVBand="0" w:oddHBand="0" w:evenHBand="0" w:firstRowFirstColumn="0" w:firstRowLastColumn="0" w:lastRowFirstColumn="0" w:lastRowLastColumn="0"/>
            <w:tcW w:w="506" w:type="pct"/>
            <w:noWrap/>
            <w:hideMark/>
          </w:tcPr>
          <w:p w14:paraId="3434C703" w14:textId="77777777" w:rsidR="0030564C" w:rsidRPr="0031647F" w:rsidRDefault="0030564C" w:rsidP="0030564C">
            <w:pPr>
              <w:spacing w:after="0" w:line="240" w:lineRule="auto"/>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Employee/Exertion</w:t>
            </w:r>
          </w:p>
        </w:tc>
        <w:tc>
          <w:tcPr>
            <w:tcW w:w="305" w:type="pct"/>
            <w:noWrap/>
            <w:hideMark/>
          </w:tcPr>
          <w:p w14:paraId="67C3965A"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PAYG</w:t>
            </w:r>
          </w:p>
        </w:tc>
        <w:tc>
          <w:tcPr>
            <w:tcW w:w="356" w:type="pct"/>
            <w:noWrap/>
            <w:hideMark/>
          </w:tcPr>
          <w:p w14:paraId="556BF9D9"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w:t>
            </w:r>
          </w:p>
        </w:tc>
        <w:tc>
          <w:tcPr>
            <w:tcW w:w="1270" w:type="pct"/>
            <w:noWrap/>
            <w:hideMark/>
          </w:tcPr>
          <w:p w14:paraId="2A5CDD0A"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TOTL_ALWNC_AMT</w:t>
            </w:r>
          </w:p>
        </w:tc>
        <w:tc>
          <w:tcPr>
            <w:tcW w:w="1881" w:type="pct"/>
            <w:noWrap/>
            <w:hideMark/>
          </w:tcPr>
          <w:p w14:paraId="47988EFE"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Total allowances</w:t>
            </w:r>
          </w:p>
        </w:tc>
        <w:tc>
          <w:tcPr>
            <w:tcW w:w="682" w:type="pct"/>
            <w:noWrap/>
            <w:hideMark/>
          </w:tcPr>
          <w:p w14:paraId="42B26F41"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
        </w:tc>
      </w:tr>
      <w:tr w:rsidR="0030564C" w:rsidRPr="0031647F" w14:paraId="1FD4E1A8" w14:textId="77777777" w:rsidTr="008407DB">
        <w:trPr>
          <w:trHeight w:val="300"/>
        </w:trPr>
        <w:tc>
          <w:tcPr>
            <w:cnfStyle w:val="001000000000" w:firstRow="0" w:lastRow="0" w:firstColumn="1" w:lastColumn="0" w:oddVBand="0" w:evenVBand="0" w:oddHBand="0" w:evenHBand="0" w:firstRowFirstColumn="0" w:firstRowLastColumn="0" w:lastRowFirstColumn="0" w:lastRowLastColumn="0"/>
            <w:tcW w:w="506" w:type="pct"/>
            <w:noWrap/>
            <w:hideMark/>
          </w:tcPr>
          <w:p w14:paraId="37507B3F" w14:textId="77777777" w:rsidR="0030564C" w:rsidRPr="0031647F" w:rsidRDefault="0030564C" w:rsidP="0030564C">
            <w:pPr>
              <w:spacing w:after="0" w:line="240" w:lineRule="auto"/>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Employee/Exertion</w:t>
            </w:r>
          </w:p>
        </w:tc>
        <w:tc>
          <w:tcPr>
            <w:tcW w:w="305" w:type="pct"/>
            <w:noWrap/>
            <w:hideMark/>
          </w:tcPr>
          <w:p w14:paraId="2594E68C"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PAYG</w:t>
            </w:r>
          </w:p>
        </w:tc>
        <w:tc>
          <w:tcPr>
            <w:tcW w:w="356" w:type="pct"/>
            <w:noWrap/>
            <w:hideMark/>
          </w:tcPr>
          <w:p w14:paraId="5C5D4759"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w:t>
            </w:r>
          </w:p>
        </w:tc>
        <w:tc>
          <w:tcPr>
            <w:tcW w:w="1270" w:type="pct"/>
            <w:noWrap/>
            <w:hideMark/>
          </w:tcPr>
          <w:p w14:paraId="01870DE8"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GRS_AMT</w:t>
            </w:r>
          </w:p>
        </w:tc>
        <w:tc>
          <w:tcPr>
            <w:tcW w:w="1881" w:type="pct"/>
            <w:noWrap/>
            <w:hideMark/>
          </w:tcPr>
          <w:p w14:paraId="352D3853"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Gross Payment Amount</w:t>
            </w:r>
          </w:p>
        </w:tc>
        <w:tc>
          <w:tcPr>
            <w:tcW w:w="682" w:type="pct"/>
            <w:noWrap/>
            <w:hideMark/>
          </w:tcPr>
          <w:p w14:paraId="22D6A717"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
        </w:tc>
      </w:tr>
      <w:tr w:rsidR="0030564C" w:rsidRPr="0031647F" w14:paraId="288C2D53" w14:textId="77777777" w:rsidTr="008407DB">
        <w:trPr>
          <w:trHeight w:val="300"/>
        </w:trPr>
        <w:tc>
          <w:tcPr>
            <w:cnfStyle w:val="001000000000" w:firstRow="0" w:lastRow="0" w:firstColumn="1" w:lastColumn="0" w:oddVBand="0" w:evenVBand="0" w:oddHBand="0" w:evenHBand="0" w:firstRowFirstColumn="0" w:firstRowLastColumn="0" w:lastRowFirstColumn="0" w:lastRowLastColumn="0"/>
            <w:tcW w:w="506" w:type="pct"/>
            <w:noWrap/>
            <w:hideMark/>
          </w:tcPr>
          <w:p w14:paraId="44E1A004" w14:textId="77777777" w:rsidR="0030564C" w:rsidRPr="0031647F" w:rsidRDefault="0030564C" w:rsidP="0030564C">
            <w:pPr>
              <w:spacing w:after="0" w:line="240" w:lineRule="auto"/>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Employee/Exertion</w:t>
            </w:r>
          </w:p>
        </w:tc>
        <w:tc>
          <w:tcPr>
            <w:tcW w:w="305" w:type="pct"/>
            <w:noWrap/>
            <w:hideMark/>
          </w:tcPr>
          <w:p w14:paraId="1EC4A191"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PAYG</w:t>
            </w:r>
          </w:p>
        </w:tc>
        <w:tc>
          <w:tcPr>
            <w:tcW w:w="356" w:type="pct"/>
            <w:noWrap/>
            <w:hideMark/>
          </w:tcPr>
          <w:p w14:paraId="78770D3E"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w:t>
            </w:r>
          </w:p>
        </w:tc>
        <w:tc>
          <w:tcPr>
            <w:tcW w:w="1270" w:type="pct"/>
            <w:noWrap/>
            <w:hideMark/>
          </w:tcPr>
          <w:p w14:paraId="0A43EE00"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EXMPT_FORGN_EMPLT_INCM_AMT</w:t>
            </w:r>
          </w:p>
        </w:tc>
        <w:tc>
          <w:tcPr>
            <w:tcW w:w="1881" w:type="pct"/>
            <w:noWrap/>
            <w:hideMark/>
          </w:tcPr>
          <w:p w14:paraId="6B0E2DD2"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Exempt foreign employment income</w:t>
            </w:r>
          </w:p>
        </w:tc>
        <w:tc>
          <w:tcPr>
            <w:tcW w:w="682" w:type="pct"/>
            <w:noWrap/>
            <w:hideMark/>
          </w:tcPr>
          <w:p w14:paraId="1A00B77E"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
        </w:tc>
      </w:tr>
      <w:tr w:rsidR="0030564C" w:rsidRPr="0031647F" w14:paraId="7879C2B5" w14:textId="77777777" w:rsidTr="008407DB">
        <w:trPr>
          <w:trHeight w:val="300"/>
        </w:trPr>
        <w:tc>
          <w:tcPr>
            <w:cnfStyle w:val="001000000000" w:firstRow="0" w:lastRow="0" w:firstColumn="1" w:lastColumn="0" w:oddVBand="0" w:evenVBand="0" w:oddHBand="0" w:evenHBand="0" w:firstRowFirstColumn="0" w:firstRowLastColumn="0" w:lastRowFirstColumn="0" w:lastRowLastColumn="0"/>
            <w:tcW w:w="506" w:type="pct"/>
            <w:noWrap/>
            <w:hideMark/>
          </w:tcPr>
          <w:p w14:paraId="24B386BF" w14:textId="77777777" w:rsidR="0030564C" w:rsidRPr="0031647F" w:rsidRDefault="0030564C" w:rsidP="0030564C">
            <w:pPr>
              <w:spacing w:after="0" w:line="240" w:lineRule="auto"/>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Business</w:t>
            </w:r>
          </w:p>
        </w:tc>
        <w:tc>
          <w:tcPr>
            <w:tcW w:w="305" w:type="pct"/>
            <w:noWrap/>
            <w:hideMark/>
          </w:tcPr>
          <w:p w14:paraId="16450CB4"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PIT</w:t>
            </w:r>
          </w:p>
        </w:tc>
        <w:tc>
          <w:tcPr>
            <w:tcW w:w="356" w:type="pct"/>
            <w:noWrap/>
            <w:hideMark/>
          </w:tcPr>
          <w:p w14:paraId="72051B85"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w:t>
            </w:r>
          </w:p>
        </w:tc>
        <w:tc>
          <w:tcPr>
            <w:tcW w:w="1270" w:type="pct"/>
            <w:noWrap/>
            <w:hideMark/>
          </w:tcPr>
          <w:p w14:paraId="48FDBE1E"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roofErr w:type="spellStart"/>
            <w:r w:rsidRPr="0031647F">
              <w:rPr>
                <w:rFonts w:ascii="Calibri" w:eastAsia="Times New Roman" w:hAnsi="Calibri" w:cs="Calibri"/>
                <w:color w:val="000000"/>
                <w:sz w:val="20"/>
                <w:szCs w:val="20"/>
                <w:lang w:eastAsia="en-AU"/>
              </w:rPr>
              <w:t>Net_Incm_or_Lss_PP_Amt</w:t>
            </w:r>
            <w:proofErr w:type="spellEnd"/>
          </w:p>
        </w:tc>
        <w:tc>
          <w:tcPr>
            <w:tcW w:w="1881" w:type="pct"/>
            <w:noWrap/>
            <w:hideMark/>
          </w:tcPr>
          <w:p w14:paraId="49736807"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Net income or loss from business - primary production</w:t>
            </w:r>
          </w:p>
        </w:tc>
        <w:tc>
          <w:tcPr>
            <w:tcW w:w="682" w:type="pct"/>
            <w:noWrap/>
            <w:hideMark/>
          </w:tcPr>
          <w:p w14:paraId="6B6ABA4B"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
        </w:tc>
      </w:tr>
      <w:tr w:rsidR="0030564C" w:rsidRPr="0031647F" w14:paraId="69289449" w14:textId="77777777" w:rsidTr="008407DB">
        <w:trPr>
          <w:trHeight w:val="300"/>
        </w:trPr>
        <w:tc>
          <w:tcPr>
            <w:cnfStyle w:val="001000000000" w:firstRow="0" w:lastRow="0" w:firstColumn="1" w:lastColumn="0" w:oddVBand="0" w:evenVBand="0" w:oddHBand="0" w:evenHBand="0" w:firstRowFirstColumn="0" w:firstRowLastColumn="0" w:lastRowFirstColumn="0" w:lastRowLastColumn="0"/>
            <w:tcW w:w="506" w:type="pct"/>
            <w:noWrap/>
            <w:hideMark/>
          </w:tcPr>
          <w:p w14:paraId="722F9682" w14:textId="77777777" w:rsidR="0030564C" w:rsidRPr="0031647F" w:rsidRDefault="0030564C" w:rsidP="0030564C">
            <w:pPr>
              <w:spacing w:after="0" w:line="240" w:lineRule="auto"/>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Business</w:t>
            </w:r>
          </w:p>
        </w:tc>
        <w:tc>
          <w:tcPr>
            <w:tcW w:w="305" w:type="pct"/>
            <w:noWrap/>
            <w:hideMark/>
          </w:tcPr>
          <w:p w14:paraId="26ADE3B4"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PIT</w:t>
            </w:r>
          </w:p>
        </w:tc>
        <w:tc>
          <w:tcPr>
            <w:tcW w:w="356" w:type="pct"/>
            <w:noWrap/>
            <w:hideMark/>
          </w:tcPr>
          <w:p w14:paraId="78052836"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w:t>
            </w:r>
          </w:p>
        </w:tc>
        <w:tc>
          <w:tcPr>
            <w:tcW w:w="1270" w:type="pct"/>
            <w:noWrap/>
            <w:hideMark/>
          </w:tcPr>
          <w:p w14:paraId="78E485D1"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roofErr w:type="spellStart"/>
            <w:r w:rsidRPr="0031647F">
              <w:rPr>
                <w:rFonts w:ascii="Calibri" w:eastAsia="Times New Roman" w:hAnsi="Calibri" w:cs="Calibri"/>
                <w:color w:val="000000"/>
                <w:sz w:val="20"/>
                <w:szCs w:val="20"/>
                <w:lang w:eastAsia="en-AU"/>
              </w:rPr>
              <w:t>Net_Incm_or_Lss_NPP_Amt</w:t>
            </w:r>
            <w:proofErr w:type="spellEnd"/>
          </w:p>
        </w:tc>
        <w:tc>
          <w:tcPr>
            <w:tcW w:w="1881" w:type="pct"/>
            <w:noWrap/>
            <w:hideMark/>
          </w:tcPr>
          <w:p w14:paraId="71EE99D6"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Net income or loss from business - non-primary production</w:t>
            </w:r>
          </w:p>
        </w:tc>
        <w:tc>
          <w:tcPr>
            <w:tcW w:w="682" w:type="pct"/>
            <w:noWrap/>
            <w:hideMark/>
          </w:tcPr>
          <w:p w14:paraId="69908AC5"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
        </w:tc>
      </w:tr>
      <w:tr w:rsidR="0030564C" w:rsidRPr="0031647F" w14:paraId="39A5DB4D" w14:textId="77777777" w:rsidTr="008407DB">
        <w:trPr>
          <w:trHeight w:val="300"/>
        </w:trPr>
        <w:tc>
          <w:tcPr>
            <w:cnfStyle w:val="001000000000" w:firstRow="0" w:lastRow="0" w:firstColumn="1" w:lastColumn="0" w:oddVBand="0" w:evenVBand="0" w:oddHBand="0" w:evenHBand="0" w:firstRowFirstColumn="0" w:firstRowLastColumn="0" w:lastRowFirstColumn="0" w:lastRowLastColumn="0"/>
            <w:tcW w:w="506" w:type="pct"/>
            <w:noWrap/>
            <w:hideMark/>
          </w:tcPr>
          <w:p w14:paraId="54CDA3DD" w14:textId="77777777" w:rsidR="0030564C" w:rsidRPr="0031647F" w:rsidRDefault="0030564C" w:rsidP="0030564C">
            <w:pPr>
              <w:spacing w:after="0" w:line="240" w:lineRule="auto"/>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Business</w:t>
            </w:r>
          </w:p>
        </w:tc>
        <w:tc>
          <w:tcPr>
            <w:tcW w:w="305" w:type="pct"/>
            <w:noWrap/>
            <w:hideMark/>
          </w:tcPr>
          <w:p w14:paraId="70142BF9"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PIT</w:t>
            </w:r>
          </w:p>
        </w:tc>
        <w:tc>
          <w:tcPr>
            <w:tcW w:w="356" w:type="pct"/>
            <w:noWrap/>
            <w:hideMark/>
          </w:tcPr>
          <w:p w14:paraId="50E7F5BA"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w:t>
            </w:r>
          </w:p>
        </w:tc>
        <w:tc>
          <w:tcPr>
            <w:tcW w:w="1270" w:type="pct"/>
            <w:noWrap/>
            <w:hideMark/>
          </w:tcPr>
          <w:p w14:paraId="6DCACD97"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roofErr w:type="spellStart"/>
            <w:r w:rsidRPr="0031647F">
              <w:rPr>
                <w:rFonts w:ascii="Calibri" w:eastAsia="Times New Roman" w:hAnsi="Calibri" w:cs="Calibri"/>
                <w:color w:val="000000"/>
                <w:sz w:val="20"/>
                <w:szCs w:val="20"/>
                <w:lang w:eastAsia="en-AU"/>
              </w:rPr>
              <w:t>Trsts_PP_Dstbn_Amt</w:t>
            </w:r>
            <w:proofErr w:type="spellEnd"/>
          </w:p>
        </w:tc>
        <w:tc>
          <w:tcPr>
            <w:tcW w:w="1881" w:type="pct"/>
            <w:noWrap/>
            <w:hideMark/>
          </w:tcPr>
          <w:p w14:paraId="183DFEB6"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Distribution from trusts primary production</w:t>
            </w:r>
          </w:p>
        </w:tc>
        <w:tc>
          <w:tcPr>
            <w:tcW w:w="682" w:type="pct"/>
            <w:noWrap/>
            <w:hideMark/>
          </w:tcPr>
          <w:p w14:paraId="1D61527A"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
        </w:tc>
      </w:tr>
      <w:tr w:rsidR="0030564C" w:rsidRPr="0031647F" w14:paraId="75263811" w14:textId="77777777" w:rsidTr="008407DB">
        <w:trPr>
          <w:trHeight w:val="300"/>
        </w:trPr>
        <w:tc>
          <w:tcPr>
            <w:cnfStyle w:val="001000000000" w:firstRow="0" w:lastRow="0" w:firstColumn="1" w:lastColumn="0" w:oddVBand="0" w:evenVBand="0" w:oddHBand="0" w:evenHBand="0" w:firstRowFirstColumn="0" w:firstRowLastColumn="0" w:lastRowFirstColumn="0" w:lastRowLastColumn="0"/>
            <w:tcW w:w="506" w:type="pct"/>
            <w:noWrap/>
            <w:hideMark/>
          </w:tcPr>
          <w:p w14:paraId="2ADAEFAB" w14:textId="77777777" w:rsidR="0030564C" w:rsidRPr="0031647F" w:rsidRDefault="0030564C" w:rsidP="0030564C">
            <w:pPr>
              <w:spacing w:after="0" w:line="240" w:lineRule="auto"/>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Business</w:t>
            </w:r>
          </w:p>
        </w:tc>
        <w:tc>
          <w:tcPr>
            <w:tcW w:w="305" w:type="pct"/>
            <w:noWrap/>
            <w:hideMark/>
          </w:tcPr>
          <w:p w14:paraId="2C292CAB"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PIT</w:t>
            </w:r>
          </w:p>
        </w:tc>
        <w:tc>
          <w:tcPr>
            <w:tcW w:w="356" w:type="pct"/>
            <w:noWrap/>
            <w:hideMark/>
          </w:tcPr>
          <w:p w14:paraId="42A362C7"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w:t>
            </w:r>
          </w:p>
        </w:tc>
        <w:tc>
          <w:tcPr>
            <w:tcW w:w="1270" w:type="pct"/>
            <w:noWrap/>
            <w:hideMark/>
          </w:tcPr>
          <w:p w14:paraId="11115126"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roofErr w:type="spellStart"/>
            <w:r w:rsidRPr="0031647F">
              <w:rPr>
                <w:rFonts w:ascii="Calibri" w:eastAsia="Times New Roman" w:hAnsi="Calibri" w:cs="Calibri"/>
                <w:color w:val="000000"/>
                <w:sz w:val="20"/>
                <w:szCs w:val="20"/>
                <w:lang w:eastAsia="en-AU"/>
              </w:rPr>
              <w:t>PSI_Net_Amt</w:t>
            </w:r>
            <w:proofErr w:type="spellEnd"/>
          </w:p>
        </w:tc>
        <w:tc>
          <w:tcPr>
            <w:tcW w:w="1881" w:type="pct"/>
            <w:noWrap/>
            <w:hideMark/>
          </w:tcPr>
          <w:p w14:paraId="6062E503"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 xml:space="preserve">Net PSI </w:t>
            </w:r>
          </w:p>
        </w:tc>
        <w:tc>
          <w:tcPr>
            <w:tcW w:w="682" w:type="pct"/>
            <w:noWrap/>
            <w:hideMark/>
          </w:tcPr>
          <w:p w14:paraId="4CF8857F" w14:textId="3E907AB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AU"/>
              </w:rPr>
            </w:pPr>
          </w:p>
        </w:tc>
      </w:tr>
      <w:tr w:rsidR="0030564C" w:rsidRPr="0031647F" w14:paraId="47C3F67F" w14:textId="77777777" w:rsidTr="008407DB">
        <w:trPr>
          <w:trHeight w:val="300"/>
        </w:trPr>
        <w:tc>
          <w:tcPr>
            <w:cnfStyle w:val="001000000000" w:firstRow="0" w:lastRow="0" w:firstColumn="1" w:lastColumn="0" w:oddVBand="0" w:evenVBand="0" w:oddHBand="0" w:evenHBand="0" w:firstRowFirstColumn="0" w:firstRowLastColumn="0" w:lastRowFirstColumn="0" w:lastRowLastColumn="0"/>
            <w:tcW w:w="506" w:type="pct"/>
            <w:noWrap/>
            <w:hideMark/>
          </w:tcPr>
          <w:p w14:paraId="5641E9B2" w14:textId="77777777" w:rsidR="0030564C" w:rsidRPr="0031647F" w:rsidRDefault="0030564C" w:rsidP="0030564C">
            <w:pPr>
              <w:spacing w:after="0" w:line="240" w:lineRule="auto"/>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Business</w:t>
            </w:r>
          </w:p>
        </w:tc>
        <w:tc>
          <w:tcPr>
            <w:tcW w:w="305" w:type="pct"/>
            <w:noWrap/>
            <w:hideMark/>
          </w:tcPr>
          <w:p w14:paraId="39AF45E1"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PIT</w:t>
            </w:r>
          </w:p>
        </w:tc>
        <w:tc>
          <w:tcPr>
            <w:tcW w:w="356" w:type="pct"/>
            <w:noWrap/>
            <w:hideMark/>
          </w:tcPr>
          <w:p w14:paraId="14189804"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w:t>
            </w:r>
          </w:p>
        </w:tc>
        <w:tc>
          <w:tcPr>
            <w:tcW w:w="1270" w:type="pct"/>
            <w:noWrap/>
            <w:hideMark/>
          </w:tcPr>
          <w:p w14:paraId="0E8C8BAD"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roofErr w:type="spellStart"/>
            <w:r w:rsidRPr="0031647F">
              <w:rPr>
                <w:rFonts w:ascii="Calibri" w:eastAsia="Times New Roman" w:hAnsi="Calibri" w:cs="Calibri"/>
                <w:color w:val="000000"/>
                <w:sz w:val="20"/>
                <w:szCs w:val="20"/>
                <w:lang w:eastAsia="en-AU"/>
              </w:rPr>
              <w:t>Pshps_NPP_Less_Forgn_Incm_Amt</w:t>
            </w:r>
            <w:proofErr w:type="spellEnd"/>
          </w:p>
        </w:tc>
        <w:tc>
          <w:tcPr>
            <w:tcW w:w="1881" w:type="pct"/>
            <w:noWrap/>
            <w:hideMark/>
          </w:tcPr>
          <w:p w14:paraId="40D7247E"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Distribution from partnerships less foreign income non primary production</w:t>
            </w:r>
          </w:p>
        </w:tc>
        <w:tc>
          <w:tcPr>
            <w:tcW w:w="682" w:type="pct"/>
            <w:noWrap/>
            <w:hideMark/>
          </w:tcPr>
          <w:p w14:paraId="189FDBE7"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
        </w:tc>
      </w:tr>
      <w:tr w:rsidR="0030564C" w:rsidRPr="0031647F" w14:paraId="0DD10503" w14:textId="77777777" w:rsidTr="008407DB">
        <w:trPr>
          <w:trHeight w:val="300"/>
        </w:trPr>
        <w:tc>
          <w:tcPr>
            <w:cnfStyle w:val="001000000000" w:firstRow="0" w:lastRow="0" w:firstColumn="1" w:lastColumn="0" w:oddVBand="0" w:evenVBand="0" w:oddHBand="0" w:evenHBand="0" w:firstRowFirstColumn="0" w:firstRowLastColumn="0" w:lastRowFirstColumn="0" w:lastRowLastColumn="0"/>
            <w:tcW w:w="506" w:type="pct"/>
            <w:noWrap/>
            <w:hideMark/>
          </w:tcPr>
          <w:p w14:paraId="43D44E36" w14:textId="77777777" w:rsidR="0030564C" w:rsidRPr="0031647F" w:rsidRDefault="0030564C" w:rsidP="0030564C">
            <w:pPr>
              <w:spacing w:after="0" w:line="240" w:lineRule="auto"/>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Business</w:t>
            </w:r>
          </w:p>
        </w:tc>
        <w:tc>
          <w:tcPr>
            <w:tcW w:w="305" w:type="pct"/>
            <w:noWrap/>
            <w:hideMark/>
          </w:tcPr>
          <w:p w14:paraId="42C952EC"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PIT</w:t>
            </w:r>
          </w:p>
        </w:tc>
        <w:tc>
          <w:tcPr>
            <w:tcW w:w="356" w:type="pct"/>
            <w:noWrap/>
            <w:hideMark/>
          </w:tcPr>
          <w:p w14:paraId="407EF164"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w:t>
            </w:r>
          </w:p>
        </w:tc>
        <w:tc>
          <w:tcPr>
            <w:tcW w:w="1270" w:type="pct"/>
            <w:noWrap/>
            <w:hideMark/>
          </w:tcPr>
          <w:p w14:paraId="60FF5202"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roofErr w:type="spellStart"/>
            <w:r w:rsidRPr="0031647F">
              <w:rPr>
                <w:rFonts w:ascii="Calibri" w:eastAsia="Times New Roman" w:hAnsi="Calibri" w:cs="Calibri"/>
                <w:color w:val="000000"/>
                <w:sz w:val="20"/>
                <w:szCs w:val="20"/>
                <w:lang w:eastAsia="en-AU"/>
              </w:rPr>
              <w:t>Pshps_PP_Dstbn_Amt</w:t>
            </w:r>
            <w:proofErr w:type="spellEnd"/>
          </w:p>
        </w:tc>
        <w:tc>
          <w:tcPr>
            <w:tcW w:w="1881" w:type="pct"/>
            <w:noWrap/>
            <w:hideMark/>
          </w:tcPr>
          <w:p w14:paraId="3DF9F7E9"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Distribution from partnerships primary production</w:t>
            </w:r>
          </w:p>
        </w:tc>
        <w:tc>
          <w:tcPr>
            <w:tcW w:w="682" w:type="pct"/>
            <w:noWrap/>
            <w:hideMark/>
          </w:tcPr>
          <w:p w14:paraId="39A86FAD"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
        </w:tc>
      </w:tr>
      <w:tr w:rsidR="0030564C" w:rsidRPr="0031647F" w14:paraId="1E23E9D0" w14:textId="77777777" w:rsidTr="008407DB">
        <w:trPr>
          <w:trHeight w:val="300"/>
        </w:trPr>
        <w:tc>
          <w:tcPr>
            <w:cnfStyle w:val="001000000000" w:firstRow="0" w:lastRow="0" w:firstColumn="1" w:lastColumn="0" w:oddVBand="0" w:evenVBand="0" w:oddHBand="0" w:evenHBand="0" w:firstRowFirstColumn="0" w:firstRowLastColumn="0" w:lastRowFirstColumn="0" w:lastRowLastColumn="0"/>
            <w:tcW w:w="506" w:type="pct"/>
            <w:noWrap/>
            <w:hideMark/>
          </w:tcPr>
          <w:p w14:paraId="26B9EA4E" w14:textId="77777777" w:rsidR="0030564C" w:rsidRPr="0031647F" w:rsidRDefault="0030564C" w:rsidP="0030564C">
            <w:pPr>
              <w:spacing w:after="0" w:line="240" w:lineRule="auto"/>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Investment</w:t>
            </w:r>
          </w:p>
        </w:tc>
        <w:tc>
          <w:tcPr>
            <w:tcW w:w="305" w:type="pct"/>
            <w:noWrap/>
            <w:hideMark/>
          </w:tcPr>
          <w:p w14:paraId="455E7E3D"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PIT</w:t>
            </w:r>
          </w:p>
        </w:tc>
        <w:tc>
          <w:tcPr>
            <w:tcW w:w="356" w:type="pct"/>
            <w:noWrap/>
            <w:hideMark/>
          </w:tcPr>
          <w:p w14:paraId="551DC413"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w:t>
            </w:r>
          </w:p>
        </w:tc>
        <w:tc>
          <w:tcPr>
            <w:tcW w:w="1270" w:type="pct"/>
            <w:noWrap/>
            <w:hideMark/>
          </w:tcPr>
          <w:p w14:paraId="71F7E58A"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roofErr w:type="spellStart"/>
            <w:r w:rsidRPr="0031647F">
              <w:rPr>
                <w:rFonts w:ascii="Calibri" w:eastAsia="Times New Roman" w:hAnsi="Calibri" w:cs="Calibri"/>
                <w:color w:val="000000"/>
                <w:sz w:val="20"/>
                <w:szCs w:val="20"/>
                <w:lang w:eastAsia="en-AU"/>
              </w:rPr>
              <w:t>Grs_Intst_Amt</w:t>
            </w:r>
            <w:proofErr w:type="spellEnd"/>
          </w:p>
        </w:tc>
        <w:tc>
          <w:tcPr>
            <w:tcW w:w="1881" w:type="pct"/>
            <w:noWrap/>
            <w:hideMark/>
          </w:tcPr>
          <w:p w14:paraId="4E2DDAC4"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Gross interest</w:t>
            </w:r>
          </w:p>
        </w:tc>
        <w:tc>
          <w:tcPr>
            <w:tcW w:w="682" w:type="pct"/>
            <w:noWrap/>
            <w:hideMark/>
          </w:tcPr>
          <w:p w14:paraId="502E5FF4"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
        </w:tc>
      </w:tr>
      <w:tr w:rsidR="0030564C" w:rsidRPr="0031647F" w14:paraId="63C0CD9C" w14:textId="77777777" w:rsidTr="008407DB">
        <w:trPr>
          <w:trHeight w:val="300"/>
        </w:trPr>
        <w:tc>
          <w:tcPr>
            <w:cnfStyle w:val="001000000000" w:firstRow="0" w:lastRow="0" w:firstColumn="1" w:lastColumn="0" w:oddVBand="0" w:evenVBand="0" w:oddHBand="0" w:evenHBand="0" w:firstRowFirstColumn="0" w:firstRowLastColumn="0" w:lastRowFirstColumn="0" w:lastRowLastColumn="0"/>
            <w:tcW w:w="506" w:type="pct"/>
            <w:noWrap/>
            <w:hideMark/>
          </w:tcPr>
          <w:p w14:paraId="62CD7FB1" w14:textId="77777777" w:rsidR="0030564C" w:rsidRPr="0031647F" w:rsidRDefault="0030564C" w:rsidP="0030564C">
            <w:pPr>
              <w:spacing w:after="0" w:line="240" w:lineRule="auto"/>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Investment</w:t>
            </w:r>
          </w:p>
        </w:tc>
        <w:tc>
          <w:tcPr>
            <w:tcW w:w="305" w:type="pct"/>
            <w:noWrap/>
            <w:hideMark/>
          </w:tcPr>
          <w:p w14:paraId="00A88CCF"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PIT</w:t>
            </w:r>
          </w:p>
        </w:tc>
        <w:tc>
          <w:tcPr>
            <w:tcW w:w="356" w:type="pct"/>
            <w:noWrap/>
            <w:hideMark/>
          </w:tcPr>
          <w:p w14:paraId="5D2E9D11"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w:t>
            </w:r>
          </w:p>
        </w:tc>
        <w:tc>
          <w:tcPr>
            <w:tcW w:w="1270" w:type="pct"/>
            <w:noWrap/>
            <w:hideMark/>
          </w:tcPr>
          <w:p w14:paraId="604C7409"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roofErr w:type="spellStart"/>
            <w:r w:rsidRPr="0031647F">
              <w:rPr>
                <w:rFonts w:ascii="Calibri" w:eastAsia="Times New Roman" w:hAnsi="Calibri" w:cs="Calibri"/>
                <w:color w:val="000000"/>
                <w:sz w:val="20"/>
                <w:szCs w:val="20"/>
                <w:lang w:eastAsia="en-AU"/>
              </w:rPr>
              <w:t>Divs_Unfrnkd_Amt</w:t>
            </w:r>
            <w:proofErr w:type="spellEnd"/>
          </w:p>
        </w:tc>
        <w:tc>
          <w:tcPr>
            <w:tcW w:w="1881" w:type="pct"/>
            <w:noWrap/>
            <w:hideMark/>
          </w:tcPr>
          <w:p w14:paraId="700C60EC"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Dividends unfranked</w:t>
            </w:r>
          </w:p>
        </w:tc>
        <w:tc>
          <w:tcPr>
            <w:tcW w:w="682" w:type="pct"/>
            <w:noWrap/>
            <w:hideMark/>
          </w:tcPr>
          <w:p w14:paraId="25EF2DE7"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
        </w:tc>
      </w:tr>
      <w:tr w:rsidR="0030564C" w:rsidRPr="0031647F" w14:paraId="3587F41F" w14:textId="77777777" w:rsidTr="008407DB">
        <w:trPr>
          <w:trHeight w:val="300"/>
        </w:trPr>
        <w:tc>
          <w:tcPr>
            <w:cnfStyle w:val="001000000000" w:firstRow="0" w:lastRow="0" w:firstColumn="1" w:lastColumn="0" w:oddVBand="0" w:evenVBand="0" w:oddHBand="0" w:evenHBand="0" w:firstRowFirstColumn="0" w:firstRowLastColumn="0" w:lastRowFirstColumn="0" w:lastRowLastColumn="0"/>
            <w:tcW w:w="506" w:type="pct"/>
            <w:noWrap/>
            <w:hideMark/>
          </w:tcPr>
          <w:p w14:paraId="769CB994" w14:textId="77777777" w:rsidR="0030564C" w:rsidRPr="0031647F" w:rsidRDefault="0030564C" w:rsidP="0030564C">
            <w:pPr>
              <w:spacing w:after="0" w:line="240" w:lineRule="auto"/>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Investment</w:t>
            </w:r>
          </w:p>
        </w:tc>
        <w:tc>
          <w:tcPr>
            <w:tcW w:w="305" w:type="pct"/>
            <w:noWrap/>
            <w:hideMark/>
          </w:tcPr>
          <w:p w14:paraId="75884FC9"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PIT</w:t>
            </w:r>
          </w:p>
        </w:tc>
        <w:tc>
          <w:tcPr>
            <w:tcW w:w="356" w:type="pct"/>
            <w:noWrap/>
            <w:hideMark/>
          </w:tcPr>
          <w:p w14:paraId="0969B6F4"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w:t>
            </w:r>
          </w:p>
        </w:tc>
        <w:tc>
          <w:tcPr>
            <w:tcW w:w="1270" w:type="pct"/>
            <w:noWrap/>
            <w:hideMark/>
          </w:tcPr>
          <w:p w14:paraId="379C5587"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roofErr w:type="spellStart"/>
            <w:r w:rsidRPr="0031647F">
              <w:rPr>
                <w:rFonts w:ascii="Calibri" w:eastAsia="Times New Roman" w:hAnsi="Calibri" w:cs="Calibri"/>
                <w:color w:val="000000"/>
                <w:sz w:val="20"/>
                <w:szCs w:val="20"/>
                <w:lang w:eastAsia="en-AU"/>
              </w:rPr>
              <w:t>Divs_Frnkd_Amt</w:t>
            </w:r>
            <w:proofErr w:type="spellEnd"/>
          </w:p>
        </w:tc>
        <w:tc>
          <w:tcPr>
            <w:tcW w:w="1881" w:type="pct"/>
            <w:noWrap/>
            <w:hideMark/>
          </w:tcPr>
          <w:p w14:paraId="038A004D"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Dividends franked</w:t>
            </w:r>
          </w:p>
        </w:tc>
        <w:tc>
          <w:tcPr>
            <w:tcW w:w="682" w:type="pct"/>
            <w:noWrap/>
            <w:hideMark/>
          </w:tcPr>
          <w:p w14:paraId="603A3ECC"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
        </w:tc>
      </w:tr>
      <w:tr w:rsidR="0030564C" w:rsidRPr="0031647F" w14:paraId="1A53EA51" w14:textId="77777777" w:rsidTr="008407DB">
        <w:trPr>
          <w:trHeight w:val="300"/>
        </w:trPr>
        <w:tc>
          <w:tcPr>
            <w:cnfStyle w:val="001000000000" w:firstRow="0" w:lastRow="0" w:firstColumn="1" w:lastColumn="0" w:oddVBand="0" w:evenVBand="0" w:oddHBand="0" w:evenHBand="0" w:firstRowFirstColumn="0" w:firstRowLastColumn="0" w:lastRowFirstColumn="0" w:lastRowLastColumn="0"/>
            <w:tcW w:w="506" w:type="pct"/>
            <w:noWrap/>
            <w:hideMark/>
          </w:tcPr>
          <w:p w14:paraId="3BAD2533" w14:textId="77777777" w:rsidR="0030564C" w:rsidRPr="0031647F" w:rsidRDefault="0030564C" w:rsidP="0030564C">
            <w:pPr>
              <w:spacing w:after="0" w:line="240" w:lineRule="auto"/>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Investment</w:t>
            </w:r>
          </w:p>
        </w:tc>
        <w:tc>
          <w:tcPr>
            <w:tcW w:w="305" w:type="pct"/>
            <w:noWrap/>
            <w:hideMark/>
          </w:tcPr>
          <w:p w14:paraId="7C78EA7E"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PIT</w:t>
            </w:r>
          </w:p>
        </w:tc>
        <w:tc>
          <w:tcPr>
            <w:tcW w:w="356" w:type="pct"/>
            <w:noWrap/>
            <w:hideMark/>
          </w:tcPr>
          <w:p w14:paraId="45C8E33A"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w:t>
            </w:r>
          </w:p>
        </w:tc>
        <w:tc>
          <w:tcPr>
            <w:tcW w:w="1270" w:type="pct"/>
            <w:noWrap/>
            <w:hideMark/>
          </w:tcPr>
          <w:p w14:paraId="46C200DC"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roofErr w:type="spellStart"/>
            <w:r w:rsidRPr="0031647F">
              <w:rPr>
                <w:rFonts w:ascii="Calibri" w:eastAsia="Times New Roman" w:hAnsi="Calibri" w:cs="Calibri"/>
                <w:color w:val="000000"/>
                <w:sz w:val="20"/>
                <w:szCs w:val="20"/>
                <w:lang w:eastAsia="en-AU"/>
              </w:rPr>
              <w:t>Divs_FCR_Amt</w:t>
            </w:r>
            <w:proofErr w:type="spellEnd"/>
          </w:p>
        </w:tc>
        <w:tc>
          <w:tcPr>
            <w:tcW w:w="1881" w:type="pct"/>
            <w:noWrap/>
            <w:hideMark/>
          </w:tcPr>
          <w:p w14:paraId="1BA7DB21"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Dividends franking credit</w:t>
            </w:r>
          </w:p>
        </w:tc>
        <w:tc>
          <w:tcPr>
            <w:tcW w:w="682" w:type="pct"/>
            <w:noWrap/>
            <w:hideMark/>
          </w:tcPr>
          <w:p w14:paraId="118E4759"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
        </w:tc>
      </w:tr>
      <w:tr w:rsidR="0030564C" w:rsidRPr="0031647F" w14:paraId="168F6052" w14:textId="77777777" w:rsidTr="008407DB">
        <w:trPr>
          <w:trHeight w:val="300"/>
        </w:trPr>
        <w:tc>
          <w:tcPr>
            <w:cnfStyle w:val="001000000000" w:firstRow="0" w:lastRow="0" w:firstColumn="1" w:lastColumn="0" w:oddVBand="0" w:evenVBand="0" w:oddHBand="0" w:evenHBand="0" w:firstRowFirstColumn="0" w:firstRowLastColumn="0" w:lastRowFirstColumn="0" w:lastRowLastColumn="0"/>
            <w:tcW w:w="506" w:type="pct"/>
            <w:noWrap/>
            <w:hideMark/>
          </w:tcPr>
          <w:p w14:paraId="2050D5C2" w14:textId="77777777" w:rsidR="0030564C" w:rsidRPr="0031647F" w:rsidRDefault="0030564C" w:rsidP="0030564C">
            <w:pPr>
              <w:spacing w:after="0" w:line="240" w:lineRule="auto"/>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Investment</w:t>
            </w:r>
          </w:p>
        </w:tc>
        <w:tc>
          <w:tcPr>
            <w:tcW w:w="305" w:type="pct"/>
            <w:noWrap/>
            <w:hideMark/>
          </w:tcPr>
          <w:p w14:paraId="58252D05"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PIT</w:t>
            </w:r>
          </w:p>
        </w:tc>
        <w:tc>
          <w:tcPr>
            <w:tcW w:w="356" w:type="pct"/>
            <w:noWrap/>
            <w:hideMark/>
          </w:tcPr>
          <w:p w14:paraId="253D05D7"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w:t>
            </w:r>
          </w:p>
        </w:tc>
        <w:tc>
          <w:tcPr>
            <w:tcW w:w="1270" w:type="pct"/>
            <w:noWrap/>
            <w:hideMark/>
          </w:tcPr>
          <w:p w14:paraId="3115C799"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roofErr w:type="spellStart"/>
            <w:r w:rsidRPr="0031647F">
              <w:rPr>
                <w:rFonts w:ascii="Calibri" w:eastAsia="Times New Roman" w:hAnsi="Calibri" w:cs="Calibri"/>
                <w:color w:val="000000"/>
                <w:sz w:val="20"/>
                <w:szCs w:val="20"/>
                <w:lang w:eastAsia="en-AU"/>
              </w:rPr>
              <w:t>Trsts_Npp_less_CGForgnIncm_amt</w:t>
            </w:r>
            <w:proofErr w:type="spellEnd"/>
          </w:p>
        </w:tc>
        <w:tc>
          <w:tcPr>
            <w:tcW w:w="1881" w:type="pct"/>
            <w:noWrap/>
            <w:hideMark/>
          </w:tcPr>
          <w:p w14:paraId="2B96FECB"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Share of net income from trusts less net capital gains and foreign income non primary production</w:t>
            </w:r>
          </w:p>
        </w:tc>
        <w:tc>
          <w:tcPr>
            <w:tcW w:w="682" w:type="pct"/>
            <w:noWrap/>
            <w:hideMark/>
          </w:tcPr>
          <w:p w14:paraId="5AB96CCA"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
        </w:tc>
      </w:tr>
      <w:tr w:rsidR="0030564C" w:rsidRPr="0031647F" w14:paraId="21F5A727" w14:textId="77777777" w:rsidTr="008407DB">
        <w:trPr>
          <w:trHeight w:val="300"/>
        </w:trPr>
        <w:tc>
          <w:tcPr>
            <w:cnfStyle w:val="001000000000" w:firstRow="0" w:lastRow="0" w:firstColumn="1" w:lastColumn="0" w:oddVBand="0" w:evenVBand="0" w:oddHBand="0" w:evenHBand="0" w:firstRowFirstColumn="0" w:firstRowLastColumn="0" w:lastRowFirstColumn="0" w:lastRowLastColumn="0"/>
            <w:tcW w:w="506" w:type="pct"/>
            <w:noWrap/>
            <w:hideMark/>
          </w:tcPr>
          <w:p w14:paraId="156EE296" w14:textId="77777777" w:rsidR="0030564C" w:rsidRPr="0031647F" w:rsidRDefault="0030564C" w:rsidP="0030564C">
            <w:pPr>
              <w:spacing w:after="0" w:line="240" w:lineRule="auto"/>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Investment</w:t>
            </w:r>
          </w:p>
        </w:tc>
        <w:tc>
          <w:tcPr>
            <w:tcW w:w="305" w:type="pct"/>
            <w:noWrap/>
            <w:hideMark/>
          </w:tcPr>
          <w:p w14:paraId="59F76231"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PIT</w:t>
            </w:r>
          </w:p>
        </w:tc>
        <w:tc>
          <w:tcPr>
            <w:tcW w:w="356" w:type="pct"/>
            <w:noWrap/>
            <w:hideMark/>
          </w:tcPr>
          <w:p w14:paraId="027ED981"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w:t>
            </w:r>
          </w:p>
        </w:tc>
        <w:tc>
          <w:tcPr>
            <w:tcW w:w="1270" w:type="pct"/>
            <w:noWrap/>
            <w:hideMark/>
          </w:tcPr>
          <w:p w14:paraId="576AEC53"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roofErr w:type="spellStart"/>
            <w:r w:rsidRPr="0031647F">
              <w:rPr>
                <w:rFonts w:ascii="Calibri" w:eastAsia="Times New Roman" w:hAnsi="Calibri" w:cs="Calibri"/>
                <w:color w:val="000000"/>
                <w:sz w:val="20"/>
                <w:szCs w:val="20"/>
                <w:lang w:eastAsia="en-AU"/>
              </w:rPr>
              <w:t>NonPPFrnkdDstbnsFrmTrstsAmt</w:t>
            </w:r>
            <w:proofErr w:type="spellEnd"/>
          </w:p>
        </w:tc>
        <w:tc>
          <w:tcPr>
            <w:tcW w:w="1881" w:type="pct"/>
            <w:noWrap/>
            <w:hideMark/>
          </w:tcPr>
          <w:p w14:paraId="3BF90A6A"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Franked distributions from trusts non primary production</w:t>
            </w:r>
          </w:p>
        </w:tc>
        <w:tc>
          <w:tcPr>
            <w:tcW w:w="682" w:type="pct"/>
            <w:noWrap/>
            <w:hideMark/>
          </w:tcPr>
          <w:p w14:paraId="5C116251"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
        </w:tc>
      </w:tr>
      <w:tr w:rsidR="0030564C" w:rsidRPr="0031647F" w14:paraId="0A052F93" w14:textId="77777777" w:rsidTr="008407DB">
        <w:trPr>
          <w:trHeight w:val="300"/>
        </w:trPr>
        <w:tc>
          <w:tcPr>
            <w:cnfStyle w:val="001000000000" w:firstRow="0" w:lastRow="0" w:firstColumn="1" w:lastColumn="0" w:oddVBand="0" w:evenVBand="0" w:oddHBand="0" w:evenHBand="0" w:firstRowFirstColumn="0" w:firstRowLastColumn="0" w:lastRowFirstColumn="0" w:lastRowLastColumn="0"/>
            <w:tcW w:w="506" w:type="pct"/>
            <w:noWrap/>
            <w:hideMark/>
          </w:tcPr>
          <w:p w14:paraId="681A41F5" w14:textId="77777777" w:rsidR="0030564C" w:rsidRPr="0031647F" w:rsidRDefault="0030564C" w:rsidP="0030564C">
            <w:pPr>
              <w:spacing w:after="0" w:line="240" w:lineRule="auto"/>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Investment</w:t>
            </w:r>
          </w:p>
        </w:tc>
        <w:tc>
          <w:tcPr>
            <w:tcW w:w="305" w:type="pct"/>
            <w:noWrap/>
            <w:hideMark/>
          </w:tcPr>
          <w:p w14:paraId="52613616"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PIT</w:t>
            </w:r>
          </w:p>
        </w:tc>
        <w:tc>
          <w:tcPr>
            <w:tcW w:w="356" w:type="pct"/>
            <w:noWrap/>
            <w:hideMark/>
          </w:tcPr>
          <w:p w14:paraId="7664BAE9"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w:t>
            </w:r>
          </w:p>
        </w:tc>
        <w:tc>
          <w:tcPr>
            <w:tcW w:w="1270" w:type="pct"/>
            <w:noWrap/>
            <w:hideMark/>
          </w:tcPr>
          <w:p w14:paraId="11638372"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roofErr w:type="spellStart"/>
            <w:r w:rsidRPr="0031647F">
              <w:rPr>
                <w:rFonts w:ascii="Calibri" w:eastAsia="Times New Roman" w:hAnsi="Calibri" w:cs="Calibri"/>
                <w:color w:val="000000"/>
                <w:sz w:val="20"/>
                <w:szCs w:val="20"/>
                <w:lang w:eastAsia="en-AU"/>
              </w:rPr>
              <w:t>Ausn_FCRs_Frm_NZC_Amt</w:t>
            </w:r>
            <w:proofErr w:type="spellEnd"/>
          </w:p>
        </w:tc>
        <w:tc>
          <w:tcPr>
            <w:tcW w:w="1881" w:type="pct"/>
            <w:noWrap/>
            <w:hideMark/>
          </w:tcPr>
          <w:p w14:paraId="31B65733"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Foreign source income Australian franking credits from a NZ company</w:t>
            </w:r>
          </w:p>
        </w:tc>
        <w:tc>
          <w:tcPr>
            <w:tcW w:w="682" w:type="pct"/>
            <w:noWrap/>
            <w:hideMark/>
          </w:tcPr>
          <w:p w14:paraId="3B3C0E81"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
        </w:tc>
      </w:tr>
      <w:tr w:rsidR="0030564C" w:rsidRPr="0031647F" w14:paraId="4B4DDFDB" w14:textId="77777777" w:rsidTr="008407DB">
        <w:trPr>
          <w:trHeight w:val="300"/>
        </w:trPr>
        <w:tc>
          <w:tcPr>
            <w:cnfStyle w:val="001000000000" w:firstRow="0" w:lastRow="0" w:firstColumn="1" w:lastColumn="0" w:oddVBand="0" w:evenVBand="0" w:oddHBand="0" w:evenHBand="0" w:firstRowFirstColumn="0" w:firstRowLastColumn="0" w:lastRowFirstColumn="0" w:lastRowLastColumn="0"/>
            <w:tcW w:w="506" w:type="pct"/>
            <w:noWrap/>
            <w:hideMark/>
          </w:tcPr>
          <w:p w14:paraId="03FEE389" w14:textId="77777777" w:rsidR="0030564C" w:rsidRPr="0031647F" w:rsidRDefault="0030564C" w:rsidP="0030564C">
            <w:pPr>
              <w:spacing w:after="0" w:line="240" w:lineRule="auto"/>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Investment</w:t>
            </w:r>
          </w:p>
        </w:tc>
        <w:tc>
          <w:tcPr>
            <w:tcW w:w="305" w:type="pct"/>
            <w:noWrap/>
            <w:hideMark/>
          </w:tcPr>
          <w:p w14:paraId="646BBD08"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PIT</w:t>
            </w:r>
          </w:p>
        </w:tc>
        <w:tc>
          <w:tcPr>
            <w:tcW w:w="356" w:type="pct"/>
            <w:noWrap/>
            <w:hideMark/>
          </w:tcPr>
          <w:p w14:paraId="143FD9F0"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w:t>
            </w:r>
          </w:p>
        </w:tc>
        <w:tc>
          <w:tcPr>
            <w:tcW w:w="1270" w:type="pct"/>
            <w:noWrap/>
            <w:hideMark/>
          </w:tcPr>
          <w:p w14:paraId="70989397"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roofErr w:type="spellStart"/>
            <w:r w:rsidRPr="0031647F">
              <w:rPr>
                <w:rFonts w:ascii="Calibri" w:eastAsia="Times New Roman" w:hAnsi="Calibri" w:cs="Calibri"/>
                <w:color w:val="000000"/>
                <w:sz w:val="20"/>
                <w:szCs w:val="20"/>
                <w:lang w:eastAsia="en-AU"/>
              </w:rPr>
              <w:t>Net_Forgn_Rnt_Amt</w:t>
            </w:r>
            <w:proofErr w:type="spellEnd"/>
          </w:p>
        </w:tc>
        <w:tc>
          <w:tcPr>
            <w:tcW w:w="1881" w:type="pct"/>
            <w:noWrap/>
            <w:hideMark/>
          </w:tcPr>
          <w:p w14:paraId="28630C08"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Foreign source income net foreign rent</w:t>
            </w:r>
          </w:p>
        </w:tc>
        <w:tc>
          <w:tcPr>
            <w:tcW w:w="682" w:type="pct"/>
            <w:noWrap/>
            <w:hideMark/>
          </w:tcPr>
          <w:p w14:paraId="7AD15243"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
        </w:tc>
      </w:tr>
      <w:tr w:rsidR="0030564C" w:rsidRPr="0031647F" w14:paraId="50D20181" w14:textId="77777777" w:rsidTr="008407DB">
        <w:trPr>
          <w:trHeight w:val="300"/>
        </w:trPr>
        <w:tc>
          <w:tcPr>
            <w:cnfStyle w:val="001000000000" w:firstRow="0" w:lastRow="0" w:firstColumn="1" w:lastColumn="0" w:oddVBand="0" w:evenVBand="0" w:oddHBand="0" w:evenHBand="0" w:firstRowFirstColumn="0" w:firstRowLastColumn="0" w:lastRowFirstColumn="0" w:lastRowLastColumn="0"/>
            <w:tcW w:w="506" w:type="pct"/>
            <w:noWrap/>
            <w:hideMark/>
          </w:tcPr>
          <w:p w14:paraId="0591B6CB" w14:textId="77777777" w:rsidR="0030564C" w:rsidRPr="0031647F" w:rsidRDefault="0030564C" w:rsidP="0030564C">
            <w:pPr>
              <w:spacing w:after="0" w:line="240" w:lineRule="auto"/>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Investment</w:t>
            </w:r>
          </w:p>
        </w:tc>
        <w:tc>
          <w:tcPr>
            <w:tcW w:w="305" w:type="pct"/>
            <w:noWrap/>
            <w:hideMark/>
          </w:tcPr>
          <w:p w14:paraId="421E423E"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PIT</w:t>
            </w:r>
          </w:p>
        </w:tc>
        <w:tc>
          <w:tcPr>
            <w:tcW w:w="356" w:type="pct"/>
            <w:noWrap/>
            <w:hideMark/>
          </w:tcPr>
          <w:p w14:paraId="1DE01CB7"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w:t>
            </w:r>
          </w:p>
        </w:tc>
        <w:tc>
          <w:tcPr>
            <w:tcW w:w="1270" w:type="pct"/>
            <w:noWrap/>
            <w:hideMark/>
          </w:tcPr>
          <w:p w14:paraId="39BA6A4E"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roofErr w:type="spellStart"/>
            <w:r w:rsidRPr="0031647F">
              <w:rPr>
                <w:rFonts w:ascii="Calibri" w:eastAsia="Times New Roman" w:hAnsi="Calibri" w:cs="Calibri"/>
                <w:color w:val="000000"/>
                <w:sz w:val="20"/>
                <w:szCs w:val="20"/>
                <w:lang w:eastAsia="en-AU"/>
              </w:rPr>
              <w:t>Rntl_Net_Rnt_Amt</w:t>
            </w:r>
            <w:proofErr w:type="spellEnd"/>
          </w:p>
        </w:tc>
        <w:tc>
          <w:tcPr>
            <w:tcW w:w="1881" w:type="pct"/>
            <w:noWrap/>
            <w:hideMark/>
          </w:tcPr>
          <w:p w14:paraId="3F8CF34D"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Rent net rent</w:t>
            </w:r>
          </w:p>
        </w:tc>
        <w:tc>
          <w:tcPr>
            <w:tcW w:w="682" w:type="pct"/>
            <w:noWrap/>
            <w:hideMark/>
          </w:tcPr>
          <w:p w14:paraId="1D5E96F5"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
        </w:tc>
      </w:tr>
      <w:tr w:rsidR="0030564C" w:rsidRPr="0031647F" w14:paraId="27727138" w14:textId="77777777" w:rsidTr="008407DB">
        <w:trPr>
          <w:trHeight w:val="300"/>
        </w:trPr>
        <w:tc>
          <w:tcPr>
            <w:cnfStyle w:val="001000000000" w:firstRow="0" w:lastRow="0" w:firstColumn="1" w:lastColumn="0" w:oddVBand="0" w:evenVBand="0" w:oddHBand="0" w:evenHBand="0" w:firstRowFirstColumn="0" w:firstRowLastColumn="0" w:lastRowFirstColumn="0" w:lastRowLastColumn="0"/>
            <w:tcW w:w="506" w:type="pct"/>
            <w:noWrap/>
            <w:hideMark/>
          </w:tcPr>
          <w:p w14:paraId="23909D2A" w14:textId="77777777" w:rsidR="0030564C" w:rsidRPr="0031647F" w:rsidRDefault="0030564C" w:rsidP="0030564C">
            <w:pPr>
              <w:spacing w:after="0" w:line="240" w:lineRule="auto"/>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Superannuation</w:t>
            </w:r>
          </w:p>
        </w:tc>
        <w:tc>
          <w:tcPr>
            <w:tcW w:w="305" w:type="pct"/>
            <w:noWrap/>
            <w:hideMark/>
          </w:tcPr>
          <w:p w14:paraId="7DEA0BED"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PIT</w:t>
            </w:r>
          </w:p>
        </w:tc>
        <w:tc>
          <w:tcPr>
            <w:tcW w:w="356" w:type="pct"/>
            <w:noWrap/>
            <w:hideMark/>
          </w:tcPr>
          <w:p w14:paraId="16D881BB"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w:t>
            </w:r>
          </w:p>
        </w:tc>
        <w:tc>
          <w:tcPr>
            <w:tcW w:w="1270" w:type="pct"/>
            <w:noWrap/>
            <w:hideMark/>
          </w:tcPr>
          <w:p w14:paraId="0AF59584"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roofErr w:type="spellStart"/>
            <w:r w:rsidRPr="0031647F">
              <w:rPr>
                <w:rFonts w:ascii="Calibri" w:eastAsia="Times New Roman" w:hAnsi="Calibri" w:cs="Calibri"/>
                <w:color w:val="000000"/>
                <w:sz w:val="20"/>
                <w:szCs w:val="20"/>
                <w:lang w:eastAsia="en-AU"/>
              </w:rPr>
              <w:t>AASIS_Txbl_Cmpnt_Txd_Elmnt_Amt</w:t>
            </w:r>
            <w:proofErr w:type="spellEnd"/>
          </w:p>
        </w:tc>
        <w:tc>
          <w:tcPr>
            <w:tcW w:w="1881" w:type="pct"/>
            <w:noWrap/>
            <w:hideMark/>
          </w:tcPr>
          <w:p w14:paraId="0A758D5F"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Australian annuities and superannuation income streams taxable component taxed element</w:t>
            </w:r>
          </w:p>
        </w:tc>
        <w:tc>
          <w:tcPr>
            <w:tcW w:w="682" w:type="pct"/>
            <w:noWrap/>
            <w:hideMark/>
          </w:tcPr>
          <w:p w14:paraId="5ABD33A0"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
        </w:tc>
      </w:tr>
      <w:tr w:rsidR="0030564C" w:rsidRPr="0031647F" w14:paraId="0D552992" w14:textId="77777777" w:rsidTr="008407DB">
        <w:trPr>
          <w:trHeight w:val="300"/>
        </w:trPr>
        <w:tc>
          <w:tcPr>
            <w:cnfStyle w:val="001000000000" w:firstRow="0" w:lastRow="0" w:firstColumn="1" w:lastColumn="0" w:oddVBand="0" w:evenVBand="0" w:oddHBand="0" w:evenHBand="0" w:firstRowFirstColumn="0" w:firstRowLastColumn="0" w:lastRowFirstColumn="0" w:lastRowLastColumn="0"/>
            <w:tcW w:w="506" w:type="pct"/>
            <w:noWrap/>
            <w:hideMark/>
          </w:tcPr>
          <w:p w14:paraId="6C6E40FD" w14:textId="77777777" w:rsidR="0030564C" w:rsidRPr="0031647F" w:rsidRDefault="0030564C" w:rsidP="0030564C">
            <w:pPr>
              <w:spacing w:after="0" w:line="240" w:lineRule="auto"/>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Superannuation</w:t>
            </w:r>
          </w:p>
        </w:tc>
        <w:tc>
          <w:tcPr>
            <w:tcW w:w="305" w:type="pct"/>
            <w:noWrap/>
            <w:hideMark/>
          </w:tcPr>
          <w:p w14:paraId="5CC02D55"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PIT</w:t>
            </w:r>
          </w:p>
        </w:tc>
        <w:tc>
          <w:tcPr>
            <w:tcW w:w="356" w:type="pct"/>
            <w:noWrap/>
            <w:hideMark/>
          </w:tcPr>
          <w:p w14:paraId="539806CC"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w:t>
            </w:r>
          </w:p>
        </w:tc>
        <w:tc>
          <w:tcPr>
            <w:tcW w:w="1270" w:type="pct"/>
            <w:noWrap/>
            <w:hideMark/>
          </w:tcPr>
          <w:p w14:paraId="0A498FB0"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roofErr w:type="spellStart"/>
            <w:r w:rsidRPr="0031647F">
              <w:rPr>
                <w:rFonts w:ascii="Calibri" w:eastAsia="Times New Roman" w:hAnsi="Calibri" w:cs="Calibri"/>
                <w:color w:val="000000"/>
                <w:sz w:val="20"/>
                <w:szCs w:val="20"/>
                <w:lang w:eastAsia="en-AU"/>
              </w:rPr>
              <w:t>AASIS_TxblCmpnt_UtaxdElmnt_Amt</w:t>
            </w:r>
            <w:proofErr w:type="spellEnd"/>
          </w:p>
        </w:tc>
        <w:tc>
          <w:tcPr>
            <w:tcW w:w="1881" w:type="pct"/>
            <w:noWrap/>
            <w:hideMark/>
          </w:tcPr>
          <w:p w14:paraId="431A02AB"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Australian annuities and superannuation income streams taxable component untaxed element</w:t>
            </w:r>
          </w:p>
        </w:tc>
        <w:tc>
          <w:tcPr>
            <w:tcW w:w="682" w:type="pct"/>
            <w:noWrap/>
            <w:hideMark/>
          </w:tcPr>
          <w:p w14:paraId="57E528A5"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
        </w:tc>
      </w:tr>
      <w:tr w:rsidR="0030564C" w:rsidRPr="0031647F" w14:paraId="14C276AB" w14:textId="77777777" w:rsidTr="008407DB">
        <w:trPr>
          <w:trHeight w:val="300"/>
        </w:trPr>
        <w:tc>
          <w:tcPr>
            <w:cnfStyle w:val="001000000000" w:firstRow="0" w:lastRow="0" w:firstColumn="1" w:lastColumn="0" w:oddVBand="0" w:evenVBand="0" w:oddHBand="0" w:evenHBand="0" w:firstRowFirstColumn="0" w:firstRowLastColumn="0" w:lastRowFirstColumn="0" w:lastRowLastColumn="0"/>
            <w:tcW w:w="506" w:type="pct"/>
            <w:noWrap/>
            <w:hideMark/>
          </w:tcPr>
          <w:p w14:paraId="17288189" w14:textId="77777777" w:rsidR="0030564C" w:rsidRPr="0031647F" w:rsidRDefault="0030564C" w:rsidP="0030564C">
            <w:pPr>
              <w:spacing w:after="0" w:line="240" w:lineRule="auto"/>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Superannuation</w:t>
            </w:r>
          </w:p>
        </w:tc>
        <w:tc>
          <w:tcPr>
            <w:tcW w:w="305" w:type="pct"/>
            <w:noWrap/>
            <w:hideMark/>
          </w:tcPr>
          <w:p w14:paraId="07FE20CA"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PIT</w:t>
            </w:r>
          </w:p>
        </w:tc>
        <w:tc>
          <w:tcPr>
            <w:tcW w:w="356" w:type="pct"/>
            <w:noWrap/>
            <w:hideMark/>
          </w:tcPr>
          <w:p w14:paraId="3B3CABD1"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w:t>
            </w:r>
          </w:p>
        </w:tc>
        <w:tc>
          <w:tcPr>
            <w:tcW w:w="1270" w:type="pct"/>
            <w:noWrap/>
            <w:hideMark/>
          </w:tcPr>
          <w:p w14:paraId="219840E0"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roofErr w:type="spellStart"/>
            <w:r w:rsidRPr="0031647F">
              <w:rPr>
                <w:rFonts w:ascii="Calibri" w:eastAsia="Times New Roman" w:hAnsi="Calibri" w:cs="Calibri"/>
                <w:color w:val="000000"/>
                <w:sz w:val="20"/>
                <w:szCs w:val="20"/>
                <w:lang w:eastAsia="en-AU"/>
              </w:rPr>
              <w:t>AASISLSInArrsTaxPrtTxdElmntAmt</w:t>
            </w:r>
            <w:proofErr w:type="spellEnd"/>
          </w:p>
        </w:tc>
        <w:tc>
          <w:tcPr>
            <w:tcW w:w="1881" w:type="pct"/>
            <w:noWrap/>
            <w:hideMark/>
          </w:tcPr>
          <w:p w14:paraId="68FDA3F2"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Australian annuities and superannuation income streams lump sum in arrears taxable component taxed element</w:t>
            </w:r>
          </w:p>
        </w:tc>
        <w:tc>
          <w:tcPr>
            <w:tcW w:w="682" w:type="pct"/>
            <w:noWrap/>
            <w:hideMark/>
          </w:tcPr>
          <w:p w14:paraId="65875B32"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
        </w:tc>
      </w:tr>
      <w:tr w:rsidR="0030564C" w:rsidRPr="0031647F" w14:paraId="717C4AAA" w14:textId="77777777" w:rsidTr="008407DB">
        <w:trPr>
          <w:trHeight w:val="300"/>
        </w:trPr>
        <w:tc>
          <w:tcPr>
            <w:cnfStyle w:val="001000000000" w:firstRow="0" w:lastRow="0" w:firstColumn="1" w:lastColumn="0" w:oddVBand="0" w:evenVBand="0" w:oddHBand="0" w:evenHBand="0" w:firstRowFirstColumn="0" w:firstRowLastColumn="0" w:lastRowFirstColumn="0" w:lastRowLastColumn="0"/>
            <w:tcW w:w="506" w:type="pct"/>
            <w:noWrap/>
            <w:hideMark/>
          </w:tcPr>
          <w:p w14:paraId="034F2803" w14:textId="77777777" w:rsidR="0030564C" w:rsidRPr="0031647F" w:rsidRDefault="0030564C" w:rsidP="0030564C">
            <w:pPr>
              <w:spacing w:after="0" w:line="240" w:lineRule="auto"/>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lastRenderedPageBreak/>
              <w:t>Superannuation</w:t>
            </w:r>
          </w:p>
        </w:tc>
        <w:tc>
          <w:tcPr>
            <w:tcW w:w="305" w:type="pct"/>
            <w:noWrap/>
            <w:hideMark/>
          </w:tcPr>
          <w:p w14:paraId="0EBE9CD0"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PIT</w:t>
            </w:r>
          </w:p>
        </w:tc>
        <w:tc>
          <w:tcPr>
            <w:tcW w:w="356" w:type="pct"/>
            <w:noWrap/>
            <w:hideMark/>
          </w:tcPr>
          <w:p w14:paraId="41928100"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w:t>
            </w:r>
          </w:p>
        </w:tc>
        <w:tc>
          <w:tcPr>
            <w:tcW w:w="1270" w:type="pct"/>
            <w:noWrap/>
            <w:hideMark/>
          </w:tcPr>
          <w:p w14:paraId="2C6BB8A4"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roofErr w:type="spellStart"/>
            <w:r w:rsidRPr="0031647F">
              <w:rPr>
                <w:rFonts w:ascii="Calibri" w:eastAsia="Times New Roman" w:hAnsi="Calibri" w:cs="Calibri"/>
                <w:color w:val="000000"/>
                <w:sz w:val="20"/>
                <w:szCs w:val="20"/>
                <w:lang w:eastAsia="en-AU"/>
              </w:rPr>
              <w:t>AASISLSArrsTaxPrtUtaxdElmntAmt</w:t>
            </w:r>
            <w:proofErr w:type="spellEnd"/>
          </w:p>
        </w:tc>
        <w:tc>
          <w:tcPr>
            <w:tcW w:w="1881" w:type="pct"/>
            <w:noWrap/>
            <w:hideMark/>
          </w:tcPr>
          <w:p w14:paraId="3B9724AD"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Australian annuities and superannuation income streams lump sum in arrears taxable component untaxed element</w:t>
            </w:r>
          </w:p>
        </w:tc>
        <w:tc>
          <w:tcPr>
            <w:tcW w:w="682" w:type="pct"/>
            <w:noWrap/>
            <w:hideMark/>
          </w:tcPr>
          <w:p w14:paraId="3066C40F"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
        </w:tc>
      </w:tr>
      <w:tr w:rsidR="0030564C" w:rsidRPr="0031647F" w14:paraId="093DF914" w14:textId="77777777" w:rsidTr="008407DB">
        <w:trPr>
          <w:trHeight w:val="300"/>
        </w:trPr>
        <w:tc>
          <w:tcPr>
            <w:cnfStyle w:val="001000000000" w:firstRow="0" w:lastRow="0" w:firstColumn="1" w:lastColumn="0" w:oddVBand="0" w:evenVBand="0" w:oddHBand="0" w:evenHBand="0" w:firstRowFirstColumn="0" w:firstRowLastColumn="0" w:lastRowFirstColumn="0" w:lastRowLastColumn="0"/>
            <w:tcW w:w="506" w:type="pct"/>
            <w:noWrap/>
            <w:hideMark/>
          </w:tcPr>
          <w:p w14:paraId="48494615" w14:textId="77777777" w:rsidR="0030564C" w:rsidRPr="0031647F" w:rsidRDefault="0030564C" w:rsidP="0030564C">
            <w:pPr>
              <w:spacing w:after="0" w:line="240" w:lineRule="auto"/>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Superannuation</w:t>
            </w:r>
          </w:p>
        </w:tc>
        <w:tc>
          <w:tcPr>
            <w:tcW w:w="305" w:type="pct"/>
            <w:noWrap/>
            <w:hideMark/>
          </w:tcPr>
          <w:p w14:paraId="3E1263E1"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PIT</w:t>
            </w:r>
          </w:p>
        </w:tc>
        <w:tc>
          <w:tcPr>
            <w:tcW w:w="356" w:type="pct"/>
            <w:noWrap/>
            <w:hideMark/>
          </w:tcPr>
          <w:p w14:paraId="628E76D1"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w:t>
            </w:r>
          </w:p>
        </w:tc>
        <w:tc>
          <w:tcPr>
            <w:tcW w:w="1270" w:type="pct"/>
            <w:noWrap/>
            <w:hideMark/>
          </w:tcPr>
          <w:p w14:paraId="0E712617"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roofErr w:type="spellStart"/>
            <w:r w:rsidRPr="0031647F">
              <w:rPr>
                <w:rFonts w:ascii="Calibri" w:eastAsia="Times New Roman" w:hAnsi="Calibri" w:cs="Calibri"/>
                <w:color w:val="000000"/>
                <w:sz w:val="20"/>
                <w:szCs w:val="20"/>
                <w:lang w:eastAsia="en-AU"/>
              </w:rPr>
              <w:t>SLS_Txd_Elmnt_Amt</w:t>
            </w:r>
            <w:proofErr w:type="spellEnd"/>
          </w:p>
        </w:tc>
        <w:tc>
          <w:tcPr>
            <w:tcW w:w="1881" w:type="pct"/>
            <w:noWrap/>
            <w:hideMark/>
          </w:tcPr>
          <w:p w14:paraId="25CF04FE"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Australian superannuation lump sum payments taxed element</w:t>
            </w:r>
          </w:p>
        </w:tc>
        <w:tc>
          <w:tcPr>
            <w:tcW w:w="682" w:type="pct"/>
            <w:noWrap/>
            <w:hideMark/>
          </w:tcPr>
          <w:p w14:paraId="11FF4670" w14:textId="7C5E3B9D" w:rsidR="0030564C" w:rsidRPr="0031647F" w:rsidRDefault="00325792"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M</w:t>
            </w:r>
            <w:r w:rsidR="0030564C" w:rsidRPr="0031647F">
              <w:rPr>
                <w:rFonts w:ascii="Calibri" w:eastAsia="Times New Roman" w:hAnsi="Calibri" w:cs="Calibri"/>
                <w:color w:val="000000"/>
                <w:sz w:val="20"/>
                <w:szCs w:val="20"/>
                <w:lang w:eastAsia="en-AU"/>
              </w:rPr>
              <w:t>issing from our MADIP extract</w:t>
            </w:r>
          </w:p>
        </w:tc>
      </w:tr>
      <w:tr w:rsidR="0030564C" w:rsidRPr="0031647F" w14:paraId="3C03987B" w14:textId="77777777" w:rsidTr="008407DB">
        <w:trPr>
          <w:trHeight w:val="300"/>
        </w:trPr>
        <w:tc>
          <w:tcPr>
            <w:cnfStyle w:val="001000000000" w:firstRow="0" w:lastRow="0" w:firstColumn="1" w:lastColumn="0" w:oddVBand="0" w:evenVBand="0" w:oddHBand="0" w:evenHBand="0" w:firstRowFirstColumn="0" w:firstRowLastColumn="0" w:lastRowFirstColumn="0" w:lastRowLastColumn="0"/>
            <w:tcW w:w="506" w:type="pct"/>
            <w:noWrap/>
            <w:hideMark/>
          </w:tcPr>
          <w:p w14:paraId="29892532" w14:textId="77777777" w:rsidR="0030564C" w:rsidRPr="0031647F" w:rsidRDefault="0030564C" w:rsidP="0030564C">
            <w:pPr>
              <w:spacing w:after="0" w:line="240" w:lineRule="auto"/>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Superannuation</w:t>
            </w:r>
          </w:p>
        </w:tc>
        <w:tc>
          <w:tcPr>
            <w:tcW w:w="305" w:type="pct"/>
            <w:noWrap/>
            <w:hideMark/>
          </w:tcPr>
          <w:p w14:paraId="0D64BA19"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PIT</w:t>
            </w:r>
          </w:p>
        </w:tc>
        <w:tc>
          <w:tcPr>
            <w:tcW w:w="356" w:type="pct"/>
            <w:noWrap/>
            <w:hideMark/>
          </w:tcPr>
          <w:p w14:paraId="6C43F6C5"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w:t>
            </w:r>
          </w:p>
        </w:tc>
        <w:tc>
          <w:tcPr>
            <w:tcW w:w="1270" w:type="pct"/>
            <w:noWrap/>
            <w:hideMark/>
          </w:tcPr>
          <w:p w14:paraId="065ECB6C"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roofErr w:type="spellStart"/>
            <w:r w:rsidRPr="0031647F">
              <w:rPr>
                <w:rFonts w:ascii="Calibri" w:eastAsia="Times New Roman" w:hAnsi="Calibri" w:cs="Calibri"/>
                <w:color w:val="000000"/>
                <w:sz w:val="20"/>
                <w:szCs w:val="20"/>
                <w:lang w:eastAsia="en-AU"/>
              </w:rPr>
              <w:t>SLS_Utaxd_Elmnt_Amt</w:t>
            </w:r>
            <w:proofErr w:type="spellEnd"/>
          </w:p>
        </w:tc>
        <w:tc>
          <w:tcPr>
            <w:tcW w:w="1881" w:type="pct"/>
            <w:noWrap/>
            <w:hideMark/>
          </w:tcPr>
          <w:p w14:paraId="7DAE986A"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Australian superannuation lump sum payments untaxed element</w:t>
            </w:r>
          </w:p>
        </w:tc>
        <w:tc>
          <w:tcPr>
            <w:tcW w:w="682" w:type="pct"/>
            <w:noWrap/>
            <w:hideMark/>
          </w:tcPr>
          <w:p w14:paraId="2E1A24D4" w14:textId="1CDF974A" w:rsidR="0030564C" w:rsidRPr="0031647F" w:rsidRDefault="00325792"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M</w:t>
            </w:r>
            <w:r w:rsidR="0030564C" w:rsidRPr="0031647F">
              <w:rPr>
                <w:rFonts w:ascii="Calibri" w:eastAsia="Times New Roman" w:hAnsi="Calibri" w:cs="Calibri"/>
                <w:color w:val="000000"/>
                <w:sz w:val="20"/>
                <w:szCs w:val="20"/>
                <w:lang w:eastAsia="en-AU"/>
              </w:rPr>
              <w:t>issing from our MADIP extract</w:t>
            </w:r>
          </w:p>
        </w:tc>
      </w:tr>
      <w:tr w:rsidR="0030564C" w:rsidRPr="0031647F" w14:paraId="3C0280CF" w14:textId="77777777" w:rsidTr="008407DB">
        <w:trPr>
          <w:trHeight w:val="300"/>
        </w:trPr>
        <w:tc>
          <w:tcPr>
            <w:cnfStyle w:val="001000000000" w:firstRow="0" w:lastRow="0" w:firstColumn="1" w:lastColumn="0" w:oddVBand="0" w:evenVBand="0" w:oddHBand="0" w:evenHBand="0" w:firstRowFirstColumn="0" w:firstRowLastColumn="0" w:lastRowFirstColumn="0" w:lastRowLastColumn="0"/>
            <w:tcW w:w="506" w:type="pct"/>
            <w:noWrap/>
            <w:hideMark/>
          </w:tcPr>
          <w:p w14:paraId="70FD7AC0" w14:textId="77777777" w:rsidR="0030564C" w:rsidRPr="0031647F" w:rsidRDefault="0030564C" w:rsidP="0030564C">
            <w:pPr>
              <w:spacing w:after="0" w:line="240" w:lineRule="auto"/>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Superannuation</w:t>
            </w:r>
          </w:p>
        </w:tc>
        <w:tc>
          <w:tcPr>
            <w:tcW w:w="305" w:type="pct"/>
            <w:noWrap/>
            <w:hideMark/>
          </w:tcPr>
          <w:p w14:paraId="475B104F"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PIT</w:t>
            </w:r>
          </w:p>
        </w:tc>
        <w:tc>
          <w:tcPr>
            <w:tcW w:w="356" w:type="pct"/>
            <w:noWrap/>
            <w:hideMark/>
          </w:tcPr>
          <w:p w14:paraId="0B8D8A95"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w:t>
            </w:r>
          </w:p>
        </w:tc>
        <w:tc>
          <w:tcPr>
            <w:tcW w:w="1270" w:type="pct"/>
            <w:noWrap/>
            <w:hideMark/>
          </w:tcPr>
          <w:p w14:paraId="500A2E79"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roofErr w:type="spellStart"/>
            <w:r w:rsidRPr="0031647F">
              <w:rPr>
                <w:rFonts w:ascii="Calibri" w:eastAsia="Times New Roman" w:hAnsi="Calibri" w:cs="Calibri"/>
                <w:color w:val="000000"/>
                <w:sz w:val="20"/>
                <w:szCs w:val="20"/>
                <w:lang w:eastAsia="en-AU"/>
              </w:rPr>
              <w:t>LfInsrncOrScts_Bonus_Amt</w:t>
            </w:r>
            <w:proofErr w:type="spellEnd"/>
          </w:p>
        </w:tc>
        <w:tc>
          <w:tcPr>
            <w:tcW w:w="1881" w:type="pct"/>
            <w:noWrap/>
            <w:hideMark/>
          </w:tcPr>
          <w:p w14:paraId="31A5C893"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Bonuses from life insurance companies and friendly societies</w:t>
            </w:r>
          </w:p>
        </w:tc>
        <w:tc>
          <w:tcPr>
            <w:tcW w:w="682" w:type="pct"/>
            <w:noWrap/>
            <w:hideMark/>
          </w:tcPr>
          <w:p w14:paraId="400C8977"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
        </w:tc>
      </w:tr>
      <w:tr w:rsidR="0030564C" w:rsidRPr="0031647F" w14:paraId="51F6B637" w14:textId="77777777" w:rsidTr="008407DB">
        <w:trPr>
          <w:trHeight w:val="300"/>
        </w:trPr>
        <w:tc>
          <w:tcPr>
            <w:cnfStyle w:val="001000000000" w:firstRow="0" w:lastRow="0" w:firstColumn="1" w:lastColumn="0" w:oddVBand="0" w:evenVBand="0" w:oddHBand="0" w:evenHBand="0" w:firstRowFirstColumn="0" w:firstRowLastColumn="0" w:lastRowFirstColumn="0" w:lastRowLastColumn="0"/>
            <w:tcW w:w="506" w:type="pct"/>
            <w:noWrap/>
            <w:hideMark/>
          </w:tcPr>
          <w:p w14:paraId="4714523A" w14:textId="77777777" w:rsidR="0030564C" w:rsidRPr="0031647F" w:rsidRDefault="0030564C" w:rsidP="0030564C">
            <w:pPr>
              <w:spacing w:after="0" w:line="240" w:lineRule="auto"/>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Other</w:t>
            </w:r>
          </w:p>
        </w:tc>
        <w:tc>
          <w:tcPr>
            <w:tcW w:w="305" w:type="pct"/>
            <w:noWrap/>
            <w:hideMark/>
          </w:tcPr>
          <w:p w14:paraId="71A34A6B"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PIT</w:t>
            </w:r>
          </w:p>
        </w:tc>
        <w:tc>
          <w:tcPr>
            <w:tcW w:w="356" w:type="pct"/>
            <w:noWrap/>
            <w:hideMark/>
          </w:tcPr>
          <w:p w14:paraId="206AD26D"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w:t>
            </w:r>
          </w:p>
        </w:tc>
        <w:tc>
          <w:tcPr>
            <w:tcW w:w="1270" w:type="pct"/>
            <w:noWrap/>
            <w:hideMark/>
          </w:tcPr>
          <w:p w14:paraId="3D175446"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roofErr w:type="spellStart"/>
            <w:r w:rsidRPr="0031647F">
              <w:rPr>
                <w:rFonts w:ascii="Calibri" w:eastAsia="Times New Roman" w:hAnsi="Calibri" w:cs="Calibri"/>
                <w:color w:val="000000"/>
                <w:sz w:val="20"/>
                <w:szCs w:val="20"/>
                <w:lang w:eastAsia="en-AU"/>
              </w:rPr>
              <w:t>NetForgnPnsnAnnty_Wtht_UPP_Amt</w:t>
            </w:r>
            <w:proofErr w:type="spellEnd"/>
          </w:p>
        </w:tc>
        <w:tc>
          <w:tcPr>
            <w:tcW w:w="1881" w:type="pct"/>
            <w:noWrap/>
            <w:hideMark/>
          </w:tcPr>
          <w:p w14:paraId="4308CF81"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Foreign source income net foreign pension or annuity without UPP</w:t>
            </w:r>
          </w:p>
        </w:tc>
        <w:tc>
          <w:tcPr>
            <w:tcW w:w="682" w:type="pct"/>
            <w:noWrap/>
            <w:hideMark/>
          </w:tcPr>
          <w:p w14:paraId="440D6C0B"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
        </w:tc>
      </w:tr>
      <w:tr w:rsidR="0030564C" w:rsidRPr="0031647F" w14:paraId="6328E5C0" w14:textId="77777777" w:rsidTr="008407DB">
        <w:trPr>
          <w:trHeight w:val="300"/>
        </w:trPr>
        <w:tc>
          <w:tcPr>
            <w:cnfStyle w:val="001000000000" w:firstRow="0" w:lastRow="0" w:firstColumn="1" w:lastColumn="0" w:oddVBand="0" w:evenVBand="0" w:oddHBand="0" w:evenHBand="0" w:firstRowFirstColumn="0" w:firstRowLastColumn="0" w:lastRowFirstColumn="0" w:lastRowLastColumn="0"/>
            <w:tcW w:w="506" w:type="pct"/>
            <w:noWrap/>
            <w:hideMark/>
          </w:tcPr>
          <w:p w14:paraId="00B93C1E" w14:textId="77777777" w:rsidR="0030564C" w:rsidRPr="0031647F" w:rsidRDefault="0030564C" w:rsidP="0030564C">
            <w:pPr>
              <w:spacing w:after="0" w:line="240" w:lineRule="auto"/>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Other</w:t>
            </w:r>
          </w:p>
        </w:tc>
        <w:tc>
          <w:tcPr>
            <w:tcW w:w="305" w:type="pct"/>
            <w:noWrap/>
            <w:hideMark/>
          </w:tcPr>
          <w:p w14:paraId="5D440019"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PIT</w:t>
            </w:r>
          </w:p>
        </w:tc>
        <w:tc>
          <w:tcPr>
            <w:tcW w:w="356" w:type="pct"/>
            <w:noWrap/>
            <w:hideMark/>
          </w:tcPr>
          <w:p w14:paraId="14C49794"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w:t>
            </w:r>
          </w:p>
        </w:tc>
        <w:tc>
          <w:tcPr>
            <w:tcW w:w="1270" w:type="pct"/>
            <w:noWrap/>
            <w:hideMark/>
          </w:tcPr>
          <w:p w14:paraId="54F7B532"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roofErr w:type="spellStart"/>
            <w:r w:rsidRPr="0031647F">
              <w:rPr>
                <w:rFonts w:ascii="Calibri" w:eastAsia="Times New Roman" w:hAnsi="Calibri" w:cs="Calibri"/>
                <w:color w:val="000000"/>
                <w:sz w:val="20"/>
                <w:szCs w:val="20"/>
                <w:lang w:eastAsia="en-AU"/>
              </w:rPr>
              <w:t>NetForgnPnsnAnnty_With_UPP_Amt</w:t>
            </w:r>
            <w:proofErr w:type="spellEnd"/>
          </w:p>
        </w:tc>
        <w:tc>
          <w:tcPr>
            <w:tcW w:w="1881" w:type="pct"/>
            <w:noWrap/>
            <w:hideMark/>
          </w:tcPr>
          <w:p w14:paraId="3DEF345A"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Foreign source income net foreign pension or annuity with UPP</w:t>
            </w:r>
          </w:p>
        </w:tc>
        <w:tc>
          <w:tcPr>
            <w:tcW w:w="682" w:type="pct"/>
            <w:noWrap/>
            <w:hideMark/>
          </w:tcPr>
          <w:p w14:paraId="1CB83DD5"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
        </w:tc>
      </w:tr>
      <w:tr w:rsidR="0030564C" w:rsidRPr="0031647F" w14:paraId="0FE3ABB1" w14:textId="77777777" w:rsidTr="008407DB">
        <w:trPr>
          <w:trHeight w:val="300"/>
        </w:trPr>
        <w:tc>
          <w:tcPr>
            <w:cnfStyle w:val="001000000000" w:firstRow="0" w:lastRow="0" w:firstColumn="1" w:lastColumn="0" w:oddVBand="0" w:evenVBand="0" w:oddHBand="0" w:evenHBand="0" w:firstRowFirstColumn="0" w:firstRowLastColumn="0" w:lastRowFirstColumn="0" w:lastRowLastColumn="0"/>
            <w:tcW w:w="506" w:type="pct"/>
            <w:noWrap/>
            <w:hideMark/>
          </w:tcPr>
          <w:p w14:paraId="3302DAA1" w14:textId="77777777" w:rsidR="0030564C" w:rsidRPr="0031647F" w:rsidRDefault="0030564C" w:rsidP="0030564C">
            <w:pPr>
              <w:spacing w:after="0" w:line="240" w:lineRule="auto"/>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Other</w:t>
            </w:r>
          </w:p>
        </w:tc>
        <w:tc>
          <w:tcPr>
            <w:tcW w:w="305" w:type="pct"/>
            <w:noWrap/>
            <w:hideMark/>
          </w:tcPr>
          <w:p w14:paraId="0F8A3133"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PIT</w:t>
            </w:r>
          </w:p>
        </w:tc>
        <w:tc>
          <w:tcPr>
            <w:tcW w:w="356" w:type="pct"/>
            <w:noWrap/>
            <w:hideMark/>
          </w:tcPr>
          <w:p w14:paraId="438E3BC8"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w:t>
            </w:r>
          </w:p>
        </w:tc>
        <w:tc>
          <w:tcPr>
            <w:tcW w:w="1270" w:type="pct"/>
            <w:noWrap/>
            <w:hideMark/>
          </w:tcPr>
          <w:p w14:paraId="429841B8"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roofErr w:type="spellStart"/>
            <w:r w:rsidRPr="0031647F">
              <w:rPr>
                <w:rFonts w:ascii="Calibri" w:eastAsia="Times New Roman" w:hAnsi="Calibri" w:cs="Calibri"/>
                <w:color w:val="000000"/>
                <w:sz w:val="20"/>
                <w:szCs w:val="20"/>
                <w:lang w:eastAsia="en-AU"/>
              </w:rPr>
              <w:t>CFC_Incm_Amt</w:t>
            </w:r>
            <w:proofErr w:type="spellEnd"/>
          </w:p>
        </w:tc>
        <w:tc>
          <w:tcPr>
            <w:tcW w:w="1881" w:type="pct"/>
            <w:noWrap/>
            <w:hideMark/>
          </w:tcPr>
          <w:p w14:paraId="661E166B"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Foreign entities controlled foreign company income</w:t>
            </w:r>
          </w:p>
        </w:tc>
        <w:tc>
          <w:tcPr>
            <w:tcW w:w="682" w:type="pct"/>
            <w:noWrap/>
            <w:hideMark/>
          </w:tcPr>
          <w:p w14:paraId="2B4EFA43"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
        </w:tc>
      </w:tr>
      <w:tr w:rsidR="0030564C" w:rsidRPr="0031647F" w14:paraId="5543BFF2" w14:textId="77777777" w:rsidTr="008407DB">
        <w:trPr>
          <w:trHeight w:val="300"/>
        </w:trPr>
        <w:tc>
          <w:tcPr>
            <w:cnfStyle w:val="001000000000" w:firstRow="0" w:lastRow="0" w:firstColumn="1" w:lastColumn="0" w:oddVBand="0" w:evenVBand="0" w:oddHBand="0" w:evenHBand="0" w:firstRowFirstColumn="0" w:firstRowLastColumn="0" w:lastRowFirstColumn="0" w:lastRowLastColumn="0"/>
            <w:tcW w:w="506" w:type="pct"/>
            <w:noWrap/>
            <w:hideMark/>
          </w:tcPr>
          <w:p w14:paraId="2C3E667D" w14:textId="77777777" w:rsidR="0030564C" w:rsidRPr="0031647F" w:rsidRDefault="0030564C" w:rsidP="0030564C">
            <w:pPr>
              <w:spacing w:after="0" w:line="240" w:lineRule="auto"/>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Other</w:t>
            </w:r>
          </w:p>
        </w:tc>
        <w:tc>
          <w:tcPr>
            <w:tcW w:w="305" w:type="pct"/>
            <w:noWrap/>
            <w:hideMark/>
          </w:tcPr>
          <w:p w14:paraId="70EEA44C"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PIT</w:t>
            </w:r>
          </w:p>
        </w:tc>
        <w:tc>
          <w:tcPr>
            <w:tcW w:w="356" w:type="pct"/>
            <w:noWrap/>
            <w:hideMark/>
          </w:tcPr>
          <w:p w14:paraId="0E21DE1D"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w:t>
            </w:r>
          </w:p>
        </w:tc>
        <w:tc>
          <w:tcPr>
            <w:tcW w:w="1270" w:type="pct"/>
            <w:noWrap/>
            <w:hideMark/>
          </w:tcPr>
          <w:p w14:paraId="4452C498"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roofErr w:type="spellStart"/>
            <w:r w:rsidRPr="0031647F">
              <w:rPr>
                <w:rFonts w:ascii="Calibri" w:eastAsia="Times New Roman" w:hAnsi="Calibri" w:cs="Calibri"/>
                <w:color w:val="000000"/>
                <w:sz w:val="20"/>
                <w:szCs w:val="20"/>
                <w:lang w:eastAsia="en-AU"/>
              </w:rPr>
              <w:t>Tfrr_Trst_Incm</w:t>
            </w:r>
            <w:proofErr w:type="spellEnd"/>
          </w:p>
        </w:tc>
        <w:tc>
          <w:tcPr>
            <w:tcW w:w="1881" w:type="pct"/>
            <w:noWrap/>
            <w:hideMark/>
          </w:tcPr>
          <w:p w14:paraId="364CCEB1"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Foreign entities Transferor trust income</w:t>
            </w:r>
          </w:p>
        </w:tc>
        <w:tc>
          <w:tcPr>
            <w:tcW w:w="682" w:type="pct"/>
            <w:noWrap/>
            <w:hideMark/>
          </w:tcPr>
          <w:p w14:paraId="3BA21D1D"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
        </w:tc>
      </w:tr>
      <w:tr w:rsidR="0030564C" w:rsidRPr="0031647F" w14:paraId="320D6097" w14:textId="77777777" w:rsidTr="008407DB">
        <w:trPr>
          <w:trHeight w:val="300"/>
        </w:trPr>
        <w:tc>
          <w:tcPr>
            <w:cnfStyle w:val="001000000000" w:firstRow="0" w:lastRow="0" w:firstColumn="1" w:lastColumn="0" w:oddVBand="0" w:evenVBand="0" w:oddHBand="0" w:evenHBand="0" w:firstRowFirstColumn="0" w:firstRowLastColumn="0" w:lastRowFirstColumn="0" w:lastRowLastColumn="0"/>
            <w:tcW w:w="506" w:type="pct"/>
            <w:noWrap/>
            <w:hideMark/>
          </w:tcPr>
          <w:p w14:paraId="23277BA9" w14:textId="77777777" w:rsidR="0030564C" w:rsidRPr="0031647F" w:rsidRDefault="0030564C" w:rsidP="0030564C">
            <w:pPr>
              <w:spacing w:after="0" w:line="240" w:lineRule="auto"/>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Other</w:t>
            </w:r>
          </w:p>
        </w:tc>
        <w:tc>
          <w:tcPr>
            <w:tcW w:w="305" w:type="pct"/>
            <w:noWrap/>
            <w:hideMark/>
          </w:tcPr>
          <w:p w14:paraId="3CBFC694"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PIT</w:t>
            </w:r>
          </w:p>
        </w:tc>
        <w:tc>
          <w:tcPr>
            <w:tcW w:w="356" w:type="pct"/>
            <w:noWrap/>
            <w:hideMark/>
          </w:tcPr>
          <w:p w14:paraId="243200D9"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w:t>
            </w:r>
          </w:p>
        </w:tc>
        <w:tc>
          <w:tcPr>
            <w:tcW w:w="1270" w:type="pct"/>
            <w:noWrap/>
            <w:hideMark/>
          </w:tcPr>
          <w:p w14:paraId="2D573995"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roofErr w:type="spellStart"/>
            <w:r w:rsidRPr="0031647F">
              <w:rPr>
                <w:rFonts w:ascii="Calibri" w:eastAsia="Times New Roman" w:hAnsi="Calibri" w:cs="Calibri"/>
                <w:color w:val="000000"/>
                <w:sz w:val="20"/>
                <w:szCs w:val="20"/>
                <w:lang w:eastAsia="en-AU"/>
              </w:rPr>
              <w:t>Othr_Net_FSI_Amt</w:t>
            </w:r>
            <w:proofErr w:type="spellEnd"/>
          </w:p>
        </w:tc>
        <w:tc>
          <w:tcPr>
            <w:tcW w:w="1881" w:type="pct"/>
            <w:noWrap/>
            <w:hideMark/>
          </w:tcPr>
          <w:p w14:paraId="0648DE2D"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 xml:space="preserve">Foreign source income </w:t>
            </w:r>
            <w:proofErr w:type="gramStart"/>
            <w:r w:rsidRPr="0031647F">
              <w:rPr>
                <w:rFonts w:ascii="Calibri" w:eastAsia="Times New Roman" w:hAnsi="Calibri" w:cs="Calibri"/>
                <w:color w:val="000000"/>
                <w:sz w:val="20"/>
                <w:szCs w:val="20"/>
                <w:lang w:eastAsia="en-AU"/>
              </w:rPr>
              <w:t>other</w:t>
            </w:r>
            <w:proofErr w:type="gramEnd"/>
            <w:r w:rsidRPr="0031647F">
              <w:rPr>
                <w:rFonts w:ascii="Calibri" w:eastAsia="Times New Roman" w:hAnsi="Calibri" w:cs="Calibri"/>
                <w:color w:val="000000"/>
                <w:sz w:val="20"/>
                <w:szCs w:val="20"/>
                <w:lang w:eastAsia="en-AU"/>
              </w:rPr>
              <w:t xml:space="preserve"> net foreign source income</w:t>
            </w:r>
          </w:p>
        </w:tc>
        <w:tc>
          <w:tcPr>
            <w:tcW w:w="682" w:type="pct"/>
            <w:noWrap/>
            <w:hideMark/>
          </w:tcPr>
          <w:p w14:paraId="34801E0B"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
        </w:tc>
      </w:tr>
      <w:tr w:rsidR="0030564C" w:rsidRPr="0031647F" w14:paraId="422D4958" w14:textId="77777777" w:rsidTr="008407DB">
        <w:trPr>
          <w:trHeight w:val="300"/>
        </w:trPr>
        <w:tc>
          <w:tcPr>
            <w:cnfStyle w:val="001000000000" w:firstRow="0" w:lastRow="0" w:firstColumn="1" w:lastColumn="0" w:oddVBand="0" w:evenVBand="0" w:oddHBand="0" w:evenHBand="0" w:firstRowFirstColumn="0" w:firstRowLastColumn="0" w:lastRowFirstColumn="0" w:lastRowLastColumn="0"/>
            <w:tcW w:w="506" w:type="pct"/>
            <w:noWrap/>
            <w:hideMark/>
          </w:tcPr>
          <w:p w14:paraId="463F5D77" w14:textId="77777777" w:rsidR="0030564C" w:rsidRPr="0031647F" w:rsidRDefault="0030564C" w:rsidP="0030564C">
            <w:pPr>
              <w:spacing w:after="0" w:line="240" w:lineRule="auto"/>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Other</w:t>
            </w:r>
          </w:p>
        </w:tc>
        <w:tc>
          <w:tcPr>
            <w:tcW w:w="305" w:type="pct"/>
            <w:noWrap/>
            <w:hideMark/>
          </w:tcPr>
          <w:p w14:paraId="07F18B8E"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PIT</w:t>
            </w:r>
          </w:p>
        </w:tc>
        <w:tc>
          <w:tcPr>
            <w:tcW w:w="356" w:type="pct"/>
            <w:noWrap/>
            <w:hideMark/>
          </w:tcPr>
          <w:p w14:paraId="58837A96"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w:t>
            </w:r>
          </w:p>
        </w:tc>
        <w:tc>
          <w:tcPr>
            <w:tcW w:w="1270" w:type="pct"/>
            <w:noWrap/>
            <w:hideMark/>
          </w:tcPr>
          <w:p w14:paraId="4702A894"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Totl_Othr_Incm_Ctgry_1_Amt</w:t>
            </w:r>
          </w:p>
        </w:tc>
        <w:tc>
          <w:tcPr>
            <w:tcW w:w="1881" w:type="pct"/>
            <w:noWrap/>
            <w:hideMark/>
          </w:tcPr>
          <w:p w14:paraId="4C0A18AC"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Other income category 1</w:t>
            </w:r>
          </w:p>
        </w:tc>
        <w:tc>
          <w:tcPr>
            <w:tcW w:w="682" w:type="pct"/>
            <w:noWrap/>
            <w:hideMark/>
          </w:tcPr>
          <w:p w14:paraId="3A614F55"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
        </w:tc>
      </w:tr>
      <w:tr w:rsidR="0030564C" w:rsidRPr="0031647F" w14:paraId="1E18A0E3" w14:textId="77777777" w:rsidTr="008407DB">
        <w:trPr>
          <w:trHeight w:val="300"/>
        </w:trPr>
        <w:tc>
          <w:tcPr>
            <w:cnfStyle w:val="001000000000" w:firstRow="0" w:lastRow="0" w:firstColumn="1" w:lastColumn="0" w:oddVBand="0" w:evenVBand="0" w:oddHBand="0" w:evenHBand="0" w:firstRowFirstColumn="0" w:firstRowLastColumn="0" w:lastRowFirstColumn="0" w:lastRowLastColumn="0"/>
            <w:tcW w:w="506" w:type="pct"/>
            <w:noWrap/>
            <w:hideMark/>
          </w:tcPr>
          <w:p w14:paraId="5E638A29" w14:textId="77777777" w:rsidR="0030564C" w:rsidRPr="0031647F" w:rsidRDefault="0030564C" w:rsidP="0030564C">
            <w:pPr>
              <w:spacing w:after="0" w:line="240" w:lineRule="auto"/>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Other</w:t>
            </w:r>
          </w:p>
        </w:tc>
        <w:tc>
          <w:tcPr>
            <w:tcW w:w="305" w:type="pct"/>
            <w:noWrap/>
            <w:hideMark/>
          </w:tcPr>
          <w:p w14:paraId="2BB834E4"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PIT</w:t>
            </w:r>
          </w:p>
        </w:tc>
        <w:tc>
          <w:tcPr>
            <w:tcW w:w="356" w:type="pct"/>
            <w:noWrap/>
            <w:hideMark/>
          </w:tcPr>
          <w:p w14:paraId="54D1DB2E"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w:t>
            </w:r>
          </w:p>
        </w:tc>
        <w:tc>
          <w:tcPr>
            <w:tcW w:w="1270" w:type="pct"/>
            <w:noWrap/>
            <w:hideMark/>
          </w:tcPr>
          <w:p w14:paraId="11D25113"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Totl_Othr_Incm_Ctgry_2_Amt</w:t>
            </w:r>
          </w:p>
        </w:tc>
        <w:tc>
          <w:tcPr>
            <w:tcW w:w="1881" w:type="pct"/>
            <w:noWrap/>
            <w:hideMark/>
          </w:tcPr>
          <w:p w14:paraId="4C7D05D1"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Other income category 2</w:t>
            </w:r>
          </w:p>
        </w:tc>
        <w:tc>
          <w:tcPr>
            <w:tcW w:w="682" w:type="pct"/>
            <w:noWrap/>
            <w:hideMark/>
          </w:tcPr>
          <w:p w14:paraId="7354FA70"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
        </w:tc>
      </w:tr>
      <w:tr w:rsidR="0030564C" w:rsidRPr="0031647F" w14:paraId="4FBC081C" w14:textId="77777777" w:rsidTr="008407DB">
        <w:trPr>
          <w:trHeight w:val="300"/>
        </w:trPr>
        <w:tc>
          <w:tcPr>
            <w:cnfStyle w:val="001000000000" w:firstRow="0" w:lastRow="0" w:firstColumn="1" w:lastColumn="0" w:oddVBand="0" w:evenVBand="0" w:oddHBand="0" w:evenHBand="0" w:firstRowFirstColumn="0" w:firstRowLastColumn="0" w:lastRowFirstColumn="0" w:lastRowLastColumn="0"/>
            <w:tcW w:w="506" w:type="pct"/>
            <w:noWrap/>
            <w:hideMark/>
          </w:tcPr>
          <w:p w14:paraId="31E0E43B" w14:textId="77777777" w:rsidR="0030564C" w:rsidRPr="0031647F" w:rsidRDefault="0030564C" w:rsidP="0030564C">
            <w:pPr>
              <w:spacing w:after="0" w:line="240" w:lineRule="auto"/>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Government Pensions</w:t>
            </w:r>
          </w:p>
        </w:tc>
        <w:tc>
          <w:tcPr>
            <w:tcW w:w="305" w:type="pct"/>
            <w:noWrap/>
            <w:hideMark/>
          </w:tcPr>
          <w:p w14:paraId="1BA07504"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PIT</w:t>
            </w:r>
          </w:p>
        </w:tc>
        <w:tc>
          <w:tcPr>
            <w:tcW w:w="356" w:type="pct"/>
            <w:noWrap/>
            <w:hideMark/>
          </w:tcPr>
          <w:p w14:paraId="75B5DC2A"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w:t>
            </w:r>
          </w:p>
        </w:tc>
        <w:tc>
          <w:tcPr>
            <w:tcW w:w="1270" w:type="pct"/>
            <w:noWrap/>
            <w:hideMark/>
          </w:tcPr>
          <w:p w14:paraId="5CCC1C8F"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AUSNGOVTPNSNS_AND_ALWNC_AMT</w:t>
            </w:r>
          </w:p>
        </w:tc>
        <w:tc>
          <w:tcPr>
            <w:tcW w:w="1881" w:type="pct"/>
            <w:noWrap/>
            <w:hideMark/>
          </w:tcPr>
          <w:p w14:paraId="1D7089F8"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Australian Government pensions and allowances</w:t>
            </w:r>
          </w:p>
        </w:tc>
        <w:tc>
          <w:tcPr>
            <w:tcW w:w="682" w:type="pct"/>
            <w:noWrap/>
            <w:hideMark/>
          </w:tcPr>
          <w:p w14:paraId="0169B7C7"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
        </w:tc>
      </w:tr>
      <w:tr w:rsidR="0030564C" w:rsidRPr="0031647F" w14:paraId="593737B7" w14:textId="77777777" w:rsidTr="008407DB">
        <w:trPr>
          <w:trHeight w:val="300"/>
        </w:trPr>
        <w:tc>
          <w:tcPr>
            <w:cnfStyle w:val="001000000000" w:firstRow="0" w:lastRow="0" w:firstColumn="1" w:lastColumn="0" w:oddVBand="0" w:evenVBand="0" w:oddHBand="0" w:evenHBand="0" w:firstRowFirstColumn="0" w:firstRowLastColumn="0" w:lastRowFirstColumn="0" w:lastRowLastColumn="0"/>
            <w:tcW w:w="506" w:type="pct"/>
            <w:noWrap/>
            <w:hideMark/>
          </w:tcPr>
          <w:p w14:paraId="7B900A90" w14:textId="77777777" w:rsidR="0030564C" w:rsidRPr="0031647F" w:rsidRDefault="0030564C" w:rsidP="0030564C">
            <w:pPr>
              <w:spacing w:after="0" w:line="240" w:lineRule="auto"/>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Government Pensions</w:t>
            </w:r>
          </w:p>
        </w:tc>
        <w:tc>
          <w:tcPr>
            <w:tcW w:w="305" w:type="pct"/>
            <w:noWrap/>
            <w:hideMark/>
          </w:tcPr>
          <w:p w14:paraId="5FF22D4C"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SSRI</w:t>
            </w:r>
          </w:p>
        </w:tc>
        <w:tc>
          <w:tcPr>
            <w:tcW w:w="356" w:type="pct"/>
            <w:noWrap/>
            <w:hideMark/>
          </w:tcPr>
          <w:p w14:paraId="68C0A788"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w:t>
            </w:r>
          </w:p>
        </w:tc>
        <w:tc>
          <w:tcPr>
            <w:tcW w:w="1270" w:type="pct"/>
            <w:noWrap/>
            <w:hideMark/>
          </w:tcPr>
          <w:p w14:paraId="41E7EDF7"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roofErr w:type="spellStart"/>
            <w:r w:rsidRPr="0031647F">
              <w:rPr>
                <w:rFonts w:ascii="Calibri" w:eastAsia="Times New Roman" w:hAnsi="Calibri" w:cs="Calibri"/>
                <w:color w:val="000000"/>
                <w:sz w:val="20"/>
                <w:szCs w:val="20"/>
                <w:lang w:eastAsia="en-AU"/>
              </w:rPr>
              <w:t>tot_welfare_pay</w:t>
            </w:r>
            <w:proofErr w:type="spellEnd"/>
          </w:p>
        </w:tc>
        <w:tc>
          <w:tcPr>
            <w:tcW w:w="1881" w:type="pct"/>
            <w:noWrap/>
            <w:hideMark/>
          </w:tcPr>
          <w:p w14:paraId="79A0E33C" w14:textId="6E4C0CC1" w:rsidR="0030564C" w:rsidRPr="0031647F" w:rsidRDefault="00325792"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T</w:t>
            </w:r>
            <w:r w:rsidR="0030564C" w:rsidRPr="0031647F">
              <w:rPr>
                <w:rFonts w:ascii="Calibri" w:eastAsia="Times New Roman" w:hAnsi="Calibri" w:cs="Calibri"/>
                <w:color w:val="000000"/>
                <w:sz w:val="20"/>
                <w:szCs w:val="20"/>
                <w:lang w:eastAsia="en-AU"/>
              </w:rPr>
              <w:t>otal welfare paid</w:t>
            </w:r>
          </w:p>
        </w:tc>
        <w:tc>
          <w:tcPr>
            <w:tcW w:w="682" w:type="pct"/>
            <w:noWrap/>
            <w:hideMark/>
          </w:tcPr>
          <w:p w14:paraId="2C3A7214" w14:textId="65A8FF37" w:rsidR="0030564C" w:rsidRPr="0031647F" w:rsidRDefault="00325792"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A</w:t>
            </w:r>
            <w:r w:rsidR="0030564C" w:rsidRPr="0031647F">
              <w:rPr>
                <w:rFonts w:ascii="Calibri" w:eastAsia="Times New Roman" w:hAnsi="Calibri" w:cs="Calibri"/>
                <w:color w:val="000000"/>
                <w:sz w:val="20"/>
                <w:szCs w:val="20"/>
                <w:lang w:eastAsia="en-AU"/>
              </w:rPr>
              <w:t>ll payment types considered</w:t>
            </w:r>
          </w:p>
        </w:tc>
      </w:tr>
      <w:tr w:rsidR="0030564C" w:rsidRPr="0031647F" w14:paraId="085F5750" w14:textId="77777777" w:rsidTr="008407DB">
        <w:trPr>
          <w:trHeight w:val="300"/>
        </w:trPr>
        <w:tc>
          <w:tcPr>
            <w:cnfStyle w:val="001000000000" w:firstRow="0" w:lastRow="0" w:firstColumn="1" w:lastColumn="0" w:oddVBand="0" w:evenVBand="0" w:oddHBand="0" w:evenHBand="0" w:firstRowFirstColumn="0" w:firstRowLastColumn="0" w:lastRowFirstColumn="0" w:lastRowLastColumn="0"/>
            <w:tcW w:w="506" w:type="pct"/>
            <w:noWrap/>
            <w:hideMark/>
          </w:tcPr>
          <w:p w14:paraId="36614824" w14:textId="77777777" w:rsidR="0030564C" w:rsidRPr="0031647F" w:rsidRDefault="0030564C" w:rsidP="0030564C">
            <w:pPr>
              <w:spacing w:after="0" w:line="240" w:lineRule="auto"/>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Tax</w:t>
            </w:r>
          </w:p>
        </w:tc>
        <w:tc>
          <w:tcPr>
            <w:tcW w:w="305" w:type="pct"/>
            <w:noWrap/>
            <w:hideMark/>
          </w:tcPr>
          <w:p w14:paraId="4D194CB1"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PIT</w:t>
            </w:r>
          </w:p>
        </w:tc>
        <w:tc>
          <w:tcPr>
            <w:tcW w:w="356" w:type="pct"/>
            <w:noWrap/>
            <w:hideMark/>
          </w:tcPr>
          <w:p w14:paraId="5EA0044E"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w:t>
            </w:r>
          </w:p>
        </w:tc>
        <w:tc>
          <w:tcPr>
            <w:tcW w:w="1270" w:type="pct"/>
            <w:noWrap/>
            <w:hideMark/>
          </w:tcPr>
          <w:p w14:paraId="3BD214A7"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roofErr w:type="spellStart"/>
            <w:r w:rsidRPr="0031647F">
              <w:rPr>
                <w:rFonts w:ascii="Calibri" w:eastAsia="Times New Roman" w:hAnsi="Calibri" w:cs="Calibri"/>
                <w:color w:val="000000"/>
                <w:sz w:val="20"/>
                <w:szCs w:val="20"/>
                <w:lang w:eastAsia="en-AU"/>
              </w:rPr>
              <w:t>net_tax_amt</w:t>
            </w:r>
            <w:proofErr w:type="spellEnd"/>
          </w:p>
        </w:tc>
        <w:tc>
          <w:tcPr>
            <w:tcW w:w="1881" w:type="pct"/>
            <w:noWrap/>
            <w:hideMark/>
          </w:tcPr>
          <w:p w14:paraId="056F2F3A"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Net tax</w:t>
            </w:r>
          </w:p>
        </w:tc>
        <w:tc>
          <w:tcPr>
            <w:tcW w:w="682" w:type="pct"/>
            <w:noWrap/>
            <w:hideMark/>
          </w:tcPr>
          <w:p w14:paraId="15736E68"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
        </w:tc>
      </w:tr>
      <w:tr w:rsidR="0030564C" w:rsidRPr="0031647F" w14:paraId="4339E057" w14:textId="77777777" w:rsidTr="008407DB">
        <w:trPr>
          <w:trHeight w:val="300"/>
        </w:trPr>
        <w:tc>
          <w:tcPr>
            <w:cnfStyle w:val="001000000000" w:firstRow="0" w:lastRow="0" w:firstColumn="1" w:lastColumn="0" w:oddVBand="0" w:evenVBand="0" w:oddHBand="0" w:evenHBand="0" w:firstRowFirstColumn="0" w:firstRowLastColumn="0" w:lastRowFirstColumn="0" w:lastRowLastColumn="0"/>
            <w:tcW w:w="506" w:type="pct"/>
            <w:noWrap/>
            <w:hideMark/>
          </w:tcPr>
          <w:p w14:paraId="4CA54F22" w14:textId="77777777" w:rsidR="0030564C" w:rsidRPr="0031647F" w:rsidRDefault="0030564C" w:rsidP="0030564C">
            <w:pPr>
              <w:spacing w:after="0" w:line="240" w:lineRule="auto"/>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Tax</w:t>
            </w:r>
          </w:p>
        </w:tc>
        <w:tc>
          <w:tcPr>
            <w:tcW w:w="305" w:type="pct"/>
            <w:noWrap/>
            <w:hideMark/>
          </w:tcPr>
          <w:p w14:paraId="7CD9B898"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PIT</w:t>
            </w:r>
          </w:p>
        </w:tc>
        <w:tc>
          <w:tcPr>
            <w:tcW w:w="356" w:type="pct"/>
            <w:noWrap/>
            <w:hideMark/>
          </w:tcPr>
          <w:p w14:paraId="478B98FA"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w:t>
            </w:r>
          </w:p>
        </w:tc>
        <w:tc>
          <w:tcPr>
            <w:tcW w:w="1270" w:type="pct"/>
            <w:noWrap/>
            <w:hideMark/>
          </w:tcPr>
          <w:p w14:paraId="51788F1A"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roofErr w:type="spellStart"/>
            <w:r w:rsidRPr="0031647F">
              <w:rPr>
                <w:rFonts w:ascii="Calibri" w:eastAsia="Times New Roman" w:hAnsi="Calibri" w:cs="Calibri"/>
                <w:color w:val="000000"/>
                <w:sz w:val="20"/>
                <w:szCs w:val="20"/>
                <w:lang w:eastAsia="en-AU"/>
              </w:rPr>
              <w:t>Bsc_ML_Calcd_Amt</w:t>
            </w:r>
            <w:proofErr w:type="spellEnd"/>
          </w:p>
        </w:tc>
        <w:tc>
          <w:tcPr>
            <w:tcW w:w="1881" w:type="pct"/>
            <w:noWrap/>
            <w:hideMark/>
          </w:tcPr>
          <w:p w14:paraId="1916C1F2"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Medicare levy</w:t>
            </w:r>
          </w:p>
        </w:tc>
        <w:tc>
          <w:tcPr>
            <w:tcW w:w="682" w:type="pct"/>
            <w:noWrap/>
            <w:hideMark/>
          </w:tcPr>
          <w:p w14:paraId="191B312A"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
        </w:tc>
      </w:tr>
      <w:tr w:rsidR="0030564C" w:rsidRPr="0031647F" w14:paraId="52AFF9E2" w14:textId="77777777" w:rsidTr="008407DB">
        <w:trPr>
          <w:trHeight w:val="300"/>
        </w:trPr>
        <w:tc>
          <w:tcPr>
            <w:cnfStyle w:val="001000000000" w:firstRow="0" w:lastRow="0" w:firstColumn="1" w:lastColumn="0" w:oddVBand="0" w:evenVBand="0" w:oddHBand="0" w:evenHBand="0" w:firstRowFirstColumn="0" w:firstRowLastColumn="0" w:lastRowFirstColumn="0" w:lastRowLastColumn="0"/>
            <w:tcW w:w="506" w:type="pct"/>
            <w:noWrap/>
            <w:hideMark/>
          </w:tcPr>
          <w:p w14:paraId="1E603968" w14:textId="77777777" w:rsidR="0030564C" w:rsidRPr="0031647F" w:rsidRDefault="0030564C" w:rsidP="0030564C">
            <w:pPr>
              <w:spacing w:after="0" w:line="240" w:lineRule="auto"/>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Tax</w:t>
            </w:r>
          </w:p>
        </w:tc>
        <w:tc>
          <w:tcPr>
            <w:tcW w:w="305" w:type="pct"/>
            <w:noWrap/>
            <w:hideMark/>
          </w:tcPr>
          <w:p w14:paraId="6C870F6A"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PIT</w:t>
            </w:r>
          </w:p>
        </w:tc>
        <w:tc>
          <w:tcPr>
            <w:tcW w:w="356" w:type="pct"/>
            <w:noWrap/>
            <w:hideMark/>
          </w:tcPr>
          <w:p w14:paraId="14673E09"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w:t>
            </w:r>
          </w:p>
        </w:tc>
        <w:tc>
          <w:tcPr>
            <w:tcW w:w="1270" w:type="pct"/>
            <w:noWrap/>
            <w:hideMark/>
          </w:tcPr>
          <w:p w14:paraId="57C3A1BB"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roofErr w:type="spellStart"/>
            <w:r w:rsidRPr="0031647F">
              <w:rPr>
                <w:rFonts w:ascii="Calibri" w:eastAsia="Times New Roman" w:hAnsi="Calibri" w:cs="Calibri"/>
                <w:color w:val="000000"/>
                <w:sz w:val="20"/>
                <w:szCs w:val="20"/>
                <w:lang w:eastAsia="en-AU"/>
              </w:rPr>
              <w:t>MLS_Calcd_Amt</w:t>
            </w:r>
            <w:proofErr w:type="spellEnd"/>
          </w:p>
        </w:tc>
        <w:tc>
          <w:tcPr>
            <w:tcW w:w="1881" w:type="pct"/>
            <w:noWrap/>
            <w:hideMark/>
          </w:tcPr>
          <w:p w14:paraId="07206132"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Medicare levy surcharge</w:t>
            </w:r>
          </w:p>
        </w:tc>
        <w:tc>
          <w:tcPr>
            <w:tcW w:w="682" w:type="pct"/>
            <w:noWrap/>
            <w:hideMark/>
          </w:tcPr>
          <w:p w14:paraId="003D81FA"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
        </w:tc>
      </w:tr>
      <w:tr w:rsidR="0030564C" w:rsidRPr="0031647F" w14:paraId="175D7F72" w14:textId="77777777" w:rsidTr="008407DB">
        <w:trPr>
          <w:trHeight w:val="300"/>
        </w:trPr>
        <w:tc>
          <w:tcPr>
            <w:cnfStyle w:val="001000000000" w:firstRow="0" w:lastRow="0" w:firstColumn="1" w:lastColumn="0" w:oddVBand="0" w:evenVBand="0" w:oddHBand="0" w:evenHBand="0" w:firstRowFirstColumn="0" w:firstRowLastColumn="0" w:lastRowFirstColumn="0" w:lastRowLastColumn="0"/>
            <w:tcW w:w="506" w:type="pct"/>
            <w:noWrap/>
            <w:hideMark/>
          </w:tcPr>
          <w:p w14:paraId="4412376F" w14:textId="77777777" w:rsidR="0030564C" w:rsidRPr="0031647F" w:rsidRDefault="0030564C" w:rsidP="0030564C">
            <w:pPr>
              <w:spacing w:after="0" w:line="240" w:lineRule="auto"/>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Tax</w:t>
            </w:r>
          </w:p>
        </w:tc>
        <w:tc>
          <w:tcPr>
            <w:tcW w:w="305" w:type="pct"/>
            <w:noWrap/>
            <w:hideMark/>
          </w:tcPr>
          <w:p w14:paraId="09E56782"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PIT</w:t>
            </w:r>
          </w:p>
        </w:tc>
        <w:tc>
          <w:tcPr>
            <w:tcW w:w="356" w:type="pct"/>
            <w:noWrap/>
            <w:hideMark/>
          </w:tcPr>
          <w:p w14:paraId="40C092F6"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w:t>
            </w:r>
          </w:p>
        </w:tc>
        <w:tc>
          <w:tcPr>
            <w:tcW w:w="1270" w:type="pct"/>
            <w:noWrap/>
            <w:hideMark/>
          </w:tcPr>
          <w:p w14:paraId="36D2ABB4"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roofErr w:type="spellStart"/>
            <w:r w:rsidRPr="0031647F">
              <w:rPr>
                <w:rFonts w:ascii="Calibri" w:eastAsia="Times New Roman" w:hAnsi="Calibri" w:cs="Calibri"/>
                <w:color w:val="000000"/>
                <w:sz w:val="20"/>
                <w:szCs w:val="20"/>
                <w:lang w:eastAsia="en-AU"/>
              </w:rPr>
              <w:t>Mdcl_Expnss_Tax_Ofst_Amt</w:t>
            </w:r>
            <w:proofErr w:type="spellEnd"/>
          </w:p>
        </w:tc>
        <w:tc>
          <w:tcPr>
            <w:tcW w:w="1881" w:type="pct"/>
            <w:noWrap/>
            <w:hideMark/>
          </w:tcPr>
          <w:p w14:paraId="4B11E50B"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Medical expenses offset available</w:t>
            </w:r>
          </w:p>
        </w:tc>
        <w:tc>
          <w:tcPr>
            <w:tcW w:w="682" w:type="pct"/>
            <w:noWrap/>
            <w:hideMark/>
          </w:tcPr>
          <w:p w14:paraId="088CA9DF"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
        </w:tc>
      </w:tr>
      <w:tr w:rsidR="0030564C" w:rsidRPr="0031647F" w14:paraId="7D173086" w14:textId="77777777" w:rsidTr="008407DB">
        <w:trPr>
          <w:trHeight w:val="300"/>
        </w:trPr>
        <w:tc>
          <w:tcPr>
            <w:cnfStyle w:val="001000000000" w:firstRow="0" w:lastRow="0" w:firstColumn="1" w:lastColumn="0" w:oddVBand="0" w:evenVBand="0" w:oddHBand="0" w:evenHBand="0" w:firstRowFirstColumn="0" w:firstRowLastColumn="0" w:lastRowFirstColumn="0" w:lastRowLastColumn="0"/>
            <w:tcW w:w="506" w:type="pct"/>
            <w:noWrap/>
            <w:hideMark/>
          </w:tcPr>
          <w:p w14:paraId="78EEEB10" w14:textId="77777777" w:rsidR="0030564C" w:rsidRPr="0031647F" w:rsidRDefault="0030564C" w:rsidP="0030564C">
            <w:pPr>
              <w:spacing w:after="0" w:line="240" w:lineRule="auto"/>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Tax</w:t>
            </w:r>
          </w:p>
        </w:tc>
        <w:tc>
          <w:tcPr>
            <w:tcW w:w="305" w:type="pct"/>
            <w:noWrap/>
            <w:hideMark/>
          </w:tcPr>
          <w:p w14:paraId="00BCBCED"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PAYG</w:t>
            </w:r>
          </w:p>
        </w:tc>
        <w:tc>
          <w:tcPr>
            <w:tcW w:w="356" w:type="pct"/>
            <w:noWrap/>
            <w:hideMark/>
          </w:tcPr>
          <w:p w14:paraId="63A88A2A"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w:t>
            </w:r>
          </w:p>
        </w:tc>
        <w:tc>
          <w:tcPr>
            <w:tcW w:w="1270" w:type="pct"/>
            <w:noWrap/>
            <w:hideMark/>
          </w:tcPr>
          <w:p w14:paraId="53C964B2"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TAX_WHELD_AMT</w:t>
            </w:r>
          </w:p>
        </w:tc>
        <w:tc>
          <w:tcPr>
            <w:tcW w:w="1881" w:type="pct"/>
            <w:noWrap/>
            <w:hideMark/>
          </w:tcPr>
          <w:p w14:paraId="7028D422"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Tax Withheld Amount</w:t>
            </w:r>
          </w:p>
        </w:tc>
        <w:tc>
          <w:tcPr>
            <w:tcW w:w="682" w:type="pct"/>
            <w:noWrap/>
            <w:hideMark/>
          </w:tcPr>
          <w:p w14:paraId="695F0387"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
        </w:tc>
      </w:tr>
      <w:tr w:rsidR="0030564C" w:rsidRPr="0031647F" w14:paraId="775B1153" w14:textId="77777777" w:rsidTr="008407DB">
        <w:trPr>
          <w:trHeight w:val="300"/>
        </w:trPr>
        <w:tc>
          <w:tcPr>
            <w:cnfStyle w:val="001000000000" w:firstRow="0" w:lastRow="0" w:firstColumn="1" w:lastColumn="0" w:oddVBand="0" w:evenVBand="0" w:oddHBand="0" w:evenHBand="0" w:firstRowFirstColumn="0" w:firstRowLastColumn="0" w:lastRowFirstColumn="0" w:lastRowLastColumn="0"/>
            <w:tcW w:w="506" w:type="pct"/>
            <w:noWrap/>
            <w:hideMark/>
          </w:tcPr>
          <w:p w14:paraId="7DAD86C0" w14:textId="77777777" w:rsidR="0030564C" w:rsidRPr="0031647F" w:rsidRDefault="0030564C" w:rsidP="0030564C">
            <w:pPr>
              <w:spacing w:after="0" w:line="240" w:lineRule="auto"/>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Total</w:t>
            </w:r>
          </w:p>
        </w:tc>
        <w:tc>
          <w:tcPr>
            <w:tcW w:w="305" w:type="pct"/>
            <w:noWrap/>
            <w:hideMark/>
          </w:tcPr>
          <w:p w14:paraId="0517808B"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PIT</w:t>
            </w:r>
          </w:p>
        </w:tc>
        <w:tc>
          <w:tcPr>
            <w:tcW w:w="356" w:type="pct"/>
            <w:noWrap/>
            <w:hideMark/>
          </w:tcPr>
          <w:p w14:paraId="71AB13A8"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w:t>
            </w:r>
          </w:p>
        </w:tc>
        <w:tc>
          <w:tcPr>
            <w:tcW w:w="1270" w:type="pct"/>
            <w:noWrap/>
            <w:hideMark/>
          </w:tcPr>
          <w:p w14:paraId="4B1E18F4"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Employee/Exertion</w:t>
            </w:r>
          </w:p>
        </w:tc>
        <w:tc>
          <w:tcPr>
            <w:tcW w:w="1881" w:type="pct"/>
            <w:noWrap/>
            <w:hideMark/>
          </w:tcPr>
          <w:p w14:paraId="5CB02B78" w14:textId="63A84BDC" w:rsidR="0030564C" w:rsidRPr="0031647F" w:rsidRDefault="00325792"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D</w:t>
            </w:r>
            <w:r w:rsidR="0030564C" w:rsidRPr="0031647F">
              <w:rPr>
                <w:rFonts w:ascii="Calibri" w:eastAsia="Times New Roman" w:hAnsi="Calibri" w:cs="Calibri"/>
                <w:color w:val="000000"/>
                <w:sz w:val="20"/>
                <w:szCs w:val="20"/>
                <w:lang w:eastAsia="en-AU"/>
              </w:rPr>
              <w:t>erived</w:t>
            </w:r>
          </w:p>
        </w:tc>
        <w:tc>
          <w:tcPr>
            <w:tcW w:w="682" w:type="pct"/>
            <w:noWrap/>
            <w:hideMark/>
          </w:tcPr>
          <w:p w14:paraId="6D808AD5"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
        </w:tc>
      </w:tr>
      <w:tr w:rsidR="0030564C" w:rsidRPr="0031647F" w14:paraId="5844E636" w14:textId="77777777" w:rsidTr="008407DB">
        <w:trPr>
          <w:trHeight w:val="300"/>
        </w:trPr>
        <w:tc>
          <w:tcPr>
            <w:cnfStyle w:val="001000000000" w:firstRow="0" w:lastRow="0" w:firstColumn="1" w:lastColumn="0" w:oddVBand="0" w:evenVBand="0" w:oddHBand="0" w:evenHBand="0" w:firstRowFirstColumn="0" w:firstRowLastColumn="0" w:lastRowFirstColumn="0" w:lastRowLastColumn="0"/>
            <w:tcW w:w="506" w:type="pct"/>
            <w:noWrap/>
            <w:hideMark/>
          </w:tcPr>
          <w:p w14:paraId="7BB49868" w14:textId="77777777" w:rsidR="0030564C" w:rsidRPr="0031647F" w:rsidRDefault="0030564C" w:rsidP="0030564C">
            <w:pPr>
              <w:spacing w:after="0" w:line="240" w:lineRule="auto"/>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Total</w:t>
            </w:r>
          </w:p>
        </w:tc>
        <w:tc>
          <w:tcPr>
            <w:tcW w:w="305" w:type="pct"/>
            <w:noWrap/>
            <w:hideMark/>
          </w:tcPr>
          <w:p w14:paraId="5A47C657"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PIT</w:t>
            </w:r>
          </w:p>
        </w:tc>
        <w:tc>
          <w:tcPr>
            <w:tcW w:w="356" w:type="pct"/>
            <w:noWrap/>
            <w:hideMark/>
          </w:tcPr>
          <w:p w14:paraId="0E90DB7D"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w:t>
            </w:r>
          </w:p>
        </w:tc>
        <w:tc>
          <w:tcPr>
            <w:tcW w:w="1270" w:type="pct"/>
            <w:noWrap/>
            <w:hideMark/>
          </w:tcPr>
          <w:p w14:paraId="664102C1"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Business</w:t>
            </w:r>
          </w:p>
        </w:tc>
        <w:tc>
          <w:tcPr>
            <w:tcW w:w="1881" w:type="pct"/>
            <w:noWrap/>
            <w:hideMark/>
          </w:tcPr>
          <w:p w14:paraId="671396BA" w14:textId="1B59E96E" w:rsidR="0030564C" w:rsidRPr="0031647F" w:rsidRDefault="00325792"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D</w:t>
            </w:r>
            <w:r w:rsidRPr="0031647F">
              <w:rPr>
                <w:rFonts w:ascii="Calibri" w:eastAsia="Times New Roman" w:hAnsi="Calibri" w:cs="Calibri"/>
                <w:color w:val="000000"/>
                <w:sz w:val="20"/>
                <w:szCs w:val="20"/>
                <w:lang w:eastAsia="en-AU"/>
              </w:rPr>
              <w:t>erived</w:t>
            </w:r>
          </w:p>
        </w:tc>
        <w:tc>
          <w:tcPr>
            <w:tcW w:w="682" w:type="pct"/>
            <w:noWrap/>
            <w:hideMark/>
          </w:tcPr>
          <w:p w14:paraId="758A5DFF"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
        </w:tc>
      </w:tr>
      <w:tr w:rsidR="0030564C" w:rsidRPr="0031647F" w14:paraId="4DBD1347" w14:textId="77777777" w:rsidTr="008407DB">
        <w:trPr>
          <w:trHeight w:val="300"/>
        </w:trPr>
        <w:tc>
          <w:tcPr>
            <w:cnfStyle w:val="001000000000" w:firstRow="0" w:lastRow="0" w:firstColumn="1" w:lastColumn="0" w:oddVBand="0" w:evenVBand="0" w:oddHBand="0" w:evenHBand="0" w:firstRowFirstColumn="0" w:firstRowLastColumn="0" w:lastRowFirstColumn="0" w:lastRowLastColumn="0"/>
            <w:tcW w:w="506" w:type="pct"/>
            <w:noWrap/>
            <w:hideMark/>
          </w:tcPr>
          <w:p w14:paraId="66409914" w14:textId="77777777" w:rsidR="0030564C" w:rsidRPr="0031647F" w:rsidRDefault="0030564C" w:rsidP="0030564C">
            <w:pPr>
              <w:spacing w:after="0" w:line="240" w:lineRule="auto"/>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Total</w:t>
            </w:r>
          </w:p>
        </w:tc>
        <w:tc>
          <w:tcPr>
            <w:tcW w:w="305" w:type="pct"/>
            <w:noWrap/>
            <w:hideMark/>
          </w:tcPr>
          <w:p w14:paraId="573D90F2"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PIT</w:t>
            </w:r>
          </w:p>
        </w:tc>
        <w:tc>
          <w:tcPr>
            <w:tcW w:w="356" w:type="pct"/>
            <w:noWrap/>
            <w:hideMark/>
          </w:tcPr>
          <w:p w14:paraId="6FEE7757"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w:t>
            </w:r>
          </w:p>
        </w:tc>
        <w:tc>
          <w:tcPr>
            <w:tcW w:w="1270" w:type="pct"/>
            <w:noWrap/>
            <w:hideMark/>
          </w:tcPr>
          <w:p w14:paraId="2A65463C"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Investment</w:t>
            </w:r>
          </w:p>
        </w:tc>
        <w:tc>
          <w:tcPr>
            <w:tcW w:w="1881" w:type="pct"/>
            <w:noWrap/>
            <w:hideMark/>
          </w:tcPr>
          <w:p w14:paraId="0A442891" w14:textId="7C3773E1" w:rsidR="0030564C" w:rsidRPr="0031647F" w:rsidRDefault="00325792"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D</w:t>
            </w:r>
            <w:r w:rsidRPr="0031647F">
              <w:rPr>
                <w:rFonts w:ascii="Calibri" w:eastAsia="Times New Roman" w:hAnsi="Calibri" w:cs="Calibri"/>
                <w:color w:val="000000"/>
                <w:sz w:val="20"/>
                <w:szCs w:val="20"/>
                <w:lang w:eastAsia="en-AU"/>
              </w:rPr>
              <w:t>erived</w:t>
            </w:r>
          </w:p>
        </w:tc>
        <w:tc>
          <w:tcPr>
            <w:tcW w:w="682" w:type="pct"/>
            <w:noWrap/>
            <w:hideMark/>
          </w:tcPr>
          <w:p w14:paraId="73D50210"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
        </w:tc>
      </w:tr>
      <w:tr w:rsidR="0030564C" w:rsidRPr="0031647F" w14:paraId="3C8DC8E4" w14:textId="77777777" w:rsidTr="008407DB">
        <w:trPr>
          <w:trHeight w:val="300"/>
        </w:trPr>
        <w:tc>
          <w:tcPr>
            <w:cnfStyle w:val="001000000000" w:firstRow="0" w:lastRow="0" w:firstColumn="1" w:lastColumn="0" w:oddVBand="0" w:evenVBand="0" w:oddHBand="0" w:evenHBand="0" w:firstRowFirstColumn="0" w:firstRowLastColumn="0" w:lastRowFirstColumn="0" w:lastRowLastColumn="0"/>
            <w:tcW w:w="506" w:type="pct"/>
            <w:noWrap/>
            <w:hideMark/>
          </w:tcPr>
          <w:p w14:paraId="6999612F" w14:textId="77777777" w:rsidR="0030564C" w:rsidRPr="0031647F" w:rsidRDefault="0030564C" w:rsidP="0030564C">
            <w:pPr>
              <w:spacing w:after="0" w:line="240" w:lineRule="auto"/>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Total</w:t>
            </w:r>
          </w:p>
        </w:tc>
        <w:tc>
          <w:tcPr>
            <w:tcW w:w="305" w:type="pct"/>
            <w:noWrap/>
            <w:hideMark/>
          </w:tcPr>
          <w:p w14:paraId="3C323279"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PIT</w:t>
            </w:r>
          </w:p>
        </w:tc>
        <w:tc>
          <w:tcPr>
            <w:tcW w:w="356" w:type="pct"/>
            <w:noWrap/>
            <w:hideMark/>
          </w:tcPr>
          <w:p w14:paraId="6CC72319"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w:t>
            </w:r>
          </w:p>
        </w:tc>
        <w:tc>
          <w:tcPr>
            <w:tcW w:w="1270" w:type="pct"/>
            <w:noWrap/>
            <w:hideMark/>
          </w:tcPr>
          <w:p w14:paraId="2E9A5970"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Superannuation</w:t>
            </w:r>
          </w:p>
        </w:tc>
        <w:tc>
          <w:tcPr>
            <w:tcW w:w="1881" w:type="pct"/>
            <w:noWrap/>
            <w:hideMark/>
          </w:tcPr>
          <w:p w14:paraId="7265F221" w14:textId="306A425D" w:rsidR="0030564C" w:rsidRPr="0031647F" w:rsidRDefault="00325792"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D</w:t>
            </w:r>
            <w:r w:rsidRPr="0031647F">
              <w:rPr>
                <w:rFonts w:ascii="Calibri" w:eastAsia="Times New Roman" w:hAnsi="Calibri" w:cs="Calibri"/>
                <w:color w:val="000000"/>
                <w:sz w:val="20"/>
                <w:szCs w:val="20"/>
                <w:lang w:eastAsia="en-AU"/>
              </w:rPr>
              <w:t>erived</w:t>
            </w:r>
          </w:p>
        </w:tc>
        <w:tc>
          <w:tcPr>
            <w:tcW w:w="682" w:type="pct"/>
            <w:noWrap/>
            <w:hideMark/>
          </w:tcPr>
          <w:p w14:paraId="4C06D107"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
        </w:tc>
      </w:tr>
      <w:tr w:rsidR="0030564C" w:rsidRPr="0031647F" w14:paraId="6C3B3135" w14:textId="77777777" w:rsidTr="008407DB">
        <w:trPr>
          <w:trHeight w:val="300"/>
        </w:trPr>
        <w:tc>
          <w:tcPr>
            <w:cnfStyle w:val="001000000000" w:firstRow="0" w:lastRow="0" w:firstColumn="1" w:lastColumn="0" w:oddVBand="0" w:evenVBand="0" w:oddHBand="0" w:evenHBand="0" w:firstRowFirstColumn="0" w:firstRowLastColumn="0" w:lastRowFirstColumn="0" w:lastRowLastColumn="0"/>
            <w:tcW w:w="506" w:type="pct"/>
            <w:noWrap/>
            <w:hideMark/>
          </w:tcPr>
          <w:p w14:paraId="2660BA62" w14:textId="77777777" w:rsidR="0030564C" w:rsidRPr="0031647F" w:rsidRDefault="0030564C" w:rsidP="0030564C">
            <w:pPr>
              <w:spacing w:after="0" w:line="240" w:lineRule="auto"/>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Total</w:t>
            </w:r>
          </w:p>
        </w:tc>
        <w:tc>
          <w:tcPr>
            <w:tcW w:w="305" w:type="pct"/>
            <w:noWrap/>
            <w:hideMark/>
          </w:tcPr>
          <w:p w14:paraId="67DAF620"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PIT</w:t>
            </w:r>
          </w:p>
        </w:tc>
        <w:tc>
          <w:tcPr>
            <w:tcW w:w="356" w:type="pct"/>
            <w:noWrap/>
            <w:hideMark/>
          </w:tcPr>
          <w:p w14:paraId="56211020"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w:t>
            </w:r>
          </w:p>
        </w:tc>
        <w:tc>
          <w:tcPr>
            <w:tcW w:w="1270" w:type="pct"/>
            <w:noWrap/>
            <w:hideMark/>
          </w:tcPr>
          <w:p w14:paraId="4D74880C"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Other</w:t>
            </w:r>
          </w:p>
        </w:tc>
        <w:tc>
          <w:tcPr>
            <w:tcW w:w="1881" w:type="pct"/>
            <w:noWrap/>
            <w:hideMark/>
          </w:tcPr>
          <w:p w14:paraId="0A9407D5" w14:textId="1F59BFC5" w:rsidR="0030564C" w:rsidRPr="0031647F" w:rsidRDefault="00325792"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D</w:t>
            </w:r>
            <w:r w:rsidRPr="0031647F">
              <w:rPr>
                <w:rFonts w:ascii="Calibri" w:eastAsia="Times New Roman" w:hAnsi="Calibri" w:cs="Calibri"/>
                <w:color w:val="000000"/>
                <w:sz w:val="20"/>
                <w:szCs w:val="20"/>
                <w:lang w:eastAsia="en-AU"/>
              </w:rPr>
              <w:t>erived</w:t>
            </w:r>
          </w:p>
        </w:tc>
        <w:tc>
          <w:tcPr>
            <w:tcW w:w="682" w:type="pct"/>
            <w:noWrap/>
            <w:hideMark/>
          </w:tcPr>
          <w:p w14:paraId="6BFD3731"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
        </w:tc>
      </w:tr>
      <w:tr w:rsidR="0030564C" w:rsidRPr="0031647F" w14:paraId="2CFA53F8" w14:textId="77777777" w:rsidTr="008407DB">
        <w:trPr>
          <w:trHeight w:val="300"/>
        </w:trPr>
        <w:tc>
          <w:tcPr>
            <w:cnfStyle w:val="001000000000" w:firstRow="0" w:lastRow="0" w:firstColumn="1" w:lastColumn="0" w:oddVBand="0" w:evenVBand="0" w:oddHBand="0" w:evenHBand="0" w:firstRowFirstColumn="0" w:firstRowLastColumn="0" w:lastRowFirstColumn="0" w:lastRowLastColumn="0"/>
            <w:tcW w:w="506" w:type="pct"/>
            <w:noWrap/>
            <w:hideMark/>
          </w:tcPr>
          <w:p w14:paraId="35DBB95D" w14:textId="77777777" w:rsidR="0030564C" w:rsidRPr="0031647F" w:rsidRDefault="0030564C" w:rsidP="0030564C">
            <w:pPr>
              <w:spacing w:after="0" w:line="240" w:lineRule="auto"/>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Total</w:t>
            </w:r>
          </w:p>
        </w:tc>
        <w:tc>
          <w:tcPr>
            <w:tcW w:w="305" w:type="pct"/>
            <w:noWrap/>
            <w:hideMark/>
          </w:tcPr>
          <w:p w14:paraId="4962E90B"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PIT</w:t>
            </w:r>
          </w:p>
        </w:tc>
        <w:tc>
          <w:tcPr>
            <w:tcW w:w="356" w:type="pct"/>
            <w:noWrap/>
            <w:hideMark/>
          </w:tcPr>
          <w:p w14:paraId="7293370A"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w:t>
            </w:r>
          </w:p>
        </w:tc>
        <w:tc>
          <w:tcPr>
            <w:tcW w:w="1270" w:type="pct"/>
            <w:noWrap/>
            <w:hideMark/>
          </w:tcPr>
          <w:p w14:paraId="14B377FE"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Government Pensions</w:t>
            </w:r>
          </w:p>
        </w:tc>
        <w:tc>
          <w:tcPr>
            <w:tcW w:w="1881" w:type="pct"/>
            <w:noWrap/>
            <w:hideMark/>
          </w:tcPr>
          <w:p w14:paraId="440EFA67" w14:textId="1EA5A00D" w:rsidR="0030564C" w:rsidRPr="0031647F" w:rsidRDefault="00325792"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D</w:t>
            </w:r>
            <w:r w:rsidRPr="0031647F">
              <w:rPr>
                <w:rFonts w:ascii="Calibri" w:eastAsia="Times New Roman" w:hAnsi="Calibri" w:cs="Calibri"/>
                <w:color w:val="000000"/>
                <w:sz w:val="20"/>
                <w:szCs w:val="20"/>
                <w:lang w:eastAsia="en-AU"/>
              </w:rPr>
              <w:t>erived</w:t>
            </w:r>
          </w:p>
        </w:tc>
        <w:tc>
          <w:tcPr>
            <w:tcW w:w="682" w:type="pct"/>
            <w:noWrap/>
            <w:hideMark/>
          </w:tcPr>
          <w:p w14:paraId="0DA924ED"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
        </w:tc>
      </w:tr>
      <w:tr w:rsidR="0030564C" w:rsidRPr="0031647F" w14:paraId="732C2497" w14:textId="77777777" w:rsidTr="008407DB">
        <w:trPr>
          <w:trHeight w:val="300"/>
        </w:trPr>
        <w:tc>
          <w:tcPr>
            <w:cnfStyle w:val="001000000000" w:firstRow="0" w:lastRow="0" w:firstColumn="1" w:lastColumn="0" w:oddVBand="0" w:evenVBand="0" w:oddHBand="0" w:evenHBand="0" w:firstRowFirstColumn="0" w:firstRowLastColumn="0" w:lastRowFirstColumn="0" w:lastRowLastColumn="0"/>
            <w:tcW w:w="506" w:type="pct"/>
            <w:noWrap/>
            <w:hideMark/>
          </w:tcPr>
          <w:p w14:paraId="1A740998" w14:textId="77777777" w:rsidR="0030564C" w:rsidRPr="0031647F" w:rsidRDefault="0030564C" w:rsidP="0030564C">
            <w:pPr>
              <w:spacing w:after="0" w:line="240" w:lineRule="auto"/>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lastRenderedPageBreak/>
              <w:t>Total</w:t>
            </w:r>
          </w:p>
        </w:tc>
        <w:tc>
          <w:tcPr>
            <w:tcW w:w="305" w:type="pct"/>
            <w:noWrap/>
            <w:hideMark/>
          </w:tcPr>
          <w:p w14:paraId="70A0BE0B"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PAYG</w:t>
            </w:r>
          </w:p>
        </w:tc>
        <w:tc>
          <w:tcPr>
            <w:tcW w:w="356" w:type="pct"/>
            <w:noWrap/>
            <w:hideMark/>
          </w:tcPr>
          <w:p w14:paraId="61A7A42E"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w:t>
            </w:r>
          </w:p>
        </w:tc>
        <w:tc>
          <w:tcPr>
            <w:tcW w:w="1270" w:type="pct"/>
            <w:noWrap/>
            <w:hideMark/>
          </w:tcPr>
          <w:p w14:paraId="77526009"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Employee/Exertion</w:t>
            </w:r>
          </w:p>
        </w:tc>
        <w:tc>
          <w:tcPr>
            <w:tcW w:w="1881" w:type="pct"/>
            <w:noWrap/>
            <w:hideMark/>
          </w:tcPr>
          <w:p w14:paraId="2E3B259E" w14:textId="5318A57E" w:rsidR="0030564C" w:rsidRPr="0031647F" w:rsidRDefault="00325792"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D</w:t>
            </w:r>
            <w:r w:rsidRPr="0031647F">
              <w:rPr>
                <w:rFonts w:ascii="Calibri" w:eastAsia="Times New Roman" w:hAnsi="Calibri" w:cs="Calibri"/>
                <w:color w:val="000000"/>
                <w:sz w:val="20"/>
                <w:szCs w:val="20"/>
                <w:lang w:eastAsia="en-AU"/>
              </w:rPr>
              <w:t>erived</w:t>
            </w:r>
          </w:p>
        </w:tc>
        <w:tc>
          <w:tcPr>
            <w:tcW w:w="682" w:type="pct"/>
            <w:noWrap/>
            <w:hideMark/>
          </w:tcPr>
          <w:p w14:paraId="2E1EEB0D"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
        </w:tc>
      </w:tr>
      <w:tr w:rsidR="0030564C" w:rsidRPr="0031647F" w14:paraId="505678A5" w14:textId="77777777" w:rsidTr="008407DB">
        <w:trPr>
          <w:trHeight w:val="300"/>
        </w:trPr>
        <w:tc>
          <w:tcPr>
            <w:cnfStyle w:val="001000000000" w:firstRow="0" w:lastRow="0" w:firstColumn="1" w:lastColumn="0" w:oddVBand="0" w:evenVBand="0" w:oddHBand="0" w:evenHBand="0" w:firstRowFirstColumn="0" w:firstRowLastColumn="0" w:lastRowFirstColumn="0" w:lastRowLastColumn="0"/>
            <w:tcW w:w="506" w:type="pct"/>
            <w:noWrap/>
            <w:hideMark/>
          </w:tcPr>
          <w:p w14:paraId="7F84B102" w14:textId="77777777" w:rsidR="0030564C" w:rsidRPr="0031647F" w:rsidRDefault="0030564C" w:rsidP="0030564C">
            <w:pPr>
              <w:spacing w:after="0" w:line="240" w:lineRule="auto"/>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Total</w:t>
            </w:r>
          </w:p>
        </w:tc>
        <w:tc>
          <w:tcPr>
            <w:tcW w:w="305" w:type="pct"/>
            <w:noWrap/>
            <w:hideMark/>
          </w:tcPr>
          <w:p w14:paraId="2087992F"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PAYG</w:t>
            </w:r>
          </w:p>
        </w:tc>
        <w:tc>
          <w:tcPr>
            <w:tcW w:w="356" w:type="pct"/>
            <w:noWrap/>
            <w:hideMark/>
          </w:tcPr>
          <w:p w14:paraId="0D0C5281"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w:t>
            </w:r>
          </w:p>
        </w:tc>
        <w:tc>
          <w:tcPr>
            <w:tcW w:w="1270" w:type="pct"/>
            <w:noWrap/>
            <w:hideMark/>
          </w:tcPr>
          <w:p w14:paraId="2CC5DBB5"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RPRTBL_FBT_AMT</w:t>
            </w:r>
          </w:p>
        </w:tc>
        <w:tc>
          <w:tcPr>
            <w:tcW w:w="1881" w:type="pct"/>
            <w:noWrap/>
            <w:hideMark/>
          </w:tcPr>
          <w:p w14:paraId="3D8A751D"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Reportable fringe benefits amount</w:t>
            </w:r>
          </w:p>
        </w:tc>
        <w:tc>
          <w:tcPr>
            <w:tcW w:w="682" w:type="pct"/>
            <w:noWrap/>
            <w:hideMark/>
          </w:tcPr>
          <w:p w14:paraId="03BBA285"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
        </w:tc>
      </w:tr>
      <w:tr w:rsidR="0030564C" w:rsidRPr="0031647F" w14:paraId="2E08A596" w14:textId="77777777" w:rsidTr="008407DB">
        <w:trPr>
          <w:trHeight w:val="300"/>
        </w:trPr>
        <w:tc>
          <w:tcPr>
            <w:cnfStyle w:val="001000000000" w:firstRow="0" w:lastRow="0" w:firstColumn="1" w:lastColumn="0" w:oddVBand="0" w:evenVBand="0" w:oddHBand="0" w:evenHBand="0" w:firstRowFirstColumn="0" w:firstRowLastColumn="0" w:lastRowFirstColumn="0" w:lastRowLastColumn="0"/>
            <w:tcW w:w="506" w:type="pct"/>
            <w:noWrap/>
            <w:hideMark/>
          </w:tcPr>
          <w:p w14:paraId="205F31DA" w14:textId="77777777" w:rsidR="0030564C" w:rsidRPr="0031647F" w:rsidRDefault="0030564C" w:rsidP="0030564C">
            <w:pPr>
              <w:spacing w:after="0" w:line="240" w:lineRule="auto"/>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Total</w:t>
            </w:r>
          </w:p>
        </w:tc>
        <w:tc>
          <w:tcPr>
            <w:tcW w:w="305" w:type="pct"/>
            <w:noWrap/>
            <w:hideMark/>
          </w:tcPr>
          <w:p w14:paraId="7F083ED9"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PAYG</w:t>
            </w:r>
          </w:p>
        </w:tc>
        <w:tc>
          <w:tcPr>
            <w:tcW w:w="356" w:type="pct"/>
            <w:noWrap/>
            <w:hideMark/>
          </w:tcPr>
          <w:p w14:paraId="7A60160C"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w:t>
            </w:r>
          </w:p>
        </w:tc>
        <w:tc>
          <w:tcPr>
            <w:tcW w:w="1270" w:type="pct"/>
            <w:noWrap/>
            <w:hideMark/>
          </w:tcPr>
          <w:p w14:paraId="533AB714"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RPRTBL_EMPLYR_SUPER_CNTRBN_AMT</w:t>
            </w:r>
          </w:p>
        </w:tc>
        <w:tc>
          <w:tcPr>
            <w:tcW w:w="1881" w:type="pct"/>
            <w:noWrap/>
            <w:hideMark/>
          </w:tcPr>
          <w:p w14:paraId="0E8E69B0"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Reportable employer superannuation contributions</w:t>
            </w:r>
          </w:p>
        </w:tc>
        <w:tc>
          <w:tcPr>
            <w:tcW w:w="682" w:type="pct"/>
            <w:noWrap/>
            <w:hideMark/>
          </w:tcPr>
          <w:p w14:paraId="08793C3D"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
        </w:tc>
      </w:tr>
      <w:tr w:rsidR="0030564C" w:rsidRPr="0031647F" w14:paraId="573C76C7" w14:textId="77777777" w:rsidTr="008407DB">
        <w:trPr>
          <w:trHeight w:val="300"/>
        </w:trPr>
        <w:tc>
          <w:tcPr>
            <w:cnfStyle w:val="001000000000" w:firstRow="0" w:lastRow="0" w:firstColumn="1" w:lastColumn="0" w:oddVBand="0" w:evenVBand="0" w:oddHBand="0" w:evenHBand="0" w:firstRowFirstColumn="0" w:firstRowLastColumn="0" w:lastRowFirstColumn="0" w:lastRowLastColumn="0"/>
            <w:tcW w:w="506" w:type="pct"/>
            <w:noWrap/>
            <w:hideMark/>
          </w:tcPr>
          <w:p w14:paraId="1CC53287" w14:textId="77777777" w:rsidR="0030564C" w:rsidRPr="0031647F" w:rsidRDefault="0030564C" w:rsidP="0030564C">
            <w:pPr>
              <w:spacing w:after="0" w:line="240" w:lineRule="auto"/>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Total</w:t>
            </w:r>
          </w:p>
        </w:tc>
        <w:tc>
          <w:tcPr>
            <w:tcW w:w="305" w:type="pct"/>
            <w:noWrap/>
            <w:hideMark/>
          </w:tcPr>
          <w:p w14:paraId="54302003"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PAYG</w:t>
            </w:r>
          </w:p>
        </w:tc>
        <w:tc>
          <w:tcPr>
            <w:tcW w:w="356" w:type="pct"/>
            <w:noWrap/>
            <w:hideMark/>
          </w:tcPr>
          <w:p w14:paraId="5548EB0E"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w:t>
            </w:r>
          </w:p>
        </w:tc>
        <w:tc>
          <w:tcPr>
            <w:tcW w:w="1270" w:type="pct"/>
            <w:noWrap/>
            <w:hideMark/>
          </w:tcPr>
          <w:p w14:paraId="696E5B5D"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TAX_FREE_AMT</w:t>
            </w:r>
          </w:p>
        </w:tc>
        <w:tc>
          <w:tcPr>
            <w:tcW w:w="1881" w:type="pct"/>
            <w:noWrap/>
            <w:hideMark/>
          </w:tcPr>
          <w:p w14:paraId="49B3F279"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Tax-free component</w:t>
            </w:r>
          </w:p>
        </w:tc>
        <w:tc>
          <w:tcPr>
            <w:tcW w:w="682" w:type="pct"/>
            <w:noWrap/>
            <w:hideMark/>
          </w:tcPr>
          <w:p w14:paraId="1769F72F"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
        </w:tc>
      </w:tr>
      <w:tr w:rsidR="0030564C" w:rsidRPr="0031647F" w14:paraId="30F0FB19" w14:textId="77777777" w:rsidTr="008407DB">
        <w:trPr>
          <w:trHeight w:val="300"/>
        </w:trPr>
        <w:tc>
          <w:tcPr>
            <w:cnfStyle w:val="001000000000" w:firstRow="0" w:lastRow="0" w:firstColumn="1" w:lastColumn="0" w:oddVBand="0" w:evenVBand="0" w:oddHBand="0" w:evenHBand="0" w:firstRowFirstColumn="0" w:firstRowLastColumn="0" w:lastRowFirstColumn="0" w:lastRowLastColumn="0"/>
            <w:tcW w:w="506" w:type="pct"/>
            <w:noWrap/>
            <w:hideMark/>
          </w:tcPr>
          <w:p w14:paraId="45A58CAE" w14:textId="77777777" w:rsidR="0030564C" w:rsidRPr="0031647F" w:rsidRDefault="0030564C" w:rsidP="0030564C">
            <w:pPr>
              <w:spacing w:after="0" w:line="240" w:lineRule="auto"/>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Total</w:t>
            </w:r>
          </w:p>
        </w:tc>
        <w:tc>
          <w:tcPr>
            <w:tcW w:w="305" w:type="pct"/>
            <w:noWrap/>
            <w:hideMark/>
          </w:tcPr>
          <w:p w14:paraId="7B12C79F"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PAYG</w:t>
            </w:r>
          </w:p>
        </w:tc>
        <w:tc>
          <w:tcPr>
            <w:tcW w:w="356" w:type="pct"/>
            <w:noWrap/>
            <w:hideMark/>
          </w:tcPr>
          <w:p w14:paraId="1A812BDB"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w:t>
            </w:r>
          </w:p>
        </w:tc>
        <w:tc>
          <w:tcPr>
            <w:tcW w:w="1270" w:type="pct"/>
            <w:noWrap/>
            <w:hideMark/>
          </w:tcPr>
          <w:p w14:paraId="687C253B"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TOTL_TXBL_AMT</w:t>
            </w:r>
          </w:p>
        </w:tc>
        <w:tc>
          <w:tcPr>
            <w:tcW w:w="1881" w:type="pct"/>
            <w:noWrap/>
            <w:hideMark/>
          </w:tcPr>
          <w:p w14:paraId="7DAD3CDE"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Taxable component</w:t>
            </w:r>
          </w:p>
        </w:tc>
        <w:tc>
          <w:tcPr>
            <w:tcW w:w="682" w:type="pct"/>
            <w:noWrap/>
            <w:hideMark/>
          </w:tcPr>
          <w:p w14:paraId="7A051B30"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
        </w:tc>
      </w:tr>
      <w:tr w:rsidR="0030564C" w:rsidRPr="0031647F" w14:paraId="1EC6AAA6" w14:textId="77777777" w:rsidTr="008407DB">
        <w:trPr>
          <w:trHeight w:val="300"/>
        </w:trPr>
        <w:tc>
          <w:tcPr>
            <w:cnfStyle w:val="001000000000" w:firstRow="0" w:lastRow="0" w:firstColumn="1" w:lastColumn="0" w:oddVBand="0" w:evenVBand="0" w:oddHBand="0" w:evenHBand="0" w:firstRowFirstColumn="0" w:firstRowLastColumn="0" w:lastRowFirstColumn="0" w:lastRowLastColumn="0"/>
            <w:tcW w:w="506" w:type="pct"/>
            <w:noWrap/>
            <w:hideMark/>
          </w:tcPr>
          <w:p w14:paraId="27DDAEE6" w14:textId="77777777" w:rsidR="0030564C" w:rsidRPr="0031647F" w:rsidRDefault="0030564C" w:rsidP="0030564C">
            <w:pPr>
              <w:spacing w:after="0" w:line="240" w:lineRule="auto"/>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Total</w:t>
            </w:r>
          </w:p>
        </w:tc>
        <w:tc>
          <w:tcPr>
            <w:tcW w:w="305" w:type="pct"/>
            <w:noWrap/>
            <w:hideMark/>
          </w:tcPr>
          <w:p w14:paraId="7E8B6599"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PAYG</w:t>
            </w:r>
          </w:p>
        </w:tc>
        <w:tc>
          <w:tcPr>
            <w:tcW w:w="356" w:type="pct"/>
            <w:noWrap/>
            <w:hideMark/>
          </w:tcPr>
          <w:p w14:paraId="44C599B0"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w:t>
            </w:r>
          </w:p>
        </w:tc>
        <w:tc>
          <w:tcPr>
            <w:tcW w:w="1270" w:type="pct"/>
            <w:noWrap/>
            <w:hideMark/>
          </w:tcPr>
          <w:p w14:paraId="6BA5DF8F"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roofErr w:type="spellStart"/>
            <w:r w:rsidRPr="0031647F">
              <w:rPr>
                <w:rFonts w:ascii="Calibri" w:eastAsia="Times New Roman" w:hAnsi="Calibri" w:cs="Calibri"/>
                <w:color w:val="000000"/>
                <w:sz w:val="20"/>
                <w:szCs w:val="20"/>
                <w:lang w:eastAsia="en-AU"/>
              </w:rPr>
              <w:t>tot_welfare_pay</w:t>
            </w:r>
            <w:proofErr w:type="spellEnd"/>
          </w:p>
        </w:tc>
        <w:tc>
          <w:tcPr>
            <w:tcW w:w="1881" w:type="pct"/>
            <w:noWrap/>
            <w:hideMark/>
          </w:tcPr>
          <w:p w14:paraId="557E5CFF" w14:textId="087595C5" w:rsidR="0030564C" w:rsidRPr="0031647F" w:rsidRDefault="00325792"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T</w:t>
            </w:r>
            <w:r w:rsidR="0030564C" w:rsidRPr="0031647F">
              <w:rPr>
                <w:rFonts w:ascii="Calibri" w:eastAsia="Times New Roman" w:hAnsi="Calibri" w:cs="Calibri"/>
                <w:color w:val="000000"/>
                <w:sz w:val="20"/>
                <w:szCs w:val="20"/>
                <w:lang w:eastAsia="en-AU"/>
              </w:rPr>
              <w:t>otal welfare paid</w:t>
            </w:r>
          </w:p>
        </w:tc>
        <w:tc>
          <w:tcPr>
            <w:tcW w:w="682" w:type="pct"/>
            <w:noWrap/>
            <w:hideMark/>
          </w:tcPr>
          <w:p w14:paraId="6BC279C7"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From SSRI</w:t>
            </w:r>
          </w:p>
        </w:tc>
      </w:tr>
      <w:tr w:rsidR="0030564C" w:rsidRPr="0031647F" w14:paraId="61E52CBC" w14:textId="77777777" w:rsidTr="008407DB">
        <w:trPr>
          <w:trHeight w:val="300"/>
        </w:trPr>
        <w:tc>
          <w:tcPr>
            <w:cnfStyle w:val="001000000000" w:firstRow="0" w:lastRow="0" w:firstColumn="1" w:lastColumn="0" w:oddVBand="0" w:evenVBand="0" w:oddHBand="0" w:evenHBand="0" w:firstRowFirstColumn="0" w:firstRowLastColumn="0" w:lastRowFirstColumn="0" w:lastRowLastColumn="0"/>
            <w:tcW w:w="506" w:type="pct"/>
            <w:noWrap/>
            <w:hideMark/>
          </w:tcPr>
          <w:p w14:paraId="468D76C0" w14:textId="77777777" w:rsidR="0030564C" w:rsidRPr="0031647F" w:rsidRDefault="0030564C" w:rsidP="0030564C">
            <w:pPr>
              <w:spacing w:after="0" w:line="240" w:lineRule="auto"/>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Disposable</w:t>
            </w:r>
          </w:p>
        </w:tc>
        <w:tc>
          <w:tcPr>
            <w:tcW w:w="305" w:type="pct"/>
            <w:noWrap/>
            <w:hideMark/>
          </w:tcPr>
          <w:p w14:paraId="3C11726D"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PIT</w:t>
            </w:r>
          </w:p>
        </w:tc>
        <w:tc>
          <w:tcPr>
            <w:tcW w:w="356" w:type="pct"/>
            <w:noWrap/>
            <w:hideMark/>
          </w:tcPr>
          <w:p w14:paraId="045F8ECD"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w:t>
            </w:r>
          </w:p>
        </w:tc>
        <w:tc>
          <w:tcPr>
            <w:tcW w:w="1270" w:type="pct"/>
            <w:noWrap/>
            <w:hideMark/>
          </w:tcPr>
          <w:p w14:paraId="60F601B9"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Total</w:t>
            </w:r>
          </w:p>
        </w:tc>
        <w:tc>
          <w:tcPr>
            <w:tcW w:w="1881" w:type="pct"/>
            <w:noWrap/>
            <w:hideMark/>
          </w:tcPr>
          <w:p w14:paraId="58ACF956" w14:textId="36F3D092" w:rsidR="0030564C" w:rsidRPr="0031647F" w:rsidRDefault="00325792"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D</w:t>
            </w:r>
            <w:r w:rsidRPr="0031647F">
              <w:rPr>
                <w:rFonts w:ascii="Calibri" w:eastAsia="Times New Roman" w:hAnsi="Calibri" w:cs="Calibri"/>
                <w:color w:val="000000"/>
                <w:sz w:val="20"/>
                <w:szCs w:val="20"/>
                <w:lang w:eastAsia="en-AU"/>
              </w:rPr>
              <w:t>erived</w:t>
            </w:r>
          </w:p>
        </w:tc>
        <w:tc>
          <w:tcPr>
            <w:tcW w:w="682" w:type="pct"/>
            <w:noWrap/>
            <w:hideMark/>
          </w:tcPr>
          <w:p w14:paraId="7EE63DFE"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
        </w:tc>
      </w:tr>
      <w:tr w:rsidR="0030564C" w:rsidRPr="0031647F" w14:paraId="0B72C5D9" w14:textId="77777777" w:rsidTr="008407DB">
        <w:trPr>
          <w:trHeight w:val="300"/>
        </w:trPr>
        <w:tc>
          <w:tcPr>
            <w:cnfStyle w:val="001000000000" w:firstRow="0" w:lastRow="0" w:firstColumn="1" w:lastColumn="0" w:oddVBand="0" w:evenVBand="0" w:oddHBand="0" w:evenHBand="0" w:firstRowFirstColumn="0" w:firstRowLastColumn="0" w:lastRowFirstColumn="0" w:lastRowLastColumn="0"/>
            <w:tcW w:w="506" w:type="pct"/>
            <w:noWrap/>
            <w:hideMark/>
          </w:tcPr>
          <w:p w14:paraId="2FF2250E" w14:textId="77777777" w:rsidR="0030564C" w:rsidRPr="0031647F" w:rsidRDefault="0030564C" w:rsidP="0030564C">
            <w:pPr>
              <w:spacing w:after="0" w:line="240" w:lineRule="auto"/>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Disposable</w:t>
            </w:r>
          </w:p>
        </w:tc>
        <w:tc>
          <w:tcPr>
            <w:tcW w:w="305" w:type="pct"/>
            <w:noWrap/>
            <w:hideMark/>
          </w:tcPr>
          <w:p w14:paraId="77844E1E"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PIT</w:t>
            </w:r>
          </w:p>
        </w:tc>
        <w:tc>
          <w:tcPr>
            <w:tcW w:w="356" w:type="pct"/>
            <w:noWrap/>
            <w:hideMark/>
          </w:tcPr>
          <w:p w14:paraId="29B5D268"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w:t>
            </w:r>
          </w:p>
        </w:tc>
        <w:tc>
          <w:tcPr>
            <w:tcW w:w="1270" w:type="pct"/>
            <w:noWrap/>
            <w:hideMark/>
          </w:tcPr>
          <w:p w14:paraId="3F559CD9"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DDCTNS_TOTL_AMT</w:t>
            </w:r>
          </w:p>
        </w:tc>
        <w:tc>
          <w:tcPr>
            <w:tcW w:w="1881" w:type="pct"/>
            <w:noWrap/>
            <w:hideMark/>
          </w:tcPr>
          <w:p w14:paraId="526F0C18"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Total deductions</w:t>
            </w:r>
          </w:p>
        </w:tc>
        <w:tc>
          <w:tcPr>
            <w:tcW w:w="682" w:type="pct"/>
            <w:noWrap/>
            <w:hideMark/>
          </w:tcPr>
          <w:p w14:paraId="092FD7B4"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
        </w:tc>
      </w:tr>
      <w:tr w:rsidR="0030564C" w:rsidRPr="0031647F" w14:paraId="4860D7B1" w14:textId="77777777" w:rsidTr="008407DB">
        <w:trPr>
          <w:trHeight w:val="300"/>
        </w:trPr>
        <w:tc>
          <w:tcPr>
            <w:cnfStyle w:val="001000000000" w:firstRow="0" w:lastRow="0" w:firstColumn="1" w:lastColumn="0" w:oddVBand="0" w:evenVBand="0" w:oddHBand="0" w:evenHBand="0" w:firstRowFirstColumn="0" w:firstRowLastColumn="0" w:lastRowFirstColumn="0" w:lastRowLastColumn="0"/>
            <w:tcW w:w="506" w:type="pct"/>
            <w:noWrap/>
            <w:hideMark/>
          </w:tcPr>
          <w:p w14:paraId="4D1CC4D0" w14:textId="77777777" w:rsidR="0030564C" w:rsidRPr="0031647F" w:rsidRDefault="0030564C" w:rsidP="0030564C">
            <w:pPr>
              <w:spacing w:after="0" w:line="240" w:lineRule="auto"/>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Disposable</w:t>
            </w:r>
          </w:p>
        </w:tc>
        <w:tc>
          <w:tcPr>
            <w:tcW w:w="305" w:type="pct"/>
            <w:noWrap/>
            <w:hideMark/>
          </w:tcPr>
          <w:p w14:paraId="63B73521"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PIT</w:t>
            </w:r>
          </w:p>
        </w:tc>
        <w:tc>
          <w:tcPr>
            <w:tcW w:w="356" w:type="pct"/>
            <w:noWrap/>
            <w:hideMark/>
          </w:tcPr>
          <w:p w14:paraId="067E1D77"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w:t>
            </w:r>
          </w:p>
        </w:tc>
        <w:tc>
          <w:tcPr>
            <w:tcW w:w="1270" w:type="pct"/>
            <w:noWrap/>
            <w:hideMark/>
          </w:tcPr>
          <w:p w14:paraId="2F3D15FA"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Tax</w:t>
            </w:r>
          </w:p>
        </w:tc>
        <w:tc>
          <w:tcPr>
            <w:tcW w:w="1881" w:type="pct"/>
            <w:noWrap/>
            <w:hideMark/>
          </w:tcPr>
          <w:p w14:paraId="5580F70E" w14:textId="71D708E5" w:rsidR="0030564C" w:rsidRPr="0031647F" w:rsidRDefault="00325792"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D</w:t>
            </w:r>
            <w:r w:rsidRPr="0031647F">
              <w:rPr>
                <w:rFonts w:ascii="Calibri" w:eastAsia="Times New Roman" w:hAnsi="Calibri" w:cs="Calibri"/>
                <w:color w:val="000000"/>
                <w:sz w:val="20"/>
                <w:szCs w:val="20"/>
                <w:lang w:eastAsia="en-AU"/>
              </w:rPr>
              <w:t>erived</w:t>
            </w:r>
          </w:p>
        </w:tc>
        <w:tc>
          <w:tcPr>
            <w:tcW w:w="682" w:type="pct"/>
            <w:noWrap/>
            <w:hideMark/>
          </w:tcPr>
          <w:p w14:paraId="4F92A8C1"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
        </w:tc>
      </w:tr>
      <w:tr w:rsidR="0030564C" w:rsidRPr="0031647F" w14:paraId="55652E6D" w14:textId="77777777" w:rsidTr="008407DB">
        <w:trPr>
          <w:trHeight w:val="300"/>
        </w:trPr>
        <w:tc>
          <w:tcPr>
            <w:cnfStyle w:val="001000000000" w:firstRow="0" w:lastRow="0" w:firstColumn="1" w:lastColumn="0" w:oddVBand="0" w:evenVBand="0" w:oddHBand="0" w:evenHBand="0" w:firstRowFirstColumn="0" w:firstRowLastColumn="0" w:lastRowFirstColumn="0" w:lastRowLastColumn="0"/>
            <w:tcW w:w="506" w:type="pct"/>
            <w:noWrap/>
            <w:hideMark/>
          </w:tcPr>
          <w:p w14:paraId="463F8A80" w14:textId="77777777" w:rsidR="0030564C" w:rsidRPr="0031647F" w:rsidRDefault="0030564C" w:rsidP="0030564C">
            <w:pPr>
              <w:spacing w:after="0" w:line="240" w:lineRule="auto"/>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Disposable</w:t>
            </w:r>
          </w:p>
        </w:tc>
        <w:tc>
          <w:tcPr>
            <w:tcW w:w="305" w:type="pct"/>
            <w:noWrap/>
            <w:hideMark/>
          </w:tcPr>
          <w:p w14:paraId="0EB12B3E"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PAYG</w:t>
            </w:r>
          </w:p>
        </w:tc>
        <w:tc>
          <w:tcPr>
            <w:tcW w:w="356" w:type="pct"/>
            <w:noWrap/>
            <w:hideMark/>
          </w:tcPr>
          <w:p w14:paraId="3DD49BBA"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w:t>
            </w:r>
          </w:p>
        </w:tc>
        <w:tc>
          <w:tcPr>
            <w:tcW w:w="1270" w:type="pct"/>
            <w:noWrap/>
            <w:hideMark/>
          </w:tcPr>
          <w:p w14:paraId="2066FCDF"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Total</w:t>
            </w:r>
          </w:p>
        </w:tc>
        <w:tc>
          <w:tcPr>
            <w:tcW w:w="1881" w:type="pct"/>
            <w:noWrap/>
            <w:hideMark/>
          </w:tcPr>
          <w:p w14:paraId="29FFC9BC" w14:textId="19130BD7" w:rsidR="0030564C" w:rsidRPr="0031647F" w:rsidRDefault="00325792"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D</w:t>
            </w:r>
            <w:r w:rsidRPr="0031647F">
              <w:rPr>
                <w:rFonts w:ascii="Calibri" w:eastAsia="Times New Roman" w:hAnsi="Calibri" w:cs="Calibri"/>
                <w:color w:val="000000"/>
                <w:sz w:val="20"/>
                <w:szCs w:val="20"/>
                <w:lang w:eastAsia="en-AU"/>
              </w:rPr>
              <w:t>erived</w:t>
            </w:r>
          </w:p>
        </w:tc>
        <w:tc>
          <w:tcPr>
            <w:tcW w:w="682" w:type="pct"/>
            <w:noWrap/>
            <w:hideMark/>
          </w:tcPr>
          <w:p w14:paraId="54EAF927"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
        </w:tc>
      </w:tr>
      <w:tr w:rsidR="0030564C" w:rsidRPr="0031647F" w14:paraId="6C55DDF4" w14:textId="77777777" w:rsidTr="008407DB">
        <w:trPr>
          <w:trHeight w:val="300"/>
        </w:trPr>
        <w:tc>
          <w:tcPr>
            <w:cnfStyle w:val="001000000000" w:firstRow="0" w:lastRow="0" w:firstColumn="1" w:lastColumn="0" w:oddVBand="0" w:evenVBand="0" w:oddHBand="0" w:evenHBand="0" w:firstRowFirstColumn="0" w:firstRowLastColumn="0" w:lastRowFirstColumn="0" w:lastRowLastColumn="0"/>
            <w:tcW w:w="506" w:type="pct"/>
            <w:noWrap/>
            <w:hideMark/>
          </w:tcPr>
          <w:p w14:paraId="25B2DC99" w14:textId="77777777" w:rsidR="0030564C" w:rsidRPr="0031647F" w:rsidRDefault="0030564C" w:rsidP="0030564C">
            <w:pPr>
              <w:spacing w:after="0" w:line="240" w:lineRule="auto"/>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Disposable</w:t>
            </w:r>
          </w:p>
        </w:tc>
        <w:tc>
          <w:tcPr>
            <w:tcW w:w="305" w:type="pct"/>
            <w:noWrap/>
            <w:hideMark/>
          </w:tcPr>
          <w:p w14:paraId="59C59A9E"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PAYG</w:t>
            </w:r>
          </w:p>
        </w:tc>
        <w:tc>
          <w:tcPr>
            <w:tcW w:w="356" w:type="pct"/>
            <w:noWrap/>
            <w:hideMark/>
          </w:tcPr>
          <w:p w14:paraId="0CC992B7"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w:t>
            </w:r>
          </w:p>
        </w:tc>
        <w:tc>
          <w:tcPr>
            <w:tcW w:w="1270" w:type="pct"/>
            <w:noWrap/>
            <w:hideMark/>
          </w:tcPr>
          <w:p w14:paraId="2C0E3EDD"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Tax</w:t>
            </w:r>
          </w:p>
        </w:tc>
        <w:tc>
          <w:tcPr>
            <w:tcW w:w="1881" w:type="pct"/>
            <w:noWrap/>
            <w:hideMark/>
          </w:tcPr>
          <w:p w14:paraId="398E6998" w14:textId="1DB05688" w:rsidR="0030564C" w:rsidRPr="0031647F" w:rsidRDefault="00325792"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D</w:t>
            </w:r>
            <w:r w:rsidRPr="0031647F">
              <w:rPr>
                <w:rFonts w:ascii="Calibri" w:eastAsia="Times New Roman" w:hAnsi="Calibri" w:cs="Calibri"/>
                <w:color w:val="000000"/>
                <w:sz w:val="20"/>
                <w:szCs w:val="20"/>
                <w:lang w:eastAsia="en-AU"/>
              </w:rPr>
              <w:t>erived</w:t>
            </w:r>
          </w:p>
        </w:tc>
        <w:tc>
          <w:tcPr>
            <w:tcW w:w="682" w:type="pct"/>
            <w:noWrap/>
            <w:hideMark/>
          </w:tcPr>
          <w:p w14:paraId="2775C6BC"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
        </w:tc>
      </w:tr>
      <w:tr w:rsidR="0030564C" w:rsidRPr="0031647F" w14:paraId="368095ED" w14:textId="77777777" w:rsidTr="008407DB">
        <w:trPr>
          <w:trHeight w:val="300"/>
        </w:trPr>
        <w:tc>
          <w:tcPr>
            <w:cnfStyle w:val="001000000000" w:firstRow="0" w:lastRow="0" w:firstColumn="1" w:lastColumn="0" w:oddVBand="0" w:evenVBand="0" w:oddHBand="0" w:evenHBand="0" w:firstRowFirstColumn="0" w:firstRowLastColumn="0" w:lastRowFirstColumn="0" w:lastRowLastColumn="0"/>
            <w:tcW w:w="506" w:type="pct"/>
            <w:noWrap/>
            <w:hideMark/>
          </w:tcPr>
          <w:p w14:paraId="3530DAAB" w14:textId="77777777" w:rsidR="0030564C" w:rsidRPr="0031647F" w:rsidRDefault="0030564C" w:rsidP="0030564C">
            <w:pPr>
              <w:spacing w:after="0" w:line="240" w:lineRule="auto"/>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 xml:space="preserve">Net business </w:t>
            </w:r>
            <w:proofErr w:type="spellStart"/>
            <w:r w:rsidRPr="0031647F">
              <w:rPr>
                <w:rFonts w:ascii="Calibri" w:eastAsia="Times New Roman" w:hAnsi="Calibri" w:cs="Calibri"/>
                <w:color w:val="000000"/>
                <w:sz w:val="20"/>
                <w:szCs w:val="20"/>
                <w:lang w:eastAsia="en-AU"/>
              </w:rPr>
              <w:t>inc</w:t>
            </w:r>
            <w:proofErr w:type="spellEnd"/>
          </w:p>
        </w:tc>
        <w:tc>
          <w:tcPr>
            <w:tcW w:w="305" w:type="pct"/>
            <w:noWrap/>
            <w:hideMark/>
          </w:tcPr>
          <w:p w14:paraId="2E41A3DF"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PIT</w:t>
            </w:r>
          </w:p>
        </w:tc>
        <w:tc>
          <w:tcPr>
            <w:tcW w:w="356" w:type="pct"/>
            <w:noWrap/>
            <w:hideMark/>
          </w:tcPr>
          <w:p w14:paraId="27385C02"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w:t>
            </w:r>
          </w:p>
        </w:tc>
        <w:tc>
          <w:tcPr>
            <w:tcW w:w="1270" w:type="pct"/>
            <w:noWrap/>
            <w:hideMark/>
          </w:tcPr>
          <w:p w14:paraId="382E82D5"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roofErr w:type="spellStart"/>
            <w:r w:rsidRPr="0031647F">
              <w:rPr>
                <w:rFonts w:ascii="Calibri" w:eastAsia="Times New Roman" w:hAnsi="Calibri" w:cs="Calibri"/>
                <w:color w:val="000000"/>
                <w:sz w:val="20"/>
                <w:szCs w:val="20"/>
                <w:lang w:eastAsia="en-AU"/>
              </w:rPr>
              <w:t>Net_Incm_or_Lss_NPP_Amt</w:t>
            </w:r>
            <w:proofErr w:type="spellEnd"/>
          </w:p>
        </w:tc>
        <w:tc>
          <w:tcPr>
            <w:tcW w:w="1881" w:type="pct"/>
            <w:noWrap/>
            <w:hideMark/>
          </w:tcPr>
          <w:p w14:paraId="6B5DF181"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Net income or loss from business primary production</w:t>
            </w:r>
          </w:p>
        </w:tc>
        <w:tc>
          <w:tcPr>
            <w:tcW w:w="682" w:type="pct"/>
            <w:noWrap/>
            <w:hideMark/>
          </w:tcPr>
          <w:p w14:paraId="0E06D0B0"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
        </w:tc>
      </w:tr>
      <w:tr w:rsidR="0030564C" w:rsidRPr="0031647F" w14:paraId="73868C4F" w14:textId="77777777" w:rsidTr="008407DB">
        <w:trPr>
          <w:trHeight w:val="300"/>
        </w:trPr>
        <w:tc>
          <w:tcPr>
            <w:cnfStyle w:val="001000000000" w:firstRow="0" w:lastRow="0" w:firstColumn="1" w:lastColumn="0" w:oddVBand="0" w:evenVBand="0" w:oddHBand="0" w:evenHBand="0" w:firstRowFirstColumn="0" w:firstRowLastColumn="0" w:lastRowFirstColumn="0" w:lastRowLastColumn="0"/>
            <w:tcW w:w="506" w:type="pct"/>
            <w:noWrap/>
            <w:hideMark/>
          </w:tcPr>
          <w:p w14:paraId="7E048274" w14:textId="77777777" w:rsidR="0030564C" w:rsidRPr="0031647F" w:rsidRDefault="0030564C" w:rsidP="0030564C">
            <w:pPr>
              <w:spacing w:after="0" w:line="240" w:lineRule="auto"/>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 xml:space="preserve">Net business </w:t>
            </w:r>
            <w:proofErr w:type="spellStart"/>
            <w:r w:rsidRPr="0031647F">
              <w:rPr>
                <w:rFonts w:ascii="Calibri" w:eastAsia="Times New Roman" w:hAnsi="Calibri" w:cs="Calibri"/>
                <w:color w:val="000000"/>
                <w:sz w:val="20"/>
                <w:szCs w:val="20"/>
                <w:lang w:eastAsia="en-AU"/>
              </w:rPr>
              <w:t>inc</w:t>
            </w:r>
            <w:proofErr w:type="spellEnd"/>
          </w:p>
        </w:tc>
        <w:tc>
          <w:tcPr>
            <w:tcW w:w="305" w:type="pct"/>
            <w:noWrap/>
            <w:hideMark/>
          </w:tcPr>
          <w:p w14:paraId="0E0DA8C9"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PIT</w:t>
            </w:r>
          </w:p>
        </w:tc>
        <w:tc>
          <w:tcPr>
            <w:tcW w:w="356" w:type="pct"/>
            <w:noWrap/>
            <w:hideMark/>
          </w:tcPr>
          <w:p w14:paraId="3D10D83F"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w:t>
            </w:r>
          </w:p>
        </w:tc>
        <w:tc>
          <w:tcPr>
            <w:tcW w:w="1270" w:type="pct"/>
            <w:noWrap/>
            <w:hideMark/>
          </w:tcPr>
          <w:p w14:paraId="4A44CFB0"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roofErr w:type="spellStart"/>
            <w:r w:rsidRPr="0031647F">
              <w:rPr>
                <w:rFonts w:ascii="Calibri" w:eastAsia="Times New Roman" w:hAnsi="Calibri" w:cs="Calibri"/>
                <w:color w:val="000000"/>
                <w:sz w:val="20"/>
                <w:szCs w:val="20"/>
                <w:lang w:eastAsia="en-AU"/>
              </w:rPr>
              <w:t>Net_Incm_or_Lss_PP_Amt</w:t>
            </w:r>
            <w:proofErr w:type="spellEnd"/>
          </w:p>
        </w:tc>
        <w:tc>
          <w:tcPr>
            <w:tcW w:w="1881" w:type="pct"/>
            <w:noWrap/>
            <w:hideMark/>
          </w:tcPr>
          <w:p w14:paraId="4CE074DE"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Net income or loss from business non primary production</w:t>
            </w:r>
          </w:p>
        </w:tc>
        <w:tc>
          <w:tcPr>
            <w:tcW w:w="682" w:type="pct"/>
            <w:noWrap/>
            <w:hideMark/>
          </w:tcPr>
          <w:p w14:paraId="59F051FF"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
        </w:tc>
      </w:tr>
      <w:tr w:rsidR="0030564C" w:rsidRPr="0031647F" w14:paraId="29D0DD31" w14:textId="77777777" w:rsidTr="008407DB">
        <w:trPr>
          <w:trHeight w:val="300"/>
        </w:trPr>
        <w:tc>
          <w:tcPr>
            <w:cnfStyle w:val="001000000000" w:firstRow="0" w:lastRow="0" w:firstColumn="1" w:lastColumn="0" w:oddVBand="0" w:evenVBand="0" w:oddHBand="0" w:evenHBand="0" w:firstRowFirstColumn="0" w:firstRowLastColumn="0" w:lastRowFirstColumn="0" w:lastRowLastColumn="0"/>
            <w:tcW w:w="506" w:type="pct"/>
            <w:noWrap/>
            <w:hideMark/>
          </w:tcPr>
          <w:p w14:paraId="0BC1A964" w14:textId="77777777" w:rsidR="0030564C" w:rsidRPr="0031647F" w:rsidRDefault="0030564C" w:rsidP="0030564C">
            <w:pPr>
              <w:spacing w:after="0" w:line="240" w:lineRule="auto"/>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 xml:space="preserve">Net business </w:t>
            </w:r>
            <w:proofErr w:type="spellStart"/>
            <w:r w:rsidRPr="0031647F">
              <w:rPr>
                <w:rFonts w:ascii="Calibri" w:eastAsia="Times New Roman" w:hAnsi="Calibri" w:cs="Calibri"/>
                <w:color w:val="000000"/>
                <w:sz w:val="20"/>
                <w:szCs w:val="20"/>
                <w:lang w:eastAsia="en-AU"/>
              </w:rPr>
              <w:t>inc</w:t>
            </w:r>
            <w:proofErr w:type="spellEnd"/>
          </w:p>
        </w:tc>
        <w:tc>
          <w:tcPr>
            <w:tcW w:w="305" w:type="pct"/>
            <w:noWrap/>
            <w:hideMark/>
          </w:tcPr>
          <w:p w14:paraId="1F8C0A04"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PIT</w:t>
            </w:r>
          </w:p>
        </w:tc>
        <w:tc>
          <w:tcPr>
            <w:tcW w:w="356" w:type="pct"/>
            <w:noWrap/>
            <w:hideMark/>
          </w:tcPr>
          <w:p w14:paraId="5A690721"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w:t>
            </w:r>
          </w:p>
        </w:tc>
        <w:tc>
          <w:tcPr>
            <w:tcW w:w="1270" w:type="pct"/>
            <w:noWrap/>
            <w:hideMark/>
          </w:tcPr>
          <w:p w14:paraId="0A43685D"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roofErr w:type="spellStart"/>
            <w:r w:rsidRPr="0031647F">
              <w:rPr>
                <w:rFonts w:ascii="Calibri" w:eastAsia="Times New Roman" w:hAnsi="Calibri" w:cs="Calibri"/>
                <w:color w:val="000000"/>
                <w:sz w:val="20"/>
                <w:szCs w:val="20"/>
                <w:lang w:eastAsia="en-AU"/>
              </w:rPr>
              <w:t>bus_net_tax_amt</w:t>
            </w:r>
            <w:proofErr w:type="spellEnd"/>
          </w:p>
        </w:tc>
        <w:tc>
          <w:tcPr>
            <w:tcW w:w="1881" w:type="pct"/>
            <w:noWrap/>
            <w:hideMark/>
          </w:tcPr>
          <w:p w14:paraId="5707766D"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r w:rsidRPr="0031647F">
              <w:rPr>
                <w:rFonts w:ascii="Calibri" w:eastAsia="Times New Roman" w:hAnsi="Calibri" w:cs="Calibri"/>
                <w:color w:val="000000"/>
                <w:sz w:val="20"/>
                <w:szCs w:val="20"/>
                <w:lang w:eastAsia="en-AU"/>
              </w:rPr>
              <w:t>Business net tax</w:t>
            </w:r>
          </w:p>
        </w:tc>
        <w:tc>
          <w:tcPr>
            <w:tcW w:w="682" w:type="pct"/>
            <w:noWrap/>
            <w:hideMark/>
          </w:tcPr>
          <w:p w14:paraId="545707BE" w14:textId="77777777" w:rsidR="0030564C" w:rsidRPr="0031647F" w:rsidRDefault="0030564C" w:rsidP="0030564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AU"/>
              </w:rPr>
            </w:pPr>
          </w:p>
        </w:tc>
      </w:tr>
    </w:tbl>
    <w:p w14:paraId="1BA97768" w14:textId="3493C46E" w:rsidR="0030564C" w:rsidRPr="0030564C" w:rsidRDefault="0030564C" w:rsidP="0030564C">
      <w:pPr>
        <w:sectPr w:rsidR="0030564C" w:rsidRPr="0030564C" w:rsidSect="0030564C">
          <w:type w:val="continuous"/>
          <w:pgSz w:w="16838" w:h="11906" w:orient="landscape"/>
          <w:pgMar w:top="1440" w:right="1440" w:bottom="1440" w:left="1440" w:header="708" w:footer="708" w:gutter="0"/>
          <w:cols w:space="708"/>
          <w:docGrid w:linePitch="360"/>
        </w:sectPr>
      </w:pPr>
    </w:p>
    <w:p w14:paraId="76E9790D" w14:textId="0DE8BBB7" w:rsidR="00525028" w:rsidRDefault="00525028" w:rsidP="0030564C">
      <w:pPr>
        <w:pStyle w:val="Heading1"/>
      </w:pPr>
      <w:r>
        <w:br w:type="page"/>
      </w:r>
    </w:p>
    <w:p w14:paraId="3BB52F98" w14:textId="77777777" w:rsidR="00CD66C0" w:rsidRDefault="00CD66C0" w:rsidP="00525028">
      <w:pPr>
        <w:pStyle w:val="Heading1"/>
        <w:sectPr w:rsidR="00CD66C0" w:rsidSect="0030564C">
          <w:type w:val="continuous"/>
          <w:pgSz w:w="16838" w:h="11906" w:orient="landscape"/>
          <w:pgMar w:top="1440" w:right="1440" w:bottom="1440" w:left="1440" w:header="709" w:footer="709" w:gutter="0"/>
          <w:cols w:space="708"/>
          <w:docGrid w:linePitch="360"/>
        </w:sectPr>
      </w:pPr>
    </w:p>
    <w:p w14:paraId="396BBD70" w14:textId="516A4726" w:rsidR="00525028" w:rsidRPr="00525028" w:rsidRDefault="00AB6AFF" w:rsidP="00525028">
      <w:pPr>
        <w:pStyle w:val="Heading1"/>
        <w:rPr>
          <w:rStyle w:val="IntenseEmphasis"/>
          <w:i w:val="0"/>
          <w:iCs w:val="0"/>
          <w:color w:val="343741"/>
        </w:rPr>
      </w:pPr>
      <w:bookmarkStart w:id="33" w:name="_Toc47696955"/>
      <w:bookmarkEnd w:id="31"/>
      <w:r>
        <w:lastRenderedPageBreak/>
        <w:t>References</w:t>
      </w:r>
      <w:bookmarkEnd w:id="33"/>
    </w:p>
    <w:sectPr w:rsidR="00525028" w:rsidRPr="00525028" w:rsidSect="00CD66C0">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0A817" w14:textId="77777777" w:rsidR="00E65169" w:rsidRDefault="00E65169" w:rsidP="0051352E">
      <w:pPr>
        <w:spacing w:after="0" w:line="240" w:lineRule="auto"/>
      </w:pPr>
      <w:r>
        <w:separator/>
      </w:r>
    </w:p>
  </w:endnote>
  <w:endnote w:type="continuationSeparator" w:id="0">
    <w:p w14:paraId="072ED2B1" w14:textId="77777777" w:rsidR="00E65169" w:rsidRDefault="00E65169" w:rsidP="0051352E">
      <w:pPr>
        <w:spacing w:after="0" w:line="240" w:lineRule="auto"/>
      </w:pPr>
      <w:r>
        <w:continuationSeparator/>
      </w:r>
    </w:p>
  </w:endnote>
  <w:endnote w:id="1">
    <w:p w14:paraId="54F9190D" w14:textId="269EEFE0" w:rsidR="00E65169" w:rsidRPr="00535B1F" w:rsidRDefault="00E65169" w:rsidP="00525028">
      <w:pPr>
        <w:pStyle w:val="EndnoteText"/>
        <w:rPr>
          <w:sz w:val="16"/>
          <w:szCs w:val="16"/>
        </w:rPr>
      </w:pPr>
      <w:r w:rsidRPr="00535B1F">
        <w:rPr>
          <w:rStyle w:val="EndnoteReference"/>
          <w:sz w:val="16"/>
          <w:szCs w:val="16"/>
        </w:rPr>
        <w:endnoteRef/>
      </w:r>
      <w:r w:rsidRPr="00535B1F">
        <w:rPr>
          <w:sz w:val="16"/>
          <w:szCs w:val="16"/>
        </w:rPr>
        <w:t xml:space="preserve"> Hernán MA, Hsu J, </w:t>
      </w:r>
      <w:r>
        <w:rPr>
          <w:sz w:val="16"/>
          <w:szCs w:val="16"/>
        </w:rPr>
        <w:t>and</w:t>
      </w:r>
      <w:r w:rsidRPr="00535B1F">
        <w:rPr>
          <w:sz w:val="16"/>
          <w:szCs w:val="16"/>
        </w:rPr>
        <w:t xml:space="preserve"> Healy B (2019) </w:t>
      </w:r>
      <w:r>
        <w:rPr>
          <w:sz w:val="16"/>
          <w:szCs w:val="16"/>
        </w:rPr>
        <w:t>‘</w:t>
      </w:r>
      <w:r w:rsidRPr="00535B1F">
        <w:rPr>
          <w:sz w:val="16"/>
          <w:szCs w:val="16"/>
        </w:rPr>
        <w:t>A second chance to get causal inference right: a classification of data science tasks</w:t>
      </w:r>
      <w:r>
        <w:rPr>
          <w:sz w:val="16"/>
          <w:szCs w:val="16"/>
        </w:rPr>
        <w:t>’</w:t>
      </w:r>
      <w:r w:rsidRPr="00535B1F">
        <w:rPr>
          <w:sz w:val="16"/>
          <w:szCs w:val="16"/>
        </w:rPr>
        <w:t xml:space="preserve">. </w:t>
      </w:r>
      <w:r w:rsidRPr="00535B1F">
        <w:rPr>
          <w:i/>
          <w:iCs/>
          <w:sz w:val="16"/>
          <w:szCs w:val="16"/>
        </w:rPr>
        <w:t>Chance</w:t>
      </w:r>
      <w:r w:rsidRPr="00535B1F">
        <w:rPr>
          <w:sz w:val="16"/>
          <w:szCs w:val="16"/>
        </w:rPr>
        <w:t xml:space="preserve">, </w:t>
      </w:r>
      <w:r w:rsidRPr="00535B1F">
        <w:rPr>
          <w:i/>
          <w:iCs/>
          <w:sz w:val="16"/>
          <w:szCs w:val="16"/>
        </w:rPr>
        <w:t>32</w:t>
      </w:r>
      <w:r w:rsidRPr="00535B1F">
        <w:rPr>
          <w:sz w:val="16"/>
          <w:szCs w:val="16"/>
        </w:rPr>
        <w:t>(1), 42-49.</w:t>
      </w:r>
    </w:p>
  </w:endnote>
  <w:endnote w:id="2">
    <w:p w14:paraId="497CF798" w14:textId="3A651E72" w:rsidR="00E65169" w:rsidRPr="00535B1F" w:rsidRDefault="00E65169">
      <w:pPr>
        <w:pStyle w:val="EndnoteText"/>
        <w:rPr>
          <w:sz w:val="16"/>
          <w:szCs w:val="16"/>
        </w:rPr>
      </w:pPr>
      <w:r w:rsidRPr="00535B1F">
        <w:rPr>
          <w:rStyle w:val="EndnoteReference"/>
          <w:sz w:val="16"/>
          <w:szCs w:val="16"/>
        </w:rPr>
        <w:endnoteRef/>
      </w:r>
      <w:r w:rsidRPr="00535B1F">
        <w:rPr>
          <w:sz w:val="16"/>
          <w:szCs w:val="16"/>
        </w:rPr>
        <w:t xml:space="preserve"> R Core Team (2019) </w:t>
      </w:r>
      <w:hyperlink r:id="rId1" w:history="1">
        <w:r w:rsidRPr="00E65169">
          <w:rPr>
            <w:rStyle w:val="Hyperlink"/>
            <w:i/>
            <w:iCs/>
            <w:sz w:val="16"/>
            <w:szCs w:val="16"/>
          </w:rPr>
          <w:t>R: A language and environment for statistical computing. R Foundation for Statistical Computing</w:t>
        </w:r>
      </w:hyperlink>
      <w:r w:rsidRPr="00535B1F">
        <w:rPr>
          <w:sz w:val="16"/>
          <w:szCs w:val="16"/>
        </w:rPr>
        <w:t>, Vienna, Austria.</w:t>
      </w:r>
    </w:p>
  </w:endnote>
  <w:endnote w:id="3">
    <w:p w14:paraId="6C053CA1" w14:textId="544DCC7C" w:rsidR="00E65169" w:rsidRPr="00535B1F" w:rsidRDefault="00E65169">
      <w:pPr>
        <w:pStyle w:val="EndnoteText"/>
        <w:rPr>
          <w:sz w:val="16"/>
          <w:szCs w:val="16"/>
        </w:rPr>
      </w:pPr>
      <w:r w:rsidRPr="00535B1F">
        <w:rPr>
          <w:rStyle w:val="EndnoteReference"/>
          <w:sz w:val="16"/>
          <w:szCs w:val="16"/>
        </w:rPr>
        <w:endnoteRef/>
      </w:r>
      <w:r w:rsidRPr="00535B1F">
        <w:rPr>
          <w:sz w:val="16"/>
          <w:szCs w:val="16"/>
        </w:rPr>
        <w:t xml:space="preserve"> Van Rossum G, </w:t>
      </w:r>
      <w:r>
        <w:rPr>
          <w:sz w:val="16"/>
          <w:szCs w:val="16"/>
        </w:rPr>
        <w:t>and</w:t>
      </w:r>
      <w:r w:rsidRPr="00535B1F">
        <w:rPr>
          <w:sz w:val="16"/>
          <w:szCs w:val="16"/>
        </w:rPr>
        <w:t xml:space="preserve"> Drake FL (2011) </w:t>
      </w:r>
      <w:r w:rsidRPr="00535B1F">
        <w:rPr>
          <w:i/>
          <w:iCs/>
          <w:sz w:val="16"/>
          <w:szCs w:val="16"/>
        </w:rPr>
        <w:t>The python language reference manual</w:t>
      </w:r>
      <w:r w:rsidRPr="00535B1F">
        <w:rPr>
          <w:sz w:val="16"/>
          <w:szCs w:val="16"/>
        </w:rPr>
        <w:t>. Network Theory Ltd.</w:t>
      </w:r>
    </w:p>
  </w:endnote>
  <w:endnote w:id="4">
    <w:p w14:paraId="3C721D15" w14:textId="47AA9F6B" w:rsidR="00E65169" w:rsidRPr="00535B1F" w:rsidRDefault="00E65169">
      <w:pPr>
        <w:pStyle w:val="EndnoteText"/>
        <w:rPr>
          <w:sz w:val="16"/>
          <w:szCs w:val="16"/>
        </w:rPr>
      </w:pPr>
      <w:r w:rsidRPr="00535B1F">
        <w:rPr>
          <w:rStyle w:val="EndnoteReference"/>
          <w:sz w:val="16"/>
          <w:szCs w:val="16"/>
        </w:rPr>
        <w:endnoteRef/>
      </w:r>
      <w:r w:rsidRPr="00535B1F">
        <w:rPr>
          <w:sz w:val="16"/>
          <w:szCs w:val="16"/>
        </w:rPr>
        <w:t xml:space="preserve"> SAS Enterprise Guide 7.15 (2017) SAS Institute Inc., Cary, NC. </w:t>
      </w:r>
    </w:p>
  </w:endnote>
  <w:endnote w:id="5">
    <w:p w14:paraId="04DA027B" w14:textId="77B294B3" w:rsidR="00E65169" w:rsidRPr="00535B1F" w:rsidRDefault="00E65169">
      <w:pPr>
        <w:pStyle w:val="EndnoteText"/>
        <w:rPr>
          <w:sz w:val="16"/>
          <w:szCs w:val="16"/>
        </w:rPr>
      </w:pPr>
      <w:r w:rsidRPr="00535B1F">
        <w:rPr>
          <w:rStyle w:val="EndnoteReference"/>
          <w:sz w:val="16"/>
          <w:szCs w:val="16"/>
        </w:rPr>
        <w:endnoteRef/>
      </w:r>
      <w:r w:rsidRPr="00535B1F">
        <w:rPr>
          <w:sz w:val="16"/>
          <w:szCs w:val="16"/>
        </w:rPr>
        <w:t xml:space="preserve"> StataCorp (2019) </w:t>
      </w:r>
      <w:r w:rsidRPr="00535B1F">
        <w:rPr>
          <w:i/>
          <w:iCs/>
          <w:sz w:val="16"/>
          <w:szCs w:val="16"/>
        </w:rPr>
        <w:t>Stata Statistical Software: Release 16</w:t>
      </w:r>
      <w:r w:rsidRPr="00535B1F">
        <w:rPr>
          <w:sz w:val="16"/>
          <w:szCs w:val="16"/>
        </w:rPr>
        <w:t>. College Station, TX: StataCorp LLC.</w:t>
      </w:r>
    </w:p>
  </w:endnote>
  <w:endnote w:id="6">
    <w:p w14:paraId="1C9DC98D" w14:textId="51279686" w:rsidR="00E65169" w:rsidRPr="00535B1F" w:rsidRDefault="00E65169">
      <w:pPr>
        <w:pStyle w:val="EndnoteText"/>
        <w:rPr>
          <w:sz w:val="16"/>
          <w:szCs w:val="16"/>
        </w:rPr>
      </w:pPr>
      <w:r w:rsidRPr="00535B1F">
        <w:rPr>
          <w:rStyle w:val="EndnoteReference"/>
          <w:sz w:val="16"/>
          <w:szCs w:val="16"/>
        </w:rPr>
        <w:endnoteRef/>
      </w:r>
      <w:r w:rsidRPr="00535B1F">
        <w:rPr>
          <w:sz w:val="16"/>
          <w:szCs w:val="16"/>
        </w:rPr>
        <w:t xml:space="preserve"> RStudio Team (2020) </w:t>
      </w:r>
      <w:hyperlink r:id="rId2" w:history="1">
        <w:r w:rsidRPr="00E65169">
          <w:rPr>
            <w:rStyle w:val="Hyperlink"/>
            <w:i/>
            <w:iCs/>
            <w:sz w:val="16"/>
            <w:szCs w:val="16"/>
          </w:rPr>
          <w:t>RStudio: Integrated Development for R</w:t>
        </w:r>
      </w:hyperlink>
      <w:r>
        <w:rPr>
          <w:sz w:val="16"/>
          <w:szCs w:val="16"/>
        </w:rPr>
        <w:t>,</w:t>
      </w:r>
      <w:r w:rsidRPr="00535B1F">
        <w:rPr>
          <w:sz w:val="16"/>
          <w:szCs w:val="16"/>
        </w:rPr>
        <w:t>RStudio, PBC, Boston, MA</w:t>
      </w:r>
      <w:r w:rsidRPr="00535B1F">
        <w:rPr>
          <w:i/>
          <w:iCs/>
          <w:sz w:val="16"/>
          <w:szCs w:val="16"/>
        </w:rPr>
        <w:t>.</w:t>
      </w:r>
    </w:p>
  </w:endnote>
  <w:endnote w:id="7">
    <w:p w14:paraId="039CDE88" w14:textId="16281E7D" w:rsidR="00E65169" w:rsidRPr="00535B1F" w:rsidRDefault="00E65169">
      <w:pPr>
        <w:pStyle w:val="EndnoteText"/>
        <w:rPr>
          <w:sz w:val="16"/>
          <w:szCs w:val="16"/>
        </w:rPr>
      </w:pPr>
      <w:r w:rsidRPr="00535B1F">
        <w:rPr>
          <w:rStyle w:val="EndnoteReference"/>
          <w:sz w:val="16"/>
          <w:szCs w:val="16"/>
        </w:rPr>
        <w:endnoteRef/>
      </w:r>
      <w:hyperlink r:id="rId3" w:history="1">
        <w:r w:rsidRPr="00535B1F">
          <w:rPr>
            <w:sz w:val="16"/>
            <w:szCs w:val="16"/>
          </w:rPr>
          <w:t>Córdoba</w:t>
        </w:r>
      </w:hyperlink>
      <w:r w:rsidR="00280A0E">
        <w:rPr>
          <w:sz w:val="16"/>
          <w:szCs w:val="16"/>
        </w:rPr>
        <w:t xml:space="preserve"> C</w:t>
      </w:r>
      <w:r w:rsidRPr="00535B1F">
        <w:rPr>
          <w:sz w:val="16"/>
          <w:szCs w:val="16"/>
        </w:rPr>
        <w:t xml:space="preserve"> (2020) </w:t>
      </w:r>
      <w:hyperlink r:id="rId4" w:history="1">
        <w:r w:rsidRPr="00E65169">
          <w:rPr>
            <w:rStyle w:val="Hyperlink"/>
            <w:i/>
            <w:iCs/>
            <w:sz w:val="16"/>
            <w:szCs w:val="16"/>
          </w:rPr>
          <w:t>Spyder: The Scientific Python Development Environment</w:t>
        </w:r>
      </w:hyperlink>
      <w:r>
        <w:rPr>
          <w:sz w:val="16"/>
          <w:szCs w:val="16"/>
        </w:rPr>
        <w:t>, Spyder.</w:t>
      </w:r>
    </w:p>
  </w:endnote>
  <w:endnote w:id="8">
    <w:p w14:paraId="540A38CF" w14:textId="189C5A90" w:rsidR="00E65169" w:rsidRPr="00535B1F" w:rsidRDefault="00E65169">
      <w:pPr>
        <w:pStyle w:val="EndnoteText"/>
        <w:rPr>
          <w:sz w:val="16"/>
          <w:szCs w:val="16"/>
        </w:rPr>
      </w:pPr>
      <w:r w:rsidRPr="00535B1F">
        <w:rPr>
          <w:rStyle w:val="EndnoteReference"/>
          <w:sz w:val="16"/>
          <w:szCs w:val="16"/>
        </w:rPr>
        <w:endnoteRef/>
      </w:r>
      <w:r w:rsidRPr="00535B1F">
        <w:rPr>
          <w:sz w:val="16"/>
          <w:szCs w:val="16"/>
        </w:rPr>
        <w:t xml:space="preserve"> Kluyver T, Ragan-Kelley B, Pérez F, Granger BE, Bussonnier M, Frederic J, </w:t>
      </w:r>
      <w:r w:rsidR="00280A0E">
        <w:rPr>
          <w:sz w:val="16"/>
          <w:szCs w:val="16"/>
        </w:rPr>
        <w:t xml:space="preserve">Kelley K, Hamrick JB, Grout J, Corlay S, </w:t>
      </w:r>
      <w:r w:rsidRPr="00535B1F">
        <w:rPr>
          <w:sz w:val="16"/>
          <w:szCs w:val="16"/>
        </w:rPr>
        <w:t>Ivanov P</w:t>
      </w:r>
      <w:r w:rsidR="00280A0E">
        <w:rPr>
          <w:sz w:val="16"/>
          <w:szCs w:val="16"/>
        </w:rPr>
        <w:t>, Avila D, Abdalla S, Willing C</w:t>
      </w:r>
      <w:r w:rsidRPr="00535B1F">
        <w:rPr>
          <w:sz w:val="16"/>
          <w:szCs w:val="16"/>
        </w:rPr>
        <w:t xml:space="preserve"> (2016, May) </w:t>
      </w:r>
      <w:r w:rsidR="00280A0E">
        <w:rPr>
          <w:sz w:val="16"/>
          <w:szCs w:val="16"/>
        </w:rPr>
        <w:t>‘</w:t>
      </w:r>
      <w:r w:rsidRPr="00535B1F">
        <w:rPr>
          <w:sz w:val="16"/>
          <w:szCs w:val="16"/>
        </w:rPr>
        <w:t>Jupyter Notebooks-a publishing format for reproducible computational workflows</w:t>
      </w:r>
      <w:r w:rsidR="00280A0E">
        <w:rPr>
          <w:sz w:val="16"/>
          <w:szCs w:val="16"/>
        </w:rPr>
        <w:t>’,</w:t>
      </w:r>
      <w:r w:rsidRPr="00535B1F">
        <w:rPr>
          <w:sz w:val="16"/>
          <w:szCs w:val="16"/>
        </w:rPr>
        <w:t xml:space="preserve"> In </w:t>
      </w:r>
      <w:r w:rsidRPr="00535B1F">
        <w:rPr>
          <w:i/>
          <w:iCs/>
          <w:sz w:val="16"/>
          <w:szCs w:val="16"/>
        </w:rPr>
        <w:t>ELPUB</w:t>
      </w:r>
      <w:r w:rsidRPr="00535B1F">
        <w:rPr>
          <w:sz w:val="16"/>
          <w:szCs w:val="16"/>
        </w:rPr>
        <w:t xml:space="preserve"> (pp. 87-90).</w:t>
      </w:r>
    </w:p>
  </w:endnote>
  <w:endnote w:id="9">
    <w:p w14:paraId="7342EB4D" w14:textId="4BAC98F2" w:rsidR="00E65169" w:rsidRPr="00535B1F" w:rsidRDefault="00E65169" w:rsidP="00525028">
      <w:pPr>
        <w:pStyle w:val="EndnoteText"/>
        <w:rPr>
          <w:sz w:val="16"/>
          <w:szCs w:val="16"/>
        </w:rPr>
      </w:pPr>
      <w:r w:rsidRPr="00535B1F">
        <w:rPr>
          <w:rStyle w:val="EndnoteReference"/>
          <w:sz w:val="16"/>
          <w:szCs w:val="16"/>
        </w:rPr>
        <w:endnoteRef/>
      </w:r>
      <w:r w:rsidRPr="00535B1F">
        <w:rPr>
          <w:sz w:val="16"/>
          <w:szCs w:val="16"/>
        </w:rPr>
        <w:t xml:space="preserve"> Breiman L (2001) Random forests. </w:t>
      </w:r>
      <w:r w:rsidRPr="00535B1F">
        <w:rPr>
          <w:i/>
          <w:iCs/>
          <w:sz w:val="16"/>
          <w:szCs w:val="16"/>
        </w:rPr>
        <w:t>Machine learning</w:t>
      </w:r>
      <w:r w:rsidRPr="00535B1F">
        <w:rPr>
          <w:sz w:val="16"/>
          <w:szCs w:val="16"/>
        </w:rPr>
        <w:t xml:space="preserve">, </w:t>
      </w:r>
      <w:r w:rsidRPr="00535B1F">
        <w:rPr>
          <w:i/>
          <w:iCs/>
          <w:sz w:val="16"/>
          <w:szCs w:val="16"/>
        </w:rPr>
        <w:t>45</w:t>
      </w:r>
      <w:r w:rsidRPr="00535B1F">
        <w:rPr>
          <w:sz w:val="16"/>
          <w:szCs w:val="16"/>
        </w:rPr>
        <w:t>(1), 5-32.</w:t>
      </w:r>
    </w:p>
  </w:endnote>
  <w:endnote w:id="10">
    <w:p w14:paraId="6949D22B" w14:textId="7290FA0F" w:rsidR="00E65169" w:rsidRPr="00535B1F" w:rsidRDefault="00E65169" w:rsidP="00525028">
      <w:pPr>
        <w:pStyle w:val="EndnoteText"/>
        <w:rPr>
          <w:sz w:val="16"/>
          <w:szCs w:val="16"/>
        </w:rPr>
      </w:pPr>
      <w:r w:rsidRPr="00535B1F">
        <w:rPr>
          <w:rStyle w:val="EndnoteReference"/>
          <w:sz w:val="16"/>
          <w:szCs w:val="16"/>
        </w:rPr>
        <w:endnoteRef/>
      </w:r>
      <w:r w:rsidRPr="00535B1F">
        <w:rPr>
          <w:sz w:val="16"/>
          <w:szCs w:val="16"/>
        </w:rPr>
        <w:t xml:space="preserve"> Louppe G, Wehenkel L, Sutera A, </w:t>
      </w:r>
      <w:r w:rsidR="00280A0E">
        <w:rPr>
          <w:sz w:val="16"/>
          <w:szCs w:val="16"/>
        </w:rPr>
        <w:t>and</w:t>
      </w:r>
      <w:r w:rsidRPr="00535B1F">
        <w:rPr>
          <w:sz w:val="16"/>
          <w:szCs w:val="16"/>
        </w:rPr>
        <w:t xml:space="preserve"> Geurts P (2013) </w:t>
      </w:r>
      <w:r w:rsidR="00280A0E">
        <w:rPr>
          <w:sz w:val="16"/>
          <w:szCs w:val="16"/>
        </w:rPr>
        <w:t>‘</w:t>
      </w:r>
      <w:r w:rsidRPr="00535B1F">
        <w:rPr>
          <w:sz w:val="16"/>
          <w:szCs w:val="16"/>
        </w:rPr>
        <w:t>Understanding variable importances in forests of   randomized trees</w:t>
      </w:r>
      <w:r w:rsidR="00280A0E">
        <w:rPr>
          <w:sz w:val="16"/>
          <w:szCs w:val="16"/>
        </w:rPr>
        <w:t>’,</w:t>
      </w:r>
      <w:r w:rsidRPr="00535B1F">
        <w:rPr>
          <w:sz w:val="16"/>
          <w:szCs w:val="16"/>
        </w:rPr>
        <w:t xml:space="preserve"> </w:t>
      </w:r>
      <w:r w:rsidRPr="00535B1F">
        <w:rPr>
          <w:i/>
          <w:iCs/>
          <w:sz w:val="16"/>
          <w:szCs w:val="16"/>
        </w:rPr>
        <w:t>Advances in neural information processing systems</w:t>
      </w:r>
      <w:r w:rsidRPr="00535B1F">
        <w:rPr>
          <w:sz w:val="16"/>
          <w:szCs w:val="16"/>
        </w:rPr>
        <w:t xml:space="preserve"> (pp. 431-439).</w:t>
      </w:r>
    </w:p>
  </w:endnote>
  <w:endnote w:id="11">
    <w:p w14:paraId="609B3F88" w14:textId="0012E7B8" w:rsidR="00E65169" w:rsidRPr="00535B1F" w:rsidRDefault="00E65169">
      <w:pPr>
        <w:pStyle w:val="EndnoteText"/>
        <w:rPr>
          <w:sz w:val="16"/>
          <w:szCs w:val="16"/>
        </w:rPr>
      </w:pPr>
      <w:r w:rsidRPr="00535B1F">
        <w:rPr>
          <w:rStyle w:val="EndnoteReference"/>
          <w:sz w:val="16"/>
          <w:szCs w:val="16"/>
        </w:rPr>
        <w:endnoteRef/>
      </w:r>
      <w:r w:rsidRPr="00535B1F">
        <w:rPr>
          <w:sz w:val="16"/>
          <w:szCs w:val="16"/>
        </w:rPr>
        <w:t xml:space="preserve"> Pedregosa </w:t>
      </w:r>
      <w:r w:rsidR="00280A0E">
        <w:rPr>
          <w:sz w:val="16"/>
          <w:szCs w:val="16"/>
        </w:rPr>
        <w:t>F, Varoquaux G, Gramfort A, Michel V</w:t>
      </w:r>
      <w:r w:rsidR="00E25907">
        <w:rPr>
          <w:sz w:val="16"/>
          <w:szCs w:val="16"/>
        </w:rPr>
        <w:t>,</w:t>
      </w:r>
      <w:r w:rsidR="00280A0E">
        <w:rPr>
          <w:sz w:val="16"/>
          <w:szCs w:val="16"/>
        </w:rPr>
        <w:t xml:space="preserve"> Thirion B</w:t>
      </w:r>
      <w:r w:rsidR="00E25907">
        <w:rPr>
          <w:sz w:val="16"/>
          <w:szCs w:val="16"/>
        </w:rPr>
        <w:t>, Grisel O, Blondel M, Prettenhofer P, Weiss R, Dubourg V, Vanderplas J, Passos A, Cournapeau D, Brucher M, Perrot M and Duchesnay E</w:t>
      </w:r>
      <w:r w:rsidRPr="00535B1F">
        <w:rPr>
          <w:sz w:val="16"/>
          <w:szCs w:val="16"/>
        </w:rPr>
        <w:t xml:space="preserve"> (2011) </w:t>
      </w:r>
      <w:r w:rsidR="00280A0E">
        <w:rPr>
          <w:sz w:val="16"/>
          <w:szCs w:val="16"/>
        </w:rPr>
        <w:t>‘</w:t>
      </w:r>
      <w:r w:rsidRPr="00535B1F">
        <w:rPr>
          <w:sz w:val="16"/>
          <w:szCs w:val="16"/>
        </w:rPr>
        <w:t>Scikit-learn: Machine Learning in Python</w:t>
      </w:r>
      <w:r w:rsidR="00280A0E">
        <w:rPr>
          <w:sz w:val="16"/>
          <w:szCs w:val="16"/>
        </w:rPr>
        <w:t>’,</w:t>
      </w:r>
      <w:r w:rsidRPr="00535B1F">
        <w:rPr>
          <w:sz w:val="16"/>
          <w:szCs w:val="16"/>
        </w:rPr>
        <w:t xml:space="preserve"> </w:t>
      </w:r>
      <w:r w:rsidRPr="00280A0E">
        <w:rPr>
          <w:i/>
          <w:iCs/>
          <w:sz w:val="16"/>
          <w:szCs w:val="16"/>
        </w:rPr>
        <w:t>J</w:t>
      </w:r>
      <w:r w:rsidR="00280A0E" w:rsidRPr="00280A0E">
        <w:rPr>
          <w:i/>
          <w:iCs/>
          <w:sz w:val="16"/>
          <w:szCs w:val="16"/>
        </w:rPr>
        <w:t>ournal of Machine Learning Research</w:t>
      </w:r>
      <w:r w:rsidR="00280A0E">
        <w:rPr>
          <w:sz w:val="16"/>
          <w:szCs w:val="16"/>
        </w:rPr>
        <w:t>,</w:t>
      </w:r>
      <w:r w:rsidRPr="00535B1F">
        <w:rPr>
          <w:sz w:val="16"/>
          <w:szCs w:val="16"/>
        </w:rPr>
        <w:t xml:space="preserve"> 12, pp. 2825-2830.</w:t>
      </w:r>
    </w:p>
  </w:endnote>
  <w:endnote w:id="12">
    <w:p w14:paraId="5010BCB9" w14:textId="0B9C338C" w:rsidR="00E65169" w:rsidRPr="00535B1F" w:rsidRDefault="00E65169" w:rsidP="00525028">
      <w:pPr>
        <w:pStyle w:val="EndnoteText"/>
        <w:rPr>
          <w:sz w:val="16"/>
          <w:szCs w:val="16"/>
        </w:rPr>
      </w:pPr>
      <w:r w:rsidRPr="00535B1F">
        <w:rPr>
          <w:rStyle w:val="EndnoteReference"/>
          <w:sz w:val="16"/>
          <w:szCs w:val="16"/>
        </w:rPr>
        <w:endnoteRef/>
      </w:r>
      <w:r w:rsidRPr="00535B1F">
        <w:rPr>
          <w:sz w:val="16"/>
          <w:szCs w:val="16"/>
        </w:rPr>
        <w:t xml:space="preserve"> Chawla NV, Bowyer KW, Hall LO, </w:t>
      </w:r>
      <w:r w:rsidR="00280A0E">
        <w:rPr>
          <w:sz w:val="16"/>
          <w:szCs w:val="16"/>
        </w:rPr>
        <w:t>and</w:t>
      </w:r>
      <w:r w:rsidRPr="00535B1F">
        <w:rPr>
          <w:sz w:val="16"/>
          <w:szCs w:val="16"/>
        </w:rPr>
        <w:t xml:space="preserve"> Kegelmeyer WP (2002) </w:t>
      </w:r>
      <w:r w:rsidR="00280A0E">
        <w:rPr>
          <w:sz w:val="16"/>
          <w:szCs w:val="16"/>
        </w:rPr>
        <w:t>‘</w:t>
      </w:r>
      <w:r w:rsidRPr="00535B1F">
        <w:rPr>
          <w:sz w:val="16"/>
          <w:szCs w:val="16"/>
        </w:rPr>
        <w:t>SMOTE: synthetic minority over-sampling technique</w:t>
      </w:r>
      <w:r w:rsidR="00280A0E">
        <w:rPr>
          <w:sz w:val="16"/>
          <w:szCs w:val="16"/>
        </w:rPr>
        <w:t>’,</w:t>
      </w:r>
      <w:r w:rsidRPr="00535B1F">
        <w:rPr>
          <w:sz w:val="16"/>
          <w:szCs w:val="16"/>
        </w:rPr>
        <w:t xml:space="preserve"> </w:t>
      </w:r>
      <w:r w:rsidRPr="00535B1F">
        <w:rPr>
          <w:i/>
          <w:iCs/>
          <w:sz w:val="16"/>
          <w:szCs w:val="16"/>
        </w:rPr>
        <w:t>Journal of artificial intelligence research</w:t>
      </w:r>
      <w:r w:rsidRPr="00535B1F">
        <w:rPr>
          <w:sz w:val="16"/>
          <w:szCs w:val="16"/>
        </w:rPr>
        <w:t xml:space="preserve">, </w:t>
      </w:r>
      <w:r w:rsidRPr="00535B1F">
        <w:rPr>
          <w:i/>
          <w:iCs/>
          <w:sz w:val="16"/>
          <w:szCs w:val="16"/>
        </w:rPr>
        <w:t>16</w:t>
      </w:r>
      <w:r w:rsidRPr="00535B1F">
        <w:rPr>
          <w:sz w:val="16"/>
          <w:szCs w:val="16"/>
        </w:rPr>
        <w:t>, 321-357.</w:t>
      </w:r>
    </w:p>
  </w:endnote>
  <w:endnote w:id="13">
    <w:p w14:paraId="2D24DDC6" w14:textId="72CD48AA" w:rsidR="00E65169" w:rsidRPr="00535B1F" w:rsidRDefault="00E65169" w:rsidP="00525028">
      <w:pPr>
        <w:pStyle w:val="EndnoteText"/>
        <w:rPr>
          <w:sz w:val="16"/>
          <w:szCs w:val="16"/>
        </w:rPr>
      </w:pPr>
      <w:r w:rsidRPr="00535B1F">
        <w:rPr>
          <w:rStyle w:val="EndnoteReference"/>
          <w:sz w:val="16"/>
          <w:szCs w:val="16"/>
        </w:rPr>
        <w:endnoteRef/>
      </w:r>
      <w:r w:rsidRPr="00535B1F">
        <w:rPr>
          <w:sz w:val="16"/>
          <w:szCs w:val="16"/>
        </w:rPr>
        <w:t xml:space="preserve"> Wager S, </w:t>
      </w:r>
      <w:r w:rsidR="00280A0E">
        <w:rPr>
          <w:sz w:val="16"/>
          <w:szCs w:val="16"/>
        </w:rPr>
        <w:t>and</w:t>
      </w:r>
      <w:r w:rsidRPr="00535B1F">
        <w:rPr>
          <w:sz w:val="16"/>
          <w:szCs w:val="16"/>
        </w:rPr>
        <w:t xml:space="preserve"> Athey S (2018) </w:t>
      </w:r>
      <w:r w:rsidR="00280A0E">
        <w:rPr>
          <w:sz w:val="16"/>
          <w:szCs w:val="16"/>
        </w:rPr>
        <w:t>‘</w:t>
      </w:r>
      <w:r w:rsidRPr="00535B1F">
        <w:rPr>
          <w:sz w:val="16"/>
          <w:szCs w:val="16"/>
        </w:rPr>
        <w:t>Estimation and inference of heterogeneous treatment effects using random forests</w:t>
      </w:r>
      <w:r w:rsidR="00280A0E">
        <w:rPr>
          <w:sz w:val="16"/>
          <w:szCs w:val="16"/>
        </w:rPr>
        <w:t>’,</w:t>
      </w:r>
      <w:r w:rsidRPr="00535B1F">
        <w:rPr>
          <w:sz w:val="16"/>
          <w:szCs w:val="16"/>
        </w:rPr>
        <w:t xml:space="preserve"> </w:t>
      </w:r>
      <w:r w:rsidRPr="00535B1F">
        <w:rPr>
          <w:i/>
          <w:iCs/>
          <w:sz w:val="16"/>
          <w:szCs w:val="16"/>
        </w:rPr>
        <w:t>Journal of the American Statistical Association</w:t>
      </w:r>
      <w:r w:rsidRPr="00535B1F">
        <w:rPr>
          <w:sz w:val="16"/>
          <w:szCs w:val="16"/>
        </w:rPr>
        <w:t xml:space="preserve">, </w:t>
      </w:r>
      <w:r w:rsidRPr="00535B1F">
        <w:rPr>
          <w:i/>
          <w:iCs/>
          <w:sz w:val="16"/>
          <w:szCs w:val="16"/>
        </w:rPr>
        <w:t>113</w:t>
      </w:r>
      <w:r w:rsidRPr="00535B1F">
        <w:rPr>
          <w:sz w:val="16"/>
          <w:szCs w:val="16"/>
        </w:rPr>
        <w:t>(523), 1228-1242.</w:t>
      </w:r>
    </w:p>
  </w:endnote>
  <w:endnote w:id="14">
    <w:p w14:paraId="7A5CC33A" w14:textId="493FD94C" w:rsidR="00E65169" w:rsidRPr="00535B1F" w:rsidRDefault="00E65169" w:rsidP="00525028">
      <w:pPr>
        <w:pStyle w:val="EndnoteText"/>
        <w:rPr>
          <w:sz w:val="16"/>
          <w:szCs w:val="16"/>
        </w:rPr>
      </w:pPr>
      <w:r w:rsidRPr="00535B1F">
        <w:rPr>
          <w:rStyle w:val="EndnoteReference"/>
          <w:sz w:val="16"/>
          <w:szCs w:val="16"/>
        </w:rPr>
        <w:endnoteRef/>
      </w:r>
      <w:r w:rsidRPr="00535B1F">
        <w:rPr>
          <w:sz w:val="16"/>
          <w:szCs w:val="16"/>
        </w:rPr>
        <w:t xml:space="preserve"> Li F, Thomas LE, </w:t>
      </w:r>
      <w:r w:rsidR="00280A0E">
        <w:rPr>
          <w:sz w:val="16"/>
          <w:szCs w:val="16"/>
        </w:rPr>
        <w:t>and</w:t>
      </w:r>
      <w:r w:rsidRPr="00535B1F">
        <w:rPr>
          <w:sz w:val="16"/>
          <w:szCs w:val="16"/>
        </w:rPr>
        <w:t xml:space="preserve"> Li F (2019) </w:t>
      </w:r>
      <w:r w:rsidR="00280A0E">
        <w:rPr>
          <w:sz w:val="16"/>
          <w:szCs w:val="16"/>
        </w:rPr>
        <w:t>‘</w:t>
      </w:r>
      <w:r w:rsidRPr="00535B1F">
        <w:rPr>
          <w:sz w:val="16"/>
          <w:szCs w:val="16"/>
        </w:rPr>
        <w:t>Addressing extreme propensity scores via the overlap weights</w:t>
      </w:r>
      <w:r w:rsidR="00280A0E">
        <w:rPr>
          <w:sz w:val="16"/>
          <w:szCs w:val="16"/>
        </w:rPr>
        <w:t>’,</w:t>
      </w:r>
      <w:r w:rsidRPr="00535B1F">
        <w:rPr>
          <w:sz w:val="16"/>
          <w:szCs w:val="16"/>
        </w:rPr>
        <w:t xml:space="preserve"> </w:t>
      </w:r>
      <w:r w:rsidRPr="00535B1F">
        <w:rPr>
          <w:i/>
          <w:iCs/>
          <w:sz w:val="16"/>
          <w:szCs w:val="16"/>
        </w:rPr>
        <w:t>American journal of epidemiology</w:t>
      </w:r>
      <w:r w:rsidRPr="00535B1F">
        <w:rPr>
          <w:sz w:val="16"/>
          <w:szCs w:val="16"/>
        </w:rPr>
        <w:t xml:space="preserve">, </w:t>
      </w:r>
      <w:r w:rsidRPr="00535B1F">
        <w:rPr>
          <w:i/>
          <w:iCs/>
          <w:sz w:val="16"/>
          <w:szCs w:val="16"/>
        </w:rPr>
        <w:t>188</w:t>
      </w:r>
      <w:r w:rsidRPr="00535B1F">
        <w:rPr>
          <w:sz w:val="16"/>
          <w:szCs w:val="16"/>
        </w:rPr>
        <w:t>(1), 250-257.</w:t>
      </w:r>
    </w:p>
  </w:endnote>
  <w:endnote w:id="15">
    <w:p w14:paraId="53BA8127" w14:textId="54CF8BA6" w:rsidR="00E65169" w:rsidRPr="00535B1F" w:rsidRDefault="00E65169" w:rsidP="00525028">
      <w:pPr>
        <w:pStyle w:val="EndnoteText"/>
        <w:rPr>
          <w:sz w:val="16"/>
          <w:szCs w:val="16"/>
        </w:rPr>
      </w:pPr>
      <w:r w:rsidRPr="00535B1F">
        <w:rPr>
          <w:rStyle w:val="EndnoteReference"/>
          <w:sz w:val="16"/>
          <w:szCs w:val="16"/>
        </w:rPr>
        <w:endnoteRef/>
      </w:r>
      <w:r w:rsidRPr="00535B1F">
        <w:rPr>
          <w:sz w:val="16"/>
          <w:szCs w:val="16"/>
        </w:rPr>
        <w:t xml:space="preserve"> Pearl J (2009) </w:t>
      </w:r>
      <w:r w:rsidRPr="00535B1F">
        <w:rPr>
          <w:i/>
          <w:iCs/>
          <w:sz w:val="16"/>
          <w:szCs w:val="16"/>
        </w:rPr>
        <w:t>Causality</w:t>
      </w:r>
      <w:r w:rsidR="00280A0E">
        <w:rPr>
          <w:sz w:val="16"/>
          <w:szCs w:val="16"/>
        </w:rPr>
        <w:t>,</w:t>
      </w:r>
      <w:r w:rsidRPr="00535B1F">
        <w:rPr>
          <w:sz w:val="16"/>
          <w:szCs w:val="16"/>
        </w:rPr>
        <w:t xml:space="preserve"> Cambridge university press.</w:t>
      </w:r>
    </w:p>
  </w:endnote>
  <w:endnote w:id="16">
    <w:p w14:paraId="34F9A363" w14:textId="795E02E2" w:rsidR="00E65169" w:rsidRPr="00535B1F" w:rsidRDefault="00E65169" w:rsidP="00525028">
      <w:pPr>
        <w:pStyle w:val="EndnoteText"/>
        <w:rPr>
          <w:sz w:val="16"/>
          <w:szCs w:val="16"/>
        </w:rPr>
      </w:pPr>
      <w:r w:rsidRPr="00535B1F">
        <w:rPr>
          <w:rStyle w:val="EndnoteReference"/>
          <w:sz w:val="16"/>
          <w:szCs w:val="16"/>
        </w:rPr>
        <w:endnoteRef/>
      </w:r>
      <w:r w:rsidRPr="00535B1F">
        <w:rPr>
          <w:sz w:val="16"/>
          <w:szCs w:val="16"/>
        </w:rPr>
        <w:t xml:space="preserve"> Stuart EA (2010) </w:t>
      </w:r>
      <w:r w:rsidR="00280A0E">
        <w:rPr>
          <w:sz w:val="16"/>
          <w:szCs w:val="16"/>
        </w:rPr>
        <w:t>‘</w:t>
      </w:r>
      <w:r w:rsidRPr="00535B1F">
        <w:rPr>
          <w:sz w:val="16"/>
          <w:szCs w:val="16"/>
        </w:rPr>
        <w:t>Matching methods for causal inference: A review and a look forward</w:t>
      </w:r>
      <w:r w:rsidR="00280A0E">
        <w:rPr>
          <w:sz w:val="16"/>
          <w:szCs w:val="16"/>
        </w:rPr>
        <w:t>’,</w:t>
      </w:r>
      <w:r w:rsidRPr="00535B1F">
        <w:rPr>
          <w:sz w:val="16"/>
          <w:szCs w:val="16"/>
        </w:rPr>
        <w:t xml:space="preserve"> </w:t>
      </w:r>
      <w:r w:rsidRPr="00280A0E">
        <w:rPr>
          <w:i/>
          <w:iCs/>
          <w:sz w:val="16"/>
          <w:szCs w:val="16"/>
        </w:rPr>
        <w:t xml:space="preserve">Statistical science: a review journal of the Institute of Mathematical Statistics, </w:t>
      </w:r>
      <w:r w:rsidRPr="00535B1F">
        <w:rPr>
          <w:sz w:val="16"/>
          <w:szCs w:val="16"/>
        </w:rPr>
        <w:t>25(1), 1.</w:t>
      </w:r>
    </w:p>
  </w:endnote>
  <w:endnote w:id="17">
    <w:p w14:paraId="67FDEE38" w14:textId="23CB9ABF" w:rsidR="00E65169" w:rsidRPr="00535B1F" w:rsidRDefault="00E65169" w:rsidP="00525028">
      <w:pPr>
        <w:pStyle w:val="EndnoteText"/>
        <w:rPr>
          <w:sz w:val="16"/>
          <w:szCs w:val="16"/>
        </w:rPr>
      </w:pPr>
      <w:r w:rsidRPr="00535B1F">
        <w:rPr>
          <w:rStyle w:val="EndnoteReference"/>
          <w:sz w:val="16"/>
          <w:szCs w:val="16"/>
        </w:rPr>
        <w:endnoteRef/>
      </w:r>
      <w:r w:rsidRPr="00535B1F">
        <w:rPr>
          <w:sz w:val="16"/>
          <w:szCs w:val="16"/>
        </w:rPr>
        <w:t xml:space="preserve"> Rubin DB (1974) </w:t>
      </w:r>
      <w:r w:rsidR="00280A0E">
        <w:rPr>
          <w:sz w:val="16"/>
          <w:szCs w:val="16"/>
        </w:rPr>
        <w:t>‘</w:t>
      </w:r>
      <w:r w:rsidRPr="00535B1F">
        <w:rPr>
          <w:sz w:val="16"/>
          <w:szCs w:val="16"/>
        </w:rPr>
        <w:t>Estimating causal effects of treatments in randomized and nonrandomized studies</w:t>
      </w:r>
      <w:r w:rsidR="00280A0E">
        <w:rPr>
          <w:sz w:val="16"/>
          <w:szCs w:val="16"/>
        </w:rPr>
        <w:t>’,</w:t>
      </w:r>
      <w:r w:rsidRPr="00535B1F">
        <w:rPr>
          <w:sz w:val="16"/>
          <w:szCs w:val="16"/>
        </w:rPr>
        <w:t xml:space="preserve"> </w:t>
      </w:r>
      <w:r w:rsidRPr="00280A0E">
        <w:rPr>
          <w:i/>
          <w:iCs/>
          <w:sz w:val="16"/>
          <w:szCs w:val="16"/>
        </w:rPr>
        <w:t>Journal of educational Psychology</w:t>
      </w:r>
      <w:r w:rsidRPr="00535B1F">
        <w:rPr>
          <w:sz w:val="16"/>
          <w:szCs w:val="16"/>
        </w:rPr>
        <w:t>, 66(5), 688.</w:t>
      </w:r>
    </w:p>
  </w:endnote>
  <w:endnote w:id="18">
    <w:p w14:paraId="13A8D1B5" w14:textId="7FA955F7" w:rsidR="00E65169" w:rsidRPr="00535B1F" w:rsidRDefault="00E65169" w:rsidP="00525028">
      <w:pPr>
        <w:pStyle w:val="EndnoteText"/>
        <w:rPr>
          <w:sz w:val="16"/>
          <w:szCs w:val="16"/>
        </w:rPr>
      </w:pPr>
      <w:r w:rsidRPr="00535B1F">
        <w:rPr>
          <w:rStyle w:val="EndnoteReference"/>
          <w:sz w:val="16"/>
          <w:szCs w:val="16"/>
        </w:rPr>
        <w:endnoteRef/>
      </w:r>
      <w:r w:rsidRPr="00535B1F">
        <w:rPr>
          <w:sz w:val="16"/>
          <w:szCs w:val="16"/>
        </w:rPr>
        <w:t xml:space="preserve"> Iacus SM, King G </w:t>
      </w:r>
      <w:r w:rsidR="00280A0E">
        <w:rPr>
          <w:sz w:val="16"/>
          <w:szCs w:val="16"/>
        </w:rPr>
        <w:t>and</w:t>
      </w:r>
      <w:r w:rsidRPr="00535B1F">
        <w:rPr>
          <w:sz w:val="16"/>
          <w:szCs w:val="16"/>
        </w:rPr>
        <w:t xml:space="preserve"> Porro G (2012) </w:t>
      </w:r>
      <w:r w:rsidR="00280A0E">
        <w:rPr>
          <w:sz w:val="16"/>
          <w:szCs w:val="16"/>
        </w:rPr>
        <w:t>‘</w:t>
      </w:r>
      <w:r w:rsidRPr="00535B1F">
        <w:rPr>
          <w:sz w:val="16"/>
          <w:szCs w:val="16"/>
        </w:rPr>
        <w:t>Causal inference without balance checking: Coarsened exact matching</w:t>
      </w:r>
      <w:r w:rsidR="00280A0E">
        <w:rPr>
          <w:sz w:val="16"/>
          <w:szCs w:val="16"/>
        </w:rPr>
        <w:t>’,</w:t>
      </w:r>
      <w:r w:rsidRPr="00535B1F">
        <w:rPr>
          <w:sz w:val="16"/>
          <w:szCs w:val="16"/>
        </w:rPr>
        <w:t xml:space="preserve"> </w:t>
      </w:r>
      <w:r w:rsidRPr="00535B1F">
        <w:rPr>
          <w:i/>
          <w:iCs/>
          <w:sz w:val="16"/>
          <w:szCs w:val="16"/>
        </w:rPr>
        <w:t>Political analysis</w:t>
      </w:r>
      <w:r w:rsidRPr="00535B1F">
        <w:rPr>
          <w:sz w:val="16"/>
          <w:szCs w:val="16"/>
        </w:rPr>
        <w:t xml:space="preserve">, </w:t>
      </w:r>
      <w:r w:rsidRPr="00535B1F">
        <w:rPr>
          <w:i/>
          <w:iCs/>
          <w:sz w:val="16"/>
          <w:szCs w:val="16"/>
        </w:rPr>
        <w:t>20</w:t>
      </w:r>
      <w:r w:rsidRPr="00535B1F">
        <w:rPr>
          <w:sz w:val="16"/>
          <w:szCs w:val="16"/>
        </w:rPr>
        <w:t>(1), 1-24.</w:t>
      </w:r>
    </w:p>
  </w:endnote>
  <w:endnote w:id="19">
    <w:p w14:paraId="4E81CDCB" w14:textId="1E53D50D" w:rsidR="00E65169" w:rsidRPr="00535B1F" w:rsidRDefault="00E65169" w:rsidP="00525028">
      <w:pPr>
        <w:pStyle w:val="EndnoteText"/>
        <w:rPr>
          <w:sz w:val="16"/>
          <w:szCs w:val="16"/>
        </w:rPr>
      </w:pPr>
      <w:r w:rsidRPr="00535B1F">
        <w:rPr>
          <w:rStyle w:val="EndnoteReference"/>
          <w:sz w:val="16"/>
          <w:szCs w:val="16"/>
        </w:rPr>
        <w:endnoteRef/>
      </w:r>
      <w:r w:rsidRPr="00535B1F">
        <w:rPr>
          <w:sz w:val="16"/>
          <w:szCs w:val="16"/>
        </w:rPr>
        <w:t xml:space="preserve"> </w:t>
      </w:r>
      <w:r w:rsidRPr="00535B1F">
        <w:rPr>
          <w:bCs/>
          <w:sz w:val="16"/>
          <w:szCs w:val="16"/>
        </w:rPr>
        <w:t xml:space="preserve">Hernán MA, Robins JM (2020) </w:t>
      </w:r>
      <w:r w:rsidRPr="00280A0E">
        <w:rPr>
          <w:bCs/>
          <w:i/>
          <w:iCs/>
          <w:sz w:val="16"/>
          <w:szCs w:val="16"/>
        </w:rPr>
        <w:t>Causal Inference: What If</w:t>
      </w:r>
      <w:r w:rsidRPr="00535B1F">
        <w:rPr>
          <w:bCs/>
          <w:sz w:val="16"/>
          <w:szCs w:val="16"/>
        </w:rPr>
        <w:t>. Boca Raton: Chapman &amp; Hall/CRC.</w:t>
      </w:r>
    </w:p>
  </w:endnote>
  <w:endnote w:id="20">
    <w:p w14:paraId="64C0B1B2" w14:textId="6399251C" w:rsidR="00E65169" w:rsidRPr="00535B1F" w:rsidRDefault="00E65169" w:rsidP="00525028">
      <w:pPr>
        <w:pStyle w:val="EndnoteText"/>
        <w:rPr>
          <w:sz w:val="16"/>
          <w:szCs w:val="16"/>
        </w:rPr>
      </w:pPr>
      <w:r w:rsidRPr="00535B1F">
        <w:rPr>
          <w:rStyle w:val="EndnoteReference"/>
          <w:sz w:val="16"/>
          <w:szCs w:val="16"/>
        </w:rPr>
        <w:endnoteRef/>
      </w:r>
      <w:r w:rsidRPr="00535B1F">
        <w:rPr>
          <w:sz w:val="16"/>
          <w:szCs w:val="16"/>
        </w:rPr>
        <w:t xml:space="preserve"> Cummings, P (2009) </w:t>
      </w:r>
      <w:r w:rsidR="00280A0E">
        <w:rPr>
          <w:sz w:val="16"/>
          <w:szCs w:val="16"/>
        </w:rPr>
        <w:t>‘</w:t>
      </w:r>
      <w:r w:rsidRPr="00535B1F">
        <w:rPr>
          <w:sz w:val="16"/>
          <w:szCs w:val="16"/>
        </w:rPr>
        <w:t>Methods for estimating adjusted risk ratios</w:t>
      </w:r>
      <w:r w:rsidR="00280A0E">
        <w:rPr>
          <w:sz w:val="16"/>
          <w:szCs w:val="16"/>
        </w:rPr>
        <w:t>’,</w:t>
      </w:r>
      <w:r w:rsidRPr="00535B1F">
        <w:rPr>
          <w:sz w:val="16"/>
          <w:szCs w:val="16"/>
        </w:rPr>
        <w:t xml:space="preserve"> </w:t>
      </w:r>
      <w:r w:rsidRPr="00535B1F">
        <w:rPr>
          <w:i/>
          <w:iCs/>
          <w:sz w:val="16"/>
          <w:szCs w:val="16"/>
        </w:rPr>
        <w:t>The Stata Journal</w:t>
      </w:r>
      <w:r w:rsidRPr="00535B1F">
        <w:rPr>
          <w:sz w:val="16"/>
          <w:szCs w:val="16"/>
        </w:rPr>
        <w:t xml:space="preserve">, </w:t>
      </w:r>
      <w:r w:rsidRPr="00535B1F">
        <w:rPr>
          <w:i/>
          <w:iCs/>
          <w:sz w:val="16"/>
          <w:szCs w:val="16"/>
        </w:rPr>
        <w:t>9</w:t>
      </w:r>
      <w:r w:rsidRPr="00535B1F">
        <w:rPr>
          <w:sz w:val="16"/>
          <w:szCs w:val="16"/>
        </w:rPr>
        <w:t>(2), 175-196.</w:t>
      </w:r>
    </w:p>
  </w:endnote>
  <w:endnote w:id="21">
    <w:p w14:paraId="4F6DE868" w14:textId="7F96F188" w:rsidR="00E65169" w:rsidRPr="00535B1F" w:rsidRDefault="00E65169" w:rsidP="00525028">
      <w:pPr>
        <w:pStyle w:val="EndnoteText"/>
        <w:rPr>
          <w:sz w:val="16"/>
          <w:szCs w:val="16"/>
        </w:rPr>
      </w:pPr>
      <w:r w:rsidRPr="00535B1F">
        <w:rPr>
          <w:rStyle w:val="EndnoteReference"/>
          <w:sz w:val="16"/>
          <w:szCs w:val="16"/>
        </w:rPr>
        <w:endnoteRef/>
      </w:r>
      <w:r w:rsidRPr="00535B1F">
        <w:rPr>
          <w:sz w:val="16"/>
          <w:szCs w:val="16"/>
        </w:rPr>
        <w:t xml:space="preserve"> Xu S, Ross C, Raebel MA, Shetterly S, Blanchette C, </w:t>
      </w:r>
      <w:r w:rsidR="00280A0E">
        <w:rPr>
          <w:sz w:val="16"/>
          <w:szCs w:val="16"/>
        </w:rPr>
        <w:t>and</w:t>
      </w:r>
      <w:r w:rsidRPr="00535B1F">
        <w:rPr>
          <w:sz w:val="16"/>
          <w:szCs w:val="16"/>
        </w:rPr>
        <w:t xml:space="preserve"> Smith D (2010) </w:t>
      </w:r>
      <w:r w:rsidR="00280A0E">
        <w:rPr>
          <w:sz w:val="16"/>
          <w:szCs w:val="16"/>
        </w:rPr>
        <w:t>‘</w:t>
      </w:r>
      <w:r w:rsidRPr="00535B1F">
        <w:rPr>
          <w:sz w:val="16"/>
          <w:szCs w:val="16"/>
        </w:rPr>
        <w:t>Use of stabilized inverse propensity scores as weights to directly estimate relative risk and its confidence intervals</w:t>
      </w:r>
      <w:r w:rsidR="00280A0E">
        <w:rPr>
          <w:sz w:val="16"/>
          <w:szCs w:val="16"/>
        </w:rPr>
        <w:t>’,</w:t>
      </w:r>
      <w:r w:rsidRPr="00535B1F">
        <w:rPr>
          <w:sz w:val="16"/>
          <w:szCs w:val="16"/>
        </w:rPr>
        <w:t> </w:t>
      </w:r>
      <w:r w:rsidRPr="00535B1F">
        <w:rPr>
          <w:i/>
          <w:iCs/>
          <w:sz w:val="16"/>
          <w:szCs w:val="16"/>
        </w:rPr>
        <w:t>Value in Health</w:t>
      </w:r>
      <w:r w:rsidRPr="00535B1F">
        <w:rPr>
          <w:sz w:val="16"/>
          <w:szCs w:val="16"/>
        </w:rPr>
        <w:t>, </w:t>
      </w:r>
      <w:r w:rsidRPr="00535B1F">
        <w:rPr>
          <w:i/>
          <w:iCs/>
          <w:sz w:val="16"/>
          <w:szCs w:val="16"/>
        </w:rPr>
        <w:t>13</w:t>
      </w:r>
      <w:r w:rsidRPr="00535B1F">
        <w:rPr>
          <w:sz w:val="16"/>
          <w:szCs w:val="16"/>
        </w:rPr>
        <w:t>(2), 273-277.</w:t>
      </w:r>
    </w:p>
  </w:endnote>
  <w:endnote w:id="22">
    <w:p w14:paraId="50F06034" w14:textId="0FBE24C8" w:rsidR="00E65169" w:rsidRPr="00535B1F" w:rsidRDefault="00E65169">
      <w:pPr>
        <w:pStyle w:val="EndnoteText"/>
        <w:rPr>
          <w:sz w:val="16"/>
          <w:szCs w:val="16"/>
        </w:rPr>
      </w:pPr>
      <w:r w:rsidRPr="00535B1F">
        <w:rPr>
          <w:rStyle w:val="EndnoteReference"/>
          <w:sz w:val="16"/>
          <w:szCs w:val="16"/>
        </w:rPr>
        <w:endnoteRef/>
      </w:r>
      <w:r w:rsidRPr="00535B1F">
        <w:rPr>
          <w:sz w:val="16"/>
          <w:szCs w:val="16"/>
        </w:rPr>
        <w:t xml:space="preserve"> Tibshirani</w:t>
      </w:r>
      <w:r w:rsidR="00280A0E">
        <w:rPr>
          <w:sz w:val="16"/>
          <w:szCs w:val="16"/>
        </w:rPr>
        <w:t xml:space="preserve"> J</w:t>
      </w:r>
      <w:r w:rsidRPr="00535B1F">
        <w:rPr>
          <w:sz w:val="16"/>
          <w:szCs w:val="16"/>
        </w:rPr>
        <w:t>, Athey</w:t>
      </w:r>
      <w:r w:rsidR="00280A0E">
        <w:rPr>
          <w:sz w:val="16"/>
          <w:szCs w:val="16"/>
        </w:rPr>
        <w:t xml:space="preserve"> S</w:t>
      </w:r>
      <w:r w:rsidRPr="00535B1F">
        <w:rPr>
          <w:sz w:val="16"/>
          <w:szCs w:val="16"/>
        </w:rPr>
        <w:t xml:space="preserve"> and Wager</w:t>
      </w:r>
      <w:r w:rsidR="00280A0E">
        <w:rPr>
          <w:sz w:val="16"/>
          <w:szCs w:val="16"/>
        </w:rPr>
        <w:t xml:space="preserve"> S</w:t>
      </w:r>
      <w:r w:rsidRPr="00535B1F">
        <w:rPr>
          <w:sz w:val="16"/>
          <w:szCs w:val="16"/>
        </w:rPr>
        <w:t xml:space="preserve"> (2020</w:t>
      </w:r>
      <w:r w:rsidRPr="00C62F5E">
        <w:rPr>
          <w:i/>
          <w:iCs/>
          <w:sz w:val="16"/>
          <w:szCs w:val="16"/>
        </w:rPr>
        <w:t xml:space="preserve">) </w:t>
      </w:r>
      <w:hyperlink r:id="rId5" w:history="1">
        <w:r w:rsidRPr="00C62F5E">
          <w:rPr>
            <w:rStyle w:val="Hyperlink"/>
            <w:i/>
            <w:iCs/>
            <w:sz w:val="16"/>
            <w:szCs w:val="16"/>
          </w:rPr>
          <w:t>grf: Generalized Random Forests. R package version 1.2.0.</w:t>
        </w:r>
      </w:hyperlink>
      <w:r w:rsidRPr="00535B1F">
        <w:rPr>
          <w:sz w:val="16"/>
          <w:szCs w:val="16"/>
        </w:rPr>
        <w:t xml:space="preserve"> </w:t>
      </w:r>
    </w:p>
  </w:endnote>
  <w:endnote w:id="23">
    <w:p w14:paraId="4679C974" w14:textId="63490AB4" w:rsidR="00E65169" w:rsidRPr="00535B1F" w:rsidRDefault="00E65169" w:rsidP="00525028">
      <w:pPr>
        <w:pStyle w:val="EndnoteText"/>
        <w:rPr>
          <w:sz w:val="16"/>
          <w:szCs w:val="16"/>
        </w:rPr>
      </w:pPr>
      <w:r w:rsidRPr="00535B1F">
        <w:rPr>
          <w:rStyle w:val="EndnoteReference"/>
          <w:sz w:val="16"/>
          <w:szCs w:val="16"/>
        </w:rPr>
        <w:endnoteRef/>
      </w:r>
      <w:r w:rsidRPr="00535B1F">
        <w:rPr>
          <w:sz w:val="16"/>
          <w:szCs w:val="16"/>
        </w:rPr>
        <w:t xml:space="preserve"> A</w:t>
      </w:r>
      <w:r w:rsidR="00C62F5E">
        <w:rPr>
          <w:sz w:val="16"/>
          <w:szCs w:val="16"/>
        </w:rPr>
        <w:t>BS (A</w:t>
      </w:r>
      <w:r w:rsidRPr="00535B1F">
        <w:rPr>
          <w:sz w:val="16"/>
          <w:szCs w:val="16"/>
        </w:rPr>
        <w:t>ustralian Bureau of Statistics</w:t>
      </w:r>
      <w:r w:rsidR="00C62F5E">
        <w:rPr>
          <w:sz w:val="16"/>
          <w:szCs w:val="16"/>
        </w:rPr>
        <w:t>)</w:t>
      </w:r>
      <w:r w:rsidRPr="00535B1F">
        <w:rPr>
          <w:sz w:val="16"/>
          <w:szCs w:val="16"/>
        </w:rPr>
        <w:t xml:space="preserve"> (2014) </w:t>
      </w:r>
      <w:hyperlink r:id="rId6" w:history="1">
        <w:r w:rsidRPr="00C62F5E">
          <w:rPr>
            <w:rStyle w:val="Hyperlink"/>
            <w:i/>
            <w:iCs/>
            <w:sz w:val="16"/>
            <w:szCs w:val="16"/>
          </w:rPr>
          <w:t>Statistics</w:t>
        </w:r>
      </w:hyperlink>
      <w:r w:rsidRPr="00535B1F">
        <w:rPr>
          <w:sz w:val="16"/>
          <w:szCs w:val="16"/>
        </w:rPr>
        <w:t xml:space="preserve">, </w:t>
      </w:r>
      <w:r w:rsidR="00C62F5E">
        <w:rPr>
          <w:sz w:val="16"/>
          <w:szCs w:val="16"/>
        </w:rPr>
        <w:t xml:space="preserve">ABS, </w:t>
      </w:r>
      <w:r w:rsidRPr="00535B1F">
        <w:rPr>
          <w:sz w:val="16"/>
          <w:szCs w:val="16"/>
        </w:rPr>
        <w:t>Accessed 20 March 2020</w:t>
      </w:r>
      <w:r w:rsidR="00C62F5E">
        <w:rPr>
          <w:sz w:val="16"/>
          <w:szCs w:val="16"/>
        </w:rPr>
        <w:t>.</w:t>
      </w:r>
    </w:p>
  </w:endnote>
  <w:endnote w:id="24">
    <w:p w14:paraId="493241A7" w14:textId="7DE7F20F" w:rsidR="00E65169" w:rsidRPr="00535B1F" w:rsidRDefault="00E65169" w:rsidP="00525028">
      <w:pPr>
        <w:pStyle w:val="EndnoteText"/>
        <w:rPr>
          <w:sz w:val="16"/>
          <w:szCs w:val="16"/>
        </w:rPr>
      </w:pPr>
      <w:r w:rsidRPr="00535B1F">
        <w:rPr>
          <w:rStyle w:val="EndnoteReference"/>
          <w:sz w:val="16"/>
          <w:szCs w:val="16"/>
        </w:rPr>
        <w:endnoteRef/>
      </w:r>
      <w:r w:rsidRPr="00535B1F">
        <w:rPr>
          <w:sz w:val="16"/>
          <w:szCs w:val="16"/>
        </w:rPr>
        <w:t xml:space="preserve"> Australian Government Department of Education, Skills and Employment (2020) </w:t>
      </w:r>
      <w:hyperlink r:id="rId7" w:history="1">
        <w:r w:rsidRPr="00B61B49">
          <w:rPr>
            <w:rStyle w:val="Hyperlink"/>
            <w:i/>
            <w:iCs/>
            <w:sz w:val="16"/>
            <w:szCs w:val="16"/>
          </w:rPr>
          <w:t>Equivalent Full-Time Student Load (EFTSL)</w:t>
        </w:r>
      </w:hyperlink>
      <w:r w:rsidRPr="00535B1F">
        <w:rPr>
          <w:sz w:val="16"/>
          <w:szCs w:val="16"/>
        </w:rPr>
        <w:t xml:space="preserve">, </w:t>
      </w:r>
      <w:r w:rsidR="00C62F5E">
        <w:rPr>
          <w:sz w:val="16"/>
          <w:szCs w:val="16"/>
        </w:rPr>
        <w:t xml:space="preserve">Department of Education, Skills and Employment, </w:t>
      </w:r>
      <w:r w:rsidRPr="00535B1F">
        <w:rPr>
          <w:sz w:val="16"/>
          <w:szCs w:val="16"/>
        </w:rPr>
        <w:t>Accessed 20 March 2020</w:t>
      </w:r>
      <w:r w:rsidR="00C62F5E">
        <w:rPr>
          <w:sz w:val="16"/>
          <w:szCs w:val="16"/>
        </w:rPr>
        <w:t>.</w:t>
      </w:r>
    </w:p>
  </w:endnote>
  <w:endnote w:id="25">
    <w:p w14:paraId="280D8DB1" w14:textId="0E7BB52A" w:rsidR="00E65169" w:rsidRPr="00535B1F" w:rsidRDefault="00E65169" w:rsidP="00525028">
      <w:pPr>
        <w:pStyle w:val="EndnoteText"/>
        <w:rPr>
          <w:sz w:val="16"/>
          <w:szCs w:val="16"/>
        </w:rPr>
      </w:pPr>
      <w:r w:rsidRPr="00535B1F">
        <w:rPr>
          <w:rStyle w:val="EndnoteReference"/>
          <w:sz w:val="16"/>
          <w:szCs w:val="16"/>
        </w:rPr>
        <w:endnoteRef/>
      </w:r>
      <w:r w:rsidRPr="00535B1F">
        <w:rPr>
          <w:sz w:val="16"/>
          <w:szCs w:val="16"/>
        </w:rPr>
        <w:t xml:space="preserve"> Australian Government Department of Education, Skills and Employment (2020) </w:t>
      </w:r>
      <w:hyperlink r:id="rId8" w:history="1">
        <w:r w:rsidRPr="001C7D91">
          <w:rPr>
            <w:rStyle w:val="Hyperlink"/>
            <w:i/>
            <w:iCs/>
            <w:sz w:val="16"/>
            <w:szCs w:val="16"/>
          </w:rPr>
          <w:t>Field of education code</w:t>
        </w:r>
      </w:hyperlink>
      <w:r w:rsidR="001C7D91" w:rsidRPr="001C7D91">
        <w:rPr>
          <w:sz w:val="16"/>
          <w:szCs w:val="16"/>
        </w:rPr>
        <w:t xml:space="preserve">, </w:t>
      </w:r>
      <w:r w:rsidR="00A40781" w:rsidRPr="001C7D91">
        <w:rPr>
          <w:sz w:val="16"/>
          <w:szCs w:val="16"/>
        </w:rPr>
        <w:t>Department</w:t>
      </w:r>
      <w:r w:rsidR="001C7D91" w:rsidRPr="001C7D91">
        <w:rPr>
          <w:sz w:val="16"/>
          <w:szCs w:val="16"/>
        </w:rPr>
        <w:t xml:space="preserve"> of Education, Skills and Employment, </w:t>
      </w:r>
      <w:r w:rsidRPr="001C7D91">
        <w:rPr>
          <w:sz w:val="16"/>
          <w:szCs w:val="16"/>
        </w:rPr>
        <w:t>Accessed 20 March 2020</w:t>
      </w:r>
      <w:r w:rsidR="001C7D91" w:rsidRPr="001C7D91">
        <w:rPr>
          <w:sz w:val="16"/>
          <w:szCs w:val="16"/>
        </w:rPr>
        <w:t>.</w:t>
      </w:r>
    </w:p>
  </w:endnote>
  <w:endnote w:id="26">
    <w:p w14:paraId="2B0199F7" w14:textId="518F4CA4" w:rsidR="00E65169" w:rsidRPr="00535B1F" w:rsidRDefault="00E65169" w:rsidP="00525028">
      <w:pPr>
        <w:pStyle w:val="EndnoteText"/>
        <w:rPr>
          <w:sz w:val="16"/>
          <w:szCs w:val="16"/>
        </w:rPr>
      </w:pPr>
      <w:r w:rsidRPr="00535B1F">
        <w:rPr>
          <w:rStyle w:val="EndnoteReference"/>
          <w:sz w:val="16"/>
          <w:szCs w:val="16"/>
        </w:rPr>
        <w:endnoteRef/>
      </w:r>
      <w:r w:rsidRPr="00535B1F">
        <w:rPr>
          <w:sz w:val="16"/>
          <w:szCs w:val="16"/>
        </w:rPr>
        <w:t xml:space="preserve"> Australian Government Department of Education, Skills and Employment (2020) </w:t>
      </w:r>
      <w:hyperlink r:id="rId9" w:history="1">
        <w:r w:rsidRPr="00A40781">
          <w:rPr>
            <w:rStyle w:val="Hyperlink"/>
            <w:i/>
            <w:iCs/>
            <w:sz w:val="16"/>
            <w:szCs w:val="16"/>
          </w:rPr>
          <w:t>Determine your provider type</w:t>
        </w:r>
      </w:hyperlink>
      <w:r w:rsidR="00A40781">
        <w:rPr>
          <w:sz w:val="16"/>
          <w:szCs w:val="16"/>
        </w:rPr>
        <w:t xml:space="preserve">, Department of education, Skills and Employment, </w:t>
      </w:r>
      <w:r w:rsidRPr="00535B1F">
        <w:rPr>
          <w:sz w:val="16"/>
          <w:szCs w:val="16"/>
        </w:rPr>
        <w:t>Accessed 20 March 2020</w:t>
      </w:r>
      <w:r w:rsidR="00A40781">
        <w:rPr>
          <w:sz w:val="16"/>
          <w:szCs w:val="16"/>
        </w:rPr>
        <w:t>.</w:t>
      </w:r>
    </w:p>
  </w:endnote>
  <w:endnote w:id="27">
    <w:p w14:paraId="777C6A53" w14:textId="26DF01FE" w:rsidR="00E65169" w:rsidRPr="00535B1F" w:rsidRDefault="00E65169" w:rsidP="00525028">
      <w:pPr>
        <w:pStyle w:val="EndnoteText"/>
        <w:rPr>
          <w:sz w:val="16"/>
          <w:szCs w:val="16"/>
        </w:rPr>
      </w:pPr>
      <w:r w:rsidRPr="00535B1F">
        <w:rPr>
          <w:rStyle w:val="EndnoteReference"/>
          <w:sz w:val="16"/>
          <w:szCs w:val="16"/>
        </w:rPr>
        <w:endnoteRef/>
      </w:r>
      <w:r w:rsidRPr="00535B1F">
        <w:rPr>
          <w:sz w:val="16"/>
          <w:szCs w:val="16"/>
        </w:rPr>
        <w:t xml:space="preserve"> A</w:t>
      </w:r>
      <w:r w:rsidR="00A40781">
        <w:rPr>
          <w:sz w:val="16"/>
          <w:szCs w:val="16"/>
        </w:rPr>
        <w:t>BS (A</w:t>
      </w:r>
      <w:r w:rsidRPr="00535B1F">
        <w:rPr>
          <w:sz w:val="16"/>
          <w:szCs w:val="16"/>
        </w:rPr>
        <w:t>ustralian Bureau of Statistics</w:t>
      </w:r>
      <w:r w:rsidR="00A40781">
        <w:rPr>
          <w:sz w:val="16"/>
          <w:szCs w:val="16"/>
        </w:rPr>
        <w:t>)</w:t>
      </w:r>
      <w:r w:rsidRPr="00535B1F">
        <w:rPr>
          <w:sz w:val="16"/>
          <w:szCs w:val="16"/>
        </w:rPr>
        <w:t xml:space="preserve"> (2018) </w:t>
      </w:r>
      <w:hyperlink r:id="rId10" w:history="1">
        <w:r w:rsidRPr="00837C8E">
          <w:rPr>
            <w:rStyle w:val="Hyperlink"/>
            <w:i/>
            <w:iCs/>
            <w:sz w:val="16"/>
            <w:szCs w:val="16"/>
          </w:rPr>
          <w:t>Government Benefits, Taxes and Household Income</w:t>
        </w:r>
      </w:hyperlink>
      <w:r w:rsidR="00A40781">
        <w:rPr>
          <w:sz w:val="16"/>
          <w:szCs w:val="16"/>
        </w:rPr>
        <w:t xml:space="preserve">, ABS, </w:t>
      </w:r>
      <w:r w:rsidRPr="00535B1F">
        <w:rPr>
          <w:sz w:val="16"/>
          <w:szCs w:val="16"/>
        </w:rPr>
        <w:t>Accessed 20 March 2020</w:t>
      </w:r>
      <w:r w:rsidR="00A40781">
        <w:rPr>
          <w:sz w:val="16"/>
          <w:szCs w:val="16"/>
        </w:rPr>
        <w:t>.</w:t>
      </w:r>
    </w:p>
  </w:endnote>
  <w:endnote w:id="28">
    <w:p w14:paraId="7B07EAEF" w14:textId="41C297A0" w:rsidR="00E65169" w:rsidRPr="00535B1F" w:rsidRDefault="00E65169" w:rsidP="00525028">
      <w:pPr>
        <w:pStyle w:val="EndnoteText"/>
        <w:rPr>
          <w:sz w:val="16"/>
          <w:szCs w:val="16"/>
        </w:rPr>
      </w:pPr>
      <w:r w:rsidRPr="00535B1F">
        <w:rPr>
          <w:rStyle w:val="EndnoteReference"/>
          <w:sz w:val="16"/>
          <w:szCs w:val="16"/>
        </w:rPr>
        <w:endnoteRef/>
      </w:r>
      <w:r w:rsidRPr="00535B1F">
        <w:rPr>
          <w:sz w:val="16"/>
          <w:szCs w:val="16"/>
        </w:rPr>
        <w:t xml:space="preserve"> Services Australia (2020) </w:t>
      </w:r>
      <w:hyperlink r:id="rId11" w:history="1">
        <w:r w:rsidRPr="00837C8E">
          <w:rPr>
            <w:rStyle w:val="Hyperlink"/>
            <w:i/>
            <w:iCs/>
            <w:sz w:val="16"/>
            <w:szCs w:val="16"/>
          </w:rPr>
          <w:t>Payments for students and trainees</w:t>
        </w:r>
      </w:hyperlink>
      <w:r w:rsidR="00E25907">
        <w:rPr>
          <w:sz w:val="16"/>
          <w:szCs w:val="16"/>
        </w:rPr>
        <w:t xml:space="preserve">, Services Australia, </w:t>
      </w:r>
      <w:r w:rsidRPr="00535B1F">
        <w:rPr>
          <w:sz w:val="16"/>
          <w:szCs w:val="16"/>
        </w:rPr>
        <w:t>Accessed 28 April 2020</w:t>
      </w:r>
      <w:r w:rsidR="00E25907">
        <w:rPr>
          <w:sz w:val="16"/>
          <w:szCs w:val="16"/>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E231FD" w14:textId="77777777" w:rsidR="00E65169" w:rsidRDefault="00E65169" w:rsidP="0051352E">
      <w:pPr>
        <w:spacing w:after="0" w:line="240" w:lineRule="auto"/>
      </w:pPr>
      <w:r>
        <w:separator/>
      </w:r>
    </w:p>
  </w:footnote>
  <w:footnote w:type="continuationSeparator" w:id="0">
    <w:p w14:paraId="279DA91F" w14:textId="77777777" w:rsidR="00E65169" w:rsidRDefault="00E65169" w:rsidP="0051352E">
      <w:pPr>
        <w:spacing w:after="0" w:line="240" w:lineRule="auto"/>
      </w:pPr>
      <w:r>
        <w:continuationSeparator/>
      </w:r>
    </w:p>
  </w:footnote>
  <w:footnote w:id="1">
    <w:p w14:paraId="4E5DA35B" w14:textId="716E4844" w:rsidR="00E65169" w:rsidRPr="00535B1F" w:rsidRDefault="00E65169">
      <w:pPr>
        <w:pStyle w:val="FootnoteText"/>
        <w:rPr>
          <w:sz w:val="16"/>
          <w:szCs w:val="16"/>
        </w:rPr>
      </w:pPr>
      <w:r w:rsidRPr="00535B1F">
        <w:rPr>
          <w:rStyle w:val="FootnoteReference"/>
          <w:sz w:val="16"/>
          <w:szCs w:val="16"/>
        </w:rPr>
        <w:footnoteRef/>
      </w:r>
      <w:r w:rsidRPr="00535B1F">
        <w:rPr>
          <w:sz w:val="16"/>
          <w:szCs w:val="16"/>
        </w:rPr>
        <w:t xml:space="preserve"> </w:t>
      </w:r>
      <w:hyperlink r:id="rId1" w:history="1">
        <w:r w:rsidRPr="00535B1F">
          <w:rPr>
            <w:rStyle w:val="Hyperlink"/>
            <w:sz w:val="16"/>
            <w:szCs w:val="16"/>
          </w:rPr>
          <w:t>https://www.abs.gov.au/websitedbs/d3310114.nsf/home/statistical+data+integration+-+madip</w:t>
        </w:r>
      </w:hyperlink>
    </w:p>
  </w:footnote>
  <w:footnote w:id="2">
    <w:p w14:paraId="16CB0A69" w14:textId="4CC8E12D" w:rsidR="00E65169" w:rsidRPr="00535B1F" w:rsidRDefault="00E65169" w:rsidP="00525028">
      <w:pPr>
        <w:pStyle w:val="FootnoteText"/>
        <w:rPr>
          <w:sz w:val="16"/>
          <w:szCs w:val="16"/>
        </w:rPr>
      </w:pPr>
      <w:r w:rsidRPr="00535B1F">
        <w:rPr>
          <w:rStyle w:val="FootnoteReference"/>
          <w:sz w:val="16"/>
          <w:szCs w:val="16"/>
        </w:rPr>
        <w:footnoteRef/>
      </w:r>
      <w:r w:rsidRPr="00535B1F">
        <w:rPr>
          <w:sz w:val="16"/>
          <w:szCs w:val="16"/>
        </w:rPr>
        <w:t xml:space="preserve"> </w:t>
      </w:r>
      <w:hyperlink r:id="rId2" w:history="1">
        <w:r w:rsidRPr="00535B1F">
          <w:rPr>
            <w:rStyle w:val="Hyperlink"/>
            <w:sz w:val="16"/>
            <w:szCs w:val="16"/>
          </w:rPr>
          <w:t>https://www.pmc.gov.au/public-data/data-integration-partnership-australia</w:t>
        </w:r>
      </w:hyperlink>
    </w:p>
  </w:footnote>
  <w:footnote w:id="3">
    <w:p w14:paraId="7BC91B30" w14:textId="1F123E56" w:rsidR="00E65169" w:rsidRPr="00535B1F" w:rsidRDefault="00E65169" w:rsidP="00525028">
      <w:pPr>
        <w:pStyle w:val="FootnoteText"/>
        <w:rPr>
          <w:sz w:val="16"/>
          <w:szCs w:val="16"/>
        </w:rPr>
      </w:pPr>
      <w:r w:rsidRPr="00535B1F">
        <w:rPr>
          <w:rStyle w:val="FootnoteReference"/>
          <w:sz w:val="16"/>
          <w:szCs w:val="16"/>
        </w:rPr>
        <w:footnoteRef/>
      </w:r>
      <w:r w:rsidRPr="00535B1F">
        <w:rPr>
          <w:sz w:val="16"/>
          <w:szCs w:val="16"/>
        </w:rPr>
        <w:t xml:space="preserve"> </w:t>
      </w:r>
      <w:hyperlink r:id="rId3" w:history="1">
        <w:r w:rsidRPr="00535B1F">
          <w:rPr>
            <w:rStyle w:val="Hyperlink"/>
            <w:sz w:val="16"/>
            <w:szCs w:val="16"/>
          </w:rPr>
          <w:t>https://www.education.gov.au/transition-education-work</w:t>
        </w:r>
      </w:hyperlink>
    </w:p>
  </w:footnote>
  <w:footnote w:id="4">
    <w:p w14:paraId="6D250D4D" w14:textId="22F3F329" w:rsidR="00E65169" w:rsidRPr="00535B1F" w:rsidRDefault="00E65169" w:rsidP="00525028">
      <w:pPr>
        <w:pStyle w:val="FootnoteText"/>
        <w:rPr>
          <w:sz w:val="16"/>
          <w:szCs w:val="16"/>
        </w:rPr>
      </w:pPr>
      <w:r w:rsidRPr="00535B1F">
        <w:rPr>
          <w:rStyle w:val="FootnoteReference"/>
          <w:sz w:val="16"/>
          <w:szCs w:val="16"/>
        </w:rPr>
        <w:footnoteRef/>
      </w:r>
      <w:r w:rsidRPr="00535B1F">
        <w:rPr>
          <w:sz w:val="16"/>
          <w:szCs w:val="16"/>
        </w:rPr>
        <w:t xml:space="preserve"> </w:t>
      </w:r>
      <w:hyperlink r:id="rId4" w:history="1">
        <w:r w:rsidRPr="00535B1F">
          <w:rPr>
            <w:rStyle w:val="Hyperlink"/>
            <w:sz w:val="16"/>
            <w:szCs w:val="16"/>
          </w:rPr>
          <w:t>https://www.education.gov.au/transition-introduction</w:t>
        </w:r>
      </w:hyperlink>
    </w:p>
  </w:footnote>
  <w:footnote w:id="5">
    <w:p w14:paraId="417C2F65" w14:textId="240E18E4" w:rsidR="00E65169" w:rsidRPr="00535B1F" w:rsidRDefault="00E65169" w:rsidP="00525028">
      <w:pPr>
        <w:pStyle w:val="FootnoteText"/>
        <w:rPr>
          <w:sz w:val="16"/>
          <w:szCs w:val="16"/>
        </w:rPr>
      </w:pPr>
      <w:r w:rsidRPr="00535B1F">
        <w:rPr>
          <w:rStyle w:val="FootnoteReference"/>
          <w:sz w:val="16"/>
          <w:szCs w:val="16"/>
        </w:rPr>
        <w:footnoteRef/>
      </w:r>
      <w:r w:rsidRPr="00535B1F">
        <w:rPr>
          <w:sz w:val="16"/>
          <w:szCs w:val="16"/>
        </w:rPr>
        <w:t xml:space="preserve"> </w:t>
      </w:r>
      <w:hyperlink r:id="rId5" w:history="1">
        <w:r w:rsidRPr="00535B1F">
          <w:rPr>
            <w:rStyle w:val="Hyperlink"/>
            <w:sz w:val="16"/>
            <w:szCs w:val="16"/>
          </w:rPr>
          <w:t>https://www.education.gov.au/transition-gap-year</w:t>
        </w:r>
      </w:hyperlink>
    </w:p>
  </w:footnote>
  <w:footnote w:id="6">
    <w:p w14:paraId="5433093C" w14:textId="7F14D7EA" w:rsidR="00E65169" w:rsidRPr="00535B1F" w:rsidRDefault="00E65169" w:rsidP="00525028">
      <w:pPr>
        <w:pStyle w:val="FootnoteText"/>
        <w:rPr>
          <w:sz w:val="16"/>
          <w:szCs w:val="16"/>
        </w:rPr>
      </w:pPr>
      <w:r w:rsidRPr="00535B1F">
        <w:rPr>
          <w:rStyle w:val="FootnoteReference"/>
          <w:sz w:val="16"/>
          <w:szCs w:val="16"/>
        </w:rPr>
        <w:footnoteRef/>
      </w:r>
      <w:r w:rsidRPr="00535B1F">
        <w:rPr>
          <w:sz w:val="16"/>
          <w:szCs w:val="16"/>
        </w:rPr>
        <w:t xml:space="preserve"> </w:t>
      </w:r>
      <w:hyperlink r:id="rId6" w:history="1">
        <w:r w:rsidRPr="00535B1F">
          <w:rPr>
            <w:rStyle w:val="Hyperlink"/>
            <w:sz w:val="16"/>
            <w:szCs w:val="16"/>
          </w:rPr>
          <w:t>https://www.education.gov.au/transition-disability</w:t>
        </w:r>
      </w:hyperlink>
    </w:p>
  </w:footnote>
  <w:footnote w:id="7">
    <w:p w14:paraId="44F630F1" w14:textId="5B3343BC" w:rsidR="00E65169" w:rsidRDefault="00E65169" w:rsidP="00525028">
      <w:pPr>
        <w:pStyle w:val="FootnoteText"/>
      </w:pPr>
      <w:r w:rsidRPr="00535B1F">
        <w:rPr>
          <w:rStyle w:val="FootnoteReference"/>
          <w:sz w:val="16"/>
          <w:szCs w:val="16"/>
        </w:rPr>
        <w:footnoteRef/>
      </w:r>
      <w:r w:rsidRPr="00535B1F">
        <w:rPr>
          <w:sz w:val="16"/>
          <w:szCs w:val="16"/>
        </w:rPr>
        <w:t xml:space="preserve"> </w:t>
      </w:r>
      <w:hyperlink r:id="rId7" w:history="1">
        <w:r w:rsidRPr="00535B1F">
          <w:rPr>
            <w:rStyle w:val="Hyperlink"/>
            <w:sz w:val="16"/>
            <w:szCs w:val="16"/>
          </w:rPr>
          <w:t>https://www.education.gov.au/transition-study-assistance</w:t>
        </w:r>
      </w:hyperlink>
    </w:p>
  </w:footnote>
  <w:footnote w:id="8">
    <w:p w14:paraId="33C067D7" w14:textId="563ABB6A" w:rsidR="00E65169" w:rsidRPr="00535B1F" w:rsidRDefault="00E65169" w:rsidP="00525028">
      <w:pPr>
        <w:pStyle w:val="FootnoteText"/>
        <w:rPr>
          <w:sz w:val="16"/>
          <w:szCs w:val="16"/>
        </w:rPr>
      </w:pPr>
      <w:r w:rsidRPr="00535B1F">
        <w:rPr>
          <w:rStyle w:val="FootnoteReference"/>
          <w:sz w:val="16"/>
          <w:szCs w:val="16"/>
        </w:rPr>
        <w:footnoteRef/>
      </w:r>
      <w:r w:rsidRPr="00535B1F">
        <w:rPr>
          <w:sz w:val="16"/>
          <w:szCs w:val="16"/>
        </w:rPr>
        <w:t xml:space="preserve"> Exchangeability is an assumption in causal inference. It requires the treated and untreated populations to have some shared covariate representation so that we can emulate a randomised controlled trial.</w:t>
      </w:r>
    </w:p>
  </w:footnote>
  <w:footnote w:id="9">
    <w:p w14:paraId="775C7839" w14:textId="77777777" w:rsidR="00E65169" w:rsidRDefault="00E65169" w:rsidP="00525028">
      <w:pPr>
        <w:pStyle w:val="FootnoteText"/>
      </w:pPr>
      <w:r w:rsidRPr="00535B1F">
        <w:rPr>
          <w:rStyle w:val="FootnoteReference"/>
          <w:sz w:val="16"/>
          <w:szCs w:val="16"/>
        </w:rPr>
        <w:footnoteRef/>
      </w:r>
      <w:r w:rsidRPr="00535B1F">
        <w:rPr>
          <w:sz w:val="16"/>
          <w:szCs w:val="16"/>
        </w:rPr>
        <w:t xml:space="preserve"> A propensity score is the probability of a student being treated (i.e. receiving student payments) given their background characteristics</w:t>
      </w:r>
    </w:p>
  </w:footnote>
  <w:footnote w:id="10">
    <w:p w14:paraId="317D09BC" w14:textId="333CDF2F" w:rsidR="00E65169" w:rsidRPr="00535B1F" w:rsidRDefault="00E65169" w:rsidP="00525028">
      <w:pPr>
        <w:pStyle w:val="FootnoteText"/>
        <w:rPr>
          <w:sz w:val="16"/>
          <w:szCs w:val="16"/>
        </w:rPr>
      </w:pPr>
      <w:r w:rsidRPr="00535B1F">
        <w:rPr>
          <w:rStyle w:val="FootnoteReference"/>
          <w:sz w:val="16"/>
          <w:szCs w:val="16"/>
        </w:rPr>
        <w:footnoteRef/>
      </w:r>
      <w:r w:rsidRPr="00535B1F">
        <w:rPr>
          <w:sz w:val="16"/>
          <w:szCs w:val="16"/>
        </w:rPr>
        <w:t xml:space="preserve"> Extreme propensity scores are an issue in inverse propensity score weighting as dividing by a very small number causes a few observations being the majority representation of the whole sample.</w:t>
      </w:r>
    </w:p>
    <w:p w14:paraId="24EB41D9" w14:textId="77777777" w:rsidR="00E65169" w:rsidRDefault="00E65169" w:rsidP="00525028">
      <w:pPr>
        <w:pStyle w:val="FootnoteText"/>
      </w:pPr>
    </w:p>
  </w:footnote>
  <w:footnote w:id="11">
    <w:p w14:paraId="7049DF6C" w14:textId="77777777" w:rsidR="00E65169" w:rsidRPr="00535B1F" w:rsidRDefault="00E65169" w:rsidP="00525028">
      <w:pPr>
        <w:pStyle w:val="FootnoteText"/>
        <w:rPr>
          <w:sz w:val="16"/>
          <w:szCs w:val="16"/>
        </w:rPr>
      </w:pPr>
      <w:r w:rsidRPr="00535B1F">
        <w:rPr>
          <w:rStyle w:val="FootnoteReference"/>
          <w:sz w:val="16"/>
          <w:szCs w:val="16"/>
        </w:rPr>
        <w:footnoteRef/>
      </w:r>
      <w:r w:rsidRPr="00535B1F">
        <w:rPr>
          <w:sz w:val="16"/>
          <w:szCs w:val="16"/>
        </w:rPr>
        <w:t xml:space="preserve"> Some 2016 semester 2 completions may not be recorded until 2017 semester 1. This has likely introduced negative bias to the completion rates.</w:t>
      </w:r>
    </w:p>
  </w:footnote>
  <w:footnote w:id="12">
    <w:p w14:paraId="5D0D17E9" w14:textId="77777777" w:rsidR="00E65169" w:rsidRDefault="00E65169" w:rsidP="00525028">
      <w:pPr>
        <w:pStyle w:val="FootnoteText"/>
      </w:pPr>
      <w:r w:rsidRPr="00535B1F">
        <w:rPr>
          <w:rStyle w:val="FootnoteReference"/>
          <w:sz w:val="16"/>
          <w:szCs w:val="16"/>
        </w:rPr>
        <w:footnoteRef/>
      </w:r>
      <w:r w:rsidRPr="00535B1F">
        <w:rPr>
          <w:sz w:val="16"/>
          <w:szCs w:val="16"/>
        </w:rPr>
        <w:t xml:space="preserve"> MBS/PBS, PIT, SSRI, HEIMS, Census</w:t>
      </w:r>
    </w:p>
  </w:footnote>
  <w:footnote w:id="13">
    <w:p w14:paraId="5A5B3237" w14:textId="77777777" w:rsidR="00E65169" w:rsidRPr="00535B1F" w:rsidRDefault="00E65169" w:rsidP="00525028">
      <w:pPr>
        <w:pStyle w:val="FootnoteText"/>
        <w:rPr>
          <w:sz w:val="16"/>
          <w:szCs w:val="16"/>
        </w:rPr>
      </w:pPr>
      <w:r w:rsidRPr="00535B1F">
        <w:rPr>
          <w:rStyle w:val="FootnoteReference"/>
          <w:sz w:val="16"/>
          <w:szCs w:val="16"/>
        </w:rPr>
        <w:footnoteRef/>
      </w:r>
      <w:r w:rsidRPr="00535B1F">
        <w:rPr>
          <w:sz w:val="16"/>
          <w:szCs w:val="16"/>
        </w:rPr>
        <w:t xml:space="preserve"> ATAR is the Australian Tertiary Entrance Rank, these were rounded to integers.</w:t>
      </w:r>
    </w:p>
  </w:footnote>
  <w:footnote w:id="14">
    <w:p w14:paraId="77A24962" w14:textId="77777777" w:rsidR="00E65169" w:rsidRDefault="00E65169" w:rsidP="00525028">
      <w:pPr>
        <w:pStyle w:val="FootnoteText"/>
      </w:pPr>
      <w:r w:rsidRPr="00535B1F">
        <w:rPr>
          <w:rStyle w:val="FootnoteReference"/>
          <w:sz w:val="16"/>
          <w:szCs w:val="16"/>
        </w:rPr>
        <w:footnoteRef/>
      </w:r>
      <w:r w:rsidRPr="00535B1F">
        <w:rPr>
          <w:sz w:val="16"/>
          <w:szCs w:val="16"/>
        </w:rPr>
        <w:t xml:space="preserve"> Vocational Education and Training</w:t>
      </w:r>
    </w:p>
  </w:footnote>
  <w:footnote w:id="15">
    <w:p w14:paraId="27E639E7" w14:textId="77777777" w:rsidR="00E65169" w:rsidRPr="00535B1F" w:rsidRDefault="00E65169" w:rsidP="00525028">
      <w:pPr>
        <w:pStyle w:val="FootnoteText"/>
        <w:rPr>
          <w:sz w:val="16"/>
          <w:szCs w:val="16"/>
        </w:rPr>
      </w:pPr>
      <w:r w:rsidRPr="00535B1F">
        <w:rPr>
          <w:rStyle w:val="FootnoteReference"/>
          <w:sz w:val="16"/>
          <w:szCs w:val="16"/>
        </w:rPr>
        <w:footnoteRef/>
      </w:r>
      <w:r w:rsidRPr="00535B1F">
        <w:rPr>
          <w:sz w:val="16"/>
          <w:szCs w:val="16"/>
        </w:rPr>
        <w:t xml:space="preserve"> Some honours graduates are reported as finishing the same degree twice in consecutive years</w:t>
      </w:r>
    </w:p>
  </w:footnote>
  <w:footnote w:id="16">
    <w:p w14:paraId="46480BCA" w14:textId="77777777" w:rsidR="00E65169" w:rsidRDefault="00E65169" w:rsidP="00525028">
      <w:pPr>
        <w:pStyle w:val="FootnoteText"/>
      </w:pPr>
      <w:r w:rsidRPr="00535B1F">
        <w:rPr>
          <w:rStyle w:val="FootnoteReference"/>
          <w:sz w:val="16"/>
          <w:szCs w:val="16"/>
        </w:rPr>
        <w:footnoteRef/>
      </w:r>
      <w:r w:rsidRPr="00535B1F">
        <w:rPr>
          <w:sz w:val="16"/>
          <w:szCs w:val="16"/>
        </w:rPr>
        <w:t xml:space="preserve"> Only data from 2013 – 2016 was available </w:t>
      </w:r>
    </w:p>
  </w:footnote>
  <w:footnote w:id="17">
    <w:p w14:paraId="792F8800" w14:textId="75A09E16" w:rsidR="00E65169" w:rsidRDefault="00E65169">
      <w:pPr>
        <w:pStyle w:val="FootnoteText"/>
      </w:pPr>
      <w:r w:rsidRPr="00535B1F">
        <w:rPr>
          <w:rStyle w:val="FootnoteReference"/>
          <w:sz w:val="16"/>
          <w:szCs w:val="16"/>
        </w:rPr>
        <w:footnoteRef/>
      </w:r>
      <w:r w:rsidRPr="00535B1F">
        <w:rPr>
          <w:sz w:val="16"/>
          <w:szCs w:val="16"/>
        </w:rPr>
        <w:t xml:space="preserve"> Mental and chronic health flags share Group E services (Other allied health providers).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796C2" w14:textId="1B895CF0" w:rsidR="00E65169" w:rsidRDefault="00E65169">
    <w:pPr>
      <w:pStyle w:val="Header"/>
    </w:pPr>
    <w:r>
      <w:ptab w:relativeTo="margin" w:alignment="right" w:leader="none"/>
    </w:r>
    <w:r w:rsidR="007B70A8">
      <w:t>Completing Higher Education</w:t>
    </w:r>
    <w:r>
      <w:t xml:space="preserve"> – Methodology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112B7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8A01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0EA93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4A068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1F6E9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9410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F82EB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04C9A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BB7012"/>
    <w:multiLevelType w:val="hybridMultilevel"/>
    <w:tmpl w:val="C0982F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EFB6538"/>
    <w:multiLevelType w:val="hybridMultilevel"/>
    <w:tmpl w:val="A3B6E4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4AA7901"/>
    <w:multiLevelType w:val="hybridMultilevel"/>
    <w:tmpl w:val="ECD669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60D2892"/>
    <w:multiLevelType w:val="hybridMultilevel"/>
    <w:tmpl w:val="5F7C8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64625DF"/>
    <w:multiLevelType w:val="hybridMultilevel"/>
    <w:tmpl w:val="2B4C80D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18C61525"/>
    <w:multiLevelType w:val="hybridMultilevel"/>
    <w:tmpl w:val="13FE6E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B9E2F83"/>
    <w:multiLevelType w:val="hybridMultilevel"/>
    <w:tmpl w:val="DB7EF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3094597"/>
    <w:multiLevelType w:val="hybridMultilevel"/>
    <w:tmpl w:val="0568CCBE"/>
    <w:lvl w:ilvl="0" w:tplc="3E7A568E">
      <w:start w:val="1"/>
      <w:numFmt w:val="bullet"/>
      <w:lvlText w:val=""/>
      <w:lvlJc w:val="left"/>
      <w:pPr>
        <w:ind w:left="720" w:hanging="360"/>
      </w:pPr>
      <w:rPr>
        <w:rFonts w:ascii="Symbol" w:hAnsi="Symbol" w:hint="default"/>
      </w:rPr>
    </w:lvl>
    <w:lvl w:ilvl="1" w:tplc="EE42D9D4">
      <w:start w:val="1"/>
      <w:numFmt w:val="bullet"/>
      <w:lvlText w:val="o"/>
      <w:lvlJc w:val="left"/>
      <w:pPr>
        <w:ind w:left="1440" w:hanging="360"/>
      </w:pPr>
      <w:rPr>
        <w:rFonts w:ascii="Courier New" w:hAnsi="Courier New" w:hint="default"/>
      </w:rPr>
    </w:lvl>
    <w:lvl w:ilvl="2" w:tplc="49CA554C">
      <w:start w:val="1"/>
      <w:numFmt w:val="bullet"/>
      <w:lvlText w:val=""/>
      <w:lvlJc w:val="left"/>
      <w:pPr>
        <w:ind w:left="2160" w:hanging="360"/>
      </w:pPr>
      <w:rPr>
        <w:rFonts w:ascii="Wingdings" w:hAnsi="Wingdings" w:hint="default"/>
      </w:rPr>
    </w:lvl>
    <w:lvl w:ilvl="3" w:tplc="A538EB72">
      <w:start w:val="1"/>
      <w:numFmt w:val="bullet"/>
      <w:lvlText w:val=""/>
      <w:lvlJc w:val="left"/>
      <w:pPr>
        <w:ind w:left="2880" w:hanging="360"/>
      </w:pPr>
      <w:rPr>
        <w:rFonts w:ascii="Symbol" w:hAnsi="Symbol" w:hint="default"/>
      </w:rPr>
    </w:lvl>
    <w:lvl w:ilvl="4" w:tplc="F272B906">
      <w:start w:val="1"/>
      <w:numFmt w:val="bullet"/>
      <w:lvlText w:val="o"/>
      <w:lvlJc w:val="left"/>
      <w:pPr>
        <w:ind w:left="3600" w:hanging="360"/>
      </w:pPr>
      <w:rPr>
        <w:rFonts w:ascii="Courier New" w:hAnsi="Courier New" w:hint="default"/>
      </w:rPr>
    </w:lvl>
    <w:lvl w:ilvl="5" w:tplc="8DEE6B9E">
      <w:start w:val="1"/>
      <w:numFmt w:val="bullet"/>
      <w:lvlText w:val=""/>
      <w:lvlJc w:val="left"/>
      <w:pPr>
        <w:ind w:left="4320" w:hanging="360"/>
      </w:pPr>
      <w:rPr>
        <w:rFonts w:ascii="Wingdings" w:hAnsi="Wingdings" w:hint="default"/>
      </w:rPr>
    </w:lvl>
    <w:lvl w:ilvl="6" w:tplc="04E2B76E">
      <w:start w:val="1"/>
      <w:numFmt w:val="bullet"/>
      <w:lvlText w:val=""/>
      <w:lvlJc w:val="left"/>
      <w:pPr>
        <w:ind w:left="5040" w:hanging="360"/>
      </w:pPr>
      <w:rPr>
        <w:rFonts w:ascii="Symbol" w:hAnsi="Symbol" w:hint="default"/>
      </w:rPr>
    </w:lvl>
    <w:lvl w:ilvl="7" w:tplc="A1884C36">
      <w:start w:val="1"/>
      <w:numFmt w:val="bullet"/>
      <w:lvlText w:val="o"/>
      <w:lvlJc w:val="left"/>
      <w:pPr>
        <w:ind w:left="5760" w:hanging="360"/>
      </w:pPr>
      <w:rPr>
        <w:rFonts w:ascii="Courier New" w:hAnsi="Courier New" w:hint="default"/>
      </w:rPr>
    </w:lvl>
    <w:lvl w:ilvl="8" w:tplc="27F8BA70">
      <w:start w:val="1"/>
      <w:numFmt w:val="bullet"/>
      <w:lvlText w:val=""/>
      <w:lvlJc w:val="left"/>
      <w:pPr>
        <w:ind w:left="6480" w:hanging="360"/>
      </w:pPr>
      <w:rPr>
        <w:rFonts w:ascii="Wingdings" w:hAnsi="Wingdings" w:hint="default"/>
      </w:rPr>
    </w:lvl>
  </w:abstractNum>
  <w:abstractNum w:abstractNumId="19"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5314642"/>
    <w:multiLevelType w:val="hybridMultilevel"/>
    <w:tmpl w:val="2048E8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A3131E4"/>
    <w:multiLevelType w:val="hybridMultilevel"/>
    <w:tmpl w:val="543AC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70E170D"/>
    <w:multiLevelType w:val="hybridMultilevel"/>
    <w:tmpl w:val="219CBB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A0E5185"/>
    <w:multiLevelType w:val="hybridMultilevel"/>
    <w:tmpl w:val="609004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4BF53AF9"/>
    <w:multiLevelType w:val="hybridMultilevel"/>
    <w:tmpl w:val="413291F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51417B69"/>
    <w:multiLevelType w:val="hybridMultilevel"/>
    <w:tmpl w:val="911E9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69A18D6"/>
    <w:multiLevelType w:val="hybridMultilevel"/>
    <w:tmpl w:val="FA1491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ADE3C4D"/>
    <w:multiLevelType w:val="hybridMultilevel"/>
    <w:tmpl w:val="3BD4B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D6A4914"/>
    <w:multiLevelType w:val="hybridMultilevel"/>
    <w:tmpl w:val="93D6F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36241A6"/>
    <w:multiLevelType w:val="hybridMultilevel"/>
    <w:tmpl w:val="5C968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6350F0D"/>
    <w:multiLevelType w:val="hybridMultilevel"/>
    <w:tmpl w:val="30767156"/>
    <w:lvl w:ilvl="0" w:tplc="7C7AD428">
      <w:start w:val="1"/>
      <w:numFmt w:val="bullet"/>
      <w:lvlText w:val=""/>
      <w:lvlJc w:val="left"/>
      <w:pPr>
        <w:ind w:left="720" w:hanging="360"/>
      </w:pPr>
      <w:rPr>
        <w:rFonts w:ascii="Symbol" w:hAnsi="Symbol" w:hint="default"/>
      </w:rPr>
    </w:lvl>
    <w:lvl w:ilvl="1" w:tplc="A0A20C88">
      <w:start w:val="1"/>
      <w:numFmt w:val="bullet"/>
      <w:lvlText w:val="o"/>
      <w:lvlJc w:val="left"/>
      <w:pPr>
        <w:ind w:left="1440" w:hanging="360"/>
      </w:pPr>
      <w:rPr>
        <w:rFonts w:ascii="Courier New" w:hAnsi="Courier New" w:hint="default"/>
      </w:rPr>
    </w:lvl>
    <w:lvl w:ilvl="2" w:tplc="38CC3478">
      <w:start w:val="1"/>
      <w:numFmt w:val="bullet"/>
      <w:lvlText w:val=""/>
      <w:lvlJc w:val="left"/>
      <w:pPr>
        <w:ind w:left="2160" w:hanging="360"/>
      </w:pPr>
      <w:rPr>
        <w:rFonts w:ascii="Wingdings" w:hAnsi="Wingdings" w:hint="default"/>
      </w:rPr>
    </w:lvl>
    <w:lvl w:ilvl="3" w:tplc="2D125174">
      <w:start w:val="1"/>
      <w:numFmt w:val="bullet"/>
      <w:lvlText w:val=""/>
      <w:lvlJc w:val="left"/>
      <w:pPr>
        <w:ind w:left="2880" w:hanging="360"/>
      </w:pPr>
      <w:rPr>
        <w:rFonts w:ascii="Symbol" w:hAnsi="Symbol" w:hint="default"/>
      </w:rPr>
    </w:lvl>
    <w:lvl w:ilvl="4" w:tplc="44D8A038">
      <w:start w:val="1"/>
      <w:numFmt w:val="bullet"/>
      <w:lvlText w:val="o"/>
      <w:lvlJc w:val="left"/>
      <w:pPr>
        <w:ind w:left="3600" w:hanging="360"/>
      </w:pPr>
      <w:rPr>
        <w:rFonts w:ascii="Courier New" w:hAnsi="Courier New" w:hint="default"/>
      </w:rPr>
    </w:lvl>
    <w:lvl w:ilvl="5" w:tplc="F8D47DFA">
      <w:start w:val="1"/>
      <w:numFmt w:val="bullet"/>
      <w:lvlText w:val=""/>
      <w:lvlJc w:val="left"/>
      <w:pPr>
        <w:ind w:left="4320" w:hanging="360"/>
      </w:pPr>
      <w:rPr>
        <w:rFonts w:ascii="Wingdings" w:hAnsi="Wingdings" w:hint="default"/>
      </w:rPr>
    </w:lvl>
    <w:lvl w:ilvl="6" w:tplc="80467AFC">
      <w:start w:val="1"/>
      <w:numFmt w:val="bullet"/>
      <w:lvlText w:val=""/>
      <w:lvlJc w:val="left"/>
      <w:pPr>
        <w:ind w:left="5040" w:hanging="360"/>
      </w:pPr>
      <w:rPr>
        <w:rFonts w:ascii="Symbol" w:hAnsi="Symbol" w:hint="default"/>
      </w:rPr>
    </w:lvl>
    <w:lvl w:ilvl="7" w:tplc="9AC06152">
      <w:start w:val="1"/>
      <w:numFmt w:val="bullet"/>
      <w:lvlText w:val="o"/>
      <w:lvlJc w:val="left"/>
      <w:pPr>
        <w:ind w:left="5760" w:hanging="360"/>
      </w:pPr>
      <w:rPr>
        <w:rFonts w:ascii="Courier New" w:hAnsi="Courier New" w:hint="default"/>
      </w:rPr>
    </w:lvl>
    <w:lvl w:ilvl="8" w:tplc="0E6A76F6">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9"/>
  </w:num>
  <w:num w:numId="13">
    <w:abstractNumId w:val="20"/>
  </w:num>
  <w:num w:numId="14">
    <w:abstractNumId w:val="11"/>
  </w:num>
  <w:num w:numId="15">
    <w:abstractNumId w:val="18"/>
  </w:num>
  <w:num w:numId="16">
    <w:abstractNumId w:val="31"/>
  </w:num>
  <w:num w:numId="17">
    <w:abstractNumId w:val="13"/>
  </w:num>
  <w:num w:numId="18">
    <w:abstractNumId w:val="15"/>
  </w:num>
  <w:num w:numId="19">
    <w:abstractNumId w:val="21"/>
  </w:num>
  <w:num w:numId="20">
    <w:abstractNumId w:val="10"/>
  </w:num>
  <w:num w:numId="21">
    <w:abstractNumId w:val="22"/>
  </w:num>
  <w:num w:numId="22">
    <w:abstractNumId w:val="14"/>
  </w:num>
  <w:num w:numId="23">
    <w:abstractNumId w:val="25"/>
  </w:num>
  <w:num w:numId="24">
    <w:abstractNumId w:val="30"/>
  </w:num>
  <w:num w:numId="25">
    <w:abstractNumId w:val="29"/>
  </w:num>
  <w:num w:numId="26">
    <w:abstractNumId w:val="28"/>
  </w:num>
  <w:num w:numId="27">
    <w:abstractNumId w:val="16"/>
  </w:num>
  <w:num w:numId="28">
    <w:abstractNumId w:val="27"/>
  </w:num>
  <w:num w:numId="29">
    <w:abstractNumId w:val="24"/>
  </w:num>
  <w:num w:numId="30">
    <w:abstractNumId w:val="17"/>
  </w:num>
  <w:num w:numId="31">
    <w:abstractNumId w:val="26"/>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71C"/>
    <w:rsid w:val="00022704"/>
    <w:rsid w:val="00052BBC"/>
    <w:rsid w:val="00073FD9"/>
    <w:rsid w:val="00094B8C"/>
    <w:rsid w:val="00096002"/>
    <w:rsid w:val="000A453D"/>
    <w:rsid w:val="000A6D84"/>
    <w:rsid w:val="000D5015"/>
    <w:rsid w:val="000F1EDB"/>
    <w:rsid w:val="00110E49"/>
    <w:rsid w:val="00117782"/>
    <w:rsid w:val="001352A5"/>
    <w:rsid w:val="00157F35"/>
    <w:rsid w:val="001B206A"/>
    <w:rsid w:val="001C7D91"/>
    <w:rsid w:val="00217EAB"/>
    <w:rsid w:val="00223A76"/>
    <w:rsid w:val="0022498C"/>
    <w:rsid w:val="00235281"/>
    <w:rsid w:val="002724D0"/>
    <w:rsid w:val="00280A0E"/>
    <w:rsid w:val="002A7840"/>
    <w:rsid w:val="002B1CE5"/>
    <w:rsid w:val="002F4DB3"/>
    <w:rsid w:val="0030564C"/>
    <w:rsid w:val="0031647F"/>
    <w:rsid w:val="00325792"/>
    <w:rsid w:val="00334A9A"/>
    <w:rsid w:val="00350FFA"/>
    <w:rsid w:val="00382F07"/>
    <w:rsid w:val="003B3329"/>
    <w:rsid w:val="003F7BDC"/>
    <w:rsid w:val="00414677"/>
    <w:rsid w:val="00453C04"/>
    <w:rsid w:val="00497764"/>
    <w:rsid w:val="004A782E"/>
    <w:rsid w:val="004B371C"/>
    <w:rsid w:val="004C295C"/>
    <w:rsid w:val="00500BAB"/>
    <w:rsid w:val="0051352E"/>
    <w:rsid w:val="00517DA7"/>
    <w:rsid w:val="00520A33"/>
    <w:rsid w:val="00525028"/>
    <w:rsid w:val="00527AE4"/>
    <w:rsid w:val="00535B1F"/>
    <w:rsid w:val="0055569D"/>
    <w:rsid w:val="005660D4"/>
    <w:rsid w:val="005D7CE7"/>
    <w:rsid w:val="005E69D6"/>
    <w:rsid w:val="00610A38"/>
    <w:rsid w:val="00630DDF"/>
    <w:rsid w:val="006714DB"/>
    <w:rsid w:val="006E5D6E"/>
    <w:rsid w:val="006F47EA"/>
    <w:rsid w:val="00721B03"/>
    <w:rsid w:val="007570DC"/>
    <w:rsid w:val="00792E59"/>
    <w:rsid w:val="007B1ABA"/>
    <w:rsid w:val="007B70A8"/>
    <w:rsid w:val="007B74C5"/>
    <w:rsid w:val="00837C8E"/>
    <w:rsid w:val="008407DB"/>
    <w:rsid w:val="0084237A"/>
    <w:rsid w:val="008507C1"/>
    <w:rsid w:val="00861934"/>
    <w:rsid w:val="008709A8"/>
    <w:rsid w:val="008F0AC9"/>
    <w:rsid w:val="0093473D"/>
    <w:rsid w:val="009357E0"/>
    <w:rsid w:val="00944ECC"/>
    <w:rsid w:val="00972F57"/>
    <w:rsid w:val="0098688E"/>
    <w:rsid w:val="00995280"/>
    <w:rsid w:val="0099681F"/>
    <w:rsid w:val="009E7189"/>
    <w:rsid w:val="00A24E6E"/>
    <w:rsid w:val="00A40781"/>
    <w:rsid w:val="00A43694"/>
    <w:rsid w:val="00A56FC7"/>
    <w:rsid w:val="00A668BF"/>
    <w:rsid w:val="00A72575"/>
    <w:rsid w:val="00A74071"/>
    <w:rsid w:val="00A754E4"/>
    <w:rsid w:val="00AA124A"/>
    <w:rsid w:val="00AA2A96"/>
    <w:rsid w:val="00AB6AFF"/>
    <w:rsid w:val="00B100CC"/>
    <w:rsid w:val="00B24BF5"/>
    <w:rsid w:val="00B253C7"/>
    <w:rsid w:val="00B61B49"/>
    <w:rsid w:val="00B6689D"/>
    <w:rsid w:val="00B72368"/>
    <w:rsid w:val="00C34D83"/>
    <w:rsid w:val="00C54D58"/>
    <w:rsid w:val="00C573E1"/>
    <w:rsid w:val="00C60222"/>
    <w:rsid w:val="00C62F5E"/>
    <w:rsid w:val="00C736D3"/>
    <w:rsid w:val="00C95DF6"/>
    <w:rsid w:val="00CA2100"/>
    <w:rsid w:val="00CB3402"/>
    <w:rsid w:val="00CD3F36"/>
    <w:rsid w:val="00CD66C0"/>
    <w:rsid w:val="00D03972"/>
    <w:rsid w:val="00D47BD5"/>
    <w:rsid w:val="00D6543A"/>
    <w:rsid w:val="00DA1B7B"/>
    <w:rsid w:val="00DB79DF"/>
    <w:rsid w:val="00E25907"/>
    <w:rsid w:val="00E65169"/>
    <w:rsid w:val="00E97C85"/>
    <w:rsid w:val="00EA32F7"/>
    <w:rsid w:val="00ED5DF3"/>
    <w:rsid w:val="00F230CD"/>
    <w:rsid w:val="00F51C18"/>
    <w:rsid w:val="00FA31E2"/>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33A09AC4"/>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F4DB3"/>
    <w:pPr>
      <w:spacing w:after="200" w:line="276" w:lineRule="auto"/>
    </w:pPr>
  </w:style>
  <w:style w:type="paragraph" w:styleId="Heading1">
    <w:name w:val="heading 1"/>
    <w:basedOn w:val="Normal"/>
    <w:next w:val="Normal"/>
    <w:link w:val="Heading1Char"/>
    <w:uiPriority w:val="9"/>
    <w:qFormat/>
    <w:rsid w:val="00F51C18"/>
    <w:pPr>
      <w:keepNext/>
      <w:keepLines/>
      <w:spacing w:before="240" w:after="0"/>
      <w:outlineLvl w:val="0"/>
    </w:pPr>
    <w:rPr>
      <w:rFonts w:ascii="Calibri" w:eastAsiaTheme="majorEastAsia" w:hAnsi="Calibri" w:cstheme="majorBidi"/>
      <w:b/>
      <w:color w:val="343741"/>
      <w:sz w:val="32"/>
      <w:szCs w:val="32"/>
    </w:rPr>
  </w:style>
  <w:style w:type="paragraph" w:styleId="Heading2">
    <w:name w:val="heading 2"/>
    <w:basedOn w:val="Normal"/>
    <w:next w:val="Normal"/>
    <w:link w:val="Heading2Char"/>
    <w:uiPriority w:val="9"/>
    <w:unhideWhenUsed/>
    <w:qFormat/>
    <w:rsid w:val="0055569D"/>
    <w:pPr>
      <w:keepNext/>
      <w:keepLines/>
      <w:spacing w:before="240" w:after="0"/>
      <w:outlineLvl w:val="1"/>
    </w:pPr>
    <w:rPr>
      <w:rFonts w:ascii="Calibri" w:eastAsiaTheme="majorEastAsia" w:hAnsi="Calibri" w:cstheme="majorBidi"/>
      <w:b/>
      <w:color w:val="287DB2" w:themeColor="accent6"/>
      <w:sz w:val="30"/>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610A38"/>
    <w:pPr>
      <w:spacing w:before="180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610A38"/>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2B1CE5"/>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B100CC"/>
    <w:rPr>
      <w:rFonts w:ascii="Calibri" w:eastAsiaTheme="minorEastAsia" w:hAnsi="Calibri"/>
      <w:spacing w:val="15"/>
      <w:sz w:val="40"/>
    </w:rPr>
  </w:style>
  <w:style w:type="character" w:customStyle="1" w:styleId="Heading1Char">
    <w:name w:val="Heading 1 Char"/>
    <w:basedOn w:val="DefaultParagraphFont"/>
    <w:link w:val="Heading1"/>
    <w:uiPriority w:val="9"/>
    <w:rsid w:val="00F51C18"/>
    <w:rPr>
      <w:rFonts w:ascii="Calibri" w:eastAsiaTheme="majorEastAsia" w:hAnsi="Calibri" w:cstheme="majorBidi"/>
      <w:b/>
      <w:color w:val="343741"/>
      <w:sz w:val="32"/>
      <w:szCs w:val="32"/>
    </w:rPr>
  </w:style>
  <w:style w:type="character" w:customStyle="1" w:styleId="Heading2Char">
    <w:name w:val="Heading 2 Char"/>
    <w:basedOn w:val="DefaultParagraphFont"/>
    <w:link w:val="Heading2"/>
    <w:uiPriority w:val="9"/>
    <w:rsid w:val="0055569D"/>
    <w:rPr>
      <w:rFonts w:ascii="Calibri" w:eastAsiaTheme="majorEastAsia" w:hAnsi="Calibri" w:cstheme="majorBidi"/>
      <w:b/>
      <w:color w:val="287DB2" w:themeColor="accent6"/>
      <w:sz w:val="30"/>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55569D"/>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002D3F" w:themeFill="text2"/>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DB79DF"/>
    <w:rPr>
      <w:rFonts w:ascii="Segoe UI" w:hAnsi="Segoe UI" w:cs="Segoe UI"/>
      <w:sz w:val="18"/>
      <w:szCs w:val="18"/>
    </w:rPr>
  </w:style>
  <w:style w:type="character" w:styleId="Emphasis">
    <w:name w:val="Emphasis"/>
    <w:uiPriority w:val="20"/>
    <w:qFormat/>
    <w:rsid w:val="004B371C"/>
    <w:rPr>
      <w:b/>
      <w:bCs/>
      <w:i/>
      <w:iCs/>
      <w:spacing w:val="10"/>
      <w:bdr w:val="none" w:sz="0" w:space="0" w:color="auto"/>
      <w:shd w:val="clear" w:color="auto" w:fill="auto"/>
    </w:rPr>
  </w:style>
  <w:style w:type="paragraph" w:styleId="FootnoteText">
    <w:name w:val="footnote text"/>
    <w:basedOn w:val="Normal"/>
    <w:link w:val="FootnoteTextChar"/>
    <w:uiPriority w:val="99"/>
    <w:semiHidden/>
    <w:unhideWhenUsed/>
    <w:rsid w:val="004B371C"/>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4B371C"/>
    <w:rPr>
      <w:rFonts w:eastAsiaTheme="minorEastAsia"/>
      <w:sz w:val="20"/>
      <w:szCs w:val="20"/>
    </w:rPr>
  </w:style>
  <w:style w:type="character" w:styleId="FootnoteReference">
    <w:name w:val="footnote reference"/>
    <w:basedOn w:val="DefaultParagraphFont"/>
    <w:uiPriority w:val="99"/>
    <w:semiHidden/>
    <w:unhideWhenUsed/>
    <w:rsid w:val="004B371C"/>
    <w:rPr>
      <w:vertAlign w:val="superscript"/>
    </w:rPr>
  </w:style>
  <w:style w:type="paragraph" w:customStyle="1" w:styleId="KeyFindings">
    <w:name w:val="Key Findings"/>
    <w:basedOn w:val="Normal"/>
    <w:qFormat/>
    <w:rsid w:val="004B371C"/>
    <w:pPr>
      <w:spacing w:after="120" w:line="240" w:lineRule="auto"/>
    </w:pPr>
    <w:rPr>
      <w:rFonts w:eastAsiaTheme="minorEastAsia"/>
      <w:color w:val="660066"/>
    </w:rPr>
  </w:style>
  <w:style w:type="character" w:styleId="IntenseEmphasis">
    <w:name w:val="Intense Emphasis"/>
    <w:basedOn w:val="DefaultParagraphFont"/>
    <w:uiPriority w:val="21"/>
    <w:semiHidden/>
    <w:rsid w:val="004B371C"/>
    <w:rPr>
      <w:i/>
      <w:iCs/>
      <w:color w:val="002D3F" w:themeColor="accent1"/>
    </w:rPr>
  </w:style>
  <w:style w:type="paragraph" w:styleId="EndnoteText">
    <w:name w:val="endnote text"/>
    <w:basedOn w:val="Normal"/>
    <w:link w:val="EndnoteTextChar"/>
    <w:uiPriority w:val="99"/>
    <w:semiHidden/>
    <w:unhideWhenUsed/>
    <w:rsid w:val="00525028"/>
    <w:pPr>
      <w:spacing w:after="0" w:line="240" w:lineRule="auto"/>
    </w:pPr>
    <w:rPr>
      <w:rFonts w:eastAsiaTheme="minorEastAsia"/>
      <w:sz w:val="20"/>
      <w:szCs w:val="20"/>
    </w:rPr>
  </w:style>
  <w:style w:type="character" w:customStyle="1" w:styleId="EndnoteTextChar">
    <w:name w:val="Endnote Text Char"/>
    <w:basedOn w:val="DefaultParagraphFont"/>
    <w:link w:val="EndnoteText"/>
    <w:uiPriority w:val="99"/>
    <w:semiHidden/>
    <w:rsid w:val="00525028"/>
    <w:rPr>
      <w:rFonts w:eastAsiaTheme="minorEastAsia"/>
      <w:sz w:val="20"/>
      <w:szCs w:val="20"/>
    </w:rPr>
  </w:style>
  <w:style w:type="character" w:styleId="EndnoteReference">
    <w:name w:val="endnote reference"/>
    <w:basedOn w:val="DefaultParagraphFont"/>
    <w:uiPriority w:val="99"/>
    <w:semiHidden/>
    <w:unhideWhenUsed/>
    <w:rsid w:val="00525028"/>
    <w:rPr>
      <w:vertAlign w:val="superscript"/>
    </w:rPr>
  </w:style>
  <w:style w:type="character" w:styleId="CommentReference">
    <w:name w:val="annotation reference"/>
    <w:basedOn w:val="DefaultParagraphFont"/>
    <w:uiPriority w:val="99"/>
    <w:semiHidden/>
    <w:unhideWhenUsed/>
    <w:rsid w:val="00525028"/>
    <w:rPr>
      <w:sz w:val="16"/>
      <w:szCs w:val="16"/>
    </w:rPr>
  </w:style>
  <w:style w:type="paragraph" w:styleId="CommentText">
    <w:name w:val="annotation text"/>
    <w:basedOn w:val="Normal"/>
    <w:link w:val="CommentTextChar"/>
    <w:uiPriority w:val="99"/>
    <w:semiHidden/>
    <w:unhideWhenUsed/>
    <w:rsid w:val="00525028"/>
    <w:pPr>
      <w:spacing w:after="12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525028"/>
    <w:rPr>
      <w:rFonts w:eastAsiaTheme="minorEastAsia"/>
      <w:sz w:val="20"/>
      <w:szCs w:val="20"/>
    </w:rPr>
  </w:style>
  <w:style w:type="table" w:customStyle="1" w:styleId="Style1">
    <w:name w:val="Style1"/>
    <w:basedOn w:val="TableNormal"/>
    <w:uiPriority w:val="99"/>
    <w:rsid w:val="00096002"/>
    <w:pPr>
      <w:spacing w:after="0" w:line="240" w:lineRule="auto"/>
    </w:pPr>
    <w:tblPr>
      <w:tblStyleRowBandSize w:val="1"/>
    </w:tblPr>
    <w:tblStylePr w:type="firstRow">
      <w:rPr>
        <w:b/>
        <w:color w:val="FFFFFF" w:themeColor="background1"/>
      </w:rPr>
      <w:tblPr/>
      <w:tcPr>
        <w:shd w:val="clear" w:color="auto" w:fill="287DB2"/>
      </w:tcPr>
    </w:tblStylePr>
    <w:tblStylePr w:type="band1Horz">
      <w:rPr>
        <w:color w:val="000000" w:themeColor="text1"/>
      </w:rPr>
      <w:tblPr/>
      <w:tcPr>
        <w:shd w:val="clear" w:color="auto" w:fill="B4D8EE"/>
      </w:tcPr>
    </w:tblStylePr>
  </w:style>
  <w:style w:type="character" w:styleId="UnresolvedMention">
    <w:name w:val="Unresolved Mention"/>
    <w:basedOn w:val="DefaultParagraphFont"/>
    <w:uiPriority w:val="99"/>
    <w:semiHidden/>
    <w:unhideWhenUsed/>
    <w:rsid w:val="001352A5"/>
    <w:rPr>
      <w:color w:val="605E5C"/>
      <w:shd w:val="clear" w:color="auto" w:fill="E1DFDD"/>
    </w:rPr>
  </w:style>
  <w:style w:type="character" w:styleId="FollowedHyperlink">
    <w:name w:val="FollowedHyperlink"/>
    <w:basedOn w:val="DefaultParagraphFont"/>
    <w:uiPriority w:val="99"/>
    <w:semiHidden/>
    <w:unhideWhenUsed/>
    <w:rsid w:val="0084237A"/>
    <w:rPr>
      <w:color w:val="002D3F" w:themeColor="followedHyperlink"/>
      <w:u w:val="single"/>
    </w:rPr>
  </w:style>
  <w:style w:type="paragraph" w:styleId="HTMLPreformatted">
    <w:name w:val="HTML Preformatted"/>
    <w:basedOn w:val="Normal"/>
    <w:link w:val="HTMLPreformattedChar"/>
    <w:uiPriority w:val="99"/>
    <w:semiHidden/>
    <w:unhideWhenUsed/>
    <w:rsid w:val="0011778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17782"/>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291540">
      <w:bodyDiv w:val="1"/>
      <w:marLeft w:val="0"/>
      <w:marRight w:val="0"/>
      <w:marTop w:val="0"/>
      <w:marBottom w:val="0"/>
      <w:divBdr>
        <w:top w:val="none" w:sz="0" w:space="0" w:color="auto"/>
        <w:left w:val="none" w:sz="0" w:space="0" w:color="auto"/>
        <w:bottom w:val="none" w:sz="0" w:space="0" w:color="auto"/>
        <w:right w:val="none" w:sz="0" w:space="0" w:color="auto"/>
      </w:divBdr>
    </w:div>
    <w:div w:id="492916630">
      <w:bodyDiv w:val="1"/>
      <w:marLeft w:val="0"/>
      <w:marRight w:val="0"/>
      <w:marTop w:val="0"/>
      <w:marBottom w:val="0"/>
      <w:divBdr>
        <w:top w:val="none" w:sz="0" w:space="0" w:color="auto"/>
        <w:left w:val="none" w:sz="0" w:space="0" w:color="auto"/>
        <w:bottom w:val="none" w:sz="0" w:space="0" w:color="auto"/>
        <w:right w:val="none" w:sz="0" w:space="0" w:color="auto"/>
      </w:divBdr>
    </w:div>
    <w:div w:id="750807827">
      <w:bodyDiv w:val="1"/>
      <w:marLeft w:val="0"/>
      <w:marRight w:val="0"/>
      <w:marTop w:val="0"/>
      <w:marBottom w:val="0"/>
      <w:divBdr>
        <w:top w:val="none" w:sz="0" w:space="0" w:color="auto"/>
        <w:left w:val="none" w:sz="0" w:space="0" w:color="auto"/>
        <w:bottom w:val="none" w:sz="0" w:space="0" w:color="auto"/>
        <w:right w:val="none" w:sz="0" w:space="0" w:color="auto"/>
      </w:divBdr>
    </w:div>
    <w:div w:id="179910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s://heimshelp.education.gov.au/2016_data_requirements/2016dataelements/461" TargetMode="External"/><Relationship Id="rId3" Type="http://schemas.openxmlformats.org/officeDocument/2006/relationships/hyperlink" Target="https://github.com/ccordoba12" TargetMode="External"/><Relationship Id="rId7" Type="http://schemas.openxmlformats.org/officeDocument/2006/relationships/hyperlink" Target="https://heimshelp.education.gov.au/resources/glossary/glossaryterm1284" TargetMode="External"/><Relationship Id="rId2" Type="http://schemas.openxmlformats.org/officeDocument/2006/relationships/hyperlink" Target="http://www.rstudio.com/" TargetMode="External"/><Relationship Id="rId1" Type="http://schemas.openxmlformats.org/officeDocument/2006/relationships/hyperlink" Target="https://www.R-project.org/" TargetMode="External"/><Relationship Id="rId6" Type="http://schemas.openxmlformats.org/officeDocument/2006/relationships/hyperlink" Target="https://www.abs.gov.au/ausstats/abs@.nsf/Lookup/4429.0Main+Features100142009" TargetMode="External"/><Relationship Id="rId11" Type="http://schemas.openxmlformats.org/officeDocument/2006/relationships/hyperlink" Target="https://www.servicesaustralia.gov.au/individuals/subjects/payments-students-and-trainees" TargetMode="External"/><Relationship Id="rId5" Type="http://schemas.openxmlformats.org/officeDocument/2006/relationships/hyperlink" Target="https://CRAN.R-project.org/package=grf" TargetMode="External"/><Relationship Id="rId10" Type="http://schemas.openxmlformats.org/officeDocument/2006/relationships/hyperlink" Target="https://www.abs.gov.au/AUSSTATS/abs@.nsf/Lookup/6537.0Main+Features12015-16?OpenDocument" TargetMode="External"/><Relationship Id="rId4" Type="http://schemas.openxmlformats.org/officeDocument/2006/relationships/hyperlink" Target="https://docs.spyder-ide.org/" TargetMode="External"/><Relationship Id="rId9" Type="http://schemas.openxmlformats.org/officeDocument/2006/relationships/hyperlink" Target="https://heimshelp.education.gov.au/resources/providertyp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ducation.gov.au/transition-education-work" TargetMode="External"/><Relationship Id="rId7" Type="http://schemas.openxmlformats.org/officeDocument/2006/relationships/hyperlink" Target="https://www.education.gov.au/transition-study-assistance" TargetMode="External"/><Relationship Id="rId2" Type="http://schemas.openxmlformats.org/officeDocument/2006/relationships/hyperlink" Target="https://www.pmc.gov.au/public-data/data-integration-partnership-australia" TargetMode="External"/><Relationship Id="rId1" Type="http://schemas.openxmlformats.org/officeDocument/2006/relationships/hyperlink" Target="https://www.abs.gov.au/websitedbs/d3310114.nsf/home/statistical+data+integration+-+madip" TargetMode="External"/><Relationship Id="rId6" Type="http://schemas.openxmlformats.org/officeDocument/2006/relationships/hyperlink" Target="https://www.education.gov.au/transition-disability" TargetMode="External"/><Relationship Id="rId5" Type="http://schemas.openxmlformats.org/officeDocument/2006/relationships/hyperlink" Target="https://www.education.gov.au/transition-gap-year" TargetMode="External"/><Relationship Id="rId4" Type="http://schemas.openxmlformats.org/officeDocument/2006/relationships/hyperlink" Target="https://www.education.gov.au/transition-introduc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rodapp.application.enet\OfficeTemplates\DESE\Factsheet%20Template.dotx" TargetMode="Externa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72c3662-d489-4d5c-a678-b18c0e8aeb72">
      <Value>1980</Value>
      <Value>1999</Value>
      <Value>1976</Value>
      <Value>1996</Value>
    </TaxCatchAll>
    <idf49b01858c4ab7b49fec8a6554c79a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60f4875c-5740-43a9-8840-cfcba2da81bd</TermId>
        </TermInfo>
      </Terms>
    </idf49b01858c4ab7b49fec8a6554c79a>
    <pfc532bc3d924724be3e431fa8a34286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9706ad1b-dfa6-4d44-b515-12d7e5bc9d3f</TermId>
        </TermInfo>
        <TermInfo xmlns="http://schemas.microsoft.com/office/infopath/2007/PartnerControls">
          <TermName xmlns="http://schemas.microsoft.com/office/infopath/2007/PartnerControls">Branding</TermName>
          <TermId xmlns="http://schemas.microsoft.com/office/infopath/2007/PartnerControls">0a1f5508-ce36-4b6e-9019-600efbc3632a</TermId>
        </TermInfo>
      </Terms>
    </pfc532bc3d924724be3e431fa8a34286>
    <la020d86e283469abb02d1589f8af8a1 xmlns="e72c3662-d489-4d5c-a678-b18c0e8aeb72">
      <Terms xmlns="http://schemas.microsoft.com/office/infopath/2007/PartnerControls">
        <TermInfo xmlns="http://schemas.microsoft.com/office/infopath/2007/PartnerControls">
          <TermName xmlns="http://schemas.microsoft.com/office/infopath/2007/PartnerControls">communication</TermName>
          <TermId xmlns="http://schemas.microsoft.com/office/infopath/2007/PartnerControls">9d5354d3-d1c2-4163-a4db-c06e4aa61e3a</TermId>
        </TermInfo>
      </Terms>
    </la020d86e283469abb02d1589f8af8a1>
    <ItemPublishedDate xmlns="e72c3662-d489-4d5c-a678-b18c0e8aeb72">2020-02-03T13:00:00+00:00</ItemPublished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A1FA163F83FC4DA7B02D4604972D30" ma:contentTypeVersion="9" ma:contentTypeDescription="Create a new document." ma:contentTypeScope="" ma:versionID="3180f40cf209bc4f4948dd64e6f1d0a9">
  <xsd:schema xmlns:xsd="http://www.w3.org/2001/XMLSchema" xmlns:xs="http://www.w3.org/2001/XMLSchema" xmlns:p="http://schemas.microsoft.com/office/2006/metadata/properties" xmlns:ns2="e72c3662-d489-4d5c-a678-b18c0e8aeb72" targetNamespace="http://schemas.microsoft.com/office/2006/metadata/properties" ma:root="true" ma:fieldsID="3f7ad6cf21444496d772c8ce1802ec33" ns2:_="">
    <xsd:import namespace="e72c3662-d489-4d5c-a678-b18c0e8aeb72"/>
    <xsd:element name="properties">
      <xsd:complexType>
        <xsd:sequence>
          <xsd:element name="documentManagement">
            <xsd:complexType>
              <xsd:all>
                <xsd:element ref="ns2:la020d86e283469abb02d1589f8af8a1" minOccurs="0"/>
                <xsd:element ref="ns2:TaxCatchAll" minOccurs="0"/>
                <xsd:element ref="ns2:pfc532bc3d924724be3e431fa8a34286" minOccurs="0"/>
                <xsd:element ref="ns2:ItemPublishedDate" minOccurs="0"/>
                <xsd:element ref="ns2:idf49b01858c4ab7b49fec8a6554c79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la020d86e283469abb02d1589f8af8a1" ma:index="9" nillable="true" ma:taxonomy="true" ma:internalName="la020d86e283469abb02d1589f8af8a1" ma:taxonomyFieldName="ItemFunction" ma:displayName="ItemFunction" ma:default="" ma:fieldId="{5a020d86-e283-469a-bb02-d1589f8af8a1}" ma:taxonomyMulti="true" ma:sspId="e520a5ab-959b-4497-846e-ecf021209760" ma:termSetId="500dca29-876a-49bd-b8dc-c6f28045653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2"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temPublishedDate" ma:index="13" nillable="true" ma:displayName="ItemPublishedDate" ma:format="DateOnly" ma:internalName="ItemPublishedDate">
      <xsd:simpleType>
        <xsd:restriction base="dms:DateTime"/>
      </xsd:simpleType>
    </xsd:element>
    <xsd:element name="idf49b01858c4ab7b49fec8a6554c79a" ma:index="15"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D6226-3EAF-46C5-B0F2-A2410F074527}">
  <ds:schemaRefs>
    <ds:schemaRef ds:uri="http://schemas.microsoft.com/office/2006/documentManagement/types"/>
    <ds:schemaRef ds:uri="http://www.w3.org/XML/1998/namespace"/>
    <ds:schemaRef ds:uri="http://purl.org/dc/dcmitype/"/>
    <ds:schemaRef ds:uri="e72c3662-d489-4d5c-a678-b18c0e8aeb72"/>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24B3BD14-F52E-4479-8807-B806156B0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2c3662-d489-4d5c-a678-b18c0e8ae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4.xml><?xml version="1.0" encoding="utf-8"?>
<ds:datastoreItem xmlns:ds="http://schemas.openxmlformats.org/officeDocument/2006/customXml" ds:itemID="{9F1B4A46-2FBB-474E-90D5-5F7F86C83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Factsheet Template.dotx</Template>
  <TotalTime>0</TotalTime>
  <Pages>14</Pages>
  <Words>3903</Words>
  <Characters>22253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Factsheet Template</vt:lpstr>
    </vt:vector>
  </TitlesOfParts>
  <Company/>
  <LinksUpToDate>false</LinksUpToDate>
  <CharactersWithSpaces>26104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Template</dc:title>
  <dc:subject/>
  <dc:creator/>
  <cp:keywords/>
  <dc:description/>
  <cp:lastModifiedBy/>
  <cp:revision>1</cp:revision>
  <dcterms:created xsi:type="dcterms:W3CDTF">2020-07-03T04:05:00Z</dcterms:created>
  <dcterms:modified xsi:type="dcterms:W3CDTF">2020-08-27T03:34:00Z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0x01010079A1FA163F83FC4DA7B02D4604972D30</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ies>
</file>