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03496" w14:textId="70B2A342" w:rsidR="007C3FDB" w:rsidRPr="00822D86" w:rsidRDefault="007C3FDB" w:rsidP="004E7FB9">
      <w:pPr>
        <w:pStyle w:val="Title"/>
        <w:spacing w:before="2280"/>
      </w:pPr>
      <w:r w:rsidRPr="00822D86">
        <w:t xml:space="preserve">A review of current </w:t>
      </w:r>
      <w:r w:rsidR="00E903B2">
        <w:t>g</w:t>
      </w:r>
      <w:r w:rsidR="00E903B2" w:rsidRPr="00822D86">
        <w:t xml:space="preserve">overnment </w:t>
      </w:r>
      <w:r w:rsidRPr="00822D86">
        <w:t xml:space="preserve">approved system authorities’ arrangements for funding of students with </w:t>
      </w:r>
      <w:r w:rsidR="00D562CC">
        <w:t>disability</w:t>
      </w:r>
      <w:r>
        <w:t xml:space="preserve"> and common reform directions</w:t>
      </w:r>
    </w:p>
    <w:p w14:paraId="659739DE" w14:textId="4B6DD9D4" w:rsidR="007C3FDB" w:rsidRDefault="007C3FDB" w:rsidP="004D7BC8">
      <w:pPr>
        <w:pStyle w:val="Subtitle"/>
        <w:spacing w:before="840"/>
      </w:pPr>
      <w:r w:rsidRPr="00D5016E">
        <w:t xml:space="preserve">Project 3: Report prepared for the </w:t>
      </w:r>
      <w:r w:rsidR="00696EC6" w:rsidRPr="005D6129">
        <w:t>National School Resourcing Board</w:t>
      </w:r>
      <w:r w:rsidR="00696EC6" w:rsidRPr="00D5016E">
        <w:t xml:space="preserve"> </w:t>
      </w:r>
      <w:r w:rsidR="00696EC6" w:rsidRPr="005D6129">
        <w:t xml:space="preserve">sub-committee </w:t>
      </w:r>
      <w:r w:rsidR="00696EC6">
        <w:t>for</w:t>
      </w:r>
      <w:r w:rsidR="00696EC6" w:rsidRPr="005D6129">
        <w:t xml:space="preserve"> the </w:t>
      </w:r>
      <w:r>
        <w:t>s</w:t>
      </w:r>
      <w:r w:rsidRPr="005D6129">
        <w:t xml:space="preserve">tudents with </w:t>
      </w:r>
      <w:r>
        <w:t>d</w:t>
      </w:r>
      <w:r w:rsidRPr="005D6129">
        <w:t xml:space="preserve">isability loading review </w:t>
      </w:r>
      <w:r w:rsidR="00696EC6">
        <w:br/>
      </w:r>
    </w:p>
    <w:p w14:paraId="7C0B78C6" w14:textId="306C8BFD" w:rsidR="00E903B2" w:rsidRPr="00B01F11" w:rsidRDefault="00E903B2" w:rsidP="004E7FB9">
      <w:pPr>
        <w:spacing w:before="4440" w:after="0"/>
        <w:rPr>
          <w:rStyle w:val="Strong"/>
        </w:rPr>
      </w:pPr>
      <w:r w:rsidRPr="00B01F11">
        <w:rPr>
          <w:rStyle w:val="Strong"/>
        </w:rPr>
        <w:t>Mark Tainsh</w:t>
      </w:r>
    </w:p>
    <w:p w14:paraId="4F432680" w14:textId="78743065" w:rsidR="00E903B2" w:rsidRDefault="00DE7140" w:rsidP="00E903B2">
      <w:r>
        <w:t>December</w:t>
      </w:r>
      <w:r w:rsidR="00E903B2">
        <w:t xml:space="preserve"> 2019</w:t>
      </w:r>
    </w:p>
    <w:p w14:paraId="51867553" w14:textId="3DA9CD07" w:rsidR="00E903B2" w:rsidRDefault="00E903B2" w:rsidP="00B01F11"/>
    <w:p w14:paraId="362B5CAF" w14:textId="77777777" w:rsidR="00E903B2" w:rsidRPr="00E903B2" w:rsidRDefault="00E903B2" w:rsidP="00B01F11">
      <w:pPr>
        <w:sectPr w:rsidR="00E903B2" w:rsidRPr="00E903B2" w:rsidSect="007C3FDB">
          <w:headerReference w:type="even" r:id="rId8"/>
          <w:headerReference w:type="default" r:id="rId9"/>
          <w:footerReference w:type="even" r:id="rId10"/>
          <w:footerReference w:type="default" r:id="rId11"/>
          <w:headerReference w:type="first" r:id="rId12"/>
          <w:footerReference w:type="first" r:id="rId13"/>
          <w:pgSz w:w="11906" w:h="16838"/>
          <w:pgMar w:top="1304" w:right="1440" w:bottom="1361" w:left="1440" w:header="708" w:footer="708" w:gutter="0"/>
          <w:cols w:space="708"/>
          <w:titlePg/>
          <w:docGrid w:linePitch="360"/>
        </w:sectPr>
      </w:pPr>
    </w:p>
    <w:sdt>
      <w:sdtPr>
        <w:rPr>
          <w:rFonts w:ascii="Times New Roman" w:eastAsia="Times New Roman" w:hAnsi="Times New Roman" w:cs="Times New Roman"/>
          <w:b/>
          <w:bCs/>
          <w:color w:val="auto"/>
          <w:sz w:val="24"/>
          <w:szCs w:val="24"/>
          <w:lang w:bidi="ar-SA"/>
        </w:rPr>
        <w:id w:val="1499158611"/>
        <w:docPartObj>
          <w:docPartGallery w:val="Table of Contents"/>
          <w:docPartUnique/>
        </w:docPartObj>
      </w:sdtPr>
      <w:sdtEndPr>
        <w:rPr>
          <w:rFonts w:asciiTheme="minorHAnsi" w:eastAsiaTheme="minorHAnsi" w:hAnsiTheme="minorHAnsi" w:cstheme="minorBidi"/>
          <w:b w:val="0"/>
          <w:bCs w:val="0"/>
          <w:noProof/>
          <w:sz w:val="22"/>
          <w:szCs w:val="22"/>
        </w:rPr>
      </w:sdtEndPr>
      <w:sdtContent>
        <w:p w14:paraId="7593F6ED" w14:textId="77777777" w:rsidR="007C3FDB" w:rsidRDefault="007C3FDB" w:rsidP="00441B08">
          <w:pPr>
            <w:pStyle w:val="TOCHeading"/>
          </w:pPr>
          <w:r>
            <w:t>Table of Contents</w:t>
          </w:r>
        </w:p>
        <w:p w14:paraId="24EA7045" w14:textId="66210A7B" w:rsidR="004E7FB9" w:rsidRDefault="004E7FB9">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"1-1" \h \z \u \t "Table title,2,Style1,2" </w:instrText>
          </w:r>
          <w:r>
            <w:fldChar w:fldCharType="separate"/>
          </w:r>
          <w:hyperlink w:anchor="_Toc38449117" w:history="1">
            <w:r w:rsidRPr="008F6E89">
              <w:rPr>
                <w:rStyle w:val="Hyperlink"/>
                <w:noProof/>
              </w:rPr>
              <w:t>Executive summary</w:t>
            </w:r>
            <w:r>
              <w:rPr>
                <w:noProof/>
                <w:webHidden/>
              </w:rPr>
              <w:tab/>
            </w:r>
            <w:r>
              <w:rPr>
                <w:noProof/>
                <w:webHidden/>
              </w:rPr>
              <w:fldChar w:fldCharType="begin"/>
            </w:r>
            <w:r>
              <w:rPr>
                <w:noProof/>
                <w:webHidden/>
              </w:rPr>
              <w:instrText xml:space="preserve"> PAGEREF _Toc38449117 \h </w:instrText>
            </w:r>
            <w:r>
              <w:rPr>
                <w:noProof/>
                <w:webHidden/>
              </w:rPr>
            </w:r>
            <w:r>
              <w:rPr>
                <w:noProof/>
                <w:webHidden/>
              </w:rPr>
              <w:fldChar w:fldCharType="separate"/>
            </w:r>
            <w:r>
              <w:rPr>
                <w:noProof/>
                <w:webHidden/>
              </w:rPr>
              <w:t>2</w:t>
            </w:r>
            <w:r>
              <w:rPr>
                <w:noProof/>
                <w:webHidden/>
              </w:rPr>
              <w:fldChar w:fldCharType="end"/>
            </w:r>
          </w:hyperlink>
        </w:p>
        <w:p w14:paraId="50E1C40F" w14:textId="5EAC3EE3" w:rsidR="004E7FB9" w:rsidRDefault="004E7FB9">
          <w:pPr>
            <w:pStyle w:val="TOC1"/>
            <w:tabs>
              <w:tab w:val="right" w:leader="dot" w:pos="9016"/>
            </w:tabs>
            <w:rPr>
              <w:rFonts w:asciiTheme="minorHAnsi" w:eastAsiaTheme="minorEastAsia" w:hAnsiTheme="minorHAnsi" w:cstheme="minorBidi"/>
              <w:noProof/>
              <w:sz w:val="22"/>
              <w:szCs w:val="22"/>
            </w:rPr>
          </w:pPr>
          <w:hyperlink w:anchor="_Toc38449118" w:history="1">
            <w:r w:rsidRPr="008F6E89">
              <w:rPr>
                <w:rStyle w:val="Hyperlink"/>
                <w:noProof/>
              </w:rPr>
              <w:t>Introduction</w:t>
            </w:r>
            <w:r>
              <w:rPr>
                <w:noProof/>
                <w:webHidden/>
              </w:rPr>
              <w:tab/>
            </w:r>
            <w:r>
              <w:rPr>
                <w:noProof/>
                <w:webHidden/>
              </w:rPr>
              <w:fldChar w:fldCharType="begin"/>
            </w:r>
            <w:r>
              <w:rPr>
                <w:noProof/>
                <w:webHidden/>
              </w:rPr>
              <w:instrText xml:space="preserve"> PAGEREF _Toc38449118 \h </w:instrText>
            </w:r>
            <w:r>
              <w:rPr>
                <w:noProof/>
                <w:webHidden/>
              </w:rPr>
            </w:r>
            <w:r>
              <w:rPr>
                <w:noProof/>
                <w:webHidden/>
              </w:rPr>
              <w:fldChar w:fldCharType="separate"/>
            </w:r>
            <w:r>
              <w:rPr>
                <w:noProof/>
                <w:webHidden/>
              </w:rPr>
              <w:t>6</w:t>
            </w:r>
            <w:r>
              <w:rPr>
                <w:noProof/>
                <w:webHidden/>
              </w:rPr>
              <w:fldChar w:fldCharType="end"/>
            </w:r>
          </w:hyperlink>
        </w:p>
        <w:p w14:paraId="002B47BF" w14:textId="5DDE02CC" w:rsidR="004E7FB9" w:rsidRDefault="004E7FB9">
          <w:pPr>
            <w:pStyle w:val="TOC1"/>
            <w:tabs>
              <w:tab w:val="right" w:leader="dot" w:pos="9016"/>
            </w:tabs>
            <w:rPr>
              <w:rFonts w:asciiTheme="minorHAnsi" w:eastAsiaTheme="minorEastAsia" w:hAnsiTheme="minorHAnsi" w:cstheme="minorBidi"/>
              <w:noProof/>
              <w:sz w:val="22"/>
              <w:szCs w:val="22"/>
            </w:rPr>
          </w:pPr>
          <w:hyperlink w:anchor="_Toc38449119" w:history="1">
            <w:r w:rsidRPr="008F6E89">
              <w:rPr>
                <w:rStyle w:val="Hyperlink"/>
                <w:noProof/>
              </w:rPr>
              <w:t>Methodology</w:t>
            </w:r>
            <w:r>
              <w:rPr>
                <w:noProof/>
                <w:webHidden/>
              </w:rPr>
              <w:tab/>
            </w:r>
            <w:r>
              <w:rPr>
                <w:noProof/>
                <w:webHidden/>
              </w:rPr>
              <w:fldChar w:fldCharType="begin"/>
            </w:r>
            <w:r>
              <w:rPr>
                <w:noProof/>
                <w:webHidden/>
              </w:rPr>
              <w:instrText xml:space="preserve"> PAGEREF _Toc38449119 \h </w:instrText>
            </w:r>
            <w:r>
              <w:rPr>
                <w:noProof/>
                <w:webHidden/>
              </w:rPr>
            </w:r>
            <w:r>
              <w:rPr>
                <w:noProof/>
                <w:webHidden/>
              </w:rPr>
              <w:fldChar w:fldCharType="separate"/>
            </w:r>
            <w:r>
              <w:rPr>
                <w:noProof/>
                <w:webHidden/>
              </w:rPr>
              <w:t>6</w:t>
            </w:r>
            <w:r>
              <w:rPr>
                <w:noProof/>
                <w:webHidden/>
              </w:rPr>
              <w:fldChar w:fldCharType="end"/>
            </w:r>
          </w:hyperlink>
        </w:p>
        <w:p w14:paraId="176C2B21" w14:textId="41DD8EEE" w:rsidR="004E7FB9" w:rsidRDefault="004E7FB9">
          <w:pPr>
            <w:pStyle w:val="TOC1"/>
            <w:tabs>
              <w:tab w:val="right" w:leader="dot" w:pos="9016"/>
            </w:tabs>
            <w:rPr>
              <w:rFonts w:asciiTheme="minorHAnsi" w:eastAsiaTheme="minorEastAsia" w:hAnsiTheme="minorHAnsi" w:cstheme="minorBidi"/>
              <w:noProof/>
              <w:sz w:val="22"/>
              <w:szCs w:val="22"/>
            </w:rPr>
          </w:pPr>
          <w:hyperlink w:anchor="_Toc38449120" w:history="1">
            <w:r w:rsidRPr="008F6E89">
              <w:rPr>
                <w:rStyle w:val="Hyperlink"/>
                <w:noProof/>
              </w:rPr>
              <w:t xml:space="preserve">Shared reform directions and key principles for supporting students with </w:t>
            </w:r>
            <w:r>
              <w:rPr>
                <w:rStyle w:val="Hyperlink"/>
                <w:noProof/>
              </w:rPr>
              <w:br/>
            </w:r>
            <w:r w:rsidRPr="008F6E89">
              <w:rPr>
                <w:rStyle w:val="Hyperlink"/>
                <w:noProof/>
              </w:rPr>
              <w:t>disability in schools</w:t>
            </w:r>
            <w:r>
              <w:rPr>
                <w:noProof/>
                <w:webHidden/>
              </w:rPr>
              <w:tab/>
            </w:r>
            <w:r>
              <w:rPr>
                <w:noProof/>
                <w:webHidden/>
              </w:rPr>
              <w:fldChar w:fldCharType="begin"/>
            </w:r>
            <w:r>
              <w:rPr>
                <w:noProof/>
                <w:webHidden/>
              </w:rPr>
              <w:instrText xml:space="preserve"> PAGEREF _Toc38449120 \h </w:instrText>
            </w:r>
            <w:r>
              <w:rPr>
                <w:noProof/>
                <w:webHidden/>
              </w:rPr>
            </w:r>
            <w:r>
              <w:rPr>
                <w:noProof/>
                <w:webHidden/>
              </w:rPr>
              <w:fldChar w:fldCharType="separate"/>
            </w:r>
            <w:r>
              <w:rPr>
                <w:noProof/>
                <w:webHidden/>
              </w:rPr>
              <w:t>7</w:t>
            </w:r>
            <w:r>
              <w:rPr>
                <w:noProof/>
                <w:webHidden/>
              </w:rPr>
              <w:fldChar w:fldCharType="end"/>
            </w:r>
          </w:hyperlink>
        </w:p>
        <w:p w14:paraId="2BBF4212" w14:textId="6A0B3E37" w:rsidR="004E7FB9" w:rsidRDefault="004E7FB9">
          <w:pPr>
            <w:pStyle w:val="TOC1"/>
            <w:tabs>
              <w:tab w:val="right" w:leader="dot" w:pos="9016"/>
            </w:tabs>
            <w:rPr>
              <w:rFonts w:asciiTheme="minorHAnsi" w:eastAsiaTheme="minorEastAsia" w:hAnsiTheme="minorHAnsi" w:cstheme="minorBidi"/>
              <w:noProof/>
              <w:sz w:val="22"/>
              <w:szCs w:val="22"/>
            </w:rPr>
          </w:pPr>
          <w:hyperlink w:anchor="_Toc38449121" w:history="1">
            <w:r w:rsidRPr="008F6E89">
              <w:rPr>
                <w:rStyle w:val="Hyperlink"/>
                <w:noProof/>
              </w:rPr>
              <w:t>Overview of System approaches to funding and impact of NCCD</w:t>
            </w:r>
            <w:r>
              <w:rPr>
                <w:noProof/>
                <w:webHidden/>
              </w:rPr>
              <w:tab/>
            </w:r>
            <w:r>
              <w:rPr>
                <w:noProof/>
                <w:webHidden/>
              </w:rPr>
              <w:fldChar w:fldCharType="begin"/>
            </w:r>
            <w:r>
              <w:rPr>
                <w:noProof/>
                <w:webHidden/>
              </w:rPr>
              <w:instrText xml:space="preserve"> PAGEREF _Toc38449121 \h </w:instrText>
            </w:r>
            <w:r>
              <w:rPr>
                <w:noProof/>
                <w:webHidden/>
              </w:rPr>
            </w:r>
            <w:r>
              <w:rPr>
                <w:noProof/>
                <w:webHidden/>
              </w:rPr>
              <w:fldChar w:fldCharType="separate"/>
            </w:r>
            <w:r>
              <w:rPr>
                <w:noProof/>
                <w:webHidden/>
              </w:rPr>
              <w:t>9</w:t>
            </w:r>
            <w:r>
              <w:rPr>
                <w:noProof/>
                <w:webHidden/>
              </w:rPr>
              <w:fldChar w:fldCharType="end"/>
            </w:r>
          </w:hyperlink>
        </w:p>
        <w:p w14:paraId="63566D68" w14:textId="34911B20" w:rsidR="004E7FB9" w:rsidRDefault="004E7FB9">
          <w:pPr>
            <w:pStyle w:val="TOC1"/>
            <w:tabs>
              <w:tab w:val="right" w:leader="dot" w:pos="9016"/>
            </w:tabs>
            <w:rPr>
              <w:rFonts w:asciiTheme="minorHAnsi" w:eastAsiaTheme="minorEastAsia" w:hAnsiTheme="minorHAnsi" w:cstheme="minorBidi"/>
              <w:noProof/>
              <w:sz w:val="22"/>
              <w:szCs w:val="22"/>
            </w:rPr>
          </w:pPr>
          <w:hyperlink w:anchor="_Toc38449122" w:history="1">
            <w:r w:rsidRPr="008F6E89">
              <w:rPr>
                <w:rStyle w:val="Hyperlink"/>
                <w:noProof/>
              </w:rPr>
              <w:t xml:space="preserve">State and territory government System funding arrangements for students </w:t>
            </w:r>
            <w:r>
              <w:rPr>
                <w:rStyle w:val="Hyperlink"/>
                <w:noProof/>
              </w:rPr>
              <w:br/>
            </w:r>
            <w:r w:rsidRPr="008F6E89">
              <w:rPr>
                <w:rStyle w:val="Hyperlink"/>
                <w:noProof/>
              </w:rPr>
              <w:t>with disability</w:t>
            </w:r>
            <w:r>
              <w:rPr>
                <w:noProof/>
                <w:webHidden/>
              </w:rPr>
              <w:tab/>
            </w:r>
            <w:r>
              <w:rPr>
                <w:noProof/>
                <w:webHidden/>
              </w:rPr>
              <w:fldChar w:fldCharType="begin"/>
            </w:r>
            <w:r>
              <w:rPr>
                <w:noProof/>
                <w:webHidden/>
              </w:rPr>
              <w:instrText xml:space="preserve"> PAGEREF _Toc38449122 \h </w:instrText>
            </w:r>
            <w:r>
              <w:rPr>
                <w:noProof/>
                <w:webHidden/>
              </w:rPr>
            </w:r>
            <w:r>
              <w:rPr>
                <w:noProof/>
                <w:webHidden/>
              </w:rPr>
              <w:fldChar w:fldCharType="separate"/>
            </w:r>
            <w:r>
              <w:rPr>
                <w:noProof/>
                <w:webHidden/>
              </w:rPr>
              <w:t>11</w:t>
            </w:r>
            <w:r>
              <w:rPr>
                <w:noProof/>
                <w:webHidden/>
              </w:rPr>
              <w:fldChar w:fldCharType="end"/>
            </w:r>
          </w:hyperlink>
        </w:p>
        <w:p w14:paraId="05B01C08" w14:textId="7CAB23FD" w:rsidR="004E7FB9" w:rsidRDefault="004E7FB9">
          <w:pPr>
            <w:pStyle w:val="TOC1"/>
            <w:tabs>
              <w:tab w:val="right" w:leader="dot" w:pos="9016"/>
            </w:tabs>
            <w:rPr>
              <w:rFonts w:asciiTheme="minorHAnsi" w:eastAsiaTheme="minorEastAsia" w:hAnsiTheme="minorHAnsi" w:cstheme="minorBidi"/>
              <w:noProof/>
              <w:sz w:val="22"/>
              <w:szCs w:val="22"/>
            </w:rPr>
          </w:pPr>
          <w:hyperlink w:anchor="_Toc38449123" w:history="1">
            <w:r w:rsidRPr="008F6E89">
              <w:rPr>
                <w:rStyle w:val="Hyperlink"/>
                <w:noProof/>
              </w:rPr>
              <w:t xml:space="preserve">Funding relativities between System targeted disability funding and the </w:t>
            </w:r>
            <w:r>
              <w:rPr>
                <w:rStyle w:val="Hyperlink"/>
                <w:noProof/>
              </w:rPr>
              <w:br/>
            </w:r>
            <w:r w:rsidRPr="008F6E89">
              <w:rPr>
                <w:rStyle w:val="Hyperlink"/>
                <w:noProof/>
              </w:rPr>
              <w:t>NCCD levels of adjustment</w:t>
            </w:r>
            <w:r>
              <w:rPr>
                <w:noProof/>
                <w:webHidden/>
              </w:rPr>
              <w:tab/>
            </w:r>
            <w:r>
              <w:rPr>
                <w:noProof/>
                <w:webHidden/>
              </w:rPr>
              <w:fldChar w:fldCharType="begin"/>
            </w:r>
            <w:r>
              <w:rPr>
                <w:noProof/>
                <w:webHidden/>
              </w:rPr>
              <w:instrText xml:space="preserve"> PAGEREF _Toc38449123 \h </w:instrText>
            </w:r>
            <w:r>
              <w:rPr>
                <w:noProof/>
                <w:webHidden/>
              </w:rPr>
            </w:r>
            <w:r>
              <w:rPr>
                <w:noProof/>
                <w:webHidden/>
              </w:rPr>
              <w:fldChar w:fldCharType="separate"/>
            </w:r>
            <w:r>
              <w:rPr>
                <w:noProof/>
                <w:webHidden/>
              </w:rPr>
              <w:t>12</w:t>
            </w:r>
            <w:r>
              <w:rPr>
                <w:noProof/>
                <w:webHidden/>
              </w:rPr>
              <w:fldChar w:fldCharType="end"/>
            </w:r>
          </w:hyperlink>
        </w:p>
        <w:p w14:paraId="50300BF0" w14:textId="31DD8393" w:rsidR="004E7FB9" w:rsidRDefault="004E7FB9">
          <w:pPr>
            <w:pStyle w:val="TOC1"/>
            <w:tabs>
              <w:tab w:val="right" w:leader="dot" w:pos="9016"/>
            </w:tabs>
            <w:rPr>
              <w:rFonts w:asciiTheme="minorHAnsi" w:eastAsiaTheme="minorEastAsia" w:hAnsiTheme="minorHAnsi" w:cstheme="minorBidi"/>
              <w:noProof/>
              <w:sz w:val="22"/>
              <w:szCs w:val="22"/>
            </w:rPr>
          </w:pPr>
          <w:hyperlink w:anchor="_Toc38449124" w:history="1">
            <w:r w:rsidRPr="008F6E89">
              <w:rPr>
                <w:rStyle w:val="Hyperlink"/>
                <w:noProof/>
              </w:rPr>
              <w:t>Discussion</w:t>
            </w:r>
            <w:r>
              <w:rPr>
                <w:noProof/>
                <w:webHidden/>
              </w:rPr>
              <w:tab/>
            </w:r>
            <w:r>
              <w:rPr>
                <w:noProof/>
                <w:webHidden/>
              </w:rPr>
              <w:fldChar w:fldCharType="begin"/>
            </w:r>
            <w:r>
              <w:rPr>
                <w:noProof/>
                <w:webHidden/>
              </w:rPr>
              <w:instrText xml:space="preserve"> PAGEREF _Toc38449124 \h </w:instrText>
            </w:r>
            <w:r>
              <w:rPr>
                <w:noProof/>
                <w:webHidden/>
              </w:rPr>
            </w:r>
            <w:r>
              <w:rPr>
                <w:noProof/>
                <w:webHidden/>
              </w:rPr>
              <w:fldChar w:fldCharType="separate"/>
            </w:r>
            <w:r>
              <w:rPr>
                <w:noProof/>
                <w:webHidden/>
              </w:rPr>
              <w:t>12</w:t>
            </w:r>
            <w:r>
              <w:rPr>
                <w:noProof/>
                <w:webHidden/>
              </w:rPr>
              <w:fldChar w:fldCharType="end"/>
            </w:r>
          </w:hyperlink>
        </w:p>
        <w:p w14:paraId="5E46D665" w14:textId="3BAE0025" w:rsidR="004E7FB9" w:rsidRDefault="004E7FB9">
          <w:pPr>
            <w:pStyle w:val="TOC1"/>
            <w:tabs>
              <w:tab w:val="right" w:leader="dot" w:pos="9016"/>
            </w:tabs>
            <w:rPr>
              <w:rFonts w:asciiTheme="minorHAnsi" w:eastAsiaTheme="minorEastAsia" w:hAnsiTheme="minorHAnsi" w:cstheme="minorBidi"/>
              <w:noProof/>
              <w:sz w:val="22"/>
              <w:szCs w:val="22"/>
            </w:rPr>
          </w:pPr>
          <w:hyperlink w:anchor="_Toc38449125" w:history="1">
            <w:r w:rsidRPr="008F6E89">
              <w:rPr>
                <w:rStyle w:val="Hyperlink"/>
                <w:noProof/>
              </w:rPr>
              <w:t>Appendix 1</w:t>
            </w:r>
            <w:r>
              <w:rPr>
                <w:noProof/>
                <w:webHidden/>
              </w:rPr>
              <w:tab/>
            </w:r>
            <w:r>
              <w:rPr>
                <w:noProof/>
                <w:webHidden/>
              </w:rPr>
              <w:fldChar w:fldCharType="begin"/>
            </w:r>
            <w:r>
              <w:rPr>
                <w:noProof/>
                <w:webHidden/>
              </w:rPr>
              <w:instrText xml:space="preserve"> PAGEREF _Toc38449125 \h </w:instrText>
            </w:r>
            <w:r>
              <w:rPr>
                <w:noProof/>
                <w:webHidden/>
              </w:rPr>
            </w:r>
            <w:r>
              <w:rPr>
                <w:noProof/>
                <w:webHidden/>
              </w:rPr>
              <w:fldChar w:fldCharType="separate"/>
            </w:r>
            <w:r>
              <w:rPr>
                <w:noProof/>
                <w:webHidden/>
              </w:rPr>
              <w:t>14</w:t>
            </w:r>
            <w:r>
              <w:rPr>
                <w:noProof/>
                <w:webHidden/>
              </w:rPr>
              <w:fldChar w:fldCharType="end"/>
            </w:r>
          </w:hyperlink>
        </w:p>
        <w:p w14:paraId="5E9BC338" w14:textId="341EF291" w:rsidR="004E7FB9" w:rsidRDefault="004E7FB9">
          <w:pPr>
            <w:pStyle w:val="TOC1"/>
            <w:tabs>
              <w:tab w:val="right" w:leader="dot" w:pos="9016"/>
            </w:tabs>
            <w:rPr>
              <w:rFonts w:asciiTheme="minorHAnsi" w:eastAsiaTheme="minorEastAsia" w:hAnsiTheme="minorHAnsi" w:cstheme="minorBidi"/>
              <w:noProof/>
              <w:sz w:val="22"/>
              <w:szCs w:val="22"/>
            </w:rPr>
          </w:pPr>
          <w:hyperlink w:anchor="_Toc38449126" w:history="1">
            <w:r w:rsidRPr="008F6E89">
              <w:rPr>
                <w:rStyle w:val="Hyperlink"/>
                <w:noProof/>
              </w:rPr>
              <w:t>References</w:t>
            </w:r>
            <w:r>
              <w:rPr>
                <w:noProof/>
                <w:webHidden/>
              </w:rPr>
              <w:tab/>
            </w:r>
            <w:r>
              <w:rPr>
                <w:noProof/>
                <w:webHidden/>
              </w:rPr>
              <w:fldChar w:fldCharType="begin"/>
            </w:r>
            <w:r>
              <w:rPr>
                <w:noProof/>
                <w:webHidden/>
              </w:rPr>
              <w:instrText xml:space="preserve"> PAGEREF _Toc38449126 \h </w:instrText>
            </w:r>
            <w:r>
              <w:rPr>
                <w:noProof/>
                <w:webHidden/>
              </w:rPr>
            </w:r>
            <w:r>
              <w:rPr>
                <w:noProof/>
                <w:webHidden/>
              </w:rPr>
              <w:fldChar w:fldCharType="separate"/>
            </w:r>
            <w:r>
              <w:rPr>
                <w:noProof/>
                <w:webHidden/>
              </w:rPr>
              <w:t>15</w:t>
            </w:r>
            <w:r>
              <w:rPr>
                <w:noProof/>
                <w:webHidden/>
              </w:rPr>
              <w:fldChar w:fldCharType="end"/>
            </w:r>
          </w:hyperlink>
        </w:p>
        <w:p w14:paraId="5B7909CF" w14:textId="597163F3" w:rsidR="007C3FDB" w:rsidRDefault="004E7FB9" w:rsidP="007C3FDB">
          <w:pPr>
            <w:spacing w:after="240" w:line="360" w:lineRule="auto"/>
          </w:pPr>
          <w:r>
            <w:rPr>
              <w:rFonts w:ascii="Calibri" w:eastAsia="Times New Roman" w:hAnsi="Calibri" w:cs="Times New Roman"/>
              <w:sz w:val="24"/>
              <w:szCs w:val="24"/>
              <w:lang w:eastAsia="en-AU"/>
            </w:rPr>
            <w:fldChar w:fldCharType="end"/>
          </w:r>
        </w:p>
      </w:sdtContent>
    </w:sdt>
    <w:p w14:paraId="62386021" w14:textId="77777777" w:rsidR="007C3FDB" w:rsidRPr="00FC4613" w:rsidRDefault="007C3FDB" w:rsidP="007C3FDB">
      <w:pPr>
        <w:rPr>
          <w:rFonts w:cstheme="minorHAnsi"/>
          <w:b/>
          <w:noProof/>
          <w:color w:val="000000" w:themeColor="text1"/>
          <w:u w:val="single"/>
        </w:rPr>
      </w:pPr>
      <w:r w:rsidRPr="00D5016E">
        <w:rPr>
          <w:rStyle w:val="Hyperlink"/>
          <w:rFonts w:cstheme="minorHAnsi"/>
          <w:b/>
          <w:noProof/>
          <w:color w:val="000000" w:themeColor="text1"/>
        </w:rPr>
        <w:br w:type="page"/>
      </w:r>
    </w:p>
    <w:p w14:paraId="27CCC65B" w14:textId="422043FF" w:rsidR="007C3FDB" w:rsidRPr="008A3F37" w:rsidRDefault="007C3FDB" w:rsidP="0062396B">
      <w:pPr>
        <w:pStyle w:val="Heading1"/>
      </w:pPr>
      <w:bookmarkStart w:id="0" w:name="_Toc38449117"/>
      <w:r w:rsidRPr="008A3F37">
        <w:t>Executive summary</w:t>
      </w:r>
      <w:bookmarkEnd w:id="0"/>
      <w:r w:rsidRPr="008A3F37">
        <w:t xml:space="preserve"> </w:t>
      </w:r>
    </w:p>
    <w:p w14:paraId="75E247E7" w14:textId="1E6B2EC9" w:rsidR="007C3FDB" w:rsidRPr="008A3F37" w:rsidRDefault="007C3FDB" w:rsidP="0062396B">
      <w:pPr>
        <w:pStyle w:val="Heading2"/>
      </w:pPr>
      <w:r w:rsidRPr="008A3F37">
        <w:t xml:space="preserve">Shared reform directions and key </w:t>
      </w:r>
      <w:r w:rsidRPr="0062396B">
        <w:t>principles</w:t>
      </w:r>
      <w:r w:rsidRPr="008A3F37">
        <w:t xml:space="preserve"> for supporting students with disability in schools </w:t>
      </w:r>
    </w:p>
    <w:p w14:paraId="04ED67A0" w14:textId="1D477DA9" w:rsidR="007C3FDB" w:rsidRPr="00C969D8" w:rsidRDefault="007C3FDB" w:rsidP="007C3FDB">
      <w:r w:rsidRPr="00C969D8">
        <w:t>While there are significant differences across and within</w:t>
      </w:r>
      <w:r w:rsidR="00EB0A68">
        <w:t xml:space="preserve"> approved system authorities (Systems)</w:t>
      </w:r>
      <w:r w:rsidR="00EB0A68" w:rsidRPr="00D61BBC">
        <w:t xml:space="preserve"> </w:t>
      </w:r>
      <w:r w:rsidR="00D61BBC">
        <w:t xml:space="preserve">in the way </w:t>
      </w:r>
      <w:r w:rsidR="00D61BBC" w:rsidRPr="00C969D8">
        <w:t xml:space="preserve">students with disability </w:t>
      </w:r>
      <w:r w:rsidR="00D562CC">
        <w:t xml:space="preserve">are supported </w:t>
      </w:r>
      <w:r w:rsidR="00D61BBC" w:rsidRPr="00C969D8">
        <w:t>in Australian schools</w:t>
      </w:r>
      <w:r w:rsidRPr="00C969D8">
        <w:t xml:space="preserve">, representing the impact of their separate </w:t>
      </w:r>
      <w:r w:rsidR="00EB0A68">
        <w:t>socio-</w:t>
      </w:r>
      <w:r w:rsidRPr="00C969D8">
        <w:t>political contexts and  evolving policy, values and beliefs about disability and pedagogy, it is possible to identify common reform directions</w:t>
      </w:r>
      <w:r w:rsidR="00D61BBC">
        <w:t>.</w:t>
      </w:r>
      <w:r w:rsidRPr="00C969D8">
        <w:t xml:space="preserve">. </w:t>
      </w:r>
    </w:p>
    <w:p w14:paraId="096262FA" w14:textId="5AAC8885" w:rsidR="00D562CC" w:rsidRDefault="007C3FDB" w:rsidP="007C3FDB">
      <w:r w:rsidRPr="00C969D8">
        <w:t xml:space="preserve">There is a </w:t>
      </w:r>
      <w:r w:rsidR="00510147">
        <w:t xml:space="preserve">shared </w:t>
      </w:r>
      <w:r w:rsidRPr="00C969D8">
        <w:t xml:space="preserve">direction and commitment across all </w:t>
      </w:r>
      <w:r w:rsidR="00441B08">
        <w:t>System</w:t>
      </w:r>
      <w:r w:rsidRPr="00C969D8">
        <w:t xml:space="preserve">s to deliver an excellent education to every child and young person with a disability, on the same basis as their peers, through schooling systems that have inclusion at the heart of their culture, curriculum, pedagogy and practices. This is evidenced over the last ten years by Commonwealth, state and territory government reviews, reports and policy development related to students with </w:t>
      </w:r>
      <w:r w:rsidR="00D562CC">
        <w:t>disability</w:t>
      </w:r>
      <w:r w:rsidRPr="00C969D8">
        <w:t xml:space="preserve"> in schools. Taken together, they set out a broad approach to strengthening inclusion and maximising participation and achievement for all students. </w:t>
      </w:r>
    </w:p>
    <w:p w14:paraId="22AD1E99" w14:textId="27FE4523" w:rsidR="007C3FDB" w:rsidRPr="00C969D8" w:rsidRDefault="007C3FDB" w:rsidP="007C3FDB">
      <w:r w:rsidRPr="00C969D8">
        <w:t xml:space="preserve">This shared commitment and policy direction </w:t>
      </w:r>
      <w:r w:rsidR="00D562CC" w:rsidRPr="00C969D8">
        <w:t>ha</w:t>
      </w:r>
      <w:r w:rsidR="00D562CC">
        <w:t>s</w:t>
      </w:r>
      <w:r w:rsidR="00D562CC" w:rsidRPr="00C969D8">
        <w:t xml:space="preserve"> </w:t>
      </w:r>
      <w:r w:rsidRPr="00C969D8">
        <w:t xml:space="preserve">been strengthened by </w:t>
      </w:r>
      <w:r w:rsidR="00D562CC" w:rsidRPr="00C969D8">
        <w:t>the requirements set out in the Disability Standards</w:t>
      </w:r>
      <w:r w:rsidR="00D562CC">
        <w:t xml:space="preserve"> for Education (DSE) and</w:t>
      </w:r>
      <w:r w:rsidR="00D562CC" w:rsidRPr="00C969D8">
        <w:t xml:space="preserve"> </w:t>
      </w:r>
      <w:r w:rsidRPr="00C969D8">
        <w:t xml:space="preserve">the introduction of the Nationally Consistent Collection of Data on </w:t>
      </w:r>
      <w:r w:rsidR="00D61BBC">
        <w:t xml:space="preserve">School </w:t>
      </w:r>
      <w:r w:rsidRPr="00C969D8">
        <w:t>Students with Disability (NCCD)</w:t>
      </w:r>
      <w:r w:rsidR="00D562CC">
        <w:t xml:space="preserve">. </w:t>
      </w:r>
      <w:r w:rsidRPr="00C969D8">
        <w:t xml:space="preserve">Ongoing implementation of the NCCD and development of associated guidance materials is likely to continue to play a part in shaping future reform directions and funding approaches across all jurisdictions and sectors. </w:t>
      </w:r>
    </w:p>
    <w:p w14:paraId="667B9345" w14:textId="0B906CE2" w:rsidR="007C3FDB" w:rsidRPr="00D562CC" w:rsidRDefault="007C3FDB" w:rsidP="0062396B">
      <w:pPr>
        <w:pStyle w:val="Heading2"/>
      </w:pPr>
      <w:r w:rsidRPr="00D562CC">
        <w:t xml:space="preserve">Differences in </w:t>
      </w:r>
      <w:r w:rsidR="00441B08">
        <w:t>System</w:t>
      </w:r>
      <w:r w:rsidRPr="00D562CC">
        <w:t xml:space="preserve"> funding arrangements and impact on this project</w:t>
      </w:r>
    </w:p>
    <w:p w14:paraId="2DCDA70B" w14:textId="07C4374F" w:rsidR="007C3FDB" w:rsidRPr="00C969D8" w:rsidRDefault="007C3FDB" w:rsidP="007C3FDB">
      <w:r w:rsidRPr="00C969D8">
        <w:t xml:space="preserve">There is a considerable difference between </w:t>
      </w:r>
      <w:r w:rsidR="00510147">
        <w:t>g</w:t>
      </w:r>
      <w:r w:rsidR="00510147" w:rsidRPr="00C969D8">
        <w:t>overnment</w:t>
      </w:r>
      <w:r w:rsidRPr="00C969D8">
        <w:t xml:space="preserve">, Catholic and </w:t>
      </w:r>
      <w:r w:rsidR="00510147">
        <w:t>i</w:t>
      </w:r>
      <w:r w:rsidR="00510147" w:rsidRPr="00C969D8">
        <w:t xml:space="preserve">ndependent </w:t>
      </w:r>
      <w:r w:rsidR="00441B08">
        <w:t>System</w:t>
      </w:r>
      <w:r w:rsidRPr="00C969D8">
        <w:t xml:space="preserve"> approaches to school funding for students with </w:t>
      </w:r>
      <w:r w:rsidR="00D562CC">
        <w:t>disability</w:t>
      </w:r>
      <w:r w:rsidRPr="00C969D8">
        <w:t xml:space="preserve">. While each </w:t>
      </w:r>
      <w:r w:rsidR="00441B08">
        <w:t>System</w:t>
      </w:r>
      <w:r w:rsidRPr="00C969D8">
        <w:t xml:space="preserve"> uses a combination of Commonwealth and </w:t>
      </w:r>
      <w:r w:rsidR="00441B08">
        <w:t>System</w:t>
      </w:r>
      <w:r w:rsidRPr="00C969D8">
        <w:t xml:space="preserve"> funding to support the full cohort of students with </w:t>
      </w:r>
      <w:r w:rsidR="00D562CC">
        <w:t>disability</w:t>
      </w:r>
      <w:r w:rsidRPr="00C969D8">
        <w:t xml:space="preserve"> captured in the NCCD, the mechanisms used to fund schools for this cohort vary considerably.</w:t>
      </w:r>
    </w:p>
    <w:p w14:paraId="458E16D4" w14:textId="60A35042" w:rsidR="007C3FDB" w:rsidRPr="00C969D8" w:rsidRDefault="007C3FDB" w:rsidP="007C3FDB">
      <w:r w:rsidRPr="00C969D8">
        <w:t xml:space="preserve">The aims of this project required the use of comparable </w:t>
      </w:r>
      <w:r w:rsidR="00441B08">
        <w:t>System</w:t>
      </w:r>
      <w:r w:rsidRPr="00C969D8">
        <w:t xml:space="preserve"> data. Targeted funding programs were identified as the best source of comparable data as they provide funding to schools based on a targeted cohort and a number of specific students, whose eligibility is recorded in a centralised database. Although all </w:t>
      </w:r>
      <w:r w:rsidR="00441B08">
        <w:t>System</w:t>
      </w:r>
      <w:r w:rsidRPr="00C969D8">
        <w:t xml:space="preserve">s fund schools to make adjustments for students with </w:t>
      </w:r>
      <w:r w:rsidR="00D562CC">
        <w:t>disability</w:t>
      </w:r>
      <w:r w:rsidRPr="00C969D8">
        <w:t xml:space="preserve">, this type of comparable program data is not available within the broader needs-based school funding approaches used by the Catholic and </w:t>
      </w:r>
      <w:r w:rsidR="00D562CC">
        <w:t>i</w:t>
      </w:r>
      <w:r w:rsidR="00D562CC" w:rsidRPr="00C969D8">
        <w:t xml:space="preserve">ndependent </w:t>
      </w:r>
      <w:r w:rsidRPr="00C969D8">
        <w:t xml:space="preserve">Schools </w:t>
      </w:r>
      <w:r w:rsidR="00441B08">
        <w:t>System</w:t>
      </w:r>
      <w:r w:rsidRPr="00C969D8">
        <w:t xml:space="preserve">s. For this reason, this project focused on government </w:t>
      </w:r>
      <w:r w:rsidR="00441B08">
        <w:t>System</w:t>
      </w:r>
      <w:r w:rsidRPr="00C969D8">
        <w:t>s only.</w:t>
      </w:r>
    </w:p>
    <w:p w14:paraId="770EA7F1" w14:textId="44D1B2F9" w:rsidR="007C3FDB" w:rsidRPr="00D562CC" w:rsidRDefault="007C3FDB" w:rsidP="0062396B">
      <w:pPr>
        <w:pStyle w:val="Heading2"/>
      </w:pPr>
      <w:r w:rsidRPr="00D562CC">
        <w:t xml:space="preserve">State and territory government </w:t>
      </w:r>
      <w:r w:rsidR="00441B08">
        <w:t>System</w:t>
      </w:r>
      <w:r w:rsidRPr="00D562CC">
        <w:t xml:space="preserve"> funding arrangements for students with </w:t>
      </w:r>
      <w:r w:rsidR="00D562CC">
        <w:t>disability</w:t>
      </w:r>
    </w:p>
    <w:p w14:paraId="084DBC18" w14:textId="38D1B5AB" w:rsidR="007C3FDB" w:rsidRPr="00C969D8" w:rsidRDefault="007C3FDB" w:rsidP="007C3FDB">
      <w:r w:rsidRPr="00C969D8">
        <w:t xml:space="preserve">Government </w:t>
      </w:r>
      <w:r w:rsidR="00441B08">
        <w:t>System</w:t>
      </w:r>
      <w:r w:rsidRPr="00C969D8">
        <w:t>s use two main programmatic approaches to distribut</w:t>
      </w:r>
      <w:r w:rsidR="00D562CC">
        <w:t>e</w:t>
      </w:r>
      <w:r w:rsidRPr="00C969D8">
        <w:t xml:space="preserve"> funding for students with </w:t>
      </w:r>
      <w:r w:rsidR="00D562CC">
        <w:t>disability</w:t>
      </w:r>
      <w:r w:rsidRPr="00C969D8">
        <w:t xml:space="preserve"> to schools.</w:t>
      </w:r>
    </w:p>
    <w:p w14:paraId="29359BCB" w14:textId="77777777" w:rsidR="007C3FDB" w:rsidRPr="00C969D8" w:rsidRDefault="007C3FDB" w:rsidP="007C3FDB">
      <w:r w:rsidRPr="00C969D8">
        <w:t xml:space="preserve">A </w:t>
      </w:r>
      <w:r w:rsidRPr="00C969D8">
        <w:rPr>
          <w:rStyle w:val="SubtleEmphasis"/>
        </w:rPr>
        <w:t>targeted funding program</w:t>
      </w:r>
      <w:r w:rsidRPr="00C969D8">
        <w:t xml:space="preserve"> for a known set of students with moderate to high needs, using specific disability criteria and evidentiary requirements. This cohort will not reflect all students with disability who receive support and who are captured in the NCCD. </w:t>
      </w:r>
    </w:p>
    <w:p w14:paraId="08A681A2" w14:textId="221517D7" w:rsidR="007C3FDB" w:rsidRPr="00C969D8" w:rsidRDefault="007C3FDB" w:rsidP="007C3FDB">
      <w:r w:rsidRPr="00C969D8">
        <w:t xml:space="preserve">An </w:t>
      </w:r>
      <w:r w:rsidRPr="00C969D8">
        <w:rPr>
          <w:rStyle w:val="SubtleEmphasis"/>
        </w:rPr>
        <w:t>equity-based program</w:t>
      </w:r>
      <w:r w:rsidRPr="00C969D8">
        <w:t xml:space="preserve"> that allocates funding to schools for students with disability identified </w:t>
      </w:r>
      <w:r w:rsidR="00DF4A1A">
        <w:t>with</w:t>
      </w:r>
      <w:r w:rsidR="00DF4A1A" w:rsidRPr="00C969D8">
        <w:t xml:space="preserve"> </w:t>
      </w:r>
      <w:r w:rsidRPr="00C969D8">
        <w:t xml:space="preserve">lower levels of need. This is derived using an equity formula (which may include consideration of variables including enrolment, attendance and achievement). Schools use the allocated funding to support those students with disability who require reasonable </w:t>
      </w:r>
      <w:r>
        <w:t>adjustments—</w:t>
      </w:r>
      <w:r w:rsidR="00DF4A1A">
        <w:t>most</w:t>
      </w:r>
      <w:r w:rsidRPr="00C969D8">
        <w:t xml:space="preserve"> of whom </w:t>
      </w:r>
      <w:r w:rsidR="00DF4A1A">
        <w:t>will</w:t>
      </w:r>
      <w:r w:rsidR="00DF4A1A" w:rsidRPr="00C969D8">
        <w:t xml:space="preserve"> </w:t>
      </w:r>
      <w:r w:rsidRPr="00C969D8">
        <w:t xml:space="preserve">not meet the moderate to severe criteria for the targeted funding program of their </w:t>
      </w:r>
      <w:r w:rsidR="00441B08">
        <w:t>System</w:t>
      </w:r>
      <w:r w:rsidRPr="00C969D8">
        <w:t xml:space="preserve">. These students will be captured in the NCCD but not necessarily on </w:t>
      </w:r>
      <w:r w:rsidR="00441B08">
        <w:t>System</w:t>
      </w:r>
      <w:r w:rsidRPr="00C969D8">
        <w:t xml:space="preserve"> databases of students with disability who attract targeted disability funding to their school.</w:t>
      </w:r>
    </w:p>
    <w:p w14:paraId="76C7D0E1" w14:textId="1DC6776C" w:rsidR="007C3FDB" w:rsidRPr="00C969D8" w:rsidRDefault="007C3FDB" w:rsidP="007C3FDB">
      <w:r w:rsidRPr="00C969D8">
        <w:t xml:space="preserve">While each government </w:t>
      </w:r>
      <w:r w:rsidR="00441B08">
        <w:t>System</w:t>
      </w:r>
      <w:r w:rsidRPr="00C969D8">
        <w:t xml:space="preserve"> has a range of programs, services and funding arrangements to address the needs of all students with </w:t>
      </w:r>
      <w:r w:rsidR="00D562CC">
        <w:t>disability</w:t>
      </w:r>
      <w:r w:rsidRPr="00C969D8">
        <w:t xml:space="preserve">, their targeted funding programs provide specific resourcing to support schools to make the reasonable adjustments required for students with a specific form of disability and moderate to high needs.  </w:t>
      </w:r>
    </w:p>
    <w:p w14:paraId="6AA54E4F" w14:textId="61A311E7" w:rsidR="007C3FDB" w:rsidRPr="00DF4A1A" w:rsidRDefault="007C3FDB" w:rsidP="0062396B">
      <w:pPr>
        <w:pStyle w:val="Heading2"/>
      </w:pPr>
      <w:r w:rsidRPr="00DF4A1A">
        <w:t>Impact of the N</w:t>
      </w:r>
      <w:r w:rsidR="00DF4A1A">
        <w:t>ational Disability Insurance Scheme (N</w:t>
      </w:r>
      <w:r w:rsidRPr="00DF4A1A">
        <w:t>DIS</w:t>
      </w:r>
      <w:r w:rsidR="00DF4A1A">
        <w:t>)</w:t>
      </w:r>
      <w:r w:rsidRPr="00DF4A1A">
        <w:t xml:space="preserve"> </w:t>
      </w:r>
    </w:p>
    <w:p w14:paraId="62BA0F3A" w14:textId="27CB9B28" w:rsidR="007C3FDB" w:rsidRPr="00C969D8" w:rsidRDefault="007C3FDB" w:rsidP="007C3FDB">
      <w:r w:rsidRPr="00C969D8">
        <w:t xml:space="preserve">The impact of the NDIS on </w:t>
      </w:r>
      <w:r w:rsidR="00441B08">
        <w:t>System</w:t>
      </w:r>
      <w:r w:rsidRPr="00C969D8">
        <w:t xml:space="preserve"> funding for students with </w:t>
      </w:r>
      <w:r w:rsidR="00D562CC">
        <w:t>disability</w:t>
      </w:r>
      <w:r w:rsidRPr="00C969D8">
        <w:t xml:space="preserve"> and high needs is yet to be fully determined as negotiations on scope, timing and responsibilities continue. The provision of personal care in schools and student transport are a focus of current negotiations.</w:t>
      </w:r>
      <w:r w:rsidR="00DF4A1A">
        <w:t xml:space="preserve"> T</w:t>
      </w:r>
      <w:r w:rsidR="00DF4A1A" w:rsidRPr="00C969D8">
        <w:t>his is an area that will benefit</w:t>
      </w:r>
      <w:r w:rsidR="00DF4A1A">
        <w:t xml:space="preserve"> from further consideration</w:t>
      </w:r>
      <w:r w:rsidR="00E903B2">
        <w:t xml:space="preserve"> at a later time</w:t>
      </w:r>
      <w:r w:rsidR="00DF4A1A">
        <w:t>.</w:t>
      </w:r>
    </w:p>
    <w:p w14:paraId="16E71ECE" w14:textId="384E29E8" w:rsidR="007C3FDB" w:rsidRPr="00DF4A1A" w:rsidRDefault="007C3FDB" w:rsidP="0062396B">
      <w:pPr>
        <w:pStyle w:val="Heading2"/>
      </w:pPr>
      <w:r w:rsidRPr="00DF4A1A">
        <w:t xml:space="preserve">Funding relativities between </w:t>
      </w:r>
      <w:r w:rsidR="00441B08">
        <w:t>System</w:t>
      </w:r>
      <w:r w:rsidRPr="00DF4A1A">
        <w:t xml:space="preserve"> targeted programs and NCCD levels of adjustment </w:t>
      </w:r>
    </w:p>
    <w:p w14:paraId="3B958C8B" w14:textId="135715FD" w:rsidR="007C3FDB" w:rsidRPr="00C969D8" w:rsidRDefault="007C3FDB" w:rsidP="007C3FDB">
      <w:r w:rsidRPr="00C969D8">
        <w:t xml:space="preserve">2018 </w:t>
      </w:r>
      <w:r w:rsidR="00441B08">
        <w:t>System</w:t>
      </w:r>
      <w:r w:rsidRPr="00C969D8">
        <w:t xml:space="preserve"> data on targeted funding programs </w:t>
      </w:r>
      <w:r w:rsidR="006C6906">
        <w:t>was</w:t>
      </w:r>
      <w:r w:rsidRPr="00C969D8">
        <w:t xml:space="preserve"> cross matched with 2018 NCCD data to provide an overview of the relationship between </w:t>
      </w:r>
      <w:r w:rsidR="00441B08">
        <w:t>System</w:t>
      </w:r>
      <w:r w:rsidRPr="00C969D8">
        <w:t xml:space="preserve"> program allocations and NCCD adjustment levels. </w:t>
      </w:r>
      <w:r w:rsidR="006C6906">
        <w:t xml:space="preserve">The analysis includes data from seven state and territory government </w:t>
      </w:r>
      <w:r w:rsidR="00441B08">
        <w:t>System</w:t>
      </w:r>
      <w:r w:rsidR="006C6906">
        <w:t>s</w:t>
      </w:r>
      <w:r w:rsidRPr="00C969D8">
        <w:t>:</w:t>
      </w:r>
    </w:p>
    <w:p w14:paraId="733D83D0" w14:textId="2BA82DC7" w:rsidR="007C3FDB" w:rsidRPr="00C969D8" w:rsidRDefault="007C3FDB" w:rsidP="00510147">
      <w:pPr>
        <w:pStyle w:val="ListBullet"/>
      </w:pPr>
      <w:r w:rsidRPr="00C969D8">
        <w:t xml:space="preserve">Four </w:t>
      </w:r>
      <w:r w:rsidR="00441B08">
        <w:t>System</w:t>
      </w:r>
      <w:r w:rsidR="006C6906">
        <w:t xml:space="preserve">s </w:t>
      </w:r>
      <w:r w:rsidRPr="00C969D8">
        <w:t xml:space="preserve">provided data on their targeted program expenditure by level and the number of students supported by those programs (by NCCD level) </w:t>
      </w:r>
    </w:p>
    <w:p w14:paraId="19F6C22B" w14:textId="6B847385" w:rsidR="007C3FDB" w:rsidRPr="00C969D8" w:rsidRDefault="007C3FDB" w:rsidP="00D562CC">
      <w:pPr>
        <w:pStyle w:val="ListBullet"/>
      </w:pPr>
      <w:r w:rsidRPr="00C969D8">
        <w:t xml:space="preserve">One </w:t>
      </w:r>
      <w:r w:rsidR="00441B08">
        <w:t>System</w:t>
      </w:r>
      <w:r w:rsidR="006C6906">
        <w:t xml:space="preserve"> </w:t>
      </w:r>
      <w:r w:rsidRPr="00C969D8">
        <w:t>provided information on targeted program FTE allocations to support students with disability, as well as the number of students supported (by NCCD level). The FTE information was converted into dollar figures for the purposes of this project</w:t>
      </w:r>
    </w:p>
    <w:p w14:paraId="2A83ABFC" w14:textId="2D9638D7" w:rsidR="007C3FDB" w:rsidRPr="00C969D8" w:rsidRDefault="007C3FDB" w:rsidP="00D562CC">
      <w:pPr>
        <w:pStyle w:val="ListBullet"/>
      </w:pPr>
      <w:r w:rsidRPr="00C969D8">
        <w:t xml:space="preserve">One </w:t>
      </w:r>
      <w:r w:rsidR="00441B08">
        <w:t>System</w:t>
      </w:r>
      <w:r w:rsidR="006C6906">
        <w:t xml:space="preserve"> </w:t>
      </w:r>
      <w:r w:rsidRPr="00C969D8">
        <w:t>provided high-level information on targeted program expenditure but was not able to provide the numbers of students supported by NCCD level</w:t>
      </w:r>
    </w:p>
    <w:p w14:paraId="1869BD83" w14:textId="770F5BC8" w:rsidR="007C3FDB" w:rsidRPr="00C969D8" w:rsidRDefault="007C3FDB" w:rsidP="00DF4A1A">
      <w:pPr>
        <w:pStyle w:val="ListBullet"/>
      </w:pPr>
      <w:r w:rsidRPr="00C969D8">
        <w:t xml:space="preserve">Publicly available information on targeted program expenditure was sourced for a seventh </w:t>
      </w:r>
      <w:r w:rsidR="00441B08">
        <w:t>System</w:t>
      </w:r>
      <w:r w:rsidRPr="00C969D8">
        <w:t>. Information on the numbers of students supported (by NCCD level) was not available.</w:t>
      </w:r>
    </w:p>
    <w:p w14:paraId="2B9811B3" w14:textId="0EF79B23" w:rsidR="007C3FDB" w:rsidRPr="00C969D8" w:rsidRDefault="007C3FDB" w:rsidP="007C3FDB">
      <w:r w:rsidRPr="00C969D8">
        <w:t xml:space="preserve">While comparisons need to be made with caution, the data provides high-level information about funding relativities across the three </w:t>
      </w:r>
      <w:r w:rsidR="006C6906">
        <w:t xml:space="preserve">NCCD </w:t>
      </w:r>
      <w:r w:rsidRPr="00C969D8">
        <w:t xml:space="preserve">levels of adjustment, which may be useful for considering the settings for the Commonwealth students with disability loading. </w:t>
      </w:r>
    </w:p>
    <w:p w14:paraId="03EBC1F8" w14:textId="24DE53C8" w:rsidR="007C3FDB" w:rsidRPr="00C969D8" w:rsidRDefault="007C3FDB" w:rsidP="007C3FDB">
      <w:r w:rsidRPr="00C969D8">
        <w:t xml:space="preserve">Data from five of the state and territory </w:t>
      </w:r>
      <w:r w:rsidR="00441B08">
        <w:t>System</w:t>
      </w:r>
      <w:r w:rsidRPr="00C969D8">
        <w:t>s is presented in the tables below to show:</w:t>
      </w:r>
    </w:p>
    <w:p w14:paraId="067CF494" w14:textId="1F35FA5D" w:rsidR="007C3FDB" w:rsidRPr="006C6906" w:rsidRDefault="007C3FDB" w:rsidP="00510147">
      <w:pPr>
        <w:pStyle w:val="ListBullet"/>
      </w:pPr>
      <w:r w:rsidRPr="006C6906">
        <w:t xml:space="preserve">Average per student targeted program expenditure aligned to NCCD levels of adjustment </w:t>
      </w:r>
    </w:p>
    <w:p w14:paraId="02BF8F10" w14:textId="74D28CEF" w:rsidR="007C3FDB" w:rsidRPr="006C6906" w:rsidRDefault="007C3FDB" w:rsidP="00D562CC">
      <w:pPr>
        <w:pStyle w:val="ListBullet"/>
      </w:pPr>
      <w:r w:rsidRPr="006C6906">
        <w:t>Average per student targeted program expenditure aligned to system distribution</w:t>
      </w:r>
    </w:p>
    <w:p w14:paraId="09DFFC42" w14:textId="0CD279B1" w:rsidR="007C3FDB" w:rsidRPr="006C6906" w:rsidRDefault="007C3FDB" w:rsidP="00D562CC">
      <w:pPr>
        <w:pStyle w:val="ListBullet"/>
      </w:pPr>
      <w:r w:rsidRPr="006C6906">
        <w:t xml:space="preserve">Average per student targeted program expenditure aligned to NCCD levels of adjustment (expressed as relativities) </w:t>
      </w:r>
      <w:r w:rsidR="00C0179F">
        <w:t xml:space="preserve">and </w:t>
      </w:r>
      <w:r w:rsidRPr="006C6906">
        <w:t>average per-student targeted program expenditure aligned to system distribution (expressed as relativities)</w:t>
      </w:r>
    </w:p>
    <w:p w14:paraId="70DD203B" w14:textId="77777777" w:rsidR="007C3FDB" w:rsidRPr="00510147" w:rsidRDefault="007C3FDB" w:rsidP="00C0179F">
      <w:pPr>
        <w:pStyle w:val="ListBullet"/>
      </w:pPr>
      <w:r w:rsidRPr="00510147">
        <w:t>Proportion of the NCCD population funded under targeted programs.</w:t>
      </w:r>
    </w:p>
    <w:p w14:paraId="6E2A675D" w14:textId="58BDEA8B" w:rsidR="00C0179F" w:rsidRDefault="00C0179F">
      <w:pPr>
        <w:rPr>
          <w:rFonts w:cstheme="minorHAnsi"/>
          <w:sz w:val="24"/>
          <w:szCs w:val="24"/>
        </w:rPr>
      </w:pPr>
      <w:r>
        <w:rPr>
          <w:rFonts w:cstheme="minorHAnsi"/>
          <w:sz w:val="24"/>
          <w:szCs w:val="24"/>
        </w:rPr>
        <w:br w:type="page"/>
      </w:r>
    </w:p>
    <w:p w14:paraId="08DBC8FD" w14:textId="77777777" w:rsidR="007C3FDB" w:rsidRPr="00510BC7" w:rsidRDefault="007C3FDB" w:rsidP="007C3FDB">
      <w:pPr>
        <w:pStyle w:val="ListParagraph"/>
        <w:rPr>
          <w:rFonts w:cstheme="minorHAnsi"/>
          <w:sz w:val="24"/>
          <w:szCs w:val="24"/>
        </w:rPr>
      </w:pPr>
    </w:p>
    <w:p w14:paraId="6BCC5A16" w14:textId="77777777" w:rsidR="007C3FDB" w:rsidRPr="00C0179F" w:rsidRDefault="007C3FDB" w:rsidP="00C0179F">
      <w:pPr>
        <w:pStyle w:val="Caption"/>
        <w:rPr>
          <w:rStyle w:val="Strong"/>
        </w:rPr>
      </w:pPr>
      <w:r w:rsidRPr="00C0179F">
        <w:rPr>
          <w:rStyle w:val="Strong"/>
        </w:rPr>
        <w:t xml:space="preserve">Table 1: Average per student targeted program expenditure aligned to NCCD levels of adjustment </w:t>
      </w:r>
    </w:p>
    <w:tbl>
      <w:tblPr>
        <w:tblStyle w:val="TableGridLight"/>
        <w:tblW w:w="8931" w:type="dxa"/>
        <w:tblLayout w:type="fixed"/>
        <w:tblLook w:val="0020" w:firstRow="1" w:lastRow="0" w:firstColumn="0" w:lastColumn="0" w:noHBand="0" w:noVBand="0"/>
        <w:tblDescription w:val="When aligned to the three funded NCCD levels of adjustment (that is, supplementary, substantial and extensive), the aggregated average per-student funding amounts are: supplementary $10,374, substantial $15,256, extensive $23,803."/>
      </w:tblPr>
      <w:tblGrid>
        <w:gridCol w:w="3969"/>
        <w:gridCol w:w="4962"/>
      </w:tblGrid>
      <w:tr w:rsidR="007C3FDB" w:rsidRPr="00425054" w14:paraId="12EF03EB" w14:textId="77777777" w:rsidTr="000E5F7E">
        <w:trPr>
          <w:cantSplit/>
          <w:trHeight w:val="738"/>
          <w:tblHeader/>
        </w:trPr>
        <w:tc>
          <w:tcPr>
            <w:tcW w:w="3969" w:type="dxa"/>
          </w:tcPr>
          <w:p w14:paraId="19A8EF36" w14:textId="398749B0" w:rsidR="007C3FDB" w:rsidRPr="00C969D8" w:rsidRDefault="007C3FDB" w:rsidP="00C0179F">
            <w:pPr>
              <w:autoSpaceDE w:val="0"/>
              <w:autoSpaceDN w:val="0"/>
              <w:adjustRightInd w:val="0"/>
              <w:spacing w:before="60" w:after="60"/>
              <w:rPr>
                <w:rStyle w:val="IntenseEmphasis"/>
              </w:rPr>
            </w:pPr>
            <w:r w:rsidRPr="00C969D8">
              <w:rPr>
                <w:rStyle w:val="IntenseEmphasis"/>
              </w:rPr>
              <w:t xml:space="preserve">NCCD </w:t>
            </w:r>
            <w:r w:rsidR="00C0179F">
              <w:rPr>
                <w:rStyle w:val="IntenseEmphasis"/>
              </w:rPr>
              <w:t>l</w:t>
            </w:r>
            <w:r w:rsidRPr="00C969D8">
              <w:rPr>
                <w:rStyle w:val="IntenseEmphasis"/>
              </w:rPr>
              <w:t xml:space="preserve">evel of adjustment </w:t>
            </w:r>
          </w:p>
        </w:tc>
        <w:tc>
          <w:tcPr>
            <w:tcW w:w="4962" w:type="dxa"/>
          </w:tcPr>
          <w:p w14:paraId="397D31DF" w14:textId="38F6382C" w:rsidR="007C3FDB" w:rsidRPr="00C969D8" w:rsidRDefault="007C3FDB" w:rsidP="00C0179F">
            <w:pPr>
              <w:autoSpaceDE w:val="0"/>
              <w:autoSpaceDN w:val="0"/>
              <w:adjustRightInd w:val="0"/>
              <w:spacing w:before="60" w:after="60"/>
              <w:rPr>
                <w:rStyle w:val="IntenseEmphasis"/>
              </w:rPr>
            </w:pPr>
            <w:r w:rsidRPr="00C969D8">
              <w:rPr>
                <w:rStyle w:val="IntenseEmphasis"/>
              </w:rPr>
              <w:t>Aggregated average per-student funding at each funded level of adjustment (weighted)</w:t>
            </w:r>
          </w:p>
        </w:tc>
      </w:tr>
      <w:tr w:rsidR="007C3FDB" w:rsidRPr="00425054" w14:paraId="6C1BE86A" w14:textId="77777777" w:rsidTr="000E5F7E">
        <w:trPr>
          <w:cantSplit/>
          <w:trHeight w:val="298"/>
          <w:tblHeader/>
        </w:trPr>
        <w:tc>
          <w:tcPr>
            <w:tcW w:w="3969" w:type="dxa"/>
            <w:vAlign w:val="center"/>
          </w:tcPr>
          <w:p w14:paraId="76760D62" w14:textId="2E7AFA00" w:rsidR="007C3FDB" w:rsidRPr="00C969D8" w:rsidRDefault="007C3FDB" w:rsidP="00C0179F">
            <w:r w:rsidRPr="00C969D8">
              <w:t>Supplementary</w:t>
            </w:r>
          </w:p>
        </w:tc>
        <w:tc>
          <w:tcPr>
            <w:tcW w:w="4962" w:type="dxa"/>
          </w:tcPr>
          <w:p w14:paraId="29EC5F97" w14:textId="77777777" w:rsidR="007C3FDB" w:rsidRPr="00C969D8" w:rsidRDefault="007C3FDB" w:rsidP="00C0179F">
            <w:pPr>
              <w:jc w:val="center"/>
            </w:pPr>
            <w:r>
              <w:t>$10,374</w:t>
            </w:r>
          </w:p>
        </w:tc>
      </w:tr>
      <w:tr w:rsidR="007C3FDB" w:rsidRPr="00425054" w14:paraId="19FF063C" w14:textId="77777777" w:rsidTr="000E5F7E">
        <w:trPr>
          <w:cantSplit/>
          <w:trHeight w:val="298"/>
          <w:tblHeader/>
        </w:trPr>
        <w:tc>
          <w:tcPr>
            <w:tcW w:w="3969" w:type="dxa"/>
            <w:vAlign w:val="center"/>
          </w:tcPr>
          <w:p w14:paraId="05B00C11" w14:textId="3ED5AE9D" w:rsidR="007C3FDB" w:rsidRPr="00C969D8" w:rsidRDefault="007C3FDB" w:rsidP="00C0179F">
            <w:r w:rsidRPr="00C969D8">
              <w:t>Substantial</w:t>
            </w:r>
          </w:p>
        </w:tc>
        <w:tc>
          <w:tcPr>
            <w:tcW w:w="4962" w:type="dxa"/>
          </w:tcPr>
          <w:p w14:paraId="4DCBAED5" w14:textId="77777777" w:rsidR="007C3FDB" w:rsidRPr="00C969D8" w:rsidRDefault="007C3FDB" w:rsidP="00C0179F">
            <w:pPr>
              <w:jc w:val="center"/>
            </w:pPr>
            <w:r>
              <w:t>$15,256</w:t>
            </w:r>
          </w:p>
        </w:tc>
      </w:tr>
      <w:tr w:rsidR="007C3FDB" w:rsidRPr="00425054" w14:paraId="2065F181" w14:textId="77777777" w:rsidTr="000E5F7E">
        <w:trPr>
          <w:cantSplit/>
          <w:trHeight w:val="298"/>
          <w:tblHeader/>
        </w:trPr>
        <w:tc>
          <w:tcPr>
            <w:tcW w:w="3969" w:type="dxa"/>
            <w:vAlign w:val="center"/>
          </w:tcPr>
          <w:p w14:paraId="679EF201" w14:textId="269883FE" w:rsidR="007C3FDB" w:rsidRPr="00C969D8" w:rsidRDefault="007C3FDB" w:rsidP="00C0179F">
            <w:r w:rsidRPr="00C969D8">
              <w:t>Extensive</w:t>
            </w:r>
          </w:p>
        </w:tc>
        <w:tc>
          <w:tcPr>
            <w:tcW w:w="4962" w:type="dxa"/>
          </w:tcPr>
          <w:p w14:paraId="57B6F1C5" w14:textId="77777777" w:rsidR="007C3FDB" w:rsidRPr="00C969D8" w:rsidRDefault="007C3FDB" w:rsidP="00C0179F">
            <w:pPr>
              <w:jc w:val="center"/>
            </w:pPr>
            <w:r>
              <w:t>$23,803</w:t>
            </w:r>
          </w:p>
        </w:tc>
      </w:tr>
    </w:tbl>
    <w:p w14:paraId="01EE9AAA" w14:textId="77777777" w:rsidR="007C3FDB" w:rsidRPr="00C0179F" w:rsidRDefault="007C3FDB" w:rsidP="00C0179F">
      <w:pPr>
        <w:pStyle w:val="Notetext"/>
      </w:pPr>
      <w:r w:rsidRPr="00C0179F">
        <w:t>Note: Based on data from the five systems that provided information on the numbers of students supported by targeted programs, by NCCD level</w:t>
      </w:r>
    </w:p>
    <w:p w14:paraId="32D9676C" w14:textId="77777777" w:rsidR="007C3FDB" w:rsidRPr="00C0179F" w:rsidRDefault="007C3FDB" w:rsidP="00C0179F">
      <w:pPr>
        <w:pStyle w:val="Caption"/>
        <w:spacing w:before="360"/>
        <w:rPr>
          <w:rStyle w:val="Strong"/>
        </w:rPr>
      </w:pPr>
      <w:r w:rsidRPr="00C0179F">
        <w:rPr>
          <w:rStyle w:val="Strong"/>
        </w:rPr>
        <w:t xml:space="preserve">Table 2: Average per student targeted program expenditure aligned to system distribution </w:t>
      </w:r>
    </w:p>
    <w:tbl>
      <w:tblPr>
        <w:tblStyle w:val="TableGridLight"/>
        <w:tblW w:w="8931" w:type="dxa"/>
        <w:tblLayout w:type="fixed"/>
        <w:tblLook w:val="0020" w:firstRow="1" w:lastRow="0" w:firstColumn="0" w:lastColumn="0" w:noHBand="0" w:noVBand="0"/>
        <w:tblDescription w:val="When aligned to system distribution (that is, the low, mid and high funding points within targeted programs), the aggregated average per-student funding amounts are: Low $4,682, Mid $17,821, High $38,258. "/>
      </w:tblPr>
      <w:tblGrid>
        <w:gridCol w:w="3969"/>
        <w:gridCol w:w="4962"/>
      </w:tblGrid>
      <w:tr w:rsidR="007C3FDB" w:rsidRPr="00425054" w14:paraId="36EEC6F5" w14:textId="77777777" w:rsidTr="000E5F7E">
        <w:trPr>
          <w:cantSplit/>
          <w:trHeight w:val="760"/>
          <w:tblHeader/>
        </w:trPr>
        <w:tc>
          <w:tcPr>
            <w:tcW w:w="3969" w:type="dxa"/>
          </w:tcPr>
          <w:p w14:paraId="596173B3" w14:textId="77777777" w:rsidR="007C3FDB" w:rsidRPr="00C969D8" w:rsidRDefault="007C3FDB" w:rsidP="00B72CA6">
            <w:pPr>
              <w:autoSpaceDE w:val="0"/>
              <w:autoSpaceDN w:val="0"/>
              <w:adjustRightInd w:val="0"/>
              <w:spacing w:before="60" w:after="60"/>
              <w:rPr>
                <w:rStyle w:val="IntenseEmphasis"/>
              </w:rPr>
            </w:pPr>
            <w:r w:rsidRPr="00CE04B3">
              <w:rPr>
                <w:rStyle w:val="IntenseEmphasis"/>
              </w:rPr>
              <w:t>Targeted program low, mid and high funding points</w:t>
            </w:r>
          </w:p>
        </w:tc>
        <w:tc>
          <w:tcPr>
            <w:tcW w:w="4962" w:type="dxa"/>
          </w:tcPr>
          <w:p w14:paraId="47D7A557" w14:textId="6A12CCF0" w:rsidR="007C3FDB" w:rsidRPr="00C969D8" w:rsidRDefault="007C3FDB" w:rsidP="00B72CA6">
            <w:pPr>
              <w:autoSpaceDE w:val="0"/>
              <w:autoSpaceDN w:val="0"/>
              <w:adjustRightInd w:val="0"/>
              <w:spacing w:before="60"/>
              <w:rPr>
                <w:rStyle w:val="IntenseEmphasis"/>
              </w:rPr>
            </w:pPr>
            <w:r w:rsidRPr="00C969D8">
              <w:rPr>
                <w:rStyle w:val="IntenseEmphasis"/>
              </w:rPr>
              <w:t xml:space="preserve">Aggregated average per-student funding at </w:t>
            </w:r>
            <w:r>
              <w:rPr>
                <w:rStyle w:val="IntenseEmphasis"/>
              </w:rPr>
              <w:t>the</w:t>
            </w:r>
            <w:r w:rsidRPr="00C969D8">
              <w:rPr>
                <w:rStyle w:val="IntenseEmphasis"/>
              </w:rPr>
              <w:t xml:space="preserve"> </w:t>
            </w:r>
            <w:r>
              <w:rPr>
                <w:rStyle w:val="IntenseEmphasis"/>
              </w:rPr>
              <w:t>low, mid and high funding points</w:t>
            </w:r>
            <w:r w:rsidRPr="00C969D8">
              <w:rPr>
                <w:rStyle w:val="IntenseEmphasis"/>
              </w:rPr>
              <w:t xml:space="preserve"> </w:t>
            </w:r>
          </w:p>
        </w:tc>
      </w:tr>
      <w:tr w:rsidR="007C3FDB" w:rsidRPr="00425054" w14:paraId="1F1E0D55" w14:textId="77777777" w:rsidTr="000E5F7E">
        <w:trPr>
          <w:cantSplit/>
          <w:trHeight w:val="298"/>
          <w:tblHeader/>
        </w:trPr>
        <w:tc>
          <w:tcPr>
            <w:tcW w:w="3969" w:type="dxa"/>
            <w:vAlign w:val="center"/>
          </w:tcPr>
          <w:p w14:paraId="0153825E" w14:textId="77777777" w:rsidR="007C3FDB" w:rsidRPr="00425054" w:rsidRDefault="007C3FDB" w:rsidP="00B72CA6">
            <w:pPr>
              <w:spacing w:after="60"/>
              <w:rPr>
                <w:lang w:val="en-US"/>
              </w:rPr>
            </w:pPr>
            <w:r>
              <w:rPr>
                <w:lang w:val="en-US"/>
              </w:rPr>
              <w:t>Low</w:t>
            </w:r>
          </w:p>
        </w:tc>
        <w:tc>
          <w:tcPr>
            <w:tcW w:w="4962" w:type="dxa"/>
          </w:tcPr>
          <w:p w14:paraId="7BBD100F" w14:textId="77777777" w:rsidR="007C3FDB" w:rsidRPr="00425054" w:rsidRDefault="007C3FDB" w:rsidP="00C0179F">
            <w:pPr>
              <w:spacing w:after="60"/>
              <w:jc w:val="center"/>
              <w:rPr>
                <w:lang w:val="en-US"/>
              </w:rPr>
            </w:pPr>
            <w:r w:rsidRPr="00425054">
              <w:rPr>
                <w:lang w:val="en-US"/>
              </w:rPr>
              <w:t>$</w:t>
            </w:r>
            <w:r>
              <w:rPr>
                <w:lang w:val="en-US"/>
              </w:rPr>
              <w:t>4,682</w:t>
            </w:r>
          </w:p>
        </w:tc>
      </w:tr>
      <w:tr w:rsidR="007C3FDB" w:rsidRPr="00425054" w14:paraId="18C0FEBE" w14:textId="77777777" w:rsidTr="000E5F7E">
        <w:trPr>
          <w:cantSplit/>
          <w:trHeight w:val="298"/>
          <w:tblHeader/>
        </w:trPr>
        <w:tc>
          <w:tcPr>
            <w:tcW w:w="3969" w:type="dxa"/>
            <w:vAlign w:val="center"/>
          </w:tcPr>
          <w:p w14:paraId="5EF23AE3" w14:textId="368759C6" w:rsidR="007C3FDB" w:rsidRPr="00425054" w:rsidRDefault="007C3FDB" w:rsidP="00B72CA6">
            <w:pPr>
              <w:spacing w:after="60"/>
              <w:rPr>
                <w:lang w:val="en-US"/>
              </w:rPr>
            </w:pPr>
            <w:r>
              <w:rPr>
                <w:lang w:val="en-US"/>
              </w:rPr>
              <w:t>Mid</w:t>
            </w:r>
          </w:p>
        </w:tc>
        <w:tc>
          <w:tcPr>
            <w:tcW w:w="4962" w:type="dxa"/>
          </w:tcPr>
          <w:p w14:paraId="0DC9FB79" w14:textId="77777777" w:rsidR="007C3FDB" w:rsidRPr="00425054" w:rsidRDefault="007C3FDB" w:rsidP="00C0179F">
            <w:pPr>
              <w:spacing w:after="60"/>
              <w:jc w:val="center"/>
              <w:rPr>
                <w:lang w:val="en-US"/>
              </w:rPr>
            </w:pPr>
            <w:r>
              <w:rPr>
                <w:lang w:val="en-US"/>
              </w:rPr>
              <w:t>$17,821</w:t>
            </w:r>
          </w:p>
        </w:tc>
      </w:tr>
      <w:tr w:rsidR="007C3FDB" w:rsidRPr="00425054" w14:paraId="7E3E3A5B" w14:textId="77777777" w:rsidTr="000E5F7E">
        <w:trPr>
          <w:cantSplit/>
          <w:trHeight w:val="298"/>
          <w:tblHeader/>
        </w:trPr>
        <w:tc>
          <w:tcPr>
            <w:tcW w:w="3969" w:type="dxa"/>
            <w:vAlign w:val="center"/>
          </w:tcPr>
          <w:p w14:paraId="3EF971D3" w14:textId="018BC80A" w:rsidR="007C3FDB" w:rsidRPr="00425054" w:rsidRDefault="007C3FDB" w:rsidP="00B72CA6">
            <w:pPr>
              <w:spacing w:after="60"/>
              <w:rPr>
                <w:lang w:val="en-US"/>
              </w:rPr>
            </w:pPr>
            <w:r>
              <w:rPr>
                <w:lang w:val="en-US"/>
              </w:rPr>
              <w:t>High</w:t>
            </w:r>
          </w:p>
        </w:tc>
        <w:tc>
          <w:tcPr>
            <w:tcW w:w="4962" w:type="dxa"/>
          </w:tcPr>
          <w:p w14:paraId="02908B57" w14:textId="77777777" w:rsidR="007C3FDB" w:rsidRPr="00425054" w:rsidRDefault="007C3FDB" w:rsidP="00C0179F">
            <w:pPr>
              <w:spacing w:after="60"/>
              <w:jc w:val="center"/>
              <w:rPr>
                <w:lang w:val="en-US"/>
              </w:rPr>
            </w:pPr>
            <w:r w:rsidRPr="00425054">
              <w:rPr>
                <w:lang w:val="en-US"/>
              </w:rPr>
              <w:t>$</w:t>
            </w:r>
            <w:r>
              <w:rPr>
                <w:lang w:val="en-US"/>
              </w:rPr>
              <w:t>38,258</w:t>
            </w:r>
          </w:p>
        </w:tc>
      </w:tr>
    </w:tbl>
    <w:p w14:paraId="3D252056" w14:textId="7A1CA2B2" w:rsidR="00C0179F" w:rsidRPr="007A440F" w:rsidRDefault="007C3FDB" w:rsidP="007C3FDB">
      <w:pPr>
        <w:pStyle w:val="Notetext"/>
      </w:pPr>
      <w:r w:rsidRPr="00C0179F">
        <w:t>Note: Based on data from the six systems that provided information as well as publicly available information.</w:t>
      </w:r>
    </w:p>
    <w:p w14:paraId="253B13A5" w14:textId="77777777" w:rsidR="007C3FDB" w:rsidRPr="00C969D8" w:rsidRDefault="007C3FDB" w:rsidP="00C0179F">
      <w:pPr>
        <w:pStyle w:val="Caption"/>
        <w:spacing w:before="360"/>
        <w:rPr>
          <w:rStyle w:val="Strong"/>
        </w:rPr>
      </w:pPr>
      <w:r w:rsidRPr="00C969D8">
        <w:rPr>
          <w:rStyle w:val="Strong"/>
        </w:rPr>
        <w:t xml:space="preserve">Table </w:t>
      </w:r>
      <w:r>
        <w:rPr>
          <w:rStyle w:val="Strong"/>
        </w:rPr>
        <w:t>3</w:t>
      </w:r>
      <w:r w:rsidRPr="00C969D8">
        <w:rPr>
          <w:rStyle w:val="Strong"/>
        </w:rPr>
        <w:t xml:space="preserve">: Average per student targeted program expenditure aligned to NCCD levels of adjustment (expressed as relativities) </w:t>
      </w:r>
    </w:p>
    <w:tbl>
      <w:tblPr>
        <w:tblStyle w:val="TableGridLight"/>
        <w:tblW w:w="8931" w:type="dxa"/>
        <w:tblLayout w:type="fixed"/>
        <w:tblLook w:val="0020" w:firstRow="1" w:lastRow="0" w:firstColumn="0" w:lastColumn="0" w:noHBand="0" w:noVBand="0"/>
        <w:tblDescription w:val="When aligned to the three funded NCCD levels of adjustment (that is, supplementary, substantial and extensive), the aggregated average per-student expenditure relativities are: supplementary 1.0, substantial 1.5, extensive 2.3."/>
      </w:tblPr>
      <w:tblGrid>
        <w:gridCol w:w="3969"/>
        <w:gridCol w:w="4962"/>
      </w:tblGrid>
      <w:tr w:rsidR="007C3FDB" w:rsidRPr="00425054" w14:paraId="67A5F906" w14:textId="77777777" w:rsidTr="000E5F7E">
        <w:trPr>
          <w:cantSplit/>
          <w:trHeight w:val="866"/>
          <w:tblHeader/>
        </w:trPr>
        <w:tc>
          <w:tcPr>
            <w:tcW w:w="3969" w:type="dxa"/>
          </w:tcPr>
          <w:p w14:paraId="666D71C9" w14:textId="77777777" w:rsidR="007C3FDB" w:rsidRPr="00CE04B3" w:rsidRDefault="007C3FDB" w:rsidP="00B72CA6">
            <w:pPr>
              <w:autoSpaceDE w:val="0"/>
              <w:autoSpaceDN w:val="0"/>
              <w:adjustRightInd w:val="0"/>
              <w:rPr>
                <w:rStyle w:val="IntenseEmphasis"/>
              </w:rPr>
            </w:pPr>
            <w:r w:rsidRPr="00CE04B3">
              <w:rPr>
                <w:rStyle w:val="IntenseEmphasis"/>
              </w:rPr>
              <w:t>NCCD Level of adjustment</w:t>
            </w:r>
          </w:p>
        </w:tc>
        <w:tc>
          <w:tcPr>
            <w:tcW w:w="4962" w:type="dxa"/>
          </w:tcPr>
          <w:p w14:paraId="0FB32BDA" w14:textId="08F2E621" w:rsidR="007C3FDB" w:rsidRPr="00CE04B3" w:rsidRDefault="007C3FDB" w:rsidP="00B72CA6">
            <w:pPr>
              <w:autoSpaceDE w:val="0"/>
              <w:autoSpaceDN w:val="0"/>
              <w:adjustRightInd w:val="0"/>
              <w:spacing w:after="60"/>
              <w:rPr>
                <w:rStyle w:val="IntenseEmphasis"/>
              </w:rPr>
            </w:pPr>
            <w:r w:rsidRPr="00CE04B3">
              <w:rPr>
                <w:rStyle w:val="IntenseEmphasis"/>
              </w:rPr>
              <w:t>Aggregated average per-student</w:t>
            </w:r>
            <w:r w:rsidR="00C0179F">
              <w:rPr>
                <w:rStyle w:val="IntenseEmphasis"/>
              </w:rPr>
              <w:t xml:space="preserve"> expenditure (aligned to</w:t>
            </w:r>
            <w:r w:rsidRPr="00CE04B3">
              <w:rPr>
                <w:rStyle w:val="IntenseEmphasis"/>
              </w:rPr>
              <w:t xml:space="preserve"> the three funded levels of </w:t>
            </w:r>
            <w:r w:rsidR="00C0179F">
              <w:rPr>
                <w:rStyle w:val="IntenseEmphasis"/>
              </w:rPr>
              <w:br/>
            </w:r>
            <w:r w:rsidRPr="00CE04B3">
              <w:rPr>
                <w:rStyle w:val="IntenseEmphasis"/>
              </w:rPr>
              <w:t>adjustment</w:t>
            </w:r>
            <w:r>
              <w:rPr>
                <w:rStyle w:val="IntenseEmphasis"/>
              </w:rPr>
              <w:t>—</w:t>
            </w:r>
            <w:r w:rsidRPr="00CE04B3">
              <w:rPr>
                <w:rStyle w:val="IntenseEmphasis"/>
              </w:rPr>
              <w:t>weighted)</w:t>
            </w:r>
          </w:p>
        </w:tc>
      </w:tr>
      <w:tr w:rsidR="007C3FDB" w:rsidRPr="00425054" w14:paraId="62E22363" w14:textId="77777777" w:rsidTr="000E5F7E">
        <w:trPr>
          <w:cantSplit/>
          <w:trHeight w:val="429"/>
          <w:tblHeader/>
        </w:trPr>
        <w:tc>
          <w:tcPr>
            <w:tcW w:w="3969" w:type="dxa"/>
          </w:tcPr>
          <w:p w14:paraId="654F492C" w14:textId="77777777" w:rsidR="007C3FDB" w:rsidRPr="00425054" w:rsidRDefault="007C3FDB" w:rsidP="00C0179F">
            <w:pPr>
              <w:spacing w:after="60"/>
              <w:rPr>
                <w:lang w:val="en-US"/>
              </w:rPr>
            </w:pPr>
            <w:r>
              <w:rPr>
                <w:lang w:val="en-US"/>
              </w:rPr>
              <w:t>Supplementary</w:t>
            </w:r>
          </w:p>
        </w:tc>
        <w:tc>
          <w:tcPr>
            <w:tcW w:w="4962" w:type="dxa"/>
          </w:tcPr>
          <w:p w14:paraId="2DB70FB3" w14:textId="77777777" w:rsidR="007C3FDB" w:rsidRPr="00425054" w:rsidRDefault="007C3FDB" w:rsidP="00C0179F">
            <w:pPr>
              <w:spacing w:after="60"/>
              <w:jc w:val="center"/>
              <w:rPr>
                <w:lang w:val="en-US"/>
              </w:rPr>
            </w:pPr>
            <w:r w:rsidRPr="00425054">
              <w:rPr>
                <w:lang w:val="en-US"/>
              </w:rPr>
              <w:t>1.0</w:t>
            </w:r>
          </w:p>
        </w:tc>
      </w:tr>
      <w:tr w:rsidR="007C3FDB" w:rsidRPr="00425054" w14:paraId="347A0478" w14:textId="77777777" w:rsidTr="000E5F7E">
        <w:trPr>
          <w:cantSplit/>
          <w:trHeight w:val="429"/>
          <w:tblHeader/>
        </w:trPr>
        <w:tc>
          <w:tcPr>
            <w:tcW w:w="3969" w:type="dxa"/>
          </w:tcPr>
          <w:p w14:paraId="1874733F" w14:textId="77777777" w:rsidR="007C3FDB" w:rsidRPr="00425054" w:rsidRDefault="007C3FDB" w:rsidP="00C0179F">
            <w:pPr>
              <w:spacing w:after="60"/>
              <w:rPr>
                <w:lang w:val="en-US"/>
              </w:rPr>
            </w:pPr>
            <w:r>
              <w:rPr>
                <w:lang w:val="en-US"/>
              </w:rPr>
              <w:t>Substantial</w:t>
            </w:r>
          </w:p>
        </w:tc>
        <w:tc>
          <w:tcPr>
            <w:tcW w:w="4962" w:type="dxa"/>
          </w:tcPr>
          <w:p w14:paraId="4675E90A" w14:textId="77777777" w:rsidR="007C3FDB" w:rsidRPr="00425054" w:rsidRDefault="007C3FDB" w:rsidP="00C0179F">
            <w:pPr>
              <w:spacing w:after="60"/>
              <w:jc w:val="center"/>
              <w:rPr>
                <w:lang w:val="en-US"/>
              </w:rPr>
            </w:pPr>
            <w:r>
              <w:rPr>
                <w:lang w:val="en-US"/>
              </w:rPr>
              <w:t>1.5</w:t>
            </w:r>
          </w:p>
        </w:tc>
      </w:tr>
      <w:tr w:rsidR="007C3FDB" w:rsidRPr="00425054" w14:paraId="1CF1CC30" w14:textId="77777777" w:rsidTr="000E5F7E">
        <w:trPr>
          <w:cantSplit/>
          <w:trHeight w:val="429"/>
          <w:tblHeader/>
        </w:trPr>
        <w:tc>
          <w:tcPr>
            <w:tcW w:w="3969" w:type="dxa"/>
          </w:tcPr>
          <w:p w14:paraId="480A2F48" w14:textId="77777777" w:rsidR="007C3FDB" w:rsidRPr="00425054" w:rsidRDefault="007C3FDB" w:rsidP="00C0179F">
            <w:pPr>
              <w:spacing w:after="60"/>
              <w:rPr>
                <w:lang w:val="en-US"/>
              </w:rPr>
            </w:pPr>
            <w:r>
              <w:rPr>
                <w:lang w:val="en-US"/>
              </w:rPr>
              <w:t>Extensive</w:t>
            </w:r>
          </w:p>
        </w:tc>
        <w:tc>
          <w:tcPr>
            <w:tcW w:w="4962" w:type="dxa"/>
          </w:tcPr>
          <w:p w14:paraId="49C4C621" w14:textId="77777777" w:rsidR="007C3FDB" w:rsidRPr="00425054" w:rsidRDefault="007C3FDB" w:rsidP="00C0179F">
            <w:pPr>
              <w:spacing w:after="60"/>
              <w:jc w:val="center"/>
              <w:rPr>
                <w:lang w:val="en-US"/>
              </w:rPr>
            </w:pPr>
            <w:r>
              <w:rPr>
                <w:lang w:val="en-US"/>
              </w:rPr>
              <w:t>2.3</w:t>
            </w:r>
          </w:p>
        </w:tc>
      </w:tr>
    </w:tbl>
    <w:p w14:paraId="03330C02" w14:textId="3B170D8F" w:rsidR="007C3FDB" w:rsidRDefault="007C3FDB" w:rsidP="007C3FDB">
      <w:pPr>
        <w:pStyle w:val="Notetext"/>
      </w:pPr>
      <w:r w:rsidRPr="007A440F">
        <w:t>Note: Based on data from the five systems that provided information on the numbers of students supported by targeted programs, by NCCD level</w:t>
      </w:r>
    </w:p>
    <w:p w14:paraId="58604F8A" w14:textId="77777777" w:rsidR="007C3FDB" w:rsidRPr="00B72CA6" w:rsidRDefault="007C3FDB" w:rsidP="008B6073">
      <w:pPr>
        <w:pStyle w:val="Caption"/>
        <w:spacing w:before="360"/>
        <w:rPr>
          <w:rStyle w:val="Strong"/>
        </w:rPr>
      </w:pPr>
      <w:r w:rsidRPr="00B72CA6">
        <w:rPr>
          <w:rStyle w:val="Strong"/>
        </w:rPr>
        <w:t xml:space="preserve">Table 4: Average per-student targeted program expenditure aligned to system distribution (expressed as relativities) </w:t>
      </w:r>
    </w:p>
    <w:tbl>
      <w:tblPr>
        <w:tblStyle w:val="TableGridLight"/>
        <w:tblW w:w="9077" w:type="dxa"/>
        <w:tblInd w:w="-5" w:type="dxa"/>
        <w:tblLayout w:type="fixed"/>
        <w:tblLook w:val="0020" w:firstRow="1" w:lastRow="0" w:firstColumn="0" w:lastColumn="0" w:noHBand="0" w:noVBand="0"/>
        <w:tblDescription w:val="When aligned to system distribution (that is, the low, mid and high funding points within targeted programs), the aggregated average per-student expenditure relativities are: Low 1.0, Mid 3.8, High 8.2."/>
      </w:tblPr>
      <w:tblGrid>
        <w:gridCol w:w="3974"/>
        <w:gridCol w:w="5103"/>
      </w:tblGrid>
      <w:tr w:rsidR="007C3FDB" w:rsidRPr="0022686E" w14:paraId="1D052EA6" w14:textId="77777777" w:rsidTr="000E5F7E">
        <w:trPr>
          <w:cantSplit/>
          <w:trHeight w:val="664"/>
          <w:tblHeader/>
        </w:trPr>
        <w:tc>
          <w:tcPr>
            <w:tcW w:w="3974" w:type="dxa"/>
            <w:vAlign w:val="center"/>
          </w:tcPr>
          <w:p w14:paraId="01D83E6D" w14:textId="77777777" w:rsidR="007C3FDB" w:rsidRPr="00CE04B3" w:rsidRDefault="007C3FDB" w:rsidP="00C0179F">
            <w:pPr>
              <w:autoSpaceDE w:val="0"/>
              <w:autoSpaceDN w:val="0"/>
              <w:adjustRightInd w:val="0"/>
              <w:rPr>
                <w:rStyle w:val="IntenseEmphasis"/>
              </w:rPr>
            </w:pPr>
            <w:r w:rsidRPr="00CE04B3">
              <w:rPr>
                <w:rStyle w:val="IntenseEmphasis"/>
              </w:rPr>
              <w:t>Targeted program low, mid and high funding points</w:t>
            </w:r>
          </w:p>
        </w:tc>
        <w:tc>
          <w:tcPr>
            <w:tcW w:w="5103" w:type="dxa"/>
            <w:vAlign w:val="center"/>
          </w:tcPr>
          <w:p w14:paraId="5FDF852E" w14:textId="77777777" w:rsidR="007C3FDB" w:rsidRPr="00CE04B3" w:rsidRDefault="007C3FDB" w:rsidP="00C0179F">
            <w:pPr>
              <w:autoSpaceDE w:val="0"/>
              <w:autoSpaceDN w:val="0"/>
              <w:adjustRightInd w:val="0"/>
              <w:spacing w:after="60"/>
              <w:rPr>
                <w:rStyle w:val="IntenseEmphasis"/>
              </w:rPr>
            </w:pPr>
            <w:r w:rsidRPr="00CE04B3">
              <w:rPr>
                <w:rStyle w:val="IntenseEmphasis"/>
              </w:rPr>
              <w:t>Aggregated average per-student expenditure (aligned to system distribution)</w:t>
            </w:r>
          </w:p>
        </w:tc>
      </w:tr>
      <w:tr w:rsidR="007C3FDB" w:rsidRPr="0022686E" w14:paraId="5FCAB202" w14:textId="77777777" w:rsidTr="000E5F7E">
        <w:trPr>
          <w:cantSplit/>
          <w:trHeight w:val="429"/>
          <w:tblHeader/>
        </w:trPr>
        <w:tc>
          <w:tcPr>
            <w:tcW w:w="3974" w:type="dxa"/>
            <w:vAlign w:val="center"/>
          </w:tcPr>
          <w:p w14:paraId="6ADB673A" w14:textId="77777777" w:rsidR="007C3FDB" w:rsidRPr="00CE04B3" w:rsidRDefault="007C3FDB" w:rsidP="00C0179F">
            <w:pPr>
              <w:spacing w:after="60"/>
              <w:rPr>
                <w:lang w:val="en-US"/>
              </w:rPr>
            </w:pPr>
            <w:r w:rsidRPr="00CE04B3">
              <w:rPr>
                <w:lang w:val="en-US"/>
              </w:rPr>
              <w:t>Low</w:t>
            </w:r>
          </w:p>
        </w:tc>
        <w:tc>
          <w:tcPr>
            <w:tcW w:w="5103" w:type="dxa"/>
          </w:tcPr>
          <w:p w14:paraId="7E13FC80" w14:textId="77777777" w:rsidR="007C3FDB" w:rsidRPr="00CE04B3" w:rsidRDefault="007C3FDB" w:rsidP="00C0179F">
            <w:pPr>
              <w:spacing w:after="60"/>
              <w:jc w:val="center"/>
              <w:rPr>
                <w:lang w:val="en-US"/>
              </w:rPr>
            </w:pPr>
            <w:r w:rsidRPr="00CE04B3">
              <w:rPr>
                <w:lang w:val="en-US"/>
              </w:rPr>
              <w:t>1.0</w:t>
            </w:r>
          </w:p>
        </w:tc>
      </w:tr>
      <w:tr w:rsidR="007C3FDB" w:rsidRPr="0022686E" w14:paraId="590D93A2" w14:textId="77777777" w:rsidTr="000E5F7E">
        <w:trPr>
          <w:cantSplit/>
          <w:trHeight w:val="429"/>
          <w:tblHeader/>
        </w:trPr>
        <w:tc>
          <w:tcPr>
            <w:tcW w:w="3974" w:type="dxa"/>
            <w:vAlign w:val="center"/>
          </w:tcPr>
          <w:p w14:paraId="7E1BEC23" w14:textId="77777777" w:rsidR="007C3FDB" w:rsidRPr="00CE04B3" w:rsidRDefault="007C3FDB" w:rsidP="00C0179F">
            <w:pPr>
              <w:spacing w:after="60"/>
              <w:rPr>
                <w:lang w:val="en-US"/>
              </w:rPr>
            </w:pPr>
            <w:r w:rsidRPr="00CE04B3">
              <w:rPr>
                <w:lang w:val="en-US"/>
              </w:rPr>
              <w:t>Mid</w:t>
            </w:r>
          </w:p>
        </w:tc>
        <w:tc>
          <w:tcPr>
            <w:tcW w:w="5103" w:type="dxa"/>
          </w:tcPr>
          <w:p w14:paraId="103EECC2" w14:textId="77777777" w:rsidR="007C3FDB" w:rsidRPr="00CE04B3" w:rsidRDefault="007C3FDB" w:rsidP="00C0179F">
            <w:pPr>
              <w:spacing w:after="60"/>
              <w:jc w:val="center"/>
              <w:rPr>
                <w:lang w:val="en-US"/>
              </w:rPr>
            </w:pPr>
            <w:r w:rsidRPr="00CE04B3">
              <w:rPr>
                <w:lang w:val="en-US"/>
              </w:rPr>
              <w:t>3.8</w:t>
            </w:r>
          </w:p>
        </w:tc>
      </w:tr>
      <w:tr w:rsidR="007C3FDB" w:rsidRPr="00425054" w14:paraId="376D554B" w14:textId="77777777" w:rsidTr="000E5F7E">
        <w:trPr>
          <w:cantSplit/>
          <w:trHeight w:val="429"/>
          <w:tblHeader/>
        </w:trPr>
        <w:tc>
          <w:tcPr>
            <w:tcW w:w="3974" w:type="dxa"/>
            <w:vAlign w:val="center"/>
          </w:tcPr>
          <w:p w14:paraId="78E5A0CA" w14:textId="77777777" w:rsidR="007C3FDB" w:rsidRPr="00CE04B3" w:rsidRDefault="007C3FDB" w:rsidP="00C0179F">
            <w:pPr>
              <w:spacing w:after="60"/>
              <w:rPr>
                <w:lang w:val="en-US"/>
              </w:rPr>
            </w:pPr>
            <w:r w:rsidRPr="00CE04B3">
              <w:rPr>
                <w:lang w:val="en-US"/>
              </w:rPr>
              <w:t>High</w:t>
            </w:r>
          </w:p>
        </w:tc>
        <w:tc>
          <w:tcPr>
            <w:tcW w:w="5103" w:type="dxa"/>
          </w:tcPr>
          <w:p w14:paraId="1C5657A7" w14:textId="77777777" w:rsidR="007C3FDB" w:rsidRPr="00CE04B3" w:rsidRDefault="007C3FDB" w:rsidP="00C0179F">
            <w:pPr>
              <w:spacing w:after="60"/>
              <w:jc w:val="center"/>
              <w:rPr>
                <w:lang w:val="en-US"/>
              </w:rPr>
            </w:pPr>
            <w:r w:rsidRPr="00CE04B3">
              <w:rPr>
                <w:lang w:val="en-US"/>
              </w:rPr>
              <w:t>8.2</w:t>
            </w:r>
          </w:p>
        </w:tc>
      </w:tr>
    </w:tbl>
    <w:p w14:paraId="786DFDDA" w14:textId="77777777" w:rsidR="007C3FDB" w:rsidRPr="007A440F" w:rsidRDefault="007C3FDB" w:rsidP="007C3FDB">
      <w:pPr>
        <w:pStyle w:val="Notetext"/>
      </w:pPr>
      <w:r>
        <w:t xml:space="preserve">Note: </w:t>
      </w:r>
      <w:r w:rsidRPr="007A440F">
        <w:t>Based on data from the six systems that provided information as well as publicly available information.</w:t>
      </w:r>
    </w:p>
    <w:p w14:paraId="2EB08BB5" w14:textId="77777777" w:rsidR="007C3FDB" w:rsidRDefault="007C3FDB" w:rsidP="007C3FDB">
      <w:pPr>
        <w:rPr>
          <w:rFonts w:cstheme="minorHAnsi"/>
          <w:b/>
        </w:rPr>
      </w:pPr>
    </w:p>
    <w:p w14:paraId="45EC6DCE" w14:textId="77777777" w:rsidR="007C3FDB" w:rsidRPr="00C969D8" w:rsidRDefault="007C3FDB" w:rsidP="00B72CA6">
      <w:pPr>
        <w:pStyle w:val="Caption"/>
        <w:rPr>
          <w:rStyle w:val="Strong"/>
        </w:rPr>
      </w:pPr>
      <w:r w:rsidRPr="00C969D8">
        <w:rPr>
          <w:rStyle w:val="Strong"/>
        </w:rPr>
        <w:t xml:space="preserve">Table </w:t>
      </w:r>
      <w:r>
        <w:rPr>
          <w:rStyle w:val="Strong"/>
        </w:rPr>
        <w:t>5</w:t>
      </w:r>
      <w:r w:rsidRPr="00C969D8">
        <w:rPr>
          <w:rStyle w:val="Strong"/>
        </w:rPr>
        <w:t>: Proportion of NCCD population funded under targeted programs (aggregated)</w:t>
      </w:r>
    </w:p>
    <w:tbl>
      <w:tblPr>
        <w:tblStyle w:val="TableGridLight"/>
        <w:tblW w:w="9923" w:type="dxa"/>
        <w:tblLook w:val="04A0" w:firstRow="1" w:lastRow="0" w:firstColumn="1" w:lastColumn="0" w:noHBand="0" w:noVBand="1"/>
        <w:tblDescription w:val="The proportion of the NCCD population funded under targeted programs is 5 per cent at QDTP (within a range of 0.5 per cent to 14 per cent). The propotion of the NCCD population funded under targeted programs at Supplementary is 10 per cent (within a range of 2 per cent to 14 Per cent). The proportion of the NCCD population funded under targeted programs at Substantial is 36 per cent (within a range of 14 per cent to 71 per cent). The proportion of the NCCD population funded under targeted programs at Extensive is 54 per cent (within a range of 12 per cent to 90 per cent). "/>
      </w:tblPr>
      <w:tblGrid>
        <w:gridCol w:w="1980"/>
        <w:gridCol w:w="4819"/>
        <w:gridCol w:w="3124"/>
      </w:tblGrid>
      <w:tr w:rsidR="007C3FDB" w:rsidRPr="00F77F6B" w14:paraId="3F6EC5A8" w14:textId="77777777" w:rsidTr="000E5F7E">
        <w:trPr>
          <w:cantSplit/>
          <w:trHeight w:val="532"/>
          <w:tblHeader/>
        </w:trPr>
        <w:tc>
          <w:tcPr>
            <w:tcW w:w="1980" w:type="dxa"/>
          </w:tcPr>
          <w:p w14:paraId="1A3D4384" w14:textId="77777777" w:rsidR="007C3FDB" w:rsidRPr="00C969D8" w:rsidRDefault="007C3FDB" w:rsidP="00B72CA6">
            <w:pPr>
              <w:rPr>
                <w:rStyle w:val="IntenseEmphasis"/>
              </w:rPr>
            </w:pPr>
            <w:r w:rsidRPr="00C969D8">
              <w:rPr>
                <w:rStyle w:val="IntenseEmphasis"/>
              </w:rPr>
              <w:t>NCCD level</w:t>
            </w:r>
          </w:p>
        </w:tc>
        <w:tc>
          <w:tcPr>
            <w:tcW w:w="4819" w:type="dxa"/>
          </w:tcPr>
          <w:p w14:paraId="3B53E3F6" w14:textId="77777777" w:rsidR="007C3FDB" w:rsidRPr="00C969D8" w:rsidRDefault="007C3FDB" w:rsidP="00B72CA6">
            <w:pPr>
              <w:rPr>
                <w:rStyle w:val="IntenseEmphasis"/>
              </w:rPr>
            </w:pPr>
            <w:r w:rsidRPr="00C969D8">
              <w:rPr>
                <w:rStyle w:val="IntenseEmphasis"/>
              </w:rPr>
              <w:t>Proportion of NCCD population funded under targeted programs</w:t>
            </w:r>
          </w:p>
        </w:tc>
        <w:tc>
          <w:tcPr>
            <w:tcW w:w="3124" w:type="dxa"/>
          </w:tcPr>
          <w:p w14:paraId="1C5D395F" w14:textId="77777777" w:rsidR="007C3FDB" w:rsidRPr="00C969D8" w:rsidRDefault="007C3FDB" w:rsidP="00B72CA6">
            <w:pPr>
              <w:rPr>
                <w:rStyle w:val="IntenseEmphasis"/>
              </w:rPr>
            </w:pPr>
            <w:r w:rsidRPr="00C969D8">
              <w:rPr>
                <w:rStyle w:val="IntenseEmphasis"/>
              </w:rPr>
              <w:t>Range</w:t>
            </w:r>
          </w:p>
        </w:tc>
      </w:tr>
      <w:tr w:rsidR="007C3FDB" w:rsidRPr="00F77F6B" w14:paraId="0E199922" w14:textId="77777777" w:rsidTr="000E5F7E">
        <w:trPr>
          <w:cantSplit/>
          <w:trHeight w:val="566"/>
          <w:tblHeader/>
        </w:trPr>
        <w:tc>
          <w:tcPr>
            <w:tcW w:w="1980" w:type="dxa"/>
            <w:vAlign w:val="center"/>
          </w:tcPr>
          <w:p w14:paraId="17A19733" w14:textId="77777777" w:rsidR="007C3FDB" w:rsidRPr="00F77F6B" w:rsidRDefault="007C3FDB" w:rsidP="00B72CA6">
            <w:r w:rsidRPr="00F77F6B">
              <w:t>QDTP</w:t>
            </w:r>
          </w:p>
        </w:tc>
        <w:tc>
          <w:tcPr>
            <w:tcW w:w="4819" w:type="dxa"/>
            <w:vAlign w:val="center"/>
          </w:tcPr>
          <w:p w14:paraId="2D3238D9" w14:textId="77777777" w:rsidR="007C3FDB" w:rsidRPr="00F77F6B" w:rsidRDefault="007C3FDB" w:rsidP="00B72CA6">
            <w:pPr>
              <w:jc w:val="center"/>
            </w:pPr>
            <w:r>
              <w:t>5</w:t>
            </w:r>
            <w:r w:rsidRPr="00F77F6B">
              <w:t>%</w:t>
            </w:r>
          </w:p>
        </w:tc>
        <w:tc>
          <w:tcPr>
            <w:tcW w:w="3124" w:type="dxa"/>
            <w:vAlign w:val="center"/>
          </w:tcPr>
          <w:p w14:paraId="7ABBB4F2" w14:textId="77777777" w:rsidR="007C3FDB" w:rsidRPr="00F77F6B" w:rsidRDefault="007C3FDB" w:rsidP="00B72CA6">
            <w:pPr>
              <w:jc w:val="center"/>
            </w:pPr>
            <w:r>
              <w:t>0.5% to 14%</w:t>
            </w:r>
          </w:p>
        </w:tc>
      </w:tr>
      <w:tr w:rsidR="007C3FDB" w:rsidRPr="00F77F6B" w14:paraId="2E4EAF98" w14:textId="77777777" w:rsidTr="000E5F7E">
        <w:trPr>
          <w:cantSplit/>
          <w:trHeight w:val="532"/>
          <w:tblHeader/>
        </w:trPr>
        <w:tc>
          <w:tcPr>
            <w:tcW w:w="1980" w:type="dxa"/>
            <w:vAlign w:val="center"/>
          </w:tcPr>
          <w:p w14:paraId="07147284" w14:textId="77777777" w:rsidR="007C3FDB" w:rsidRPr="00F77F6B" w:rsidRDefault="007C3FDB" w:rsidP="00B72CA6">
            <w:r w:rsidRPr="00F77F6B">
              <w:t>Supplementary</w:t>
            </w:r>
          </w:p>
        </w:tc>
        <w:tc>
          <w:tcPr>
            <w:tcW w:w="4819" w:type="dxa"/>
            <w:vAlign w:val="center"/>
          </w:tcPr>
          <w:p w14:paraId="3679D82B" w14:textId="77777777" w:rsidR="007C3FDB" w:rsidRPr="00F77F6B" w:rsidRDefault="007C3FDB" w:rsidP="00B72CA6">
            <w:pPr>
              <w:jc w:val="center"/>
            </w:pPr>
            <w:r w:rsidRPr="00F77F6B">
              <w:t>1</w:t>
            </w:r>
            <w:r>
              <w:t>0</w:t>
            </w:r>
            <w:r w:rsidRPr="00F77F6B">
              <w:t>%</w:t>
            </w:r>
          </w:p>
        </w:tc>
        <w:tc>
          <w:tcPr>
            <w:tcW w:w="3124" w:type="dxa"/>
            <w:vAlign w:val="center"/>
          </w:tcPr>
          <w:p w14:paraId="7B66B585" w14:textId="77777777" w:rsidR="007C3FDB" w:rsidRPr="00F77F6B" w:rsidRDefault="007C3FDB" w:rsidP="00B72CA6">
            <w:pPr>
              <w:jc w:val="center"/>
            </w:pPr>
            <w:r>
              <w:t>2% to 14%</w:t>
            </w:r>
          </w:p>
        </w:tc>
      </w:tr>
      <w:tr w:rsidR="007C3FDB" w:rsidRPr="00F77F6B" w14:paraId="48F0F4A6" w14:textId="77777777" w:rsidTr="000E5F7E">
        <w:trPr>
          <w:cantSplit/>
          <w:trHeight w:val="566"/>
          <w:tblHeader/>
        </w:trPr>
        <w:tc>
          <w:tcPr>
            <w:tcW w:w="1980" w:type="dxa"/>
            <w:vAlign w:val="center"/>
          </w:tcPr>
          <w:p w14:paraId="1BB332DD" w14:textId="77777777" w:rsidR="007C3FDB" w:rsidRPr="00F77F6B" w:rsidRDefault="007C3FDB" w:rsidP="00B72CA6">
            <w:r w:rsidRPr="00F77F6B">
              <w:t>Substantial</w:t>
            </w:r>
          </w:p>
        </w:tc>
        <w:tc>
          <w:tcPr>
            <w:tcW w:w="4819" w:type="dxa"/>
            <w:vAlign w:val="center"/>
          </w:tcPr>
          <w:p w14:paraId="44B2F731" w14:textId="77777777" w:rsidR="007C3FDB" w:rsidRPr="00F77F6B" w:rsidRDefault="007C3FDB" w:rsidP="00B72CA6">
            <w:pPr>
              <w:jc w:val="center"/>
            </w:pPr>
            <w:r>
              <w:t>36</w:t>
            </w:r>
            <w:r w:rsidRPr="00F77F6B">
              <w:t>%</w:t>
            </w:r>
          </w:p>
        </w:tc>
        <w:tc>
          <w:tcPr>
            <w:tcW w:w="3124" w:type="dxa"/>
            <w:vAlign w:val="center"/>
          </w:tcPr>
          <w:p w14:paraId="20C1E167" w14:textId="77777777" w:rsidR="007C3FDB" w:rsidRPr="00F77F6B" w:rsidRDefault="007C3FDB" w:rsidP="00B72CA6">
            <w:pPr>
              <w:jc w:val="center"/>
            </w:pPr>
            <w:r>
              <w:t>14% to 71%</w:t>
            </w:r>
          </w:p>
        </w:tc>
      </w:tr>
      <w:tr w:rsidR="007C3FDB" w:rsidRPr="00F77F6B" w14:paraId="2A3944DE" w14:textId="77777777" w:rsidTr="000E5F7E">
        <w:trPr>
          <w:cantSplit/>
          <w:trHeight w:val="532"/>
          <w:tblHeader/>
        </w:trPr>
        <w:tc>
          <w:tcPr>
            <w:tcW w:w="1980" w:type="dxa"/>
            <w:vAlign w:val="center"/>
          </w:tcPr>
          <w:p w14:paraId="5EE6620A" w14:textId="77777777" w:rsidR="007C3FDB" w:rsidRPr="00F77F6B" w:rsidRDefault="007C3FDB" w:rsidP="00B72CA6">
            <w:r w:rsidRPr="00F77F6B">
              <w:t>Extensive</w:t>
            </w:r>
          </w:p>
        </w:tc>
        <w:tc>
          <w:tcPr>
            <w:tcW w:w="4819" w:type="dxa"/>
            <w:vAlign w:val="center"/>
          </w:tcPr>
          <w:p w14:paraId="474BFC63" w14:textId="77777777" w:rsidR="007C3FDB" w:rsidRPr="00F77F6B" w:rsidRDefault="007C3FDB" w:rsidP="00B72CA6">
            <w:pPr>
              <w:jc w:val="center"/>
            </w:pPr>
            <w:r>
              <w:t>54</w:t>
            </w:r>
            <w:r w:rsidRPr="00F77F6B">
              <w:t>%</w:t>
            </w:r>
          </w:p>
        </w:tc>
        <w:tc>
          <w:tcPr>
            <w:tcW w:w="3124" w:type="dxa"/>
            <w:vAlign w:val="center"/>
          </w:tcPr>
          <w:p w14:paraId="491E4B3D" w14:textId="77777777" w:rsidR="007C3FDB" w:rsidRPr="00F77F6B" w:rsidRDefault="007C3FDB" w:rsidP="00B72CA6">
            <w:pPr>
              <w:jc w:val="center"/>
            </w:pPr>
            <w:r>
              <w:t>12% to 90%</w:t>
            </w:r>
          </w:p>
        </w:tc>
      </w:tr>
    </w:tbl>
    <w:p w14:paraId="7213CD17" w14:textId="77777777" w:rsidR="007C3FDB" w:rsidRDefault="007C3FDB" w:rsidP="007C3FDB">
      <w:pPr>
        <w:pStyle w:val="Notetext"/>
      </w:pPr>
      <w:r>
        <w:t xml:space="preserve">Note: </w:t>
      </w:r>
      <w:r w:rsidRPr="007A440F">
        <w:t>Based on data from the five Systems that provided information on the numbers of students supported by targeted programs, by NCCD level.</w:t>
      </w:r>
      <w:r>
        <w:t xml:space="preserve"> Note:</w:t>
      </w:r>
      <w:r w:rsidRPr="00F46A6E">
        <w:t xml:space="preserve"> the lower end of these ranges is affected disproportionally by data from one System, as its targeted program is not the source of funding and support for the majority of</w:t>
      </w:r>
      <w:r>
        <w:t xml:space="preserve"> its students with higher needs</w:t>
      </w:r>
    </w:p>
    <w:p w14:paraId="7CAFE064" w14:textId="77777777" w:rsidR="007C3FDB" w:rsidRPr="00B01F11" w:rsidRDefault="007C3FDB" w:rsidP="00B723A3">
      <w:pPr>
        <w:pStyle w:val="Heading2"/>
        <w:spacing w:before="240"/>
      </w:pPr>
      <w:r w:rsidRPr="00B01F11">
        <w:t>Discussion</w:t>
      </w:r>
    </w:p>
    <w:p w14:paraId="0240520B" w14:textId="2340F308" w:rsidR="007C3FDB" w:rsidRPr="00216E07" w:rsidRDefault="007C3FDB" w:rsidP="007C3FDB">
      <w:r w:rsidRPr="00216E07">
        <w:t>Taken at a jurisdictional level, there is fairly common agreement on the disability categories covered in each jurisdiction’s targeted funding programs (see Appendix 1). There are, however, significant differences in eligibility requirements across jurisdictions, resulting in differing percentages of the total government enrolment cohort</w:t>
      </w:r>
      <w:r w:rsidR="00B72CA6">
        <w:t>s</w:t>
      </w:r>
      <w:r w:rsidRPr="00216E07">
        <w:t xml:space="preserve"> covered by </w:t>
      </w:r>
      <w:r w:rsidR="00B72CA6" w:rsidRPr="00216E07">
        <w:t xml:space="preserve">disability </w:t>
      </w:r>
      <w:r w:rsidRPr="00216E07">
        <w:t>targeted program</w:t>
      </w:r>
      <w:r w:rsidR="00B72CA6">
        <w:t>s</w:t>
      </w:r>
      <w:r w:rsidRPr="00216E07">
        <w:t xml:space="preserve">; noting that schools are also provided with funding and resources outside targeted programs to ensure all students in the NCCD are supported with necessary adjustments. This difference presents challenges when comparing jurisdictions. </w:t>
      </w:r>
    </w:p>
    <w:p w14:paraId="78983141" w14:textId="6F6106DF" w:rsidR="007C3FDB" w:rsidRPr="00216E07" w:rsidRDefault="007C3FDB" w:rsidP="007C3FDB">
      <w:r w:rsidRPr="00216E07">
        <w:t>The amount of funding the sample state and territor</w:t>
      </w:r>
      <w:r w:rsidR="00B72CA6">
        <w:t>y</w:t>
      </w:r>
      <w:r w:rsidRPr="00216E07">
        <w:t xml:space="preserve"> </w:t>
      </w:r>
      <w:r w:rsidR="00441B08">
        <w:t>System</w:t>
      </w:r>
      <w:r w:rsidR="00B72CA6">
        <w:t>s</w:t>
      </w:r>
      <w:r w:rsidRPr="00216E07">
        <w:t xml:space="preserve"> provide at each level under their targeted funding programs increases as the needs of the students become</w:t>
      </w:r>
      <w:r w:rsidR="00B72CA6">
        <w:t>s</w:t>
      </w:r>
      <w:r w:rsidRPr="00216E07">
        <w:t xml:space="preserve"> higher and more complex. This is reflected in the higher amounts allocated by every jurisdiction for their highest level of support and reflected in the data tables showing relativities between targeted program funding levels. While the student numbers reduce at the higher levels of adjustment for disability, the cost of meeting the</w:t>
      </w:r>
      <w:r w:rsidR="00B72CA6">
        <w:t>se</w:t>
      </w:r>
      <w:r w:rsidRPr="00216E07">
        <w:t xml:space="preserve"> students’ needs increases significantly.</w:t>
      </w:r>
    </w:p>
    <w:p w14:paraId="01A692D7" w14:textId="5D74DB00" w:rsidR="007C3FDB" w:rsidRPr="00216E07" w:rsidRDefault="007C3FDB" w:rsidP="007C3FDB">
      <w:r w:rsidRPr="00216E07">
        <w:t xml:space="preserve">The aggregated figures in this report are intended to provide a broad set of information </w:t>
      </w:r>
      <w:r w:rsidR="00A13826">
        <w:t>to</w:t>
      </w:r>
      <w:r w:rsidRPr="00216E07">
        <w:t xml:space="preserve"> support the Board’s consideration of the settings for the students with disability loading. While it is not necessary for the loading to reflect the figures presented in report, this project’s findings provide an indication of current practices of jurisdictions</w:t>
      </w:r>
      <w:r w:rsidR="00A13826">
        <w:t>,</w:t>
      </w:r>
      <w:r w:rsidRPr="00216E07">
        <w:t xml:space="preserve"> and the funding relativities </w:t>
      </w:r>
      <w:r w:rsidR="00A13826">
        <w:t xml:space="preserve">they </w:t>
      </w:r>
      <w:r w:rsidRPr="00216E07">
        <w:t xml:space="preserve">deem appropriate to the level and nature of need in each cohort. </w:t>
      </w:r>
    </w:p>
    <w:p w14:paraId="6E5BEED6" w14:textId="5712C4F0" w:rsidR="007C3FDB" w:rsidRPr="007E651A" w:rsidRDefault="007C3FDB" w:rsidP="007C3FDB">
      <w:r w:rsidRPr="00216E07">
        <w:t xml:space="preserve">Along with the results of the other validation projects, the aggregated data presented in this report may be used to inform consideration of the settings for the students with disability loading, noting that </w:t>
      </w:r>
      <w:r w:rsidR="00A13826">
        <w:t>implications</w:t>
      </w:r>
      <w:r w:rsidRPr="00216E07">
        <w:t xml:space="preserve"> for funding reform </w:t>
      </w:r>
      <w:r w:rsidR="00A13826">
        <w:t>should be approached</w:t>
      </w:r>
      <w:r w:rsidRPr="00216E07">
        <w:t xml:space="preserve"> cautious</w:t>
      </w:r>
      <w:r w:rsidR="00A13826">
        <w:t>ly</w:t>
      </w:r>
      <w:r w:rsidRPr="00216E07">
        <w:t xml:space="preserve"> given the research challenges and methodological difficulties </w:t>
      </w:r>
      <w:r w:rsidR="00A13826">
        <w:t>discussed.</w:t>
      </w:r>
    </w:p>
    <w:p w14:paraId="57E67271" w14:textId="77777777" w:rsidR="007C3FDB" w:rsidRDefault="007C3FDB">
      <w:pPr>
        <w:pStyle w:val="Heading1"/>
        <w:sectPr w:rsidR="007C3FDB" w:rsidSect="006C6906">
          <w:pgSz w:w="11906" w:h="16838"/>
          <w:pgMar w:top="1304" w:right="1440" w:bottom="1361" w:left="1440" w:header="708" w:footer="708" w:gutter="0"/>
          <w:pgNumType w:start="1"/>
          <w:cols w:space="708"/>
          <w:docGrid w:linePitch="360"/>
        </w:sectPr>
      </w:pPr>
    </w:p>
    <w:p w14:paraId="3EC1313E" w14:textId="2381AF7A" w:rsidR="007C3FDB" w:rsidRPr="008A476E" w:rsidRDefault="00B01F11">
      <w:pPr>
        <w:pStyle w:val="Heading1"/>
      </w:pPr>
      <w:bookmarkStart w:id="1" w:name="_Toc38449118"/>
      <w:r w:rsidRPr="008A476E">
        <w:t>Introduction</w:t>
      </w:r>
      <w:bookmarkEnd w:id="1"/>
      <w:r w:rsidRPr="008A476E">
        <w:t xml:space="preserve"> </w:t>
      </w:r>
    </w:p>
    <w:p w14:paraId="148AE959" w14:textId="2EA47633" w:rsidR="007C3FDB" w:rsidRPr="00425054" w:rsidRDefault="007C3FDB" w:rsidP="007C3FDB">
      <w:r w:rsidRPr="00425054">
        <w:t xml:space="preserve">This project responds to the Board’s Terms of Reference </w:t>
      </w:r>
      <w:r w:rsidR="00A13826">
        <w:t>s</w:t>
      </w:r>
      <w:r w:rsidRPr="00425054">
        <w:t xml:space="preserve">cope </w:t>
      </w:r>
      <w:r w:rsidR="00A13826">
        <w:t xml:space="preserve">which asks it to examine </w:t>
      </w:r>
      <w:r w:rsidRPr="00425054">
        <w:t xml:space="preserve">‘the level of funding for educational adjustment provided by approved system authorities to member schools for students with </w:t>
      </w:r>
      <w:r w:rsidR="00D562CC">
        <w:t>disability</w:t>
      </w:r>
      <w:r w:rsidRPr="00425054">
        <w:t xml:space="preserve"> under each system’s needs-based funding arrangements’</w:t>
      </w:r>
      <w:r>
        <w:t>.</w:t>
      </w:r>
      <w:r w:rsidRPr="00425054">
        <w:t xml:space="preserve"> </w:t>
      </w:r>
    </w:p>
    <w:p w14:paraId="3026BC4C" w14:textId="76575445" w:rsidR="007C3FDB" w:rsidRPr="00425054" w:rsidRDefault="007C3FDB" w:rsidP="007C3FDB">
      <w:r w:rsidRPr="00425054">
        <w:t xml:space="preserve">The project has two key </w:t>
      </w:r>
      <w:r w:rsidR="00B01F11">
        <w:t>objectives</w:t>
      </w:r>
      <w:r>
        <w:t>:</w:t>
      </w:r>
      <w:r w:rsidRPr="00425054">
        <w:t xml:space="preserve"> </w:t>
      </w:r>
    </w:p>
    <w:p w14:paraId="59127597" w14:textId="6D7F2299" w:rsidR="007C3FDB" w:rsidRPr="00F15E72" w:rsidRDefault="007C3FDB" w:rsidP="00510147">
      <w:pPr>
        <w:pStyle w:val="ListBullet"/>
      </w:pPr>
      <w:r>
        <w:t>t</w:t>
      </w:r>
      <w:r w:rsidRPr="00F15E72">
        <w:t xml:space="preserve">o identify current state and territory government </w:t>
      </w:r>
      <w:r w:rsidR="00441B08">
        <w:t>System</w:t>
      </w:r>
      <w:r w:rsidRPr="00F15E72">
        <w:t xml:space="preserve"> arrangements for funding students with disability and moderate to high needs, and common reform directions that may inform future Commonwealth students with disability funding loadings</w:t>
      </w:r>
      <w:r>
        <w:t>.</w:t>
      </w:r>
    </w:p>
    <w:p w14:paraId="343614B9" w14:textId="356FA648" w:rsidR="007C3FDB" w:rsidRPr="00F15E72" w:rsidRDefault="00B01F11" w:rsidP="00D562CC">
      <w:pPr>
        <w:pStyle w:val="ListBullet"/>
      </w:pPr>
      <w:r>
        <w:t>to e</w:t>
      </w:r>
      <w:r w:rsidR="007C3FDB" w:rsidRPr="00F15E72">
        <w:t xml:space="preserve">stablish the relativity between aggregated </w:t>
      </w:r>
      <w:r w:rsidR="00441B08">
        <w:t>System</w:t>
      </w:r>
      <w:r w:rsidR="007C3FDB" w:rsidRPr="00F15E72">
        <w:t xml:space="preserve"> targeted funding amounts (per student) and the three Nationally Consistent Collection of Data </w:t>
      </w:r>
      <w:r w:rsidR="00BB15BB">
        <w:t>on</w:t>
      </w:r>
      <w:r w:rsidR="00BB15BB" w:rsidRPr="00F15E72">
        <w:t xml:space="preserve"> </w:t>
      </w:r>
      <w:r w:rsidR="00A13826">
        <w:t xml:space="preserve">School </w:t>
      </w:r>
      <w:r w:rsidR="007C3FDB" w:rsidRPr="00F15E72">
        <w:t xml:space="preserve">Students with Disability (NCCD) adjustment levels, </w:t>
      </w:r>
      <w:r w:rsidR="007C3FDB" w:rsidRPr="00425054">
        <w:t xml:space="preserve">to </w:t>
      </w:r>
      <w:r w:rsidR="007C3FDB">
        <w:t>inform the validity of the current loading settings</w:t>
      </w:r>
      <w:r>
        <w:t>, u</w:t>
      </w:r>
      <w:r w:rsidRPr="00F15E72">
        <w:t>sing a sample collection of state and territory data</w:t>
      </w:r>
      <w:r w:rsidR="007C3FDB" w:rsidRPr="00425054">
        <w:t xml:space="preserve">. </w:t>
      </w:r>
    </w:p>
    <w:p w14:paraId="19C5C225" w14:textId="5CF986BA" w:rsidR="007C3FDB" w:rsidRPr="001A1D14" w:rsidRDefault="00B01F11" w:rsidP="0062396B">
      <w:pPr>
        <w:pStyle w:val="Heading1"/>
      </w:pPr>
      <w:bookmarkStart w:id="2" w:name="_Toc38449119"/>
      <w:r w:rsidRPr="001A1D14">
        <w:t>Methodology</w:t>
      </w:r>
      <w:bookmarkEnd w:id="2"/>
    </w:p>
    <w:p w14:paraId="52B5BD1D" w14:textId="31FCD394" w:rsidR="007C3FDB" w:rsidRPr="001A1D14" w:rsidRDefault="007C3FDB" w:rsidP="007C3FDB">
      <w:r w:rsidRPr="001A1D14">
        <w:t>The project undertook a number of steps to enable the collection of the necessary data, its analysis and final paper. A project plan was established and a national mapping framework was developed to enable the collection and comparison of 2018 data across state and territories. The mapping framework was used to consider the similarities and differences between Government and non</w:t>
      </w:r>
      <w:r w:rsidR="00A13826">
        <w:noBreakHyphen/>
      </w:r>
      <w:r w:rsidRPr="001A1D14">
        <w:t xml:space="preserve">government </w:t>
      </w:r>
      <w:r w:rsidR="00441B08">
        <w:t>System</w:t>
      </w:r>
      <w:r w:rsidRPr="001A1D14">
        <w:t xml:space="preserve">s broad policy and reform directions, and funding allocative mechanisms and arrangements. Project 3 methodology included: </w:t>
      </w:r>
    </w:p>
    <w:p w14:paraId="2124D9CE" w14:textId="3E4BE70D" w:rsidR="007C3FDB" w:rsidRPr="001A1D14" w:rsidRDefault="007C3FDB" w:rsidP="00510147">
      <w:pPr>
        <w:pStyle w:val="ListBullet"/>
      </w:pPr>
      <w:r w:rsidRPr="001A1D14">
        <w:t xml:space="preserve">Identifying gaps in available information through desktop research and consultation processes. </w:t>
      </w:r>
    </w:p>
    <w:p w14:paraId="1DC46644" w14:textId="77777777" w:rsidR="007C3FDB" w:rsidRPr="001A1D14" w:rsidRDefault="007C3FDB" w:rsidP="00D562CC">
      <w:pPr>
        <w:pStyle w:val="ListBullet"/>
      </w:pPr>
      <w:r w:rsidRPr="001A1D14">
        <w:t>Information requested and received from all state and sector approved systems authority about their needs-based funding arrangements for schools.</w:t>
      </w:r>
    </w:p>
    <w:p w14:paraId="1293FB8C" w14:textId="174ADF6A" w:rsidR="007C3FDB" w:rsidRPr="001A1D14" w:rsidRDefault="007C3FDB" w:rsidP="00D562CC">
      <w:pPr>
        <w:pStyle w:val="ListBullet"/>
      </w:pPr>
      <w:r w:rsidRPr="001A1D14">
        <w:t xml:space="preserve">A request to each state and territory government </w:t>
      </w:r>
      <w:r w:rsidR="00441B08">
        <w:t>System</w:t>
      </w:r>
      <w:r w:rsidRPr="001A1D14">
        <w:t xml:space="preserve"> for information and data on the alignment of their students with disability targeted funding program allocations with the three funded NCCD levels of support. </w:t>
      </w:r>
    </w:p>
    <w:p w14:paraId="5225F037" w14:textId="0770D560" w:rsidR="007C3FDB" w:rsidRPr="001A1D14" w:rsidRDefault="000E200D" w:rsidP="00C0179F">
      <w:pPr>
        <w:pStyle w:val="ListBullet"/>
      </w:pPr>
      <w:r>
        <w:t>Use of government sector</w:t>
      </w:r>
      <w:r w:rsidR="00E903B2" w:rsidRPr="00E903B2">
        <w:t xml:space="preserve"> </w:t>
      </w:r>
      <w:r w:rsidR="00E903B2">
        <w:t>data only</w:t>
      </w:r>
      <w:r>
        <w:t>. W</w:t>
      </w:r>
      <w:r w:rsidR="007C3FDB" w:rsidRPr="001A1D14">
        <w:t xml:space="preserve">hile government, Catholic and independent school </w:t>
      </w:r>
      <w:r w:rsidR="00441B08">
        <w:t>System</w:t>
      </w:r>
      <w:r w:rsidR="007C3FDB" w:rsidRPr="001A1D14">
        <w:t xml:space="preserve">s share a broad set of reform directions and principles for supporting students with </w:t>
      </w:r>
      <w:r w:rsidR="00D562CC">
        <w:t>disability</w:t>
      </w:r>
      <w:r w:rsidR="007C3FDB" w:rsidRPr="001A1D14">
        <w:t xml:space="preserve">, the funding mechanisms used by Catholic and independent </w:t>
      </w:r>
      <w:r w:rsidR="00441B08">
        <w:t>System</w:t>
      </w:r>
      <w:r w:rsidR="007C3FDB" w:rsidRPr="001A1D14">
        <w:t>s d</w:t>
      </w:r>
      <w:r>
        <w:t>o</w:t>
      </w:r>
      <w:r w:rsidR="007C3FDB" w:rsidRPr="001A1D14">
        <w:t xml:space="preserve"> not enable a like</w:t>
      </w:r>
      <w:r>
        <w:noBreakHyphen/>
        <w:t>for</w:t>
      </w:r>
      <w:r>
        <w:noBreakHyphen/>
        <w:t>like</w:t>
      </w:r>
      <w:r w:rsidR="007C3FDB" w:rsidRPr="001A1D14">
        <w:t xml:space="preserve"> comparison for the purpose of this project. The number and proportion of students with </w:t>
      </w:r>
      <w:r w:rsidR="00D562CC">
        <w:t>disability</w:t>
      </w:r>
      <w:r w:rsidR="007C3FDB" w:rsidRPr="001A1D14">
        <w:t xml:space="preserve"> in </w:t>
      </w:r>
      <w:r>
        <w:t>g</w:t>
      </w:r>
      <w:r w:rsidR="007C3FDB" w:rsidRPr="001A1D14">
        <w:t xml:space="preserve">overnment </w:t>
      </w:r>
      <w:r w:rsidR="00441B08">
        <w:t>System</w:t>
      </w:r>
      <w:r w:rsidR="007C3FDB" w:rsidRPr="001A1D14">
        <w:t xml:space="preserve"> schools enabled a valid research sample to inform and achieve the intention of Project 3. Efforts were made to ensure that the sample included both state and territory data</w:t>
      </w:r>
      <w:r>
        <w:t xml:space="preserve"> from</w:t>
      </w:r>
      <w:r w:rsidR="007C3FDB" w:rsidRPr="001A1D14">
        <w:t xml:space="preserve"> jurisdictions of varying sizes and number</w:t>
      </w:r>
      <w:r>
        <w:t>s</w:t>
      </w:r>
      <w:r w:rsidR="007C3FDB" w:rsidRPr="001A1D14">
        <w:t xml:space="preserve"> of students with </w:t>
      </w:r>
      <w:r w:rsidR="00D562CC">
        <w:t>disability</w:t>
      </w:r>
      <w:r w:rsidR="007C3FDB" w:rsidRPr="001A1D14">
        <w:t>.</w:t>
      </w:r>
    </w:p>
    <w:p w14:paraId="147D5D54" w14:textId="0EB67149" w:rsidR="007C3FDB" w:rsidRPr="001A1D14" w:rsidRDefault="007C3FDB" w:rsidP="00C0179F">
      <w:pPr>
        <w:pStyle w:val="ListBullet"/>
      </w:pPr>
      <w:r w:rsidRPr="001A1D14">
        <w:t>Analysis of the data by Professor Matthew Gray, Director, ANU Centre for Social Research and Methods, Australian National University, to establish the relativity between aggregated per</w:t>
      </w:r>
      <w:r w:rsidR="000E200D">
        <w:noBreakHyphen/>
      </w:r>
      <w:r w:rsidRPr="001A1D14">
        <w:t xml:space="preserve">student </w:t>
      </w:r>
      <w:r w:rsidR="00441B08">
        <w:t>System</w:t>
      </w:r>
      <w:r w:rsidRPr="001A1D14">
        <w:t xml:space="preserve"> disability targeted program funding amounts for each of the three NCCD adjustment levels. Sample jurisdictions’ figures were aggregated in tables which show the overall relativity between the three levels.</w:t>
      </w:r>
    </w:p>
    <w:p w14:paraId="28720FD9" w14:textId="128389DA" w:rsidR="007C3FDB" w:rsidRPr="001A1D14" w:rsidRDefault="007C3FDB">
      <w:pPr>
        <w:pStyle w:val="ListBullet"/>
      </w:pPr>
      <w:r w:rsidRPr="001A1D14">
        <w:t xml:space="preserve">Analysis considered by the National School Resourcing Board Sub Committee </w:t>
      </w:r>
      <w:r w:rsidR="008B6073">
        <w:t xml:space="preserve">and </w:t>
      </w:r>
      <w:r w:rsidRPr="001A1D14">
        <w:t>Expert Panel to identify the extent to which the data based on a nationally aggregated sample of state and territory arrangements could be used to validate the settings of the loading and inform the National School Resourcing Board</w:t>
      </w:r>
      <w:r w:rsidR="000E200D">
        <w:t>’ analysis</w:t>
      </w:r>
      <w:r w:rsidRPr="001A1D14">
        <w:t xml:space="preserve">. </w:t>
      </w:r>
    </w:p>
    <w:p w14:paraId="3AD6B161" w14:textId="6CB2562E" w:rsidR="007C3FDB" w:rsidRPr="001A1D14" w:rsidRDefault="007C3FDB" w:rsidP="007C3FDB">
      <w:r w:rsidRPr="001A1D14">
        <w:t xml:space="preserve">This approach encountered significant methodological difficulties and there are a number of caveats in relation to the project data and its use. It is noted that there are significant differences between individual jurisdictions’ level of support and the sample size was limited to six jurisdictions (with complete data provided by only four). </w:t>
      </w:r>
    </w:p>
    <w:p w14:paraId="595F9CE5" w14:textId="77777777" w:rsidR="007C3FDB" w:rsidRPr="001A1D14" w:rsidRDefault="007C3FDB" w:rsidP="007C3FDB">
      <w:r w:rsidRPr="001A1D14">
        <w:t>As well, because this project used data obtained from disability targeted funding programs, the expenditure amounts do not reflect the full Commonwealth and State contribution to funding for students with disability. Each jurisdiction make</w:t>
      </w:r>
      <w:r>
        <w:t>s</w:t>
      </w:r>
      <w:r w:rsidRPr="001A1D14">
        <w:t xml:space="preserve"> decisions about how much is funded under their targeted program and what other </w:t>
      </w:r>
      <w:r>
        <w:t xml:space="preserve">formula based funding, </w:t>
      </w:r>
      <w:r w:rsidRPr="001A1D14">
        <w:t xml:space="preserve">services, equipment, training, allied health support and specialist programs for students with disability are provided for schools to assist them to make the necessary adjustments for participation and achievement on the same basis for all students with disability. This raises the </w:t>
      </w:r>
      <w:r>
        <w:t xml:space="preserve">strong likelihood </w:t>
      </w:r>
      <w:r w:rsidRPr="001A1D14">
        <w:t>that the funding attributed to students in targeted programs is under represented</w:t>
      </w:r>
      <w:r>
        <w:t xml:space="preserve"> in the collected data</w:t>
      </w:r>
      <w:r w:rsidRPr="001A1D14">
        <w:t xml:space="preserve">.  </w:t>
      </w:r>
    </w:p>
    <w:p w14:paraId="4412E20C" w14:textId="6BF0CF9E" w:rsidR="007C3FDB" w:rsidRPr="001A1D14" w:rsidRDefault="00E903B2" w:rsidP="0062396B">
      <w:pPr>
        <w:pStyle w:val="Heading1"/>
      </w:pPr>
      <w:bookmarkStart w:id="3" w:name="_Toc38449120"/>
      <w:r w:rsidRPr="001A1D14">
        <w:t xml:space="preserve">Shared </w:t>
      </w:r>
      <w:r w:rsidR="00696EC6" w:rsidRPr="001A1D14">
        <w:t xml:space="preserve">reform directions </w:t>
      </w:r>
      <w:r w:rsidR="00696EC6">
        <w:t>a</w:t>
      </w:r>
      <w:r w:rsidR="00696EC6" w:rsidRPr="001A1D14">
        <w:t>nd key principles for supporting students with disability in schools</w:t>
      </w:r>
      <w:bookmarkEnd w:id="3"/>
      <w:r w:rsidR="00696EC6" w:rsidRPr="001A1D14">
        <w:t xml:space="preserve"> </w:t>
      </w:r>
    </w:p>
    <w:p w14:paraId="2376AC92" w14:textId="7CC89F77" w:rsidR="007C3FDB" w:rsidRPr="001A1D14" w:rsidRDefault="007C3FDB" w:rsidP="007C3FDB">
      <w:r w:rsidRPr="001A1D14">
        <w:t>There are approximately 9,500 government and non-government schools providing educational programs for an enrolment of over 3.89</w:t>
      </w:r>
      <w:r w:rsidR="000A3AF4">
        <w:t xml:space="preserve"> </w:t>
      </w:r>
      <w:r w:rsidRPr="001A1D14">
        <w:t>m</w:t>
      </w:r>
      <w:r w:rsidR="000A3AF4">
        <w:t>illion</w:t>
      </w:r>
      <w:r w:rsidRPr="001A1D14">
        <w:t xml:space="preserve"> students. Within this total enrolment, the recently introduced </w:t>
      </w:r>
      <w:r w:rsidR="000A3AF4">
        <w:t>NCCD</w:t>
      </w:r>
      <w:r w:rsidRPr="001A1D14">
        <w:t xml:space="preserve"> identified that 18.8 per cent of all enrolled students have a disability requiring some form of adjustment in 2018. While there are significant differences across and within the approved systems authorities, representing their separate historical and political contexts, and the impact of evolving policy, values and beliefs related to disability and pedagogy, it is possible to identify a common reform direction, with some key principles and shared approaches to disability funding.</w:t>
      </w:r>
    </w:p>
    <w:p w14:paraId="1AC71816" w14:textId="57902700" w:rsidR="007C3FDB" w:rsidRPr="001A1D14" w:rsidRDefault="007C3FDB" w:rsidP="007C3FDB">
      <w:r w:rsidRPr="001A1D14">
        <w:t xml:space="preserve">The last 30 years has been a period of reform and change to the way our Australian society and schools view, respond to and support their students with </w:t>
      </w:r>
      <w:r w:rsidR="00D562CC">
        <w:t>disability</w:t>
      </w:r>
      <w:r w:rsidRPr="001A1D14">
        <w:t xml:space="preserve"> and communities and the role they have in contributing to the nation’s broader economic and social development.</w:t>
      </w:r>
    </w:p>
    <w:p w14:paraId="5EB6A017" w14:textId="3008CC6C" w:rsidR="00696EC6" w:rsidRPr="001A1D14" w:rsidRDefault="007C3FDB" w:rsidP="007C3FDB">
      <w:r w:rsidRPr="001A1D14">
        <w:t>Schools have undergone a significant shift away from the industrial model of schooling with little regard to individual circumstances, including the impact of socio economic, physiological and cultural differences upon a student’s ability to participate.</w:t>
      </w:r>
    </w:p>
    <w:p w14:paraId="3B95BF79" w14:textId="58BF6B5D" w:rsidR="007C3FDB" w:rsidRDefault="007C3FDB" w:rsidP="007C3FDB">
      <w:r w:rsidRPr="001A1D14">
        <w:t xml:space="preserve">In the last three decades we have seen schools move from a focus on ensuring a “known and small group of students with severe </w:t>
      </w:r>
      <w:r w:rsidR="00D562CC">
        <w:t>disability</w:t>
      </w:r>
      <w:r w:rsidRPr="001A1D14">
        <w:t>”</w:t>
      </w:r>
      <w:r w:rsidR="000A3AF4">
        <w:t>,</w:t>
      </w:r>
      <w:r w:rsidRPr="001A1D14">
        <w:t xml:space="preserve"> including students with mild to profound intellectual disability, students who were legally blind, deaf, or had severe physical or cognitive </w:t>
      </w:r>
      <w:r w:rsidR="00D562CC">
        <w:t>disability</w:t>
      </w:r>
      <w:r w:rsidRPr="001A1D14">
        <w:t xml:space="preserve"> with high level attendant care needs, could access buildings and playgrounds, to the current expectation of participation and achievement for all children and young people with </w:t>
      </w:r>
      <w:r w:rsidR="00D562CC">
        <w:t>disability</w:t>
      </w:r>
      <w:r w:rsidRPr="001A1D14">
        <w:t xml:space="preserve"> on the same basis as their peers. Over the last ten years specifically, we have seen the language and intent of our education systems demonstrate a commitment to building inclusive school cultures that accept and reflect the diversity of our nation. </w:t>
      </w:r>
    </w:p>
    <w:p w14:paraId="4286AD6B" w14:textId="59C4CF2F" w:rsidR="00B723A3" w:rsidRDefault="00B723A3" w:rsidP="007C3FDB"/>
    <w:p w14:paraId="6E4D14FD" w14:textId="2E7B8787" w:rsidR="00B723A3" w:rsidRDefault="00B723A3">
      <w:r>
        <w:br w:type="page"/>
      </w:r>
    </w:p>
    <w:p w14:paraId="540B0429" w14:textId="35071A6F" w:rsidR="00B723A3" w:rsidRPr="00B723A3" w:rsidRDefault="00B723A3" w:rsidP="00B723A3">
      <w:pPr>
        <w:pStyle w:val="Caption"/>
        <w:rPr>
          <w:rStyle w:val="Strong"/>
        </w:rPr>
      </w:pPr>
      <w:r w:rsidRPr="00B723A3">
        <w:rPr>
          <w:rStyle w:val="Strong"/>
        </w:rPr>
        <w:t>Figure 1: Inclusive schooling–a reform journey</w:t>
      </w:r>
    </w:p>
    <w:p w14:paraId="7ADF52A8" w14:textId="77777777" w:rsidR="007C3FDB" w:rsidRPr="00125752" w:rsidRDefault="007C3FDB" w:rsidP="007C3FDB">
      <w:pPr>
        <w:jc w:val="both"/>
        <w:rPr>
          <w:rStyle w:val="BookTitle"/>
          <w:rFonts w:cstheme="minorHAnsi"/>
          <w:i w:val="0"/>
          <w:iCs w:val="0"/>
          <w:smallCaps w:val="0"/>
        </w:rPr>
      </w:pPr>
      <w:r w:rsidRPr="00125752">
        <w:rPr>
          <w:rStyle w:val="BookTitle"/>
          <w:rFonts w:cstheme="minorHAnsi"/>
          <w:i w:val="0"/>
          <w:iCs w:val="0"/>
          <w:smallCaps w:val="0"/>
          <w:noProof/>
          <w:lang w:eastAsia="en-AU"/>
        </w:rPr>
        <w:drawing>
          <wp:inline distT="0" distB="0" distL="0" distR="0" wp14:anchorId="41997128" wp14:editId="3696DB2E">
            <wp:extent cx="5782877" cy="2383605"/>
            <wp:effectExtent l="0" t="0" r="8890" b="0"/>
            <wp:docPr id="9" name="Picture 9" descr="Inclusive Schooling - a reform journey. The reform journey has moved from ignoring, to segregation, to integration, to inclusion, and now to inclusive communities responding to and supporting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2163" r="5271" b="30066"/>
                    <a:stretch/>
                  </pic:blipFill>
                  <pic:spPr bwMode="auto">
                    <a:xfrm>
                      <a:off x="0" y="0"/>
                      <a:ext cx="6424599" cy="2648112"/>
                    </a:xfrm>
                    <a:prstGeom prst="rect">
                      <a:avLst/>
                    </a:prstGeom>
                    <a:ln>
                      <a:noFill/>
                    </a:ln>
                    <a:extLst>
                      <a:ext uri="{53640926-AAD7-44D8-BBD7-CCE9431645EC}">
                        <a14:shadowObscured xmlns:a14="http://schemas.microsoft.com/office/drawing/2010/main"/>
                      </a:ext>
                    </a:extLst>
                  </pic:spPr>
                </pic:pic>
              </a:graphicData>
            </a:graphic>
          </wp:inline>
        </w:drawing>
      </w:r>
    </w:p>
    <w:p w14:paraId="6472DEBB" w14:textId="238946A0" w:rsidR="007C3FDB" w:rsidRPr="001A1D14" w:rsidRDefault="007C3FDB" w:rsidP="007C3FDB">
      <w:r w:rsidRPr="001A1D14">
        <w:t>There has been a growing expectation at the national and state level that every child with a disability will be supported to maximise their educational, vocational and wellbeing outcomes, and that schools will meet the challenges and opportunities created by our increasingly diverse and complex school population, through a focus on personalised learning</w:t>
      </w:r>
      <w:r w:rsidR="00882CB4">
        <w:t xml:space="preserve"> and support for all students. </w:t>
      </w:r>
      <w:r w:rsidRPr="001A1D14">
        <w:t xml:space="preserve">Supporting this cultural change has been the growth of more equitable funding approaches that take account of the cohorts that exist within school populations and which may experience educational disadvantage including students with disability, and a steady and considerable increase in funding from the Commonwealth and State governments for all schools to support students with disability. </w:t>
      </w:r>
    </w:p>
    <w:p w14:paraId="25D794C3" w14:textId="3D7F10A0" w:rsidR="007C3FDB" w:rsidRPr="001A1D14" w:rsidRDefault="007C3FDB" w:rsidP="007C3FDB">
      <w:r w:rsidRPr="001A1D14">
        <w:t xml:space="preserve">These societal and schooling changes have been a response to, and are reflected in, a number of national and state government reforms, including the introduction of the </w:t>
      </w:r>
      <w:r w:rsidRPr="00BB15BB">
        <w:rPr>
          <w:i/>
        </w:rPr>
        <w:t>Disability Discrimination Act 1992</w:t>
      </w:r>
      <w:r w:rsidR="00BB15BB" w:rsidRPr="00BB15BB">
        <w:rPr>
          <w:i/>
        </w:rPr>
        <w:t xml:space="preserve"> </w:t>
      </w:r>
      <w:r w:rsidR="00BB15BB">
        <w:t>(DDA)</w:t>
      </w:r>
      <w:r w:rsidRPr="001A1D14">
        <w:t xml:space="preserve"> and the Disability Standards for Education 2005</w:t>
      </w:r>
      <w:r w:rsidR="00BB15BB">
        <w:t xml:space="preserve"> DSE</w:t>
      </w:r>
      <w:r w:rsidRPr="001A1D14">
        <w:t xml:space="preserve">. Aligned with these changes there has been an increasing focus by the Education Ministerial Council and heads of </w:t>
      </w:r>
      <w:r w:rsidR="00441B08">
        <w:t>System</w:t>
      </w:r>
      <w:r w:rsidRPr="001A1D14">
        <w:t xml:space="preserve">s on students with disability and building the capacity of our schools to deliver an excellent education to every student. </w:t>
      </w:r>
    </w:p>
    <w:p w14:paraId="5A72B4BC" w14:textId="4435EFBC" w:rsidR="007C3FDB" w:rsidRPr="001A1D14" w:rsidRDefault="007C3FDB" w:rsidP="007C3FDB">
      <w:pPr>
        <w:rPr>
          <w:rFonts w:eastAsiaTheme="majorEastAsia"/>
        </w:rPr>
      </w:pPr>
      <w:r w:rsidRPr="001A1D14">
        <w:rPr>
          <w:rFonts w:eastAsiaTheme="majorEastAsia"/>
        </w:rPr>
        <w:t xml:space="preserve">In recent years the Ministerial Council and </w:t>
      </w:r>
      <w:r w:rsidR="00441B08">
        <w:rPr>
          <w:rFonts w:eastAsiaTheme="majorEastAsia"/>
        </w:rPr>
        <w:t>System</w:t>
      </w:r>
      <w:r w:rsidRPr="001A1D14">
        <w:rPr>
          <w:rFonts w:eastAsiaTheme="majorEastAsia"/>
        </w:rPr>
        <w:t xml:space="preserve"> heads’ reform agenda has reflected a set of nationally agreed reforms that are changing the culture of our education systems and the way we think about and respond to people with </w:t>
      </w:r>
      <w:r w:rsidR="00D562CC">
        <w:rPr>
          <w:rFonts w:eastAsiaTheme="majorEastAsia"/>
        </w:rPr>
        <w:t>disability</w:t>
      </w:r>
      <w:r w:rsidRPr="001A1D14">
        <w:rPr>
          <w:rFonts w:eastAsiaTheme="majorEastAsia"/>
        </w:rPr>
        <w:t xml:space="preserve">. These reforms are helping to deliver high quality learning and support outcomes for all children and young people with </w:t>
      </w:r>
      <w:r w:rsidR="00D562CC">
        <w:rPr>
          <w:rFonts w:eastAsiaTheme="majorEastAsia"/>
        </w:rPr>
        <w:t>disability</w:t>
      </w:r>
      <w:r w:rsidRPr="001A1D14">
        <w:rPr>
          <w:rFonts w:eastAsiaTheme="majorEastAsia"/>
        </w:rPr>
        <w:t xml:space="preserve">. </w:t>
      </w:r>
    </w:p>
    <w:p w14:paraId="7D8C7D77" w14:textId="643ACF8B" w:rsidR="007C3FDB" w:rsidRPr="001A1D14" w:rsidRDefault="007C3FDB" w:rsidP="007C3FDB">
      <w:pPr>
        <w:rPr>
          <w:rFonts w:eastAsiaTheme="majorEastAsia"/>
        </w:rPr>
      </w:pPr>
      <w:r w:rsidRPr="001A1D14">
        <w:rPr>
          <w:rFonts w:eastAsiaTheme="majorEastAsia"/>
        </w:rPr>
        <w:t xml:space="preserve">While individual approaches are varied, there are key principles evident in most </w:t>
      </w:r>
      <w:r w:rsidR="00441B08">
        <w:rPr>
          <w:rFonts w:eastAsiaTheme="majorEastAsia"/>
        </w:rPr>
        <w:t>System</w:t>
      </w:r>
      <w:r w:rsidRPr="001A1D14">
        <w:rPr>
          <w:rFonts w:eastAsiaTheme="majorEastAsia"/>
        </w:rPr>
        <w:t xml:space="preserve"> policy and initiatives:</w:t>
      </w:r>
    </w:p>
    <w:p w14:paraId="11B63106" w14:textId="11FAE974" w:rsidR="007C3FDB" w:rsidRPr="001A1D14" w:rsidRDefault="00882CB4" w:rsidP="00510147">
      <w:pPr>
        <w:pStyle w:val="ListBullet"/>
      </w:pPr>
      <w:r>
        <w:t>t</w:t>
      </w:r>
      <w:r w:rsidR="007C3FDB" w:rsidRPr="001A1D14">
        <w:t>hat all students with disability are children and young people first and their areas of difference are part of a broader tapestry of diversity that enriches as well as challenges our schools</w:t>
      </w:r>
    </w:p>
    <w:p w14:paraId="15837126" w14:textId="203E852D" w:rsidR="007C3FDB" w:rsidRPr="001A1D14" w:rsidRDefault="00882CB4" w:rsidP="00D562CC">
      <w:pPr>
        <w:pStyle w:val="ListBullet"/>
      </w:pPr>
      <w:r>
        <w:t>a</w:t>
      </w:r>
      <w:r w:rsidR="007C3FDB" w:rsidRPr="001A1D14">
        <w:t xml:space="preserve"> focus on the individual child and their learning and support needs</w:t>
      </w:r>
    </w:p>
    <w:p w14:paraId="6E987A98" w14:textId="08E52358" w:rsidR="007C3FDB" w:rsidRPr="001A1D14" w:rsidRDefault="00882CB4" w:rsidP="00D562CC">
      <w:pPr>
        <w:pStyle w:val="ListBullet"/>
      </w:pPr>
      <w:r>
        <w:t>t</w:t>
      </w:r>
      <w:r w:rsidR="007C3FDB" w:rsidRPr="001A1D14">
        <w:t>he need to build our systemic capacity through developing the knowledge, ability and skills of our workforce</w:t>
      </w:r>
    </w:p>
    <w:p w14:paraId="6AA41778" w14:textId="100ACCAD" w:rsidR="007C3FDB" w:rsidRPr="001A1D14" w:rsidRDefault="00882CB4" w:rsidP="00D562CC">
      <w:pPr>
        <w:pStyle w:val="ListBullet"/>
      </w:pPr>
      <w:r>
        <w:t>e</w:t>
      </w:r>
      <w:r w:rsidR="007C3FDB" w:rsidRPr="001A1D14">
        <w:t xml:space="preserve">ffective pedagogy for students with </w:t>
      </w:r>
      <w:r w:rsidR="00D562CC">
        <w:t>disability</w:t>
      </w:r>
      <w:r w:rsidR="007C3FDB" w:rsidRPr="001A1D14">
        <w:t xml:space="preserve"> and inclusive schooling systems benefit all students</w:t>
      </w:r>
    </w:p>
    <w:p w14:paraId="34255958" w14:textId="4A600731" w:rsidR="007C3FDB" w:rsidRPr="001A1D14" w:rsidRDefault="00882CB4" w:rsidP="00D562CC">
      <w:pPr>
        <w:pStyle w:val="ListBullet"/>
      </w:pPr>
      <w:r>
        <w:t>t</w:t>
      </w:r>
      <w:r w:rsidR="007C3FDB" w:rsidRPr="001A1D14">
        <w:t xml:space="preserve">he understanding that students with </w:t>
      </w:r>
      <w:r w:rsidR="00D562CC">
        <w:t>disability</w:t>
      </w:r>
      <w:r w:rsidR="007C3FDB" w:rsidRPr="001A1D14">
        <w:t xml:space="preserve"> are not limited to </w:t>
      </w:r>
      <w:r w:rsidR="00BB15BB">
        <w:t>g</w:t>
      </w:r>
      <w:r w:rsidR="007C3FDB" w:rsidRPr="001A1D14">
        <w:t>overnment schools and all sectors share a commitment to ensure they receive the support they need</w:t>
      </w:r>
    </w:p>
    <w:p w14:paraId="17E15D63" w14:textId="74C4AC13" w:rsidR="007C3FDB" w:rsidRPr="001A1D14" w:rsidRDefault="00882CB4" w:rsidP="00C0179F">
      <w:pPr>
        <w:pStyle w:val="ListBullet"/>
      </w:pPr>
      <w:r>
        <w:t>t</w:t>
      </w:r>
      <w:r w:rsidR="007C3FDB" w:rsidRPr="001A1D14">
        <w:t xml:space="preserve">hat schools and their communities are best placed to make decisions, in consultation with parents and students, about the aspirations and needs of their children and young people with disability </w:t>
      </w:r>
    </w:p>
    <w:p w14:paraId="3BC85F54" w14:textId="7DA992FC" w:rsidR="007C3FDB" w:rsidRPr="001A1D14" w:rsidRDefault="00882CB4" w:rsidP="00C0179F">
      <w:pPr>
        <w:pStyle w:val="ListBullet"/>
      </w:pPr>
      <w:r>
        <w:t>t</w:t>
      </w:r>
      <w:r w:rsidR="007C3FDB" w:rsidRPr="001A1D14">
        <w:t>hat while schools require the freedom and flexibility to innovate and deliver targeted solutions they also require access to high quality guidance, information, resources, training and advice</w:t>
      </w:r>
    </w:p>
    <w:p w14:paraId="10FDF47B" w14:textId="2DE90AB8" w:rsidR="007C3FDB" w:rsidRPr="001A1D14" w:rsidRDefault="00882CB4" w:rsidP="00C0179F">
      <w:pPr>
        <w:pStyle w:val="ListBullet"/>
      </w:pPr>
      <w:r>
        <w:t>o</w:t>
      </w:r>
      <w:r w:rsidR="007C3FDB" w:rsidRPr="001A1D14">
        <w:t xml:space="preserve">ur understanding and approaches to support and funding for all students with disability need to be aligned with the </w:t>
      </w:r>
      <w:r w:rsidR="00BB15BB">
        <w:t>DDA</w:t>
      </w:r>
      <w:r w:rsidR="007C3FDB" w:rsidRPr="001A1D14">
        <w:t xml:space="preserve"> and the </w:t>
      </w:r>
      <w:r w:rsidR="00BB15BB">
        <w:t>DSE</w:t>
      </w:r>
      <w:r w:rsidR="007C3FDB" w:rsidRPr="001A1D14">
        <w:t xml:space="preserve"> and reflect the wide variety of needs and strengths that exist in the cohort covered by this legislation. </w:t>
      </w:r>
    </w:p>
    <w:p w14:paraId="7998D9CA" w14:textId="77777777" w:rsidR="007C3FDB" w:rsidRPr="001A1D14" w:rsidRDefault="007C3FDB" w:rsidP="007C3FDB">
      <w:pPr>
        <w:rPr>
          <w:rFonts w:eastAsiaTheme="majorEastAsia"/>
        </w:rPr>
      </w:pPr>
      <w:r w:rsidRPr="001A1D14">
        <w:rPr>
          <w:rFonts w:eastAsiaTheme="majorEastAsia"/>
        </w:rPr>
        <w:t xml:space="preserve">In keeping with these principles, the Commonwealth, states and territories have worked to deliver a number of reforms. These include a number of national projects that reflect these themes and directly align with National Disability Strategy (NDS) policy directions, in particular: </w:t>
      </w:r>
    </w:p>
    <w:p w14:paraId="77E802AE" w14:textId="69F07191" w:rsidR="007C3FDB" w:rsidRPr="001A1D14" w:rsidRDefault="00882CB4" w:rsidP="00510147">
      <w:pPr>
        <w:pStyle w:val="ListBullet"/>
      </w:pPr>
      <w:r>
        <w:t>t</w:t>
      </w:r>
      <w:r w:rsidR="007C3FDB" w:rsidRPr="001A1D14">
        <w:t xml:space="preserve">he </w:t>
      </w:r>
      <w:r w:rsidR="00BB15BB">
        <w:t xml:space="preserve">introduction of the </w:t>
      </w:r>
      <w:r w:rsidR="007C3FDB" w:rsidRPr="001A1D14">
        <w:t>NCCD</w:t>
      </w:r>
    </w:p>
    <w:p w14:paraId="1ABBC76C" w14:textId="592A76A0" w:rsidR="007C3FDB" w:rsidRPr="001A1D14" w:rsidRDefault="00882CB4" w:rsidP="00D562CC">
      <w:pPr>
        <w:pStyle w:val="ListBullet"/>
      </w:pPr>
      <w:r>
        <w:t>d</w:t>
      </w:r>
      <w:r w:rsidR="007C3FDB" w:rsidRPr="001A1D14">
        <w:t xml:space="preserve">evelopment of professional learning resources on the </w:t>
      </w:r>
      <w:r w:rsidR="00BB15BB">
        <w:t>DSE</w:t>
      </w:r>
      <w:r w:rsidR="007C3FDB" w:rsidRPr="001A1D14" w:rsidDel="00B06856">
        <w:t xml:space="preserve"> </w:t>
      </w:r>
      <w:r w:rsidR="007C3FDB" w:rsidRPr="001A1D14">
        <w:t>and disability on the NCCD portal, for school leaders, teachers, education assistants, early childhood educators and school communities</w:t>
      </w:r>
    </w:p>
    <w:p w14:paraId="30DE379A" w14:textId="57CB9AB3" w:rsidR="007C3FDB" w:rsidRPr="001A1D14" w:rsidRDefault="00882CB4" w:rsidP="00D562CC">
      <w:pPr>
        <w:pStyle w:val="ListBullet"/>
      </w:pPr>
      <w:r>
        <w:t>d</w:t>
      </w:r>
      <w:r w:rsidR="007C3FDB" w:rsidRPr="001A1D14">
        <w:t xml:space="preserve">evelopment of a national curriculum framework which encompasses the needs of students with </w:t>
      </w:r>
      <w:r w:rsidR="00D562CC">
        <w:t>disability</w:t>
      </w:r>
    </w:p>
    <w:p w14:paraId="5807DFB8" w14:textId="1EE740A2" w:rsidR="007C3FDB" w:rsidRPr="001A1D14" w:rsidRDefault="00882CB4" w:rsidP="00C0179F">
      <w:pPr>
        <w:pStyle w:val="ListBullet"/>
      </w:pPr>
      <w:r>
        <w:t>i</w:t>
      </w:r>
      <w:r w:rsidR="007C3FDB" w:rsidRPr="001A1D14">
        <w:t xml:space="preserve">dentifying priority actions arising from 2015 Review of the </w:t>
      </w:r>
      <w:r w:rsidR="00BB15BB">
        <w:t>DSE</w:t>
      </w:r>
    </w:p>
    <w:p w14:paraId="411E6857" w14:textId="28A756F4" w:rsidR="007C3FDB" w:rsidRPr="001A1D14" w:rsidRDefault="00882CB4" w:rsidP="00C0179F">
      <w:pPr>
        <w:pStyle w:val="ListBullet"/>
      </w:pPr>
      <w:r>
        <w:t>d</w:t>
      </w:r>
      <w:r w:rsidR="007C3FDB" w:rsidRPr="001A1D14">
        <w:t xml:space="preserve">evelopment and the publication of </w:t>
      </w:r>
      <w:r w:rsidR="007C3FDB" w:rsidRPr="00882CB4">
        <w:rPr>
          <w:i/>
        </w:rPr>
        <w:t>Planning for Personalised Learning and Support: A National Resource Based on the Disability Standards for Education 2005</w:t>
      </w:r>
      <w:r w:rsidR="007C3FDB" w:rsidRPr="001A1D14">
        <w:t xml:space="preserve">. </w:t>
      </w:r>
    </w:p>
    <w:p w14:paraId="4695AAEB" w14:textId="4658468E" w:rsidR="007C3FDB" w:rsidRPr="009A14CD" w:rsidRDefault="007C3FDB" w:rsidP="007C3FDB">
      <w:r w:rsidRPr="009A14CD">
        <w:t xml:space="preserve">There is a common direction and commitment across all </w:t>
      </w:r>
      <w:r w:rsidR="00441B08">
        <w:t>System</w:t>
      </w:r>
      <w:r w:rsidRPr="009A14CD">
        <w:t xml:space="preserve">s, to ensure schools are supported to deliver an excellent education to every child and young person with a disability, on the same basis as their peers, through schooling systems that have inclusion at the heart of their culture, curriculum, pedagogy and practices. This is evidenced over the last ten years by Commonwealth, state and territory government reviews, reports and policy development, related to students with </w:t>
      </w:r>
      <w:r w:rsidR="00D562CC">
        <w:t>disability</w:t>
      </w:r>
      <w:r w:rsidRPr="009A14CD">
        <w:t xml:space="preserve"> in schools </w:t>
      </w:r>
      <w:r w:rsidR="00BB15BB">
        <w:t>(</w:t>
      </w:r>
      <w:r w:rsidRPr="009A14CD">
        <w:t xml:space="preserve">see </w:t>
      </w:r>
      <w:r w:rsidR="00BB15BB">
        <w:t>r</w:t>
      </w:r>
      <w:r w:rsidR="00BB15BB" w:rsidRPr="009A14CD">
        <w:t>eferences</w:t>
      </w:r>
      <w:r w:rsidRPr="009A14CD">
        <w:t xml:space="preserve">). Taken together they set out a broad approach to strengthening inclusion and maximising participation and achievement for all students. This shared commitment and policy direction have been strengthened by the introduction of the NCCD and the requirements set out in the DSE. The ongoing implementation of the NCCD and development of its associated materials is likely to continue to play a part in shaping future reform directions and funding approaches across all jurisdictions and sectors. </w:t>
      </w:r>
    </w:p>
    <w:p w14:paraId="76CAE6FD" w14:textId="1EB944B1" w:rsidR="007C3FDB" w:rsidRPr="009A14CD" w:rsidRDefault="00B01F11" w:rsidP="004D7BC8">
      <w:pPr>
        <w:pStyle w:val="Heading1"/>
      </w:pPr>
      <w:bookmarkStart w:id="4" w:name="_Toc38449121"/>
      <w:r>
        <w:t>O</w:t>
      </w:r>
      <w:r w:rsidRPr="009A14CD">
        <w:t xml:space="preserve">verview of </w:t>
      </w:r>
      <w:r w:rsidR="00441B08">
        <w:t>System</w:t>
      </w:r>
      <w:r w:rsidRPr="009A14CD">
        <w:t xml:space="preserve"> approaches to funding and impact of NCCD</w:t>
      </w:r>
      <w:bookmarkEnd w:id="4"/>
    </w:p>
    <w:p w14:paraId="610C6E25" w14:textId="49E9F78A" w:rsidR="007C3FDB" w:rsidRPr="009A14CD" w:rsidRDefault="007C3FDB" w:rsidP="007C3FDB">
      <w:r w:rsidRPr="009A14CD">
        <w:t xml:space="preserve">An early finding of the work was that there is a considerable difference between Government, Catholic and Independent </w:t>
      </w:r>
      <w:r w:rsidR="00441B08">
        <w:t>System</w:t>
      </w:r>
      <w:r w:rsidRPr="009A14CD">
        <w:t xml:space="preserve"> approaches to funding for students with </w:t>
      </w:r>
      <w:r w:rsidR="00D562CC">
        <w:t>disability</w:t>
      </w:r>
      <w:r w:rsidRPr="009A14CD">
        <w:t xml:space="preserve">. While each </w:t>
      </w:r>
      <w:r w:rsidR="00441B08">
        <w:t>System</w:t>
      </w:r>
      <w:r w:rsidRPr="009A14CD">
        <w:t xml:space="preserve"> approach involves the use of Commonwealth and </w:t>
      </w:r>
      <w:r w:rsidR="00441B08">
        <w:t>System</w:t>
      </w:r>
      <w:r w:rsidRPr="009A14CD">
        <w:t xml:space="preserve"> funding to support the full cohort of students with </w:t>
      </w:r>
      <w:r w:rsidR="00D562CC">
        <w:t>disability</w:t>
      </w:r>
      <w:r w:rsidRPr="009A14CD">
        <w:t xml:space="preserve"> captured in the NCCD, the allocative mechanisms vary considerably across the </w:t>
      </w:r>
      <w:r w:rsidR="00441B08">
        <w:t>System</w:t>
      </w:r>
      <w:r w:rsidRPr="009A14CD">
        <w:t>s.</w:t>
      </w:r>
    </w:p>
    <w:p w14:paraId="34EA738F" w14:textId="6438BAB9" w:rsidR="007C3FDB" w:rsidRPr="009A14CD" w:rsidRDefault="007C3FDB" w:rsidP="007C3FDB">
      <w:r w:rsidRPr="009A14CD">
        <w:t xml:space="preserve">The aims of this project required data on funding allocations to schools based on a targeted cohort, a number of specific students and collected in a central data base. Although all </w:t>
      </w:r>
      <w:r w:rsidR="00441B08">
        <w:t>System</w:t>
      </w:r>
      <w:r w:rsidRPr="009A14CD">
        <w:t xml:space="preserve">s provide funding to support schools to make the necessary adjustments for students with </w:t>
      </w:r>
      <w:r w:rsidR="00D562CC">
        <w:t>disability</w:t>
      </w:r>
      <w:r w:rsidRPr="009A14CD">
        <w:t xml:space="preserve">, data based on a targeted systemic program for students with </w:t>
      </w:r>
      <w:r w:rsidR="00D562CC">
        <w:t>disability</w:t>
      </w:r>
      <w:r w:rsidRPr="009A14CD">
        <w:t xml:space="preserve"> was not available within the broader approaches used by the Catholic </w:t>
      </w:r>
      <w:r w:rsidR="00441B08">
        <w:t>System</w:t>
      </w:r>
      <w:r w:rsidRPr="009A14CD">
        <w:t xml:space="preserve">s. The focus was also on larger systems (i.e. not independents). </w:t>
      </w:r>
    </w:p>
    <w:p w14:paraId="216000EE" w14:textId="4FBCB7EA" w:rsidR="007C3FDB" w:rsidRPr="009A14CD" w:rsidRDefault="007C3FDB" w:rsidP="007C3FDB">
      <w:r w:rsidRPr="009A14CD">
        <w:t xml:space="preserve">The sample of state and territory government </w:t>
      </w:r>
      <w:r w:rsidR="00441B08">
        <w:t>System</w:t>
      </w:r>
      <w:r w:rsidRPr="009A14CD">
        <w:t xml:space="preserve">s used in this project offers a research and operational quantum, of student numbers and funding amounts to contribute to the broader review of the SRS loading for students with disability. A decision was made to proceed with project 3, using the 2018 data from a representative sample of state and territory </w:t>
      </w:r>
      <w:r w:rsidR="00441B08">
        <w:t>System</w:t>
      </w:r>
      <w:r w:rsidRPr="009A14CD">
        <w:t>s</w:t>
      </w:r>
      <w:r w:rsidR="00BB15BB">
        <w:t>.</w:t>
      </w:r>
      <w:r w:rsidRPr="009A14CD">
        <w:t xml:space="preserve"> </w:t>
      </w:r>
    </w:p>
    <w:p w14:paraId="7B1064FA" w14:textId="76FC6BDC" w:rsidR="007C3FDB" w:rsidRPr="009A14CD" w:rsidRDefault="007C3FDB" w:rsidP="007C3FDB">
      <w:r w:rsidRPr="009A14CD">
        <w:t xml:space="preserve">The key principles set out above and the broad shared commitment to inclusive schooling are reflected in the intention of the funding approaches of all </w:t>
      </w:r>
      <w:r w:rsidR="00441B08">
        <w:t>System</w:t>
      </w:r>
      <w:r w:rsidRPr="009A14CD">
        <w:t xml:space="preserve">s. Accompanying the stronger focus on inclusive schooling has been a sustained and considerable increase in the amount of funding that is provided to support students with </w:t>
      </w:r>
      <w:r w:rsidR="00D562CC">
        <w:t>disability</w:t>
      </w:r>
      <w:r w:rsidRPr="009A14CD">
        <w:t xml:space="preserve"> in </w:t>
      </w:r>
      <w:r w:rsidR="00441B08">
        <w:t>System</w:t>
      </w:r>
      <w:r w:rsidRPr="009A14CD">
        <w:t xml:space="preserve"> schools. This growth in funding reflects a number of drivers, including:</w:t>
      </w:r>
    </w:p>
    <w:p w14:paraId="3EFEC5B4" w14:textId="77777777" w:rsidR="007C3FDB" w:rsidRPr="009A14CD" w:rsidRDefault="007C3FDB" w:rsidP="00510147">
      <w:pPr>
        <w:pStyle w:val="ListBullet"/>
      </w:pPr>
      <w:r w:rsidRPr="009A14CD">
        <w:t>steady national growth in school enrolment numbers</w:t>
      </w:r>
    </w:p>
    <w:p w14:paraId="4EF36008" w14:textId="63E1B6C3" w:rsidR="007C3FDB" w:rsidRPr="009A14CD" w:rsidRDefault="007C3FDB" w:rsidP="00D562CC">
      <w:pPr>
        <w:pStyle w:val="ListBullet"/>
      </w:pPr>
      <w:r w:rsidRPr="009A14CD">
        <w:t xml:space="preserve">increasing identification of students with </w:t>
      </w:r>
      <w:r w:rsidR="00D562CC">
        <w:t>disability</w:t>
      </w:r>
      <w:r w:rsidRPr="009A14CD">
        <w:t xml:space="preserve"> through improved assessment and diagnostic processes</w:t>
      </w:r>
    </w:p>
    <w:p w14:paraId="69B80458" w14:textId="2B123B7E" w:rsidR="007C3FDB" w:rsidRPr="009A14CD" w:rsidRDefault="007C3FDB" w:rsidP="00D562CC">
      <w:pPr>
        <w:pStyle w:val="ListBullet"/>
      </w:pPr>
      <w:r w:rsidRPr="009A14CD">
        <w:t xml:space="preserve">the incremental rise in the diagnosis of students </w:t>
      </w:r>
      <w:r w:rsidR="00BB15BB">
        <w:t>with</w:t>
      </w:r>
      <w:r w:rsidR="00BB15BB" w:rsidRPr="009A14CD">
        <w:t xml:space="preserve"> </w:t>
      </w:r>
      <w:r w:rsidRPr="009A14CD">
        <w:t>Autism Spectrum</w:t>
      </w:r>
      <w:r w:rsidR="00BB15BB">
        <w:t xml:space="preserve"> Disorder</w:t>
      </w:r>
    </w:p>
    <w:p w14:paraId="538BA452" w14:textId="2CA33457" w:rsidR="007C3FDB" w:rsidRPr="009A14CD" w:rsidRDefault="007C3FDB" w:rsidP="00C0179F">
      <w:pPr>
        <w:pStyle w:val="ListBullet"/>
      </w:pPr>
      <w:r w:rsidRPr="009A14CD">
        <w:t xml:space="preserve">a broadening of the students considered to have a disability and in need of support as covered by the </w:t>
      </w:r>
      <w:r w:rsidR="00BB15BB">
        <w:t>DDA</w:t>
      </w:r>
      <w:r w:rsidRPr="009A14CD">
        <w:t xml:space="preserve"> and the </w:t>
      </w:r>
      <w:r w:rsidR="00BB15BB">
        <w:t>DSE</w:t>
      </w:r>
      <w:r w:rsidR="008B6073">
        <w:t xml:space="preserve"> </w:t>
      </w:r>
      <w:r w:rsidRPr="009A14CD">
        <w:t xml:space="preserve">(e.g. Dyslexia, Attention Deficit Hyperactivity Disorder and </w:t>
      </w:r>
      <w:r w:rsidR="001879C5">
        <w:t xml:space="preserve">other </w:t>
      </w:r>
      <w:r w:rsidRPr="009A14CD">
        <w:t>learning disorder</w:t>
      </w:r>
      <w:r w:rsidR="001879C5">
        <w:t>s</w:t>
      </w:r>
      <w:r w:rsidRPr="009A14CD">
        <w:t>)</w:t>
      </w:r>
    </w:p>
    <w:p w14:paraId="2F2BBD66" w14:textId="77777777" w:rsidR="007C3FDB" w:rsidRPr="009A14CD" w:rsidRDefault="007C3FDB" w:rsidP="00C0179F">
      <w:pPr>
        <w:pStyle w:val="ListBullet"/>
      </w:pPr>
      <w:r w:rsidRPr="009A14CD">
        <w:t xml:space="preserve">the indexation of funding in targeted programs </w:t>
      </w:r>
    </w:p>
    <w:p w14:paraId="3C0DC334" w14:textId="77777777" w:rsidR="007C3FDB" w:rsidRPr="009A14CD" w:rsidRDefault="007C3FDB">
      <w:pPr>
        <w:pStyle w:val="ListBullet"/>
      </w:pPr>
      <w:r w:rsidRPr="009A14CD">
        <w:t>increased Commonwealth and state and territory funding.</w:t>
      </w:r>
    </w:p>
    <w:p w14:paraId="770670DD" w14:textId="13936258" w:rsidR="007C3FDB" w:rsidRPr="009A14CD" w:rsidRDefault="007C3FDB" w:rsidP="007C3FDB">
      <w:r w:rsidRPr="009A14CD">
        <w:t xml:space="preserve">These drivers have had different impacts across </w:t>
      </w:r>
      <w:r w:rsidR="00441B08">
        <w:t>System</w:t>
      </w:r>
      <w:r w:rsidRPr="009A14CD">
        <w:t xml:space="preserve"> schools. How </w:t>
      </w:r>
      <w:r w:rsidR="00441B08">
        <w:t>System</w:t>
      </w:r>
      <w:r w:rsidRPr="009A14CD">
        <w:t xml:space="preserve">s have gone about meeting this growing funding challenge has differed but all </w:t>
      </w:r>
      <w:r w:rsidR="00441B08">
        <w:t>System</w:t>
      </w:r>
      <w:r w:rsidRPr="009A14CD">
        <w:t xml:space="preserve">s have been required to put in place arrangements to meet their responsibilities under the </w:t>
      </w:r>
      <w:r w:rsidR="001879C5">
        <w:rPr>
          <w:rStyle w:val="SubtleEmphasis"/>
          <w:rFonts w:eastAsiaTheme="majorEastAsia"/>
        </w:rPr>
        <w:t xml:space="preserve">DDA </w:t>
      </w:r>
      <w:r w:rsidRPr="009A14CD">
        <w:t xml:space="preserve">and the </w:t>
      </w:r>
      <w:r w:rsidR="001879C5">
        <w:rPr>
          <w:rStyle w:val="SubtleEmphasis"/>
          <w:rFonts w:eastAsiaTheme="majorEastAsia"/>
        </w:rPr>
        <w:t>DSE</w:t>
      </w:r>
      <w:r w:rsidRPr="009A14CD">
        <w:t xml:space="preserve">, provide support to their schools and </w:t>
      </w:r>
      <w:r w:rsidRPr="008306F2">
        <w:t xml:space="preserve">address the increase in numbers and cost. Prior to the introduction of a new funding model in 2018 by the Commonwealth, which uses the NCCD to determine </w:t>
      </w:r>
      <w:r w:rsidR="00441B08">
        <w:t>System</w:t>
      </w:r>
      <w:r w:rsidRPr="008306F2">
        <w:t xml:space="preserve"> funding allocations for students with disability, each </w:t>
      </w:r>
      <w:r w:rsidR="00441B08">
        <w:t>System</w:t>
      </w:r>
      <w:r w:rsidRPr="008306F2">
        <w:t xml:space="preserve"> was required to submit data on the number of students who met the eligibility criteria as having been assessed by a person with relevant qualifications as having intellectual, sensory, physical, social/emotional or multiple impairments; and satisfied the criteria for financial assistance for their state’s special education services or funding programs. This data determined funding amounts with the intention that</w:t>
      </w:r>
      <w:r w:rsidRPr="009A14CD">
        <w:t xml:space="preserve"> this money would be used by the </w:t>
      </w:r>
      <w:r w:rsidR="00441B08">
        <w:t>System</w:t>
      </w:r>
      <w:r w:rsidRPr="009A14CD">
        <w:t xml:space="preserve"> to provide schools with the necessary funding to support those students with disability captured in the reported data set. This data was published in the Productivity Commission’s annual Report on Government Services (RoGS) and reflected significant inconsistencies across states and territories in the percentage of students with disabilit</w:t>
      </w:r>
      <w:r>
        <w:t>y</w:t>
      </w:r>
      <w:r w:rsidRPr="009A14CD">
        <w:t xml:space="preserve"> within the total school enrolment population. </w:t>
      </w:r>
    </w:p>
    <w:p w14:paraId="4D24B95B" w14:textId="13BF69ED" w:rsidR="007C3FDB" w:rsidRPr="009A14CD" w:rsidRDefault="007C3FDB" w:rsidP="007C3FDB">
      <w:r w:rsidRPr="009A14CD">
        <w:t xml:space="preserve">The introduction of the NCCD to determine </w:t>
      </w:r>
      <w:r>
        <w:t>the Australian Government allocation for students with disability</w:t>
      </w:r>
      <w:r w:rsidRPr="009A14CD">
        <w:t xml:space="preserve"> has resulted in the use of a common set of criteria across all </w:t>
      </w:r>
      <w:r w:rsidR="00441B08">
        <w:t>System</w:t>
      </w:r>
      <w:r w:rsidRPr="009A14CD">
        <w:t>s to collect the data</w:t>
      </w:r>
      <w:r>
        <w:t xml:space="preserve">. Across jurisdictions and </w:t>
      </w:r>
      <w:r w:rsidR="00441B08">
        <w:t>System</w:t>
      </w:r>
      <w:r>
        <w:t>s, s</w:t>
      </w:r>
      <w:r w:rsidRPr="009A14CD">
        <w:t xml:space="preserve">ignificant variances </w:t>
      </w:r>
      <w:r>
        <w:t xml:space="preserve">still exist </w:t>
      </w:r>
      <w:r w:rsidRPr="009A14CD">
        <w:t xml:space="preserve">in the percentages of students identified </w:t>
      </w:r>
      <w:r>
        <w:t xml:space="preserve">in the three levels of adjustment, and in the NCCD overall. </w:t>
      </w:r>
      <w:r w:rsidRPr="009A14CD">
        <w:t xml:space="preserve">The use of the NCCD by the Commonwealth, and its application to all Australian schools, has impacted upon each </w:t>
      </w:r>
      <w:r w:rsidR="00441B08">
        <w:t>System</w:t>
      </w:r>
      <w:r w:rsidRPr="009A14CD">
        <w:t xml:space="preserve"> and their approach to school disability funding. For example, in 2019, South Australia introduced a new funding model for students with </w:t>
      </w:r>
      <w:r w:rsidR="00D562CC">
        <w:t>disability</w:t>
      </w:r>
      <w:r w:rsidRPr="009A14CD">
        <w:t xml:space="preserve">, using the NCCD to establish eligibility and the funding level allocated to a school. Tasmania has also announced that from 2020 it will introduce a new funding model for students with disability that focusses on the need for adjustment and uses the NCCD levels of support as a central part of the process. </w:t>
      </w:r>
    </w:p>
    <w:p w14:paraId="14E7C7A1" w14:textId="32D1284B" w:rsidR="007C3FDB" w:rsidRPr="009A14CD" w:rsidRDefault="00E903B2" w:rsidP="0062396B">
      <w:pPr>
        <w:pStyle w:val="Heading1"/>
      </w:pPr>
      <w:bookmarkStart w:id="5" w:name="_Toc38449122"/>
      <w:r>
        <w:t>S</w:t>
      </w:r>
      <w:r w:rsidRPr="009A14CD">
        <w:t xml:space="preserve">tate and territory government </w:t>
      </w:r>
      <w:r w:rsidR="00441B08">
        <w:t>System</w:t>
      </w:r>
      <w:r w:rsidRPr="009A14CD">
        <w:t xml:space="preserve"> funding arrangements for students with </w:t>
      </w:r>
      <w:r>
        <w:t>disability</w:t>
      </w:r>
      <w:bookmarkEnd w:id="5"/>
      <w:r w:rsidRPr="009A14CD">
        <w:t xml:space="preserve"> </w:t>
      </w:r>
    </w:p>
    <w:p w14:paraId="1AE230BA" w14:textId="26C7BE38" w:rsidR="007C3FDB" w:rsidRPr="009A14CD" w:rsidRDefault="007C3FDB" w:rsidP="007C3FDB">
      <w:r w:rsidRPr="009A14CD">
        <w:t xml:space="preserve">Using state and Commonwealth funding, all state and territory government </w:t>
      </w:r>
      <w:r w:rsidR="00441B08">
        <w:t>System</w:t>
      </w:r>
      <w:r w:rsidRPr="009A14CD">
        <w:t>s provide resources to support schools to meet the needs of all students with disability requiring adjustments. There are two main programmatic approaches to the distribution of this funding to schools.</w:t>
      </w:r>
    </w:p>
    <w:p w14:paraId="7273FCC0" w14:textId="45ABD006" w:rsidR="007C3FDB" w:rsidRPr="009A14CD" w:rsidRDefault="007C3FDB" w:rsidP="007C3FDB">
      <w:r w:rsidRPr="009A14CD">
        <w:t xml:space="preserve">A </w:t>
      </w:r>
      <w:r w:rsidRPr="009A14CD">
        <w:rPr>
          <w:rStyle w:val="SubtleEmphasis"/>
        </w:rPr>
        <w:t>targeted funding program</w:t>
      </w:r>
      <w:r w:rsidRPr="009A14CD">
        <w:t xml:space="preserve"> for a known set of students with moderate to high needs, using specific disability criteria and evidentiary requirements. This cohort will not reflect all students with disability who receive support and who are captured in the NCCD. The exception is South Australia which moved in 2019 to a new model using the NCCD as the eligibility criteria for targeted funding. </w:t>
      </w:r>
      <w:r w:rsidR="00F713DA">
        <w:br/>
      </w:r>
      <w:r w:rsidRPr="009A14CD">
        <w:t>(</w:t>
      </w:r>
      <w:r w:rsidR="00F713DA">
        <w:t xml:space="preserve">see </w:t>
      </w:r>
      <w:r>
        <w:t>Appendix</w:t>
      </w:r>
      <w:r w:rsidRPr="009A14CD">
        <w:t xml:space="preserve"> </w:t>
      </w:r>
      <w:r>
        <w:t>1</w:t>
      </w:r>
      <w:r w:rsidRPr="009A14CD">
        <w:t xml:space="preserve">: Government </w:t>
      </w:r>
      <w:r w:rsidR="00441B08">
        <w:t>System</w:t>
      </w:r>
      <w:r w:rsidRPr="009A14CD">
        <w:t xml:space="preserve"> target</w:t>
      </w:r>
      <w:r>
        <w:t>ed funding program categories—</w:t>
      </w:r>
      <w:r w:rsidRPr="009A14CD">
        <w:t>Overview).</w:t>
      </w:r>
    </w:p>
    <w:p w14:paraId="66B43FE4" w14:textId="183092CD" w:rsidR="007C3FDB" w:rsidRPr="009A14CD" w:rsidRDefault="007C3FDB" w:rsidP="007C3FDB">
      <w:r w:rsidRPr="009A14CD">
        <w:t xml:space="preserve">An </w:t>
      </w:r>
      <w:r w:rsidRPr="009A14CD">
        <w:rPr>
          <w:rStyle w:val="SubtleEmphasis"/>
        </w:rPr>
        <w:t>equity-based program</w:t>
      </w:r>
      <w:r w:rsidRPr="009A14CD">
        <w:t xml:space="preserve"> that allocates funding to schools for students with disability and identified lower levels of need. This is derived using an equity formula (which may include consideration of variables including enrolment, attendance and achievement). Schools use the allocated funding to support those students with disability who require reasonable adjustments</w:t>
      </w:r>
      <w:r w:rsidR="00F713DA">
        <w:t>–</w:t>
      </w:r>
      <w:r w:rsidRPr="009A14CD">
        <w:t xml:space="preserve">the greater number of whom do not meet the moderate to severe criteria for the targeted funding program of their </w:t>
      </w:r>
      <w:r w:rsidR="00441B08">
        <w:t>System</w:t>
      </w:r>
      <w:r w:rsidRPr="009A14CD">
        <w:t xml:space="preserve">. Examples may include mild speech delay, attention deficit disorder or learning difficulties. These students will be captured in the NCCD but not necessarily on </w:t>
      </w:r>
      <w:r w:rsidR="00441B08">
        <w:t>System</w:t>
      </w:r>
      <w:r w:rsidRPr="009A14CD">
        <w:t xml:space="preserve"> databases of students with disability who attract targeted disability funding to their school.</w:t>
      </w:r>
    </w:p>
    <w:p w14:paraId="2C040EA2" w14:textId="2E599AB7" w:rsidR="007C3FDB" w:rsidRPr="009A14CD" w:rsidRDefault="007C3FDB" w:rsidP="007C3FDB">
      <w:r w:rsidRPr="009A14CD">
        <w:t xml:space="preserve">While these two funding approaches are identified as the major avenues of direct school funding, they are part of a wider set of resources, programs, supports, expertise and funding that </w:t>
      </w:r>
      <w:r w:rsidR="00441B08">
        <w:t>System</w:t>
      </w:r>
      <w:r w:rsidRPr="009A14CD">
        <w:t xml:space="preserve">s provide to support their schools and students with </w:t>
      </w:r>
      <w:r w:rsidR="00D562CC">
        <w:t>disability</w:t>
      </w:r>
      <w:r w:rsidRPr="009A14CD">
        <w:t xml:space="preserve">. What is available varies across </w:t>
      </w:r>
      <w:r w:rsidR="00441B08">
        <w:t>System</w:t>
      </w:r>
      <w:r w:rsidRPr="009A14CD">
        <w:t xml:space="preserve">s and individual schools, reflecting their separate resourcing arrangements population characteristics, geography and organisational structures. Examples of these provisions may include allied health officers, consultants and visiting teachers, specialist settings and programs for specific </w:t>
      </w:r>
      <w:r w:rsidR="00D562CC">
        <w:t>disability</w:t>
      </w:r>
      <w:r w:rsidRPr="009A14CD">
        <w:t xml:space="preserve">, teacher scholarships and professional learning, specialist equipment grants and programs, and facilities modification and adjustment programs for schools. </w:t>
      </w:r>
    </w:p>
    <w:p w14:paraId="32B2198B" w14:textId="1A7C8B3B" w:rsidR="007C3FDB" w:rsidRPr="009A14CD" w:rsidRDefault="007C3FDB" w:rsidP="007C3FDB">
      <w:r w:rsidRPr="009A14CD">
        <w:t xml:space="preserve">This means the total resourcing available to schools to support all students with disability </w:t>
      </w:r>
      <w:r w:rsidR="00F713DA">
        <w:t>(</w:t>
      </w:r>
      <w:r w:rsidRPr="009A14CD">
        <w:t>as identified in the NCCD</w:t>
      </w:r>
      <w:r w:rsidR="00F713DA">
        <w:t>)</w:t>
      </w:r>
      <w:r w:rsidRPr="009A14CD">
        <w:t xml:space="preserve"> is more than the funding provided through the </w:t>
      </w:r>
      <w:r w:rsidR="00441B08">
        <w:t>System</w:t>
      </w:r>
      <w:r w:rsidRPr="009A14CD">
        <w:t xml:space="preserve">s’ targeted disability funding programs alone. This project, while acknowledging the greater total spend, and the difficulties this raises for the comparative research and validity of the data, has a narrow focus on the </w:t>
      </w:r>
      <w:r w:rsidR="00441B08">
        <w:t>System</w:t>
      </w:r>
      <w:r w:rsidRPr="009A14CD">
        <w:t xml:space="preserve"> targeted programs for students with moderate to high needs. The analysis of targeted program funding is not intended to establish cost benchmarks or to indicate the full amount of funding needed by </w:t>
      </w:r>
      <w:r w:rsidR="00441B08">
        <w:t>System</w:t>
      </w:r>
      <w:r w:rsidRPr="009A14CD">
        <w:t xml:space="preserve">s. Nor is it designed to enable comparisons of allocations across jurisdictions.  However, as these targeted programs represent the greater proportion of spending by </w:t>
      </w:r>
      <w:r w:rsidR="00441B08">
        <w:t>System</w:t>
      </w:r>
      <w:r w:rsidRPr="009A14CD">
        <w:t xml:space="preserve">s and support those students with higher levels of need, they can inform a consideration of the current settings for the Commonwealth disability </w:t>
      </w:r>
      <w:r w:rsidR="00F713DA">
        <w:t>with disability</w:t>
      </w:r>
      <w:r w:rsidR="00F713DA" w:rsidRPr="009A14CD">
        <w:t xml:space="preserve"> </w:t>
      </w:r>
      <w:r w:rsidRPr="009A14CD">
        <w:t xml:space="preserve">loadings. The information in this project report is part of the wider review of the funding </w:t>
      </w:r>
      <w:r w:rsidR="00F713DA">
        <w:t xml:space="preserve">provided through </w:t>
      </w:r>
      <w:r w:rsidRPr="009A14CD">
        <w:t xml:space="preserve">loadings that schools need to support all students with </w:t>
      </w:r>
      <w:r w:rsidR="00D562CC">
        <w:t>disability</w:t>
      </w:r>
      <w:r w:rsidRPr="009A14CD">
        <w:t xml:space="preserve">. </w:t>
      </w:r>
    </w:p>
    <w:p w14:paraId="758AC847" w14:textId="1A0C089E" w:rsidR="007C3FDB" w:rsidRPr="009A14CD" w:rsidRDefault="007C3FDB" w:rsidP="007C3FDB">
      <w:r w:rsidRPr="009A14CD">
        <w:t xml:space="preserve">There are challenges in establishing total spends, including costing the contribution a systemic service or program makes to supporting students with </w:t>
      </w:r>
      <w:r w:rsidR="00D562CC">
        <w:t>disability</w:t>
      </w:r>
      <w:r w:rsidRPr="009A14CD">
        <w:t xml:space="preserve"> (e.g. allied health officers or educational consultants and officers with specific expertise—e.g. teaching Braille or Auslan or the production of curriculum resources in </w:t>
      </w:r>
      <w:r w:rsidR="00F713DA">
        <w:t>B</w:t>
      </w:r>
      <w:r w:rsidRPr="009A14CD">
        <w:t xml:space="preserve">raille—who support a broad range of students experiencing challenges with their schooling). The key characteristic of targeted programs is their delivery of funding directly to the school and the attribution of a funding loading to meet an individual student’s need for adjustments. The funding allocation may take the form of a salary entitlement in some </w:t>
      </w:r>
      <w:r w:rsidR="00441B08">
        <w:t>System</w:t>
      </w:r>
      <w:r w:rsidRPr="009A14CD">
        <w:t xml:space="preserve"> programs (a fractional EFT apportioning of teacher/teacher aide time) but this can be calculated as an amount of allocated funding.</w:t>
      </w:r>
    </w:p>
    <w:p w14:paraId="68324360" w14:textId="08488C3B" w:rsidR="007C3FDB" w:rsidRDefault="007C3FDB" w:rsidP="007C3FDB">
      <w:r w:rsidRPr="009A14CD">
        <w:t xml:space="preserve">Once eligibility for the targeted funding program is established, each student is profiled for their level of need/requirement for support and adjustments. The outcome of this process, which varies considerable across </w:t>
      </w:r>
      <w:r w:rsidR="00441B08">
        <w:t>System</w:t>
      </w:r>
      <w:r w:rsidRPr="009A14CD">
        <w:t>s, is an attributed funding amount (level) which is then allocated to the school’s budget.</w:t>
      </w:r>
    </w:p>
    <w:p w14:paraId="6B4FB62E" w14:textId="33DC2C9D" w:rsidR="007C3FDB" w:rsidRPr="00916AB2" w:rsidRDefault="00E903B2" w:rsidP="0062396B">
      <w:pPr>
        <w:pStyle w:val="Heading1"/>
      </w:pPr>
      <w:bookmarkStart w:id="6" w:name="_Toc38449123"/>
      <w:r w:rsidRPr="00916AB2">
        <w:t xml:space="preserve">Funding relativities between </w:t>
      </w:r>
      <w:r w:rsidR="00441B08">
        <w:t>System</w:t>
      </w:r>
      <w:r w:rsidRPr="00916AB2">
        <w:t xml:space="preserve"> targeted disability funding and the NCCD levels of adjustment</w:t>
      </w:r>
      <w:bookmarkEnd w:id="6"/>
      <w:r w:rsidRPr="00916AB2">
        <w:t xml:space="preserve"> </w:t>
      </w:r>
    </w:p>
    <w:p w14:paraId="6C0CE9A9" w14:textId="1B306274" w:rsidR="007C3FDB" w:rsidRPr="00916AB2" w:rsidRDefault="007C3FDB" w:rsidP="007C3FDB">
      <w:r w:rsidRPr="00916AB2">
        <w:t xml:space="preserve">The NCCD is a broader data set than the targeted programs in each </w:t>
      </w:r>
      <w:r w:rsidR="00441B08">
        <w:t>System</w:t>
      </w:r>
      <w:r w:rsidRPr="00916AB2">
        <w:t xml:space="preserve">. The NCCD aims to capture </w:t>
      </w:r>
      <w:r w:rsidR="00F713DA">
        <w:t>all</w:t>
      </w:r>
      <w:r w:rsidRPr="00916AB2">
        <w:t xml:space="preserve"> students </w:t>
      </w:r>
      <w:r w:rsidR="00F713DA">
        <w:t xml:space="preserve">with </w:t>
      </w:r>
      <w:r w:rsidR="00F713DA" w:rsidRPr="00916AB2">
        <w:t xml:space="preserve">disability </w:t>
      </w:r>
      <w:r w:rsidRPr="00916AB2">
        <w:t>in Australian schools</w:t>
      </w:r>
      <w:r w:rsidR="00F713DA">
        <w:t xml:space="preserve"> who require adjustments to be able to access education. This</w:t>
      </w:r>
      <w:r w:rsidRPr="00916AB2">
        <w:t xml:space="preserve"> includ</w:t>
      </w:r>
      <w:r w:rsidR="00F713DA">
        <w:t>es</w:t>
      </w:r>
      <w:r w:rsidRPr="00916AB2">
        <w:t xml:space="preserve"> those students whose needs are intermittent, requiring one off or low levels of adjustment</w:t>
      </w:r>
      <w:r w:rsidR="00F713DA">
        <w:t>,</w:t>
      </w:r>
      <w:r w:rsidRPr="00916AB2">
        <w:t xml:space="preserve"> the use of a plan for a possible medical/health emergency</w:t>
      </w:r>
      <w:r w:rsidR="00F713DA" w:rsidRPr="00F713DA">
        <w:t xml:space="preserve"> </w:t>
      </w:r>
      <w:r w:rsidR="00F713DA">
        <w:t>or through</w:t>
      </w:r>
      <w:r w:rsidR="00F713DA" w:rsidRPr="00916AB2">
        <w:t xml:space="preserve"> quality differentiated teaching</w:t>
      </w:r>
      <w:r w:rsidR="00F713DA">
        <w:t xml:space="preserve"> practice</w:t>
      </w:r>
      <w:r w:rsidRPr="00916AB2">
        <w:t>.</w:t>
      </w:r>
    </w:p>
    <w:p w14:paraId="466CE86A" w14:textId="364F309B" w:rsidR="007C3FDB" w:rsidRPr="00916AB2" w:rsidRDefault="007C3FDB" w:rsidP="007C3FDB">
      <w:r w:rsidRPr="00916AB2">
        <w:t xml:space="preserve">While each </w:t>
      </w:r>
      <w:r w:rsidR="00441B08">
        <w:t>System</w:t>
      </w:r>
      <w:r w:rsidRPr="00916AB2">
        <w:t xml:space="preserve"> will have a range of programs, services and funding arrangements to cover to address the needs of all students with </w:t>
      </w:r>
      <w:r w:rsidR="00D562CC">
        <w:t>disability</w:t>
      </w:r>
      <w:r w:rsidRPr="00916AB2">
        <w:t xml:space="preserve">, the targeted funding programs used by the </w:t>
      </w:r>
      <w:r w:rsidR="00441B08">
        <w:t>System</w:t>
      </w:r>
      <w:r w:rsidRPr="00916AB2">
        <w:t xml:space="preserve">s provide resourcing to support schools to make the reasonable adjustments for students with a specific form of disability and moderate to high needs. The cohort size varies across individual state and territory government </w:t>
      </w:r>
      <w:r w:rsidR="00441B08">
        <w:t>System</w:t>
      </w:r>
      <w:r w:rsidRPr="00916AB2">
        <w:t>s</w:t>
      </w:r>
      <w:r w:rsidRPr="00916AB2">
        <w:rPr>
          <w:vertAlign w:val="superscript"/>
        </w:rPr>
        <w:footnoteReference w:id="1"/>
      </w:r>
      <w:r w:rsidRPr="00916AB2">
        <w:t xml:space="preserve">, reflecting the broader disability support funding and provisions approach of each system and the targeted disability program cohorts are a subset captured within the NCCD data. </w:t>
      </w:r>
    </w:p>
    <w:p w14:paraId="627A7EC5" w14:textId="530A4D57" w:rsidR="00A96CA6" w:rsidRDefault="007C3FDB" w:rsidP="007C3FDB">
      <w:r w:rsidRPr="00916AB2">
        <w:t xml:space="preserve">Data from five </w:t>
      </w:r>
      <w:r w:rsidR="00F713DA" w:rsidRPr="00916AB2">
        <w:t xml:space="preserve">state and territory </w:t>
      </w:r>
      <w:r w:rsidRPr="00916AB2">
        <w:t xml:space="preserve">government </w:t>
      </w:r>
      <w:r w:rsidR="00441B08">
        <w:t>System</w:t>
      </w:r>
      <w:r w:rsidRPr="00916AB2">
        <w:t xml:space="preserve"> data on disability targeted program student numbers</w:t>
      </w:r>
      <w:r w:rsidR="00F713DA">
        <w:t>,</w:t>
      </w:r>
      <w:r w:rsidRPr="00916AB2">
        <w:t xml:space="preserve"> with their attributed levels of support and funding</w:t>
      </w:r>
      <w:r w:rsidR="00F713DA">
        <w:t>,</w:t>
      </w:r>
      <w:r w:rsidRPr="00916AB2">
        <w:t xml:space="preserve"> were analysed to provide a high-level overview of the similarities between </w:t>
      </w:r>
      <w:r w:rsidR="00441B08">
        <w:t>System</w:t>
      </w:r>
      <w:r w:rsidRPr="00916AB2">
        <w:t xml:space="preserve"> approaches and funding under the loading for students with disability. As one jurisdiction provided FTE allocations, costs for that jurisdiction were extrapolated from the FTE data. </w:t>
      </w:r>
    </w:p>
    <w:p w14:paraId="10835CAF" w14:textId="34BE7522" w:rsidR="007C3FDB" w:rsidRPr="00916AB2" w:rsidRDefault="007C3FDB" w:rsidP="00A96CA6">
      <w:r w:rsidRPr="00916AB2">
        <w:t xml:space="preserve">The analysis looked </w:t>
      </w:r>
      <w:r w:rsidR="00A96CA6" w:rsidRPr="00916AB2">
        <w:t>at</w:t>
      </w:r>
      <w:r w:rsidR="00A96CA6">
        <w:t xml:space="preserve"> a</w:t>
      </w:r>
      <w:r w:rsidR="00A96CA6" w:rsidRPr="00916AB2">
        <w:t xml:space="preserve">verage </w:t>
      </w:r>
      <w:r w:rsidRPr="00916AB2">
        <w:t>per-student funding</w:t>
      </w:r>
      <w:r w:rsidR="00A96CA6">
        <w:t xml:space="preserve">. </w:t>
      </w:r>
      <w:r w:rsidRPr="00916AB2">
        <w:t xml:space="preserve">The vast majority of students </w:t>
      </w:r>
      <w:r w:rsidR="00DE7140">
        <w:t>funded within a</w:t>
      </w:r>
      <w:r w:rsidRPr="00916AB2">
        <w:t xml:space="preserve"> </w:t>
      </w:r>
      <w:r w:rsidR="00441B08">
        <w:t>System</w:t>
      </w:r>
      <w:r w:rsidR="00DE7140">
        <w:t>’s</w:t>
      </w:r>
      <w:r w:rsidRPr="00916AB2">
        <w:t xml:space="preserve"> targeted disability funding program will be captured in the broader NCCD data. Identifying the NCCD level of adjustment attributed to these students has enabled </w:t>
      </w:r>
      <w:r w:rsidR="00A96CA6">
        <w:t>comparisons</w:t>
      </w:r>
      <w:r w:rsidRPr="00916AB2">
        <w:t xml:space="preserve"> between the relative levels of need of this significant cohort and funding attracted by this cohort under the current </w:t>
      </w:r>
      <w:r w:rsidR="00A96CA6" w:rsidRPr="00916AB2">
        <w:t>Commonwealth</w:t>
      </w:r>
      <w:r w:rsidR="00A96CA6">
        <w:t xml:space="preserve"> student with disability </w:t>
      </w:r>
      <w:r w:rsidRPr="00916AB2">
        <w:t>loading.</w:t>
      </w:r>
    </w:p>
    <w:p w14:paraId="1A876B1D" w14:textId="590107CA" w:rsidR="007C3FDB" w:rsidRPr="00916AB2" w:rsidRDefault="007C3FDB" w:rsidP="007C3FDB">
      <w:r w:rsidRPr="00916AB2">
        <w:t xml:space="preserve">Comparisons need to be made with caution. It is not intended that the Commonwealth loading levels reflect the aggregated outcomes presented in </w:t>
      </w:r>
      <w:r w:rsidR="00A96CA6" w:rsidRPr="00916AB2">
        <w:t>th</w:t>
      </w:r>
      <w:r w:rsidR="00A96CA6">
        <w:t>e</w:t>
      </w:r>
      <w:r w:rsidR="00A96CA6" w:rsidRPr="00916AB2">
        <w:t xml:space="preserve"> </w:t>
      </w:r>
      <w:r w:rsidRPr="00916AB2">
        <w:t xml:space="preserve">project data. The data does, however, provides useful high-level information for </w:t>
      </w:r>
      <w:r w:rsidR="00A96CA6">
        <w:t>considering</w:t>
      </w:r>
      <w:r w:rsidR="00A96CA6" w:rsidRPr="00916AB2">
        <w:t xml:space="preserve"> </w:t>
      </w:r>
      <w:r w:rsidRPr="00916AB2">
        <w:t xml:space="preserve">the current loading settings. </w:t>
      </w:r>
    </w:p>
    <w:p w14:paraId="5824E5BA" w14:textId="18A5CE06" w:rsidR="007C3FDB" w:rsidRPr="00832AEB" w:rsidRDefault="007C3FDB" w:rsidP="0062396B">
      <w:pPr>
        <w:pStyle w:val="Heading1"/>
        <w:rPr>
          <w:rStyle w:val="Strong"/>
        </w:rPr>
      </w:pPr>
      <w:bookmarkStart w:id="7" w:name="_Toc38449124"/>
      <w:r w:rsidRPr="00A96CA6">
        <w:t>Discussion</w:t>
      </w:r>
      <w:bookmarkEnd w:id="7"/>
      <w:r w:rsidRPr="00832AEB">
        <w:rPr>
          <w:rStyle w:val="Strong"/>
        </w:rPr>
        <w:t xml:space="preserve"> </w:t>
      </w:r>
    </w:p>
    <w:p w14:paraId="1A8DFCE2" w14:textId="3F2A892B" w:rsidR="007C3FDB" w:rsidRDefault="007C3FDB" w:rsidP="007C3FDB">
      <w:r w:rsidRPr="00916AB2">
        <w:t>Taken at a jurisdictional level, there is a fairly common set of disability categories covered in each jurisdiction’s disability targeted funding program (see Appendix 1). There are, however, significant differences across jurisdictions in eligibility requirements, resulting in differing percentages of the total government enrolment cohort covered by the targeted programs</w:t>
      </w:r>
      <w:r w:rsidRPr="00916AB2">
        <w:rPr>
          <w:vertAlign w:val="superscript"/>
        </w:rPr>
        <w:footnoteReference w:id="2"/>
      </w:r>
      <w:r w:rsidR="00A96CA6">
        <w:t>–</w:t>
      </w:r>
      <w:r w:rsidRPr="00916AB2">
        <w:t xml:space="preserve">noting that schools are provided with additional funding and human resourcing additional to the targeted program allocation, to ensure that all students in the NCCD are supported with the necessary adjustments. Table </w:t>
      </w:r>
      <w:r>
        <w:t>5</w:t>
      </w:r>
      <w:r w:rsidR="00BB15BB">
        <w:t xml:space="preserve"> </w:t>
      </w:r>
      <w:r w:rsidRPr="00916AB2">
        <w:t xml:space="preserve">shows the </w:t>
      </w:r>
      <w:r w:rsidR="00A96CA6">
        <w:t>p</w:t>
      </w:r>
      <w:r w:rsidRPr="00916AB2">
        <w:t xml:space="preserve">roportion of </w:t>
      </w:r>
      <w:r w:rsidR="00A96CA6">
        <w:t xml:space="preserve">the </w:t>
      </w:r>
      <w:r w:rsidRPr="00916AB2">
        <w:t xml:space="preserve">NCCD population funded under targeted programs. </w:t>
      </w:r>
    </w:p>
    <w:p w14:paraId="542B1FE6" w14:textId="2BDA2EC0" w:rsidR="007C3FDB" w:rsidRPr="00916AB2" w:rsidRDefault="007C3FDB" w:rsidP="007C3FDB">
      <w:r w:rsidRPr="00916AB2">
        <w:t>This difference presents methodical difficulties and challenges when looking across jurisdictions</w:t>
      </w:r>
      <w:r w:rsidR="00A96CA6">
        <w:t>.</w:t>
      </w:r>
      <w:r w:rsidRPr="00916AB2">
        <w:t xml:space="preserve"> </w:t>
      </w:r>
      <w:r w:rsidR="00A96CA6">
        <w:t>W</w:t>
      </w:r>
      <w:r w:rsidRPr="00916AB2">
        <w:t>hile this project has a focus on the total of all students in the targeted funding programs and the aggregated funding amounts across the three NCCD levels, the varying weightings each jurisdiction has attributed to each of their targeted program levels, and considerable variance in the enrolment numbers for each jurisdiction</w:t>
      </w:r>
      <w:r w:rsidR="00A96CA6">
        <w:t>,</w:t>
      </w:r>
      <w:r w:rsidRPr="00916AB2">
        <w:t xml:space="preserve"> may skew the data. </w:t>
      </w:r>
    </w:p>
    <w:p w14:paraId="1573A46E" w14:textId="6281010F" w:rsidR="007C3FDB" w:rsidRPr="00916AB2" w:rsidRDefault="007C3FDB" w:rsidP="007C3FDB">
      <w:r w:rsidRPr="00916AB2">
        <w:t xml:space="preserve">Therefore, the use of </w:t>
      </w:r>
      <w:r w:rsidR="00A96CA6">
        <w:t xml:space="preserve">the </w:t>
      </w:r>
      <w:r w:rsidRPr="00916AB2">
        <w:t>aggregat</w:t>
      </w:r>
      <w:r w:rsidR="00A96CA6">
        <w:t>ed data</w:t>
      </w:r>
      <w:r w:rsidRPr="00916AB2">
        <w:t xml:space="preserve"> is intended to provide a broad set of information that can inform early stage considerations about reforms to existing national loadings. It is not necessary or intended that the Commonwealth </w:t>
      </w:r>
      <w:r w:rsidR="00A96CA6">
        <w:t xml:space="preserve">student with disability </w:t>
      </w:r>
      <w:r w:rsidRPr="00916AB2">
        <w:t xml:space="preserve">loading across the three NCCD levels reflect the same aggregated </w:t>
      </w:r>
      <w:r w:rsidR="00A96CA6">
        <w:t>funding levels</w:t>
      </w:r>
      <w:r w:rsidR="00A96CA6" w:rsidRPr="00916AB2">
        <w:t xml:space="preserve"> </w:t>
      </w:r>
      <w:r w:rsidRPr="00916AB2">
        <w:t xml:space="preserve">presented in </w:t>
      </w:r>
      <w:r w:rsidR="00A96CA6" w:rsidRPr="00916AB2">
        <w:t>th</w:t>
      </w:r>
      <w:r w:rsidR="00A96CA6">
        <w:t xml:space="preserve">e </w:t>
      </w:r>
      <w:r w:rsidRPr="00916AB2">
        <w:t xml:space="preserve">project data. Rather, this project considers current jurisdictional practices and the responsiveness they deem appropriate to the level of need and the nature of that need in each cohort. </w:t>
      </w:r>
    </w:p>
    <w:p w14:paraId="1077DCB1" w14:textId="449ADB5E" w:rsidR="007C3FDB" w:rsidRPr="00916AB2" w:rsidRDefault="007C3FDB" w:rsidP="007C3FDB">
      <w:r w:rsidRPr="00916AB2">
        <w:t>The amount of funding that jurisdictions provide at each level under their disability targeted fu</w:t>
      </w:r>
      <w:r w:rsidR="00DE7140">
        <w:t>nding programs increases as</w:t>
      </w:r>
      <w:r w:rsidRPr="00916AB2">
        <w:t xml:space="preserve"> </w:t>
      </w:r>
      <w:r w:rsidR="00A96CA6">
        <w:t xml:space="preserve">a </w:t>
      </w:r>
      <w:r w:rsidRPr="00916AB2">
        <w:t>student</w:t>
      </w:r>
      <w:r w:rsidR="00A96CA6">
        <w:t>’</w:t>
      </w:r>
      <w:r w:rsidRPr="00916AB2">
        <w:t xml:space="preserve">s </w:t>
      </w:r>
      <w:r w:rsidR="00A96CA6" w:rsidRPr="00916AB2">
        <w:t xml:space="preserve">needs </w:t>
      </w:r>
      <w:r w:rsidRPr="00916AB2">
        <w:t xml:space="preserve">become higher and more complex. Given the description in the NCCD levels of support guidelines for schools, and the case studies that are provided on the NCCD website, students in the Extensive level are likely to have significant functional challenges to their participation on the same basis as other students. They may require extensive one to one support across a number of functional domains, including social/emotional, mobility, toileting, gastro feeding or intensive pedagogical approaches to maximise their learning. This may affect an adjustment’s frequency, duration, the administrative complexity, or the need for expertise of supporting staff. This is reflected in the higher funding allocated and the intensive nature of the adjustments provided at the Extensive level. </w:t>
      </w:r>
    </w:p>
    <w:p w14:paraId="615A25C6" w14:textId="3D6E86E1" w:rsidR="007C3FDB" w:rsidRPr="00916AB2" w:rsidRDefault="007C3FDB" w:rsidP="007C3FDB">
      <w:r w:rsidRPr="00916AB2">
        <w:t>The use of targeted funding data may exclude the funding provided to the higher needs students through supports such as medical care, expertise, training, specialist equipment and one to one supervision. This may lead to some distortion in the funding relativities across the tables.</w:t>
      </w:r>
    </w:p>
    <w:p w14:paraId="5A6814F7" w14:textId="04E7515B" w:rsidR="007C3FDB" w:rsidRPr="00916AB2" w:rsidRDefault="007C3FDB" w:rsidP="007C3FDB">
      <w:r w:rsidRPr="00916AB2">
        <w:t xml:space="preserve">At the jurisdictional level, the data tables do not show a strong consistency or pattern in the funding relativities across the three NCCD levels, but the table for funding at each NCCD level of adjustment by weighted and non-weighted, average student amounts shows that the greatest increase in funding occurs between the Substantial and Extensive levels. This is reflected in the </w:t>
      </w:r>
      <w:r w:rsidR="00DE08EB">
        <w:t>T</w:t>
      </w:r>
      <w:r w:rsidRPr="00916AB2">
        <w:t xml:space="preserve">able </w:t>
      </w:r>
      <w:r w:rsidR="00DE08EB">
        <w:t>2</w:t>
      </w:r>
      <w:r w:rsidR="00DE08EB" w:rsidRPr="00916AB2">
        <w:t xml:space="preserve"> </w:t>
      </w:r>
      <w:r w:rsidRPr="00916AB2">
        <w:t xml:space="preserve">aggregated average funding relativities. </w:t>
      </w:r>
    </w:p>
    <w:p w14:paraId="65F9211E" w14:textId="0BCD238D" w:rsidR="007C3FDB" w:rsidRPr="00916AB2" w:rsidRDefault="007C3FDB" w:rsidP="007C3FDB">
      <w:r w:rsidRPr="00916AB2">
        <w:t xml:space="preserve">The data also shows that aggregated state and territory distribution relativities are fairly close to the current SRS </w:t>
      </w:r>
      <w:r w:rsidR="00DE7140">
        <w:t>students with disability</w:t>
      </w:r>
      <w:r w:rsidRPr="00916AB2">
        <w:t xml:space="preserve"> loading relativities. This contrasts with the relativities</w:t>
      </w:r>
      <w:r w:rsidRPr="00916AB2" w:rsidDel="0048022F">
        <w:t xml:space="preserve"> </w:t>
      </w:r>
      <w:r w:rsidRPr="00916AB2">
        <w:t>that emerge when funding is aligned to NCCD categories—these appear much flatter due to higher funding at the Supplementary level. It should be noted that Supplementary students included in targeted programs are more likely to be at the higher end of the range of costs.</w:t>
      </w:r>
    </w:p>
    <w:p w14:paraId="2480372A" w14:textId="7CC398FB" w:rsidR="007C3FDB" w:rsidRDefault="007C3FDB" w:rsidP="004D7BC8">
      <w:pPr>
        <w:rPr>
          <w:rFonts w:cstheme="minorHAnsi"/>
        </w:rPr>
      </w:pPr>
      <w:r w:rsidRPr="00916AB2">
        <w:t xml:space="preserve">While this higher funding may reflect a more accurate estimation of these students’ needs, all jurisdictions also have other programs and funding mechanisms in place to support these students. Given the larger number of students identified in the Supplementary category, it is worth considering whether the larger number of Supplementary level students with </w:t>
      </w:r>
      <w:r w:rsidR="00D562CC">
        <w:t>disability</w:t>
      </w:r>
      <w:r w:rsidRPr="00916AB2">
        <w:t xml:space="preserve"> in schools allows for greater efficiencies in adjustment delivery and costs, as opposed to the smaller number of students with disability and intensive personalised high needs, identified within the Extensive level of adjustment. </w:t>
      </w:r>
      <w:r>
        <w:rPr>
          <w:rFonts w:cstheme="minorHAnsi"/>
        </w:rPr>
        <w:br w:type="page"/>
      </w:r>
    </w:p>
    <w:p w14:paraId="65D1123C" w14:textId="77777777" w:rsidR="007C3FDB" w:rsidRDefault="007C3FDB" w:rsidP="00DE7140">
      <w:pPr>
        <w:pStyle w:val="Heading1"/>
        <w:sectPr w:rsidR="007C3FDB" w:rsidSect="006C6906">
          <w:pgSz w:w="11906" w:h="16838"/>
          <w:pgMar w:top="1304" w:right="1440" w:bottom="1361" w:left="1440" w:header="708" w:footer="708" w:gutter="0"/>
          <w:cols w:space="708"/>
          <w:docGrid w:linePitch="360"/>
        </w:sectPr>
      </w:pPr>
    </w:p>
    <w:p w14:paraId="20B568AE" w14:textId="217E63C9" w:rsidR="007C3FDB" w:rsidRPr="00916AB2" w:rsidRDefault="007C3FDB" w:rsidP="00DE7140">
      <w:pPr>
        <w:pStyle w:val="Heading1"/>
      </w:pPr>
      <w:bookmarkStart w:id="8" w:name="_Toc38449125"/>
      <w:r w:rsidRPr="00916AB2">
        <w:t>Appendix 1</w:t>
      </w:r>
      <w:bookmarkEnd w:id="8"/>
      <w:r w:rsidRPr="00916AB2">
        <w:t xml:space="preserve"> </w:t>
      </w:r>
    </w:p>
    <w:p w14:paraId="6A7DAFBA" w14:textId="6103D189" w:rsidR="007C3FDB" w:rsidRPr="00C0414B" w:rsidRDefault="008B6073" w:rsidP="007C3FDB">
      <w:pPr>
        <w:jc w:val="both"/>
        <w:rPr>
          <w:rStyle w:val="Strong"/>
        </w:rPr>
      </w:pPr>
      <w:r>
        <w:rPr>
          <w:rStyle w:val="Strong"/>
        </w:rPr>
        <w:t>C</w:t>
      </w:r>
      <w:r w:rsidR="007C3FDB" w:rsidRPr="00C0414B">
        <w:rPr>
          <w:rStyle w:val="Strong"/>
        </w:rPr>
        <w:t xml:space="preserve">omparison of disability categories used by each state and territory </w:t>
      </w:r>
      <w:r w:rsidR="00DE08EB">
        <w:rPr>
          <w:rStyle w:val="Strong"/>
        </w:rPr>
        <w:t>g</w:t>
      </w:r>
      <w:r w:rsidR="007C3FDB" w:rsidRPr="00C0414B">
        <w:rPr>
          <w:rStyle w:val="Strong"/>
        </w:rPr>
        <w:t xml:space="preserve">overnment </w:t>
      </w:r>
      <w:r w:rsidR="00441B08">
        <w:rPr>
          <w:rStyle w:val="Strong"/>
        </w:rPr>
        <w:t>System</w:t>
      </w:r>
      <w:r w:rsidR="007C3FDB" w:rsidRPr="00C0414B">
        <w:rPr>
          <w:rStyle w:val="Strong"/>
        </w:rPr>
        <w:t xml:space="preserve"> in their targe</w:t>
      </w:r>
      <w:r>
        <w:rPr>
          <w:rStyle w:val="Strong"/>
        </w:rPr>
        <w:t>ted disability funding programs</w:t>
      </w:r>
    </w:p>
    <w:tbl>
      <w:tblPr>
        <w:tblStyle w:val="TableGrid"/>
        <w:tblW w:w="14743" w:type="dxa"/>
        <w:tblInd w:w="-431" w:type="dxa"/>
        <w:tblLayout w:type="fixed"/>
        <w:tblLook w:val="04A0" w:firstRow="1" w:lastRow="0" w:firstColumn="1" w:lastColumn="0" w:noHBand="0" w:noVBand="1"/>
        <w:tblDescription w:val="The disability categories used by states and territory ASAs in their targeted programs are: intellecutal disability; hearing impairment, hard of hearing, deaf-sensory; vision impairment, blind-sensory; physical disability, impairment; severe behaviour disorder; autism spectrum disorder, autism; speech and language impairment, language, severe language disorder; deaf, blind; mental health problems, severe mental disorder, psychiatric disability; global developmental delay; chronic-severe medical health condition; and multiple disability. &#10;New South Wales uses: intellecutal disability; hearing impairment, hard of hearing, deaf-sensory; vision impairment, blind-sensory; physical disability, impairment; autism spectrum disorder, autism; speech and language impairment, language, severe language disorder; deaf, blind; and mental health problems, severe mental disorder, psychiatric disability. &#10;Victoria uses: intellecutal disability; hearing impairment, hard of hearing, deaf-sensory; vision impairment, blind-sensory; severe behaviour disorder; autism spectrum disorder, autism; and speech and language impairment, language, severe language disorder. &#10;Queensland uses: intellecutal disability; hearing impairment, hard of hearing, deaf-sensory; vision impairment, blind-sensory; physical disability, impairment; autism spectrum disorder, autism; and speech and language impairment, language, severe language disorder. &#10;Western Australia uses: intellecutal disability; hearing impairment, hard of hearing, deaf-sensory; vision impairment, blind-sensory; physical disability, impairment; autism spectrum disorder, autism; mental health problems, severe mental disorder, psychiatric disability; and multiple disability. &#10;South Australia uses the criteria for inclusion in the NCCD.&#10;Tasmania uses: intellecutal disability; hearing impairment, hard of hearing, deaf-sensory; vision impairment, blind-sensory; physical disability, impairment; autism spectrum disorder, autism; mental health problems, severe mental disorder, psychiatric disability; and multiple disability. &#10;Information is not available for the Northern Territory.&#10;Australian Capital Territory uses: intellecutal disability; hearing impairment, hard of hearing, deaf-sensory; vision impairment, blind-sensory; physical disability, impairment; autism spectrum disorder, autism; speech and language impairment, language, severe language disorder; mental health problems, severe mental disorder, psychiatric disability; and chronic-severe medical health condition.&#10;"/>
      </w:tblPr>
      <w:tblGrid>
        <w:gridCol w:w="1134"/>
        <w:gridCol w:w="1134"/>
        <w:gridCol w:w="1134"/>
        <w:gridCol w:w="1134"/>
        <w:gridCol w:w="1134"/>
        <w:gridCol w:w="1134"/>
        <w:gridCol w:w="1134"/>
        <w:gridCol w:w="1134"/>
        <w:gridCol w:w="1134"/>
        <w:gridCol w:w="1134"/>
        <w:gridCol w:w="1134"/>
        <w:gridCol w:w="1134"/>
        <w:gridCol w:w="1135"/>
      </w:tblGrid>
      <w:tr w:rsidR="007C3FDB" w:rsidRPr="00F95A7F" w14:paraId="69631648" w14:textId="77777777" w:rsidTr="00DE08EB">
        <w:trPr>
          <w:trHeight w:val="1566"/>
          <w:tblHeader/>
        </w:trPr>
        <w:tc>
          <w:tcPr>
            <w:tcW w:w="1134" w:type="dxa"/>
            <w:shd w:val="clear" w:color="auto" w:fill="BDD6EE" w:themeFill="accent1" w:themeFillTint="66"/>
          </w:tcPr>
          <w:p w14:paraId="72CB6E93" w14:textId="7E097457" w:rsidR="00DE08EB" w:rsidRPr="00AB5EE8" w:rsidRDefault="00DE08EB" w:rsidP="00696EC6">
            <w:pPr>
              <w:rPr>
                <w:rFonts w:eastAsia="Calibri" w:cstheme="minorHAnsi"/>
                <w:b/>
                <w:color w:val="ED7D31" w:themeColor="accent2"/>
                <w:sz w:val="16"/>
                <w:szCs w:val="16"/>
              </w:rPr>
            </w:pPr>
          </w:p>
        </w:tc>
        <w:tc>
          <w:tcPr>
            <w:tcW w:w="1134" w:type="dxa"/>
          </w:tcPr>
          <w:p w14:paraId="015DEED9" w14:textId="62292CAC" w:rsidR="007C3FDB" w:rsidRPr="004D4B76" w:rsidRDefault="007C3FDB" w:rsidP="008B6073">
            <w:pPr>
              <w:rPr>
                <w:rFonts w:eastAsia="Calibri" w:cstheme="minorHAnsi"/>
                <w:sz w:val="18"/>
                <w:szCs w:val="16"/>
              </w:rPr>
            </w:pPr>
            <w:r w:rsidRPr="004D4B76">
              <w:rPr>
                <w:rFonts w:eastAsia="Calibri" w:cstheme="minorHAnsi"/>
                <w:sz w:val="18"/>
                <w:szCs w:val="16"/>
              </w:rPr>
              <w:t xml:space="preserve">Intellectual </w:t>
            </w:r>
            <w:r w:rsidR="008B6073">
              <w:rPr>
                <w:rFonts w:eastAsia="Calibri" w:cstheme="minorHAnsi"/>
                <w:sz w:val="18"/>
                <w:szCs w:val="16"/>
              </w:rPr>
              <w:t>d</w:t>
            </w:r>
            <w:r w:rsidRPr="004D4B76">
              <w:rPr>
                <w:rFonts w:eastAsia="Calibri" w:cstheme="minorHAnsi"/>
                <w:sz w:val="18"/>
                <w:szCs w:val="16"/>
              </w:rPr>
              <w:t xml:space="preserve">isability </w:t>
            </w:r>
          </w:p>
        </w:tc>
        <w:tc>
          <w:tcPr>
            <w:tcW w:w="1134" w:type="dxa"/>
          </w:tcPr>
          <w:p w14:paraId="0BA0AE9C" w14:textId="24CD34C0" w:rsidR="007C3FDB" w:rsidRPr="004D4B76" w:rsidRDefault="007C3FDB" w:rsidP="004D4B76">
            <w:pPr>
              <w:rPr>
                <w:rFonts w:eastAsia="Calibri" w:cstheme="minorHAnsi"/>
                <w:sz w:val="18"/>
                <w:szCs w:val="16"/>
              </w:rPr>
            </w:pPr>
            <w:r w:rsidRPr="004D4B76">
              <w:rPr>
                <w:rFonts w:eastAsia="Calibri" w:cstheme="minorHAnsi"/>
                <w:sz w:val="18"/>
                <w:szCs w:val="16"/>
              </w:rPr>
              <w:t xml:space="preserve">Hearing </w:t>
            </w:r>
            <w:r w:rsidR="008B6073">
              <w:rPr>
                <w:rFonts w:eastAsia="Calibri" w:cstheme="minorHAnsi"/>
                <w:sz w:val="18"/>
                <w:szCs w:val="16"/>
              </w:rPr>
              <w:t>i</w:t>
            </w:r>
            <w:r w:rsidRPr="004D4B76">
              <w:rPr>
                <w:rFonts w:eastAsia="Calibri" w:cstheme="minorHAnsi"/>
                <w:sz w:val="18"/>
                <w:szCs w:val="16"/>
              </w:rPr>
              <w:t>mpairment</w:t>
            </w:r>
          </w:p>
          <w:p w14:paraId="2E575DDB" w14:textId="40123156" w:rsidR="007C3FDB" w:rsidRPr="004D4B76" w:rsidRDefault="00DE08EB" w:rsidP="004D4B76">
            <w:pPr>
              <w:rPr>
                <w:rFonts w:eastAsia="Calibri" w:cstheme="minorHAnsi"/>
                <w:sz w:val="18"/>
                <w:szCs w:val="16"/>
              </w:rPr>
            </w:pPr>
            <w:r w:rsidRPr="004D4B76">
              <w:rPr>
                <w:rFonts w:eastAsia="Calibri" w:cstheme="minorHAnsi"/>
                <w:sz w:val="18"/>
                <w:szCs w:val="16"/>
              </w:rPr>
              <w:t xml:space="preserve">Hard of </w:t>
            </w:r>
            <w:r w:rsidR="008B6073">
              <w:rPr>
                <w:rFonts w:eastAsia="Calibri" w:cstheme="minorHAnsi"/>
                <w:sz w:val="18"/>
                <w:szCs w:val="16"/>
              </w:rPr>
              <w:t>h</w:t>
            </w:r>
            <w:r w:rsidRPr="004D4B76">
              <w:rPr>
                <w:rFonts w:eastAsia="Calibri" w:cstheme="minorHAnsi"/>
                <w:sz w:val="18"/>
                <w:szCs w:val="16"/>
              </w:rPr>
              <w:t>earing/</w:t>
            </w:r>
            <w:r w:rsidR="008B6073">
              <w:rPr>
                <w:rFonts w:eastAsia="Calibri" w:cstheme="minorHAnsi"/>
                <w:sz w:val="18"/>
                <w:szCs w:val="16"/>
              </w:rPr>
              <w:br/>
            </w:r>
            <w:r w:rsidR="007C3FDB" w:rsidRPr="004D4B76">
              <w:rPr>
                <w:rFonts w:eastAsia="Calibri" w:cstheme="minorHAnsi"/>
                <w:sz w:val="18"/>
                <w:szCs w:val="16"/>
              </w:rPr>
              <w:t>Deaf</w:t>
            </w:r>
          </w:p>
          <w:p w14:paraId="68B86EF7" w14:textId="056321D7" w:rsidR="007C3FDB" w:rsidRPr="004D4B76" w:rsidRDefault="007C3FDB" w:rsidP="004D4B76">
            <w:pPr>
              <w:rPr>
                <w:rFonts w:eastAsia="Calibri" w:cstheme="minorHAnsi"/>
                <w:sz w:val="18"/>
                <w:szCs w:val="16"/>
              </w:rPr>
            </w:pPr>
            <w:r w:rsidRPr="004D4B76">
              <w:rPr>
                <w:rFonts w:eastAsia="Calibri" w:cstheme="minorHAnsi"/>
                <w:sz w:val="18"/>
                <w:szCs w:val="16"/>
              </w:rPr>
              <w:t>Sensory</w:t>
            </w:r>
          </w:p>
        </w:tc>
        <w:tc>
          <w:tcPr>
            <w:tcW w:w="1134" w:type="dxa"/>
          </w:tcPr>
          <w:p w14:paraId="0685D81B" w14:textId="7EED9893" w:rsidR="007C3FDB" w:rsidRPr="004D4B76" w:rsidRDefault="007C3FDB" w:rsidP="004D4B76">
            <w:pPr>
              <w:rPr>
                <w:rFonts w:eastAsia="Calibri" w:cstheme="minorHAnsi"/>
                <w:sz w:val="18"/>
                <w:szCs w:val="16"/>
              </w:rPr>
            </w:pPr>
            <w:r w:rsidRPr="004D4B76">
              <w:rPr>
                <w:rFonts w:eastAsia="Calibri" w:cstheme="minorHAnsi"/>
                <w:sz w:val="18"/>
                <w:szCs w:val="16"/>
              </w:rPr>
              <w:t>Vision Impairment</w:t>
            </w:r>
          </w:p>
          <w:p w14:paraId="57C041D9" w14:textId="116439D7" w:rsidR="007C3FDB" w:rsidRPr="004D4B76" w:rsidRDefault="007C3FDB" w:rsidP="004D4B76">
            <w:pPr>
              <w:rPr>
                <w:rFonts w:eastAsia="Calibri" w:cstheme="minorHAnsi"/>
                <w:sz w:val="18"/>
                <w:szCs w:val="16"/>
              </w:rPr>
            </w:pPr>
            <w:r w:rsidRPr="004D4B76">
              <w:rPr>
                <w:rFonts w:eastAsia="Calibri" w:cstheme="minorHAnsi"/>
                <w:sz w:val="18"/>
                <w:szCs w:val="16"/>
              </w:rPr>
              <w:t>Blind</w:t>
            </w:r>
          </w:p>
          <w:p w14:paraId="05AB0AF6" w14:textId="2CCD37EF" w:rsidR="007C3FDB" w:rsidRPr="004D4B76" w:rsidRDefault="007C3FDB" w:rsidP="004D4B76">
            <w:pPr>
              <w:rPr>
                <w:rFonts w:eastAsia="Calibri" w:cstheme="minorHAnsi"/>
                <w:sz w:val="18"/>
                <w:szCs w:val="16"/>
              </w:rPr>
            </w:pPr>
            <w:r w:rsidRPr="004D4B76">
              <w:rPr>
                <w:rFonts w:eastAsia="Calibri" w:cstheme="minorHAnsi"/>
                <w:sz w:val="18"/>
                <w:szCs w:val="16"/>
              </w:rPr>
              <w:t>Sensory</w:t>
            </w:r>
          </w:p>
        </w:tc>
        <w:tc>
          <w:tcPr>
            <w:tcW w:w="1134" w:type="dxa"/>
          </w:tcPr>
          <w:p w14:paraId="0DD02CC7" w14:textId="69384547" w:rsidR="007C3FDB" w:rsidRPr="004D4B76" w:rsidRDefault="008B6073" w:rsidP="004D4B76">
            <w:pPr>
              <w:rPr>
                <w:rFonts w:eastAsia="Calibri" w:cstheme="minorHAnsi"/>
                <w:sz w:val="18"/>
                <w:szCs w:val="16"/>
              </w:rPr>
            </w:pPr>
            <w:r>
              <w:rPr>
                <w:rFonts w:eastAsia="Calibri" w:cstheme="minorHAnsi"/>
                <w:sz w:val="18"/>
                <w:szCs w:val="16"/>
              </w:rPr>
              <w:t>Physical d</w:t>
            </w:r>
            <w:r w:rsidR="007C3FDB" w:rsidRPr="004D4B76">
              <w:rPr>
                <w:rFonts w:eastAsia="Calibri" w:cstheme="minorHAnsi"/>
                <w:sz w:val="18"/>
                <w:szCs w:val="16"/>
              </w:rPr>
              <w:t>isability/</w:t>
            </w:r>
          </w:p>
          <w:p w14:paraId="0652849F" w14:textId="6A7C8560" w:rsidR="007C3FDB" w:rsidRPr="004D4B76" w:rsidRDefault="008B6073" w:rsidP="004D4B76">
            <w:pPr>
              <w:rPr>
                <w:rFonts w:eastAsia="Calibri" w:cstheme="minorHAnsi"/>
                <w:sz w:val="18"/>
                <w:szCs w:val="16"/>
              </w:rPr>
            </w:pPr>
            <w:r>
              <w:rPr>
                <w:rFonts w:eastAsia="Calibri" w:cstheme="minorHAnsi"/>
                <w:sz w:val="18"/>
                <w:szCs w:val="16"/>
              </w:rPr>
              <w:t>i</w:t>
            </w:r>
            <w:r w:rsidR="007C3FDB" w:rsidRPr="004D4B76">
              <w:rPr>
                <w:rFonts w:eastAsia="Calibri" w:cstheme="minorHAnsi"/>
                <w:sz w:val="18"/>
                <w:szCs w:val="16"/>
              </w:rPr>
              <w:t xml:space="preserve">mpairment </w:t>
            </w:r>
          </w:p>
        </w:tc>
        <w:tc>
          <w:tcPr>
            <w:tcW w:w="1134" w:type="dxa"/>
          </w:tcPr>
          <w:p w14:paraId="26B66F53" w14:textId="75F6BCBC" w:rsidR="007C3FDB" w:rsidRPr="004D4B76" w:rsidRDefault="008B6073" w:rsidP="004D4B76">
            <w:pPr>
              <w:rPr>
                <w:rFonts w:eastAsia="Calibri" w:cstheme="minorHAnsi"/>
                <w:sz w:val="18"/>
                <w:szCs w:val="16"/>
              </w:rPr>
            </w:pPr>
            <w:r>
              <w:rPr>
                <w:rFonts w:eastAsia="Calibri" w:cstheme="minorHAnsi"/>
                <w:sz w:val="18"/>
                <w:szCs w:val="16"/>
              </w:rPr>
              <w:t>Severe behaviour d</w:t>
            </w:r>
            <w:r w:rsidR="007C3FDB" w:rsidRPr="004D4B76">
              <w:rPr>
                <w:rFonts w:eastAsia="Calibri" w:cstheme="minorHAnsi"/>
                <w:sz w:val="18"/>
                <w:szCs w:val="16"/>
              </w:rPr>
              <w:t xml:space="preserve">isorder </w:t>
            </w:r>
          </w:p>
        </w:tc>
        <w:tc>
          <w:tcPr>
            <w:tcW w:w="1134" w:type="dxa"/>
          </w:tcPr>
          <w:p w14:paraId="7E6F6894" w14:textId="2D9A5F6E" w:rsidR="00DE08EB" w:rsidRPr="004D4B76" w:rsidRDefault="00DE08EB" w:rsidP="004D4B76">
            <w:pPr>
              <w:rPr>
                <w:rFonts w:eastAsia="Calibri" w:cstheme="minorHAnsi"/>
                <w:sz w:val="18"/>
                <w:szCs w:val="16"/>
              </w:rPr>
            </w:pPr>
            <w:r w:rsidRPr="004D4B76">
              <w:rPr>
                <w:rFonts w:eastAsia="Calibri" w:cstheme="minorHAnsi"/>
                <w:sz w:val="18"/>
                <w:szCs w:val="16"/>
              </w:rPr>
              <w:t>Autism Spectrum Disorder</w:t>
            </w:r>
            <w:r w:rsidR="008B6073">
              <w:rPr>
                <w:rFonts w:eastAsia="Calibri" w:cstheme="minorHAnsi"/>
                <w:sz w:val="18"/>
                <w:szCs w:val="16"/>
              </w:rPr>
              <w:t>/</w:t>
            </w:r>
          </w:p>
          <w:p w14:paraId="3FD99965" w14:textId="6370EE36" w:rsidR="007C3FDB" w:rsidRPr="004D4B76" w:rsidRDefault="007C3FDB" w:rsidP="004D4B76">
            <w:pPr>
              <w:rPr>
                <w:rFonts w:eastAsia="Calibri" w:cstheme="minorHAnsi"/>
                <w:sz w:val="18"/>
                <w:szCs w:val="16"/>
              </w:rPr>
            </w:pPr>
            <w:r w:rsidRPr="004D4B76">
              <w:rPr>
                <w:rFonts w:eastAsia="Calibri" w:cstheme="minorHAnsi"/>
                <w:sz w:val="18"/>
                <w:szCs w:val="16"/>
              </w:rPr>
              <w:t>Autism</w:t>
            </w:r>
          </w:p>
        </w:tc>
        <w:tc>
          <w:tcPr>
            <w:tcW w:w="1134" w:type="dxa"/>
          </w:tcPr>
          <w:p w14:paraId="7D0FE72C" w14:textId="301ED9BB" w:rsidR="00DE08EB" w:rsidRPr="004D4B76" w:rsidRDefault="007C3FDB" w:rsidP="004D4B76">
            <w:pPr>
              <w:rPr>
                <w:rFonts w:eastAsia="Calibri" w:cstheme="minorHAnsi"/>
                <w:sz w:val="18"/>
                <w:szCs w:val="16"/>
              </w:rPr>
            </w:pPr>
            <w:r w:rsidRPr="004D4B76">
              <w:rPr>
                <w:rFonts w:eastAsia="Calibri" w:cstheme="minorHAnsi"/>
                <w:sz w:val="18"/>
                <w:szCs w:val="16"/>
              </w:rPr>
              <w:t>S</w:t>
            </w:r>
            <w:r w:rsidR="00DE08EB" w:rsidRPr="004D4B76">
              <w:rPr>
                <w:rFonts w:eastAsia="Calibri" w:cstheme="minorHAnsi"/>
                <w:sz w:val="18"/>
                <w:szCs w:val="16"/>
              </w:rPr>
              <w:t>peech and language impairment</w:t>
            </w:r>
          </w:p>
          <w:p w14:paraId="0AE67B8E" w14:textId="0CECECFE" w:rsidR="007C3FDB" w:rsidRPr="004D4B76" w:rsidRDefault="007C3FDB" w:rsidP="004D4B76">
            <w:pPr>
              <w:rPr>
                <w:rFonts w:eastAsia="Calibri" w:cstheme="minorHAnsi"/>
                <w:sz w:val="18"/>
                <w:szCs w:val="16"/>
              </w:rPr>
            </w:pPr>
            <w:r w:rsidRPr="004D4B76">
              <w:rPr>
                <w:rFonts w:eastAsia="Calibri" w:cstheme="minorHAnsi"/>
                <w:sz w:val="18"/>
                <w:szCs w:val="16"/>
              </w:rPr>
              <w:t xml:space="preserve">Severe </w:t>
            </w:r>
            <w:r w:rsidR="008B6073" w:rsidRPr="004D4B76">
              <w:rPr>
                <w:rFonts w:eastAsia="Calibri" w:cstheme="minorHAnsi"/>
                <w:sz w:val="18"/>
                <w:szCs w:val="16"/>
              </w:rPr>
              <w:t xml:space="preserve">language disorder </w:t>
            </w:r>
          </w:p>
        </w:tc>
        <w:tc>
          <w:tcPr>
            <w:tcW w:w="1134" w:type="dxa"/>
          </w:tcPr>
          <w:p w14:paraId="471EB2D4" w14:textId="083A19F4" w:rsidR="007C3FDB" w:rsidRPr="004D4B76" w:rsidRDefault="008B6073" w:rsidP="008B6073">
            <w:pPr>
              <w:rPr>
                <w:rFonts w:eastAsia="Calibri" w:cstheme="minorHAnsi"/>
                <w:sz w:val="18"/>
                <w:szCs w:val="16"/>
              </w:rPr>
            </w:pPr>
            <w:r>
              <w:rPr>
                <w:rFonts w:eastAsia="Calibri" w:cstheme="minorHAnsi"/>
                <w:sz w:val="18"/>
                <w:szCs w:val="16"/>
              </w:rPr>
              <w:t>Deaf and b</w:t>
            </w:r>
            <w:r w:rsidR="007C3FDB" w:rsidRPr="004D4B76">
              <w:rPr>
                <w:rFonts w:eastAsia="Calibri" w:cstheme="minorHAnsi"/>
                <w:sz w:val="18"/>
                <w:szCs w:val="16"/>
              </w:rPr>
              <w:t>lind</w:t>
            </w:r>
          </w:p>
        </w:tc>
        <w:tc>
          <w:tcPr>
            <w:tcW w:w="1134" w:type="dxa"/>
          </w:tcPr>
          <w:p w14:paraId="798CFBDE" w14:textId="2D664F53" w:rsidR="00DE08EB" w:rsidRPr="004D4B76" w:rsidRDefault="007C3FDB" w:rsidP="004D4B76">
            <w:pPr>
              <w:rPr>
                <w:rFonts w:eastAsia="Calibri" w:cstheme="minorHAnsi"/>
                <w:sz w:val="18"/>
                <w:szCs w:val="16"/>
              </w:rPr>
            </w:pPr>
            <w:r w:rsidRPr="004D4B76">
              <w:rPr>
                <w:rFonts w:eastAsia="Calibri" w:cstheme="minorHAnsi"/>
                <w:sz w:val="18"/>
                <w:szCs w:val="16"/>
              </w:rPr>
              <w:t xml:space="preserve">Mental </w:t>
            </w:r>
            <w:r w:rsidR="008B6073" w:rsidRPr="004D4B76">
              <w:rPr>
                <w:rFonts w:eastAsia="Calibri" w:cstheme="minorHAnsi"/>
                <w:sz w:val="18"/>
                <w:szCs w:val="16"/>
              </w:rPr>
              <w:t>health problems</w:t>
            </w:r>
            <w:r w:rsidR="00DE08EB" w:rsidRPr="004D4B76">
              <w:rPr>
                <w:rFonts w:eastAsia="Calibri" w:cstheme="minorHAnsi"/>
                <w:sz w:val="18"/>
                <w:szCs w:val="16"/>
              </w:rPr>
              <w:t>/</w:t>
            </w:r>
          </w:p>
          <w:p w14:paraId="75ED3F95" w14:textId="22DDA8C6" w:rsidR="00DE08EB" w:rsidRPr="004D4B76" w:rsidRDefault="007C3FDB" w:rsidP="004D4B76">
            <w:pPr>
              <w:rPr>
                <w:rFonts w:eastAsia="Calibri" w:cstheme="minorHAnsi"/>
                <w:sz w:val="18"/>
                <w:szCs w:val="16"/>
              </w:rPr>
            </w:pPr>
            <w:r w:rsidRPr="004D4B76">
              <w:rPr>
                <w:rFonts w:eastAsia="Calibri" w:cstheme="minorHAnsi"/>
                <w:sz w:val="18"/>
                <w:szCs w:val="16"/>
              </w:rPr>
              <w:t xml:space="preserve">Severe </w:t>
            </w:r>
            <w:r w:rsidR="008B6073" w:rsidRPr="004D4B76">
              <w:rPr>
                <w:rFonts w:eastAsia="Calibri" w:cstheme="minorHAnsi"/>
                <w:sz w:val="18"/>
                <w:szCs w:val="16"/>
              </w:rPr>
              <w:t>mental disorder</w:t>
            </w:r>
            <w:r w:rsidR="00DE08EB" w:rsidRPr="004D4B76">
              <w:rPr>
                <w:rFonts w:eastAsia="Calibri" w:cstheme="minorHAnsi"/>
                <w:sz w:val="18"/>
                <w:szCs w:val="16"/>
              </w:rPr>
              <w:t>/</w:t>
            </w:r>
          </w:p>
          <w:p w14:paraId="7FBF4A5A" w14:textId="4BE84FD7" w:rsidR="007C3FDB" w:rsidRPr="004D4B76" w:rsidRDefault="007C3FDB" w:rsidP="004D4B76">
            <w:pPr>
              <w:rPr>
                <w:rFonts w:eastAsia="Calibri" w:cstheme="minorHAnsi"/>
                <w:sz w:val="18"/>
                <w:szCs w:val="16"/>
              </w:rPr>
            </w:pPr>
            <w:r w:rsidRPr="004D4B76">
              <w:rPr>
                <w:rFonts w:eastAsia="Calibri" w:cstheme="minorHAnsi"/>
                <w:sz w:val="18"/>
                <w:szCs w:val="16"/>
              </w:rPr>
              <w:t xml:space="preserve">Psychiatric </w:t>
            </w:r>
            <w:r w:rsidR="008B6073" w:rsidRPr="004D4B76">
              <w:rPr>
                <w:rFonts w:eastAsia="Calibri" w:cstheme="minorHAnsi"/>
                <w:sz w:val="18"/>
                <w:szCs w:val="16"/>
              </w:rPr>
              <w:t xml:space="preserve">disability </w:t>
            </w:r>
          </w:p>
        </w:tc>
        <w:tc>
          <w:tcPr>
            <w:tcW w:w="1134" w:type="dxa"/>
          </w:tcPr>
          <w:p w14:paraId="689448A4" w14:textId="05F6BFBB" w:rsidR="007C3FDB" w:rsidRPr="004D4B76" w:rsidRDefault="007C3FDB" w:rsidP="004D4B76">
            <w:pPr>
              <w:rPr>
                <w:rFonts w:eastAsia="Calibri" w:cstheme="minorHAnsi"/>
                <w:sz w:val="18"/>
                <w:szCs w:val="16"/>
              </w:rPr>
            </w:pPr>
            <w:r w:rsidRPr="004D4B76">
              <w:rPr>
                <w:rFonts w:eastAsia="Calibri" w:cstheme="minorHAnsi"/>
                <w:sz w:val="18"/>
                <w:szCs w:val="16"/>
              </w:rPr>
              <w:t xml:space="preserve">Global </w:t>
            </w:r>
            <w:r w:rsidR="00DE08EB" w:rsidRPr="004D4B76">
              <w:rPr>
                <w:rFonts w:eastAsia="Calibri" w:cstheme="minorHAnsi"/>
                <w:sz w:val="18"/>
                <w:szCs w:val="16"/>
              </w:rPr>
              <w:t>d</w:t>
            </w:r>
            <w:r w:rsidRPr="004D4B76">
              <w:rPr>
                <w:rFonts w:eastAsia="Calibri" w:cstheme="minorHAnsi"/>
                <w:sz w:val="18"/>
                <w:szCs w:val="16"/>
              </w:rPr>
              <w:t>evelop</w:t>
            </w:r>
            <w:r w:rsidR="008B6073">
              <w:rPr>
                <w:rFonts w:eastAsia="Calibri" w:cstheme="minorHAnsi"/>
                <w:sz w:val="18"/>
                <w:szCs w:val="16"/>
              </w:rPr>
              <w:noBreakHyphen/>
            </w:r>
            <w:r w:rsidR="008B6073">
              <w:rPr>
                <w:rFonts w:eastAsia="Calibri" w:cstheme="minorHAnsi"/>
                <w:sz w:val="18"/>
                <w:szCs w:val="16"/>
              </w:rPr>
              <w:br/>
            </w:r>
            <w:r w:rsidRPr="004D4B76">
              <w:rPr>
                <w:rFonts w:eastAsia="Calibri" w:cstheme="minorHAnsi"/>
                <w:sz w:val="18"/>
                <w:szCs w:val="16"/>
              </w:rPr>
              <w:t xml:space="preserve">mental </w:t>
            </w:r>
            <w:r w:rsidR="00DE08EB" w:rsidRPr="004D4B76">
              <w:rPr>
                <w:rFonts w:eastAsia="Calibri" w:cstheme="minorHAnsi"/>
                <w:sz w:val="18"/>
                <w:szCs w:val="16"/>
              </w:rPr>
              <w:t>d</w:t>
            </w:r>
            <w:r w:rsidRPr="004D4B76">
              <w:rPr>
                <w:rFonts w:eastAsia="Calibri" w:cstheme="minorHAnsi"/>
                <w:sz w:val="18"/>
                <w:szCs w:val="16"/>
              </w:rPr>
              <w:t xml:space="preserve">elay </w:t>
            </w:r>
          </w:p>
        </w:tc>
        <w:tc>
          <w:tcPr>
            <w:tcW w:w="1134" w:type="dxa"/>
          </w:tcPr>
          <w:p w14:paraId="5851C3AC" w14:textId="3897E950" w:rsidR="007C3FDB" w:rsidRPr="004D4B76" w:rsidRDefault="00DE08EB" w:rsidP="004D4B76">
            <w:pPr>
              <w:rPr>
                <w:rFonts w:eastAsia="Calibri" w:cstheme="minorHAnsi"/>
                <w:sz w:val="18"/>
                <w:szCs w:val="16"/>
              </w:rPr>
            </w:pPr>
            <w:r w:rsidRPr="004D4B76">
              <w:rPr>
                <w:rFonts w:eastAsia="Calibri" w:cstheme="minorHAnsi"/>
                <w:sz w:val="18"/>
                <w:szCs w:val="16"/>
              </w:rPr>
              <w:t xml:space="preserve">Chronic/ </w:t>
            </w:r>
            <w:r w:rsidR="007C3FDB" w:rsidRPr="004D4B76">
              <w:rPr>
                <w:rFonts w:eastAsia="Calibri" w:cstheme="minorHAnsi"/>
                <w:sz w:val="18"/>
                <w:szCs w:val="16"/>
              </w:rPr>
              <w:t xml:space="preserve">Severe </w:t>
            </w:r>
            <w:r w:rsidRPr="004D4B76">
              <w:rPr>
                <w:rFonts w:eastAsia="Calibri" w:cstheme="minorHAnsi"/>
                <w:sz w:val="18"/>
                <w:szCs w:val="16"/>
              </w:rPr>
              <w:t xml:space="preserve">medical health condition </w:t>
            </w:r>
          </w:p>
        </w:tc>
        <w:tc>
          <w:tcPr>
            <w:tcW w:w="1135" w:type="dxa"/>
          </w:tcPr>
          <w:p w14:paraId="53CC8DA7" w14:textId="137238A4" w:rsidR="007C3FDB" w:rsidRPr="004D4B76" w:rsidRDefault="008B6073" w:rsidP="004D4B76">
            <w:pPr>
              <w:rPr>
                <w:rFonts w:eastAsia="Calibri" w:cstheme="minorHAnsi"/>
                <w:sz w:val="18"/>
                <w:szCs w:val="16"/>
              </w:rPr>
            </w:pPr>
            <w:r>
              <w:rPr>
                <w:rFonts w:eastAsia="Calibri" w:cstheme="minorHAnsi"/>
                <w:sz w:val="18"/>
                <w:szCs w:val="16"/>
              </w:rPr>
              <w:t>Multiple disabilities</w:t>
            </w:r>
            <w:r w:rsidR="007C3FDB" w:rsidRPr="004D4B76">
              <w:rPr>
                <w:rFonts w:eastAsia="Calibri" w:cstheme="minorHAnsi"/>
                <w:sz w:val="18"/>
                <w:szCs w:val="16"/>
              </w:rPr>
              <w:t xml:space="preserve"> </w:t>
            </w:r>
          </w:p>
        </w:tc>
      </w:tr>
      <w:tr w:rsidR="007C3FDB" w:rsidRPr="00C85E21" w14:paraId="4A7BA64F" w14:textId="77777777" w:rsidTr="008B6073">
        <w:trPr>
          <w:trHeight w:val="390"/>
        </w:trPr>
        <w:tc>
          <w:tcPr>
            <w:tcW w:w="1134" w:type="dxa"/>
            <w:shd w:val="clear" w:color="auto" w:fill="BDD6EE" w:themeFill="accent1" w:themeFillTint="66"/>
            <w:vAlign w:val="center"/>
          </w:tcPr>
          <w:p w14:paraId="195AC776"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NSW</w:t>
            </w:r>
          </w:p>
        </w:tc>
        <w:tc>
          <w:tcPr>
            <w:tcW w:w="1134" w:type="dxa"/>
            <w:vAlign w:val="center"/>
          </w:tcPr>
          <w:p w14:paraId="4AA2C4A5"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615ED26B"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0DBB42F8" w14:textId="5FBB6D59"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6404CD61"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2747DF4D" w14:textId="77777777" w:rsidR="007C3FDB" w:rsidRPr="008B6073" w:rsidRDefault="007C3FDB" w:rsidP="008B6073">
            <w:pPr>
              <w:jc w:val="center"/>
              <w:rPr>
                <w:rFonts w:eastAsia="Calibri" w:cstheme="minorHAnsi"/>
                <w:sz w:val="20"/>
                <w:szCs w:val="20"/>
              </w:rPr>
            </w:pPr>
          </w:p>
        </w:tc>
        <w:tc>
          <w:tcPr>
            <w:tcW w:w="1134" w:type="dxa"/>
            <w:vAlign w:val="center"/>
          </w:tcPr>
          <w:p w14:paraId="0B4E5761"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577AE5E0"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20D1A0B6"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250F33E5"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5346A07F" w14:textId="77777777" w:rsidR="007C3FDB" w:rsidRPr="008B6073" w:rsidRDefault="007C3FDB" w:rsidP="008B6073">
            <w:pPr>
              <w:jc w:val="center"/>
              <w:rPr>
                <w:rFonts w:eastAsia="Calibri" w:cstheme="minorHAnsi"/>
                <w:sz w:val="20"/>
                <w:szCs w:val="20"/>
              </w:rPr>
            </w:pPr>
          </w:p>
        </w:tc>
        <w:tc>
          <w:tcPr>
            <w:tcW w:w="1134" w:type="dxa"/>
            <w:vAlign w:val="center"/>
          </w:tcPr>
          <w:p w14:paraId="57880CD7" w14:textId="77777777" w:rsidR="007C3FDB" w:rsidRPr="008B6073" w:rsidRDefault="007C3FDB" w:rsidP="008B6073">
            <w:pPr>
              <w:jc w:val="center"/>
              <w:rPr>
                <w:rFonts w:eastAsia="Calibri" w:cstheme="minorHAnsi"/>
                <w:sz w:val="20"/>
                <w:szCs w:val="20"/>
              </w:rPr>
            </w:pPr>
          </w:p>
        </w:tc>
        <w:tc>
          <w:tcPr>
            <w:tcW w:w="1135" w:type="dxa"/>
            <w:vAlign w:val="center"/>
          </w:tcPr>
          <w:p w14:paraId="196172BE" w14:textId="77777777" w:rsidR="007C3FDB" w:rsidRPr="008B6073" w:rsidRDefault="007C3FDB" w:rsidP="008B6073">
            <w:pPr>
              <w:jc w:val="center"/>
              <w:rPr>
                <w:rFonts w:eastAsia="Calibri" w:cstheme="minorHAnsi"/>
                <w:sz w:val="20"/>
                <w:szCs w:val="20"/>
              </w:rPr>
            </w:pPr>
          </w:p>
        </w:tc>
      </w:tr>
      <w:tr w:rsidR="007C3FDB" w:rsidRPr="00C85E21" w14:paraId="69B9FC67" w14:textId="77777777" w:rsidTr="008B6073">
        <w:trPr>
          <w:trHeight w:val="390"/>
        </w:trPr>
        <w:tc>
          <w:tcPr>
            <w:tcW w:w="1134" w:type="dxa"/>
            <w:shd w:val="clear" w:color="auto" w:fill="BDD6EE" w:themeFill="accent1" w:themeFillTint="66"/>
            <w:vAlign w:val="center"/>
          </w:tcPr>
          <w:p w14:paraId="04A802E3"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VIC</w:t>
            </w:r>
          </w:p>
        </w:tc>
        <w:tc>
          <w:tcPr>
            <w:tcW w:w="1134" w:type="dxa"/>
            <w:vAlign w:val="center"/>
          </w:tcPr>
          <w:p w14:paraId="3C837E4E"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1B9146E3"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2F59300F"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0B956EC4" w14:textId="77777777" w:rsidR="007C3FDB" w:rsidRPr="008B6073" w:rsidRDefault="007C3FDB" w:rsidP="008B6073">
            <w:pPr>
              <w:jc w:val="center"/>
              <w:rPr>
                <w:rFonts w:eastAsia="Calibri" w:cstheme="minorHAnsi"/>
                <w:sz w:val="20"/>
                <w:szCs w:val="20"/>
              </w:rPr>
            </w:pPr>
          </w:p>
        </w:tc>
        <w:tc>
          <w:tcPr>
            <w:tcW w:w="1134" w:type="dxa"/>
            <w:vAlign w:val="center"/>
          </w:tcPr>
          <w:p w14:paraId="7EC71B55"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37708CAE"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73D1D257"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537F395B" w14:textId="77777777" w:rsidR="007C3FDB" w:rsidRPr="008B6073" w:rsidRDefault="007C3FDB" w:rsidP="008B6073">
            <w:pPr>
              <w:jc w:val="center"/>
              <w:rPr>
                <w:rFonts w:eastAsia="Calibri" w:cstheme="minorHAnsi"/>
                <w:sz w:val="20"/>
                <w:szCs w:val="20"/>
              </w:rPr>
            </w:pPr>
          </w:p>
        </w:tc>
        <w:tc>
          <w:tcPr>
            <w:tcW w:w="1134" w:type="dxa"/>
            <w:vAlign w:val="center"/>
          </w:tcPr>
          <w:p w14:paraId="52C84BAC" w14:textId="77777777" w:rsidR="007C3FDB" w:rsidRPr="008B6073" w:rsidRDefault="007C3FDB" w:rsidP="008B6073">
            <w:pPr>
              <w:jc w:val="center"/>
              <w:rPr>
                <w:rFonts w:eastAsia="Calibri" w:cstheme="minorHAnsi"/>
                <w:sz w:val="20"/>
                <w:szCs w:val="20"/>
              </w:rPr>
            </w:pPr>
          </w:p>
        </w:tc>
        <w:tc>
          <w:tcPr>
            <w:tcW w:w="1134" w:type="dxa"/>
            <w:vAlign w:val="center"/>
          </w:tcPr>
          <w:p w14:paraId="690BE9BC" w14:textId="77777777" w:rsidR="007C3FDB" w:rsidRPr="008B6073" w:rsidRDefault="007C3FDB" w:rsidP="008B6073">
            <w:pPr>
              <w:jc w:val="center"/>
              <w:rPr>
                <w:rFonts w:eastAsia="Calibri" w:cstheme="minorHAnsi"/>
                <w:sz w:val="20"/>
                <w:szCs w:val="20"/>
              </w:rPr>
            </w:pPr>
          </w:p>
        </w:tc>
        <w:tc>
          <w:tcPr>
            <w:tcW w:w="1134" w:type="dxa"/>
            <w:vAlign w:val="center"/>
          </w:tcPr>
          <w:p w14:paraId="0912D2DA" w14:textId="77777777" w:rsidR="007C3FDB" w:rsidRPr="008B6073" w:rsidRDefault="007C3FDB" w:rsidP="008B6073">
            <w:pPr>
              <w:jc w:val="center"/>
              <w:rPr>
                <w:rFonts w:eastAsia="Calibri" w:cstheme="minorHAnsi"/>
                <w:sz w:val="20"/>
                <w:szCs w:val="20"/>
              </w:rPr>
            </w:pPr>
          </w:p>
        </w:tc>
        <w:tc>
          <w:tcPr>
            <w:tcW w:w="1135" w:type="dxa"/>
            <w:vAlign w:val="center"/>
          </w:tcPr>
          <w:p w14:paraId="322FAAD8" w14:textId="77777777" w:rsidR="007C3FDB" w:rsidRPr="008B6073" w:rsidRDefault="007C3FDB" w:rsidP="008B6073">
            <w:pPr>
              <w:jc w:val="center"/>
              <w:rPr>
                <w:rFonts w:eastAsia="Calibri" w:cstheme="minorHAnsi"/>
                <w:sz w:val="20"/>
                <w:szCs w:val="20"/>
              </w:rPr>
            </w:pPr>
          </w:p>
        </w:tc>
      </w:tr>
      <w:tr w:rsidR="007C3FDB" w:rsidRPr="00C85E21" w14:paraId="46EA998F" w14:textId="77777777" w:rsidTr="008B6073">
        <w:trPr>
          <w:trHeight w:val="390"/>
        </w:trPr>
        <w:tc>
          <w:tcPr>
            <w:tcW w:w="1134" w:type="dxa"/>
            <w:shd w:val="clear" w:color="auto" w:fill="BDD6EE" w:themeFill="accent1" w:themeFillTint="66"/>
            <w:vAlign w:val="center"/>
          </w:tcPr>
          <w:p w14:paraId="1F14F6C1"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QLD</w:t>
            </w:r>
          </w:p>
        </w:tc>
        <w:tc>
          <w:tcPr>
            <w:tcW w:w="1134" w:type="dxa"/>
            <w:vAlign w:val="center"/>
          </w:tcPr>
          <w:p w14:paraId="024AFCD8"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11D29CD3"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57D70087"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6E3C1C86"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131F2696" w14:textId="77777777" w:rsidR="007C3FDB" w:rsidRPr="008B6073" w:rsidRDefault="007C3FDB" w:rsidP="008B6073">
            <w:pPr>
              <w:jc w:val="center"/>
              <w:rPr>
                <w:rFonts w:eastAsia="Calibri" w:cstheme="minorHAnsi"/>
                <w:sz w:val="20"/>
                <w:szCs w:val="20"/>
              </w:rPr>
            </w:pPr>
          </w:p>
        </w:tc>
        <w:tc>
          <w:tcPr>
            <w:tcW w:w="1134" w:type="dxa"/>
            <w:vAlign w:val="center"/>
          </w:tcPr>
          <w:p w14:paraId="2D17FD2B"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0C5828B3"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2D1E18D8" w14:textId="77777777" w:rsidR="007C3FDB" w:rsidRPr="008B6073" w:rsidRDefault="007C3FDB" w:rsidP="008B6073">
            <w:pPr>
              <w:jc w:val="center"/>
              <w:rPr>
                <w:rFonts w:eastAsia="Calibri" w:cstheme="minorHAnsi"/>
                <w:sz w:val="20"/>
                <w:szCs w:val="20"/>
              </w:rPr>
            </w:pPr>
          </w:p>
        </w:tc>
        <w:tc>
          <w:tcPr>
            <w:tcW w:w="1134" w:type="dxa"/>
            <w:vAlign w:val="center"/>
          </w:tcPr>
          <w:p w14:paraId="76ABEAAF" w14:textId="77777777" w:rsidR="007C3FDB" w:rsidRPr="008B6073" w:rsidRDefault="007C3FDB" w:rsidP="008B6073">
            <w:pPr>
              <w:jc w:val="center"/>
              <w:rPr>
                <w:rFonts w:eastAsia="Calibri" w:cstheme="minorHAnsi"/>
                <w:sz w:val="20"/>
                <w:szCs w:val="20"/>
              </w:rPr>
            </w:pPr>
          </w:p>
        </w:tc>
        <w:tc>
          <w:tcPr>
            <w:tcW w:w="1134" w:type="dxa"/>
            <w:vAlign w:val="center"/>
          </w:tcPr>
          <w:p w14:paraId="3C574212" w14:textId="77777777" w:rsidR="007C3FDB" w:rsidRPr="008B6073" w:rsidRDefault="007C3FDB" w:rsidP="008B6073">
            <w:pPr>
              <w:jc w:val="center"/>
              <w:rPr>
                <w:rFonts w:eastAsia="Calibri" w:cstheme="minorHAnsi"/>
                <w:sz w:val="20"/>
                <w:szCs w:val="20"/>
              </w:rPr>
            </w:pPr>
          </w:p>
        </w:tc>
        <w:tc>
          <w:tcPr>
            <w:tcW w:w="1134" w:type="dxa"/>
            <w:vAlign w:val="center"/>
          </w:tcPr>
          <w:p w14:paraId="7A8E882C" w14:textId="77777777" w:rsidR="007C3FDB" w:rsidRPr="008B6073" w:rsidRDefault="007C3FDB" w:rsidP="008B6073">
            <w:pPr>
              <w:jc w:val="center"/>
              <w:rPr>
                <w:rFonts w:eastAsia="Calibri" w:cstheme="minorHAnsi"/>
                <w:sz w:val="20"/>
                <w:szCs w:val="20"/>
              </w:rPr>
            </w:pPr>
          </w:p>
        </w:tc>
        <w:tc>
          <w:tcPr>
            <w:tcW w:w="1135" w:type="dxa"/>
            <w:vAlign w:val="center"/>
          </w:tcPr>
          <w:p w14:paraId="490B05CE" w14:textId="77777777" w:rsidR="007C3FDB" w:rsidRPr="008B6073" w:rsidRDefault="007C3FDB" w:rsidP="008B6073">
            <w:pPr>
              <w:jc w:val="center"/>
              <w:rPr>
                <w:rFonts w:eastAsia="Calibri" w:cstheme="minorHAnsi"/>
                <w:sz w:val="20"/>
                <w:szCs w:val="20"/>
              </w:rPr>
            </w:pPr>
          </w:p>
        </w:tc>
      </w:tr>
      <w:tr w:rsidR="007C3FDB" w:rsidRPr="00C85E21" w14:paraId="19A04A5B" w14:textId="77777777" w:rsidTr="008B6073">
        <w:trPr>
          <w:trHeight w:val="390"/>
        </w:trPr>
        <w:tc>
          <w:tcPr>
            <w:tcW w:w="1134" w:type="dxa"/>
            <w:shd w:val="clear" w:color="auto" w:fill="BDD6EE" w:themeFill="accent1" w:themeFillTint="66"/>
            <w:vAlign w:val="center"/>
          </w:tcPr>
          <w:p w14:paraId="3111E81B"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WA</w:t>
            </w:r>
          </w:p>
        </w:tc>
        <w:tc>
          <w:tcPr>
            <w:tcW w:w="1134" w:type="dxa"/>
            <w:tcBorders>
              <w:right w:val="single" w:sz="4" w:space="0" w:color="000000"/>
            </w:tcBorders>
            <w:vAlign w:val="center"/>
          </w:tcPr>
          <w:p w14:paraId="17020F87"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tcBorders>
              <w:left w:val="single" w:sz="4" w:space="0" w:color="000000"/>
              <w:right w:val="single" w:sz="4" w:space="0" w:color="000000"/>
            </w:tcBorders>
            <w:vAlign w:val="center"/>
          </w:tcPr>
          <w:p w14:paraId="451A7EF7"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tcBorders>
              <w:left w:val="single" w:sz="4" w:space="0" w:color="000000"/>
            </w:tcBorders>
            <w:vAlign w:val="center"/>
          </w:tcPr>
          <w:p w14:paraId="2485AA2A"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36DDDE55"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78A72AE2" w14:textId="77777777" w:rsidR="007C3FDB" w:rsidRPr="008B6073" w:rsidRDefault="007C3FDB" w:rsidP="008B6073">
            <w:pPr>
              <w:jc w:val="center"/>
              <w:rPr>
                <w:rFonts w:eastAsia="Calibri" w:cstheme="minorHAnsi"/>
                <w:sz w:val="20"/>
                <w:szCs w:val="20"/>
              </w:rPr>
            </w:pPr>
          </w:p>
        </w:tc>
        <w:tc>
          <w:tcPr>
            <w:tcW w:w="1134" w:type="dxa"/>
            <w:vAlign w:val="center"/>
          </w:tcPr>
          <w:p w14:paraId="40250F4C"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68C89F5D" w14:textId="77777777" w:rsidR="007C3FDB" w:rsidRPr="008B6073" w:rsidRDefault="007C3FDB" w:rsidP="008B6073">
            <w:pPr>
              <w:jc w:val="center"/>
              <w:rPr>
                <w:rFonts w:eastAsia="Calibri" w:cstheme="minorHAnsi"/>
                <w:sz w:val="20"/>
                <w:szCs w:val="20"/>
              </w:rPr>
            </w:pPr>
          </w:p>
        </w:tc>
        <w:tc>
          <w:tcPr>
            <w:tcW w:w="1134" w:type="dxa"/>
            <w:vAlign w:val="center"/>
          </w:tcPr>
          <w:p w14:paraId="73969AEF" w14:textId="77777777" w:rsidR="007C3FDB" w:rsidRPr="008B6073" w:rsidRDefault="007C3FDB" w:rsidP="008B6073">
            <w:pPr>
              <w:jc w:val="center"/>
              <w:rPr>
                <w:rFonts w:eastAsia="Calibri" w:cstheme="minorHAnsi"/>
                <w:sz w:val="20"/>
                <w:szCs w:val="20"/>
              </w:rPr>
            </w:pPr>
          </w:p>
        </w:tc>
        <w:tc>
          <w:tcPr>
            <w:tcW w:w="1134" w:type="dxa"/>
            <w:vAlign w:val="center"/>
          </w:tcPr>
          <w:p w14:paraId="73C2AF18"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0EC417B2"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13CDB167"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5" w:type="dxa"/>
            <w:vAlign w:val="center"/>
          </w:tcPr>
          <w:p w14:paraId="551B7690" w14:textId="77777777" w:rsidR="007C3FDB" w:rsidRPr="008B6073" w:rsidRDefault="007C3FDB" w:rsidP="008B6073">
            <w:pPr>
              <w:jc w:val="center"/>
              <w:rPr>
                <w:rFonts w:eastAsia="Calibri" w:cstheme="minorHAnsi"/>
                <w:sz w:val="20"/>
                <w:szCs w:val="20"/>
              </w:rPr>
            </w:pPr>
          </w:p>
        </w:tc>
      </w:tr>
      <w:tr w:rsidR="007C3FDB" w:rsidRPr="00C85E21" w14:paraId="2B19CB03" w14:textId="77777777" w:rsidTr="008B6073">
        <w:trPr>
          <w:trHeight w:val="390"/>
        </w:trPr>
        <w:tc>
          <w:tcPr>
            <w:tcW w:w="1134" w:type="dxa"/>
            <w:shd w:val="clear" w:color="auto" w:fill="BDD6EE" w:themeFill="accent1" w:themeFillTint="66"/>
            <w:vAlign w:val="center"/>
          </w:tcPr>
          <w:p w14:paraId="355148F2" w14:textId="345ED011" w:rsidR="007C3FDB" w:rsidRPr="008B6073" w:rsidRDefault="007C3FDB" w:rsidP="008B6073">
            <w:pPr>
              <w:jc w:val="center"/>
              <w:rPr>
                <w:rFonts w:eastAsia="Calibri" w:cstheme="minorHAnsi"/>
                <w:color w:val="000000" w:themeColor="text1"/>
                <w:sz w:val="20"/>
                <w:szCs w:val="20"/>
              </w:rPr>
            </w:pPr>
            <w:r w:rsidRPr="008B6073">
              <w:rPr>
                <w:rFonts w:eastAsia="Calibri" w:cstheme="minorHAnsi"/>
                <w:color w:val="000000" w:themeColor="text1"/>
                <w:sz w:val="20"/>
                <w:szCs w:val="20"/>
              </w:rPr>
              <w:t>SA</w:t>
            </w:r>
            <w:r w:rsidR="00DE08EB" w:rsidRPr="008B6073">
              <w:rPr>
                <w:rFonts w:eastAsia="Calibri" w:cstheme="minorHAnsi"/>
                <w:color w:val="000000" w:themeColor="text1"/>
                <w:sz w:val="20"/>
                <w:szCs w:val="20"/>
              </w:rPr>
              <w:t>*</w:t>
            </w:r>
          </w:p>
        </w:tc>
        <w:tc>
          <w:tcPr>
            <w:tcW w:w="1134" w:type="dxa"/>
            <w:vAlign w:val="center"/>
          </w:tcPr>
          <w:p w14:paraId="0A68351F" w14:textId="77777777" w:rsidR="007C3FDB" w:rsidRPr="008B6073" w:rsidRDefault="007C3FDB" w:rsidP="008B6073">
            <w:pPr>
              <w:jc w:val="center"/>
              <w:rPr>
                <w:rFonts w:eastAsia="Calibri" w:cstheme="minorHAnsi"/>
                <w:sz w:val="20"/>
                <w:szCs w:val="20"/>
              </w:rPr>
            </w:pPr>
          </w:p>
        </w:tc>
        <w:tc>
          <w:tcPr>
            <w:tcW w:w="1134" w:type="dxa"/>
            <w:vAlign w:val="center"/>
          </w:tcPr>
          <w:p w14:paraId="5ACAAB7F" w14:textId="77777777" w:rsidR="007C3FDB" w:rsidRPr="008B6073" w:rsidRDefault="007C3FDB" w:rsidP="008B6073">
            <w:pPr>
              <w:jc w:val="center"/>
              <w:rPr>
                <w:rFonts w:eastAsia="Calibri" w:cstheme="minorHAnsi"/>
                <w:sz w:val="20"/>
                <w:szCs w:val="20"/>
              </w:rPr>
            </w:pPr>
          </w:p>
        </w:tc>
        <w:tc>
          <w:tcPr>
            <w:tcW w:w="1134" w:type="dxa"/>
            <w:vAlign w:val="center"/>
          </w:tcPr>
          <w:p w14:paraId="2C21FAAF" w14:textId="77777777" w:rsidR="007C3FDB" w:rsidRPr="008B6073" w:rsidRDefault="007C3FDB" w:rsidP="008B6073">
            <w:pPr>
              <w:jc w:val="center"/>
              <w:rPr>
                <w:rFonts w:eastAsia="Calibri" w:cstheme="minorHAnsi"/>
                <w:sz w:val="20"/>
                <w:szCs w:val="20"/>
              </w:rPr>
            </w:pPr>
          </w:p>
        </w:tc>
        <w:tc>
          <w:tcPr>
            <w:tcW w:w="1134" w:type="dxa"/>
            <w:vAlign w:val="center"/>
          </w:tcPr>
          <w:p w14:paraId="2E9AD35B" w14:textId="77777777" w:rsidR="007C3FDB" w:rsidRPr="008B6073" w:rsidRDefault="007C3FDB" w:rsidP="008B6073">
            <w:pPr>
              <w:jc w:val="center"/>
              <w:rPr>
                <w:rFonts w:eastAsia="Calibri" w:cstheme="minorHAnsi"/>
                <w:sz w:val="20"/>
                <w:szCs w:val="20"/>
              </w:rPr>
            </w:pPr>
          </w:p>
        </w:tc>
        <w:tc>
          <w:tcPr>
            <w:tcW w:w="1134" w:type="dxa"/>
            <w:vAlign w:val="center"/>
          </w:tcPr>
          <w:p w14:paraId="04AB245A" w14:textId="77777777" w:rsidR="007C3FDB" w:rsidRPr="008B6073" w:rsidRDefault="007C3FDB" w:rsidP="008B6073">
            <w:pPr>
              <w:jc w:val="center"/>
              <w:rPr>
                <w:rFonts w:eastAsia="Calibri" w:cstheme="minorHAnsi"/>
                <w:sz w:val="20"/>
                <w:szCs w:val="20"/>
              </w:rPr>
            </w:pPr>
          </w:p>
        </w:tc>
        <w:tc>
          <w:tcPr>
            <w:tcW w:w="1134" w:type="dxa"/>
            <w:vAlign w:val="center"/>
          </w:tcPr>
          <w:p w14:paraId="349E3F74" w14:textId="77777777" w:rsidR="007C3FDB" w:rsidRPr="008B6073" w:rsidRDefault="007C3FDB" w:rsidP="008B6073">
            <w:pPr>
              <w:jc w:val="center"/>
              <w:rPr>
                <w:rFonts w:eastAsia="Calibri" w:cstheme="minorHAnsi"/>
                <w:sz w:val="20"/>
                <w:szCs w:val="20"/>
              </w:rPr>
            </w:pPr>
          </w:p>
        </w:tc>
        <w:tc>
          <w:tcPr>
            <w:tcW w:w="1134" w:type="dxa"/>
            <w:vAlign w:val="center"/>
          </w:tcPr>
          <w:p w14:paraId="35F505CE" w14:textId="77777777" w:rsidR="007C3FDB" w:rsidRPr="008B6073" w:rsidRDefault="007C3FDB" w:rsidP="008B6073">
            <w:pPr>
              <w:jc w:val="center"/>
              <w:rPr>
                <w:rFonts w:eastAsia="Calibri" w:cstheme="minorHAnsi"/>
                <w:sz w:val="20"/>
                <w:szCs w:val="20"/>
              </w:rPr>
            </w:pPr>
          </w:p>
        </w:tc>
        <w:tc>
          <w:tcPr>
            <w:tcW w:w="1134" w:type="dxa"/>
            <w:vAlign w:val="center"/>
          </w:tcPr>
          <w:p w14:paraId="13EC8050" w14:textId="77777777" w:rsidR="007C3FDB" w:rsidRPr="008B6073" w:rsidRDefault="007C3FDB" w:rsidP="008B6073">
            <w:pPr>
              <w:jc w:val="center"/>
              <w:rPr>
                <w:rFonts w:eastAsia="Calibri" w:cstheme="minorHAnsi"/>
                <w:sz w:val="20"/>
                <w:szCs w:val="20"/>
              </w:rPr>
            </w:pPr>
          </w:p>
        </w:tc>
        <w:tc>
          <w:tcPr>
            <w:tcW w:w="1134" w:type="dxa"/>
            <w:vAlign w:val="center"/>
          </w:tcPr>
          <w:p w14:paraId="730333AF" w14:textId="77777777" w:rsidR="007C3FDB" w:rsidRPr="008B6073" w:rsidRDefault="007C3FDB" w:rsidP="008B6073">
            <w:pPr>
              <w:jc w:val="center"/>
              <w:rPr>
                <w:rFonts w:eastAsia="Calibri" w:cstheme="minorHAnsi"/>
                <w:sz w:val="20"/>
                <w:szCs w:val="20"/>
              </w:rPr>
            </w:pPr>
          </w:p>
        </w:tc>
        <w:tc>
          <w:tcPr>
            <w:tcW w:w="1134" w:type="dxa"/>
            <w:vAlign w:val="center"/>
          </w:tcPr>
          <w:p w14:paraId="5CE2AA5F" w14:textId="77777777" w:rsidR="007C3FDB" w:rsidRPr="008B6073" w:rsidRDefault="007C3FDB" w:rsidP="008B6073">
            <w:pPr>
              <w:jc w:val="center"/>
              <w:rPr>
                <w:rFonts w:eastAsia="Calibri" w:cstheme="minorHAnsi"/>
                <w:sz w:val="20"/>
                <w:szCs w:val="20"/>
              </w:rPr>
            </w:pPr>
          </w:p>
        </w:tc>
        <w:tc>
          <w:tcPr>
            <w:tcW w:w="1134" w:type="dxa"/>
            <w:vAlign w:val="center"/>
          </w:tcPr>
          <w:p w14:paraId="7EAEEAA1" w14:textId="77777777" w:rsidR="007C3FDB" w:rsidRPr="008B6073" w:rsidRDefault="007C3FDB" w:rsidP="008B6073">
            <w:pPr>
              <w:jc w:val="center"/>
              <w:rPr>
                <w:rFonts w:eastAsia="Calibri" w:cstheme="minorHAnsi"/>
                <w:sz w:val="20"/>
                <w:szCs w:val="20"/>
              </w:rPr>
            </w:pPr>
          </w:p>
        </w:tc>
        <w:tc>
          <w:tcPr>
            <w:tcW w:w="1135" w:type="dxa"/>
            <w:vAlign w:val="center"/>
          </w:tcPr>
          <w:p w14:paraId="176C26D1" w14:textId="77777777" w:rsidR="007C3FDB" w:rsidRPr="008B6073" w:rsidRDefault="007C3FDB" w:rsidP="008B6073">
            <w:pPr>
              <w:jc w:val="center"/>
              <w:rPr>
                <w:rFonts w:eastAsia="Calibri" w:cstheme="minorHAnsi"/>
                <w:sz w:val="20"/>
                <w:szCs w:val="20"/>
              </w:rPr>
            </w:pPr>
          </w:p>
        </w:tc>
      </w:tr>
      <w:tr w:rsidR="007C3FDB" w:rsidRPr="00C85E21" w14:paraId="1FC38CA9" w14:textId="77777777" w:rsidTr="008B6073">
        <w:trPr>
          <w:trHeight w:val="390"/>
        </w:trPr>
        <w:tc>
          <w:tcPr>
            <w:tcW w:w="1134" w:type="dxa"/>
            <w:shd w:val="clear" w:color="auto" w:fill="BDD6EE" w:themeFill="accent1" w:themeFillTint="66"/>
            <w:vAlign w:val="center"/>
          </w:tcPr>
          <w:p w14:paraId="178DF694"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TAS</w:t>
            </w:r>
          </w:p>
        </w:tc>
        <w:tc>
          <w:tcPr>
            <w:tcW w:w="1134" w:type="dxa"/>
            <w:vAlign w:val="center"/>
          </w:tcPr>
          <w:p w14:paraId="7B58BDE6"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167A1D77"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65C909E9"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6C8E2BE0"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2536105C" w14:textId="77777777" w:rsidR="007C3FDB" w:rsidRPr="008B6073" w:rsidRDefault="007C3FDB" w:rsidP="008B6073">
            <w:pPr>
              <w:jc w:val="center"/>
              <w:rPr>
                <w:rFonts w:eastAsia="Calibri" w:cstheme="minorHAnsi"/>
                <w:sz w:val="20"/>
                <w:szCs w:val="20"/>
              </w:rPr>
            </w:pPr>
          </w:p>
        </w:tc>
        <w:tc>
          <w:tcPr>
            <w:tcW w:w="1134" w:type="dxa"/>
            <w:vAlign w:val="center"/>
          </w:tcPr>
          <w:p w14:paraId="261E6720"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7766F7F6" w14:textId="77777777" w:rsidR="007C3FDB" w:rsidRPr="008B6073" w:rsidRDefault="007C3FDB" w:rsidP="008B6073">
            <w:pPr>
              <w:jc w:val="center"/>
              <w:rPr>
                <w:rFonts w:eastAsia="Calibri" w:cstheme="minorHAnsi"/>
                <w:sz w:val="20"/>
                <w:szCs w:val="20"/>
              </w:rPr>
            </w:pPr>
          </w:p>
        </w:tc>
        <w:tc>
          <w:tcPr>
            <w:tcW w:w="1134" w:type="dxa"/>
            <w:vAlign w:val="center"/>
          </w:tcPr>
          <w:p w14:paraId="44438131" w14:textId="77777777" w:rsidR="007C3FDB" w:rsidRPr="008B6073" w:rsidRDefault="007C3FDB" w:rsidP="008B6073">
            <w:pPr>
              <w:jc w:val="center"/>
              <w:rPr>
                <w:rFonts w:eastAsia="Calibri" w:cstheme="minorHAnsi"/>
                <w:sz w:val="20"/>
                <w:szCs w:val="20"/>
              </w:rPr>
            </w:pPr>
          </w:p>
        </w:tc>
        <w:tc>
          <w:tcPr>
            <w:tcW w:w="1134" w:type="dxa"/>
            <w:vAlign w:val="center"/>
          </w:tcPr>
          <w:p w14:paraId="6CC01322"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1FAAF37E" w14:textId="77777777" w:rsidR="007C3FDB" w:rsidRPr="008B6073" w:rsidRDefault="007C3FDB" w:rsidP="008B6073">
            <w:pPr>
              <w:jc w:val="center"/>
              <w:rPr>
                <w:rFonts w:eastAsia="Calibri" w:cstheme="minorHAnsi"/>
                <w:sz w:val="20"/>
                <w:szCs w:val="20"/>
              </w:rPr>
            </w:pPr>
          </w:p>
        </w:tc>
        <w:tc>
          <w:tcPr>
            <w:tcW w:w="1134" w:type="dxa"/>
            <w:vAlign w:val="center"/>
          </w:tcPr>
          <w:p w14:paraId="7C4BF13A" w14:textId="77777777" w:rsidR="007C3FDB" w:rsidRPr="008B6073" w:rsidRDefault="007C3FDB" w:rsidP="008B6073">
            <w:pPr>
              <w:jc w:val="center"/>
              <w:rPr>
                <w:rFonts w:eastAsia="Calibri" w:cstheme="minorHAnsi"/>
                <w:sz w:val="20"/>
                <w:szCs w:val="20"/>
              </w:rPr>
            </w:pPr>
          </w:p>
        </w:tc>
        <w:tc>
          <w:tcPr>
            <w:tcW w:w="1135" w:type="dxa"/>
            <w:vAlign w:val="center"/>
          </w:tcPr>
          <w:p w14:paraId="087230B7"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r>
      <w:tr w:rsidR="007C3FDB" w:rsidRPr="00C85E21" w14:paraId="056EDC7C" w14:textId="77777777" w:rsidTr="008B6073">
        <w:trPr>
          <w:trHeight w:val="390"/>
        </w:trPr>
        <w:tc>
          <w:tcPr>
            <w:tcW w:w="1134" w:type="dxa"/>
            <w:shd w:val="clear" w:color="auto" w:fill="BDD6EE" w:themeFill="accent1" w:themeFillTint="66"/>
            <w:vAlign w:val="center"/>
          </w:tcPr>
          <w:p w14:paraId="2BF8015E" w14:textId="3460E2C2" w:rsidR="007C3FDB" w:rsidRPr="008B6073" w:rsidRDefault="007C3FDB" w:rsidP="008B6073">
            <w:pPr>
              <w:jc w:val="center"/>
              <w:rPr>
                <w:rFonts w:eastAsia="Calibri" w:cstheme="minorHAnsi"/>
                <w:sz w:val="20"/>
                <w:szCs w:val="20"/>
              </w:rPr>
            </w:pPr>
            <w:r w:rsidRPr="008B6073">
              <w:rPr>
                <w:rFonts w:eastAsia="Calibri" w:cstheme="minorHAnsi"/>
                <w:sz w:val="20"/>
                <w:szCs w:val="20"/>
              </w:rPr>
              <w:t>NT</w:t>
            </w:r>
            <w:r w:rsidR="00DE08EB" w:rsidRPr="008B6073">
              <w:rPr>
                <w:rFonts w:eastAsia="Calibri" w:cstheme="minorHAnsi"/>
                <w:sz w:val="20"/>
                <w:szCs w:val="20"/>
              </w:rPr>
              <w:t>*</w:t>
            </w:r>
          </w:p>
        </w:tc>
        <w:tc>
          <w:tcPr>
            <w:tcW w:w="1134" w:type="dxa"/>
            <w:vAlign w:val="center"/>
          </w:tcPr>
          <w:p w14:paraId="6459420C" w14:textId="77777777" w:rsidR="007C3FDB" w:rsidRPr="008B6073" w:rsidRDefault="007C3FDB" w:rsidP="008B6073">
            <w:pPr>
              <w:jc w:val="center"/>
              <w:rPr>
                <w:rFonts w:eastAsia="Calibri" w:cstheme="minorHAnsi"/>
                <w:sz w:val="20"/>
                <w:szCs w:val="20"/>
              </w:rPr>
            </w:pPr>
          </w:p>
        </w:tc>
        <w:tc>
          <w:tcPr>
            <w:tcW w:w="1134" w:type="dxa"/>
            <w:vAlign w:val="center"/>
          </w:tcPr>
          <w:p w14:paraId="4F47AA77" w14:textId="77777777" w:rsidR="007C3FDB" w:rsidRPr="008B6073" w:rsidRDefault="007C3FDB" w:rsidP="008B6073">
            <w:pPr>
              <w:jc w:val="center"/>
              <w:rPr>
                <w:rFonts w:eastAsia="Calibri" w:cstheme="minorHAnsi"/>
                <w:sz w:val="20"/>
                <w:szCs w:val="20"/>
              </w:rPr>
            </w:pPr>
          </w:p>
        </w:tc>
        <w:tc>
          <w:tcPr>
            <w:tcW w:w="1134" w:type="dxa"/>
            <w:vAlign w:val="center"/>
          </w:tcPr>
          <w:p w14:paraId="0B63647C" w14:textId="77777777" w:rsidR="007C3FDB" w:rsidRPr="008B6073" w:rsidRDefault="007C3FDB" w:rsidP="008B6073">
            <w:pPr>
              <w:jc w:val="center"/>
              <w:rPr>
                <w:rFonts w:eastAsia="Calibri" w:cstheme="minorHAnsi"/>
                <w:sz w:val="20"/>
                <w:szCs w:val="20"/>
              </w:rPr>
            </w:pPr>
          </w:p>
        </w:tc>
        <w:tc>
          <w:tcPr>
            <w:tcW w:w="1134" w:type="dxa"/>
            <w:vAlign w:val="center"/>
          </w:tcPr>
          <w:p w14:paraId="7F12A6EF" w14:textId="77777777" w:rsidR="007C3FDB" w:rsidRPr="008B6073" w:rsidRDefault="007C3FDB" w:rsidP="008B6073">
            <w:pPr>
              <w:jc w:val="center"/>
              <w:rPr>
                <w:rFonts w:eastAsia="Calibri" w:cstheme="minorHAnsi"/>
                <w:sz w:val="20"/>
                <w:szCs w:val="20"/>
              </w:rPr>
            </w:pPr>
          </w:p>
        </w:tc>
        <w:tc>
          <w:tcPr>
            <w:tcW w:w="1134" w:type="dxa"/>
            <w:vAlign w:val="center"/>
          </w:tcPr>
          <w:p w14:paraId="099B2061" w14:textId="77777777" w:rsidR="007C3FDB" w:rsidRPr="008B6073" w:rsidRDefault="007C3FDB" w:rsidP="008B6073">
            <w:pPr>
              <w:jc w:val="center"/>
              <w:rPr>
                <w:rFonts w:eastAsia="Calibri" w:cstheme="minorHAnsi"/>
                <w:sz w:val="20"/>
                <w:szCs w:val="20"/>
              </w:rPr>
            </w:pPr>
          </w:p>
        </w:tc>
        <w:tc>
          <w:tcPr>
            <w:tcW w:w="1134" w:type="dxa"/>
            <w:vAlign w:val="center"/>
          </w:tcPr>
          <w:p w14:paraId="1F35DEF7" w14:textId="77777777" w:rsidR="007C3FDB" w:rsidRPr="008B6073" w:rsidRDefault="007C3FDB" w:rsidP="008B6073">
            <w:pPr>
              <w:jc w:val="center"/>
              <w:rPr>
                <w:rFonts w:eastAsia="Calibri" w:cstheme="minorHAnsi"/>
                <w:sz w:val="20"/>
                <w:szCs w:val="20"/>
              </w:rPr>
            </w:pPr>
          </w:p>
        </w:tc>
        <w:tc>
          <w:tcPr>
            <w:tcW w:w="1134" w:type="dxa"/>
            <w:vAlign w:val="center"/>
          </w:tcPr>
          <w:p w14:paraId="70B76645" w14:textId="77777777" w:rsidR="007C3FDB" w:rsidRPr="008B6073" w:rsidRDefault="007C3FDB" w:rsidP="008B6073">
            <w:pPr>
              <w:jc w:val="center"/>
              <w:rPr>
                <w:rFonts w:eastAsia="Calibri" w:cstheme="minorHAnsi"/>
                <w:sz w:val="20"/>
                <w:szCs w:val="20"/>
              </w:rPr>
            </w:pPr>
          </w:p>
        </w:tc>
        <w:tc>
          <w:tcPr>
            <w:tcW w:w="1134" w:type="dxa"/>
            <w:vAlign w:val="center"/>
          </w:tcPr>
          <w:p w14:paraId="46DB5C47" w14:textId="77777777" w:rsidR="007C3FDB" w:rsidRPr="008B6073" w:rsidRDefault="007C3FDB" w:rsidP="008B6073">
            <w:pPr>
              <w:jc w:val="center"/>
              <w:rPr>
                <w:rFonts w:eastAsia="Calibri" w:cstheme="minorHAnsi"/>
                <w:sz w:val="20"/>
                <w:szCs w:val="20"/>
              </w:rPr>
            </w:pPr>
          </w:p>
        </w:tc>
        <w:tc>
          <w:tcPr>
            <w:tcW w:w="1134" w:type="dxa"/>
            <w:vAlign w:val="center"/>
          </w:tcPr>
          <w:p w14:paraId="686FE955" w14:textId="77777777" w:rsidR="007C3FDB" w:rsidRPr="008B6073" w:rsidRDefault="007C3FDB" w:rsidP="008B6073">
            <w:pPr>
              <w:jc w:val="center"/>
              <w:rPr>
                <w:rFonts w:eastAsia="Calibri" w:cstheme="minorHAnsi"/>
                <w:sz w:val="20"/>
                <w:szCs w:val="20"/>
              </w:rPr>
            </w:pPr>
          </w:p>
        </w:tc>
        <w:tc>
          <w:tcPr>
            <w:tcW w:w="1134" w:type="dxa"/>
            <w:vAlign w:val="center"/>
          </w:tcPr>
          <w:p w14:paraId="28573E0B" w14:textId="77777777" w:rsidR="007C3FDB" w:rsidRPr="008B6073" w:rsidRDefault="007C3FDB" w:rsidP="008B6073">
            <w:pPr>
              <w:jc w:val="center"/>
              <w:rPr>
                <w:rFonts w:eastAsia="Calibri" w:cstheme="minorHAnsi"/>
                <w:sz w:val="20"/>
                <w:szCs w:val="20"/>
              </w:rPr>
            </w:pPr>
          </w:p>
        </w:tc>
        <w:tc>
          <w:tcPr>
            <w:tcW w:w="1134" w:type="dxa"/>
            <w:vAlign w:val="center"/>
          </w:tcPr>
          <w:p w14:paraId="35F3EF82" w14:textId="77777777" w:rsidR="007C3FDB" w:rsidRPr="008B6073" w:rsidRDefault="007C3FDB" w:rsidP="008B6073">
            <w:pPr>
              <w:jc w:val="center"/>
              <w:rPr>
                <w:rFonts w:eastAsia="Calibri" w:cstheme="minorHAnsi"/>
                <w:sz w:val="20"/>
                <w:szCs w:val="20"/>
              </w:rPr>
            </w:pPr>
          </w:p>
        </w:tc>
        <w:tc>
          <w:tcPr>
            <w:tcW w:w="1135" w:type="dxa"/>
            <w:vAlign w:val="center"/>
          </w:tcPr>
          <w:p w14:paraId="6A381AF3" w14:textId="77777777" w:rsidR="007C3FDB" w:rsidRPr="008B6073" w:rsidRDefault="007C3FDB" w:rsidP="008B6073">
            <w:pPr>
              <w:jc w:val="center"/>
              <w:rPr>
                <w:rFonts w:eastAsia="Calibri" w:cstheme="minorHAnsi"/>
                <w:sz w:val="20"/>
                <w:szCs w:val="20"/>
              </w:rPr>
            </w:pPr>
          </w:p>
        </w:tc>
      </w:tr>
      <w:tr w:rsidR="007C3FDB" w:rsidRPr="00C85E21" w14:paraId="6A49D783" w14:textId="77777777" w:rsidTr="008B6073">
        <w:trPr>
          <w:trHeight w:val="390"/>
        </w:trPr>
        <w:tc>
          <w:tcPr>
            <w:tcW w:w="1134" w:type="dxa"/>
            <w:shd w:val="clear" w:color="auto" w:fill="BDD6EE" w:themeFill="accent1" w:themeFillTint="66"/>
            <w:vAlign w:val="center"/>
          </w:tcPr>
          <w:p w14:paraId="090D2C5C"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ACT</w:t>
            </w:r>
          </w:p>
        </w:tc>
        <w:tc>
          <w:tcPr>
            <w:tcW w:w="1134" w:type="dxa"/>
            <w:vAlign w:val="center"/>
          </w:tcPr>
          <w:p w14:paraId="596B7872"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0AF8A202"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7F6BCC1D"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658266E0"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56B18068" w14:textId="77777777" w:rsidR="007C3FDB" w:rsidRPr="008B6073" w:rsidRDefault="007C3FDB" w:rsidP="008B6073">
            <w:pPr>
              <w:jc w:val="center"/>
              <w:rPr>
                <w:rFonts w:eastAsia="Calibri" w:cstheme="minorHAnsi"/>
                <w:sz w:val="20"/>
                <w:szCs w:val="20"/>
              </w:rPr>
            </w:pPr>
          </w:p>
        </w:tc>
        <w:tc>
          <w:tcPr>
            <w:tcW w:w="1134" w:type="dxa"/>
            <w:vAlign w:val="center"/>
          </w:tcPr>
          <w:p w14:paraId="7297F83C"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4B1B0990"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674AA536" w14:textId="77777777" w:rsidR="007C3FDB" w:rsidRPr="008B6073" w:rsidRDefault="007C3FDB" w:rsidP="008B6073">
            <w:pPr>
              <w:jc w:val="center"/>
              <w:rPr>
                <w:rFonts w:eastAsia="Calibri" w:cstheme="minorHAnsi"/>
                <w:sz w:val="20"/>
                <w:szCs w:val="20"/>
              </w:rPr>
            </w:pPr>
          </w:p>
        </w:tc>
        <w:tc>
          <w:tcPr>
            <w:tcW w:w="1134" w:type="dxa"/>
            <w:vAlign w:val="center"/>
          </w:tcPr>
          <w:p w14:paraId="35B108E5"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4" w:type="dxa"/>
            <w:vAlign w:val="center"/>
          </w:tcPr>
          <w:p w14:paraId="63AF11D4" w14:textId="77777777" w:rsidR="007C3FDB" w:rsidRPr="008B6073" w:rsidRDefault="007C3FDB" w:rsidP="008B6073">
            <w:pPr>
              <w:jc w:val="center"/>
              <w:rPr>
                <w:rFonts w:eastAsia="Calibri" w:cstheme="minorHAnsi"/>
                <w:sz w:val="20"/>
                <w:szCs w:val="20"/>
              </w:rPr>
            </w:pPr>
          </w:p>
        </w:tc>
        <w:tc>
          <w:tcPr>
            <w:tcW w:w="1134" w:type="dxa"/>
            <w:vAlign w:val="center"/>
          </w:tcPr>
          <w:p w14:paraId="4E4BEDA6" w14:textId="77777777" w:rsidR="007C3FDB" w:rsidRPr="008B6073" w:rsidRDefault="007C3FDB" w:rsidP="008B6073">
            <w:pPr>
              <w:jc w:val="center"/>
              <w:rPr>
                <w:rFonts w:eastAsia="Calibri" w:cstheme="minorHAnsi"/>
                <w:sz w:val="20"/>
                <w:szCs w:val="20"/>
              </w:rPr>
            </w:pPr>
            <w:r w:rsidRPr="008B6073">
              <w:rPr>
                <w:rFonts w:eastAsia="Calibri" w:cstheme="minorHAnsi"/>
                <w:sz w:val="20"/>
                <w:szCs w:val="20"/>
              </w:rPr>
              <w:t>Yes</w:t>
            </w:r>
          </w:p>
        </w:tc>
        <w:tc>
          <w:tcPr>
            <w:tcW w:w="1135" w:type="dxa"/>
            <w:vAlign w:val="center"/>
          </w:tcPr>
          <w:p w14:paraId="51E8C7E7" w14:textId="77777777" w:rsidR="007C3FDB" w:rsidRPr="008B6073" w:rsidRDefault="007C3FDB" w:rsidP="008B6073">
            <w:pPr>
              <w:jc w:val="center"/>
              <w:rPr>
                <w:rFonts w:eastAsia="Calibri" w:cstheme="minorHAnsi"/>
                <w:sz w:val="20"/>
                <w:szCs w:val="20"/>
              </w:rPr>
            </w:pPr>
          </w:p>
        </w:tc>
      </w:tr>
    </w:tbl>
    <w:p w14:paraId="2DDD9A54" w14:textId="77777777" w:rsidR="007C3FDB" w:rsidRPr="00DE08EB" w:rsidRDefault="007C3FDB" w:rsidP="00DE08EB">
      <w:pPr>
        <w:pStyle w:val="Notetext"/>
        <w:rPr>
          <w:rStyle w:val="Heading5Char"/>
          <w:rFonts w:asciiTheme="minorHAnsi" w:eastAsiaTheme="minorHAnsi" w:hAnsiTheme="minorHAnsi" w:cstheme="minorHAnsi"/>
          <w:b w:val="0"/>
          <w:bCs w:val="0"/>
          <w:color w:val="auto"/>
        </w:rPr>
        <w:sectPr w:rsidR="007C3FDB" w:rsidRPr="00DE08EB" w:rsidSect="006C6906">
          <w:pgSz w:w="16838" w:h="11906" w:orient="landscape"/>
          <w:pgMar w:top="1440" w:right="1304" w:bottom="1440" w:left="1361" w:header="708" w:footer="708" w:gutter="0"/>
          <w:cols w:space="708"/>
          <w:docGrid w:linePitch="360"/>
        </w:sectPr>
      </w:pPr>
      <w:r w:rsidRPr="00DE08EB">
        <w:rPr>
          <w:rStyle w:val="Heading5Char"/>
          <w:rFonts w:asciiTheme="minorHAnsi" w:eastAsiaTheme="minorHAnsi" w:hAnsiTheme="minorHAnsi" w:cstheme="minorHAnsi"/>
          <w:b w:val="0"/>
          <w:bCs w:val="0"/>
          <w:color w:val="auto"/>
        </w:rPr>
        <w:t xml:space="preserve">Note: South Australia uses the NCCD eligibility criteria. This does not include the categorisations in the table above. No publicly available information on the categories used by the Northern Territory was located. </w:t>
      </w:r>
    </w:p>
    <w:p w14:paraId="297644E9" w14:textId="77777777" w:rsidR="007C3FDB" w:rsidRPr="00916AB2" w:rsidRDefault="007C3FDB" w:rsidP="0062396B">
      <w:pPr>
        <w:pStyle w:val="Heading1"/>
      </w:pPr>
      <w:bookmarkStart w:id="9" w:name="_Toc38449126"/>
      <w:r w:rsidRPr="00916AB2">
        <w:t>References</w:t>
      </w:r>
      <w:bookmarkEnd w:id="9"/>
    </w:p>
    <w:p w14:paraId="2931664B" w14:textId="77777777" w:rsidR="007C3FDB" w:rsidRPr="005D0C89" w:rsidRDefault="007C3FDB" w:rsidP="004D4B76">
      <w:r w:rsidRPr="00916AB2">
        <w:rPr>
          <w:rStyle w:val="SubtleEmphasis"/>
        </w:rPr>
        <w:t>Scoping Study: Assessing the Costs of Schooling for Students with Disabilities in Australia</w:t>
      </w:r>
      <w:r w:rsidRPr="008A476E">
        <w:t xml:space="preserve">, </w:t>
      </w:r>
      <w:r w:rsidRPr="005D0C89">
        <w:t>Report to MCEETY</w:t>
      </w:r>
      <w:r>
        <w:t>A Schools Resourcing Taskforce,</w:t>
      </w:r>
      <w:r w:rsidRPr="008A476E">
        <w:t xml:space="preserve"> Allan Consulting Group</w:t>
      </w:r>
      <w:r>
        <w:t>,</w:t>
      </w:r>
      <w:r w:rsidRPr="008A476E">
        <w:t xml:space="preserve"> February 2006</w:t>
      </w:r>
      <w:r>
        <w:t>.</w:t>
      </w:r>
      <w:r w:rsidRPr="008A476E">
        <w:t xml:space="preserve"> </w:t>
      </w:r>
    </w:p>
    <w:p w14:paraId="672E1FB0" w14:textId="1022E55A" w:rsidR="007C3FDB" w:rsidRPr="008A476E" w:rsidRDefault="007C3FDB" w:rsidP="004D4B76">
      <w:r w:rsidRPr="00916AB2">
        <w:rPr>
          <w:rStyle w:val="SubtleEmphasis"/>
        </w:rPr>
        <w:t>Disability, Diversity and Tides that Lift All Boats: Review of Special Education in the ACT</w:t>
      </w:r>
      <w:r w:rsidR="004D4B76">
        <w:t xml:space="preserve">, Canberra, </w:t>
      </w:r>
      <w:r w:rsidR="004D4B76">
        <w:br/>
      </w:r>
      <w:r w:rsidRPr="008A476E">
        <w:t>30 October 2009</w:t>
      </w:r>
      <w:r>
        <w:t>.</w:t>
      </w:r>
      <w:r w:rsidRPr="008A476E">
        <w:t xml:space="preserve"> </w:t>
      </w:r>
    </w:p>
    <w:p w14:paraId="6F8297F9" w14:textId="77777777" w:rsidR="007C3FDB" w:rsidRPr="005D0C89" w:rsidRDefault="007C3FDB" w:rsidP="004D4B76">
      <w:r w:rsidRPr="00916AB2">
        <w:rPr>
          <w:rStyle w:val="SubtleEmphasis"/>
        </w:rPr>
        <w:t>Report on the Review of Disability Standards for Education 2005</w:t>
      </w:r>
      <w:r w:rsidRPr="005D0C89">
        <w:t>, Department of Education, Employment and Workplace Relations, June 2012</w:t>
      </w:r>
      <w:r>
        <w:t>.</w:t>
      </w:r>
      <w:r w:rsidRPr="005D0C89">
        <w:t xml:space="preserve"> </w:t>
      </w:r>
    </w:p>
    <w:p w14:paraId="000D2106" w14:textId="6181AFA2" w:rsidR="007C3FDB" w:rsidRPr="008A476E" w:rsidRDefault="007C3FDB" w:rsidP="004D4B76">
      <w:r w:rsidRPr="00916AB2">
        <w:rPr>
          <w:rStyle w:val="SubtleEmphasis"/>
        </w:rPr>
        <w:t>Improved Support for Students with Disability Ministerial Taskforce Report</w:t>
      </w:r>
      <w:r>
        <w:t>,</w:t>
      </w:r>
      <w:r w:rsidRPr="008A476E">
        <w:t xml:space="preserve"> Tasmania, August 2015</w:t>
      </w:r>
      <w:r>
        <w:t>.</w:t>
      </w:r>
      <w:r w:rsidRPr="008A476E">
        <w:t xml:space="preserve"> </w:t>
      </w:r>
    </w:p>
    <w:p w14:paraId="12B89682" w14:textId="33CF16E0" w:rsidR="007C3FDB" w:rsidRPr="008A476E" w:rsidRDefault="007C3FDB" w:rsidP="004D4B76">
      <w:r w:rsidRPr="00916AB2">
        <w:rPr>
          <w:rStyle w:val="SubtleEmphasis"/>
        </w:rPr>
        <w:t>Access to real learning: the impact of policy, funding and culture on students with disability</w:t>
      </w:r>
      <w:r w:rsidRPr="008A476E">
        <w:t>, Edu</w:t>
      </w:r>
      <w:r w:rsidR="004D4B76">
        <w:t>cation and Employment Reference</w:t>
      </w:r>
      <w:r w:rsidRPr="008A476E">
        <w:t xml:space="preserve"> Committee, January 2016</w:t>
      </w:r>
      <w:r>
        <w:t>.</w:t>
      </w:r>
      <w:r w:rsidRPr="008A476E">
        <w:t xml:space="preserve"> </w:t>
      </w:r>
    </w:p>
    <w:p w14:paraId="4E72BCF6" w14:textId="41DDFB7C" w:rsidR="007C3FDB" w:rsidRPr="005D0C89" w:rsidRDefault="007C3FDB" w:rsidP="004D4B76">
      <w:r w:rsidRPr="00916AB2">
        <w:rPr>
          <w:rStyle w:val="SubtleEmphasis"/>
        </w:rPr>
        <w:t>Review of the Program for Students with disabilities</w:t>
      </w:r>
      <w:r>
        <w:rPr>
          <w:rStyle w:val="SubtleEmphasis"/>
        </w:rPr>
        <w:t>,</w:t>
      </w:r>
      <w:r w:rsidRPr="008A476E">
        <w:t xml:space="preserve"> Vic</w:t>
      </w:r>
      <w:r>
        <w:t>torian Department of Education a</w:t>
      </w:r>
      <w:r w:rsidRPr="008A476E">
        <w:t>nd Training</w:t>
      </w:r>
      <w:r>
        <w:t>,</w:t>
      </w:r>
      <w:r w:rsidRPr="008A476E">
        <w:t xml:space="preserve"> April 2016</w:t>
      </w:r>
      <w:r>
        <w:t>.</w:t>
      </w:r>
      <w:r w:rsidR="004D4B76">
        <w:t xml:space="preserve"> </w:t>
      </w:r>
    </w:p>
    <w:p w14:paraId="22C818A8" w14:textId="77777777" w:rsidR="007C3FDB" w:rsidRPr="008A476E" w:rsidRDefault="007C3FDB" w:rsidP="004D4B76">
      <w:r w:rsidRPr="007B1307">
        <w:rPr>
          <w:rStyle w:val="SubtleEmphasis"/>
        </w:rPr>
        <w:t>Inclusive education for all Students with D</w:t>
      </w:r>
      <w:bookmarkStart w:id="10" w:name="_GoBack"/>
      <w:bookmarkEnd w:id="10"/>
      <w:r w:rsidRPr="007B1307">
        <w:rPr>
          <w:rStyle w:val="SubtleEmphasis"/>
        </w:rPr>
        <w:t>isabilities and Additional Needs, the Government’s response to the review of the program for students with disabilities</w:t>
      </w:r>
      <w:r>
        <w:rPr>
          <w:rStyle w:val="SubtleEmphasis"/>
        </w:rPr>
        <w:t>,</w:t>
      </w:r>
      <w:r w:rsidRPr="008A476E">
        <w:t xml:space="preserve"> Victorian Department of Education and Training</w:t>
      </w:r>
      <w:r>
        <w:t>,</w:t>
      </w:r>
      <w:r w:rsidRPr="008A476E">
        <w:t xml:space="preserve"> April 2016</w:t>
      </w:r>
      <w:r>
        <w:t>.</w:t>
      </w:r>
      <w:r w:rsidRPr="008A476E">
        <w:t xml:space="preserve"> </w:t>
      </w:r>
    </w:p>
    <w:p w14:paraId="7166ACE3" w14:textId="5FEFFF55" w:rsidR="007C3FDB" w:rsidRPr="008A476E" w:rsidRDefault="007C3FDB" w:rsidP="004D4B76">
      <w:r w:rsidRPr="007B1307">
        <w:rPr>
          <w:rStyle w:val="SubtleEmphasis"/>
        </w:rPr>
        <w:t>Education of students with a disability or special needs in New South Wales</w:t>
      </w:r>
      <w:r>
        <w:t xml:space="preserve">, </w:t>
      </w:r>
      <w:r w:rsidRPr="008A476E">
        <w:t>NSW Legislative Council, Portfolio Committee 3</w:t>
      </w:r>
      <w:r w:rsidR="004D4B76">
        <w:t>–</w:t>
      </w:r>
      <w:r w:rsidRPr="008A476E">
        <w:t>Education Inquiry, September 2017</w:t>
      </w:r>
      <w:r>
        <w:t>.</w:t>
      </w:r>
      <w:r w:rsidRPr="008A476E">
        <w:t xml:space="preserve"> </w:t>
      </w:r>
    </w:p>
    <w:p w14:paraId="0B0361BA" w14:textId="4C11A564" w:rsidR="007C3FDB" w:rsidRPr="008A476E" w:rsidRDefault="007C3FDB" w:rsidP="004D4B76">
      <w:r w:rsidRPr="008A476E">
        <w:t>NSW Legislative Council Inquiry into students with disability or special needs in New South Wales schools</w:t>
      </w:r>
      <w:r w:rsidR="004D4B76">
        <w:t>–</w:t>
      </w:r>
      <w:r w:rsidRPr="008A476E">
        <w:t>CECNSW Submission</w:t>
      </w:r>
      <w:r>
        <w:t>,</w:t>
      </w:r>
      <w:r w:rsidRPr="008A476E">
        <w:t xml:space="preserve"> February 2017</w:t>
      </w:r>
      <w:r>
        <w:t>.</w:t>
      </w:r>
      <w:r w:rsidRPr="008A476E">
        <w:t xml:space="preserve"> </w:t>
      </w:r>
    </w:p>
    <w:p w14:paraId="1BC8C75B" w14:textId="4005648B" w:rsidR="007C3FDB" w:rsidRPr="008A476E" w:rsidRDefault="007C3FDB" w:rsidP="004D4B76">
      <w:r w:rsidRPr="007B1307">
        <w:rPr>
          <w:rStyle w:val="SubtleEmphasis"/>
        </w:rPr>
        <w:t>Review of education for students with disability in Queensland state schools</w:t>
      </w:r>
      <w:r>
        <w:t xml:space="preserve">, </w:t>
      </w:r>
      <w:r w:rsidRPr="008A476E">
        <w:t>Deloitte Access Economics</w:t>
      </w:r>
      <w:r w:rsidR="004D4B76">
        <w:t>–</w:t>
      </w:r>
      <w:r w:rsidRPr="008A476E">
        <w:t>Department of Education and Training, February 2017</w:t>
      </w:r>
      <w:r>
        <w:t>.</w:t>
      </w:r>
      <w:r w:rsidRPr="008A476E">
        <w:t xml:space="preserve"> </w:t>
      </w:r>
    </w:p>
    <w:p w14:paraId="0094BD0A" w14:textId="578DCDBB" w:rsidR="007C3FDB" w:rsidRPr="008A476E" w:rsidRDefault="007C3FDB" w:rsidP="004D4B76">
      <w:r w:rsidRPr="007B1307">
        <w:rPr>
          <w:rStyle w:val="SubtleEmphasis"/>
        </w:rPr>
        <w:t xml:space="preserve">Report of the </w:t>
      </w:r>
      <w:r w:rsidR="004D4B76" w:rsidRPr="007B1307">
        <w:rPr>
          <w:rStyle w:val="SubtleEmphasis"/>
        </w:rPr>
        <w:t xml:space="preserve">Select Committee </w:t>
      </w:r>
      <w:r w:rsidRPr="007B1307">
        <w:rPr>
          <w:rStyle w:val="SubtleEmphasis"/>
        </w:rPr>
        <w:t>on access to the South Australian education system for students with a disability</w:t>
      </w:r>
      <w:r>
        <w:rPr>
          <w:rStyle w:val="SubtleEmphasis"/>
        </w:rPr>
        <w:t>,</w:t>
      </w:r>
      <w:r w:rsidRPr="008A476E">
        <w:t xml:space="preserve"> Legislative Select Committee, May 2017</w:t>
      </w:r>
      <w:r>
        <w:t>.</w:t>
      </w:r>
    </w:p>
    <w:p w14:paraId="6524C6FA" w14:textId="77777777" w:rsidR="007C3FDB" w:rsidRPr="008A476E" w:rsidRDefault="007C3FDB" w:rsidP="004D4B76">
      <w:r w:rsidRPr="007B1307">
        <w:rPr>
          <w:rStyle w:val="SubtleEmphasis"/>
        </w:rPr>
        <w:t>National Disability Strategy 2010–2020</w:t>
      </w:r>
      <w:r>
        <w:rPr>
          <w:rStyle w:val="SubtleEmphasis"/>
        </w:rPr>
        <w:t>,</w:t>
      </w:r>
      <w:r w:rsidRPr="007B1307">
        <w:rPr>
          <w:rStyle w:val="SubtleEmphasis"/>
        </w:rPr>
        <w:t xml:space="preserve"> Australian Government Action Plan</w:t>
      </w:r>
      <w:r w:rsidRPr="008A476E">
        <w:t>, November 2017</w:t>
      </w:r>
      <w:r>
        <w:t>.</w:t>
      </w:r>
    </w:p>
    <w:p w14:paraId="4EF25450" w14:textId="4089D5DF" w:rsidR="007C3FDB" w:rsidRPr="007E651A" w:rsidRDefault="007C3FDB" w:rsidP="004D4B76">
      <w:pPr>
        <w:rPr>
          <w:rStyle w:val="Heading5Char"/>
          <w:b w:val="0"/>
          <w:bCs w:val="0"/>
        </w:rPr>
      </w:pPr>
      <w:r w:rsidRPr="007B1307">
        <w:rPr>
          <w:rStyle w:val="SubtleEmphasis"/>
        </w:rPr>
        <w:t>Review of Policy and Practice for Students with Additional Needs</w:t>
      </w:r>
      <w:r w:rsidR="004D4B76">
        <w:rPr>
          <w:rStyle w:val="SubtleEmphasis"/>
        </w:rPr>
        <w:t>–</w:t>
      </w:r>
      <w:r w:rsidRPr="007B1307">
        <w:rPr>
          <w:rStyle w:val="SubtleEmphasis"/>
        </w:rPr>
        <w:t>Final Report</w:t>
      </w:r>
      <w:r w:rsidRPr="005D0C89">
        <w:t>, Victoria University, August 2018</w:t>
      </w:r>
      <w:r>
        <w:t>.</w:t>
      </w:r>
    </w:p>
    <w:p w14:paraId="47CF21EC" w14:textId="77777777" w:rsidR="009872DB" w:rsidRPr="007C3FDB" w:rsidRDefault="009872DB" w:rsidP="004D4B76"/>
    <w:sectPr w:rsidR="009872DB" w:rsidRPr="007C3FD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F2852" w14:textId="77777777" w:rsidR="008B6073" w:rsidRDefault="008B6073" w:rsidP="00C67FE6">
      <w:pPr>
        <w:spacing w:after="0" w:line="240" w:lineRule="auto"/>
      </w:pPr>
      <w:r>
        <w:separator/>
      </w:r>
    </w:p>
  </w:endnote>
  <w:endnote w:type="continuationSeparator" w:id="0">
    <w:p w14:paraId="263A0BFD" w14:textId="77777777" w:rsidR="008B6073" w:rsidRDefault="008B6073" w:rsidP="00C6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21244735"/>
      <w:docPartObj>
        <w:docPartGallery w:val="Page Numbers (Bottom of Page)"/>
        <w:docPartUnique/>
      </w:docPartObj>
    </w:sdtPr>
    <w:sdtContent>
      <w:p w14:paraId="0B1452E2" w14:textId="77777777" w:rsidR="008B6073" w:rsidRDefault="008B6073" w:rsidP="006C69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BC6013" w14:textId="77777777" w:rsidR="008B6073" w:rsidRDefault="008B6073" w:rsidP="006C6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270891"/>
      <w:docPartObj>
        <w:docPartGallery w:val="Page Numbers (Bottom of Page)"/>
        <w:docPartUnique/>
      </w:docPartObj>
    </w:sdtPr>
    <w:sdtContent>
      <w:sdt>
        <w:sdtPr>
          <w:id w:val="-1769616900"/>
          <w:docPartObj>
            <w:docPartGallery w:val="Page Numbers (Top of Page)"/>
            <w:docPartUnique/>
          </w:docPartObj>
        </w:sdtPr>
        <w:sdtContent>
          <w:p w14:paraId="17FAC5AB" w14:textId="3FE78970" w:rsidR="008B6073" w:rsidRDefault="008B60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7FB9">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7FB9">
              <w:rPr>
                <w:b/>
                <w:bCs/>
                <w:noProof/>
              </w:rPr>
              <w:t>16</w:t>
            </w:r>
            <w:r>
              <w:rPr>
                <w:b/>
                <w:bCs/>
                <w:sz w:val="24"/>
                <w:szCs w:val="24"/>
              </w:rPr>
              <w:fldChar w:fldCharType="end"/>
            </w:r>
          </w:p>
        </w:sdtContent>
      </w:sdt>
    </w:sdtContent>
  </w:sdt>
  <w:p w14:paraId="0A7DEFEA" w14:textId="77777777" w:rsidR="008B6073" w:rsidRDefault="008B6073" w:rsidP="006C6906">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C858F" w14:textId="77777777" w:rsidR="008B6073" w:rsidRDefault="008B60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191859"/>
      <w:docPartObj>
        <w:docPartGallery w:val="Page Numbers (Bottom of Page)"/>
        <w:docPartUnique/>
      </w:docPartObj>
    </w:sdtPr>
    <w:sdtEndPr>
      <w:rPr>
        <w:noProof/>
      </w:rPr>
    </w:sdtEndPr>
    <w:sdtContent>
      <w:p w14:paraId="33EE8EE8" w14:textId="199FC9A7" w:rsidR="008B6073" w:rsidRDefault="008B6073">
        <w:pPr>
          <w:pStyle w:val="Footer"/>
          <w:jc w:val="right"/>
        </w:pPr>
        <w:r>
          <w:fldChar w:fldCharType="begin"/>
        </w:r>
        <w:r>
          <w:instrText xml:space="preserve"> PAGE   \* MERGEFORMAT </w:instrText>
        </w:r>
        <w:r>
          <w:fldChar w:fldCharType="separate"/>
        </w:r>
        <w:r w:rsidR="004E7FB9">
          <w:rPr>
            <w:noProof/>
          </w:rPr>
          <w:t>15</w:t>
        </w:r>
        <w:r>
          <w:rPr>
            <w:noProof/>
          </w:rPr>
          <w:fldChar w:fldCharType="end"/>
        </w:r>
      </w:p>
    </w:sdtContent>
  </w:sdt>
  <w:p w14:paraId="61ED1BB2" w14:textId="77777777" w:rsidR="008B6073" w:rsidRDefault="008B6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DEB9D" w14:textId="77777777" w:rsidR="008B6073" w:rsidRDefault="008B6073" w:rsidP="00C67FE6">
      <w:pPr>
        <w:spacing w:after="0" w:line="240" w:lineRule="auto"/>
      </w:pPr>
      <w:r>
        <w:separator/>
      </w:r>
    </w:p>
  </w:footnote>
  <w:footnote w:type="continuationSeparator" w:id="0">
    <w:p w14:paraId="454951F2" w14:textId="77777777" w:rsidR="008B6073" w:rsidRDefault="008B6073" w:rsidP="00C67FE6">
      <w:pPr>
        <w:spacing w:after="0" w:line="240" w:lineRule="auto"/>
      </w:pPr>
      <w:r>
        <w:continuationSeparator/>
      </w:r>
    </w:p>
  </w:footnote>
  <w:footnote w:id="1">
    <w:p w14:paraId="546350C5" w14:textId="77777777" w:rsidR="008B6073" w:rsidRDefault="008B6073" w:rsidP="007C3FDB">
      <w:pPr>
        <w:pStyle w:val="FootnoteText"/>
      </w:pPr>
      <w:r>
        <w:rPr>
          <w:rStyle w:val="FootnoteReference"/>
        </w:rPr>
        <w:footnoteRef/>
      </w:r>
      <w:r>
        <w:t xml:space="preserve"> </w:t>
      </w:r>
      <w:r w:rsidRPr="00125752">
        <w:rPr>
          <w:rFonts w:cstheme="minorHAnsi"/>
          <w:i/>
        </w:rPr>
        <w:t xml:space="preserve">Report on Government Services 2018 – Schools - Table 4A.7 </w:t>
      </w:r>
      <w:r w:rsidRPr="00125752">
        <w:rPr>
          <w:rFonts w:cstheme="minorHAnsi"/>
          <w:bCs/>
          <w:i/>
        </w:rPr>
        <w:t>Funded students with disability</w:t>
      </w:r>
    </w:p>
  </w:footnote>
  <w:footnote w:id="2">
    <w:p w14:paraId="011E8656" w14:textId="77777777" w:rsidR="008B6073" w:rsidRDefault="008B6073" w:rsidP="007C3FDB">
      <w:pPr>
        <w:pStyle w:val="FootnoteText"/>
      </w:pPr>
      <w:r>
        <w:rPr>
          <w:rStyle w:val="FootnoteReference"/>
        </w:rPr>
        <w:footnoteRef/>
      </w:r>
      <w:r>
        <w:t xml:space="preserve"> </w:t>
      </w:r>
      <w:r w:rsidRPr="00125752">
        <w:rPr>
          <w:rFonts w:cstheme="minorHAnsi"/>
          <w:i/>
        </w:rPr>
        <w:t xml:space="preserve">Report on Government Services 2018 – Schools - Table 4A.7 </w:t>
      </w:r>
      <w:r w:rsidRPr="00125752">
        <w:rPr>
          <w:rFonts w:cstheme="minorHAnsi"/>
          <w:bCs/>
          <w:i/>
        </w:rPr>
        <w:t>Funded students with disability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7113" w14:textId="77777777" w:rsidR="008B6073" w:rsidRDefault="008B6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620E" w14:textId="77777777" w:rsidR="008B6073" w:rsidRDefault="008B6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9C8E" w14:textId="77777777" w:rsidR="008B6073" w:rsidRDefault="008B60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D7CE" w14:textId="77777777" w:rsidR="008B6073" w:rsidRPr="00C67FE6" w:rsidRDefault="008B6073" w:rsidP="00C67FE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F90"/>
    <w:multiLevelType w:val="multilevel"/>
    <w:tmpl w:val="69C4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4A23"/>
    <w:multiLevelType w:val="hybridMultilevel"/>
    <w:tmpl w:val="ECEA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916E5"/>
    <w:multiLevelType w:val="hybridMultilevel"/>
    <w:tmpl w:val="263E9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B47DF"/>
    <w:multiLevelType w:val="hybridMultilevel"/>
    <w:tmpl w:val="EEB67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561AF"/>
    <w:multiLevelType w:val="multilevel"/>
    <w:tmpl w:val="8494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E0D4D"/>
    <w:multiLevelType w:val="hybridMultilevel"/>
    <w:tmpl w:val="0352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E4B38"/>
    <w:multiLevelType w:val="hybridMultilevel"/>
    <w:tmpl w:val="ED4A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C0123"/>
    <w:multiLevelType w:val="hybridMultilevel"/>
    <w:tmpl w:val="8B9AF842"/>
    <w:lvl w:ilvl="0" w:tplc="300A5098">
      <w:start w:val="1"/>
      <w:numFmt w:val="bullet"/>
      <w:pStyle w:val="Dotpoints"/>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9F217BF"/>
    <w:multiLevelType w:val="hybridMultilevel"/>
    <w:tmpl w:val="70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224E2"/>
    <w:multiLevelType w:val="multilevel"/>
    <w:tmpl w:val="4BA8C406"/>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5D4A27"/>
    <w:multiLevelType w:val="hybridMultilevel"/>
    <w:tmpl w:val="C726975A"/>
    <w:lvl w:ilvl="0" w:tplc="5610044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BD17B5"/>
    <w:multiLevelType w:val="hybridMultilevel"/>
    <w:tmpl w:val="727A4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7005A5"/>
    <w:multiLevelType w:val="hybridMultilevel"/>
    <w:tmpl w:val="351610AA"/>
    <w:lvl w:ilvl="0" w:tplc="2B1ACA8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B05F2B"/>
    <w:multiLevelType w:val="hybridMultilevel"/>
    <w:tmpl w:val="80BE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F5CFA"/>
    <w:multiLevelType w:val="hybridMultilevel"/>
    <w:tmpl w:val="6424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C0599"/>
    <w:multiLevelType w:val="hybridMultilevel"/>
    <w:tmpl w:val="176C0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3907D8"/>
    <w:multiLevelType w:val="hybridMultilevel"/>
    <w:tmpl w:val="269C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7740D"/>
    <w:multiLevelType w:val="multilevel"/>
    <w:tmpl w:val="C586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14106"/>
    <w:multiLevelType w:val="hybridMultilevel"/>
    <w:tmpl w:val="C700CA30"/>
    <w:lvl w:ilvl="0" w:tplc="81620234">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3F123E"/>
    <w:multiLevelType w:val="hybridMultilevel"/>
    <w:tmpl w:val="33D6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41911"/>
    <w:multiLevelType w:val="hybridMultilevel"/>
    <w:tmpl w:val="EAC2A486"/>
    <w:lvl w:ilvl="0" w:tplc="3DF695CA">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B16E92"/>
    <w:multiLevelType w:val="hybridMultilevel"/>
    <w:tmpl w:val="471C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C57001"/>
    <w:multiLevelType w:val="multilevel"/>
    <w:tmpl w:val="720E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77627C"/>
    <w:multiLevelType w:val="hybridMultilevel"/>
    <w:tmpl w:val="19089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D725A0"/>
    <w:multiLevelType w:val="hybridMultilevel"/>
    <w:tmpl w:val="68A6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27433"/>
    <w:multiLevelType w:val="hybridMultilevel"/>
    <w:tmpl w:val="ED660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3514E2"/>
    <w:multiLevelType w:val="multilevel"/>
    <w:tmpl w:val="BEE6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8A77D3"/>
    <w:multiLevelType w:val="hybridMultilevel"/>
    <w:tmpl w:val="B8DC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BA388B"/>
    <w:multiLevelType w:val="hybridMultilevel"/>
    <w:tmpl w:val="D21A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5F2"/>
    <w:multiLevelType w:val="hybridMultilevel"/>
    <w:tmpl w:val="DDE6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E526E"/>
    <w:multiLevelType w:val="hybridMultilevel"/>
    <w:tmpl w:val="07F8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A6791"/>
    <w:multiLevelType w:val="hybridMultilevel"/>
    <w:tmpl w:val="F6CE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14C48"/>
    <w:multiLevelType w:val="hybridMultilevel"/>
    <w:tmpl w:val="BE50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276F9"/>
    <w:multiLevelType w:val="hybridMultilevel"/>
    <w:tmpl w:val="17B8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F760C"/>
    <w:multiLevelType w:val="hybridMultilevel"/>
    <w:tmpl w:val="E670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616673"/>
    <w:multiLevelType w:val="multilevel"/>
    <w:tmpl w:val="51F2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5436F"/>
    <w:multiLevelType w:val="hybridMultilevel"/>
    <w:tmpl w:val="7BB08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A05FE3"/>
    <w:multiLevelType w:val="hybridMultilevel"/>
    <w:tmpl w:val="ADC05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4D573B"/>
    <w:multiLevelType w:val="multilevel"/>
    <w:tmpl w:val="65A4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CE6553"/>
    <w:multiLevelType w:val="hybridMultilevel"/>
    <w:tmpl w:val="E94CB7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A723F18"/>
    <w:multiLevelType w:val="hybridMultilevel"/>
    <w:tmpl w:val="7786A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C8337C"/>
    <w:multiLevelType w:val="hybridMultilevel"/>
    <w:tmpl w:val="A2AC0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CE0FAF"/>
    <w:multiLevelType w:val="multilevel"/>
    <w:tmpl w:val="9F7A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EF0111"/>
    <w:multiLevelType w:val="multilevel"/>
    <w:tmpl w:val="0F06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25"/>
  </w:num>
  <w:num w:numId="4">
    <w:abstractNumId w:val="18"/>
  </w:num>
  <w:num w:numId="5">
    <w:abstractNumId w:val="7"/>
  </w:num>
  <w:num w:numId="6">
    <w:abstractNumId w:val="2"/>
  </w:num>
  <w:num w:numId="7">
    <w:abstractNumId w:val="36"/>
  </w:num>
  <w:num w:numId="8">
    <w:abstractNumId w:val="21"/>
  </w:num>
  <w:num w:numId="9">
    <w:abstractNumId w:val="27"/>
  </w:num>
  <w:num w:numId="10">
    <w:abstractNumId w:val="3"/>
  </w:num>
  <w:num w:numId="11">
    <w:abstractNumId w:val="40"/>
  </w:num>
  <w:num w:numId="12">
    <w:abstractNumId w:val="11"/>
  </w:num>
  <w:num w:numId="13">
    <w:abstractNumId w:val="19"/>
  </w:num>
  <w:num w:numId="14">
    <w:abstractNumId w:val="15"/>
  </w:num>
  <w:num w:numId="15">
    <w:abstractNumId w:val="4"/>
  </w:num>
  <w:num w:numId="16">
    <w:abstractNumId w:val="22"/>
  </w:num>
  <w:num w:numId="17">
    <w:abstractNumId w:val="34"/>
  </w:num>
  <w:num w:numId="18">
    <w:abstractNumId w:val="13"/>
  </w:num>
  <w:num w:numId="19">
    <w:abstractNumId w:val="30"/>
  </w:num>
  <w:num w:numId="20">
    <w:abstractNumId w:val="6"/>
  </w:num>
  <w:num w:numId="21">
    <w:abstractNumId w:val="8"/>
  </w:num>
  <w:num w:numId="22">
    <w:abstractNumId w:val="31"/>
  </w:num>
  <w:num w:numId="23">
    <w:abstractNumId w:val="16"/>
  </w:num>
  <w:num w:numId="24">
    <w:abstractNumId w:val="38"/>
  </w:num>
  <w:num w:numId="25">
    <w:abstractNumId w:val="33"/>
  </w:num>
  <w:num w:numId="26">
    <w:abstractNumId w:val="28"/>
  </w:num>
  <w:num w:numId="27">
    <w:abstractNumId w:val="24"/>
  </w:num>
  <w:num w:numId="28">
    <w:abstractNumId w:val="14"/>
  </w:num>
  <w:num w:numId="29">
    <w:abstractNumId w:val="39"/>
  </w:num>
  <w:num w:numId="30">
    <w:abstractNumId w:val="29"/>
  </w:num>
  <w:num w:numId="31">
    <w:abstractNumId w:val="1"/>
  </w:num>
  <w:num w:numId="32">
    <w:abstractNumId w:val="23"/>
  </w:num>
  <w:num w:numId="33">
    <w:abstractNumId w:val="20"/>
  </w:num>
  <w:num w:numId="34">
    <w:abstractNumId w:val="26"/>
  </w:num>
  <w:num w:numId="35">
    <w:abstractNumId w:val="42"/>
  </w:num>
  <w:num w:numId="36">
    <w:abstractNumId w:val="43"/>
  </w:num>
  <w:num w:numId="37">
    <w:abstractNumId w:val="35"/>
  </w:num>
  <w:num w:numId="38">
    <w:abstractNumId w:val="0"/>
  </w:num>
  <w:num w:numId="39">
    <w:abstractNumId w:val="17"/>
  </w:num>
  <w:num w:numId="40">
    <w:abstractNumId w:val="32"/>
  </w:num>
  <w:num w:numId="41">
    <w:abstractNumId w:val="5"/>
  </w:num>
  <w:num w:numId="42">
    <w:abstractNumId w:val="9"/>
  </w:num>
  <w:num w:numId="43">
    <w:abstractNumId w:val="3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24"/>
    <w:rsid w:val="00003A76"/>
    <w:rsid w:val="0000533B"/>
    <w:rsid w:val="000332DB"/>
    <w:rsid w:val="00053521"/>
    <w:rsid w:val="00071C09"/>
    <w:rsid w:val="000938B1"/>
    <w:rsid w:val="000A3AF4"/>
    <w:rsid w:val="000D15D9"/>
    <w:rsid w:val="000D5894"/>
    <w:rsid w:val="000E03A2"/>
    <w:rsid w:val="000E200D"/>
    <w:rsid w:val="000E2413"/>
    <w:rsid w:val="000E5F7E"/>
    <w:rsid w:val="0013350B"/>
    <w:rsid w:val="00161B30"/>
    <w:rsid w:val="00167BED"/>
    <w:rsid w:val="001879C5"/>
    <w:rsid w:val="001B08F9"/>
    <w:rsid w:val="001C137F"/>
    <w:rsid w:val="001D458C"/>
    <w:rsid w:val="0020320F"/>
    <w:rsid w:val="00237064"/>
    <w:rsid w:val="002444F0"/>
    <w:rsid w:val="002528F5"/>
    <w:rsid w:val="00286EC6"/>
    <w:rsid w:val="002E3DF6"/>
    <w:rsid w:val="002F1768"/>
    <w:rsid w:val="003207AF"/>
    <w:rsid w:val="00331811"/>
    <w:rsid w:val="00373ED7"/>
    <w:rsid w:val="00377B5E"/>
    <w:rsid w:val="003816BC"/>
    <w:rsid w:val="0039445F"/>
    <w:rsid w:val="003B089A"/>
    <w:rsid w:val="004257F3"/>
    <w:rsid w:val="00441B08"/>
    <w:rsid w:val="00444315"/>
    <w:rsid w:val="00450779"/>
    <w:rsid w:val="004601EB"/>
    <w:rsid w:val="004717AC"/>
    <w:rsid w:val="004A4A61"/>
    <w:rsid w:val="004D4A24"/>
    <w:rsid w:val="004D4B76"/>
    <w:rsid w:val="004D7BC8"/>
    <w:rsid w:val="004E7FB9"/>
    <w:rsid w:val="0050274E"/>
    <w:rsid w:val="0050365A"/>
    <w:rsid w:val="00510147"/>
    <w:rsid w:val="00527641"/>
    <w:rsid w:val="0058716D"/>
    <w:rsid w:val="00601B9D"/>
    <w:rsid w:val="00613AEC"/>
    <w:rsid w:val="0062396B"/>
    <w:rsid w:val="006252C6"/>
    <w:rsid w:val="00627E9C"/>
    <w:rsid w:val="00641C3C"/>
    <w:rsid w:val="00654A6C"/>
    <w:rsid w:val="00671B5D"/>
    <w:rsid w:val="006728B9"/>
    <w:rsid w:val="00695D09"/>
    <w:rsid w:val="00696EC6"/>
    <w:rsid w:val="006C27C7"/>
    <w:rsid w:val="006C6906"/>
    <w:rsid w:val="006D22A2"/>
    <w:rsid w:val="006E355A"/>
    <w:rsid w:val="006F5CE8"/>
    <w:rsid w:val="0071102E"/>
    <w:rsid w:val="007126E1"/>
    <w:rsid w:val="00745B67"/>
    <w:rsid w:val="007844C5"/>
    <w:rsid w:val="007A0654"/>
    <w:rsid w:val="007C3FDB"/>
    <w:rsid w:val="0080565C"/>
    <w:rsid w:val="00807116"/>
    <w:rsid w:val="00825EA5"/>
    <w:rsid w:val="0083119E"/>
    <w:rsid w:val="00842245"/>
    <w:rsid w:val="00846333"/>
    <w:rsid w:val="00846770"/>
    <w:rsid w:val="00857D93"/>
    <w:rsid w:val="008619AC"/>
    <w:rsid w:val="00864FAE"/>
    <w:rsid w:val="00870564"/>
    <w:rsid w:val="00875CC2"/>
    <w:rsid w:val="00882CB4"/>
    <w:rsid w:val="00886426"/>
    <w:rsid w:val="008B6073"/>
    <w:rsid w:val="008B710F"/>
    <w:rsid w:val="008E222F"/>
    <w:rsid w:val="008F7EDB"/>
    <w:rsid w:val="00913C60"/>
    <w:rsid w:val="0091705B"/>
    <w:rsid w:val="00935AAD"/>
    <w:rsid w:val="00946750"/>
    <w:rsid w:val="009523DE"/>
    <w:rsid w:val="009532AA"/>
    <w:rsid w:val="00956A10"/>
    <w:rsid w:val="00960A13"/>
    <w:rsid w:val="009612B1"/>
    <w:rsid w:val="009705E4"/>
    <w:rsid w:val="009872DB"/>
    <w:rsid w:val="009926CB"/>
    <w:rsid w:val="00A13826"/>
    <w:rsid w:val="00A27B60"/>
    <w:rsid w:val="00A318BA"/>
    <w:rsid w:val="00A62679"/>
    <w:rsid w:val="00A63284"/>
    <w:rsid w:val="00A911F2"/>
    <w:rsid w:val="00A9534C"/>
    <w:rsid w:val="00A96CA6"/>
    <w:rsid w:val="00AD2618"/>
    <w:rsid w:val="00AD408D"/>
    <w:rsid w:val="00AF6D49"/>
    <w:rsid w:val="00B01F11"/>
    <w:rsid w:val="00B07B94"/>
    <w:rsid w:val="00B1425A"/>
    <w:rsid w:val="00B20703"/>
    <w:rsid w:val="00B3021B"/>
    <w:rsid w:val="00B306A0"/>
    <w:rsid w:val="00B5615B"/>
    <w:rsid w:val="00B62DB0"/>
    <w:rsid w:val="00B723A3"/>
    <w:rsid w:val="00B72CA6"/>
    <w:rsid w:val="00B73535"/>
    <w:rsid w:val="00B73AEA"/>
    <w:rsid w:val="00B75651"/>
    <w:rsid w:val="00B7732C"/>
    <w:rsid w:val="00BB15BB"/>
    <w:rsid w:val="00BD15CD"/>
    <w:rsid w:val="00BD4067"/>
    <w:rsid w:val="00BE4A86"/>
    <w:rsid w:val="00C0179F"/>
    <w:rsid w:val="00C04DDC"/>
    <w:rsid w:val="00C04F7D"/>
    <w:rsid w:val="00C07F21"/>
    <w:rsid w:val="00C24EDB"/>
    <w:rsid w:val="00C67FE6"/>
    <w:rsid w:val="00C75A6B"/>
    <w:rsid w:val="00CB2C19"/>
    <w:rsid w:val="00CC4D98"/>
    <w:rsid w:val="00CD1944"/>
    <w:rsid w:val="00CD2FFF"/>
    <w:rsid w:val="00CD5C65"/>
    <w:rsid w:val="00D11C06"/>
    <w:rsid w:val="00D30A3B"/>
    <w:rsid w:val="00D562CC"/>
    <w:rsid w:val="00D61BBC"/>
    <w:rsid w:val="00D66F22"/>
    <w:rsid w:val="00D76F27"/>
    <w:rsid w:val="00D776A3"/>
    <w:rsid w:val="00D84027"/>
    <w:rsid w:val="00D94AB2"/>
    <w:rsid w:val="00DC0C6E"/>
    <w:rsid w:val="00DC1D55"/>
    <w:rsid w:val="00DE08EB"/>
    <w:rsid w:val="00DE7140"/>
    <w:rsid w:val="00DF4A1A"/>
    <w:rsid w:val="00E23CD0"/>
    <w:rsid w:val="00E732F7"/>
    <w:rsid w:val="00E75786"/>
    <w:rsid w:val="00E828E5"/>
    <w:rsid w:val="00E86BD0"/>
    <w:rsid w:val="00E903B2"/>
    <w:rsid w:val="00EA0F5A"/>
    <w:rsid w:val="00EB0A68"/>
    <w:rsid w:val="00EB7B38"/>
    <w:rsid w:val="00EC12B7"/>
    <w:rsid w:val="00F4069D"/>
    <w:rsid w:val="00F50362"/>
    <w:rsid w:val="00F54424"/>
    <w:rsid w:val="00F54A59"/>
    <w:rsid w:val="00F713DA"/>
    <w:rsid w:val="00F81452"/>
    <w:rsid w:val="00FF09A6"/>
    <w:rsid w:val="00FF2B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ED4317"/>
  <w15:chartTrackingRefBased/>
  <w15:docId w15:val="{1BBF329B-21C9-4102-986D-7BF5409A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A61"/>
  </w:style>
  <w:style w:type="paragraph" w:styleId="Heading1">
    <w:name w:val="heading 1"/>
    <w:basedOn w:val="Heading2"/>
    <w:next w:val="Normal"/>
    <w:link w:val="Heading1Char"/>
    <w:uiPriority w:val="9"/>
    <w:qFormat/>
    <w:rsid w:val="006C27C7"/>
    <w:pPr>
      <w:spacing w:before="240"/>
      <w:outlineLvl w:val="0"/>
    </w:pPr>
    <w:rPr>
      <w:sz w:val="32"/>
      <w:szCs w:val="32"/>
    </w:rPr>
  </w:style>
  <w:style w:type="paragraph" w:styleId="Heading2">
    <w:name w:val="heading 2"/>
    <w:basedOn w:val="Heading3"/>
    <w:next w:val="Normal"/>
    <w:link w:val="Heading2Char"/>
    <w:uiPriority w:val="9"/>
    <w:unhideWhenUsed/>
    <w:qFormat/>
    <w:rsid w:val="0062396B"/>
    <w:pPr>
      <w:keepNext/>
      <w:keepLines/>
      <w:spacing w:before="40" w:after="0"/>
      <w:outlineLvl w:val="1"/>
    </w:pPr>
    <w:rPr>
      <w:rFonts w:asciiTheme="majorHAnsi" w:hAnsiTheme="majorHAnsi"/>
      <w:color w:val="2E74B5" w:themeColor="accent1" w:themeShade="BF"/>
      <w:sz w:val="26"/>
      <w:szCs w:val="26"/>
    </w:rPr>
  </w:style>
  <w:style w:type="paragraph" w:styleId="Heading3">
    <w:name w:val="heading 3"/>
    <w:basedOn w:val="Normal"/>
    <w:next w:val="Normal"/>
    <w:link w:val="Heading3Char"/>
    <w:uiPriority w:val="9"/>
    <w:unhideWhenUsed/>
    <w:qFormat/>
    <w:rsid w:val="00D562CC"/>
    <w:pPr>
      <w:spacing w:before="200" w:after="120" w:line="271" w:lineRule="auto"/>
      <w:outlineLvl w:val="2"/>
    </w:pPr>
    <w:rPr>
      <w:rFonts w:ascii="Calibri Light" w:eastAsiaTheme="majorEastAsia" w:hAnsi="Calibri Light" w:cstheme="majorBidi"/>
      <w:b/>
      <w:bCs/>
      <w:sz w:val="24"/>
    </w:rPr>
  </w:style>
  <w:style w:type="paragraph" w:styleId="Heading4">
    <w:name w:val="heading 4"/>
    <w:basedOn w:val="Normal"/>
    <w:next w:val="Normal"/>
    <w:link w:val="Heading4Char"/>
    <w:uiPriority w:val="9"/>
    <w:unhideWhenUsed/>
    <w:qFormat/>
    <w:rsid w:val="007C3FDB"/>
    <w:pPr>
      <w:spacing w:before="200" w:after="120" w:line="276" w:lineRule="auto"/>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C3FDB"/>
    <w:pPr>
      <w:spacing w:before="200" w:after="120" w:line="276" w:lineRule="auto"/>
      <w:outlineLvl w:val="4"/>
    </w:pPr>
    <w:rPr>
      <w:rFonts w:ascii="Arial" w:eastAsiaTheme="majorEastAsia" w:hAnsi="Arial" w:cstheme="majorBidi"/>
      <w:b/>
      <w:bCs/>
      <w:color w:val="7F7F7F" w:themeColor="text1" w:themeTint="80"/>
    </w:rPr>
  </w:style>
  <w:style w:type="paragraph" w:styleId="Heading6">
    <w:name w:val="heading 6"/>
    <w:basedOn w:val="Normal"/>
    <w:next w:val="Normal"/>
    <w:link w:val="Heading6Char"/>
    <w:uiPriority w:val="9"/>
    <w:unhideWhenUsed/>
    <w:qFormat/>
    <w:rsid w:val="007C3FDB"/>
    <w:pPr>
      <w:spacing w:before="120" w:after="120" w:line="271" w:lineRule="auto"/>
      <w:outlineLvl w:val="5"/>
    </w:pPr>
    <w:rPr>
      <w:rFonts w:ascii="Arial" w:eastAsiaTheme="majorEastAsia" w:hAnsi="Arial" w:cstheme="majorBidi"/>
      <w:b/>
      <w:bCs/>
      <w:i/>
      <w:iCs/>
      <w:color w:val="7F7F7F" w:themeColor="text1" w:themeTint="80"/>
    </w:rPr>
  </w:style>
  <w:style w:type="paragraph" w:styleId="Heading7">
    <w:name w:val="heading 7"/>
    <w:basedOn w:val="Normal"/>
    <w:next w:val="Normal"/>
    <w:link w:val="Heading7Char"/>
    <w:uiPriority w:val="9"/>
    <w:unhideWhenUsed/>
    <w:qFormat/>
    <w:rsid w:val="007C3FDB"/>
    <w:pPr>
      <w:spacing w:before="120" w:after="120" w:line="276" w:lineRule="auto"/>
      <w:outlineLvl w:val="6"/>
    </w:pPr>
    <w:rPr>
      <w:rFonts w:ascii="Arial" w:eastAsiaTheme="majorEastAsia" w:hAnsi="Arial" w:cstheme="majorBidi"/>
      <w:i/>
      <w:iCs/>
    </w:rPr>
  </w:style>
  <w:style w:type="paragraph" w:styleId="Heading8">
    <w:name w:val="heading 8"/>
    <w:basedOn w:val="Normal"/>
    <w:next w:val="Normal"/>
    <w:link w:val="Heading8Char"/>
    <w:uiPriority w:val="9"/>
    <w:unhideWhenUsed/>
    <w:qFormat/>
    <w:rsid w:val="007C3FDB"/>
    <w:pPr>
      <w:spacing w:before="120" w:after="120" w:line="276" w:lineRule="auto"/>
      <w:outlineLvl w:val="7"/>
    </w:pPr>
    <w:rPr>
      <w:rFonts w:ascii="Arial" w:eastAsiaTheme="majorEastAsia" w:hAnsi="Arial" w:cstheme="majorBidi"/>
      <w:sz w:val="20"/>
      <w:szCs w:val="20"/>
    </w:rPr>
  </w:style>
  <w:style w:type="paragraph" w:styleId="Heading9">
    <w:name w:val="heading 9"/>
    <w:basedOn w:val="Normal"/>
    <w:next w:val="Normal"/>
    <w:link w:val="Heading9Char"/>
    <w:uiPriority w:val="9"/>
    <w:unhideWhenUsed/>
    <w:qFormat/>
    <w:rsid w:val="007C3FDB"/>
    <w:pPr>
      <w:spacing w:before="120" w:after="120" w:line="276" w:lineRule="auto"/>
      <w:outlineLvl w:val="8"/>
    </w:pPr>
    <w:rPr>
      <w:rFonts w:ascii="Arial" w:eastAsiaTheme="majorEastAsia" w:hAnsi="Arial"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424"/>
    <w:pPr>
      <w:ind w:left="720"/>
      <w:contextualSpacing/>
    </w:pPr>
  </w:style>
  <w:style w:type="character" w:styleId="Hyperlink">
    <w:name w:val="Hyperlink"/>
    <w:basedOn w:val="DefaultParagraphFont"/>
    <w:uiPriority w:val="99"/>
    <w:unhideWhenUsed/>
    <w:rsid w:val="0080565C"/>
    <w:rPr>
      <w:color w:val="0563C1" w:themeColor="hyperlink"/>
      <w:u w:val="single"/>
    </w:rPr>
  </w:style>
  <w:style w:type="paragraph" w:styleId="Header">
    <w:name w:val="header"/>
    <w:basedOn w:val="Normal"/>
    <w:link w:val="HeaderChar"/>
    <w:unhideWhenUsed/>
    <w:rsid w:val="00C67FE6"/>
    <w:pPr>
      <w:tabs>
        <w:tab w:val="center" w:pos="4513"/>
        <w:tab w:val="right" w:pos="9026"/>
      </w:tabs>
      <w:spacing w:after="0" w:line="240" w:lineRule="auto"/>
    </w:pPr>
  </w:style>
  <w:style w:type="character" w:customStyle="1" w:styleId="HeaderChar">
    <w:name w:val="Header Char"/>
    <w:basedOn w:val="DefaultParagraphFont"/>
    <w:link w:val="Header"/>
    <w:rsid w:val="00C67FE6"/>
  </w:style>
  <w:style w:type="paragraph" w:styleId="Footer">
    <w:name w:val="footer"/>
    <w:basedOn w:val="Normal"/>
    <w:link w:val="FooterChar"/>
    <w:uiPriority w:val="99"/>
    <w:unhideWhenUsed/>
    <w:rsid w:val="00C67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FE6"/>
  </w:style>
  <w:style w:type="paragraph" w:styleId="FootnoteText">
    <w:name w:val="footnote text"/>
    <w:basedOn w:val="Normal"/>
    <w:link w:val="FootnoteTextChar"/>
    <w:uiPriority w:val="99"/>
    <w:semiHidden/>
    <w:unhideWhenUsed/>
    <w:rsid w:val="00B14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25A"/>
    <w:rPr>
      <w:sz w:val="20"/>
      <w:szCs w:val="20"/>
    </w:rPr>
  </w:style>
  <w:style w:type="character" w:styleId="FootnoteReference">
    <w:name w:val="footnote reference"/>
    <w:basedOn w:val="DefaultParagraphFont"/>
    <w:uiPriority w:val="99"/>
    <w:semiHidden/>
    <w:unhideWhenUsed/>
    <w:rsid w:val="00B1425A"/>
    <w:rPr>
      <w:vertAlign w:val="superscript"/>
    </w:rPr>
  </w:style>
  <w:style w:type="character" w:styleId="CommentReference">
    <w:name w:val="annotation reference"/>
    <w:basedOn w:val="DefaultParagraphFont"/>
    <w:uiPriority w:val="99"/>
    <w:semiHidden/>
    <w:unhideWhenUsed/>
    <w:rsid w:val="00B1425A"/>
    <w:rPr>
      <w:sz w:val="16"/>
      <w:szCs w:val="16"/>
    </w:rPr>
  </w:style>
  <w:style w:type="paragraph" w:styleId="CommentText">
    <w:name w:val="annotation text"/>
    <w:basedOn w:val="Normal"/>
    <w:link w:val="CommentTextChar"/>
    <w:uiPriority w:val="99"/>
    <w:semiHidden/>
    <w:unhideWhenUsed/>
    <w:rsid w:val="00B1425A"/>
    <w:pPr>
      <w:spacing w:line="240" w:lineRule="auto"/>
    </w:pPr>
    <w:rPr>
      <w:sz w:val="20"/>
      <w:szCs w:val="20"/>
    </w:rPr>
  </w:style>
  <w:style w:type="character" w:customStyle="1" w:styleId="CommentTextChar">
    <w:name w:val="Comment Text Char"/>
    <w:basedOn w:val="DefaultParagraphFont"/>
    <w:link w:val="CommentText"/>
    <w:uiPriority w:val="99"/>
    <w:semiHidden/>
    <w:rsid w:val="00B1425A"/>
    <w:rPr>
      <w:sz w:val="20"/>
      <w:szCs w:val="20"/>
    </w:rPr>
  </w:style>
  <w:style w:type="paragraph" w:styleId="CommentSubject">
    <w:name w:val="annotation subject"/>
    <w:basedOn w:val="CommentText"/>
    <w:next w:val="CommentText"/>
    <w:link w:val="CommentSubjectChar"/>
    <w:uiPriority w:val="99"/>
    <w:semiHidden/>
    <w:unhideWhenUsed/>
    <w:rsid w:val="00B1425A"/>
    <w:rPr>
      <w:b/>
      <w:bCs/>
    </w:rPr>
  </w:style>
  <w:style w:type="character" w:customStyle="1" w:styleId="CommentSubjectChar">
    <w:name w:val="Comment Subject Char"/>
    <w:basedOn w:val="CommentTextChar"/>
    <w:link w:val="CommentSubject"/>
    <w:uiPriority w:val="99"/>
    <w:semiHidden/>
    <w:rsid w:val="00B1425A"/>
    <w:rPr>
      <w:b/>
      <w:bCs/>
      <w:sz w:val="20"/>
      <w:szCs w:val="20"/>
    </w:rPr>
  </w:style>
  <w:style w:type="paragraph" w:styleId="BalloonText">
    <w:name w:val="Balloon Text"/>
    <w:basedOn w:val="Normal"/>
    <w:link w:val="BalloonTextChar"/>
    <w:uiPriority w:val="99"/>
    <w:semiHidden/>
    <w:unhideWhenUsed/>
    <w:rsid w:val="00B14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5A"/>
    <w:rPr>
      <w:rFonts w:ascii="Segoe UI" w:hAnsi="Segoe UI" w:cs="Segoe UI"/>
      <w:sz w:val="18"/>
      <w:szCs w:val="18"/>
    </w:rPr>
  </w:style>
  <w:style w:type="table" w:styleId="TableGrid">
    <w:name w:val="Table Grid"/>
    <w:basedOn w:val="TableNormal"/>
    <w:rsid w:val="0098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102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4E7FB9"/>
    <w:pPr>
      <w:spacing w:line="240" w:lineRule="auto"/>
      <w:contextualSpacing/>
    </w:pPr>
    <w:rPr>
      <w:color w:val="0070C0"/>
      <w:spacing w:val="-10"/>
      <w:kern w:val="28"/>
      <w:sz w:val="56"/>
      <w:szCs w:val="56"/>
    </w:rPr>
  </w:style>
  <w:style w:type="character" w:customStyle="1" w:styleId="TitleChar">
    <w:name w:val="Title Char"/>
    <w:basedOn w:val="DefaultParagraphFont"/>
    <w:link w:val="Title"/>
    <w:uiPriority w:val="10"/>
    <w:rsid w:val="004E7FB9"/>
    <w:rPr>
      <w:color w:val="0070C0"/>
      <w:spacing w:val="-10"/>
      <w:kern w:val="28"/>
      <w:sz w:val="56"/>
      <w:szCs w:val="56"/>
    </w:rPr>
  </w:style>
  <w:style w:type="paragraph" w:styleId="Subtitle">
    <w:name w:val="Subtitle"/>
    <w:basedOn w:val="Normal"/>
    <w:next w:val="Normal"/>
    <w:link w:val="SubtitleChar"/>
    <w:uiPriority w:val="11"/>
    <w:qFormat/>
    <w:rsid w:val="006C27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27C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2396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870564"/>
    <w:rPr>
      <w:b/>
      <w:bCs/>
    </w:rPr>
  </w:style>
  <w:style w:type="paragraph" w:customStyle="1" w:styleId="Dotpoints">
    <w:name w:val="Dot points"/>
    <w:basedOn w:val="ListParagraph"/>
    <w:qFormat/>
    <w:rsid w:val="00870564"/>
    <w:pPr>
      <w:numPr>
        <w:numId w:val="5"/>
      </w:numPr>
    </w:pPr>
  </w:style>
  <w:style w:type="character" w:customStyle="1" w:styleId="Heading2Char">
    <w:name w:val="Heading 2 Char"/>
    <w:basedOn w:val="DefaultParagraphFont"/>
    <w:link w:val="Heading2"/>
    <w:uiPriority w:val="9"/>
    <w:rsid w:val="0062396B"/>
    <w:rPr>
      <w:rFonts w:asciiTheme="majorHAnsi" w:eastAsiaTheme="majorEastAsia" w:hAnsiTheme="majorHAnsi" w:cstheme="majorBidi"/>
      <w:b/>
      <w:bCs/>
      <w:color w:val="2E74B5" w:themeColor="accent1" w:themeShade="BF"/>
      <w:sz w:val="26"/>
      <w:szCs w:val="26"/>
    </w:rPr>
  </w:style>
  <w:style w:type="character" w:styleId="Emphasis">
    <w:name w:val="Emphasis"/>
    <w:basedOn w:val="DefaultParagraphFont"/>
    <w:uiPriority w:val="20"/>
    <w:qFormat/>
    <w:rsid w:val="00DC1D55"/>
    <w:rPr>
      <w:i/>
      <w:iCs/>
    </w:rPr>
  </w:style>
  <w:style w:type="paragraph" w:customStyle="1" w:styleId="Tabletitle">
    <w:name w:val="Table title"/>
    <w:basedOn w:val="Heading2"/>
    <w:qFormat/>
    <w:rsid w:val="004257F3"/>
    <w:rPr>
      <w:rFonts w:asciiTheme="minorHAnsi" w:hAnsiTheme="minorHAnsi"/>
      <w:b w:val="0"/>
      <w:color w:val="auto"/>
      <w:sz w:val="22"/>
    </w:rPr>
  </w:style>
  <w:style w:type="paragraph" w:customStyle="1" w:styleId="Style1">
    <w:name w:val="Style1"/>
    <w:basedOn w:val="Tabletitle"/>
    <w:qFormat/>
    <w:rsid w:val="00DC1D55"/>
    <w:rPr>
      <w:b/>
    </w:rPr>
  </w:style>
  <w:style w:type="paragraph" w:customStyle="1" w:styleId="Footnote">
    <w:name w:val="Footnote"/>
    <w:basedOn w:val="FootnoteText"/>
    <w:next w:val="FootnoteText"/>
    <w:qFormat/>
    <w:rsid w:val="00DC1D55"/>
    <w:pPr>
      <w:keepNext/>
      <w:keepLines/>
      <w:tabs>
        <w:tab w:val="left" w:pos="567"/>
      </w:tabs>
      <w:ind w:left="567" w:hanging="567"/>
    </w:pPr>
  </w:style>
  <w:style w:type="paragraph" w:customStyle="1" w:styleId="Style2">
    <w:name w:val="Style2"/>
    <w:basedOn w:val="Footnote"/>
    <w:qFormat/>
    <w:rsid w:val="00DC1D55"/>
    <w:rPr>
      <w:sz w:val="18"/>
    </w:rPr>
  </w:style>
  <w:style w:type="paragraph" w:styleId="Caption">
    <w:name w:val="caption"/>
    <w:basedOn w:val="Normal"/>
    <w:next w:val="Normal"/>
    <w:uiPriority w:val="35"/>
    <w:unhideWhenUsed/>
    <w:qFormat/>
    <w:rsid w:val="004A4A61"/>
    <w:pPr>
      <w:spacing w:after="200" w:line="240" w:lineRule="auto"/>
    </w:pPr>
    <w:rPr>
      <w:iCs/>
      <w:color w:val="000000" w:themeColor="text1"/>
      <w:szCs w:val="18"/>
    </w:rPr>
  </w:style>
  <w:style w:type="character" w:customStyle="1" w:styleId="Heading3Char">
    <w:name w:val="Heading 3 Char"/>
    <w:basedOn w:val="DefaultParagraphFont"/>
    <w:link w:val="Heading3"/>
    <w:uiPriority w:val="9"/>
    <w:rsid w:val="00D562CC"/>
    <w:rPr>
      <w:rFonts w:ascii="Calibri Light" w:eastAsiaTheme="majorEastAsia" w:hAnsi="Calibri Light" w:cstheme="majorBidi"/>
      <w:b/>
      <w:bCs/>
      <w:sz w:val="24"/>
    </w:rPr>
  </w:style>
  <w:style w:type="character" w:customStyle="1" w:styleId="Heading4Char">
    <w:name w:val="Heading 4 Char"/>
    <w:basedOn w:val="DefaultParagraphFont"/>
    <w:link w:val="Heading4"/>
    <w:uiPriority w:val="9"/>
    <w:rsid w:val="007C3FDB"/>
    <w:rPr>
      <w:rFonts w:ascii="Arial" w:eastAsiaTheme="majorEastAsia" w:hAnsi="Arial" w:cstheme="majorBidi"/>
      <w:b/>
      <w:bCs/>
      <w:i/>
      <w:iCs/>
    </w:rPr>
  </w:style>
  <w:style w:type="character" w:customStyle="1" w:styleId="Heading5Char">
    <w:name w:val="Heading 5 Char"/>
    <w:basedOn w:val="DefaultParagraphFont"/>
    <w:link w:val="Heading5"/>
    <w:uiPriority w:val="9"/>
    <w:rsid w:val="007C3FDB"/>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7C3FDB"/>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7C3FDB"/>
    <w:rPr>
      <w:rFonts w:ascii="Arial" w:eastAsiaTheme="majorEastAsia" w:hAnsi="Arial" w:cstheme="majorBidi"/>
      <w:i/>
      <w:iCs/>
    </w:rPr>
  </w:style>
  <w:style w:type="character" w:customStyle="1" w:styleId="Heading8Char">
    <w:name w:val="Heading 8 Char"/>
    <w:basedOn w:val="DefaultParagraphFont"/>
    <w:link w:val="Heading8"/>
    <w:uiPriority w:val="9"/>
    <w:rsid w:val="007C3FDB"/>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7C3FDB"/>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7C3FDB"/>
    <w:pPr>
      <w:spacing w:before="120" w:after="120" w:line="240" w:lineRule="auto"/>
    </w:pPr>
    <w:rPr>
      <w:rFonts w:ascii="Arial" w:hAnsi="Arial"/>
    </w:rPr>
  </w:style>
  <w:style w:type="character" w:styleId="SubtleEmphasis">
    <w:name w:val="Subtle Emphasis"/>
    <w:uiPriority w:val="19"/>
    <w:qFormat/>
    <w:rsid w:val="007C3FDB"/>
    <w:rPr>
      <w:i/>
      <w:iCs/>
    </w:rPr>
  </w:style>
  <w:style w:type="character" w:styleId="IntenseEmphasis">
    <w:name w:val="Intense Emphasis"/>
    <w:uiPriority w:val="21"/>
    <w:qFormat/>
    <w:rsid w:val="007C3FDB"/>
    <w:rPr>
      <w:b/>
      <w:bCs/>
    </w:rPr>
  </w:style>
  <w:style w:type="paragraph" w:styleId="Quote">
    <w:name w:val="Quote"/>
    <w:basedOn w:val="Normal"/>
    <w:next w:val="Normal"/>
    <w:link w:val="QuoteChar"/>
    <w:uiPriority w:val="29"/>
    <w:qFormat/>
    <w:rsid w:val="007C3FDB"/>
    <w:pPr>
      <w:spacing w:before="200" w:after="120" w:line="276" w:lineRule="auto"/>
      <w:ind w:left="360" w:right="360"/>
    </w:pPr>
    <w:rPr>
      <w:rFonts w:ascii="Arial" w:hAnsi="Arial"/>
      <w:i/>
      <w:iCs/>
    </w:rPr>
  </w:style>
  <w:style w:type="character" w:customStyle="1" w:styleId="QuoteChar">
    <w:name w:val="Quote Char"/>
    <w:basedOn w:val="DefaultParagraphFont"/>
    <w:link w:val="Quote"/>
    <w:uiPriority w:val="29"/>
    <w:rsid w:val="007C3FDB"/>
    <w:rPr>
      <w:rFonts w:ascii="Arial" w:hAnsi="Arial"/>
      <w:i/>
      <w:iCs/>
    </w:rPr>
  </w:style>
  <w:style w:type="paragraph" w:styleId="IntenseQuote">
    <w:name w:val="Intense Quote"/>
    <w:basedOn w:val="Normal"/>
    <w:next w:val="Normal"/>
    <w:link w:val="IntenseQuoteChar"/>
    <w:uiPriority w:val="30"/>
    <w:qFormat/>
    <w:rsid w:val="007C3FDB"/>
    <w:pPr>
      <w:pBdr>
        <w:bottom w:val="single" w:sz="4" w:space="1" w:color="auto"/>
      </w:pBdr>
      <w:spacing w:before="200" w:after="280" w:line="276" w:lineRule="auto"/>
      <w:ind w:left="1008" w:right="1152"/>
      <w:jc w:val="both"/>
    </w:pPr>
    <w:rPr>
      <w:rFonts w:ascii="Arial" w:hAnsi="Arial"/>
      <w:b/>
      <w:bCs/>
      <w:i/>
      <w:iCs/>
    </w:rPr>
  </w:style>
  <w:style w:type="character" w:customStyle="1" w:styleId="IntenseQuoteChar">
    <w:name w:val="Intense Quote Char"/>
    <w:basedOn w:val="DefaultParagraphFont"/>
    <w:link w:val="IntenseQuote"/>
    <w:uiPriority w:val="30"/>
    <w:rsid w:val="007C3FDB"/>
    <w:rPr>
      <w:rFonts w:ascii="Arial" w:hAnsi="Arial"/>
      <w:b/>
      <w:bCs/>
      <w:i/>
      <w:iCs/>
    </w:rPr>
  </w:style>
  <w:style w:type="character" w:styleId="SubtleReference">
    <w:name w:val="Subtle Reference"/>
    <w:uiPriority w:val="31"/>
    <w:qFormat/>
    <w:rsid w:val="007C3FDB"/>
    <w:rPr>
      <w:smallCaps/>
    </w:rPr>
  </w:style>
  <w:style w:type="character" w:styleId="IntenseReference">
    <w:name w:val="Intense Reference"/>
    <w:uiPriority w:val="32"/>
    <w:qFormat/>
    <w:rsid w:val="007C3FDB"/>
    <w:rPr>
      <w:smallCaps/>
      <w:spacing w:val="5"/>
      <w:u w:val="single"/>
    </w:rPr>
  </w:style>
  <w:style w:type="character" w:styleId="BookTitle">
    <w:name w:val="Book Title"/>
    <w:uiPriority w:val="33"/>
    <w:qFormat/>
    <w:rsid w:val="007C3FDB"/>
    <w:rPr>
      <w:i/>
      <w:iCs/>
      <w:smallCaps/>
      <w:spacing w:val="5"/>
    </w:rPr>
  </w:style>
  <w:style w:type="paragraph" w:styleId="TOCHeading">
    <w:name w:val="TOC Heading"/>
    <w:basedOn w:val="Heading1"/>
    <w:next w:val="Normal"/>
    <w:uiPriority w:val="39"/>
    <w:unhideWhenUsed/>
    <w:qFormat/>
    <w:rsid w:val="007C3FDB"/>
    <w:pPr>
      <w:keepNext w:val="0"/>
      <w:keepLines w:val="0"/>
      <w:spacing w:before="480" w:after="120" w:line="276" w:lineRule="auto"/>
      <w:contextualSpacing/>
      <w:outlineLvl w:val="9"/>
    </w:pPr>
    <w:rPr>
      <w:rFonts w:ascii="Calibri" w:hAnsi="Calibri"/>
      <w:b w:val="0"/>
      <w:bCs w:val="0"/>
      <w:color w:val="44546A" w:themeColor="text2"/>
      <w:sz w:val="28"/>
      <w:szCs w:val="28"/>
      <w:lang w:bidi="en-US"/>
    </w:rPr>
  </w:style>
  <w:style w:type="character" w:customStyle="1" w:styleId="NoSpacingChar">
    <w:name w:val="No Spacing Char"/>
    <w:basedOn w:val="DefaultParagraphFont"/>
    <w:link w:val="NoSpacing"/>
    <w:uiPriority w:val="1"/>
    <w:rsid w:val="007C3FDB"/>
    <w:rPr>
      <w:rFonts w:ascii="Arial" w:hAnsi="Arial"/>
    </w:rPr>
  </w:style>
  <w:style w:type="table" w:styleId="TableGridLight">
    <w:name w:val="Grid Table Light"/>
    <w:basedOn w:val="TableNormal"/>
    <w:uiPriority w:val="40"/>
    <w:rsid w:val="007C3FDB"/>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C3FDB"/>
    <w:rPr>
      <w:color w:val="605E5C"/>
      <w:shd w:val="clear" w:color="auto" w:fill="E1DFDD"/>
    </w:rPr>
  </w:style>
  <w:style w:type="character" w:styleId="FollowedHyperlink">
    <w:name w:val="FollowedHyperlink"/>
    <w:basedOn w:val="DefaultParagraphFont"/>
    <w:uiPriority w:val="99"/>
    <w:semiHidden/>
    <w:unhideWhenUsed/>
    <w:rsid w:val="007C3FDB"/>
    <w:rPr>
      <w:color w:val="954F72" w:themeColor="followedHyperlink"/>
      <w:u w:val="single"/>
    </w:rPr>
  </w:style>
  <w:style w:type="paragraph" w:styleId="Revision">
    <w:name w:val="Revision"/>
    <w:hidden/>
    <w:uiPriority w:val="99"/>
    <w:semiHidden/>
    <w:rsid w:val="007C3FDB"/>
    <w:pPr>
      <w:spacing w:after="0" w:line="240" w:lineRule="auto"/>
    </w:pPr>
    <w:rPr>
      <w:rFonts w:ascii="Arial" w:hAnsi="Arial"/>
    </w:rPr>
  </w:style>
  <w:style w:type="character" w:styleId="PageNumber">
    <w:name w:val="page number"/>
    <w:basedOn w:val="DefaultParagraphFont"/>
    <w:uiPriority w:val="99"/>
    <w:semiHidden/>
    <w:unhideWhenUsed/>
    <w:rsid w:val="007C3FDB"/>
  </w:style>
  <w:style w:type="paragraph" w:customStyle="1" w:styleId="Style3">
    <w:name w:val="Style3"/>
    <w:basedOn w:val="Normal"/>
    <w:qFormat/>
    <w:rsid w:val="007C3FDB"/>
    <w:pPr>
      <w:spacing w:before="120" w:after="480" w:line="240" w:lineRule="auto"/>
      <w:ind w:right="-1015"/>
      <w:jc w:val="center"/>
    </w:pPr>
    <w:rPr>
      <w:rFonts w:ascii="Calibri" w:eastAsia="Times New Roman" w:hAnsi="Calibri" w:cs="Times New Roman"/>
      <w:b/>
      <w:sz w:val="24"/>
      <w:szCs w:val="24"/>
      <w:lang w:eastAsia="en-AU"/>
    </w:rPr>
  </w:style>
  <w:style w:type="paragraph" w:styleId="TOC1">
    <w:name w:val="toc 1"/>
    <w:basedOn w:val="Normal"/>
    <w:next w:val="Normal"/>
    <w:autoRedefine/>
    <w:uiPriority w:val="39"/>
    <w:unhideWhenUsed/>
    <w:rsid w:val="007C3FDB"/>
    <w:pPr>
      <w:spacing w:before="120" w:after="100" w:line="240" w:lineRule="auto"/>
    </w:pPr>
    <w:rPr>
      <w:rFonts w:ascii="Calibri" w:eastAsia="Times New Roman" w:hAnsi="Calibri" w:cs="Times New Roman"/>
      <w:sz w:val="24"/>
      <w:szCs w:val="24"/>
      <w:lang w:eastAsia="en-AU"/>
    </w:rPr>
  </w:style>
  <w:style w:type="paragraph" w:styleId="TOC2">
    <w:name w:val="toc 2"/>
    <w:basedOn w:val="Normal"/>
    <w:next w:val="Normal"/>
    <w:autoRedefine/>
    <w:uiPriority w:val="39"/>
    <w:unhideWhenUsed/>
    <w:rsid w:val="007C3FDB"/>
    <w:pPr>
      <w:spacing w:before="120" w:after="100" w:line="240" w:lineRule="auto"/>
      <w:ind w:left="240"/>
    </w:pPr>
    <w:rPr>
      <w:rFonts w:ascii="Calibri" w:eastAsia="Times New Roman" w:hAnsi="Calibri" w:cs="Times New Roman"/>
      <w:sz w:val="24"/>
      <w:szCs w:val="24"/>
      <w:lang w:eastAsia="en-AU"/>
    </w:rPr>
  </w:style>
  <w:style w:type="character" w:customStyle="1" w:styleId="apple-converted-space">
    <w:name w:val="apple-converted-space"/>
    <w:basedOn w:val="DefaultParagraphFont"/>
    <w:rsid w:val="007C3FDB"/>
  </w:style>
  <w:style w:type="paragraph" w:styleId="ListBullet">
    <w:name w:val="List Bullet"/>
    <w:basedOn w:val="Normal"/>
    <w:uiPriority w:val="99"/>
    <w:qFormat/>
    <w:rsid w:val="00510147"/>
    <w:pPr>
      <w:numPr>
        <w:numId w:val="42"/>
      </w:numPr>
      <w:spacing w:before="120" w:after="120"/>
      <w:contextualSpacing/>
    </w:pPr>
    <w:rPr>
      <w:rFonts w:ascii="Calibri" w:hAnsi="Calibri"/>
    </w:rPr>
  </w:style>
  <w:style w:type="paragraph" w:styleId="ListBullet3">
    <w:name w:val="List Bullet 3"/>
    <w:basedOn w:val="Normal"/>
    <w:uiPriority w:val="99"/>
    <w:qFormat/>
    <w:rsid w:val="007C3FDB"/>
    <w:pPr>
      <w:numPr>
        <w:ilvl w:val="2"/>
        <w:numId w:val="42"/>
      </w:numPr>
      <w:tabs>
        <w:tab w:val="left" w:pos="851"/>
      </w:tabs>
      <w:spacing w:before="120" w:after="120"/>
      <w:contextualSpacing/>
    </w:pPr>
    <w:rPr>
      <w:rFonts w:ascii="Calibri" w:hAnsi="Calibri"/>
    </w:rPr>
  </w:style>
  <w:style w:type="paragraph" w:styleId="ListBullet4">
    <w:name w:val="List Bullet 4"/>
    <w:basedOn w:val="Normal"/>
    <w:uiPriority w:val="99"/>
    <w:qFormat/>
    <w:rsid w:val="007C3FDB"/>
    <w:pPr>
      <w:numPr>
        <w:ilvl w:val="3"/>
        <w:numId w:val="42"/>
      </w:numPr>
      <w:tabs>
        <w:tab w:val="left" w:pos="1134"/>
      </w:tabs>
      <w:spacing w:before="120" w:after="120"/>
      <w:contextualSpacing/>
    </w:pPr>
    <w:rPr>
      <w:rFonts w:ascii="Calibri" w:hAnsi="Calibri"/>
    </w:rPr>
  </w:style>
  <w:style w:type="paragraph" w:customStyle="1" w:styleId="Notetext">
    <w:name w:val="Note text"/>
    <w:basedOn w:val="Normal"/>
    <w:qFormat/>
    <w:rsid w:val="007C3FDB"/>
    <w:pPr>
      <w:spacing w:before="120" w:after="120" w:line="240" w:lineRule="auto"/>
    </w:pPr>
    <w:rPr>
      <w:rFonts w:eastAsia="Times New Roman" w:cstheme="minorHAnsi"/>
      <w:sz w:val="18"/>
      <w:szCs w:val="18"/>
    </w:rPr>
  </w:style>
  <w:style w:type="paragraph" w:styleId="TOC3">
    <w:name w:val="toc 3"/>
    <w:basedOn w:val="Normal"/>
    <w:next w:val="Normal"/>
    <w:autoRedefine/>
    <w:uiPriority w:val="39"/>
    <w:unhideWhenUsed/>
    <w:rsid w:val="00B01F1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3713">
      <w:bodyDiv w:val="1"/>
      <w:marLeft w:val="0"/>
      <w:marRight w:val="0"/>
      <w:marTop w:val="0"/>
      <w:marBottom w:val="0"/>
      <w:divBdr>
        <w:top w:val="none" w:sz="0" w:space="0" w:color="auto"/>
        <w:left w:val="none" w:sz="0" w:space="0" w:color="auto"/>
        <w:bottom w:val="none" w:sz="0" w:space="0" w:color="auto"/>
        <w:right w:val="none" w:sz="0" w:space="0" w:color="auto"/>
      </w:divBdr>
    </w:div>
    <w:div w:id="339507419">
      <w:bodyDiv w:val="1"/>
      <w:marLeft w:val="0"/>
      <w:marRight w:val="0"/>
      <w:marTop w:val="0"/>
      <w:marBottom w:val="0"/>
      <w:divBdr>
        <w:top w:val="none" w:sz="0" w:space="0" w:color="auto"/>
        <w:left w:val="none" w:sz="0" w:space="0" w:color="auto"/>
        <w:bottom w:val="none" w:sz="0" w:space="0" w:color="auto"/>
        <w:right w:val="none" w:sz="0" w:space="0" w:color="auto"/>
      </w:divBdr>
    </w:div>
    <w:div w:id="15338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79A2-94B8-4E09-930D-7D692288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EEDED054.dotm</Template>
  <TotalTime>42</TotalTime>
  <Pages>16</Pages>
  <Words>6299</Words>
  <Characters>35908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A review of current government approved system authorities’ (Systems) arrangements for funding of students with disability and common reform directions</vt:lpstr>
    </vt:vector>
  </TitlesOfParts>
  <Company>The Australian National University</Company>
  <LinksUpToDate>false</LinksUpToDate>
  <CharactersWithSpaces>42123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review of current government approved system authorities’ (Systems) arrangements for funding of students with disability and common reform directions</dc:title>
  <dc:subject/>
  <dc:creator>tainsh.mark.t@edumail.vic.gov.au</dc:creator>
  <cp:keywords/>
  <dc:description/>
  <cp:lastModifiedBy>AP</cp:lastModifiedBy>
  <cp:revision>6</cp:revision>
  <cp:lastPrinted>2019-08-27T02:31:00Z</cp:lastPrinted>
  <dcterms:created xsi:type="dcterms:W3CDTF">2020-04-21T06:24:00Z</dcterms:created>
  <dcterms:modified xsi:type="dcterms:W3CDTF">2020-04-22T02:00:00Z</dcterms:modified>
</cp:coreProperties>
</file>