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2EA663DB">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1E798CCD" w:rsidR="00221D8F" w:rsidRDefault="00A815D9" w:rsidP="00221D8F">
      <w:pPr>
        <w:pStyle w:val="Heading1"/>
      </w:pPr>
      <w:bookmarkStart w:id="0" w:name="_Toc126923146"/>
      <w:bookmarkStart w:id="1" w:name="_Toc126923157"/>
      <w:bookmarkStart w:id="2" w:name="_Toc128055787"/>
      <w:r>
        <w:rPr>
          <w:rFonts w:eastAsiaTheme="minorHAnsi"/>
        </w:rPr>
        <w:t>Capacity to Contribute Data Validation and Quality Assurance Process</w:t>
      </w:r>
      <w:bookmarkEnd w:id="0"/>
      <w:bookmarkEnd w:id="1"/>
      <w:bookmarkEnd w:id="2"/>
    </w:p>
    <w:p w14:paraId="21C1556E" w14:textId="431ABEE3" w:rsidR="0017134D" w:rsidRDefault="00A815D9" w:rsidP="00EB4C2F">
      <w:pPr>
        <w:pStyle w:val="Subtitle"/>
      </w:pPr>
      <w:r>
        <w:t xml:space="preserve">Funding for non-government schools </w:t>
      </w:r>
    </w:p>
    <w:p w14:paraId="0600EC06" w14:textId="77777777" w:rsidR="00107D87" w:rsidRDefault="00107D87">
      <w:pPr>
        <w:sectPr w:rsidR="00107D87" w:rsidSect="00221D8F">
          <w:headerReference w:type="even" r:id="rId11"/>
          <w:headerReference w:type="default" r:id="rId12"/>
          <w:footerReference w:type="even" r:id="rId13"/>
          <w:footerReference w:type="default" r:id="rId14"/>
          <w:headerReference w:type="first" r:id="rId15"/>
          <w:footerReference w:type="first" r:id="rId16"/>
          <w:pgSz w:w="11906" w:h="16838"/>
          <w:pgMar w:top="1814" w:right="1440" w:bottom="1440" w:left="1440" w:header="709" w:footer="709" w:gutter="0"/>
          <w:cols w:space="708"/>
          <w:docGrid w:linePitch="360"/>
        </w:sectPr>
      </w:pPr>
    </w:p>
    <w:sdt>
      <w:sdtPr>
        <w:rPr>
          <w:rFonts w:asciiTheme="minorHAnsi" w:eastAsiaTheme="minorHAnsi" w:hAnsiTheme="minorHAnsi" w:cstheme="minorBidi"/>
          <w:b w:val="0"/>
          <w:color w:val="auto"/>
          <w:sz w:val="22"/>
          <w:szCs w:val="22"/>
          <w:lang w:val="en-AU"/>
        </w:rPr>
        <w:id w:val="894089746"/>
        <w:docPartObj>
          <w:docPartGallery w:val="Table of Contents"/>
          <w:docPartUnique/>
        </w:docPartObj>
      </w:sdtPr>
      <w:sdtEndPr>
        <w:rPr>
          <w:bCs/>
          <w:noProof/>
        </w:rPr>
      </w:sdtEndPr>
      <w:sdtContent>
        <w:p w14:paraId="07A3F01B" w14:textId="1A8C7D09" w:rsidR="00837DCF" w:rsidRDefault="00837DCF">
          <w:pPr>
            <w:pStyle w:val="TOCHeading"/>
          </w:pPr>
          <w:r>
            <w:t>Contents</w:t>
          </w:r>
        </w:p>
        <w:p w14:paraId="4C533523" w14:textId="629A928A" w:rsidR="00837DCF" w:rsidRPr="006E0864" w:rsidRDefault="00837DCF" w:rsidP="008D6696">
          <w:pPr>
            <w:pStyle w:val="TOC1"/>
            <w:rPr>
              <w:rFonts w:eastAsiaTheme="minorEastAsia"/>
              <w:noProof/>
              <w:lang w:eastAsia="en-AU"/>
            </w:rPr>
          </w:pPr>
          <w:r w:rsidRPr="006E0864">
            <w:fldChar w:fldCharType="begin"/>
          </w:r>
          <w:r w:rsidRPr="00AC31F3">
            <w:instrText xml:space="preserve"> TOC \o "1-3" \h \z \u </w:instrText>
          </w:r>
          <w:r w:rsidRPr="006E0864">
            <w:fldChar w:fldCharType="separate"/>
          </w:r>
          <w:hyperlink w:anchor="_Toc128055788" w:history="1">
            <w:r w:rsidRPr="006E0864">
              <w:rPr>
                <w:rStyle w:val="Hyperlink"/>
                <w:noProof/>
              </w:rPr>
              <w:t>Background</w:t>
            </w:r>
            <w:r w:rsidRPr="006E0864">
              <w:rPr>
                <w:noProof/>
                <w:webHidden/>
              </w:rPr>
              <w:tab/>
            </w:r>
            <w:r w:rsidRPr="006E0864">
              <w:rPr>
                <w:noProof/>
                <w:webHidden/>
              </w:rPr>
              <w:fldChar w:fldCharType="begin"/>
            </w:r>
            <w:r w:rsidRPr="006E0864">
              <w:rPr>
                <w:noProof/>
                <w:webHidden/>
              </w:rPr>
              <w:instrText xml:space="preserve"> PAGEREF _Toc128055788 \h </w:instrText>
            </w:r>
            <w:r w:rsidRPr="006E0864">
              <w:rPr>
                <w:noProof/>
                <w:webHidden/>
              </w:rPr>
            </w:r>
            <w:r w:rsidRPr="006E0864">
              <w:rPr>
                <w:noProof/>
                <w:webHidden/>
              </w:rPr>
              <w:fldChar w:fldCharType="separate"/>
            </w:r>
            <w:r w:rsidR="00642C48">
              <w:rPr>
                <w:noProof/>
                <w:webHidden/>
              </w:rPr>
              <w:t>3</w:t>
            </w:r>
            <w:r w:rsidRPr="006E0864">
              <w:rPr>
                <w:noProof/>
                <w:webHidden/>
              </w:rPr>
              <w:fldChar w:fldCharType="end"/>
            </w:r>
          </w:hyperlink>
        </w:p>
        <w:p w14:paraId="2F2A6997" w14:textId="696ABFEE" w:rsidR="00837DCF" w:rsidRPr="006E0864" w:rsidRDefault="00A12D95" w:rsidP="00837DCF">
          <w:pPr>
            <w:pStyle w:val="TOC2"/>
            <w:tabs>
              <w:tab w:val="right" w:leader="dot" w:pos="9016"/>
            </w:tabs>
            <w:ind w:left="0"/>
            <w:rPr>
              <w:rFonts w:eastAsiaTheme="minorEastAsia"/>
              <w:noProof/>
              <w:lang w:eastAsia="en-AU"/>
            </w:rPr>
          </w:pPr>
          <w:hyperlink w:anchor="_Toc128055789" w:history="1">
            <w:r w:rsidR="00837DCF" w:rsidRPr="006E0864">
              <w:rPr>
                <w:rStyle w:val="Hyperlink"/>
                <w:noProof/>
              </w:rPr>
              <w:t>Overview of the Australian Bureau of Statistics’ Independent Assessment</w:t>
            </w:r>
            <w:r w:rsidR="00837DCF" w:rsidRPr="006E0864">
              <w:rPr>
                <w:noProof/>
                <w:webHidden/>
              </w:rPr>
              <w:tab/>
            </w:r>
            <w:r w:rsidR="00837DCF" w:rsidRPr="006E0864">
              <w:rPr>
                <w:noProof/>
                <w:webHidden/>
              </w:rPr>
              <w:fldChar w:fldCharType="begin"/>
            </w:r>
            <w:r w:rsidR="00837DCF" w:rsidRPr="006E0864">
              <w:rPr>
                <w:noProof/>
                <w:webHidden/>
              </w:rPr>
              <w:instrText xml:space="preserve"> PAGEREF _Toc128055789 \h </w:instrText>
            </w:r>
            <w:r w:rsidR="00837DCF" w:rsidRPr="006E0864">
              <w:rPr>
                <w:noProof/>
                <w:webHidden/>
              </w:rPr>
            </w:r>
            <w:r w:rsidR="00837DCF" w:rsidRPr="006E0864">
              <w:rPr>
                <w:noProof/>
                <w:webHidden/>
              </w:rPr>
              <w:fldChar w:fldCharType="separate"/>
            </w:r>
            <w:r w:rsidR="00642C48">
              <w:rPr>
                <w:noProof/>
                <w:webHidden/>
              </w:rPr>
              <w:t>3</w:t>
            </w:r>
            <w:r w:rsidR="00837DCF" w:rsidRPr="006E0864">
              <w:rPr>
                <w:noProof/>
                <w:webHidden/>
              </w:rPr>
              <w:fldChar w:fldCharType="end"/>
            </w:r>
          </w:hyperlink>
        </w:p>
        <w:p w14:paraId="09219296" w14:textId="47E91B31" w:rsidR="00837DCF" w:rsidRPr="006E0864" w:rsidRDefault="00A12D95" w:rsidP="00837DCF">
          <w:pPr>
            <w:pStyle w:val="TOC2"/>
            <w:tabs>
              <w:tab w:val="right" w:leader="dot" w:pos="9016"/>
            </w:tabs>
            <w:ind w:left="0"/>
            <w:rPr>
              <w:rFonts w:eastAsiaTheme="minorEastAsia"/>
              <w:noProof/>
              <w:lang w:eastAsia="en-AU"/>
            </w:rPr>
          </w:pPr>
          <w:hyperlink w:anchor="_Toc128055790" w:history="1">
            <w:r w:rsidR="00837DCF" w:rsidRPr="006E0864">
              <w:rPr>
                <w:rStyle w:val="Hyperlink"/>
                <w:noProof/>
              </w:rPr>
              <w:t>Annual Data Validation and Quality Assurance Process</w:t>
            </w:r>
            <w:r w:rsidR="00837DCF" w:rsidRPr="006E0864">
              <w:rPr>
                <w:noProof/>
                <w:webHidden/>
              </w:rPr>
              <w:tab/>
            </w:r>
            <w:r w:rsidR="00837DCF" w:rsidRPr="006E0864">
              <w:rPr>
                <w:noProof/>
                <w:webHidden/>
              </w:rPr>
              <w:fldChar w:fldCharType="begin"/>
            </w:r>
            <w:r w:rsidR="00837DCF" w:rsidRPr="006E0864">
              <w:rPr>
                <w:noProof/>
                <w:webHidden/>
              </w:rPr>
              <w:instrText xml:space="preserve"> PAGEREF _Toc128055790 \h </w:instrText>
            </w:r>
            <w:r w:rsidR="00837DCF" w:rsidRPr="006E0864">
              <w:rPr>
                <w:noProof/>
                <w:webHidden/>
              </w:rPr>
            </w:r>
            <w:r w:rsidR="00837DCF" w:rsidRPr="006E0864">
              <w:rPr>
                <w:noProof/>
                <w:webHidden/>
              </w:rPr>
              <w:fldChar w:fldCharType="separate"/>
            </w:r>
            <w:r w:rsidR="00642C48">
              <w:rPr>
                <w:noProof/>
                <w:webHidden/>
              </w:rPr>
              <w:t>4</w:t>
            </w:r>
            <w:r w:rsidR="00837DCF" w:rsidRPr="006E0864">
              <w:rPr>
                <w:noProof/>
                <w:webHidden/>
              </w:rPr>
              <w:fldChar w:fldCharType="end"/>
            </w:r>
          </w:hyperlink>
        </w:p>
        <w:p w14:paraId="680137F7" w14:textId="241B2C3C" w:rsidR="00837DCF" w:rsidRPr="00AC31F3" w:rsidRDefault="00A12D95">
          <w:pPr>
            <w:pStyle w:val="TOC3"/>
            <w:tabs>
              <w:tab w:val="right" w:leader="dot" w:pos="9016"/>
            </w:tabs>
            <w:rPr>
              <w:rFonts w:eastAsiaTheme="minorEastAsia"/>
              <w:noProof/>
              <w:lang w:eastAsia="en-AU"/>
            </w:rPr>
          </w:pPr>
          <w:hyperlink w:anchor="_Toc128055791" w:history="1">
            <w:r w:rsidR="00837DCF" w:rsidRPr="00AC31F3">
              <w:rPr>
                <w:rStyle w:val="Hyperlink"/>
                <w:noProof/>
              </w:rPr>
              <w:t>What is a quality gate?</w:t>
            </w:r>
            <w:r w:rsidR="00837DCF" w:rsidRPr="00AC31F3">
              <w:rPr>
                <w:noProof/>
                <w:webHidden/>
              </w:rPr>
              <w:tab/>
            </w:r>
            <w:r w:rsidR="00837DCF" w:rsidRPr="00AC31F3">
              <w:rPr>
                <w:noProof/>
                <w:webHidden/>
              </w:rPr>
              <w:fldChar w:fldCharType="begin"/>
            </w:r>
            <w:r w:rsidR="00837DCF" w:rsidRPr="00AC31F3">
              <w:rPr>
                <w:noProof/>
                <w:webHidden/>
              </w:rPr>
              <w:instrText xml:space="preserve"> PAGEREF _Toc128055791 \h </w:instrText>
            </w:r>
            <w:r w:rsidR="00837DCF" w:rsidRPr="00AC31F3">
              <w:rPr>
                <w:noProof/>
                <w:webHidden/>
              </w:rPr>
            </w:r>
            <w:r w:rsidR="00837DCF" w:rsidRPr="00AC31F3">
              <w:rPr>
                <w:noProof/>
                <w:webHidden/>
              </w:rPr>
              <w:fldChar w:fldCharType="separate"/>
            </w:r>
            <w:r w:rsidR="00642C48">
              <w:rPr>
                <w:noProof/>
                <w:webHidden/>
              </w:rPr>
              <w:t>5</w:t>
            </w:r>
            <w:r w:rsidR="00837DCF" w:rsidRPr="00AC31F3">
              <w:rPr>
                <w:noProof/>
                <w:webHidden/>
              </w:rPr>
              <w:fldChar w:fldCharType="end"/>
            </w:r>
          </w:hyperlink>
        </w:p>
        <w:p w14:paraId="11CCF6C5" w14:textId="6B9973DA" w:rsidR="00837DCF" w:rsidRPr="00AC31F3" w:rsidRDefault="00A12D95">
          <w:pPr>
            <w:pStyle w:val="TOC3"/>
            <w:tabs>
              <w:tab w:val="right" w:leader="dot" w:pos="9016"/>
            </w:tabs>
            <w:rPr>
              <w:rFonts w:eastAsiaTheme="minorEastAsia"/>
              <w:noProof/>
              <w:lang w:eastAsia="en-AU"/>
            </w:rPr>
          </w:pPr>
          <w:hyperlink w:anchor="_Toc128055792" w:history="1">
            <w:r w:rsidR="00837DCF" w:rsidRPr="00AC31F3">
              <w:rPr>
                <w:rStyle w:val="Hyperlink"/>
                <w:noProof/>
              </w:rPr>
              <w:t>How are quality gates used to validate a DMI score?</w:t>
            </w:r>
            <w:r w:rsidR="00837DCF" w:rsidRPr="00AC31F3">
              <w:rPr>
                <w:noProof/>
                <w:webHidden/>
              </w:rPr>
              <w:tab/>
            </w:r>
            <w:r w:rsidR="00837DCF" w:rsidRPr="00AC31F3">
              <w:rPr>
                <w:noProof/>
                <w:webHidden/>
              </w:rPr>
              <w:fldChar w:fldCharType="begin"/>
            </w:r>
            <w:r w:rsidR="00837DCF" w:rsidRPr="00AC31F3">
              <w:rPr>
                <w:noProof/>
                <w:webHidden/>
              </w:rPr>
              <w:instrText xml:space="preserve"> PAGEREF _Toc128055792 \h </w:instrText>
            </w:r>
            <w:r w:rsidR="00837DCF" w:rsidRPr="00AC31F3">
              <w:rPr>
                <w:noProof/>
                <w:webHidden/>
              </w:rPr>
            </w:r>
            <w:r w:rsidR="00837DCF" w:rsidRPr="00AC31F3">
              <w:rPr>
                <w:noProof/>
                <w:webHidden/>
              </w:rPr>
              <w:fldChar w:fldCharType="separate"/>
            </w:r>
            <w:r w:rsidR="00642C48">
              <w:rPr>
                <w:noProof/>
                <w:webHidden/>
              </w:rPr>
              <w:t>5</w:t>
            </w:r>
            <w:r w:rsidR="00837DCF" w:rsidRPr="00AC31F3">
              <w:rPr>
                <w:noProof/>
                <w:webHidden/>
              </w:rPr>
              <w:fldChar w:fldCharType="end"/>
            </w:r>
          </w:hyperlink>
        </w:p>
        <w:p w14:paraId="7F239697" w14:textId="521BDFF6" w:rsidR="00837DCF" w:rsidRPr="006E0864" w:rsidRDefault="00A12D95" w:rsidP="00837DCF">
          <w:pPr>
            <w:pStyle w:val="TOC2"/>
            <w:tabs>
              <w:tab w:val="right" w:leader="dot" w:pos="9016"/>
            </w:tabs>
            <w:ind w:left="0"/>
            <w:rPr>
              <w:rFonts w:eastAsiaTheme="minorEastAsia"/>
              <w:noProof/>
              <w:lang w:eastAsia="en-AU"/>
            </w:rPr>
          </w:pPr>
          <w:hyperlink w:anchor="_Toc128055793" w:history="1">
            <w:r w:rsidR="00837DCF" w:rsidRPr="006E0864">
              <w:rPr>
                <w:rStyle w:val="Hyperlink"/>
                <w:noProof/>
              </w:rPr>
              <w:t>Further Information</w:t>
            </w:r>
            <w:r w:rsidR="00837DCF" w:rsidRPr="006E0864">
              <w:rPr>
                <w:noProof/>
                <w:webHidden/>
              </w:rPr>
              <w:tab/>
            </w:r>
            <w:r w:rsidR="00837DCF" w:rsidRPr="006E0864">
              <w:rPr>
                <w:noProof/>
                <w:webHidden/>
              </w:rPr>
              <w:fldChar w:fldCharType="begin"/>
            </w:r>
            <w:r w:rsidR="00837DCF" w:rsidRPr="006E0864">
              <w:rPr>
                <w:noProof/>
                <w:webHidden/>
              </w:rPr>
              <w:instrText xml:space="preserve"> PAGEREF _Toc128055793 \h </w:instrText>
            </w:r>
            <w:r w:rsidR="00837DCF" w:rsidRPr="006E0864">
              <w:rPr>
                <w:noProof/>
                <w:webHidden/>
              </w:rPr>
            </w:r>
            <w:r w:rsidR="00837DCF" w:rsidRPr="006E0864">
              <w:rPr>
                <w:noProof/>
                <w:webHidden/>
              </w:rPr>
              <w:fldChar w:fldCharType="separate"/>
            </w:r>
            <w:r w:rsidR="00642C48">
              <w:rPr>
                <w:noProof/>
                <w:webHidden/>
              </w:rPr>
              <w:t>8</w:t>
            </w:r>
            <w:r w:rsidR="00837DCF" w:rsidRPr="006E0864">
              <w:rPr>
                <w:noProof/>
                <w:webHidden/>
              </w:rPr>
              <w:fldChar w:fldCharType="end"/>
            </w:r>
          </w:hyperlink>
        </w:p>
        <w:p w14:paraId="373EEEB0" w14:textId="572DFE95" w:rsidR="00837DCF" w:rsidRDefault="00837DCF">
          <w:r w:rsidRPr="006E0864">
            <w:rPr>
              <w:noProof/>
            </w:rPr>
            <w:fldChar w:fldCharType="end"/>
          </w:r>
        </w:p>
      </w:sdtContent>
    </w:sdt>
    <w:p w14:paraId="3838F547" w14:textId="77777777" w:rsidR="00642C48" w:rsidRDefault="00642C48" w:rsidP="008D6696">
      <w:pPr>
        <w:pStyle w:val="TOC1"/>
      </w:pPr>
    </w:p>
    <w:p w14:paraId="6CA3D536" w14:textId="77777777" w:rsidR="00642C48" w:rsidRDefault="00642C48" w:rsidP="008D6696">
      <w:pPr>
        <w:pStyle w:val="TOC1"/>
      </w:pPr>
    </w:p>
    <w:p w14:paraId="3ADE932E" w14:textId="77777777" w:rsidR="00642C48" w:rsidRDefault="00642C48" w:rsidP="008D6696">
      <w:pPr>
        <w:pStyle w:val="TOC1"/>
      </w:pPr>
    </w:p>
    <w:p w14:paraId="17BC048B" w14:textId="77777777" w:rsidR="00642C48" w:rsidRDefault="00642C48" w:rsidP="008D6696">
      <w:pPr>
        <w:pStyle w:val="TOC1"/>
      </w:pPr>
    </w:p>
    <w:p w14:paraId="61028E57" w14:textId="77777777" w:rsidR="00642C48" w:rsidRDefault="00642C48" w:rsidP="008D6696">
      <w:pPr>
        <w:pStyle w:val="TOC1"/>
      </w:pPr>
    </w:p>
    <w:p w14:paraId="4B95F602" w14:textId="77777777" w:rsidR="00642C48" w:rsidRDefault="00642C48" w:rsidP="008D6696">
      <w:pPr>
        <w:pStyle w:val="TOC1"/>
      </w:pPr>
    </w:p>
    <w:p w14:paraId="7B90645A" w14:textId="77777777" w:rsidR="00642C48" w:rsidRDefault="00642C48" w:rsidP="008D6696">
      <w:pPr>
        <w:pStyle w:val="TOC1"/>
      </w:pPr>
    </w:p>
    <w:p w14:paraId="1E3D644C" w14:textId="77777777" w:rsidR="00642C48" w:rsidRDefault="00642C48" w:rsidP="008D6696">
      <w:pPr>
        <w:pStyle w:val="TOC1"/>
      </w:pPr>
    </w:p>
    <w:p w14:paraId="381BC4CC" w14:textId="77777777" w:rsidR="00642C48" w:rsidRDefault="00642C48" w:rsidP="008D6696">
      <w:pPr>
        <w:pStyle w:val="TOC1"/>
      </w:pPr>
    </w:p>
    <w:p w14:paraId="32F2DAA0" w14:textId="77777777" w:rsidR="00642C48" w:rsidRDefault="00642C48" w:rsidP="008D6696">
      <w:pPr>
        <w:pStyle w:val="TOC1"/>
      </w:pPr>
    </w:p>
    <w:p w14:paraId="606127F4" w14:textId="77777777" w:rsidR="00642C48" w:rsidRDefault="00642C48" w:rsidP="008D6696">
      <w:pPr>
        <w:pStyle w:val="TOC1"/>
      </w:pPr>
    </w:p>
    <w:p w14:paraId="52798EFE" w14:textId="77777777" w:rsidR="00642C48" w:rsidRDefault="00642C48" w:rsidP="008D6696">
      <w:pPr>
        <w:pStyle w:val="TOC1"/>
      </w:pPr>
    </w:p>
    <w:p w14:paraId="7B0BBBCB" w14:textId="77777777" w:rsidR="00642C48" w:rsidRDefault="00642C48" w:rsidP="008D6696">
      <w:pPr>
        <w:pStyle w:val="TOC1"/>
      </w:pPr>
    </w:p>
    <w:p w14:paraId="33CDC8AB" w14:textId="77777777" w:rsidR="00642C48" w:rsidRDefault="00642C48" w:rsidP="008D6696">
      <w:pPr>
        <w:pStyle w:val="TOC1"/>
      </w:pPr>
    </w:p>
    <w:p w14:paraId="7B53BA77" w14:textId="77777777" w:rsidR="00642C48" w:rsidRDefault="00642C48" w:rsidP="008D6696">
      <w:pPr>
        <w:pStyle w:val="TOC1"/>
      </w:pPr>
    </w:p>
    <w:p w14:paraId="716E7C8E" w14:textId="77777777" w:rsidR="00642C48" w:rsidRDefault="00642C48" w:rsidP="008D6696">
      <w:pPr>
        <w:pStyle w:val="TOC1"/>
      </w:pPr>
    </w:p>
    <w:p w14:paraId="3082F494" w14:textId="77777777" w:rsidR="00642C48" w:rsidRDefault="00642C48" w:rsidP="008D6696">
      <w:pPr>
        <w:pStyle w:val="TOC1"/>
      </w:pPr>
    </w:p>
    <w:p w14:paraId="7A7E4F3F" w14:textId="77777777" w:rsidR="00642C48" w:rsidRDefault="00642C48" w:rsidP="008D6696">
      <w:pPr>
        <w:pStyle w:val="TOC1"/>
      </w:pPr>
    </w:p>
    <w:p w14:paraId="22CD56F0" w14:textId="77777777" w:rsidR="00642C48" w:rsidRDefault="00642C48" w:rsidP="008D6696">
      <w:pPr>
        <w:pStyle w:val="TOC1"/>
      </w:pPr>
    </w:p>
    <w:p w14:paraId="4E950796" w14:textId="77777777" w:rsidR="00642C48" w:rsidRDefault="00642C48" w:rsidP="008D6696">
      <w:pPr>
        <w:pStyle w:val="TOC1"/>
      </w:pPr>
    </w:p>
    <w:p w14:paraId="2ADECBA9" w14:textId="77777777" w:rsidR="00642C48" w:rsidRDefault="00642C48" w:rsidP="008D6696">
      <w:pPr>
        <w:pStyle w:val="TOC1"/>
      </w:pPr>
    </w:p>
    <w:p w14:paraId="39A2CBAC" w14:textId="77777777" w:rsidR="00642C48" w:rsidRDefault="00642C48" w:rsidP="008D6696">
      <w:pPr>
        <w:pStyle w:val="TOC1"/>
      </w:pPr>
    </w:p>
    <w:p w14:paraId="180DB649" w14:textId="77777777" w:rsidR="00642C48" w:rsidRDefault="00642C48" w:rsidP="008D6696">
      <w:pPr>
        <w:pStyle w:val="TOC1"/>
      </w:pPr>
    </w:p>
    <w:p w14:paraId="182DE07A" w14:textId="77777777" w:rsidR="00642C48" w:rsidRDefault="00642C48" w:rsidP="008D6696">
      <w:pPr>
        <w:pStyle w:val="TOC1"/>
      </w:pPr>
    </w:p>
    <w:tbl>
      <w:tblPr>
        <w:tblStyle w:val="EDU-Basic"/>
        <w:tblW w:w="0" w:type="auto"/>
        <w:tblLook w:val="04A0" w:firstRow="1" w:lastRow="0" w:firstColumn="1" w:lastColumn="0" w:noHBand="0" w:noVBand="1"/>
      </w:tblPr>
      <w:tblGrid>
        <w:gridCol w:w="3256"/>
        <w:gridCol w:w="5760"/>
      </w:tblGrid>
      <w:tr w:rsidR="00642C48" w14:paraId="66C63D0C" w14:textId="77777777" w:rsidTr="008352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tcPr>
          <w:p w14:paraId="4F7E90EB" w14:textId="77777777" w:rsidR="00642C48" w:rsidRDefault="00642C48" w:rsidP="00835200">
            <w:r>
              <w:t>Last updated:</w:t>
            </w:r>
          </w:p>
        </w:tc>
        <w:tc>
          <w:tcPr>
            <w:tcW w:w="5760" w:type="dxa"/>
            <w:shd w:val="clear" w:color="auto" w:fill="auto"/>
          </w:tcPr>
          <w:p w14:paraId="458A5406" w14:textId="77777777" w:rsidR="00642C48" w:rsidRDefault="00642C48" w:rsidP="00835200">
            <w:pPr>
              <w:cnfStyle w:val="100000000000" w:firstRow="1" w:lastRow="0" w:firstColumn="0" w:lastColumn="0" w:oddVBand="0" w:evenVBand="0" w:oddHBand="0" w:evenHBand="0" w:firstRowFirstColumn="0" w:firstRowLastColumn="0" w:lastRowFirstColumn="0" w:lastRowLastColumn="0"/>
            </w:pPr>
            <w:r>
              <w:t xml:space="preserve">April 2024 </w:t>
            </w:r>
          </w:p>
        </w:tc>
      </w:tr>
    </w:tbl>
    <w:p w14:paraId="24DE2967" w14:textId="33097280" w:rsidR="0017134D" w:rsidRPr="00837DCF" w:rsidRDefault="0017134D" w:rsidP="008D6696">
      <w:pPr>
        <w:pStyle w:val="TOC1"/>
        <w:rPr>
          <w:rFonts w:eastAsiaTheme="minorEastAsia"/>
          <w:noProof/>
          <w:lang w:eastAsia="en-AU"/>
        </w:rPr>
      </w:pPr>
      <w:r>
        <w:br w:type="page"/>
      </w:r>
    </w:p>
    <w:p w14:paraId="57A25DB9" w14:textId="77777777" w:rsidR="000674D8" w:rsidRPr="006E7967" w:rsidRDefault="00A815D9" w:rsidP="006E7967">
      <w:pPr>
        <w:pStyle w:val="Heading2"/>
        <w:spacing w:after="0"/>
        <w:rPr>
          <w:sz w:val="38"/>
          <w:szCs w:val="38"/>
        </w:rPr>
      </w:pPr>
      <w:bookmarkStart w:id="3" w:name="_Toc128055788"/>
      <w:bookmarkStart w:id="4" w:name="_Toc126923147"/>
      <w:bookmarkStart w:id="5" w:name="_Toc126923158"/>
      <w:bookmarkStart w:id="6" w:name="_Toc126923317"/>
      <w:r w:rsidRPr="006E7967">
        <w:rPr>
          <w:sz w:val="38"/>
          <w:szCs w:val="38"/>
        </w:rPr>
        <w:lastRenderedPageBreak/>
        <w:t>Background</w:t>
      </w:r>
      <w:bookmarkEnd w:id="3"/>
      <w:r w:rsidRPr="006E7967">
        <w:rPr>
          <w:sz w:val="38"/>
          <w:szCs w:val="38"/>
        </w:rPr>
        <w:t xml:space="preserve"> </w:t>
      </w:r>
    </w:p>
    <w:p w14:paraId="60C02D26" w14:textId="666B60AC" w:rsidR="000674D8" w:rsidRDefault="000674D8" w:rsidP="000674D8">
      <w:r w:rsidRPr="00CD49D4">
        <w:t xml:space="preserve">Australian Government funding for non-government schools reflects the policy </w:t>
      </w:r>
      <w:r>
        <w:t xml:space="preserve">position </w:t>
      </w:r>
      <w:r w:rsidRPr="00CD49D4">
        <w:t xml:space="preserve">that responsibility for funding is shared between the Commonwealth, the state and territory governments, and the </w:t>
      </w:r>
      <w:r>
        <w:t>parents and guardians of</w:t>
      </w:r>
      <w:r w:rsidRPr="00CD49D4">
        <w:t xml:space="preserve"> students attending those schools.</w:t>
      </w:r>
      <w:r>
        <w:t xml:space="preserve"> The capacity to contribute (CTC) of a school is the anticipated capacity of the school community to financially contribute towards the school’s operating cost. CTC is used to discount the </w:t>
      </w:r>
      <w:hyperlink r:id="rId17" w:history="1">
        <w:r w:rsidRPr="00000BA2">
          <w:rPr>
            <w:rStyle w:val="Hyperlink"/>
          </w:rPr>
          <w:t>Schooling Resource Standard</w:t>
        </w:r>
      </w:hyperlink>
      <w:r>
        <w:t xml:space="preserve"> (SRS) base funding amount for these schools. From 2020, </w:t>
      </w:r>
      <w:r w:rsidR="001270FA">
        <w:t xml:space="preserve">the </w:t>
      </w:r>
      <w:r w:rsidRPr="009F35B7">
        <w:t>Direct Measure of Income (DMI)</w:t>
      </w:r>
      <w:r>
        <w:t xml:space="preserve"> </w:t>
      </w:r>
      <w:r w:rsidR="001270FA">
        <w:t>is</w:t>
      </w:r>
      <w:r>
        <w:t xml:space="preserve"> used to determine CTC for non</w:t>
      </w:r>
      <w:r>
        <w:noBreakHyphen/>
        <w:t>government schools.</w:t>
      </w:r>
    </w:p>
    <w:p w14:paraId="47910769" w14:textId="4ED28CC6" w:rsidR="000674D8" w:rsidRDefault="000674D8" w:rsidP="000674D8">
      <w:pPr>
        <w:keepLines/>
        <w:rPr>
          <w:rFonts w:eastAsia="Times New Roman" w:cstheme="minorHAnsi"/>
        </w:rPr>
      </w:pPr>
      <w:r>
        <w:t xml:space="preserve">The DMI links parent and guardian names and addresses collected through the annual </w:t>
      </w:r>
      <w:r>
        <w:rPr>
          <w:i/>
        </w:rPr>
        <w:t xml:space="preserve">Student Residential Address and Other Information Collection </w:t>
      </w:r>
      <w:r>
        <w:t xml:space="preserve">to data from the </w:t>
      </w:r>
      <w:hyperlink r:id="rId18" w:history="1">
        <w:r w:rsidR="00AC31F3" w:rsidRPr="006E0864">
          <w:rPr>
            <w:rStyle w:val="Hyperlink"/>
            <w:color w:val="55437E" w:themeColor="accent2"/>
          </w:rPr>
          <w:t>Person Level Integrated Data Asset</w:t>
        </w:r>
      </w:hyperlink>
      <w:r w:rsidR="00AC31F3" w:rsidRPr="0095509C">
        <w:rPr>
          <w:color w:val="FF0000"/>
        </w:rPr>
        <w:t xml:space="preserve"> </w:t>
      </w:r>
      <w:r w:rsidR="00AC31F3" w:rsidRPr="006E0864">
        <w:t xml:space="preserve">(PLIDA – formally known as MADIP). PLIDA is a secure data asset combining information on health, education, government payments, income and taxation, employment, and population demographics (including the Census) over time. </w:t>
      </w:r>
      <w:r w:rsidR="00AC31F3">
        <w:rPr>
          <w:rFonts w:eastAsia="Times New Roman" w:cstheme="minorHAnsi"/>
        </w:rPr>
        <w:t>The participating agencies are the Australian Bureau of Statistics</w:t>
      </w:r>
      <w:r w:rsidR="008D6696">
        <w:rPr>
          <w:rFonts w:eastAsia="Times New Roman" w:cstheme="minorHAnsi"/>
        </w:rPr>
        <w:t xml:space="preserve"> (ABS)</w:t>
      </w:r>
      <w:r w:rsidR="00AC31F3">
        <w:rPr>
          <w:rFonts w:eastAsia="Times New Roman" w:cstheme="minorHAnsi"/>
        </w:rPr>
        <w:t xml:space="preserve">, Australian Taxation Office (ATO), Department of Education, Department of Health and Aged Care, </w:t>
      </w:r>
      <w:r w:rsidR="00AC31F3" w:rsidRPr="009C6917">
        <w:t>Department of Social Services</w:t>
      </w:r>
      <w:r w:rsidR="00AC31F3">
        <w:t>, Department of Home Affairs</w:t>
      </w:r>
      <w:r w:rsidR="00AC31F3">
        <w:rPr>
          <w:rFonts w:eastAsia="Times New Roman" w:cstheme="minorHAnsi"/>
        </w:rPr>
        <w:t xml:space="preserve"> and Services Australia. </w:t>
      </w:r>
      <w:r>
        <w:rPr>
          <w:rFonts w:eastAsia="Times New Roman" w:cstheme="minorHAnsi"/>
        </w:rPr>
        <w:t xml:space="preserve">Each participating agency collects personal information related to its functions or activities and discloses this information to the ABS for the </w:t>
      </w:r>
      <w:r w:rsidR="00AC31F3">
        <w:rPr>
          <w:rFonts w:eastAsia="Times New Roman" w:cstheme="minorHAnsi"/>
        </w:rPr>
        <w:t xml:space="preserve">PLIDA </w:t>
      </w:r>
      <w:r>
        <w:rPr>
          <w:rFonts w:eastAsia="Times New Roman" w:cstheme="minorHAnsi"/>
        </w:rPr>
        <w:t xml:space="preserve">as authorised by law. </w:t>
      </w:r>
    </w:p>
    <w:p w14:paraId="21D6239C" w14:textId="55059BE9" w:rsidR="000674D8" w:rsidRDefault="000674D8" w:rsidP="000674D8">
      <w:r w:rsidDel="00821967">
        <w:t xml:space="preserve">This document </w:t>
      </w:r>
      <w:r>
        <w:t xml:space="preserve">provides a summary of the process that is used to validate a DMI score. An overview of the methodology used to calculate a DMI score is provided in </w:t>
      </w:r>
      <w:hyperlink r:id="rId19" w:history="1">
        <w:r w:rsidRPr="00F86B1E">
          <w:rPr>
            <w:rStyle w:val="Hyperlink"/>
            <w:color w:val="55437E" w:themeColor="accent2"/>
          </w:rPr>
          <w:t>Direct Measure of Income (DMI) Methodology</w:t>
        </w:r>
      </w:hyperlink>
      <w:r w:rsidRPr="00F86B1E">
        <w:rPr>
          <w:color w:val="55437E" w:themeColor="accent2"/>
        </w:rPr>
        <w:t xml:space="preserve">. </w:t>
      </w:r>
    </w:p>
    <w:p w14:paraId="10E2DD70" w14:textId="6D343EE4" w:rsidR="00DD4346" w:rsidRPr="006E7967" w:rsidRDefault="00DD4346" w:rsidP="006E7967">
      <w:pPr>
        <w:pStyle w:val="Heading2"/>
        <w:spacing w:after="0"/>
        <w:rPr>
          <w:sz w:val="38"/>
          <w:szCs w:val="38"/>
        </w:rPr>
      </w:pPr>
      <w:bookmarkStart w:id="7" w:name="_Toc128055789"/>
      <w:r w:rsidRPr="006E7967">
        <w:rPr>
          <w:sz w:val="38"/>
          <w:szCs w:val="38"/>
        </w:rPr>
        <w:t xml:space="preserve">Overview of the </w:t>
      </w:r>
      <w:r w:rsidR="000232A0">
        <w:rPr>
          <w:sz w:val="38"/>
          <w:szCs w:val="38"/>
        </w:rPr>
        <w:t>ABS</w:t>
      </w:r>
      <w:r w:rsidRPr="006E7967">
        <w:rPr>
          <w:sz w:val="38"/>
          <w:szCs w:val="38"/>
        </w:rPr>
        <w:t xml:space="preserve"> Independent Assessment</w:t>
      </w:r>
      <w:bookmarkEnd w:id="7"/>
      <w:r w:rsidRPr="006E7967">
        <w:rPr>
          <w:sz w:val="38"/>
          <w:szCs w:val="38"/>
        </w:rPr>
        <w:t xml:space="preserve"> </w:t>
      </w:r>
    </w:p>
    <w:p w14:paraId="7214E1D8" w14:textId="09721EDE" w:rsidR="00BF56B3" w:rsidRPr="00BB35C6" w:rsidRDefault="00BF56B3" w:rsidP="00BF56B3">
      <w:pPr>
        <w:rPr>
          <w:rFonts w:ascii="Calibri" w:eastAsia="Calibri" w:hAnsi="Calibri" w:cs="Times New Roman"/>
        </w:rPr>
      </w:pPr>
      <w:r w:rsidRPr="00BB35C6">
        <w:rPr>
          <w:rFonts w:ascii="Calibri" w:eastAsia="Calibri" w:hAnsi="Calibri" w:cs="Times New Roman"/>
        </w:rPr>
        <w:t>In 2019, the ABS undertook an independent assessment of the fitness-for-purpose of the DMI score as a representation of school community median income. The ABS report confirmed that</w:t>
      </w:r>
      <w:r>
        <w:rPr>
          <w:rFonts w:ascii="Calibri" w:eastAsia="Calibri" w:hAnsi="Calibri" w:cs="Times New Roman"/>
        </w:rPr>
        <w:t>:</w:t>
      </w:r>
      <w:r w:rsidRPr="00BB35C6">
        <w:rPr>
          <w:rFonts w:ascii="Calibri" w:eastAsia="Calibri" w:hAnsi="Calibri" w:cs="Times New Roman"/>
        </w:rPr>
        <w:t xml:space="preserve"> </w:t>
      </w:r>
    </w:p>
    <w:p w14:paraId="2629098A" w14:textId="77777777" w:rsidR="00BF56B3" w:rsidRPr="00BB35C6" w:rsidRDefault="00BF56B3" w:rsidP="00BF56B3">
      <w:pPr>
        <w:pStyle w:val="ListParagraph"/>
        <w:numPr>
          <w:ilvl w:val="0"/>
          <w:numId w:val="20"/>
        </w:numPr>
        <w:rPr>
          <w:rFonts w:ascii="Calibri" w:eastAsia="Calibri" w:hAnsi="Calibri" w:cs="Times New Roman"/>
        </w:rPr>
      </w:pPr>
      <w:r w:rsidRPr="00BB35C6">
        <w:rPr>
          <w:rFonts w:ascii="Calibri" w:eastAsia="Calibri" w:hAnsi="Calibri" w:cs="Times New Roman"/>
        </w:rPr>
        <w:t>the DMI score is based on a statistically sound approach which makes use of the best available data for measuring the medi</w:t>
      </w:r>
      <w:r>
        <w:rPr>
          <w:rFonts w:ascii="Calibri" w:eastAsia="Calibri" w:hAnsi="Calibri" w:cs="Times New Roman"/>
        </w:rPr>
        <w:t xml:space="preserve">an income of school </w:t>
      </w:r>
      <w:proofErr w:type="gramStart"/>
      <w:r>
        <w:rPr>
          <w:rFonts w:ascii="Calibri" w:eastAsia="Calibri" w:hAnsi="Calibri" w:cs="Times New Roman"/>
        </w:rPr>
        <w:t>communities</w:t>
      </w:r>
      <w:proofErr w:type="gramEnd"/>
      <w:r w:rsidRPr="00BB35C6">
        <w:rPr>
          <w:rFonts w:ascii="Calibri" w:eastAsia="Calibri" w:hAnsi="Calibri" w:cs="Times New Roman"/>
        </w:rPr>
        <w:t xml:space="preserve"> </w:t>
      </w:r>
    </w:p>
    <w:p w14:paraId="0F5FC688" w14:textId="77777777" w:rsidR="00BF56B3" w:rsidRPr="00BB35C6" w:rsidRDefault="00BF56B3" w:rsidP="00BF56B3">
      <w:pPr>
        <w:pStyle w:val="ListParagraph"/>
        <w:numPr>
          <w:ilvl w:val="0"/>
          <w:numId w:val="20"/>
        </w:numPr>
        <w:rPr>
          <w:rFonts w:ascii="Calibri" w:eastAsia="Calibri" w:hAnsi="Calibri" w:cs="Times New Roman"/>
        </w:rPr>
      </w:pPr>
      <w:r w:rsidRPr="00BB35C6">
        <w:rPr>
          <w:rFonts w:ascii="Calibri" w:eastAsia="Calibri" w:hAnsi="Calibri" w:cs="Times New Roman"/>
        </w:rPr>
        <w:t>overall, the DMI is considered fit-for-</w:t>
      </w:r>
      <w:proofErr w:type="gramStart"/>
      <w:r w:rsidRPr="00BB35C6">
        <w:rPr>
          <w:rFonts w:ascii="Calibri" w:eastAsia="Calibri" w:hAnsi="Calibri" w:cs="Times New Roman"/>
        </w:rPr>
        <w:t>purpose</w:t>
      </w:r>
      <w:proofErr w:type="gramEnd"/>
      <w:r w:rsidRPr="00BB35C6">
        <w:rPr>
          <w:rFonts w:ascii="Calibri" w:eastAsia="Calibri" w:hAnsi="Calibri" w:cs="Times New Roman"/>
        </w:rPr>
        <w:t xml:space="preserve"> </w:t>
      </w:r>
    </w:p>
    <w:p w14:paraId="68500940" w14:textId="77777777" w:rsidR="00BF56B3" w:rsidRPr="00BB35C6" w:rsidRDefault="00BF56B3" w:rsidP="00BF56B3">
      <w:pPr>
        <w:pStyle w:val="ListParagraph"/>
        <w:numPr>
          <w:ilvl w:val="0"/>
          <w:numId w:val="20"/>
        </w:numPr>
        <w:rPr>
          <w:rFonts w:ascii="Calibri" w:eastAsia="Calibri" w:hAnsi="Calibri" w:cs="Times New Roman"/>
        </w:rPr>
      </w:pPr>
      <w:r w:rsidRPr="00BB35C6">
        <w:rPr>
          <w:rFonts w:ascii="Calibri" w:eastAsia="Calibri" w:hAnsi="Calibri" w:cs="Times New Roman"/>
        </w:rPr>
        <w:t>in most cases, median incomes produced using the DMI are expected to be fit-for-purpose estimates of true school community median incomes.</w:t>
      </w:r>
    </w:p>
    <w:p w14:paraId="617FBEC7" w14:textId="77777777" w:rsidR="00BF56B3" w:rsidRPr="00BB35C6" w:rsidRDefault="00BF56B3" w:rsidP="00BF56B3">
      <w:pPr>
        <w:rPr>
          <w:rFonts w:ascii="Calibri" w:eastAsia="Calibri" w:hAnsi="Calibri" w:cs="Times New Roman"/>
        </w:rPr>
      </w:pPr>
      <w:r w:rsidRPr="00BB35C6">
        <w:rPr>
          <w:rFonts w:ascii="Calibri" w:eastAsia="Calibri" w:hAnsi="Calibri" w:cs="Times New Roman"/>
        </w:rPr>
        <w:t xml:space="preserve">While the ABS considered that overall, the DMI is fit-for-purpose it made the following recommendations to further improve quality. </w:t>
      </w:r>
    </w:p>
    <w:p w14:paraId="7CC6D306" w14:textId="77777777" w:rsidR="00BF56B3" w:rsidRPr="00127EEE" w:rsidRDefault="00BF56B3" w:rsidP="00BF56B3">
      <w:pPr>
        <w:rPr>
          <w:rFonts w:ascii="Calibri" w:eastAsia="Calibri" w:hAnsi="Calibri" w:cs="Times New Roman"/>
          <w:i/>
        </w:rPr>
      </w:pPr>
      <w:r w:rsidRPr="00127EEE">
        <w:rPr>
          <w:rFonts w:ascii="Calibri" w:eastAsia="Calibri" w:hAnsi="Calibri" w:cs="Times New Roman"/>
          <w:i/>
        </w:rPr>
        <w:t>Recommendation 1: Review data linking methods to improve linkage rates.</w:t>
      </w:r>
    </w:p>
    <w:p w14:paraId="729A7B3F" w14:textId="77777777" w:rsidR="00BF56B3" w:rsidRPr="00BB35C6" w:rsidRDefault="00BF56B3" w:rsidP="00BF56B3">
      <w:pPr>
        <w:rPr>
          <w:rFonts w:ascii="Calibri" w:eastAsia="Calibri" w:hAnsi="Calibri" w:cs="Times New Roman"/>
        </w:rPr>
      </w:pPr>
      <w:r w:rsidRPr="00BB35C6">
        <w:rPr>
          <w:rFonts w:ascii="Calibri" w:eastAsia="Calibri" w:hAnsi="Calibri" w:cs="Times New Roman"/>
        </w:rPr>
        <w:t xml:space="preserve">Linkage </w:t>
      </w:r>
      <w:r>
        <w:rPr>
          <w:rFonts w:ascii="Calibri" w:eastAsia="Calibri" w:hAnsi="Calibri" w:cs="Times New Roman"/>
        </w:rPr>
        <w:t xml:space="preserve">(coverage) </w:t>
      </w:r>
      <w:r w:rsidRPr="00BB35C6">
        <w:rPr>
          <w:rFonts w:ascii="Calibri" w:eastAsia="Calibri" w:hAnsi="Calibri" w:cs="Times New Roman"/>
        </w:rPr>
        <w:t>rates underpinning the direct measure are high. While this creates a high</w:t>
      </w:r>
      <w:r>
        <w:rPr>
          <w:rFonts w:ascii="Calibri" w:eastAsia="Calibri" w:hAnsi="Calibri" w:cs="Times New Roman"/>
        </w:rPr>
        <w:t>-</w:t>
      </w:r>
      <w:r w:rsidRPr="00BB35C6">
        <w:rPr>
          <w:rFonts w:ascii="Calibri" w:eastAsia="Calibri" w:hAnsi="Calibri" w:cs="Times New Roman"/>
        </w:rPr>
        <w:t xml:space="preserve">quality result for </w:t>
      </w:r>
      <w:proofErr w:type="gramStart"/>
      <w:r w:rsidRPr="00BB35C6">
        <w:rPr>
          <w:rFonts w:ascii="Calibri" w:eastAsia="Calibri" w:hAnsi="Calibri" w:cs="Times New Roman"/>
        </w:rPr>
        <w:t>the majority of</w:t>
      </w:r>
      <w:proofErr w:type="gramEnd"/>
      <w:r w:rsidRPr="00BB35C6">
        <w:rPr>
          <w:rFonts w:ascii="Calibri" w:eastAsia="Calibri" w:hAnsi="Calibri" w:cs="Times New Roman"/>
        </w:rPr>
        <w:t xml:space="preserve"> schools, some schools have lower linkage rates. Annual improvements to data linkage capabilities, commencing in 2020, will improve overall linkage rates. In addition, investment in improving linkage methods for some sub-populations may result in further quality improvement for some school communities.</w:t>
      </w:r>
    </w:p>
    <w:p w14:paraId="2B7719A6" w14:textId="77777777" w:rsidR="00BF56B3" w:rsidRPr="00127EEE" w:rsidRDefault="00BF56B3" w:rsidP="00BF56B3">
      <w:pPr>
        <w:keepNext/>
        <w:keepLines/>
        <w:rPr>
          <w:rFonts w:ascii="Calibri" w:eastAsia="Calibri" w:hAnsi="Calibri" w:cs="Times New Roman"/>
          <w:i/>
        </w:rPr>
      </w:pPr>
      <w:r w:rsidRPr="00127EEE">
        <w:rPr>
          <w:rFonts w:ascii="Calibri" w:eastAsia="Calibri" w:hAnsi="Calibri" w:cs="Times New Roman"/>
          <w:i/>
        </w:rPr>
        <w:lastRenderedPageBreak/>
        <w:t>Recommendation 2: Consider further options for estimating income when Adjusted Taxable Income (ATI) is not available.</w:t>
      </w:r>
    </w:p>
    <w:p w14:paraId="131FAF3A" w14:textId="77777777" w:rsidR="00BF56B3" w:rsidRPr="00BB35C6" w:rsidRDefault="00BF56B3" w:rsidP="00BF56B3">
      <w:pPr>
        <w:rPr>
          <w:rFonts w:ascii="Calibri" w:eastAsia="Calibri" w:hAnsi="Calibri" w:cs="Times New Roman"/>
        </w:rPr>
      </w:pPr>
      <w:r w:rsidRPr="00BB35C6">
        <w:rPr>
          <w:rFonts w:ascii="Calibri" w:eastAsia="Calibri" w:hAnsi="Calibri" w:cs="Times New Roman"/>
        </w:rPr>
        <w:t>In the DMI, adjusted taxable income (ATI) is the primary source of income data. I</w:t>
      </w:r>
      <w:r>
        <w:rPr>
          <w:rFonts w:ascii="Calibri" w:eastAsia="Calibri" w:hAnsi="Calibri" w:cs="Times New Roman"/>
        </w:rPr>
        <w:t>n 2019 ATI was available for 77 per cent</w:t>
      </w:r>
      <w:r w:rsidRPr="00BB35C6">
        <w:rPr>
          <w:rFonts w:ascii="Calibri" w:eastAsia="Calibri" w:hAnsi="Calibri" w:cs="Times New Roman"/>
        </w:rPr>
        <w:t xml:space="preserve"> of parents. For other parents, an alternative income estimate is sourced from information such as payment summaries or social services data. This is robust for the purpose of estimating DMI. However, given the richness of the other data available, there may be opportunities to further improve data quality using imputation, but this requires further exploration.  </w:t>
      </w:r>
    </w:p>
    <w:p w14:paraId="41920735" w14:textId="77777777" w:rsidR="00BF56B3" w:rsidRPr="00127EEE" w:rsidRDefault="00BF56B3" w:rsidP="00BF56B3">
      <w:pPr>
        <w:rPr>
          <w:rFonts w:ascii="Calibri" w:eastAsia="Calibri" w:hAnsi="Calibri" w:cs="Times New Roman"/>
          <w:i/>
        </w:rPr>
      </w:pPr>
      <w:r w:rsidRPr="00127EEE">
        <w:rPr>
          <w:rFonts w:ascii="Calibri" w:eastAsia="Calibri" w:hAnsi="Calibri" w:cs="Times New Roman"/>
          <w:i/>
        </w:rPr>
        <w:t>Recommendation 3: Investigate options to improve timeliness on a regular basis.</w:t>
      </w:r>
    </w:p>
    <w:p w14:paraId="1A2B4C81" w14:textId="77777777" w:rsidR="00BF56B3" w:rsidRPr="00BB35C6" w:rsidRDefault="00BF56B3" w:rsidP="006E7967">
      <w:pPr>
        <w:spacing w:after="0"/>
        <w:rPr>
          <w:rFonts w:ascii="Calibri" w:eastAsia="Calibri" w:hAnsi="Calibri" w:cs="Times New Roman"/>
        </w:rPr>
      </w:pPr>
      <w:r w:rsidRPr="00BB35C6">
        <w:rPr>
          <w:rFonts w:ascii="Calibri" w:eastAsia="Calibri" w:hAnsi="Calibri" w:cs="Times New Roman"/>
        </w:rPr>
        <w:t>While the DMI score is considered a timely statistic overall, the ABS recommends that options to improve timeliness be investigated on a regular basis. These investigations should consider new opportunities to directly measure income which may arise due to changes in reporting requirements within the tax and other administrative systems.</w:t>
      </w:r>
    </w:p>
    <w:p w14:paraId="0DD93483" w14:textId="1438B918" w:rsidR="000674D8" w:rsidRPr="006E7967" w:rsidRDefault="002C5381" w:rsidP="006E7967">
      <w:pPr>
        <w:pStyle w:val="Heading2"/>
        <w:spacing w:after="0"/>
        <w:rPr>
          <w:sz w:val="38"/>
          <w:szCs w:val="38"/>
        </w:rPr>
      </w:pPr>
      <w:bookmarkStart w:id="8" w:name="_Toc128055790"/>
      <w:r w:rsidRPr="006E7967">
        <w:rPr>
          <w:sz w:val="38"/>
          <w:szCs w:val="38"/>
        </w:rPr>
        <w:t>Annual Data Validation and Quality Assurance Process</w:t>
      </w:r>
      <w:bookmarkEnd w:id="8"/>
      <w:r w:rsidRPr="006E7967">
        <w:rPr>
          <w:sz w:val="38"/>
          <w:szCs w:val="38"/>
        </w:rPr>
        <w:t xml:space="preserve"> </w:t>
      </w:r>
    </w:p>
    <w:p w14:paraId="18311E4A" w14:textId="77777777" w:rsidR="005A6A7A" w:rsidRDefault="005A6A7A" w:rsidP="005A6A7A">
      <w:r>
        <w:t xml:space="preserve">The independent assessment in the ABS report is a point in time analysis and was based on data, calculations and results used to calculate a DMI score using data from the 2018 and 2019 </w:t>
      </w:r>
      <w:r w:rsidRPr="00F86B1E">
        <w:rPr>
          <w:rStyle w:val="Hyperlink"/>
          <w:color w:val="auto"/>
          <w:u w:val="none"/>
        </w:rPr>
        <w:t>Parent and Other Information Collection</w:t>
      </w:r>
      <w:r>
        <w:t xml:space="preserve">. In addition to a point in time assessment, the report also includes a data quality and validation framework that can be used annually. </w:t>
      </w:r>
    </w:p>
    <w:p w14:paraId="2F63B5AE" w14:textId="7A16D80D" w:rsidR="005A6A7A" w:rsidRDefault="0006743A" w:rsidP="005A6A7A">
      <w:r>
        <w:t xml:space="preserve">The Department </w:t>
      </w:r>
      <w:r w:rsidR="005A6A7A">
        <w:t xml:space="preserve">worked in partnership with the ABS to develop the data quality and validation framework. The framework will be used annually to assess if data are fit for purpose, reliable and robust. Under this framework data, calculations and results will be assessed in line with the ABS’s seven dimensions of quality – institutional environment, relevance, timeliness, accuracy, coherence, </w:t>
      </w:r>
      <w:proofErr w:type="gramStart"/>
      <w:r w:rsidR="005A6A7A">
        <w:t>interpretability</w:t>
      </w:r>
      <w:proofErr w:type="gramEnd"/>
      <w:r w:rsidR="005A6A7A">
        <w:t xml:space="preserve"> and accessibility. </w:t>
      </w:r>
    </w:p>
    <w:p w14:paraId="1F3DA1EA" w14:textId="095F12EF" w:rsidR="005A6A7A" w:rsidRDefault="005A6A7A" w:rsidP="005A6A7A">
      <w:r>
        <w:t xml:space="preserve">The framework will be used by the department to better understand the quality of the data so it can decide whether it is appropriate to use a DMI score to calculate funding for a school. </w:t>
      </w:r>
      <w:r w:rsidR="00620F4D">
        <w:t>From</w:t>
      </w:r>
      <w:r w:rsidR="00620F4D" w:rsidRPr="009143DA">
        <w:t xml:space="preserve"> </w:t>
      </w:r>
      <w:r w:rsidRPr="009143DA">
        <w:t>2022 or a later year,</w:t>
      </w:r>
      <w:r>
        <w:t xml:space="preserve"> where it is not appropriate to use the DMI methodology, the refined area methodology will be used</w:t>
      </w:r>
      <w:r w:rsidR="00620F4D">
        <w:t xml:space="preserve"> to calculate a refined area-based (RAB) score</w:t>
      </w:r>
      <w:r>
        <w:t xml:space="preserve">. </w:t>
      </w:r>
    </w:p>
    <w:p w14:paraId="1A794F59" w14:textId="77777777" w:rsidR="005A6A7A" w:rsidRDefault="005A6A7A" w:rsidP="005A6A7A">
      <w:r>
        <w:t>The process is comprehensive and covers a wide scope of quality assurance activities including:</w:t>
      </w:r>
    </w:p>
    <w:p w14:paraId="3AE5CBCB" w14:textId="3387799B" w:rsidR="005A6A7A" w:rsidRDefault="005A6A7A" w:rsidP="005A6A7A">
      <w:pPr>
        <w:pStyle w:val="ListParagraph"/>
        <w:numPr>
          <w:ilvl w:val="0"/>
          <w:numId w:val="21"/>
        </w:numPr>
      </w:pPr>
      <w:r>
        <w:t xml:space="preserve">Evaluating the </w:t>
      </w:r>
      <w:r w:rsidR="006E7967">
        <w:t>end-to-end</w:t>
      </w:r>
      <w:r>
        <w:t xml:space="preserve"> process for calculating a CTC score based on the </w:t>
      </w:r>
      <w:hyperlink r:id="rId20" w:history="1">
        <w:r w:rsidRPr="00176CD7">
          <w:rPr>
            <w:rStyle w:val="Hyperlink"/>
            <w:rFonts w:ascii="Calibri" w:eastAsia="SimSun" w:hAnsi="Calibri" w:cs="Times New Roman"/>
          </w:rPr>
          <w:t>ABS Capacity to Contribute Data Quality Framework</w:t>
        </w:r>
      </w:hyperlink>
    </w:p>
    <w:p w14:paraId="1CC80902" w14:textId="77777777" w:rsidR="005A6A7A" w:rsidRDefault="005A6A7A" w:rsidP="005A6A7A">
      <w:pPr>
        <w:pStyle w:val="ListParagraph"/>
        <w:numPr>
          <w:ilvl w:val="0"/>
          <w:numId w:val="21"/>
        </w:numPr>
      </w:pPr>
      <w:r>
        <w:t xml:space="preserve">As part of this evaluation applying quality metrics to the calculation of a DMI score to test the accuracy of data inputs, data calculations and </w:t>
      </w:r>
      <w:proofErr w:type="gramStart"/>
      <w:r>
        <w:t>results</w:t>
      </w:r>
      <w:proofErr w:type="gramEnd"/>
      <w:r>
        <w:t xml:space="preserve"> </w:t>
      </w:r>
    </w:p>
    <w:p w14:paraId="410E5889" w14:textId="77777777" w:rsidR="005A6A7A" w:rsidRDefault="005A6A7A" w:rsidP="005A6A7A">
      <w:pPr>
        <w:pStyle w:val="ListParagraph"/>
        <w:numPr>
          <w:ilvl w:val="0"/>
          <w:numId w:val="21"/>
        </w:numPr>
      </w:pPr>
      <w:r>
        <w:t xml:space="preserve">As part of this evaluation considering unique circumstances of schools as part of the testing of the accuracy of data inputs, data calculations and results  </w:t>
      </w:r>
    </w:p>
    <w:p w14:paraId="6C97704D" w14:textId="392BA163" w:rsidR="005A6A7A" w:rsidRDefault="005A6A7A" w:rsidP="005A6A7A">
      <w:pPr>
        <w:pStyle w:val="Heading3"/>
      </w:pPr>
      <w:bookmarkStart w:id="9" w:name="_Toc128055791"/>
      <w:r>
        <w:lastRenderedPageBreak/>
        <w:t>What is a quality gate?</w:t>
      </w:r>
      <w:bookmarkEnd w:id="9"/>
    </w:p>
    <w:p w14:paraId="2732098F" w14:textId="77777777" w:rsidR="006659A4" w:rsidRPr="00BB35C6" w:rsidRDefault="006659A4" w:rsidP="006659A4">
      <w:r w:rsidRPr="00BB35C6">
        <w:t>Quality gates are check points placed throughout the statistical production process to support the identification and treatment of statistical quality risks.</w:t>
      </w:r>
      <w:r>
        <w:t xml:space="preserve"> This is a standard statistical practice that has been applied to the production of a DMI score.  </w:t>
      </w:r>
    </w:p>
    <w:p w14:paraId="45A57C74" w14:textId="77777777" w:rsidR="006659A4" w:rsidRPr="00BB35C6" w:rsidRDefault="006659A4" w:rsidP="006659A4">
      <w:r w:rsidRPr="00CC74D0">
        <w:t>Diagram</w:t>
      </w:r>
      <w:r w:rsidRPr="00BB35C6">
        <w:t xml:space="preserve"> 1 describes the components of a quality gate. It shows that quality gates consist of a set of quality checks, called quality measures. At each quality gate</w:t>
      </w:r>
      <w:r>
        <w:t>,</w:t>
      </w:r>
      <w:r w:rsidRPr="00BB35C6">
        <w:t xml:space="preserve"> roles are assigned so it is clear who owns, </w:t>
      </w:r>
      <w:proofErr w:type="gramStart"/>
      <w:r w:rsidRPr="00BB35C6">
        <w:t>manages</w:t>
      </w:r>
      <w:proofErr w:type="gramEnd"/>
      <w:r w:rsidRPr="00BB35C6">
        <w:t xml:space="preserve"> and approves the passing of data through a gate. Tolerances are set at each gate and are determined in consultation with stakeholders to support a robust quality assurance process in the context of practical constraints. Actions are taken depending on the pre-defined tolerance levels associated with each quality measure. </w:t>
      </w:r>
    </w:p>
    <w:p w14:paraId="78A44F3F" w14:textId="77777777" w:rsidR="006659A4" w:rsidRPr="00CC74D0" w:rsidRDefault="006659A4" w:rsidP="006659A4">
      <w:pPr>
        <w:rPr>
          <w:b/>
        </w:rPr>
      </w:pPr>
      <w:r w:rsidRPr="00CC74D0">
        <w:rPr>
          <w:b/>
        </w:rPr>
        <w:t>Diagram 1. Key components of a quality gate</w:t>
      </w:r>
    </w:p>
    <w:p w14:paraId="52810D4F" w14:textId="77777777" w:rsidR="006659A4" w:rsidRDefault="006659A4" w:rsidP="006659A4">
      <w:pPr>
        <w:jc w:val="center"/>
      </w:pPr>
      <w:r>
        <w:rPr>
          <w:rFonts w:ascii="Calibri" w:eastAsia="SimSun" w:hAnsi="Calibri" w:cs="Times New Roman"/>
          <w:noProof/>
          <w:lang w:eastAsia="zh-CN"/>
        </w:rPr>
        <w:drawing>
          <wp:inline distT="0" distB="0" distL="0" distR="0" wp14:anchorId="3BE87F6B" wp14:editId="616CFF0A">
            <wp:extent cx="4986699" cy="2848911"/>
            <wp:effectExtent l="0" t="0" r="4445" b="8890"/>
            <wp:docPr id="4" name="Picture 4" descr="Key components of Quality Gates&#10;&#10;There are six key components of a quality Gate. &#10;1. Placement. Gates should be placed at points in the process where risks associated with critical events can be identified. &#10;2. Quality Measures. Choose key indicators that can help assess potential risks and define them. &#10;3. Roles. Decide who owns, manages, signs off the gate. Identify relevant stakeholders.&#10;4. Tolerances. Consider stakeholder quality requirements and consider key factors to set tolerances or thresholds for each quality measure.&#10;5. Actions. Agree what actions will be taken depending on the outcome or result of the assessment of the quality measure against the pre-defined tolerances. &#10;6. Execute. Execute the quality gates process and evaluate i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1179" cy="2851470"/>
                    </a:xfrm>
                    <a:prstGeom prst="rect">
                      <a:avLst/>
                    </a:prstGeom>
                    <a:noFill/>
                  </pic:spPr>
                </pic:pic>
              </a:graphicData>
            </a:graphic>
          </wp:inline>
        </w:drawing>
      </w:r>
    </w:p>
    <w:p w14:paraId="5B775271" w14:textId="0A96A078" w:rsidR="006659A4" w:rsidRDefault="006659A4" w:rsidP="006659A4">
      <w:pPr>
        <w:pStyle w:val="Heading3"/>
      </w:pPr>
      <w:bookmarkStart w:id="10" w:name="_Toc128055792"/>
      <w:r>
        <w:t>How are quality gates used to validate a DMI score?</w:t>
      </w:r>
      <w:bookmarkEnd w:id="10"/>
    </w:p>
    <w:p w14:paraId="284D8370" w14:textId="51EB99DA" w:rsidR="00133D14" w:rsidRPr="00BB35C6" w:rsidRDefault="00133D14" w:rsidP="00133D14">
      <w:r w:rsidRPr="00BB35C6">
        <w:t xml:space="preserve">The </w:t>
      </w:r>
      <w:hyperlink r:id="rId22" w:history="1">
        <w:r w:rsidRPr="004F6DEA">
          <w:rPr>
            <w:rFonts w:ascii="Calibri" w:eastAsia="SimSun" w:hAnsi="Calibri" w:cs="Times New Roman"/>
            <w:color w:val="55437E" w:themeColor="accent2"/>
            <w:u w:val="single"/>
          </w:rPr>
          <w:t>ABS Capacity to Contribute Data Quality Framework</w:t>
        </w:r>
      </w:hyperlink>
      <w:r w:rsidRPr="004F6DEA">
        <w:rPr>
          <w:rFonts w:ascii="Calibri" w:eastAsia="SimSun" w:hAnsi="Calibri" w:cs="Times New Roman"/>
          <w:color w:val="55437E" w:themeColor="accent2"/>
          <w:u w:val="single"/>
        </w:rPr>
        <w:t xml:space="preserve"> </w:t>
      </w:r>
      <w:r w:rsidRPr="00BB35C6">
        <w:t xml:space="preserve">outlines how each of the </w:t>
      </w:r>
      <w:r>
        <w:t xml:space="preserve">standard </w:t>
      </w:r>
      <w:r w:rsidRPr="00BB35C6">
        <w:t xml:space="preserve">components of a quality gate </w:t>
      </w:r>
      <w:r>
        <w:t xml:space="preserve">(as shown </w:t>
      </w:r>
      <w:r w:rsidRPr="00BB35C6">
        <w:t>in Diagram 1</w:t>
      </w:r>
      <w:r>
        <w:t>)</w:t>
      </w:r>
      <w:r w:rsidRPr="00BB35C6">
        <w:t xml:space="preserve"> have been applied to the calculation of a DMI score. </w:t>
      </w:r>
    </w:p>
    <w:p w14:paraId="40B8261F" w14:textId="77777777" w:rsidR="00133D14" w:rsidRPr="00BB35C6" w:rsidRDefault="00133D14" w:rsidP="00133D14">
      <w:pPr>
        <w:rPr>
          <w:rFonts w:ascii="Calibri" w:eastAsia="SimSun" w:hAnsi="Calibri" w:cs="Times New Roman"/>
        </w:rPr>
      </w:pPr>
      <w:r w:rsidRPr="00BB35C6">
        <w:t>Diagram 2 shows the following five quality gates that have been placed in the DMI production process</w:t>
      </w:r>
      <w:r w:rsidRPr="00BB35C6">
        <w:rPr>
          <w:rFonts w:ascii="Calibri" w:eastAsia="SimSun" w:hAnsi="Calibri" w:cs="Times New Roman"/>
        </w:rPr>
        <w:t xml:space="preserve"> at critical points in the process to support statistical quality throughout the DMI production process:</w:t>
      </w:r>
    </w:p>
    <w:p w14:paraId="739B4335" w14:textId="77777777" w:rsidR="00133D14" w:rsidRPr="00BB35C6" w:rsidRDefault="00133D14" w:rsidP="00133D14">
      <w:pPr>
        <w:numPr>
          <w:ilvl w:val="0"/>
          <w:numId w:val="22"/>
        </w:numPr>
        <w:spacing w:after="200" w:line="360" w:lineRule="auto"/>
        <w:contextualSpacing/>
        <w:rPr>
          <w:rFonts w:ascii="Calibri" w:eastAsia="SimSun" w:hAnsi="Calibri" w:cs="Times New Roman"/>
        </w:rPr>
      </w:pPr>
      <w:r w:rsidRPr="00BB35C6">
        <w:rPr>
          <w:rFonts w:ascii="Calibri" w:eastAsia="SimSun" w:hAnsi="Calibri" w:cs="Times New Roman"/>
          <w:i/>
        </w:rPr>
        <w:t>Quality Gate 1: Collect and prepare input data</w:t>
      </w:r>
      <w:r w:rsidRPr="00BB35C6">
        <w:rPr>
          <w:rFonts w:ascii="Calibri" w:eastAsia="SimSun" w:hAnsi="Calibri" w:cs="Times New Roman"/>
        </w:rPr>
        <w:t xml:space="preserve"> supports data governance and the quality and the com</w:t>
      </w:r>
      <w:r>
        <w:rPr>
          <w:rFonts w:ascii="Calibri" w:eastAsia="SimSun" w:hAnsi="Calibri" w:cs="Times New Roman"/>
        </w:rPr>
        <w:t xml:space="preserve">pleteness of each input </w:t>
      </w:r>
      <w:proofErr w:type="gramStart"/>
      <w:r>
        <w:rPr>
          <w:rFonts w:ascii="Calibri" w:eastAsia="SimSun" w:hAnsi="Calibri" w:cs="Times New Roman"/>
        </w:rPr>
        <w:t>dataset</w:t>
      </w:r>
      <w:proofErr w:type="gramEnd"/>
    </w:p>
    <w:p w14:paraId="266E4131" w14:textId="77777777" w:rsidR="00133D14" w:rsidRPr="00BB35C6" w:rsidRDefault="00133D14" w:rsidP="00133D14">
      <w:pPr>
        <w:numPr>
          <w:ilvl w:val="0"/>
          <w:numId w:val="22"/>
        </w:numPr>
        <w:spacing w:after="200" w:line="360" w:lineRule="auto"/>
        <w:contextualSpacing/>
        <w:rPr>
          <w:rFonts w:ascii="Calibri" w:eastAsia="SimSun" w:hAnsi="Calibri" w:cs="Times New Roman"/>
        </w:rPr>
      </w:pPr>
      <w:r w:rsidRPr="00BB35C6">
        <w:rPr>
          <w:rFonts w:ascii="Calibri" w:eastAsia="SimSun" w:hAnsi="Calibri" w:cs="Times New Roman"/>
          <w:i/>
        </w:rPr>
        <w:t>Quality Gate 2: Standardise, link and assemble</w:t>
      </w:r>
      <w:r w:rsidRPr="00BB35C6">
        <w:rPr>
          <w:rFonts w:ascii="Calibri" w:eastAsia="SimSun" w:hAnsi="Calibri" w:cs="Times New Roman"/>
        </w:rPr>
        <w:t xml:space="preserve"> identifies major errors in the source data that impact on linkage quality and flags unexpected linkage</w:t>
      </w:r>
      <w:r>
        <w:rPr>
          <w:rFonts w:ascii="Calibri" w:eastAsia="SimSun" w:hAnsi="Calibri" w:cs="Times New Roman"/>
        </w:rPr>
        <w:t xml:space="preserve"> quality outcomes for </w:t>
      </w:r>
      <w:proofErr w:type="gramStart"/>
      <w:r>
        <w:rPr>
          <w:rFonts w:ascii="Calibri" w:eastAsia="SimSun" w:hAnsi="Calibri" w:cs="Times New Roman"/>
        </w:rPr>
        <w:t>follow-up</w:t>
      </w:r>
      <w:proofErr w:type="gramEnd"/>
    </w:p>
    <w:p w14:paraId="6EC7AEDE" w14:textId="77777777" w:rsidR="00133D14" w:rsidRPr="00BB35C6" w:rsidRDefault="00133D14" w:rsidP="00133D14">
      <w:pPr>
        <w:numPr>
          <w:ilvl w:val="0"/>
          <w:numId w:val="22"/>
        </w:numPr>
        <w:spacing w:after="200" w:line="360" w:lineRule="auto"/>
        <w:contextualSpacing/>
        <w:rPr>
          <w:rFonts w:ascii="Calibri" w:eastAsia="SimSun" w:hAnsi="Calibri" w:cs="Times New Roman"/>
        </w:rPr>
      </w:pPr>
      <w:r w:rsidRPr="00BB35C6">
        <w:rPr>
          <w:rFonts w:ascii="Calibri" w:eastAsia="SimSun" w:hAnsi="Calibri" w:cs="Times New Roman"/>
          <w:i/>
        </w:rPr>
        <w:lastRenderedPageBreak/>
        <w:t>Quality Gate 3: Examine school scores</w:t>
      </w:r>
      <w:r w:rsidRPr="00BB35C6">
        <w:rPr>
          <w:rFonts w:ascii="Calibri" w:eastAsia="SimSun" w:hAnsi="Calibri" w:cs="Times New Roman"/>
        </w:rPr>
        <w:t xml:space="preserve"> supports the validation of DMI scores, the identification of DMI scores with potential quality issues, and decision-making by the Department about cases in which the DMI score may not be the most fit-for-purpose e</w:t>
      </w:r>
      <w:r>
        <w:rPr>
          <w:rFonts w:ascii="Calibri" w:eastAsia="SimSun" w:hAnsi="Calibri" w:cs="Times New Roman"/>
        </w:rPr>
        <w:t xml:space="preserve">stimate and should not be </w:t>
      </w:r>
      <w:proofErr w:type="gramStart"/>
      <w:r>
        <w:rPr>
          <w:rFonts w:ascii="Calibri" w:eastAsia="SimSun" w:hAnsi="Calibri" w:cs="Times New Roman"/>
        </w:rPr>
        <w:t>used</w:t>
      </w:r>
      <w:proofErr w:type="gramEnd"/>
    </w:p>
    <w:p w14:paraId="7D8C7215" w14:textId="77777777" w:rsidR="00133D14" w:rsidRPr="00BB35C6" w:rsidRDefault="00133D14" w:rsidP="00133D14">
      <w:pPr>
        <w:numPr>
          <w:ilvl w:val="0"/>
          <w:numId w:val="22"/>
        </w:numPr>
        <w:spacing w:after="200" w:line="360" w:lineRule="auto"/>
        <w:contextualSpacing/>
        <w:rPr>
          <w:rFonts w:ascii="Calibri" w:eastAsia="SimSun" w:hAnsi="Calibri" w:cs="Times New Roman"/>
        </w:rPr>
      </w:pPr>
      <w:r w:rsidRPr="00BB35C6">
        <w:rPr>
          <w:rFonts w:ascii="Calibri" w:eastAsia="SimSun" w:hAnsi="Calibri" w:cs="Times New Roman"/>
          <w:i/>
        </w:rPr>
        <w:t>Quality Gate 4: Protect privacy and release</w:t>
      </w:r>
      <w:r w:rsidRPr="00BB35C6">
        <w:rPr>
          <w:rFonts w:ascii="Calibri" w:eastAsia="SimSun" w:hAnsi="Calibri" w:cs="Times New Roman"/>
        </w:rPr>
        <w:t xml:space="preserve"> checks that all final privacy and confidentiality protections are applied in accordance with legislative requirements so that data can b</w:t>
      </w:r>
      <w:r>
        <w:rPr>
          <w:rFonts w:ascii="Calibri" w:eastAsia="SimSun" w:hAnsi="Calibri" w:cs="Times New Roman"/>
        </w:rPr>
        <w:t>e released from the ABS DataLab</w:t>
      </w:r>
    </w:p>
    <w:p w14:paraId="10017E27" w14:textId="77777777" w:rsidR="00133D14" w:rsidRDefault="00133D14" w:rsidP="00133D14">
      <w:pPr>
        <w:numPr>
          <w:ilvl w:val="0"/>
          <w:numId w:val="22"/>
        </w:numPr>
        <w:spacing w:after="200" w:line="360" w:lineRule="auto"/>
        <w:contextualSpacing/>
        <w:rPr>
          <w:rFonts w:ascii="Calibri" w:eastAsia="SimSun" w:hAnsi="Calibri" w:cs="Times New Roman"/>
        </w:rPr>
      </w:pPr>
      <w:r w:rsidRPr="00BB35C6">
        <w:rPr>
          <w:rFonts w:ascii="Calibri" w:eastAsia="SimSun" w:hAnsi="Calibri" w:cs="Times New Roman"/>
          <w:i/>
        </w:rPr>
        <w:t>Quality Gate 5: Review and evaluate</w:t>
      </w:r>
      <w:r w:rsidRPr="00BB35C6">
        <w:rPr>
          <w:rFonts w:ascii="Calibri" w:eastAsia="SimSun" w:hAnsi="Calibri" w:cs="Times New Roman"/>
        </w:rPr>
        <w:t xml:space="preserve"> provides for annual review of the quality assurance </w:t>
      </w:r>
      <w:proofErr w:type="gramStart"/>
      <w:r w:rsidRPr="00BB35C6">
        <w:rPr>
          <w:rFonts w:ascii="Calibri" w:eastAsia="SimSun" w:hAnsi="Calibri" w:cs="Times New Roman"/>
        </w:rPr>
        <w:t>processes</w:t>
      </w:r>
      <w:proofErr w:type="gramEnd"/>
    </w:p>
    <w:p w14:paraId="24514EA6" w14:textId="12AA1DD0" w:rsidR="00133D14" w:rsidRPr="00BB35C6" w:rsidRDefault="00133D14" w:rsidP="00133D14">
      <w:r w:rsidRPr="00422488">
        <w:t>The quality measures used for DMI process</w:t>
      </w:r>
      <w:r>
        <w:t>es</w:t>
      </w:r>
      <w:r w:rsidRPr="00422488">
        <w:t xml:space="preserve"> at each gate have been co-designed by the department and the ABS and are published in the </w:t>
      </w:r>
      <w:hyperlink r:id="rId23" w:history="1">
        <w:r w:rsidRPr="00176CD7">
          <w:rPr>
            <w:rStyle w:val="Hyperlink"/>
            <w:rFonts w:ascii="Calibri" w:eastAsia="SimSun" w:hAnsi="Calibri" w:cs="Times New Roman"/>
          </w:rPr>
          <w:t>ABS Capacity to Contribute Data Quality Framework</w:t>
        </w:r>
      </w:hyperlink>
      <w:r w:rsidRPr="00422488">
        <w:t>.</w:t>
      </w:r>
      <w:r w:rsidR="00A12D95">
        <w:t xml:space="preserve"> </w:t>
      </w:r>
      <w:bookmarkStart w:id="11" w:name="_Hlk168578581"/>
      <w:r w:rsidR="00A12D95">
        <w:t xml:space="preserve">The department also applies business rules that are broadly aligned with the ABS Capacity to Contribute Data Quality Framework. </w:t>
      </w:r>
      <w:proofErr w:type="gramStart"/>
      <w:r w:rsidR="00A12D95">
        <w:t>In particular for</w:t>
      </w:r>
      <w:proofErr w:type="gramEnd"/>
      <w:r w:rsidR="00A12D95">
        <w:t xml:space="preserve"> Quality Gate 1, these business rules are used during the Address Collection process and to prepare data to calculate a school’s annual DMI score.  </w:t>
      </w:r>
      <w:bookmarkEnd w:id="11"/>
    </w:p>
    <w:p w14:paraId="5E42FDC9" w14:textId="77777777" w:rsidR="00133D14" w:rsidRPr="00BB35C6" w:rsidRDefault="00133D14" w:rsidP="00133D14">
      <w:pPr>
        <w:keepNext/>
        <w:keepLines/>
        <w:rPr>
          <w:rFonts w:ascii="Calibri" w:eastAsia="SimSun" w:hAnsi="Calibri" w:cs="Times New Roman"/>
          <w:b/>
        </w:rPr>
      </w:pPr>
      <w:r w:rsidRPr="00BB35C6">
        <w:rPr>
          <w:rFonts w:ascii="Calibri" w:eastAsia="SimSun" w:hAnsi="Calibri" w:cs="Times New Roman"/>
          <w:b/>
        </w:rPr>
        <w:t xml:space="preserve">Diagram 2. Data Validation and Quality Assurance Process in creating </w:t>
      </w:r>
      <w:r>
        <w:rPr>
          <w:rFonts w:ascii="Calibri" w:eastAsia="SimSun" w:hAnsi="Calibri" w:cs="Times New Roman"/>
          <w:b/>
        </w:rPr>
        <w:t xml:space="preserve">DMI </w:t>
      </w:r>
      <w:proofErr w:type="gramStart"/>
      <w:r w:rsidRPr="00BB35C6">
        <w:rPr>
          <w:rFonts w:ascii="Calibri" w:eastAsia="SimSun" w:hAnsi="Calibri" w:cs="Times New Roman"/>
          <w:b/>
        </w:rPr>
        <w:t>scores</w:t>
      </w:r>
      <w:proofErr w:type="gramEnd"/>
      <w:r w:rsidRPr="00BB35C6">
        <w:rPr>
          <w:rFonts w:ascii="Calibri" w:eastAsia="SimSun" w:hAnsi="Calibri" w:cs="Times New Roman"/>
          <w:b/>
        </w:rPr>
        <w:t xml:space="preserve"> </w:t>
      </w:r>
    </w:p>
    <w:p w14:paraId="169F33B7" w14:textId="36E8B0C8" w:rsidR="00133D14" w:rsidRPr="00133D14" w:rsidRDefault="00133D14" w:rsidP="00133D14">
      <w:pPr>
        <w:jc w:val="center"/>
        <w:rPr>
          <w:rFonts w:ascii="Calibri" w:eastAsia="SimSun" w:hAnsi="Calibri" w:cs="Times New Roman"/>
        </w:rPr>
      </w:pPr>
      <w:r>
        <w:rPr>
          <w:noProof/>
          <w:sz w:val="16"/>
          <w:szCs w:val="16"/>
          <w:lang w:eastAsia="zh-CN"/>
        </w:rPr>
        <w:drawing>
          <wp:inline distT="0" distB="0" distL="0" distR="0" wp14:anchorId="4D784136" wp14:editId="30E51A4A">
            <wp:extent cx="4095750" cy="4613082"/>
            <wp:effectExtent l="0" t="0" r="0" b="0"/>
            <wp:docPr id="16" name="Picture 16" descr="This depicts the capacity to contribute high level process.&#10;&#10;The process sets out the main steps in the statistical production process for school community CTC scores based on the DMI. &#10;&#10;The 5 key phases of the production process are: collect, process, validate, publish and evaluate. &#10;&#10;There is a quality gate associated with each of these high level phases.&#10;&#10;Within those phases, the detailed steps in the process are described in the body of th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depicts the capacity to contribute high level process.&#10;&#10;The process sets out the main steps in the statistical production process for school community CTC scores based on the DMI. &#10;&#10;The 5 key phases of the production process are: collect, process, validate, publish and evaluate. &#10;&#10;There is a quality gate associated with each of these high level phases.&#10;&#10;Within those phases, the detailed steps in the process are described in the body of this repo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09312" cy="4628356"/>
                    </a:xfrm>
                    <a:prstGeom prst="rect">
                      <a:avLst/>
                    </a:prstGeom>
                  </pic:spPr>
                </pic:pic>
              </a:graphicData>
            </a:graphic>
          </wp:inline>
        </w:drawing>
      </w:r>
    </w:p>
    <w:p w14:paraId="748FB2A4" w14:textId="6009B609" w:rsidR="00133D14" w:rsidRPr="00BB35C6" w:rsidRDefault="00133D14" w:rsidP="00133D14">
      <w:pPr>
        <w:rPr>
          <w:rFonts w:ascii="Calibri" w:eastAsia="Calibri" w:hAnsi="Calibri" w:cs="Times New Roman"/>
        </w:rPr>
      </w:pPr>
      <w:r w:rsidRPr="00BB35C6">
        <w:rPr>
          <w:rFonts w:ascii="Calibri" w:eastAsia="Calibri" w:hAnsi="Calibri" w:cs="Times New Roman"/>
        </w:rPr>
        <w:t xml:space="preserve">Diagram 3 provides an overview of how the five quality gates outlined in Diagram 2, in combination with quality measures and tolerances outlined in the </w:t>
      </w:r>
      <w:hyperlink r:id="rId25" w:history="1">
        <w:r w:rsidRPr="004F6DEA">
          <w:rPr>
            <w:rFonts w:ascii="Calibri" w:eastAsia="SimSun" w:hAnsi="Calibri" w:cs="Times New Roman"/>
            <w:color w:val="55437E" w:themeColor="accent2"/>
            <w:u w:val="single"/>
          </w:rPr>
          <w:t xml:space="preserve">ABS Capacity to Contribute Data Quality </w:t>
        </w:r>
        <w:r w:rsidRPr="004F6DEA">
          <w:rPr>
            <w:rFonts w:ascii="Calibri" w:eastAsia="SimSun" w:hAnsi="Calibri" w:cs="Times New Roman"/>
            <w:color w:val="55437E" w:themeColor="accent2"/>
            <w:u w:val="single"/>
          </w:rPr>
          <w:lastRenderedPageBreak/>
          <w:t>Framework</w:t>
        </w:r>
      </w:hyperlink>
      <w:r w:rsidRPr="00511FE7">
        <w:rPr>
          <w:rFonts w:ascii="Calibri" w:eastAsia="Calibri" w:hAnsi="Calibri" w:cs="Times New Roman"/>
        </w:rPr>
        <w:t xml:space="preserve">, </w:t>
      </w:r>
      <w:r w:rsidRPr="00BB35C6">
        <w:rPr>
          <w:rFonts w:ascii="Calibri" w:eastAsia="Calibri" w:hAnsi="Calibri" w:cs="Times New Roman"/>
        </w:rPr>
        <w:t xml:space="preserve">will be used as major decision points </w:t>
      </w:r>
      <w:r>
        <w:rPr>
          <w:rFonts w:ascii="Calibri" w:eastAsia="Calibri" w:hAnsi="Calibri" w:cs="Times New Roman"/>
        </w:rPr>
        <w:t xml:space="preserve">in the decision-making process </w:t>
      </w:r>
      <w:r w:rsidRPr="00BB35C6">
        <w:rPr>
          <w:rFonts w:ascii="Calibri" w:eastAsia="Calibri" w:hAnsi="Calibri" w:cs="Times New Roman"/>
        </w:rPr>
        <w:t xml:space="preserve">that </w:t>
      </w:r>
      <w:r>
        <w:rPr>
          <w:rFonts w:ascii="Calibri" w:eastAsia="Calibri" w:hAnsi="Calibri" w:cs="Times New Roman"/>
        </w:rPr>
        <w:t xml:space="preserve">could </w:t>
      </w:r>
      <w:r w:rsidRPr="00BB35C6">
        <w:rPr>
          <w:rFonts w:ascii="Calibri" w:eastAsia="Calibri" w:hAnsi="Calibri" w:cs="Times New Roman"/>
        </w:rPr>
        <w:t xml:space="preserve">trigger an action. </w:t>
      </w:r>
    </w:p>
    <w:p w14:paraId="47C54280" w14:textId="77777777" w:rsidR="00133D14" w:rsidRPr="00BB35C6" w:rsidRDefault="00133D14" w:rsidP="00133D14">
      <w:r w:rsidRPr="00BB35C6">
        <w:rPr>
          <w:rFonts w:ascii="Calibri" w:eastAsia="SimSun" w:hAnsi="Calibri" w:cs="Times New Roman"/>
        </w:rPr>
        <w:t xml:space="preserve">As an illustration, at Quality Gate 3, a change in score of more than </w:t>
      </w:r>
      <w:r>
        <w:rPr>
          <w:rFonts w:ascii="Calibri" w:eastAsia="SimSun" w:hAnsi="Calibri" w:cs="Times New Roman"/>
        </w:rPr>
        <w:t>six</w:t>
      </w:r>
      <w:r w:rsidRPr="00BB35C6">
        <w:rPr>
          <w:rFonts w:ascii="Calibri" w:eastAsia="SimSun" w:hAnsi="Calibri" w:cs="Times New Roman"/>
        </w:rPr>
        <w:t xml:space="preserve"> points (a tolerance) may trigger a manual review (an action). The department (who owns the gate) would then investigate whether the</w:t>
      </w:r>
      <w:r>
        <w:rPr>
          <w:rFonts w:ascii="Calibri" w:eastAsia="SimSun" w:hAnsi="Calibri" w:cs="Times New Roman"/>
        </w:rPr>
        <w:t>re</w:t>
      </w:r>
      <w:r w:rsidRPr="00BB35C6">
        <w:rPr>
          <w:rFonts w:ascii="Calibri" w:eastAsia="SimSun" w:hAnsi="Calibri" w:cs="Times New Roman"/>
        </w:rPr>
        <w:t xml:space="preserve"> are any unique circumstances, an economic shock</w:t>
      </w:r>
      <w:r>
        <w:rPr>
          <w:rFonts w:ascii="Calibri" w:eastAsia="SimSun" w:hAnsi="Calibri" w:cs="Times New Roman"/>
        </w:rPr>
        <w:t xml:space="preserve"> for example</w:t>
      </w:r>
      <w:r w:rsidRPr="00BB35C6">
        <w:rPr>
          <w:rFonts w:ascii="Calibri" w:eastAsia="SimSun" w:hAnsi="Calibri" w:cs="Times New Roman"/>
        </w:rPr>
        <w:t xml:space="preserve">, that may explain this sudden </w:t>
      </w:r>
      <w:r>
        <w:rPr>
          <w:rFonts w:ascii="Calibri" w:eastAsia="SimSun" w:hAnsi="Calibri" w:cs="Times New Roman"/>
        </w:rPr>
        <w:t>change</w:t>
      </w:r>
      <w:r w:rsidRPr="00BB35C6">
        <w:rPr>
          <w:rFonts w:ascii="Calibri" w:eastAsia="SimSun" w:hAnsi="Calibri" w:cs="Times New Roman"/>
        </w:rPr>
        <w:t>. If it is satisfied that the change in the score i</w:t>
      </w:r>
      <w:r>
        <w:rPr>
          <w:rFonts w:ascii="Calibri" w:eastAsia="SimSun" w:hAnsi="Calibri" w:cs="Times New Roman"/>
        </w:rPr>
        <w:t xml:space="preserve">s in keeping with expectations, </w:t>
      </w:r>
      <w:r w:rsidRPr="00BB35C6">
        <w:rPr>
          <w:rFonts w:ascii="Calibri" w:eastAsia="SimSun" w:hAnsi="Calibri" w:cs="Times New Roman"/>
        </w:rPr>
        <w:t xml:space="preserve">it will pass </w:t>
      </w:r>
      <w:r>
        <w:rPr>
          <w:rFonts w:ascii="Calibri" w:eastAsia="SimSun" w:hAnsi="Calibri" w:cs="Times New Roman"/>
        </w:rPr>
        <w:t xml:space="preserve">the DMI score </w:t>
      </w:r>
      <w:r w:rsidRPr="00BB35C6">
        <w:rPr>
          <w:rFonts w:ascii="Calibri" w:eastAsia="SimSun" w:hAnsi="Calibri" w:cs="Times New Roman"/>
        </w:rPr>
        <w:t>at Quality Gate 3 and move to Quality Gate 4.</w:t>
      </w:r>
    </w:p>
    <w:p w14:paraId="75950B54" w14:textId="17D2C319" w:rsidR="00133D14" w:rsidRPr="00BB35C6" w:rsidRDefault="00133D14" w:rsidP="00133D14">
      <w:pPr>
        <w:rPr>
          <w:rFonts w:ascii="Calibri" w:eastAsia="SimSun" w:hAnsi="Calibri" w:cs="Times New Roman"/>
        </w:rPr>
      </w:pPr>
      <w:r w:rsidRPr="00BB35C6">
        <w:rPr>
          <w:rFonts w:ascii="Calibri" w:eastAsia="SimSun" w:hAnsi="Calibri" w:cs="Times New Roman"/>
          <w:b/>
        </w:rPr>
        <w:t xml:space="preserve">Diagram 3. </w:t>
      </w:r>
      <w:r>
        <w:rPr>
          <w:rFonts w:ascii="Calibri" w:eastAsia="SimSun" w:hAnsi="Calibri" w:cs="Times New Roman"/>
          <w:b/>
        </w:rPr>
        <w:t>Overview, DMI q</w:t>
      </w:r>
      <w:r w:rsidRPr="00BB35C6">
        <w:rPr>
          <w:rFonts w:ascii="Calibri" w:eastAsia="SimSun" w:hAnsi="Calibri" w:cs="Times New Roman"/>
          <w:b/>
        </w:rPr>
        <w:t xml:space="preserve">uality gates </w:t>
      </w:r>
      <w:r>
        <w:rPr>
          <w:rFonts w:ascii="Calibri" w:eastAsia="SimSun" w:hAnsi="Calibri" w:cs="Times New Roman"/>
          <w:b/>
        </w:rPr>
        <w:t xml:space="preserve">and decision-making </w:t>
      </w:r>
      <w:proofErr w:type="gramStart"/>
      <w:r>
        <w:rPr>
          <w:rFonts w:ascii="Calibri" w:eastAsia="SimSun" w:hAnsi="Calibri" w:cs="Times New Roman"/>
          <w:b/>
        </w:rPr>
        <w:t>process</w:t>
      </w:r>
      <w:proofErr w:type="gramEnd"/>
    </w:p>
    <w:p w14:paraId="71E085C1" w14:textId="77777777" w:rsidR="00133D14" w:rsidRPr="00BB35C6" w:rsidRDefault="00133D14" w:rsidP="00133D14">
      <w:pPr>
        <w:jc w:val="center"/>
      </w:pPr>
      <w:r>
        <w:rPr>
          <w:noProof/>
          <w:lang w:eastAsia="zh-CN"/>
        </w:rPr>
        <w:drawing>
          <wp:inline distT="0" distB="0" distL="0" distR="0" wp14:anchorId="2940E0A9" wp14:editId="5F9DF927">
            <wp:extent cx="5544323" cy="5946660"/>
            <wp:effectExtent l="0" t="0" r="0" b="0"/>
            <wp:docPr id="6" name="Picture 6" descr="A high level overview of the five quality gates. These are described in detail in the sections that follow." title="Quality Gates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lity Gates Flow Diagram v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44323" cy="5946660"/>
                    </a:xfrm>
                    <a:prstGeom prst="rect">
                      <a:avLst/>
                    </a:prstGeom>
                  </pic:spPr>
                </pic:pic>
              </a:graphicData>
            </a:graphic>
          </wp:inline>
        </w:drawing>
      </w:r>
    </w:p>
    <w:p w14:paraId="5F218158" w14:textId="77777777" w:rsidR="002C5381" w:rsidRPr="002C5381" w:rsidRDefault="002C5381" w:rsidP="002C5381"/>
    <w:p w14:paraId="005F87D5" w14:textId="0954CF20" w:rsidR="0017134D" w:rsidRPr="00AD631F" w:rsidRDefault="00A815D9" w:rsidP="00AD631F">
      <w:pPr>
        <w:pStyle w:val="Heading2"/>
      </w:pPr>
      <w:r>
        <w:br w:type="column"/>
      </w:r>
      <w:bookmarkStart w:id="12" w:name="_Toc128055793"/>
      <w:bookmarkEnd w:id="4"/>
      <w:bookmarkEnd w:id="5"/>
      <w:bookmarkEnd w:id="6"/>
      <w:r w:rsidR="00133D14">
        <w:lastRenderedPageBreak/>
        <w:t>Further Information</w:t>
      </w:r>
      <w:bookmarkEnd w:id="12"/>
    </w:p>
    <w:p w14:paraId="2CED4BAF" w14:textId="5F271F00" w:rsidR="00837DCF" w:rsidRDefault="00837DCF" w:rsidP="00837DCF">
      <w:bookmarkStart w:id="13" w:name="_Toc126923148"/>
      <w:bookmarkStart w:id="14" w:name="_Toc126923159"/>
      <w:bookmarkStart w:id="15" w:name="_Toc126923318"/>
      <w:r>
        <w:t xml:space="preserve">Further information about </w:t>
      </w:r>
      <w:r w:rsidR="00A0012F">
        <w:t xml:space="preserve">how the </w:t>
      </w:r>
      <w:r>
        <w:t xml:space="preserve">Australian Government’s </w:t>
      </w:r>
      <w:r w:rsidR="00E6575C">
        <w:rPr>
          <w:iCs/>
        </w:rPr>
        <w:t xml:space="preserve">provides </w:t>
      </w:r>
      <w:r w:rsidR="00894604">
        <w:rPr>
          <w:iCs/>
        </w:rPr>
        <w:t>funding for schools</w:t>
      </w:r>
      <w:r w:rsidR="00E6575C">
        <w:rPr>
          <w:iCs/>
        </w:rPr>
        <w:t xml:space="preserve"> can be found </w:t>
      </w:r>
      <w:r w:rsidR="00FE7943">
        <w:rPr>
          <w:iCs/>
        </w:rPr>
        <w:t>on</w:t>
      </w:r>
      <w:r w:rsidR="00E6575C">
        <w:rPr>
          <w:iCs/>
        </w:rPr>
        <w:t xml:space="preserve"> the Department’s website at </w:t>
      </w:r>
      <w:hyperlink r:id="rId27" w:history="1">
        <w:r w:rsidR="00E6575C" w:rsidRPr="00E6575C">
          <w:rPr>
            <w:rStyle w:val="Hyperlink"/>
            <w:iCs/>
          </w:rPr>
          <w:t>Funding for schools</w:t>
        </w:r>
      </w:hyperlink>
      <w:r w:rsidR="00E6575C">
        <w:rPr>
          <w:iCs/>
        </w:rPr>
        <w:t>.</w:t>
      </w:r>
      <w:r w:rsidRPr="0011305A">
        <w:t xml:space="preserve"> </w:t>
      </w:r>
    </w:p>
    <w:p w14:paraId="6E3D0348" w14:textId="602C9316" w:rsidR="00AC31F3" w:rsidRDefault="00837DCF" w:rsidP="006E0864">
      <w:r w:rsidRPr="00CC74D0">
        <w:t xml:space="preserve">Further details of the </w:t>
      </w:r>
      <w:r w:rsidRPr="00BB35C6">
        <w:t>Capacity to Contribute Data Validation and Quality Assurance Process</w:t>
      </w:r>
      <w:r>
        <w:t xml:space="preserve"> are published in the </w:t>
      </w:r>
      <w:hyperlink r:id="rId28" w:history="1">
        <w:r w:rsidRPr="00EB1B05">
          <w:rPr>
            <w:rFonts w:ascii="Calibri" w:eastAsia="SimSun" w:hAnsi="Calibri" w:cs="Times New Roman"/>
            <w:color w:val="55437E" w:themeColor="accent2"/>
            <w:u w:val="single"/>
          </w:rPr>
          <w:t>ABS Capacity to Contribute Data Quality Framework</w:t>
        </w:r>
      </w:hyperlink>
      <w:r w:rsidRPr="00EB1B05">
        <w:rPr>
          <w:color w:val="55437E" w:themeColor="accent2"/>
        </w:rPr>
        <w:t xml:space="preserve">. </w:t>
      </w:r>
      <w:bookmarkEnd w:id="13"/>
      <w:bookmarkEnd w:id="14"/>
      <w:bookmarkEnd w:id="15"/>
    </w:p>
    <w:p w14:paraId="4D024466" w14:textId="77777777" w:rsidR="00AC31F3" w:rsidRPr="001A4A1E" w:rsidRDefault="00AC31F3" w:rsidP="00837DCF">
      <w:pPr>
        <w:spacing w:after="0"/>
      </w:pPr>
    </w:p>
    <w:sectPr w:rsidR="00AC31F3" w:rsidRPr="001A4A1E">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1BDE" w14:textId="77777777" w:rsidR="0053689C" w:rsidRDefault="0053689C" w:rsidP="000A6228">
      <w:pPr>
        <w:spacing w:after="0" w:line="240" w:lineRule="auto"/>
      </w:pPr>
      <w:r>
        <w:separator/>
      </w:r>
    </w:p>
  </w:endnote>
  <w:endnote w:type="continuationSeparator" w:id="0">
    <w:p w14:paraId="7680AD52" w14:textId="77777777" w:rsidR="0053689C" w:rsidRDefault="0053689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BD9D" w14:textId="77777777" w:rsidR="007A14DD" w:rsidRDefault="007A1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8AA1E" w14:textId="77777777" w:rsidR="007A14DD" w:rsidRDefault="007A14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6AF3" w14:textId="77777777" w:rsidR="007A14DD" w:rsidRDefault="007A14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69C6E5E0" w:rsidR="00221D8F" w:rsidRDefault="00A815D9">
    <w:pPr>
      <w:pStyle w:val="Footer"/>
    </w:pPr>
    <w:r>
      <w:t>Capacity to Contribute Data Validation and Quality Assurance Process</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FB488" w14:textId="77777777" w:rsidR="0053689C" w:rsidRDefault="0053689C" w:rsidP="000A6228">
      <w:pPr>
        <w:spacing w:after="0" w:line="240" w:lineRule="auto"/>
      </w:pPr>
      <w:r>
        <w:separator/>
      </w:r>
    </w:p>
  </w:footnote>
  <w:footnote w:type="continuationSeparator" w:id="0">
    <w:p w14:paraId="6DC9E550" w14:textId="77777777" w:rsidR="0053689C" w:rsidRDefault="0053689C"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D9C6" w14:textId="77777777" w:rsidR="007A14DD" w:rsidRDefault="007A1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F99C" w14:textId="77777777" w:rsidR="007A14DD" w:rsidRDefault="007A1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69BA" w14:textId="77777777" w:rsidR="007A14DD" w:rsidRDefault="007A1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7364DF3"/>
    <w:multiLevelType w:val="hybridMultilevel"/>
    <w:tmpl w:val="608C57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077B93"/>
    <w:multiLevelType w:val="hybridMultilevel"/>
    <w:tmpl w:val="024A1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DD22E4A"/>
    <w:multiLevelType w:val="hybridMultilevel"/>
    <w:tmpl w:val="35D20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3087320">
    <w:abstractNumId w:val="12"/>
  </w:num>
  <w:num w:numId="2" w16cid:durableId="817234172">
    <w:abstractNumId w:val="5"/>
  </w:num>
  <w:num w:numId="3" w16cid:durableId="459033482">
    <w:abstractNumId w:val="4"/>
  </w:num>
  <w:num w:numId="4" w16cid:durableId="2093162745">
    <w:abstractNumId w:val="3"/>
  </w:num>
  <w:num w:numId="5" w16cid:durableId="1321427649">
    <w:abstractNumId w:val="15"/>
  </w:num>
  <w:num w:numId="6" w16cid:durableId="1434787713">
    <w:abstractNumId w:val="2"/>
  </w:num>
  <w:num w:numId="7" w16cid:durableId="1126315685">
    <w:abstractNumId w:val="1"/>
  </w:num>
  <w:num w:numId="8" w16cid:durableId="589630074">
    <w:abstractNumId w:val="0"/>
  </w:num>
  <w:num w:numId="9" w16cid:durableId="458456052">
    <w:abstractNumId w:val="14"/>
  </w:num>
  <w:num w:numId="10" w16cid:durableId="1704405731">
    <w:abstractNumId w:val="7"/>
  </w:num>
  <w:num w:numId="11" w16cid:durableId="292255794">
    <w:abstractNumId w:val="18"/>
  </w:num>
  <w:num w:numId="12" w16cid:durableId="976033482">
    <w:abstractNumId w:val="11"/>
  </w:num>
  <w:num w:numId="13" w16cid:durableId="194469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1681315">
    <w:abstractNumId w:val="10"/>
  </w:num>
  <w:num w:numId="15" w16cid:durableId="1871651628">
    <w:abstractNumId w:val="6"/>
  </w:num>
  <w:num w:numId="16" w16cid:durableId="1641619431">
    <w:abstractNumId w:val="19"/>
  </w:num>
  <w:num w:numId="17" w16cid:durableId="1771123003">
    <w:abstractNumId w:val="16"/>
  </w:num>
  <w:num w:numId="18" w16cid:durableId="1490319777">
    <w:abstractNumId w:val="9"/>
  </w:num>
  <w:num w:numId="19" w16cid:durableId="756024532">
    <w:abstractNumId w:val="17"/>
  </w:num>
  <w:num w:numId="20" w16cid:durableId="766779378">
    <w:abstractNumId w:val="20"/>
  </w:num>
  <w:num w:numId="21" w16cid:durableId="1295258072">
    <w:abstractNumId w:val="13"/>
  </w:num>
  <w:num w:numId="22" w16cid:durableId="254826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32A0"/>
    <w:rsid w:val="000521D7"/>
    <w:rsid w:val="0006743A"/>
    <w:rsid w:val="000674D8"/>
    <w:rsid w:val="000A0B58"/>
    <w:rsid w:val="000A6228"/>
    <w:rsid w:val="000B5D40"/>
    <w:rsid w:val="000B7EC6"/>
    <w:rsid w:val="00107D87"/>
    <w:rsid w:val="00107DD5"/>
    <w:rsid w:val="0012343A"/>
    <w:rsid w:val="00126123"/>
    <w:rsid w:val="001270FA"/>
    <w:rsid w:val="00133B8D"/>
    <w:rsid w:val="00133D14"/>
    <w:rsid w:val="0013611E"/>
    <w:rsid w:val="001515BF"/>
    <w:rsid w:val="0017134D"/>
    <w:rsid w:val="001C1523"/>
    <w:rsid w:val="00221D8F"/>
    <w:rsid w:val="002272DB"/>
    <w:rsid w:val="00276047"/>
    <w:rsid w:val="00285BAF"/>
    <w:rsid w:val="002A4458"/>
    <w:rsid w:val="002C5381"/>
    <w:rsid w:val="002D589A"/>
    <w:rsid w:val="0040155D"/>
    <w:rsid w:val="0041713E"/>
    <w:rsid w:val="004201EE"/>
    <w:rsid w:val="00421D3F"/>
    <w:rsid w:val="00423785"/>
    <w:rsid w:val="00452D26"/>
    <w:rsid w:val="004A06CD"/>
    <w:rsid w:val="004A4B6F"/>
    <w:rsid w:val="004A4CF9"/>
    <w:rsid w:val="004D2965"/>
    <w:rsid w:val="004F6DEA"/>
    <w:rsid w:val="005352A8"/>
    <w:rsid w:val="0053689C"/>
    <w:rsid w:val="005A6A7A"/>
    <w:rsid w:val="005A75C9"/>
    <w:rsid w:val="005B187D"/>
    <w:rsid w:val="00620F4D"/>
    <w:rsid w:val="006232DC"/>
    <w:rsid w:val="0063094F"/>
    <w:rsid w:val="00642C48"/>
    <w:rsid w:val="006659A4"/>
    <w:rsid w:val="006D67F3"/>
    <w:rsid w:val="006E0864"/>
    <w:rsid w:val="006E7967"/>
    <w:rsid w:val="006F1FFF"/>
    <w:rsid w:val="006F6D10"/>
    <w:rsid w:val="00712B94"/>
    <w:rsid w:val="007745E5"/>
    <w:rsid w:val="007A14DD"/>
    <w:rsid w:val="007B2CA1"/>
    <w:rsid w:val="007D0ABC"/>
    <w:rsid w:val="007F28ED"/>
    <w:rsid w:val="008042F5"/>
    <w:rsid w:val="00837DCF"/>
    <w:rsid w:val="00886959"/>
    <w:rsid w:val="00894604"/>
    <w:rsid w:val="008A36E1"/>
    <w:rsid w:val="008A37A7"/>
    <w:rsid w:val="008B0736"/>
    <w:rsid w:val="008D6696"/>
    <w:rsid w:val="00900B7B"/>
    <w:rsid w:val="00950B06"/>
    <w:rsid w:val="00970069"/>
    <w:rsid w:val="009721EB"/>
    <w:rsid w:val="009B706E"/>
    <w:rsid w:val="009C423A"/>
    <w:rsid w:val="009E79ED"/>
    <w:rsid w:val="00A0012F"/>
    <w:rsid w:val="00A07596"/>
    <w:rsid w:val="00A12D95"/>
    <w:rsid w:val="00A17A08"/>
    <w:rsid w:val="00A60673"/>
    <w:rsid w:val="00A815D9"/>
    <w:rsid w:val="00AC1872"/>
    <w:rsid w:val="00AC31F3"/>
    <w:rsid w:val="00AD631F"/>
    <w:rsid w:val="00AE21FF"/>
    <w:rsid w:val="00AF1F18"/>
    <w:rsid w:val="00B0726E"/>
    <w:rsid w:val="00B219D1"/>
    <w:rsid w:val="00B259E7"/>
    <w:rsid w:val="00B6690F"/>
    <w:rsid w:val="00B81FA4"/>
    <w:rsid w:val="00B8794C"/>
    <w:rsid w:val="00B95EF4"/>
    <w:rsid w:val="00BB6509"/>
    <w:rsid w:val="00BC248C"/>
    <w:rsid w:val="00BF56B3"/>
    <w:rsid w:val="00C01EC0"/>
    <w:rsid w:val="00C244EE"/>
    <w:rsid w:val="00C72224"/>
    <w:rsid w:val="00C75706"/>
    <w:rsid w:val="00CA4815"/>
    <w:rsid w:val="00CD7029"/>
    <w:rsid w:val="00CF6562"/>
    <w:rsid w:val="00D5688A"/>
    <w:rsid w:val="00DC5980"/>
    <w:rsid w:val="00DD2B46"/>
    <w:rsid w:val="00DD4346"/>
    <w:rsid w:val="00E529E5"/>
    <w:rsid w:val="00E6575C"/>
    <w:rsid w:val="00E77E70"/>
    <w:rsid w:val="00EB1B05"/>
    <w:rsid w:val="00EB4C2F"/>
    <w:rsid w:val="00ED0DDF"/>
    <w:rsid w:val="00F1000D"/>
    <w:rsid w:val="00F311A4"/>
    <w:rsid w:val="00F82C2C"/>
    <w:rsid w:val="00F85913"/>
    <w:rsid w:val="00F86B1E"/>
    <w:rsid w:val="00FD4D6E"/>
    <w:rsid w:val="00FE794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D6696"/>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BF56B3"/>
    <w:pPr>
      <w:spacing w:after="200" w:line="360" w:lineRule="auto"/>
      <w:ind w:left="720"/>
      <w:contextualSpacing/>
    </w:p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locked/>
    <w:rsid w:val="00BF56B3"/>
  </w:style>
  <w:style w:type="character" w:styleId="FollowedHyperlink">
    <w:name w:val="FollowedHyperlink"/>
    <w:basedOn w:val="DefaultParagraphFont"/>
    <w:uiPriority w:val="99"/>
    <w:semiHidden/>
    <w:unhideWhenUsed/>
    <w:rsid w:val="004201EE"/>
    <w:rPr>
      <w:color w:val="CE372F" w:themeColor="followedHyperlink"/>
      <w:u w:val="single"/>
    </w:rPr>
  </w:style>
  <w:style w:type="paragraph" w:styleId="Revision">
    <w:name w:val="Revision"/>
    <w:hidden/>
    <w:uiPriority w:val="99"/>
    <w:semiHidden/>
    <w:rsid w:val="00AC31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bs.gov.au/about/data-services/data-integration/integrated-data/person-level-integrated-data-asset-plida"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education.gov.au/recurrent-funding-schools/schooling-resource-standards-capacity-contribute" TargetMode="External"/><Relationship Id="rId25" Type="http://schemas.openxmlformats.org/officeDocument/2006/relationships/hyperlink" Target="https://www.education.gov.au/quality-schools-package/resources/abs-capacity-contribute-data-quality-framework"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education.gov.au/quality-schools-package/resources/abs-capacity-contribute-data-quality-framework"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education.gov.au/quality-schools-package/resources/abs-capacity-contribute-data-quality-framework" TargetMode="External"/><Relationship Id="rId28" Type="http://schemas.openxmlformats.org/officeDocument/2006/relationships/hyperlink" Target="https://www.education.gov.au/quality-schools-package/resources/abs-capacity-contribute-data-quality-framework" TargetMode="External"/><Relationship Id="rId10" Type="http://schemas.openxmlformats.org/officeDocument/2006/relationships/image" Target="media/image3.svg"/><Relationship Id="rId19" Type="http://schemas.openxmlformats.org/officeDocument/2006/relationships/hyperlink" Target="https://www.education.gov.au/quality-schools-package/resources/direct-measure-income-methodology-documen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education.gov.au/quality-schools-package/resources/abs-capacity-contribute-data-quality-framework" TargetMode="External"/><Relationship Id="rId27" Type="http://schemas.openxmlformats.org/officeDocument/2006/relationships/hyperlink" Target="https://www.education.gov.au/schooling/funding-schools" TargetMode="External"/><Relationship Id="rId30" Type="http://schemas.openxmlformats.org/officeDocument/2006/relationships/fontTable" Target="fontTable.xml"/><Relationship Id="rId8"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E98738D-5EE4-4C93-A3DD-8A7615CF9BFB}"/>
</file>

<file path=customXml/itemProps3.xml><?xml version="1.0" encoding="utf-8"?>
<ds:datastoreItem xmlns:ds="http://schemas.openxmlformats.org/officeDocument/2006/customXml" ds:itemID="{0403167F-6862-414A-8A25-42293D955723}"/>
</file>

<file path=customXml/itemProps4.xml><?xml version="1.0" encoding="utf-8"?>
<ds:datastoreItem xmlns:ds="http://schemas.openxmlformats.org/officeDocument/2006/customXml" ds:itemID="{87C7C9A3-AC57-4BE6-9659-4FB42A94EB80}"/>
</file>

<file path=docProps/app.xml><?xml version="1.0" encoding="utf-8"?>
<Properties xmlns="http://schemas.openxmlformats.org/officeDocument/2006/extended-properties" xmlns:vt="http://schemas.openxmlformats.org/officeDocument/2006/docPropsVTypes">
  <Template>Normal.dotm</Template>
  <TotalTime>0</TotalTime>
  <Pages>8</Pages>
  <Words>1827</Words>
  <Characters>9667</Characters>
  <Application>Microsoft Office Word</Application>
  <DocSecurity>0</DocSecurity>
  <Lines>302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Capacity to Contribute Data Validation and Quality Assurance Process</dc:title>
  <dc:subject/>
  <dc:creator/>
  <cp:keywords/>
  <dc:description/>
  <cp:lastModifiedBy/>
  <cp:revision>1</cp:revision>
  <dcterms:created xsi:type="dcterms:W3CDTF">2023-02-23T22:45:00Z</dcterms:created>
  <dcterms:modified xsi:type="dcterms:W3CDTF">2024-06-06T05:03:00Z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2023-02-23T22:45:21Z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eb64ee88-2ad3-4967-9555-2218a89651c6</vt:lpwstr>
  </property>
  <property fmtid="{D5CDD505-2E9C-101B-9397-08002B2CF9AE}" pid="8" name="MSIP_Label_79d889eb-932f-4752-8739-64d25806ef64_ContentBits">
    <vt:lpwstr>0</vt:lpwstr>
  </property>
</Properties>
</file>