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F0" w:rsidRPr="001C6611" w:rsidRDefault="001C6611" w:rsidP="001C6611">
      <w:pPr>
        <w:pStyle w:val="BasicParagraph"/>
        <w:suppressAutoHyphens/>
        <w:rPr>
          <w:rFonts w:ascii="Tw Cen MT" w:hAnsi="Tw Cen MT" w:cs="Apercu Pro"/>
          <w:spacing w:val="7"/>
          <w:sz w:val="36"/>
          <w:szCs w:val="36"/>
        </w:rPr>
      </w:pPr>
      <w:r w:rsidRPr="001C6611">
        <w:rPr>
          <w:rFonts w:ascii="Tw Cen MT" w:hAnsi="Tw Cen MT" w:cs="Apercu Pro"/>
          <w:bCs/>
          <w:spacing w:val="7"/>
          <w:sz w:val="36"/>
          <w:szCs w:val="36"/>
        </w:rPr>
        <w:t xml:space="preserve">Access and Participation Plan </w:t>
      </w:r>
      <w:r w:rsidRPr="001C6611">
        <w:rPr>
          <w:rFonts w:ascii="Tw Cen MT" w:hAnsi="Tw Cen MT" w:cs="Apercu Pro"/>
          <w:spacing w:val="7"/>
          <w:sz w:val="36"/>
          <w:szCs w:val="36"/>
        </w:rPr>
        <w:t>2019</w:t>
      </w:r>
    </w:p>
    <w:p w:rsidR="001C6611" w:rsidRPr="001C6611" w:rsidRDefault="001C6611" w:rsidP="001C6611">
      <w:pPr>
        <w:pStyle w:val="BasicParagraph"/>
        <w:suppressAutoHyphens/>
        <w:rPr>
          <w:rFonts w:ascii="Tw Cen MT" w:hAnsi="Tw Cen MT" w:cs="Apercu Pro"/>
          <w:color w:val="404041"/>
          <w:sz w:val="20"/>
          <w:szCs w:val="20"/>
        </w:rPr>
      </w:pPr>
      <w:r w:rsidRPr="001C6611">
        <w:rPr>
          <w:rFonts w:ascii="Tw Cen MT" w:hAnsi="Tw Cen MT" w:cs="Apercu Pro"/>
          <w:color w:val="404041"/>
          <w:sz w:val="20"/>
          <w:szCs w:val="20"/>
        </w:rPr>
        <w:t xml:space="preserve">“At the University of Sydney, we believe that the brightest and most promising students, regardless of their cultural or social background, can thrive and realise their potential through higher education.” </w:t>
      </w:r>
    </w:p>
    <w:p w:rsidR="001C6611" w:rsidRPr="001C6611" w:rsidRDefault="001C6611" w:rsidP="001C6611">
      <w:pPr>
        <w:pStyle w:val="BasicParagraph"/>
        <w:suppressAutoHyphens/>
        <w:spacing w:before="113"/>
        <w:rPr>
          <w:rFonts w:ascii="Tw Cen MT" w:hAnsi="Tw Cen MT" w:cs="Apercu Pro"/>
          <w:color w:val="404041"/>
          <w:sz w:val="20"/>
          <w:szCs w:val="20"/>
        </w:rPr>
      </w:pPr>
      <w:r w:rsidRPr="001C6611">
        <w:rPr>
          <w:rFonts w:ascii="Tw Cen MT" w:hAnsi="Tw Cen MT" w:cs="Apercu Pro"/>
          <w:bCs/>
          <w:color w:val="404041"/>
          <w:sz w:val="20"/>
          <w:szCs w:val="20"/>
        </w:rPr>
        <w:t>The University of Sydney Strategic Plan 2016-2020</w:t>
      </w:r>
    </w:p>
    <w:p w:rsidR="001C6611" w:rsidRDefault="001C6611" w:rsidP="001C6611">
      <w:pPr>
        <w:pStyle w:val="BasicParagraph"/>
        <w:suppressAutoHyphens/>
        <w:spacing w:before="397" w:after="170"/>
        <w:rPr>
          <w:rFonts w:ascii="Tw Cen MT" w:hAnsi="Tw Cen MT" w:cs="Apercu Pro"/>
          <w:color w:val="404041"/>
          <w:sz w:val="20"/>
          <w:szCs w:val="20"/>
        </w:rPr>
      </w:pPr>
      <w:r w:rsidRPr="001C6611">
        <w:rPr>
          <w:rFonts w:ascii="Tw Cen MT" w:hAnsi="Tw Cen MT" w:cs="Apercu Pro"/>
          <w:color w:val="404041"/>
          <w:sz w:val="20"/>
          <w:szCs w:val="20"/>
        </w:rPr>
        <w:t>The University of Sydney’s Access and Participation Plan 2019 continues a deepening strategic commitment, underpinned by values of inclusion and diversity to increase access to and participation in higher education for people from low socio-economic</w:t>
      </w:r>
      <w:r w:rsidR="00FE4802">
        <w:rPr>
          <w:rFonts w:ascii="Tw Cen MT" w:hAnsi="Tw Cen MT" w:cs="Apercu Pro"/>
          <w:color w:val="404041"/>
          <w:sz w:val="20"/>
          <w:szCs w:val="20"/>
        </w:rPr>
        <w:t xml:space="preserve"> status</w:t>
      </w:r>
      <w:r w:rsidRPr="001C6611">
        <w:rPr>
          <w:rFonts w:ascii="Tw Cen MT" w:hAnsi="Tw Cen MT" w:cs="Apercu Pro"/>
          <w:color w:val="404041"/>
          <w:sz w:val="20"/>
          <w:szCs w:val="20"/>
        </w:rPr>
        <w:t xml:space="preserve"> (</w:t>
      </w:r>
      <w:r w:rsidR="00FE4802">
        <w:rPr>
          <w:rFonts w:ascii="Tw Cen MT" w:hAnsi="Tw Cen MT" w:cs="Apercu Pro"/>
          <w:color w:val="404041"/>
          <w:sz w:val="20"/>
          <w:szCs w:val="20"/>
        </w:rPr>
        <w:t>low-SES</w:t>
      </w:r>
      <w:r w:rsidRPr="001C6611">
        <w:rPr>
          <w:rFonts w:ascii="Tw Cen MT" w:hAnsi="Tw Cen MT" w:cs="Apercu Pro"/>
          <w:color w:val="404041"/>
          <w:sz w:val="20"/>
          <w:szCs w:val="20"/>
        </w:rPr>
        <w:t xml:space="preserve">) backgrounds.  </w:t>
      </w:r>
    </w:p>
    <w:tbl>
      <w:tblPr>
        <w:tblStyle w:val="TableGrid"/>
        <w:tblW w:w="9776" w:type="dxa"/>
        <w:tblLayout w:type="fixed"/>
        <w:tblLook w:val="0000" w:firstRow="0" w:lastRow="0" w:firstColumn="0" w:lastColumn="0" w:noHBand="0" w:noVBand="0"/>
      </w:tblPr>
      <w:tblGrid>
        <w:gridCol w:w="2263"/>
        <w:gridCol w:w="2552"/>
        <w:gridCol w:w="1984"/>
        <w:gridCol w:w="2977"/>
      </w:tblGrid>
      <w:tr w:rsidR="00FE4802" w:rsidRPr="00FE4802" w:rsidTr="00FE4802">
        <w:trPr>
          <w:trHeight w:val="486"/>
        </w:trPr>
        <w:tc>
          <w:tcPr>
            <w:tcW w:w="2263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E64626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E64626"/>
                <w:sz w:val="16"/>
                <w:szCs w:val="16"/>
                <w:lang w:val="en-US"/>
              </w:rPr>
              <w:t>Equity strategy</w:t>
            </w: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E64626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E64626"/>
                <w:sz w:val="16"/>
                <w:szCs w:val="16"/>
                <w:lang w:val="en-US"/>
              </w:rPr>
              <w:t>Key activities</w:t>
            </w:r>
          </w:p>
        </w:tc>
        <w:tc>
          <w:tcPr>
            <w:tcW w:w="1984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E64626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E64626"/>
                <w:sz w:val="16"/>
                <w:szCs w:val="16"/>
                <w:lang w:val="en-US"/>
              </w:rPr>
              <w:t>Evaluation</w:t>
            </w:r>
          </w:p>
        </w:tc>
        <w:tc>
          <w:tcPr>
            <w:tcW w:w="2977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E64626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E64626"/>
                <w:sz w:val="16"/>
                <w:szCs w:val="16"/>
                <w:lang w:val="en-US"/>
              </w:rPr>
              <w:t>Partnerships and collaboration</w:t>
            </w:r>
          </w:p>
        </w:tc>
      </w:tr>
      <w:tr w:rsidR="00FE4802" w:rsidRPr="00FE4802" w:rsidTr="00FE4802">
        <w:trPr>
          <w:trHeight w:val="301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b/>
                <w:bCs/>
                <w:color w:val="404041"/>
                <w:sz w:val="16"/>
                <w:szCs w:val="16"/>
                <w:lang w:val="en-US"/>
              </w:rPr>
              <w:t>PRE-ACCESS: Pre-tertiary personal and academic capacity building programs to increase access and participation in higher education</w:t>
            </w:r>
          </w:p>
        </w:tc>
      </w:tr>
      <w:tr w:rsidR="00FE4802" w:rsidRPr="00FE4802" w:rsidTr="00FE4802">
        <w:trPr>
          <w:trHeight w:val="340"/>
        </w:trPr>
        <w:tc>
          <w:tcPr>
            <w:tcW w:w="2263" w:type="dxa"/>
            <w:vMerge w:val="restart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Increase access to higher education for young people from low-SES backgrounds, regional and remote areas and Aboriginal and Torres Strait Islander backgrounds.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Improve and grow partnerships that benefit identified communities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Grow and improve outreach programs for years 10,11, and 12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Ongoing, consistent engagement across delivery models: outreach, campus engagements, digital engagements 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b/>
                <w:bCs/>
                <w:color w:val="404041"/>
                <w:sz w:val="16"/>
                <w:szCs w:val="16"/>
                <w:lang w:val="en-US"/>
              </w:rPr>
              <w:t>On-campus learning</w:t>
            </w: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: Future Fridays, Craft of Writing, LINK West, Spring STEM </w:t>
            </w:r>
            <w:proofErr w:type="gramStart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Workshop,  Spectacular</w:t>
            </w:r>
            <w:proofErr w:type="gramEnd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 Science, Mega </w:t>
            </w:r>
            <w:proofErr w:type="spellStart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Maths</w:t>
            </w:r>
            <w:proofErr w:type="spellEnd"/>
          </w:p>
        </w:tc>
        <w:tc>
          <w:tcPr>
            <w:tcW w:w="1984" w:type="dxa"/>
            <w:vMerge w:val="restart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Longitudinal Evaluation Project (2018-20) with targeted schools to measure participation numbers and feedback- Sydney School of Education and Social Work (SSESW)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Participant feedback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Participant numbers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E12, </w:t>
            </w:r>
            <w:proofErr w:type="spellStart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Cadigal</w:t>
            </w:r>
            <w:proofErr w:type="spellEnd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 and other admission pathway application and enrollment statistics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 w:val="restart"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Widening Participation and Outreach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Collaborative partnerships with: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Education and Training Out West (ETOW)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Country Education Foundation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The Smith Family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Harding Miller Education Foundation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Liverpool City Library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Whitlam Library (Cabramatta)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HJ Daley Library (Campbelltown)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Max Webber Library (Blacktown)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University of Sydney faculties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The Seymour Centre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Sydney Writers Festival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Sydney Story Factory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Australian Museum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proofErr w:type="spellStart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Studiosity</w:t>
            </w:r>
            <w:proofErr w:type="spellEnd"/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Sydney School of Education and Social Work (SSESW) Research team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By undertaking these strategic partnerships, the University of Sydney diversifies its communication channels, delivers enriching experiences and diversifies the population of students who access higher education</w:t>
            </w:r>
          </w:p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</w:p>
        </w:tc>
      </w:tr>
      <w:tr w:rsidR="00FE4802" w:rsidRPr="00FE4802" w:rsidTr="00FE4802">
        <w:trPr>
          <w:trHeight w:val="340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b/>
                <w:bCs/>
                <w:color w:val="404041"/>
                <w:sz w:val="16"/>
                <w:szCs w:val="16"/>
                <w:lang w:val="en-US"/>
              </w:rPr>
              <w:t>Residential programs:</w:t>
            </w: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 Wingara Mura Bunga Barrabugu Summer Program, Bunga Barrabugu Winter Program, Open Day Residential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340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b/>
                <w:bCs/>
                <w:color w:val="404041"/>
                <w:sz w:val="16"/>
                <w:szCs w:val="16"/>
                <w:lang w:val="en-US"/>
              </w:rPr>
              <w:t>In-school programs:</w:t>
            </w: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 Year 9 Preparation for NAPLAN, Year 10-12 enrichment, </w:t>
            </w:r>
            <w:proofErr w:type="spellStart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PhotoFaction</w:t>
            </w:r>
            <w:proofErr w:type="spellEnd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, The LINK Writerly, Regional Roadshows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1089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b/>
                <w:bCs/>
                <w:color w:val="404041"/>
                <w:sz w:val="16"/>
                <w:szCs w:val="16"/>
                <w:lang w:val="en-US"/>
              </w:rPr>
              <w:t>In community programs:</w:t>
            </w: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 Study </w:t>
            </w:r>
            <w:proofErr w:type="spellStart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Centres</w:t>
            </w:r>
            <w:proofErr w:type="spellEnd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, Seymour Centre performances, Sydney Writers Festival, Australian Museums Science Festival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465"/>
        </w:trPr>
        <w:tc>
          <w:tcPr>
            <w:tcW w:w="2263" w:type="dxa"/>
            <w:vMerge w:val="restart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Engage and connect with teachers, families and community influencers to foster sustained change in beliefs and attitudes about higher education</w:t>
            </w: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Community Information Evenings in libraries 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767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Professional Learning Programs for teachers and school leaders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340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b/>
                <w:bCs/>
                <w:color w:val="404041"/>
                <w:sz w:val="16"/>
                <w:szCs w:val="16"/>
                <w:lang w:val="en-US"/>
              </w:rPr>
              <w:t>ACCESS: Delivery of admission pathway programs, selection criteria tools, scholarships and integrated policy framework on equity-related issues</w:t>
            </w:r>
          </w:p>
        </w:tc>
      </w:tr>
      <w:tr w:rsidR="00FE4802" w:rsidRPr="00FE4802" w:rsidTr="00FE4802">
        <w:trPr>
          <w:trHeight w:val="3576"/>
        </w:trPr>
        <w:tc>
          <w:tcPr>
            <w:tcW w:w="2263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Increase access to higher education for young people from low-SES backgrounds, regional and remote areas and Aboriginal and Torres Strait Islander backgrounds.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Support schools and respond with programs that address NSW Department of Education-identified needs 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Implementation of whole of University strategy that looks to increase the rate of access of students from underrepresented backgrounds.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Re-inventing the Gap Year, a major initiative to dispel myths about university, encouraging transition to university.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Non-branded digital interactive modules for independent student engagement available on public non-university branded website specifically designed for regional students</w:t>
            </w:r>
          </w:p>
        </w:tc>
        <w:tc>
          <w:tcPr>
            <w:tcW w:w="1984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Access rates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Admission pathway, applications, enrollment numbers and offer statistics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Increase in students enrolling the year after their school completion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Increased target cohort access and participation rates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Rates of engagement with digital resources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University of Sydney - faculties and schools, Recruitment and Admissions, Widening Participation and Outreach, External Relations Portfolio and DVC-Education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Widening Participation and Outreach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Sydney School of Education and Social Work (SSESW)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NSW Department of Education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University of Canberra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University of Wollongong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These partnerships will ensure access to substantial data sets of students from regional NSW taking a gap year and will </w:t>
            </w:r>
            <w:proofErr w:type="spellStart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maximise</w:t>
            </w:r>
            <w:proofErr w:type="spellEnd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 coverage by collaborating across institutional networks. 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DVC-ISS</w:t>
            </w:r>
          </w:p>
        </w:tc>
      </w:tr>
      <w:tr w:rsidR="00FE4802" w:rsidRPr="00FE4802" w:rsidTr="00FE4802">
        <w:trPr>
          <w:trHeight w:val="486"/>
        </w:trPr>
        <w:tc>
          <w:tcPr>
            <w:tcW w:w="2263" w:type="dxa"/>
            <w:vMerge w:val="restart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lastRenderedPageBreak/>
              <w:t>Increase transition to higher education and knowledge of admissions pathways for underrepresented students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Increase access to higher education for young people from low-SES backgrounds and regional and remote areas.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Inform and support University admissions policy that focuses on improved pathways for under-represented students</w:t>
            </w: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Cross-institutional strategic collaboration review impact of mathematics prerequisite on equity cohorts for the 2019 intake.</w:t>
            </w:r>
          </w:p>
        </w:tc>
        <w:tc>
          <w:tcPr>
            <w:tcW w:w="1984" w:type="dxa"/>
            <w:vMerge w:val="restart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Number of new equity scholarships developed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Number of equity scholarships granted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Accommodation subsidies granted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 w:val="restart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Widening Participation and Outreach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Undergraduate Recruitment 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DVC Education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PVC Student Life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Institutional Analytics and Planning 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DVC-Indigenous Strategy and Services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Strong cross-institutional collaboration improves the quality and consistency of information delivered to equity target groups as they transition to the University. 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</w:p>
        </w:tc>
      </w:tr>
      <w:tr w:rsidR="00FE4802" w:rsidRPr="00FE4802" w:rsidTr="00FE4802">
        <w:trPr>
          <w:trHeight w:val="486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New regional scholarships and collaboration with Country Education Foundation (CEF)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486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Improvements to scholarships site and development of digital scholarship resource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273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Early Offer Year 12 (E12) Scheme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273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Broadway Scheme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273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proofErr w:type="spellStart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Cadigal</w:t>
            </w:r>
            <w:proofErr w:type="spellEnd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 Program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1471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Further develop and implement an equity identifier with Institutional Analytics and Planning (IAP) to comprehensively monitor and support students.  </w:t>
            </w:r>
          </w:p>
        </w:tc>
        <w:tc>
          <w:tcPr>
            <w:tcW w:w="1984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Increased consistency and accuracy of data on target cohort mobility</w:t>
            </w: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465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:rsidR="00FE4802" w:rsidRPr="00FE4802" w:rsidRDefault="00FE4802" w:rsidP="00FE4802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b/>
                <w:bCs/>
                <w:color w:val="404041"/>
                <w:sz w:val="16"/>
                <w:szCs w:val="16"/>
                <w:lang w:val="en-US"/>
              </w:rPr>
              <w:t>PARTICIPATION: Provision and promotion of support programs which ameliorate the challenges faced by identified student cohorts - transition, retention and success programs</w:t>
            </w:r>
          </w:p>
        </w:tc>
      </w:tr>
      <w:tr w:rsidR="00FE4802" w:rsidRPr="00FE4802" w:rsidTr="00FE4802">
        <w:trPr>
          <w:trHeight w:val="1041"/>
        </w:trPr>
        <w:tc>
          <w:tcPr>
            <w:tcW w:w="2263" w:type="dxa"/>
            <w:vMerge w:val="restart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Decrease early attrition and encourage students’ engagement, sense of belonging and to improve retention and success: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Student Experience Strategy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Consistent tracking of target equity cohorts to identify support programs required- pilot cohort-based modelling of student success to identify barriers to student success at the University of Sydney.</w:t>
            </w:r>
          </w:p>
        </w:tc>
        <w:tc>
          <w:tcPr>
            <w:tcW w:w="1984" w:type="dxa"/>
            <w:vMerge w:val="restart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Increase in target cohort retention and success rates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Support program/s participant feedback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Support program/s participation numbers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Data and analysis from revised transition to University survey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Delivery of mobility awards, equity-based scholarships and bursaries  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Evaluative data on new initiatives and impact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Quantitative data sets</w:t>
            </w:r>
          </w:p>
        </w:tc>
        <w:tc>
          <w:tcPr>
            <w:tcW w:w="2977" w:type="dxa"/>
            <w:vMerge w:val="restart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VP-External Relations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DVC-Education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Quality and Analytics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Institutional Analytics and Planning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Student Experience Survey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Faculty of Arts and Social Sciences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Widening Participation and Outreach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Student Transition and Retention 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</w:p>
        </w:tc>
      </w:tr>
      <w:tr w:rsidR="00FE4802" w:rsidRPr="00FE4802" w:rsidTr="00FE4802">
        <w:trPr>
          <w:trHeight w:val="486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Implement relevant recommendations from the report exploring extension of the First in Family (FIF) network across the University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486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Implementation of Higher Education Standards Panel (HESP) report recommendation to monitor students’ early engagement with their studies.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Revised transition to University survey developed to understand the experience of students from low-SES backgrounds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486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Implement faculty-based funding for strategic social inclusion initiatives that support target cohort participation, resources and inclusive teaching - DVC-Education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486"/>
        </w:trPr>
        <w:tc>
          <w:tcPr>
            <w:tcW w:w="2263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Facilitation of opportunities for students on E12 pathway to participate in global mobility programs.</w:t>
            </w:r>
          </w:p>
        </w:tc>
        <w:tc>
          <w:tcPr>
            <w:tcW w:w="1984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4802" w:rsidRPr="00FE4802" w:rsidRDefault="00FE4802" w:rsidP="00ED5EED">
            <w:pPr>
              <w:autoSpaceDE w:val="0"/>
              <w:autoSpaceDN w:val="0"/>
              <w:adjustRightInd w:val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E4802" w:rsidRPr="00FE4802" w:rsidTr="00FE4802">
        <w:trPr>
          <w:trHeight w:val="302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b/>
                <w:bCs/>
                <w:color w:val="404041"/>
                <w:sz w:val="16"/>
                <w:szCs w:val="16"/>
                <w:lang w:val="en-US"/>
              </w:rPr>
              <w:t>PROGRESS AND ATTAINMENT: Ensuring successful completion and preparation for employment</w:t>
            </w:r>
          </w:p>
        </w:tc>
      </w:tr>
      <w:tr w:rsidR="00FE4802" w:rsidRPr="00FE4802" w:rsidTr="00FE4802">
        <w:trPr>
          <w:trHeight w:val="1108"/>
        </w:trPr>
        <w:tc>
          <w:tcPr>
            <w:tcW w:w="2263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Provision and promotion of programs and support to ensure successful completion and preparation for employment 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Transition, Advising and Careers Paper</w:t>
            </w: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Strategic review and analysis of the student experience and graduate destinations for students from low-SES backgrounds and Aboriginal and Torres Strait Islander students.</w:t>
            </w:r>
          </w:p>
        </w:tc>
        <w:tc>
          <w:tcPr>
            <w:tcW w:w="1984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Increased completion rate for targeted equity cohorts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Rates of graduate employment or postgraduate study by target cohorts</w:t>
            </w: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</w:pPr>
          </w:p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Graduate Destination Survey</w:t>
            </w:r>
          </w:p>
        </w:tc>
        <w:tc>
          <w:tcPr>
            <w:tcW w:w="2977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Cross-institutional collaboration will drive success in this component of the strategy</w:t>
            </w:r>
          </w:p>
        </w:tc>
      </w:tr>
      <w:tr w:rsidR="00FE4802" w:rsidRPr="00FE4802" w:rsidTr="00FE4802">
        <w:trPr>
          <w:trHeight w:val="1468"/>
        </w:trPr>
        <w:tc>
          <w:tcPr>
            <w:tcW w:w="2263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lastRenderedPageBreak/>
              <w:t>Assess current levels of engagement and pilot strategies to increase student engagement with careers services</w:t>
            </w:r>
          </w:p>
        </w:tc>
        <w:tc>
          <w:tcPr>
            <w:tcW w:w="2552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Identify and review the levels of engagement, services accessed and/or events attended by students from low-SES backgrounds; pilot promotional strategies to encourage these students’ participation in career development activities</w:t>
            </w:r>
          </w:p>
        </w:tc>
        <w:tc>
          <w:tcPr>
            <w:tcW w:w="1984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Increased level of engagement with careers services</w:t>
            </w:r>
          </w:p>
        </w:tc>
        <w:tc>
          <w:tcPr>
            <w:tcW w:w="2977" w:type="dxa"/>
          </w:tcPr>
          <w:p w:rsidR="00FE4802" w:rsidRPr="00FE4802" w:rsidRDefault="00FE4802" w:rsidP="00ED5E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w Cen MT" w:hAnsi="Tw Cen MT"/>
                <w:color w:val="000000"/>
                <w:sz w:val="24"/>
                <w:szCs w:val="24"/>
                <w:lang w:val="en-US"/>
              </w:rPr>
            </w:pPr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Collaboration with the Careers and Employability Office in the Business School and the </w:t>
            </w:r>
            <w:proofErr w:type="spellStart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>CareerReady</w:t>
            </w:r>
            <w:proofErr w:type="spellEnd"/>
            <w:r w:rsidRPr="00FE4802">
              <w:rPr>
                <w:rFonts w:ascii="Tw Cen MT" w:hAnsi="Tw Cen MT" w:cs="Apercu Pro"/>
                <w:color w:val="404041"/>
                <w:sz w:val="16"/>
                <w:szCs w:val="16"/>
                <w:lang w:val="en-US"/>
              </w:rPr>
              <w:t xml:space="preserve"> Program in the Faculty of Arts and Social Sciences.</w:t>
            </w:r>
          </w:p>
        </w:tc>
      </w:tr>
    </w:tbl>
    <w:p w:rsidR="001C6611" w:rsidRPr="001C6611" w:rsidRDefault="001C6611" w:rsidP="001C6611">
      <w:pPr>
        <w:pStyle w:val="BasicParagraph"/>
        <w:suppressAutoHyphens/>
        <w:rPr>
          <w:rFonts w:ascii="Tw Cen MT" w:hAnsi="Tw Cen MT" w:cs="Apercu Pro"/>
          <w:bCs/>
          <w:spacing w:val="7"/>
          <w:sz w:val="36"/>
          <w:szCs w:val="36"/>
        </w:rPr>
      </w:pPr>
      <w:bookmarkStart w:id="0" w:name="_GoBack"/>
      <w:bookmarkEnd w:id="0"/>
    </w:p>
    <w:p w:rsidR="001C6611" w:rsidRPr="001C6611" w:rsidRDefault="001C6611" w:rsidP="001C6611">
      <w:pPr>
        <w:autoSpaceDE w:val="0"/>
        <w:autoSpaceDN w:val="0"/>
        <w:adjustRightInd w:val="0"/>
        <w:spacing w:after="0" w:line="288" w:lineRule="auto"/>
        <w:textAlignment w:val="center"/>
        <w:rPr>
          <w:rFonts w:ascii="Tw Cen MT" w:hAnsi="Tw Cen MT" w:cs="Apercu Pro"/>
          <w:bCs/>
          <w:color w:val="FF6600"/>
          <w:sz w:val="16"/>
          <w:szCs w:val="16"/>
          <w:lang w:val="en-US"/>
        </w:rPr>
      </w:pPr>
      <w:r w:rsidRPr="001C6611">
        <w:rPr>
          <w:rFonts w:ascii="Tw Cen MT" w:hAnsi="Tw Cen MT" w:cs="Apercu Pro"/>
          <w:bCs/>
          <w:color w:val="FF6600"/>
          <w:sz w:val="16"/>
          <w:szCs w:val="16"/>
          <w:lang w:val="en-US"/>
        </w:rPr>
        <w:t>Contact</w:t>
      </w:r>
    </w:p>
    <w:p w:rsidR="001C6611" w:rsidRPr="001C6611" w:rsidRDefault="001C6611" w:rsidP="001C6611">
      <w:pPr>
        <w:autoSpaceDE w:val="0"/>
        <w:autoSpaceDN w:val="0"/>
        <w:adjustRightInd w:val="0"/>
        <w:spacing w:after="0" w:line="288" w:lineRule="auto"/>
        <w:textAlignment w:val="center"/>
        <w:rPr>
          <w:rFonts w:ascii="Tw Cen MT" w:hAnsi="Tw Cen MT" w:cs="Apercu Pro"/>
          <w:color w:val="404041"/>
          <w:sz w:val="16"/>
          <w:szCs w:val="16"/>
          <w:lang w:val="en-US"/>
        </w:rPr>
      </w:pPr>
      <w:r w:rsidRPr="001C6611">
        <w:rPr>
          <w:rFonts w:ascii="Tw Cen MT" w:hAnsi="Tw Cen MT" w:cs="Apercu Pro"/>
          <w:bCs/>
          <w:color w:val="404041"/>
          <w:sz w:val="16"/>
          <w:szCs w:val="16"/>
          <w:lang w:val="en-US"/>
        </w:rPr>
        <w:t>Widening Participation and Outreach</w:t>
      </w:r>
      <w:r w:rsidRPr="001C6611">
        <w:rPr>
          <w:rFonts w:ascii="Tw Cen MT" w:hAnsi="Tw Cen MT" w:cs="Apercu Pro"/>
          <w:color w:val="404041"/>
          <w:sz w:val="16"/>
          <w:szCs w:val="16"/>
          <w:lang w:val="en-US"/>
        </w:rPr>
        <w:br/>
        <w:t>The University of Sydney</w:t>
      </w:r>
    </w:p>
    <w:p w:rsidR="001C6611" w:rsidRPr="001C6611" w:rsidRDefault="001C6611" w:rsidP="001C6611">
      <w:pPr>
        <w:autoSpaceDE w:val="0"/>
        <w:autoSpaceDN w:val="0"/>
        <w:adjustRightInd w:val="0"/>
        <w:spacing w:after="0" w:line="288" w:lineRule="auto"/>
        <w:textAlignment w:val="center"/>
        <w:rPr>
          <w:rFonts w:ascii="Tw Cen MT" w:hAnsi="Tw Cen MT" w:cs="Apercu Pro"/>
          <w:color w:val="404041"/>
          <w:sz w:val="16"/>
          <w:szCs w:val="16"/>
          <w:lang w:val="en-US"/>
        </w:rPr>
      </w:pPr>
      <w:r w:rsidRPr="001C6611">
        <w:rPr>
          <w:rFonts w:ascii="Tw Cen MT" w:hAnsi="Tw Cen MT" w:cs="Apercu Pro"/>
          <w:color w:val="404041"/>
          <w:sz w:val="16"/>
          <w:szCs w:val="16"/>
          <w:lang w:val="en-US"/>
        </w:rPr>
        <w:t>02 8627 8515</w:t>
      </w:r>
    </w:p>
    <w:p w:rsidR="001C6611" w:rsidRPr="001C6611" w:rsidRDefault="001C6611" w:rsidP="001C6611">
      <w:pPr>
        <w:autoSpaceDE w:val="0"/>
        <w:autoSpaceDN w:val="0"/>
        <w:adjustRightInd w:val="0"/>
        <w:spacing w:after="0" w:line="288" w:lineRule="auto"/>
        <w:textAlignment w:val="center"/>
        <w:rPr>
          <w:rFonts w:ascii="Tw Cen MT" w:hAnsi="Tw Cen MT" w:cs="Apercu Pro"/>
          <w:color w:val="404041"/>
          <w:sz w:val="16"/>
          <w:szCs w:val="16"/>
          <w:lang w:val="en-US"/>
        </w:rPr>
      </w:pPr>
      <w:r w:rsidRPr="001C6611">
        <w:rPr>
          <w:rFonts w:ascii="Tw Cen MT" w:hAnsi="Tw Cen MT" w:cs="Apercu Pro"/>
          <w:color w:val="404041"/>
          <w:sz w:val="16"/>
          <w:szCs w:val="16"/>
          <w:lang w:val="en-US"/>
        </w:rPr>
        <w:t>wpo.administration@sydney.edu.au</w:t>
      </w:r>
    </w:p>
    <w:p w:rsidR="001C6611" w:rsidRPr="001C6611" w:rsidRDefault="001C6611" w:rsidP="001C6611">
      <w:pPr>
        <w:autoSpaceDE w:val="0"/>
        <w:autoSpaceDN w:val="0"/>
        <w:adjustRightInd w:val="0"/>
        <w:spacing w:after="0" w:line="288" w:lineRule="auto"/>
        <w:textAlignment w:val="center"/>
        <w:rPr>
          <w:rFonts w:ascii="Tw Cen MT" w:hAnsi="Tw Cen MT" w:cs="Apercu Pro"/>
          <w:color w:val="404041"/>
          <w:sz w:val="16"/>
          <w:szCs w:val="16"/>
          <w:lang w:val="en-US"/>
        </w:rPr>
      </w:pPr>
      <w:r w:rsidRPr="001C6611">
        <w:rPr>
          <w:rFonts w:ascii="Tw Cen MT" w:hAnsi="Tw Cen MT" w:cs="Apercu Pro"/>
          <w:color w:val="404041"/>
          <w:sz w:val="16"/>
          <w:szCs w:val="16"/>
          <w:lang w:val="en-US"/>
        </w:rPr>
        <w:t>sydney.edu.au</w:t>
      </w:r>
    </w:p>
    <w:p w:rsidR="001C6611" w:rsidRDefault="001C6611" w:rsidP="001C6611">
      <w:pPr>
        <w:pStyle w:val="BasicParagraph"/>
        <w:suppressAutoHyphens/>
        <w:rPr>
          <w:rFonts w:ascii="Tw Cen MT" w:hAnsi="Tw Cen MT" w:cs="Apercu Pro"/>
          <w:color w:val="404041"/>
          <w:sz w:val="12"/>
          <w:szCs w:val="12"/>
        </w:rPr>
      </w:pPr>
      <w:r w:rsidRPr="001C6611">
        <w:rPr>
          <w:rFonts w:ascii="Tw Cen MT" w:hAnsi="Tw Cen MT" w:cs="Apercu Pro"/>
          <w:color w:val="404041"/>
          <w:sz w:val="12"/>
          <w:szCs w:val="12"/>
        </w:rPr>
        <w:t>ABN 15 211 513 464</w:t>
      </w:r>
    </w:p>
    <w:p w:rsidR="00FE4802" w:rsidRPr="001C6611" w:rsidRDefault="00FE4802" w:rsidP="001C6611">
      <w:pPr>
        <w:pStyle w:val="BasicParagraph"/>
        <w:suppressAutoHyphens/>
        <w:rPr>
          <w:rFonts w:ascii="Tw Cen MT" w:hAnsi="Tw Cen MT" w:cs="Apercu Pro"/>
          <w:bCs/>
          <w:spacing w:val="7"/>
          <w:sz w:val="36"/>
          <w:szCs w:val="36"/>
        </w:rPr>
      </w:pPr>
    </w:p>
    <w:sectPr w:rsidR="00FE4802" w:rsidRPr="001C661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F8B" w:rsidRDefault="00891F8B" w:rsidP="002155AD">
      <w:pPr>
        <w:spacing w:after="0" w:line="240" w:lineRule="auto"/>
      </w:pPr>
      <w:r>
        <w:separator/>
      </w:r>
    </w:p>
  </w:endnote>
  <w:endnote w:type="continuationSeparator" w:id="0">
    <w:p w:rsidR="00891F8B" w:rsidRDefault="00891F8B" w:rsidP="0021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ercu Pro">
    <w:panose1 w:val="02000606040000020004"/>
    <w:charset w:val="00"/>
    <w:family w:val="modern"/>
    <w:notTrueType/>
    <w:pitch w:val="variable"/>
    <w:sig w:usb0="800002A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F8B" w:rsidRDefault="00891F8B" w:rsidP="002155AD">
      <w:pPr>
        <w:spacing w:after="0" w:line="240" w:lineRule="auto"/>
      </w:pPr>
      <w:r>
        <w:separator/>
      </w:r>
    </w:p>
  </w:footnote>
  <w:footnote w:type="continuationSeparator" w:id="0">
    <w:p w:rsidR="00891F8B" w:rsidRDefault="00891F8B" w:rsidP="0021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5AD" w:rsidRDefault="002155AD">
    <w:pPr>
      <w:pStyle w:val="Header"/>
    </w:pPr>
    <w:r>
      <w:tab/>
    </w:r>
    <w:r>
      <w:tab/>
    </w:r>
    <w:r>
      <w:rPr>
        <w:noProof/>
      </w:rPr>
      <w:drawing>
        <wp:inline distT="0" distB="0" distL="0" distR="0">
          <wp:extent cx="1468732" cy="508547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 (Mon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504" cy="525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11"/>
    <w:rsid w:val="000516F5"/>
    <w:rsid w:val="001C6611"/>
    <w:rsid w:val="002155AD"/>
    <w:rsid w:val="003E5901"/>
    <w:rsid w:val="004911F0"/>
    <w:rsid w:val="004F6597"/>
    <w:rsid w:val="005245CB"/>
    <w:rsid w:val="00775585"/>
    <w:rsid w:val="00891F8B"/>
    <w:rsid w:val="00A325EC"/>
    <w:rsid w:val="00DD3D89"/>
    <w:rsid w:val="00F63F31"/>
    <w:rsid w:val="00F96697"/>
    <w:rsid w:val="00F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AB5523"/>
  <w15:chartTrackingRefBased/>
  <w15:docId w15:val="{899F5D93-D0C3-4E79-8A57-33A1F635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4F6597"/>
    <w:pPr>
      <w:spacing w:after="0" w:line="240" w:lineRule="auto"/>
    </w:pPr>
    <w:rPr>
      <w:rFonts w:ascii="Tw Cen MT" w:hAnsi="Tw Cen M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w Cen MT" w:eastAsiaTheme="majorEastAsia" w:hAnsi="Tw Cen MT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sicParagraph">
    <w:name w:val="[Basic Paragraph]"/>
    <w:basedOn w:val="Normal"/>
    <w:uiPriority w:val="99"/>
    <w:rsid w:val="001C661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NoParagraphStyle">
    <w:name w:val="[No Paragraph Style]"/>
    <w:rsid w:val="001C6611"/>
    <w:pPr>
      <w:autoSpaceDE w:val="0"/>
      <w:autoSpaceDN w:val="0"/>
      <w:adjustRightInd w:val="0"/>
      <w:spacing w:after="0" w:line="288" w:lineRule="auto"/>
      <w:textAlignment w:val="center"/>
    </w:pPr>
    <w:rPr>
      <w:rFonts w:ascii="Apercu Pro" w:hAnsi="Apercu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C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AD"/>
  </w:style>
  <w:style w:type="paragraph" w:styleId="Footer">
    <w:name w:val="footer"/>
    <w:basedOn w:val="Normal"/>
    <w:link w:val="FooterChar"/>
    <w:uiPriority w:val="99"/>
    <w:unhideWhenUsed/>
    <w:rsid w:val="00215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AD"/>
  </w:style>
  <w:style w:type="paragraph" w:styleId="BalloonText">
    <w:name w:val="Balloon Text"/>
    <w:basedOn w:val="Normal"/>
    <w:link w:val="BalloonTextChar"/>
    <w:uiPriority w:val="99"/>
    <w:semiHidden/>
    <w:unhideWhenUsed/>
    <w:rsid w:val="00DD3D8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1349</Words>
  <Characters>7693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Robertshawe</dc:creator>
  <cp:keywords/>
  <dc:description/>
  <cp:lastModifiedBy>Esther Robertshawe</cp:lastModifiedBy>
  <cp:revision>2</cp:revision>
  <dcterms:created xsi:type="dcterms:W3CDTF">2019-05-20T23:29:00Z</dcterms:created>
  <dcterms:modified xsi:type="dcterms:W3CDTF">2019-05-20T23:29:00Z</dcterms:modified>
</cp:coreProperties>
</file>