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8B56B" w14:textId="77777777" w:rsidR="0040686B" w:rsidRPr="0040686B" w:rsidRDefault="0040686B" w:rsidP="0040686B">
      <w:pPr>
        <w:spacing w:after="200" w:line="276" w:lineRule="auto"/>
        <w:rPr>
          <w:rFonts w:ascii="Calibri" w:eastAsia="Times New Roman" w:hAnsi="Calibri" w:cs="Times New Roman"/>
          <w:b/>
          <w:bCs/>
        </w:rPr>
      </w:pPr>
    </w:p>
    <w:p w14:paraId="7924AFFF" w14:textId="77777777" w:rsidR="0040686B" w:rsidRPr="0040686B" w:rsidRDefault="0040686B" w:rsidP="0040686B">
      <w:pPr>
        <w:spacing w:after="240" w:line="240" w:lineRule="auto"/>
        <w:contextualSpacing/>
        <w:outlineLvl w:val="0"/>
        <w:rPr>
          <w:rFonts w:ascii="Calibri" w:eastAsia="Times New Roman" w:hAnsi="Calibri" w:cs="Times New Roman"/>
          <w:b/>
          <w:bCs/>
          <w:color w:val="522761"/>
          <w:sz w:val="36"/>
          <w:szCs w:val="28"/>
        </w:rPr>
      </w:pPr>
      <w:r w:rsidRPr="0040686B">
        <w:rPr>
          <w:rFonts w:ascii="Calibri" w:eastAsia="Times New Roman" w:hAnsi="Calibri" w:cs="Times New Roman"/>
          <w:b/>
          <w:bCs/>
          <w:color w:val="522761"/>
          <w:sz w:val="36"/>
          <w:szCs w:val="28"/>
        </w:rPr>
        <w:t>ACCESS AND PARTICIPATION PLAN 2019</w:t>
      </w:r>
    </w:p>
    <w:p w14:paraId="585C4AFD" w14:textId="2179863C" w:rsidR="0040686B" w:rsidRDefault="0040686B" w:rsidP="0040686B">
      <w:pPr>
        <w:spacing w:before="200" w:after="0" w:line="276" w:lineRule="auto"/>
        <w:outlineLvl w:val="1"/>
        <w:rPr>
          <w:rFonts w:ascii="Calibri" w:eastAsia="Times New Roman" w:hAnsi="Calibri" w:cs="Times New Roman"/>
          <w:b/>
          <w:bCs/>
          <w:sz w:val="28"/>
          <w:szCs w:val="26"/>
        </w:rPr>
      </w:pPr>
      <w:r w:rsidRPr="0040686B">
        <w:rPr>
          <w:rFonts w:ascii="Calibri" w:eastAsia="Times New Roman" w:hAnsi="Calibri" w:cs="Times New Roman"/>
          <w:b/>
          <w:bCs/>
          <w:sz w:val="28"/>
          <w:szCs w:val="26"/>
        </w:rPr>
        <w:t>[Macquarie University]</w:t>
      </w:r>
    </w:p>
    <w:p w14:paraId="4E1F7C1F" w14:textId="77777777" w:rsidR="0040686B" w:rsidRPr="0040686B" w:rsidRDefault="0040686B" w:rsidP="0040686B">
      <w:pPr>
        <w:spacing w:before="200" w:after="0" w:line="276" w:lineRule="auto"/>
        <w:outlineLvl w:val="1"/>
        <w:rPr>
          <w:rFonts w:ascii="Calibri" w:eastAsia="Times New Roman" w:hAnsi="Calibri" w:cs="Times New Roman"/>
          <w:b/>
          <w:bCs/>
          <w:sz w:val="28"/>
          <w:szCs w:val="26"/>
        </w:rPr>
      </w:pPr>
    </w:p>
    <w:p w14:paraId="67B5BF26" w14:textId="77777777" w:rsidR="0040686B" w:rsidRPr="0040686B" w:rsidRDefault="0040686B" w:rsidP="0040686B">
      <w:pPr>
        <w:numPr>
          <w:ilvl w:val="0"/>
          <w:numId w:val="2"/>
        </w:numPr>
        <w:spacing w:after="0" w:line="360" w:lineRule="auto"/>
        <w:ind w:left="357" w:hanging="357"/>
        <w:contextualSpacing/>
        <w:jc w:val="both"/>
        <w:rPr>
          <w:rFonts w:ascii="Calibri" w:eastAsia="Times New Roman" w:hAnsi="Calibri" w:cs="Calibri"/>
          <w:sz w:val="20"/>
          <w:szCs w:val="20"/>
        </w:rPr>
      </w:pPr>
      <w:r w:rsidRPr="0040686B">
        <w:rPr>
          <w:rFonts w:ascii="Calibri" w:eastAsia="Times New Roman" w:hAnsi="Calibri" w:cs="Calibri"/>
          <w:b/>
          <w:sz w:val="20"/>
          <w:szCs w:val="20"/>
        </w:rPr>
        <w:t>Equity outcomes and strategies</w:t>
      </w:r>
      <w:r w:rsidRPr="0040686B">
        <w:rPr>
          <w:rFonts w:ascii="Calibri" w:eastAsia="Times New Roman" w:hAnsi="Calibri" w:cs="Calibri"/>
          <w:sz w:val="20"/>
          <w:szCs w:val="20"/>
        </w:rPr>
        <w:t>: for improving outcomes for people from a low SES background.</w:t>
      </w:r>
    </w:p>
    <w:p w14:paraId="4272FC95" w14:textId="77777777" w:rsidR="0040686B" w:rsidRPr="0040686B" w:rsidRDefault="0040686B" w:rsidP="0040686B">
      <w:pPr>
        <w:numPr>
          <w:ilvl w:val="0"/>
          <w:numId w:val="3"/>
        </w:numPr>
        <w:spacing w:after="0" w:line="360" w:lineRule="auto"/>
        <w:contextualSpacing/>
        <w:jc w:val="both"/>
        <w:rPr>
          <w:rFonts w:ascii="Calibri" w:eastAsia="Times New Roman" w:hAnsi="Calibri" w:cs="Calibri"/>
          <w:sz w:val="20"/>
          <w:szCs w:val="20"/>
        </w:rPr>
      </w:pPr>
      <w:r w:rsidRPr="0040686B">
        <w:rPr>
          <w:rFonts w:ascii="Calibri" w:eastAsia="Times New Roman" w:hAnsi="Calibri" w:cs="Calibri"/>
          <w:sz w:val="20"/>
          <w:szCs w:val="20"/>
        </w:rPr>
        <w:t>Equity outcomes:</w:t>
      </w:r>
    </w:p>
    <w:p w14:paraId="5050A98F" w14:textId="77777777" w:rsidR="0040686B" w:rsidRPr="0040686B" w:rsidRDefault="0040686B" w:rsidP="0040686B">
      <w:pPr>
        <w:numPr>
          <w:ilvl w:val="0"/>
          <w:numId w:val="5"/>
        </w:numPr>
        <w:spacing w:after="0" w:line="360" w:lineRule="auto"/>
        <w:contextualSpacing/>
        <w:jc w:val="both"/>
        <w:rPr>
          <w:rFonts w:ascii="Calibri" w:eastAsia="Times New Roman" w:hAnsi="Calibri" w:cs="Calibri"/>
          <w:sz w:val="20"/>
          <w:szCs w:val="20"/>
        </w:rPr>
      </w:pPr>
      <w:r w:rsidRPr="0040686B">
        <w:rPr>
          <w:rFonts w:ascii="Calibri" w:eastAsia="Times New Roman" w:hAnsi="Calibri" w:cs="Calibri"/>
          <w:sz w:val="20"/>
          <w:szCs w:val="20"/>
        </w:rPr>
        <w:t>Participation rate of students from low socio-economic background increases at or above the sector rate.</w:t>
      </w:r>
    </w:p>
    <w:p w14:paraId="4185AD17" w14:textId="77777777" w:rsidR="0040686B" w:rsidRPr="0040686B" w:rsidRDefault="0040686B" w:rsidP="0040686B">
      <w:pPr>
        <w:numPr>
          <w:ilvl w:val="0"/>
          <w:numId w:val="5"/>
        </w:numPr>
        <w:spacing w:after="0" w:line="360" w:lineRule="auto"/>
        <w:contextualSpacing/>
        <w:jc w:val="both"/>
        <w:rPr>
          <w:rFonts w:ascii="Calibri" w:eastAsia="Times New Roman" w:hAnsi="Calibri" w:cs="Calibri"/>
          <w:sz w:val="20"/>
          <w:szCs w:val="20"/>
        </w:rPr>
      </w:pPr>
      <w:r w:rsidRPr="0040686B">
        <w:rPr>
          <w:rFonts w:ascii="Calibri" w:eastAsia="Times New Roman" w:hAnsi="Calibri" w:cs="Calibri"/>
          <w:sz w:val="20"/>
          <w:szCs w:val="20"/>
        </w:rPr>
        <w:t>Retention and success rate of students from low socio-economic background increases at or above the sector rate.</w:t>
      </w:r>
    </w:p>
    <w:p w14:paraId="404E128A" w14:textId="77777777" w:rsidR="0040686B" w:rsidRPr="0040686B" w:rsidRDefault="0040686B" w:rsidP="0040686B">
      <w:pPr>
        <w:numPr>
          <w:ilvl w:val="0"/>
          <w:numId w:val="3"/>
        </w:numPr>
        <w:spacing w:after="0" w:line="360" w:lineRule="auto"/>
        <w:contextualSpacing/>
        <w:jc w:val="both"/>
        <w:rPr>
          <w:rFonts w:ascii="Calibri" w:eastAsia="Times New Roman" w:hAnsi="Calibri" w:cs="Calibri"/>
          <w:sz w:val="20"/>
          <w:szCs w:val="20"/>
        </w:rPr>
      </w:pPr>
      <w:r w:rsidRPr="0040686B">
        <w:rPr>
          <w:rFonts w:ascii="Calibri" w:eastAsia="Times New Roman" w:hAnsi="Calibri" w:cs="Calibri"/>
          <w:sz w:val="20"/>
          <w:szCs w:val="20"/>
        </w:rPr>
        <w:t>Strategies for achieving the outcomes:</w:t>
      </w:r>
    </w:p>
    <w:p w14:paraId="0E2A010B" w14:textId="77777777" w:rsidR="0040686B" w:rsidRPr="0040686B" w:rsidRDefault="0040686B" w:rsidP="0040686B">
      <w:pPr>
        <w:numPr>
          <w:ilvl w:val="0"/>
          <w:numId w:val="4"/>
        </w:numPr>
        <w:spacing w:after="0" w:line="360" w:lineRule="auto"/>
        <w:contextualSpacing/>
        <w:jc w:val="both"/>
        <w:rPr>
          <w:rFonts w:ascii="Calibri" w:eastAsia="Times New Roman" w:hAnsi="Calibri" w:cs="Calibri"/>
          <w:sz w:val="20"/>
          <w:szCs w:val="20"/>
        </w:rPr>
      </w:pPr>
      <w:r w:rsidRPr="0040686B">
        <w:rPr>
          <w:rFonts w:ascii="Calibri" w:eastAsia="Times New Roman" w:hAnsi="Calibri" w:cs="Calibri"/>
          <w:sz w:val="20"/>
          <w:szCs w:val="20"/>
        </w:rPr>
        <w:t>LEAP -UP: Strengthen the capacity of students from low socio-economic backgrounds to participate in higher education</w:t>
      </w:r>
    </w:p>
    <w:p w14:paraId="7C76AC5A" w14:textId="77777777" w:rsidR="0040686B" w:rsidRPr="0040686B" w:rsidRDefault="0040686B" w:rsidP="0040686B">
      <w:pPr>
        <w:numPr>
          <w:ilvl w:val="0"/>
          <w:numId w:val="4"/>
        </w:numPr>
        <w:spacing w:after="0" w:line="360" w:lineRule="auto"/>
        <w:contextualSpacing/>
        <w:jc w:val="both"/>
        <w:rPr>
          <w:rFonts w:ascii="Calibri" w:eastAsia="Times New Roman" w:hAnsi="Calibri" w:cs="Calibri"/>
          <w:sz w:val="20"/>
          <w:szCs w:val="20"/>
        </w:rPr>
      </w:pPr>
      <w:r w:rsidRPr="0040686B">
        <w:rPr>
          <w:rFonts w:ascii="Calibri" w:eastAsia="Times New Roman" w:hAnsi="Calibri" w:cs="Calibri"/>
          <w:sz w:val="20"/>
          <w:szCs w:val="20"/>
        </w:rPr>
        <w:t>LEAP IN: Increase opportunities for students from low socio-economic backgrounds to study at Macquarie University</w:t>
      </w:r>
    </w:p>
    <w:p w14:paraId="6FBF0316" w14:textId="77777777" w:rsidR="0040686B" w:rsidRPr="0040686B" w:rsidRDefault="0040686B" w:rsidP="0040686B">
      <w:pPr>
        <w:numPr>
          <w:ilvl w:val="0"/>
          <w:numId w:val="4"/>
        </w:numPr>
        <w:spacing w:after="0" w:line="360" w:lineRule="auto"/>
        <w:contextualSpacing/>
        <w:jc w:val="both"/>
        <w:rPr>
          <w:rFonts w:ascii="Calibri" w:eastAsia="Times New Roman" w:hAnsi="Calibri" w:cs="Calibri"/>
          <w:sz w:val="20"/>
          <w:szCs w:val="20"/>
        </w:rPr>
      </w:pPr>
      <w:r w:rsidRPr="0040686B">
        <w:rPr>
          <w:rFonts w:ascii="Calibri" w:eastAsia="Times New Roman" w:hAnsi="Calibri" w:cs="Calibri"/>
          <w:sz w:val="20"/>
          <w:szCs w:val="20"/>
        </w:rPr>
        <w:t>LEAP THROUGH: Enhance support for students from low socio-economic backgrounds, from enrolment through to graduation</w:t>
      </w:r>
    </w:p>
    <w:p w14:paraId="0DE64FB7" w14:textId="77777777" w:rsidR="0040686B" w:rsidRPr="0040686B" w:rsidRDefault="0040686B" w:rsidP="0040686B">
      <w:pPr>
        <w:numPr>
          <w:ilvl w:val="0"/>
          <w:numId w:val="4"/>
        </w:numPr>
        <w:spacing w:after="0" w:line="360" w:lineRule="auto"/>
        <w:contextualSpacing/>
        <w:jc w:val="both"/>
        <w:rPr>
          <w:rFonts w:ascii="Calibri" w:eastAsia="Times New Roman" w:hAnsi="Calibri" w:cs="Calibri"/>
          <w:sz w:val="20"/>
          <w:szCs w:val="20"/>
        </w:rPr>
      </w:pPr>
      <w:r w:rsidRPr="0040686B">
        <w:rPr>
          <w:rFonts w:ascii="Calibri" w:eastAsia="Times New Roman" w:hAnsi="Calibri" w:cs="Calibri"/>
          <w:sz w:val="20"/>
          <w:szCs w:val="20"/>
        </w:rPr>
        <w:t>LEAP ON: Improve graduate outcomes, employment and professional opportunities for students from low socio-economic backgrounds</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2556"/>
        <w:gridCol w:w="2558"/>
        <w:gridCol w:w="2558"/>
      </w:tblGrid>
      <w:tr w:rsidR="0040686B" w:rsidRPr="0040686B" w14:paraId="3A49AE48" w14:textId="77777777" w:rsidTr="00BC0CC2">
        <w:trPr>
          <w:trHeight w:val="544"/>
        </w:trPr>
        <w:tc>
          <w:tcPr>
            <w:tcW w:w="2556" w:type="dxa"/>
            <w:shd w:val="clear" w:color="auto" w:fill="D9D9D9"/>
          </w:tcPr>
          <w:p w14:paraId="578CE889" w14:textId="77777777" w:rsidR="0040686B" w:rsidRPr="0040686B" w:rsidRDefault="0040686B" w:rsidP="0040686B">
            <w:pPr>
              <w:spacing w:after="0" w:line="360" w:lineRule="auto"/>
              <w:jc w:val="both"/>
              <w:rPr>
                <w:rFonts w:ascii="Calibri" w:eastAsia="Calibri" w:hAnsi="Calibri" w:cs="Calibri"/>
                <w:b/>
                <w:sz w:val="20"/>
                <w:szCs w:val="20"/>
              </w:rPr>
            </w:pPr>
            <w:r w:rsidRPr="0040686B">
              <w:rPr>
                <w:rFonts w:ascii="Calibri" w:eastAsia="Calibri" w:hAnsi="Calibri" w:cs="Calibri"/>
                <w:b/>
                <w:sz w:val="20"/>
                <w:szCs w:val="20"/>
              </w:rPr>
              <w:t>Pillar 1</w:t>
            </w:r>
          </w:p>
          <w:p w14:paraId="53C1AD6E" w14:textId="77777777" w:rsidR="0040686B" w:rsidRPr="0040686B" w:rsidRDefault="0040686B" w:rsidP="0040686B">
            <w:pPr>
              <w:spacing w:after="0" w:line="360" w:lineRule="auto"/>
              <w:jc w:val="both"/>
              <w:rPr>
                <w:rFonts w:ascii="Calibri" w:eastAsia="Calibri" w:hAnsi="Calibri" w:cs="Calibri"/>
                <w:b/>
                <w:sz w:val="20"/>
                <w:szCs w:val="20"/>
              </w:rPr>
            </w:pPr>
            <w:r w:rsidRPr="0040686B">
              <w:rPr>
                <w:rFonts w:ascii="Calibri" w:eastAsia="Calibri" w:hAnsi="Calibri" w:cs="Calibri"/>
                <w:b/>
                <w:sz w:val="20"/>
                <w:szCs w:val="20"/>
              </w:rPr>
              <w:t>Outreach</w:t>
            </w:r>
          </w:p>
        </w:tc>
        <w:tc>
          <w:tcPr>
            <w:tcW w:w="2556" w:type="dxa"/>
            <w:shd w:val="clear" w:color="auto" w:fill="D9D9D9"/>
          </w:tcPr>
          <w:p w14:paraId="482730BF" w14:textId="77777777" w:rsidR="0040686B" w:rsidRPr="0040686B" w:rsidRDefault="0040686B" w:rsidP="0040686B">
            <w:pPr>
              <w:spacing w:after="0" w:line="360" w:lineRule="auto"/>
              <w:jc w:val="both"/>
              <w:rPr>
                <w:rFonts w:ascii="Calibri" w:eastAsia="Calibri" w:hAnsi="Calibri" w:cs="Calibri"/>
                <w:b/>
                <w:sz w:val="20"/>
                <w:szCs w:val="20"/>
              </w:rPr>
            </w:pPr>
            <w:r w:rsidRPr="0040686B">
              <w:rPr>
                <w:rFonts w:ascii="Calibri" w:eastAsia="Calibri" w:hAnsi="Calibri" w:cs="Calibri"/>
                <w:b/>
                <w:sz w:val="20"/>
                <w:szCs w:val="20"/>
              </w:rPr>
              <w:t>Pillar 2</w:t>
            </w:r>
          </w:p>
          <w:p w14:paraId="2285FCC9" w14:textId="77777777" w:rsidR="0040686B" w:rsidRPr="0040686B" w:rsidRDefault="0040686B" w:rsidP="0040686B">
            <w:pPr>
              <w:spacing w:after="0" w:line="360" w:lineRule="auto"/>
              <w:jc w:val="both"/>
              <w:rPr>
                <w:rFonts w:ascii="Calibri" w:eastAsia="Calibri" w:hAnsi="Calibri" w:cs="Calibri"/>
                <w:b/>
                <w:sz w:val="20"/>
                <w:szCs w:val="20"/>
              </w:rPr>
            </w:pPr>
            <w:r w:rsidRPr="0040686B">
              <w:rPr>
                <w:rFonts w:ascii="Calibri" w:eastAsia="Calibri" w:hAnsi="Calibri" w:cs="Calibri"/>
                <w:b/>
                <w:sz w:val="20"/>
                <w:szCs w:val="20"/>
              </w:rPr>
              <w:t>Pathways</w:t>
            </w:r>
          </w:p>
        </w:tc>
        <w:tc>
          <w:tcPr>
            <w:tcW w:w="2558" w:type="dxa"/>
            <w:shd w:val="clear" w:color="auto" w:fill="D9D9D9"/>
          </w:tcPr>
          <w:p w14:paraId="093F65FE" w14:textId="77777777" w:rsidR="0040686B" w:rsidRPr="0040686B" w:rsidRDefault="0040686B" w:rsidP="0040686B">
            <w:pPr>
              <w:spacing w:after="0" w:line="360" w:lineRule="auto"/>
              <w:jc w:val="both"/>
              <w:rPr>
                <w:rFonts w:ascii="Calibri" w:eastAsia="Calibri" w:hAnsi="Calibri" w:cs="Calibri"/>
                <w:b/>
                <w:sz w:val="20"/>
                <w:szCs w:val="20"/>
              </w:rPr>
            </w:pPr>
            <w:r w:rsidRPr="0040686B">
              <w:rPr>
                <w:rFonts w:ascii="Calibri" w:eastAsia="Calibri" w:hAnsi="Calibri" w:cs="Calibri"/>
                <w:b/>
                <w:sz w:val="20"/>
                <w:szCs w:val="20"/>
              </w:rPr>
              <w:t>Pillar 3</w:t>
            </w:r>
          </w:p>
          <w:p w14:paraId="603872E0" w14:textId="77777777" w:rsidR="0040686B" w:rsidRPr="0040686B" w:rsidRDefault="0040686B" w:rsidP="0040686B">
            <w:pPr>
              <w:spacing w:after="0" w:line="360" w:lineRule="auto"/>
              <w:jc w:val="both"/>
              <w:rPr>
                <w:rFonts w:ascii="Calibri" w:eastAsia="Calibri" w:hAnsi="Calibri" w:cs="Calibri"/>
                <w:b/>
                <w:sz w:val="20"/>
                <w:szCs w:val="20"/>
              </w:rPr>
            </w:pPr>
            <w:r w:rsidRPr="0040686B">
              <w:rPr>
                <w:rFonts w:ascii="Calibri" w:eastAsia="Calibri" w:hAnsi="Calibri" w:cs="Calibri"/>
                <w:b/>
                <w:sz w:val="20"/>
                <w:szCs w:val="20"/>
              </w:rPr>
              <w:t>Participation</w:t>
            </w:r>
          </w:p>
        </w:tc>
        <w:tc>
          <w:tcPr>
            <w:tcW w:w="2558" w:type="dxa"/>
            <w:shd w:val="clear" w:color="auto" w:fill="D9D9D9"/>
          </w:tcPr>
          <w:p w14:paraId="709BDEA7" w14:textId="77777777" w:rsidR="0040686B" w:rsidRPr="0040686B" w:rsidRDefault="0040686B" w:rsidP="0040686B">
            <w:pPr>
              <w:spacing w:after="0" w:line="360" w:lineRule="auto"/>
              <w:jc w:val="both"/>
              <w:rPr>
                <w:rFonts w:ascii="Calibri" w:eastAsia="Calibri" w:hAnsi="Calibri" w:cs="Calibri"/>
                <w:b/>
                <w:sz w:val="20"/>
                <w:szCs w:val="20"/>
              </w:rPr>
            </w:pPr>
            <w:r w:rsidRPr="0040686B">
              <w:rPr>
                <w:rFonts w:ascii="Calibri" w:eastAsia="Calibri" w:hAnsi="Calibri" w:cs="Calibri"/>
                <w:b/>
                <w:sz w:val="20"/>
                <w:szCs w:val="20"/>
              </w:rPr>
              <w:t>Pillar 4</w:t>
            </w:r>
          </w:p>
          <w:p w14:paraId="26B9A05C" w14:textId="77777777" w:rsidR="0040686B" w:rsidRPr="0040686B" w:rsidRDefault="0040686B" w:rsidP="0040686B">
            <w:pPr>
              <w:spacing w:after="0" w:line="360" w:lineRule="auto"/>
              <w:jc w:val="both"/>
              <w:rPr>
                <w:rFonts w:ascii="Calibri" w:eastAsia="Calibri" w:hAnsi="Calibri" w:cs="Calibri"/>
                <w:b/>
                <w:sz w:val="20"/>
                <w:szCs w:val="20"/>
              </w:rPr>
            </w:pPr>
            <w:r w:rsidRPr="0040686B">
              <w:rPr>
                <w:rFonts w:ascii="Calibri" w:eastAsia="Calibri" w:hAnsi="Calibri" w:cs="Calibri"/>
                <w:b/>
                <w:sz w:val="20"/>
                <w:szCs w:val="20"/>
              </w:rPr>
              <w:t>Impact</w:t>
            </w:r>
          </w:p>
        </w:tc>
      </w:tr>
      <w:tr w:rsidR="0040686B" w:rsidRPr="0040686B" w14:paraId="09BBC03B" w14:textId="77777777" w:rsidTr="00BC0CC2">
        <w:trPr>
          <w:trHeight w:val="265"/>
        </w:trPr>
        <w:tc>
          <w:tcPr>
            <w:tcW w:w="2556" w:type="dxa"/>
            <w:shd w:val="clear" w:color="auto" w:fill="F2F2F2"/>
          </w:tcPr>
          <w:p w14:paraId="37AFD739" w14:textId="77777777" w:rsidR="0040686B" w:rsidRPr="0040686B" w:rsidRDefault="0040686B" w:rsidP="0040686B">
            <w:pPr>
              <w:spacing w:after="0" w:line="360" w:lineRule="auto"/>
              <w:jc w:val="both"/>
              <w:rPr>
                <w:rFonts w:ascii="Calibri" w:eastAsia="Calibri" w:hAnsi="Calibri" w:cs="Calibri"/>
                <w:b/>
                <w:i/>
                <w:sz w:val="20"/>
                <w:szCs w:val="20"/>
              </w:rPr>
            </w:pPr>
            <w:r w:rsidRPr="0040686B">
              <w:rPr>
                <w:rFonts w:ascii="Calibri" w:eastAsia="Calibri" w:hAnsi="Calibri" w:cs="Calibri"/>
                <w:b/>
                <w:i/>
                <w:sz w:val="20"/>
                <w:szCs w:val="20"/>
              </w:rPr>
              <w:t>LEAP UP</w:t>
            </w:r>
          </w:p>
        </w:tc>
        <w:tc>
          <w:tcPr>
            <w:tcW w:w="2556" w:type="dxa"/>
            <w:shd w:val="clear" w:color="auto" w:fill="F2F2F2"/>
          </w:tcPr>
          <w:p w14:paraId="6FE08217" w14:textId="77777777" w:rsidR="0040686B" w:rsidRPr="0040686B" w:rsidRDefault="0040686B" w:rsidP="0040686B">
            <w:pPr>
              <w:spacing w:after="0" w:line="360" w:lineRule="auto"/>
              <w:jc w:val="both"/>
              <w:rPr>
                <w:rFonts w:ascii="Calibri" w:eastAsia="Calibri" w:hAnsi="Calibri" w:cs="Calibri"/>
                <w:b/>
                <w:i/>
                <w:sz w:val="20"/>
                <w:szCs w:val="20"/>
              </w:rPr>
            </w:pPr>
            <w:r w:rsidRPr="0040686B">
              <w:rPr>
                <w:rFonts w:ascii="Calibri" w:eastAsia="Calibri" w:hAnsi="Calibri" w:cs="Calibri"/>
                <w:b/>
                <w:i/>
                <w:sz w:val="20"/>
                <w:szCs w:val="20"/>
              </w:rPr>
              <w:t>LEAP IN</w:t>
            </w:r>
          </w:p>
        </w:tc>
        <w:tc>
          <w:tcPr>
            <w:tcW w:w="2558" w:type="dxa"/>
            <w:shd w:val="clear" w:color="auto" w:fill="F2F2F2"/>
          </w:tcPr>
          <w:p w14:paraId="12EBAB23" w14:textId="77777777" w:rsidR="0040686B" w:rsidRPr="0040686B" w:rsidRDefault="0040686B" w:rsidP="0040686B">
            <w:pPr>
              <w:spacing w:after="0" w:line="360" w:lineRule="auto"/>
              <w:jc w:val="both"/>
              <w:rPr>
                <w:rFonts w:ascii="Calibri" w:eastAsia="Calibri" w:hAnsi="Calibri" w:cs="Calibri"/>
                <w:b/>
                <w:i/>
                <w:sz w:val="20"/>
                <w:szCs w:val="20"/>
              </w:rPr>
            </w:pPr>
            <w:r w:rsidRPr="0040686B">
              <w:rPr>
                <w:rFonts w:ascii="Calibri" w:eastAsia="Calibri" w:hAnsi="Calibri" w:cs="Calibri"/>
                <w:b/>
                <w:i/>
                <w:sz w:val="20"/>
                <w:szCs w:val="20"/>
              </w:rPr>
              <w:t>LEAP THROUGH</w:t>
            </w:r>
          </w:p>
        </w:tc>
        <w:tc>
          <w:tcPr>
            <w:tcW w:w="2558" w:type="dxa"/>
            <w:shd w:val="clear" w:color="auto" w:fill="F2F2F2"/>
          </w:tcPr>
          <w:p w14:paraId="76111E13" w14:textId="77777777" w:rsidR="0040686B" w:rsidRPr="0040686B" w:rsidRDefault="0040686B" w:rsidP="0040686B">
            <w:pPr>
              <w:spacing w:after="0" w:line="360" w:lineRule="auto"/>
              <w:jc w:val="both"/>
              <w:rPr>
                <w:rFonts w:ascii="Calibri" w:eastAsia="Calibri" w:hAnsi="Calibri" w:cs="Calibri"/>
                <w:b/>
                <w:i/>
                <w:sz w:val="20"/>
                <w:szCs w:val="20"/>
              </w:rPr>
            </w:pPr>
            <w:r w:rsidRPr="0040686B">
              <w:rPr>
                <w:rFonts w:ascii="Calibri" w:eastAsia="Calibri" w:hAnsi="Calibri" w:cs="Calibri"/>
                <w:b/>
                <w:i/>
                <w:sz w:val="20"/>
                <w:szCs w:val="20"/>
              </w:rPr>
              <w:t>LEAP ON</w:t>
            </w:r>
          </w:p>
        </w:tc>
      </w:tr>
      <w:tr w:rsidR="0040686B" w:rsidRPr="0040686B" w14:paraId="4927991D" w14:textId="77777777" w:rsidTr="00BC0CC2">
        <w:trPr>
          <w:trHeight w:val="2440"/>
        </w:trPr>
        <w:tc>
          <w:tcPr>
            <w:tcW w:w="2556" w:type="dxa"/>
          </w:tcPr>
          <w:p w14:paraId="289F7C2D" w14:textId="28E98050" w:rsidR="0040686B" w:rsidRPr="0040686B" w:rsidRDefault="0040686B" w:rsidP="0040686B">
            <w:pPr>
              <w:spacing w:after="0" w:line="360" w:lineRule="auto"/>
              <w:rPr>
                <w:rFonts w:ascii="Calibri" w:eastAsia="Calibri" w:hAnsi="Calibri" w:cs="Calibri"/>
                <w:b/>
                <w:sz w:val="20"/>
                <w:szCs w:val="20"/>
              </w:rPr>
            </w:pPr>
            <w:r w:rsidRPr="0040686B">
              <w:rPr>
                <w:rFonts w:ascii="Calibri" w:eastAsia="Calibri" w:hAnsi="Calibri" w:cs="Calibri"/>
                <w:b/>
                <w:sz w:val="20"/>
                <w:szCs w:val="20"/>
              </w:rPr>
              <w:t>Objective:</w:t>
            </w:r>
          </w:p>
          <w:p w14:paraId="096B95F5" w14:textId="77777777" w:rsidR="0040686B" w:rsidRPr="0040686B" w:rsidRDefault="0040686B" w:rsidP="0040686B">
            <w:pPr>
              <w:spacing w:after="0" w:line="360" w:lineRule="auto"/>
              <w:rPr>
                <w:rFonts w:ascii="Calibri" w:eastAsia="Calibri" w:hAnsi="Calibri" w:cs="Calibri"/>
                <w:sz w:val="20"/>
                <w:szCs w:val="20"/>
              </w:rPr>
            </w:pPr>
            <w:r w:rsidRPr="0040686B">
              <w:rPr>
                <w:rFonts w:ascii="Calibri" w:eastAsia="Calibri" w:hAnsi="Calibri" w:cs="Calibri"/>
                <w:sz w:val="20"/>
                <w:szCs w:val="20"/>
              </w:rPr>
              <w:t>Strengthen the capacity of students low socio-economic backgrounds to participate in higher education</w:t>
            </w:r>
          </w:p>
        </w:tc>
        <w:tc>
          <w:tcPr>
            <w:tcW w:w="2556" w:type="dxa"/>
          </w:tcPr>
          <w:p w14:paraId="4E8FC7A2" w14:textId="20EC48BE" w:rsidR="0040686B" w:rsidRPr="0040686B" w:rsidRDefault="0040686B" w:rsidP="0040686B">
            <w:pPr>
              <w:spacing w:after="0" w:line="360" w:lineRule="auto"/>
              <w:rPr>
                <w:rFonts w:ascii="Calibri" w:eastAsia="Calibri" w:hAnsi="Calibri" w:cs="Calibri"/>
                <w:b/>
                <w:sz w:val="20"/>
                <w:szCs w:val="20"/>
              </w:rPr>
            </w:pPr>
            <w:r w:rsidRPr="0040686B">
              <w:rPr>
                <w:rFonts w:ascii="Calibri" w:eastAsia="Calibri" w:hAnsi="Calibri" w:cs="Calibri"/>
                <w:b/>
                <w:sz w:val="20"/>
                <w:szCs w:val="20"/>
              </w:rPr>
              <w:t>Objective:</w:t>
            </w:r>
          </w:p>
          <w:p w14:paraId="7CEA6698" w14:textId="77777777" w:rsidR="0040686B" w:rsidRPr="0040686B" w:rsidRDefault="0040686B" w:rsidP="0040686B">
            <w:pPr>
              <w:spacing w:after="0" w:line="360" w:lineRule="auto"/>
              <w:rPr>
                <w:rFonts w:ascii="Calibri" w:eastAsia="Calibri" w:hAnsi="Calibri" w:cs="Calibri"/>
                <w:sz w:val="20"/>
                <w:szCs w:val="20"/>
              </w:rPr>
            </w:pPr>
            <w:r w:rsidRPr="0040686B">
              <w:rPr>
                <w:rFonts w:ascii="Calibri" w:eastAsia="Calibri" w:hAnsi="Calibri" w:cs="Calibri"/>
                <w:sz w:val="20"/>
                <w:szCs w:val="20"/>
              </w:rPr>
              <w:t>Increase opportunities for students from low socio-economic backgrounds to study at Macquarie University</w:t>
            </w:r>
          </w:p>
        </w:tc>
        <w:tc>
          <w:tcPr>
            <w:tcW w:w="2558" w:type="dxa"/>
          </w:tcPr>
          <w:p w14:paraId="7EBFA76E" w14:textId="23AF6609" w:rsidR="0040686B" w:rsidRPr="0040686B" w:rsidRDefault="0040686B" w:rsidP="0040686B">
            <w:pPr>
              <w:spacing w:after="0" w:line="360" w:lineRule="auto"/>
              <w:rPr>
                <w:rFonts w:ascii="Calibri" w:eastAsia="Calibri" w:hAnsi="Calibri" w:cs="Calibri"/>
                <w:b/>
                <w:sz w:val="20"/>
                <w:szCs w:val="20"/>
              </w:rPr>
            </w:pPr>
            <w:r w:rsidRPr="0040686B">
              <w:rPr>
                <w:rFonts w:ascii="Calibri" w:eastAsia="Calibri" w:hAnsi="Calibri" w:cs="Calibri"/>
                <w:b/>
                <w:sz w:val="20"/>
                <w:szCs w:val="20"/>
              </w:rPr>
              <w:t>Objective:</w:t>
            </w:r>
          </w:p>
          <w:p w14:paraId="19871003" w14:textId="77777777" w:rsidR="0040686B" w:rsidRPr="0040686B" w:rsidRDefault="0040686B" w:rsidP="0040686B">
            <w:pPr>
              <w:spacing w:after="0" w:line="360" w:lineRule="auto"/>
              <w:rPr>
                <w:rFonts w:ascii="Calibri" w:eastAsia="Calibri" w:hAnsi="Calibri" w:cs="Calibri"/>
                <w:sz w:val="20"/>
                <w:szCs w:val="20"/>
              </w:rPr>
            </w:pPr>
            <w:r w:rsidRPr="0040686B">
              <w:rPr>
                <w:rFonts w:ascii="Calibri" w:eastAsia="Calibri" w:hAnsi="Calibri" w:cs="Calibri"/>
                <w:sz w:val="20"/>
                <w:szCs w:val="20"/>
              </w:rPr>
              <w:t>Enhance support to students from low socio-economic backgrounds, from enrolment through to graduation</w:t>
            </w:r>
          </w:p>
        </w:tc>
        <w:tc>
          <w:tcPr>
            <w:tcW w:w="2558" w:type="dxa"/>
          </w:tcPr>
          <w:p w14:paraId="183A3E61" w14:textId="1AEA25EA" w:rsidR="0040686B" w:rsidRPr="0040686B" w:rsidRDefault="0040686B" w:rsidP="0040686B">
            <w:pPr>
              <w:spacing w:after="0" w:line="360" w:lineRule="auto"/>
              <w:rPr>
                <w:rFonts w:ascii="Calibri" w:eastAsia="Calibri" w:hAnsi="Calibri" w:cs="Calibri"/>
                <w:b/>
                <w:sz w:val="20"/>
                <w:szCs w:val="20"/>
              </w:rPr>
            </w:pPr>
            <w:r w:rsidRPr="0040686B">
              <w:rPr>
                <w:rFonts w:ascii="Calibri" w:eastAsia="Calibri" w:hAnsi="Calibri" w:cs="Calibri"/>
                <w:b/>
                <w:sz w:val="20"/>
                <w:szCs w:val="20"/>
              </w:rPr>
              <w:t>Objective:</w:t>
            </w:r>
          </w:p>
          <w:p w14:paraId="0D77D4B3" w14:textId="77777777" w:rsidR="0040686B" w:rsidRPr="0040686B" w:rsidRDefault="0040686B" w:rsidP="0040686B">
            <w:pPr>
              <w:spacing w:after="0" w:line="360" w:lineRule="auto"/>
              <w:rPr>
                <w:rFonts w:ascii="Calibri" w:eastAsia="Calibri" w:hAnsi="Calibri" w:cs="Calibri"/>
                <w:sz w:val="20"/>
                <w:szCs w:val="20"/>
              </w:rPr>
            </w:pPr>
            <w:r w:rsidRPr="0040686B">
              <w:rPr>
                <w:rFonts w:ascii="Calibri" w:eastAsia="Calibri" w:hAnsi="Calibri" w:cs="Calibri"/>
                <w:sz w:val="20"/>
                <w:szCs w:val="20"/>
              </w:rPr>
              <w:t>Improve graduate outcomes, employment and professional opportunities for students from low socio-economic backgrounds</w:t>
            </w:r>
          </w:p>
        </w:tc>
      </w:tr>
      <w:tr w:rsidR="0040686B" w:rsidRPr="0040686B" w14:paraId="740631C3" w14:textId="77777777" w:rsidTr="00BC0CC2">
        <w:trPr>
          <w:trHeight w:val="2440"/>
        </w:trPr>
        <w:tc>
          <w:tcPr>
            <w:tcW w:w="2556" w:type="dxa"/>
          </w:tcPr>
          <w:p w14:paraId="520331D6" w14:textId="23BD2FCB" w:rsidR="0040686B" w:rsidRPr="0040686B" w:rsidRDefault="0040686B" w:rsidP="0040686B">
            <w:pPr>
              <w:spacing w:after="0" w:line="360" w:lineRule="auto"/>
              <w:rPr>
                <w:rFonts w:ascii="Calibri" w:eastAsia="Calibri" w:hAnsi="Calibri" w:cs="Calibri"/>
                <w:b/>
                <w:sz w:val="20"/>
                <w:szCs w:val="20"/>
              </w:rPr>
            </w:pPr>
            <w:r w:rsidRPr="0040686B">
              <w:rPr>
                <w:rFonts w:ascii="Calibri" w:eastAsia="Calibri" w:hAnsi="Calibri" w:cs="Calibri"/>
                <w:b/>
                <w:sz w:val="20"/>
                <w:szCs w:val="20"/>
              </w:rPr>
              <w:t>Goal A</w:t>
            </w:r>
          </w:p>
          <w:p w14:paraId="5F9BCFA8" w14:textId="77777777" w:rsidR="0040686B" w:rsidRPr="0040686B" w:rsidRDefault="0040686B" w:rsidP="0040686B">
            <w:pPr>
              <w:spacing w:after="0" w:line="360" w:lineRule="auto"/>
              <w:rPr>
                <w:rFonts w:ascii="Calibri" w:eastAsia="Calibri" w:hAnsi="Calibri" w:cs="Calibri"/>
                <w:sz w:val="20"/>
                <w:szCs w:val="20"/>
              </w:rPr>
            </w:pPr>
            <w:r w:rsidRPr="0040686B">
              <w:rPr>
                <w:rFonts w:ascii="Calibri" w:eastAsia="Calibri" w:hAnsi="Calibri" w:cs="Calibri"/>
                <w:sz w:val="20"/>
                <w:szCs w:val="20"/>
              </w:rPr>
              <w:t xml:space="preserve">Build awareness of and broaden aspirations around higher education study for students from low socio-economic backgrounds </w:t>
            </w:r>
          </w:p>
        </w:tc>
        <w:tc>
          <w:tcPr>
            <w:tcW w:w="2556" w:type="dxa"/>
          </w:tcPr>
          <w:p w14:paraId="2B40E130" w14:textId="2BDF318D" w:rsidR="0040686B" w:rsidRPr="0040686B" w:rsidRDefault="0040686B" w:rsidP="0040686B">
            <w:pPr>
              <w:spacing w:after="0" w:line="360" w:lineRule="auto"/>
              <w:rPr>
                <w:rFonts w:ascii="Calibri" w:eastAsia="Calibri" w:hAnsi="Calibri" w:cs="Calibri"/>
                <w:b/>
                <w:sz w:val="20"/>
                <w:szCs w:val="20"/>
              </w:rPr>
            </w:pPr>
            <w:r w:rsidRPr="0040686B">
              <w:rPr>
                <w:rFonts w:ascii="Calibri" w:eastAsia="Calibri" w:hAnsi="Calibri" w:cs="Calibri"/>
                <w:b/>
                <w:sz w:val="20"/>
                <w:szCs w:val="20"/>
              </w:rPr>
              <w:t>Goal A</w:t>
            </w:r>
          </w:p>
          <w:p w14:paraId="730BBD09" w14:textId="77777777" w:rsidR="0040686B" w:rsidRPr="0040686B" w:rsidRDefault="0040686B" w:rsidP="0040686B">
            <w:pPr>
              <w:spacing w:after="0" w:line="360" w:lineRule="auto"/>
              <w:rPr>
                <w:rFonts w:ascii="Calibri" w:eastAsia="Calibri" w:hAnsi="Calibri" w:cs="Calibri"/>
                <w:sz w:val="20"/>
                <w:szCs w:val="20"/>
              </w:rPr>
            </w:pPr>
            <w:r w:rsidRPr="0040686B">
              <w:rPr>
                <w:rFonts w:ascii="Calibri" w:eastAsia="Calibri" w:hAnsi="Calibri" w:cs="Calibri"/>
                <w:sz w:val="20"/>
                <w:szCs w:val="20"/>
              </w:rPr>
              <w:t>Provide opportunities for students from low socio-economic backgrounds to access university through our diverse range of admission pathways</w:t>
            </w:r>
          </w:p>
        </w:tc>
        <w:tc>
          <w:tcPr>
            <w:tcW w:w="2558" w:type="dxa"/>
          </w:tcPr>
          <w:p w14:paraId="0FA82C06" w14:textId="2C7CA78B" w:rsidR="0040686B" w:rsidRPr="0040686B" w:rsidRDefault="0040686B" w:rsidP="0040686B">
            <w:pPr>
              <w:spacing w:after="0" w:line="360" w:lineRule="auto"/>
              <w:rPr>
                <w:rFonts w:ascii="Calibri" w:eastAsia="Calibri" w:hAnsi="Calibri" w:cs="Calibri"/>
                <w:b/>
                <w:sz w:val="20"/>
                <w:szCs w:val="20"/>
              </w:rPr>
            </w:pPr>
            <w:r w:rsidRPr="0040686B">
              <w:rPr>
                <w:rFonts w:ascii="Calibri" w:eastAsia="Calibri" w:hAnsi="Calibri" w:cs="Calibri"/>
                <w:b/>
                <w:sz w:val="20"/>
                <w:szCs w:val="20"/>
              </w:rPr>
              <w:t>Goal A</w:t>
            </w:r>
          </w:p>
          <w:p w14:paraId="41AD9E92" w14:textId="77777777" w:rsidR="0040686B" w:rsidRPr="0040686B" w:rsidRDefault="0040686B" w:rsidP="0040686B">
            <w:pPr>
              <w:spacing w:after="0" w:line="360" w:lineRule="auto"/>
              <w:rPr>
                <w:rFonts w:ascii="Calibri" w:eastAsia="Calibri" w:hAnsi="Calibri" w:cs="Calibri"/>
                <w:sz w:val="20"/>
                <w:szCs w:val="20"/>
              </w:rPr>
            </w:pPr>
            <w:r w:rsidRPr="0040686B">
              <w:rPr>
                <w:rFonts w:ascii="Calibri" w:eastAsia="Calibri" w:hAnsi="Calibri" w:cs="Calibri"/>
                <w:sz w:val="20"/>
                <w:szCs w:val="20"/>
              </w:rPr>
              <w:t>Provide targeted and appropriate transition support to university life for students from low socio-economic backgrounds</w:t>
            </w:r>
          </w:p>
        </w:tc>
        <w:tc>
          <w:tcPr>
            <w:tcW w:w="2558" w:type="dxa"/>
          </w:tcPr>
          <w:p w14:paraId="41AF4EC5" w14:textId="4534579D" w:rsidR="0040686B" w:rsidRPr="0040686B" w:rsidRDefault="0040686B" w:rsidP="0040686B">
            <w:pPr>
              <w:spacing w:after="0" w:line="360" w:lineRule="auto"/>
              <w:rPr>
                <w:rFonts w:ascii="Calibri" w:eastAsia="Calibri" w:hAnsi="Calibri" w:cs="Calibri"/>
                <w:b/>
                <w:sz w:val="20"/>
                <w:szCs w:val="20"/>
              </w:rPr>
            </w:pPr>
            <w:r w:rsidRPr="0040686B">
              <w:rPr>
                <w:rFonts w:ascii="Calibri" w:eastAsia="Calibri" w:hAnsi="Calibri" w:cs="Calibri"/>
                <w:b/>
                <w:sz w:val="20"/>
                <w:szCs w:val="20"/>
              </w:rPr>
              <w:t>Goal A</w:t>
            </w:r>
          </w:p>
          <w:p w14:paraId="7D6DB002" w14:textId="77777777" w:rsidR="0040686B" w:rsidRPr="0040686B" w:rsidRDefault="0040686B" w:rsidP="0040686B">
            <w:pPr>
              <w:spacing w:after="0" w:line="360" w:lineRule="auto"/>
              <w:rPr>
                <w:rFonts w:ascii="Calibri" w:eastAsia="Calibri" w:hAnsi="Calibri" w:cs="Calibri"/>
                <w:sz w:val="20"/>
                <w:szCs w:val="20"/>
              </w:rPr>
            </w:pPr>
            <w:r w:rsidRPr="0040686B">
              <w:rPr>
                <w:rFonts w:ascii="Calibri" w:eastAsia="Calibri" w:hAnsi="Calibri" w:cs="Calibri"/>
                <w:sz w:val="20"/>
                <w:szCs w:val="20"/>
              </w:rPr>
              <w:t>Enhance employability opportunities for students from low socio-economic backgrounds by providing mentoring and professional development opportunities</w:t>
            </w:r>
          </w:p>
        </w:tc>
      </w:tr>
      <w:tr w:rsidR="0040686B" w:rsidRPr="0040686B" w14:paraId="439DEC12" w14:textId="77777777" w:rsidTr="00BC0CC2">
        <w:trPr>
          <w:trHeight w:val="3261"/>
        </w:trPr>
        <w:tc>
          <w:tcPr>
            <w:tcW w:w="2556" w:type="dxa"/>
          </w:tcPr>
          <w:p w14:paraId="765237D8" w14:textId="0411ECE4" w:rsidR="0040686B" w:rsidRPr="0040686B" w:rsidRDefault="0040686B" w:rsidP="0040686B">
            <w:pPr>
              <w:spacing w:after="0" w:line="360" w:lineRule="auto"/>
              <w:rPr>
                <w:rFonts w:ascii="Calibri" w:eastAsia="Calibri" w:hAnsi="Calibri" w:cs="Calibri"/>
                <w:b/>
                <w:sz w:val="20"/>
                <w:szCs w:val="20"/>
              </w:rPr>
            </w:pPr>
            <w:r w:rsidRPr="0040686B">
              <w:rPr>
                <w:rFonts w:ascii="Calibri" w:eastAsia="Calibri" w:hAnsi="Calibri" w:cs="Calibri"/>
                <w:b/>
                <w:sz w:val="20"/>
                <w:szCs w:val="20"/>
              </w:rPr>
              <w:lastRenderedPageBreak/>
              <w:t>Goal B</w:t>
            </w:r>
          </w:p>
          <w:p w14:paraId="4B3561B0" w14:textId="77777777" w:rsidR="0040686B" w:rsidRPr="0040686B" w:rsidRDefault="0040686B" w:rsidP="0040686B">
            <w:pPr>
              <w:spacing w:after="0" w:line="360" w:lineRule="auto"/>
              <w:rPr>
                <w:rFonts w:ascii="Calibri" w:eastAsia="Calibri" w:hAnsi="Calibri" w:cs="Calibri"/>
                <w:sz w:val="20"/>
                <w:szCs w:val="20"/>
              </w:rPr>
            </w:pPr>
            <w:r w:rsidRPr="0040686B">
              <w:rPr>
                <w:rFonts w:ascii="Calibri" w:eastAsia="Calibri" w:hAnsi="Calibri" w:cs="Calibri"/>
                <w:sz w:val="20"/>
                <w:szCs w:val="20"/>
              </w:rPr>
              <w:t>Establish Macquarie University as a study destination of choice among prospective students</w:t>
            </w:r>
            <w:r w:rsidRPr="0040686B">
              <w:rPr>
                <w:rFonts w:ascii="Calibri" w:eastAsia="Times New Roman" w:hAnsi="Calibri" w:cs="Calibri"/>
                <w:sz w:val="20"/>
                <w:szCs w:val="20"/>
              </w:rPr>
              <w:t xml:space="preserve"> </w:t>
            </w:r>
            <w:r w:rsidRPr="0040686B">
              <w:rPr>
                <w:rFonts w:ascii="Calibri" w:eastAsia="Calibri" w:hAnsi="Calibri" w:cs="Calibri"/>
                <w:sz w:val="20"/>
                <w:szCs w:val="20"/>
              </w:rPr>
              <w:t>from low socio-economic backgrounds, their families/carers, teachers and communities</w:t>
            </w:r>
          </w:p>
        </w:tc>
        <w:tc>
          <w:tcPr>
            <w:tcW w:w="2556" w:type="dxa"/>
          </w:tcPr>
          <w:p w14:paraId="20B3F2F7" w14:textId="3EB9ABEA" w:rsidR="0040686B" w:rsidRPr="0040686B" w:rsidRDefault="0040686B" w:rsidP="0040686B">
            <w:pPr>
              <w:spacing w:after="0" w:line="360" w:lineRule="auto"/>
              <w:rPr>
                <w:rFonts w:ascii="Calibri" w:eastAsia="Calibri" w:hAnsi="Calibri" w:cs="Calibri"/>
                <w:b/>
                <w:sz w:val="20"/>
                <w:szCs w:val="20"/>
              </w:rPr>
            </w:pPr>
            <w:r w:rsidRPr="0040686B">
              <w:rPr>
                <w:rFonts w:ascii="Calibri" w:eastAsia="Calibri" w:hAnsi="Calibri" w:cs="Calibri"/>
                <w:b/>
                <w:sz w:val="20"/>
                <w:szCs w:val="20"/>
              </w:rPr>
              <w:t>Goal B</w:t>
            </w:r>
          </w:p>
          <w:p w14:paraId="327CB570" w14:textId="77777777" w:rsidR="0040686B" w:rsidRPr="0040686B" w:rsidRDefault="0040686B" w:rsidP="0040686B">
            <w:pPr>
              <w:spacing w:after="0" w:line="360" w:lineRule="auto"/>
              <w:rPr>
                <w:rFonts w:ascii="Calibri" w:eastAsia="Calibri" w:hAnsi="Calibri" w:cs="Calibri"/>
                <w:sz w:val="20"/>
                <w:szCs w:val="20"/>
              </w:rPr>
            </w:pPr>
            <w:r w:rsidRPr="0040686B">
              <w:rPr>
                <w:rFonts w:ascii="Calibri" w:eastAsia="Calibri" w:hAnsi="Calibri" w:cs="Calibri"/>
                <w:sz w:val="20"/>
                <w:szCs w:val="20"/>
              </w:rPr>
              <w:t>Provide a range of support services (including scholarships and financial support) to high school students</w:t>
            </w:r>
            <w:r w:rsidRPr="0040686B">
              <w:rPr>
                <w:rFonts w:ascii="Calibri" w:eastAsia="Times New Roman" w:hAnsi="Calibri" w:cs="Calibri"/>
                <w:sz w:val="20"/>
                <w:szCs w:val="20"/>
              </w:rPr>
              <w:t xml:space="preserve"> </w:t>
            </w:r>
            <w:r w:rsidRPr="0040686B">
              <w:rPr>
                <w:rFonts w:ascii="Calibri" w:eastAsia="Calibri" w:hAnsi="Calibri" w:cs="Calibri"/>
                <w:sz w:val="20"/>
                <w:szCs w:val="20"/>
              </w:rPr>
              <w:t>from low socio-economic backgrounds, their families / carers, teachers and communities</w:t>
            </w:r>
          </w:p>
          <w:p w14:paraId="75495D01" w14:textId="77777777" w:rsidR="0040686B" w:rsidRPr="0040686B" w:rsidRDefault="0040686B" w:rsidP="0040686B">
            <w:pPr>
              <w:spacing w:after="0" w:line="360" w:lineRule="auto"/>
              <w:rPr>
                <w:rFonts w:ascii="Calibri" w:eastAsia="Calibri" w:hAnsi="Calibri" w:cs="Calibri"/>
                <w:sz w:val="20"/>
                <w:szCs w:val="20"/>
              </w:rPr>
            </w:pPr>
          </w:p>
        </w:tc>
        <w:tc>
          <w:tcPr>
            <w:tcW w:w="2558" w:type="dxa"/>
          </w:tcPr>
          <w:p w14:paraId="05B96076" w14:textId="7404F59D" w:rsidR="0040686B" w:rsidRPr="0040686B" w:rsidRDefault="0040686B" w:rsidP="0040686B">
            <w:pPr>
              <w:spacing w:after="0" w:line="360" w:lineRule="auto"/>
              <w:rPr>
                <w:rFonts w:ascii="Calibri" w:eastAsia="Calibri" w:hAnsi="Calibri" w:cs="Calibri"/>
                <w:b/>
                <w:sz w:val="20"/>
                <w:szCs w:val="20"/>
              </w:rPr>
            </w:pPr>
            <w:r w:rsidRPr="0040686B">
              <w:rPr>
                <w:rFonts w:ascii="Calibri" w:eastAsia="Calibri" w:hAnsi="Calibri" w:cs="Calibri"/>
                <w:b/>
                <w:sz w:val="20"/>
                <w:szCs w:val="20"/>
              </w:rPr>
              <w:t>Goal B</w:t>
            </w:r>
          </w:p>
          <w:p w14:paraId="33B64378" w14:textId="77777777" w:rsidR="0040686B" w:rsidRPr="0040686B" w:rsidRDefault="0040686B" w:rsidP="0040686B">
            <w:pPr>
              <w:spacing w:after="0" w:line="360" w:lineRule="auto"/>
              <w:rPr>
                <w:rFonts w:ascii="Calibri" w:eastAsia="Calibri" w:hAnsi="Calibri" w:cs="Calibri"/>
                <w:sz w:val="20"/>
                <w:szCs w:val="20"/>
              </w:rPr>
            </w:pPr>
            <w:r w:rsidRPr="0040686B">
              <w:rPr>
                <w:rFonts w:ascii="Calibri" w:eastAsia="Calibri" w:hAnsi="Calibri" w:cs="Calibri"/>
                <w:sz w:val="20"/>
                <w:szCs w:val="20"/>
              </w:rPr>
              <w:t>Synchronise the effective delivery of a range of university support services available to students from low socio-economic backgrounds to foster their sense of belonging and maximise their potential for success</w:t>
            </w:r>
          </w:p>
          <w:p w14:paraId="724719B3" w14:textId="77777777" w:rsidR="0040686B" w:rsidRPr="0040686B" w:rsidRDefault="0040686B" w:rsidP="0040686B">
            <w:pPr>
              <w:spacing w:after="0" w:line="360" w:lineRule="auto"/>
              <w:rPr>
                <w:rFonts w:ascii="Calibri" w:eastAsia="Calibri" w:hAnsi="Calibri" w:cs="Calibri"/>
                <w:sz w:val="20"/>
                <w:szCs w:val="20"/>
              </w:rPr>
            </w:pPr>
          </w:p>
        </w:tc>
        <w:tc>
          <w:tcPr>
            <w:tcW w:w="2558" w:type="dxa"/>
          </w:tcPr>
          <w:p w14:paraId="3C91FA5C" w14:textId="7D4F7E6B" w:rsidR="0040686B" w:rsidRPr="0040686B" w:rsidRDefault="0040686B" w:rsidP="0040686B">
            <w:pPr>
              <w:spacing w:after="0" w:line="360" w:lineRule="auto"/>
              <w:rPr>
                <w:rFonts w:ascii="Calibri" w:eastAsia="Calibri" w:hAnsi="Calibri" w:cs="Calibri"/>
                <w:b/>
                <w:sz w:val="20"/>
                <w:szCs w:val="20"/>
              </w:rPr>
            </w:pPr>
            <w:r w:rsidRPr="0040686B">
              <w:rPr>
                <w:rFonts w:ascii="Calibri" w:eastAsia="Calibri" w:hAnsi="Calibri" w:cs="Calibri"/>
                <w:b/>
                <w:sz w:val="20"/>
                <w:szCs w:val="20"/>
              </w:rPr>
              <w:t>Goal B</w:t>
            </w:r>
          </w:p>
          <w:p w14:paraId="473E7F14" w14:textId="77777777" w:rsidR="0040686B" w:rsidRPr="0040686B" w:rsidRDefault="0040686B" w:rsidP="0040686B">
            <w:pPr>
              <w:spacing w:after="0" w:line="360" w:lineRule="auto"/>
              <w:rPr>
                <w:rFonts w:ascii="Calibri" w:eastAsia="Calibri" w:hAnsi="Calibri" w:cs="Calibri"/>
                <w:sz w:val="20"/>
                <w:szCs w:val="20"/>
              </w:rPr>
            </w:pPr>
            <w:r w:rsidRPr="0040686B">
              <w:rPr>
                <w:rFonts w:ascii="Calibri" w:eastAsia="Calibri" w:hAnsi="Calibri" w:cs="Calibri"/>
                <w:sz w:val="20"/>
                <w:szCs w:val="20"/>
              </w:rPr>
              <w:t>Encourage student life-long learning and continuous engagement with MQ for students from low socio-economic backgrounds</w:t>
            </w:r>
          </w:p>
        </w:tc>
      </w:tr>
    </w:tbl>
    <w:p w14:paraId="1C764529" w14:textId="77777777" w:rsidR="0040686B" w:rsidRPr="0040686B" w:rsidRDefault="0040686B" w:rsidP="0040686B">
      <w:pPr>
        <w:spacing w:after="0" w:line="360" w:lineRule="auto"/>
        <w:contextualSpacing/>
        <w:jc w:val="both"/>
        <w:rPr>
          <w:rFonts w:ascii="Calibri" w:eastAsia="Times New Roman" w:hAnsi="Calibri" w:cs="Calibri"/>
          <w:sz w:val="20"/>
          <w:szCs w:val="20"/>
        </w:rPr>
      </w:pPr>
    </w:p>
    <w:p w14:paraId="61AE34BC" w14:textId="7948B98A" w:rsidR="0040686B" w:rsidRPr="0040686B" w:rsidRDefault="0040686B" w:rsidP="0040686B">
      <w:pPr>
        <w:numPr>
          <w:ilvl w:val="0"/>
          <w:numId w:val="2"/>
        </w:numPr>
        <w:spacing w:after="0" w:line="360" w:lineRule="auto"/>
        <w:contextualSpacing/>
        <w:jc w:val="both"/>
        <w:rPr>
          <w:rFonts w:ascii="Calibri" w:eastAsia="Times New Roman" w:hAnsi="Calibri" w:cs="Calibri"/>
          <w:sz w:val="20"/>
          <w:szCs w:val="20"/>
        </w:rPr>
      </w:pPr>
      <w:r w:rsidRPr="0040686B">
        <w:rPr>
          <w:rFonts w:ascii="Calibri" w:eastAsia="Times New Roman" w:hAnsi="Calibri" w:cs="Calibri"/>
          <w:b/>
          <w:sz w:val="20"/>
          <w:szCs w:val="20"/>
        </w:rPr>
        <w:t>Key activities</w:t>
      </w:r>
      <w:r w:rsidRPr="0040686B">
        <w:rPr>
          <w:rFonts w:ascii="Calibri" w:eastAsia="Times New Roman" w:hAnsi="Calibri" w:cs="Calibri"/>
          <w:sz w:val="20"/>
          <w:szCs w:val="20"/>
        </w:rPr>
        <w:t>: which will deliver an increase in the access, participation and success of people from a low SES background.</w:t>
      </w:r>
    </w:p>
    <w:p w14:paraId="7329F4C6" w14:textId="77777777" w:rsidR="0040686B" w:rsidRPr="0040686B" w:rsidRDefault="0040686B" w:rsidP="0040686B">
      <w:pPr>
        <w:numPr>
          <w:ilvl w:val="0"/>
          <w:numId w:val="7"/>
        </w:numPr>
        <w:spacing w:after="0" w:line="360" w:lineRule="auto"/>
        <w:contextualSpacing/>
        <w:jc w:val="both"/>
        <w:rPr>
          <w:rFonts w:ascii="Calibri" w:eastAsia="Times New Roman" w:hAnsi="Calibri" w:cs="Calibri"/>
          <w:sz w:val="20"/>
          <w:szCs w:val="20"/>
        </w:rPr>
      </w:pPr>
      <w:r w:rsidRPr="0040686B">
        <w:rPr>
          <w:rFonts w:ascii="Calibri" w:eastAsia="Times New Roman" w:hAnsi="Calibri" w:cs="Calibri"/>
          <w:sz w:val="20"/>
          <w:szCs w:val="20"/>
        </w:rPr>
        <w:t>Work in collaboration with partner schools, partner community organisations, VET providers and partner universities to deliver programs as outlined in the Widening Participation Strategic Framework 2018 – 2023.</w:t>
      </w:r>
    </w:p>
    <w:p w14:paraId="2BA04E69" w14:textId="77777777" w:rsidR="0040686B" w:rsidRPr="0040686B" w:rsidRDefault="0040686B" w:rsidP="0040686B">
      <w:pPr>
        <w:numPr>
          <w:ilvl w:val="0"/>
          <w:numId w:val="6"/>
        </w:numPr>
        <w:spacing w:after="0" w:line="360" w:lineRule="auto"/>
        <w:contextualSpacing/>
        <w:jc w:val="both"/>
        <w:rPr>
          <w:rFonts w:ascii="Calibri" w:eastAsia="Times New Roman" w:hAnsi="Calibri" w:cs="Calibri"/>
          <w:sz w:val="20"/>
          <w:szCs w:val="20"/>
        </w:rPr>
      </w:pPr>
      <w:r w:rsidRPr="0040686B">
        <w:rPr>
          <w:rFonts w:ascii="Calibri" w:eastAsia="Times New Roman" w:hAnsi="Calibri" w:cs="Calibri"/>
          <w:sz w:val="20"/>
          <w:szCs w:val="20"/>
        </w:rPr>
        <w:t>Build interest and capability among Aboriginal and Torres Strait Islander students to access and succeed in higher education   through the detailed approach outlined in the Macquarie University Indigenous Strategy, 2016</w:t>
      </w:r>
      <w:bookmarkStart w:id="0" w:name="_Hlk2589283"/>
      <w:r w:rsidRPr="0040686B">
        <w:rPr>
          <w:rFonts w:ascii="Calibri" w:eastAsia="Times New Roman" w:hAnsi="Calibri" w:cs="Calibri"/>
          <w:sz w:val="20"/>
          <w:szCs w:val="20"/>
        </w:rPr>
        <w:t xml:space="preserve"> – </w:t>
      </w:r>
      <w:bookmarkEnd w:id="0"/>
      <w:r w:rsidRPr="0040686B">
        <w:rPr>
          <w:rFonts w:ascii="Calibri" w:eastAsia="Times New Roman" w:hAnsi="Calibri" w:cs="Calibri"/>
          <w:sz w:val="20"/>
          <w:szCs w:val="20"/>
        </w:rPr>
        <w:t>2025.</w:t>
      </w:r>
    </w:p>
    <w:p w14:paraId="3FECDD00" w14:textId="77777777" w:rsidR="0040686B" w:rsidRPr="0040686B" w:rsidRDefault="0040686B" w:rsidP="0040686B">
      <w:pPr>
        <w:numPr>
          <w:ilvl w:val="0"/>
          <w:numId w:val="6"/>
        </w:numPr>
        <w:spacing w:after="0" w:line="360" w:lineRule="auto"/>
        <w:contextualSpacing/>
        <w:jc w:val="both"/>
        <w:rPr>
          <w:rFonts w:ascii="Calibri" w:eastAsia="Times New Roman" w:hAnsi="Calibri" w:cs="Calibri"/>
          <w:sz w:val="20"/>
          <w:szCs w:val="20"/>
        </w:rPr>
      </w:pPr>
      <w:r w:rsidRPr="0040686B">
        <w:rPr>
          <w:rFonts w:ascii="Calibri" w:eastAsia="Times New Roman" w:hAnsi="Calibri" w:cs="Calibri"/>
          <w:sz w:val="20"/>
          <w:szCs w:val="20"/>
        </w:rPr>
        <w:t>Develop appropriate entry pathways, including new enabling and foundation programs.</w:t>
      </w:r>
    </w:p>
    <w:p w14:paraId="4714279A" w14:textId="77777777" w:rsidR="0040686B" w:rsidRPr="0040686B" w:rsidRDefault="0040686B" w:rsidP="0040686B">
      <w:pPr>
        <w:numPr>
          <w:ilvl w:val="0"/>
          <w:numId w:val="6"/>
        </w:numPr>
        <w:spacing w:after="0" w:line="360" w:lineRule="auto"/>
        <w:contextualSpacing/>
        <w:jc w:val="both"/>
        <w:rPr>
          <w:rFonts w:ascii="Calibri" w:eastAsia="Times New Roman" w:hAnsi="Calibri" w:cs="Calibri"/>
          <w:sz w:val="20"/>
          <w:szCs w:val="20"/>
        </w:rPr>
      </w:pPr>
      <w:r w:rsidRPr="0040686B">
        <w:rPr>
          <w:rFonts w:ascii="Calibri" w:eastAsia="Times New Roman" w:hAnsi="Calibri" w:cs="Calibri"/>
          <w:sz w:val="20"/>
          <w:szCs w:val="20"/>
        </w:rPr>
        <w:t>Build workplace readiness among target students from low socio-economic backgrounds through partnerships with business and industry.</w:t>
      </w:r>
    </w:p>
    <w:p w14:paraId="6B400F0B" w14:textId="77777777" w:rsidR="0040686B" w:rsidRPr="0040686B" w:rsidRDefault="0040686B" w:rsidP="0040686B">
      <w:pPr>
        <w:numPr>
          <w:ilvl w:val="0"/>
          <w:numId w:val="2"/>
        </w:numPr>
        <w:spacing w:after="0" w:line="360" w:lineRule="auto"/>
        <w:contextualSpacing/>
        <w:jc w:val="both"/>
        <w:rPr>
          <w:rFonts w:ascii="Calibri" w:eastAsia="Times New Roman" w:hAnsi="Calibri" w:cs="Calibri"/>
          <w:sz w:val="20"/>
          <w:szCs w:val="20"/>
        </w:rPr>
      </w:pPr>
      <w:r w:rsidRPr="0040686B">
        <w:rPr>
          <w:rFonts w:ascii="Calibri" w:eastAsia="Times New Roman" w:hAnsi="Calibri" w:cs="Calibri"/>
          <w:b/>
          <w:sz w:val="20"/>
          <w:szCs w:val="20"/>
        </w:rPr>
        <w:t>Evaluation</w:t>
      </w:r>
      <w:r w:rsidRPr="0040686B">
        <w:rPr>
          <w:rFonts w:ascii="Calibri" w:eastAsia="Times New Roman" w:hAnsi="Calibri" w:cs="Calibri"/>
          <w:sz w:val="20"/>
          <w:szCs w:val="20"/>
        </w:rPr>
        <w:t>: how the university plans to evaluate the effectiveness of the equity strategies.</w:t>
      </w:r>
    </w:p>
    <w:p w14:paraId="138DF982" w14:textId="77777777" w:rsidR="0040686B" w:rsidRPr="0040686B" w:rsidRDefault="0040686B" w:rsidP="0040686B">
      <w:pPr>
        <w:numPr>
          <w:ilvl w:val="0"/>
          <w:numId w:val="8"/>
        </w:numPr>
        <w:spacing w:after="0" w:line="360" w:lineRule="auto"/>
        <w:contextualSpacing/>
        <w:jc w:val="both"/>
        <w:rPr>
          <w:rFonts w:ascii="Calibri" w:eastAsia="Times New Roman" w:hAnsi="Calibri" w:cs="Calibri"/>
          <w:sz w:val="20"/>
          <w:szCs w:val="20"/>
        </w:rPr>
      </w:pPr>
      <w:r w:rsidRPr="0040686B">
        <w:rPr>
          <w:rFonts w:ascii="Calibri" w:eastAsia="Times New Roman" w:hAnsi="Calibri" w:cs="Calibri"/>
          <w:sz w:val="20"/>
          <w:szCs w:val="20"/>
        </w:rPr>
        <w:t>Mixed method approach based on the evaluation framework developed with KPMG and Bridges to Higher Education, together with the national framework being developed by NCSEHE.</w:t>
      </w:r>
    </w:p>
    <w:p w14:paraId="48A9A1E7" w14:textId="77777777" w:rsidR="0040686B" w:rsidRPr="0040686B" w:rsidRDefault="0040686B" w:rsidP="0040686B">
      <w:pPr>
        <w:numPr>
          <w:ilvl w:val="0"/>
          <w:numId w:val="8"/>
        </w:numPr>
        <w:spacing w:after="0" w:line="360" w:lineRule="auto"/>
        <w:contextualSpacing/>
        <w:jc w:val="both"/>
        <w:rPr>
          <w:rFonts w:ascii="Calibri" w:eastAsia="Times New Roman" w:hAnsi="Calibri" w:cs="Calibri"/>
          <w:sz w:val="20"/>
          <w:szCs w:val="20"/>
        </w:rPr>
      </w:pPr>
      <w:r w:rsidRPr="0040686B">
        <w:rPr>
          <w:rFonts w:ascii="Calibri" w:eastAsia="Times New Roman" w:hAnsi="Calibri" w:cs="Calibri"/>
          <w:sz w:val="20"/>
          <w:szCs w:val="20"/>
        </w:rPr>
        <w:t>Ongoing evaluation will include qualitative and quantitative data collected through participant observation, focus groups, interviews, case studies, surveys and the collection of statistical data related to the enrolment, retention and success of participants in programs.</w:t>
      </w:r>
    </w:p>
    <w:p w14:paraId="2EB5052B" w14:textId="77777777" w:rsidR="0040686B" w:rsidRPr="0040686B" w:rsidRDefault="0040686B" w:rsidP="0040686B">
      <w:pPr>
        <w:spacing w:after="0" w:line="360" w:lineRule="auto"/>
        <w:contextualSpacing/>
        <w:jc w:val="both"/>
        <w:rPr>
          <w:rFonts w:ascii="Calibri" w:eastAsia="Times New Roman" w:hAnsi="Calibri" w:cs="Calibri"/>
          <w:sz w:val="20"/>
          <w:szCs w:val="20"/>
        </w:rPr>
      </w:pPr>
    </w:p>
    <w:p w14:paraId="71940BD3" w14:textId="77777777" w:rsidR="0040686B" w:rsidRPr="0040686B" w:rsidRDefault="0040686B" w:rsidP="0040686B">
      <w:pPr>
        <w:numPr>
          <w:ilvl w:val="0"/>
          <w:numId w:val="2"/>
        </w:numPr>
        <w:spacing w:after="0" w:line="360" w:lineRule="auto"/>
        <w:contextualSpacing/>
        <w:jc w:val="both"/>
        <w:rPr>
          <w:rFonts w:ascii="Calibri" w:eastAsia="Times New Roman" w:hAnsi="Calibri" w:cs="Calibri"/>
          <w:sz w:val="20"/>
          <w:szCs w:val="20"/>
        </w:rPr>
      </w:pPr>
      <w:r w:rsidRPr="0040686B">
        <w:rPr>
          <w:rFonts w:ascii="Calibri" w:eastAsia="Times New Roman" w:hAnsi="Calibri" w:cs="Calibri"/>
          <w:b/>
          <w:sz w:val="20"/>
          <w:szCs w:val="20"/>
        </w:rPr>
        <w:t>Partnerships and collaboration</w:t>
      </w:r>
      <w:r w:rsidRPr="0040686B">
        <w:rPr>
          <w:rFonts w:ascii="Calibri" w:eastAsia="Times New Roman" w:hAnsi="Calibri" w:cs="Calibri"/>
          <w:sz w:val="20"/>
          <w:szCs w:val="20"/>
        </w:rPr>
        <w:t>: who the university will partner and collaborate with and how this will improve equity performance.</w:t>
      </w:r>
    </w:p>
    <w:p w14:paraId="57968940" w14:textId="77777777" w:rsidR="0040686B" w:rsidRPr="0040686B" w:rsidRDefault="0040686B" w:rsidP="0040686B">
      <w:pPr>
        <w:numPr>
          <w:ilvl w:val="0"/>
          <w:numId w:val="9"/>
        </w:numPr>
        <w:autoSpaceDE w:val="0"/>
        <w:autoSpaceDN w:val="0"/>
        <w:adjustRightInd w:val="0"/>
        <w:spacing w:after="0" w:line="360" w:lineRule="auto"/>
        <w:jc w:val="both"/>
        <w:rPr>
          <w:rFonts w:ascii="Calibri" w:eastAsia="Times New Roman" w:hAnsi="Calibri" w:cs="Calibri"/>
          <w:color w:val="000000"/>
          <w:sz w:val="20"/>
          <w:szCs w:val="20"/>
          <w:lang w:eastAsia="en-AU"/>
        </w:rPr>
      </w:pPr>
      <w:r w:rsidRPr="0040686B">
        <w:rPr>
          <w:rFonts w:ascii="Calibri" w:eastAsia="Times New Roman" w:hAnsi="Calibri" w:cs="Calibri"/>
          <w:color w:val="000000"/>
          <w:sz w:val="20"/>
          <w:szCs w:val="20"/>
          <w:lang w:eastAsia="en-AU"/>
        </w:rPr>
        <w:t xml:space="preserve">Continued partnerships with: the NSW Department of Education (DEC), in particular the Multicultural Programs Unit, the DEC Director Secondary Education, and the Aurora Virtual Secondary School, </w:t>
      </w:r>
      <w:proofErr w:type="gramStart"/>
      <w:r w:rsidRPr="0040686B">
        <w:rPr>
          <w:rFonts w:ascii="Calibri" w:eastAsia="Times New Roman" w:hAnsi="Calibri" w:cs="Calibri"/>
          <w:color w:val="000000"/>
          <w:sz w:val="20"/>
          <w:szCs w:val="20"/>
          <w:lang w:eastAsia="en-AU"/>
        </w:rPr>
        <w:t>schools ,</w:t>
      </w:r>
      <w:proofErr w:type="gramEnd"/>
      <w:r w:rsidRPr="0040686B">
        <w:rPr>
          <w:rFonts w:ascii="Calibri" w:eastAsia="Times New Roman" w:hAnsi="Calibri" w:cs="Calibri"/>
          <w:color w:val="000000"/>
          <w:sz w:val="20"/>
          <w:szCs w:val="20"/>
          <w:lang w:eastAsia="en-AU"/>
        </w:rPr>
        <w:t xml:space="preserve"> community agencies and non-for-profit organisations, including The Country Education Foundation of Australia, The Smith Family, Centrelink and local Councils .</w:t>
      </w:r>
    </w:p>
    <w:p w14:paraId="1389AC4F" w14:textId="0E2AE27B" w:rsidR="00906B0C" w:rsidRDefault="0040686B" w:rsidP="0040686B">
      <w:pPr>
        <w:numPr>
          <w:ilvl w:val="0"/>
          <w:numId w:val="9"/>
        </w:numPr>
        <w:autoSpaceDE w:val="0"/>
        <w:autoSpaceDN w:val="0"/>
        <w:adjustRightInd w:val="0"/>
        <w:spacing w:after="0" w:line="360" w:lineRule="auto"/>
        <w:jc w:val="both"/>
      </w:pPr>
      <w:r w:rsidRPr="0040686B">
        <w:rPr>
          <w:rFonts w:ascii="Calibri" w:eastAsia="Times New Roman" w:hAnsi="Calibri" w:cs="Calibri"/>
          <w:color w:val="000000"/>
          <w:sz w:val="20"/>
          <w:szCs w:val="20"/>
          <w:lang w:eastAsia="en-AU"/>
        </w:rPr>
        <w:t xml:space="preserve">Development of new partnerships with schools, not for profit organisations, local employers and industry representative. </w:t>
      </w:r>
      <w:bookmarkStart w:id="1" w:name="_GoBack"/>
      <w:bookmarkEnd w:id="1"/>
    </w:p>
    <w:sectPr w:rsidR="00906B0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1AC7B" w14:textId="77777777" w:rsidR="00F5321E" w:rsidRDefault="00F5321E" w:rsidP="0040686B">
      <w:pPr>
        <w:spacing w:after="0" w:line="240" w:lineRule="auto"/>
      </w:pPr>
      <w:r>
        <w:separator/>
      </w:r>
    </w:p>
  </w:endnote>
  <w:endnote w:type="continuationSeparator" w:id="0">
    <w:p w14:paraId="4D4F7285" w14:textId="77777777" w:rsidR="00F5321E" w:rsidRDefault="00F5321E" w:rsidP="00406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F104" w14:textId="77777777" w:rsidR="00152D18" w:rsidRDefault="00F5321E"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CECF5" w14:textId="77777777" w:rsidR="00F5321E" w:rsidRDefault="00F5321E" w:rsidP="0040686B">
      <w:pPr>
        <w:spacing w:after="0" w:line="240" w:lineRule="auto"/>
      </w:pPr>
      <w:r>
        <w:separator/>
      </w:r>
    </w:p>
  </w:footnote>
  <w:footnote w:type="continuationSeparator" w:id="0">
    <w:p w14:paraId="07A1AD1B" w14:textId="77777777" w:rsidR="00F5321E" w:rsidRDefault="00F5321E" w:rsidP="00406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26CE4" w14:textId="77777777" w:rsidR="00152D18" w:rsidRDefault="00F5321E" w:rsidP="00A66052">
    <w:pPr>
      <w:pStyle w:val="Header"/>
      <w:spacing w:after="480"/>
      <w:jc w:val="right"/>
    </w:pPr>
    <w:r>
      <w:t>Ac</w:t>
    </w:r>
    <w:r>
      <w:t>cess and Participation Plan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D168D"/>
    <w:multiLevelType w:val="hybridMultilevel"/>
    <w:tmpl w:val="C8F86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2AF65151"/>
    <w:multiLevelType w:val="hybridMultilevel"/>
    <w:tmpl w:val="8A5C68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7F451DF"/>
    <w:multiLevelType w:val="hybridMultilevel"/>
    <w:tmpl w:val="2A545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F47B10"/>
    <w:multiLevelType w:val="hybridMultilevel"/>
    <w:tmpl w:val="E37A5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4137BF5"/>
    <w:multiLevelType w:val="hybridMultilevel"/>
    <w:tmpl w:val="5EEC0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F041056"/>
    <w:multiLevelType w:val="hybridMultilevel"/>
    <w:tmpl w:val="C71E4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3"/>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6B"/>
    <w:rsid w:val="0040686B"/>
    <w:rsid w:val="00906B0C"/>
    <w:rsid w:val="00F532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CC542"/>
  <w15:chartTrackingRefBased/>
  <w15:docId w15:val="{3D532260-C343-4B00-B565-37BED7D6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40686B"/>
    <w:pPr>
      <w:numPr>
        <w:numId w:val="1"/>
      </w:numPr>
      <w:tabs>
        <w:tab w:val="num" w:pos="360"/>
      </w:tabs>
      <w:spacing w:after="120" w:line="276" w:lineRule="auto"/>
      <w:ind w:left="0" w:firstLine="0"/>
      <w:contextualSpacing/>
    </w:pPr>
    <w:rPr>
      <w:rFonts w:eastAsia="Times New Roman"/>
    </w:rPr>
  </w:style>
  <w:style w:type="paragraph" w:styleId="ListNumber2">
    <w:name w:val="List Number 2"/>
    <w:basedOn w:val="Normal"/>
    <w:uiPriority w:val="99"/>
    <w:unhideWhenUsed/>
    <w:rsid w:val="0040686B"/>
    <w:pPr>
      <w:numPr>
        <w:ilvl w:val="1"/>
        <w:numId w:val="1"/>
      </w:numPr>
      <w:tabs>
        <w:tab w:val="num" w:pos="360"/>
        <w:tab w:val="left" w:pos="1134"/>
      </w:tabs>
      <w:spacing w:after="120" w:line="276" w:lineRule="auto"/>
      <w:ind w:left="936" w:hanging="567"/>
      <w:contextualSpacing/>
    </w:pPr>
    <w:rPr>
      <w:rFonts w:eastAsia="Times New Roman"/>
    </w:rPr>
  </w:style>
  <w:style w:type="paragraph" w:styleId="ListNumber3">
    <w:name w:val="List Number 3"/>
    <w:basedOn w:val="Normal"/>
    <w:uiPriority w:val="99"/>
    <w:unhideWhenUsed/>
    <w:rsid w:val="0040686B"/>
    <w:pPr>
      <w:numPr>
        <w:ilvl w:val="2"/>
        <w:numId w:val="1"/>
      </w:numPr>
      <w:tabs>
        <w:tab w:val="num" w:pos="360"/>
      </w:tabs>
      <w:spacing w:after="120" w:line="276" w:lineRule="auto"/>
      <w:ind w:left="1701" w:hanging="765"/>
      <w:contextualSpacing/>
    </w:pPr>
    <w:rPr>
      <w:rFonts w:eastAsia="Times New Roman"/>
    </w:rPr>
  </w:style>
  <w:style w:type="paragraph" w:styleId="ListNumber4">
    <w:name w:val="List Number 4"/>
    <w:basedOn w:val="Normal"/>
    <w:uiPriority w:val="99"/>
    <w:unhideWhenUsed/>
    <w:rsid w:val="0040686B"/>
    <w:pPr>
      <w:numPr>
        <w:ilvl w:val="3"/>
        <w:numId w:val="1"/>
      </w:numPr>
      <w:tabs>
        <w:tab w:val="num" w:pos="360"/>
      </w:tabs>
      <w:spacing w:after="120" w:line="276" w:lineRule="auto"/>
      <w:ind w:left="2637" w:hanging="936"/>
      <w:contextualSpacing/>
    </w:pPr>
    <w:rPr>
      <w:rFonts w:eastAsia="Times New Roman"/>
    </w:rPr>
  </w:style>
  <w:style w:type="paragraph" w:styleId="Header">
    <w:name w:val="header"/>
    <w:basedOn w:val="Normal"/>
    <w:link w:val="HeaderChar"/>
    <w:uiPriority w:val="99"/>
    <w:unhideWhenUsed/>
    <w:rsid w:val="0040686B"/>
    <w:pPr>
      <w:tabs>
        <w:tab w:val="center" w:pos="4513"/>
        <w:tab w:val="right" w:pos="9026"/>
      </w:tabs>
      <w:spacing w:after="0" w:line="240" w:lineRule="auto"/>
    </w:pPr>
    <w:rPr>
      <w:rFonts w:eastAsia="Times New Roman"/>
    </w:rPr>
  </w:style>
  <w:style w:type="character" w:customStyle="1" w:styleId="HeaderChar">
    <w:name w:val="Header Char"/>
    <w:basedOn w:val="DefaultParagraphFont"/>
    <w:link w:val="Header"/>
    <w:uiPriority w:val="99"/>
    <w:rsid w:val="0040686B"/>
    <w:rPr>
      <w:rFonts w:eastAsia="Times New Roman"/>
    </w:rPr>
  </w:style>
  <w:style w:type="paragraph" w:styleId="Footer">
    <w:name w:val="footer"/>
    <w:basedOn w:val="Normal"/>
    <w:link w:val="FooterChar"/>
    <w:uiPriority w:val="99"/>
    <w:unhideWhenUsed/>
    <w:rsid w:val="0040686B"/>
    <w:pPr>
      <w:tabs>
        <w:tab w:val="center" w:pos="4513"/>
        <w:tab w:val="right" w:pos="9026"/>
      </w:tabs>
      <w:spacing w:after="0" w:line="240" w:lineRule="auto"/>
    </w:pPr>
    <w:rPr>
      <w:rFonts w:eastAsia="Times New Roman"/>
    </w:rPr>
  </w:style>
  <w:style w:type="character" w:customStyle="1" w:styleId="FooterChar">
    <w:name w:val="Footer Char"/>
    <w:basedOn w:val="DefaultParagraphFont"/>
    <w:link w:val="Footer"/>
    <w:uiPriority w:val="99"/>
    <w:rsid w:val="0040686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 Singh</dc:creator>
  <cp:keywords/>
  <dc:description/>
  <cp:lastModifiedBy>Sonal Singh</cp:lastModifiedBy>
  <cp:revision>1</cp:revision>
  <dcterms:created xsi:type="dcterms:W3CDTF">2019-03-28T23:12:00Z</dcterms:created>
  <dcterms:modified xsi:type="dcterms:W3CDTF">2019-03-28T23:15:00Z</dcterms:modified>
</cp:coreProperties>
</file>