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F7A7" w14:textId="1B313BDD" w:rsidR="00E75A27" w:rsidRDefault="00E75A27" w:rsidP="00E75A27">
      <w:pPr>
        <w:pStyle w:val="Heading1"/>
      </w:pPr>
      <w:r w:rsidRPr="00E75A27">
        <w:t>AC</w:t>
      </w:r>
      <w:r w:rsidR="00837827">
        <w:t>CESS AND PARTICIPATION PLAN 2019</w:t>
      </w:r>
      <w:r w:rsidR="00FC522B">
        <w:t xml:space="preserve"> – James Cook University</w:t>
      </w:r>
    </w:p>
    <w:p w14:paraId="36D95907" w14:textId="2568D445" w:rsidR="00A91F6D" w:rsidRPr="00FC522B" w:rsidRDefault="00E75A27" w:rsidP="000A53C2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  <w:r w:rsidRPr="00FC522B">
        <w:rPr>
          <w:b/>
          <w:sz w:val="24"/>
          <w:szCs w:val="24"/>
        </w:rPr>
        <w:t>Equity outcomes</w:t>
      </w:r>
      <w:r w:rsidR="00BE4F09" w:rsidRPr="00FC522B">
        <w:rPr>
          <w:b/>
          <w:sz w:val="24"/>
          <w:szCs w:val="24"/>
        </w:rPr>
        <w:t xml:space="preserve"> and strategies</w:t>
      </w:r>
      <w:r w:rsidRPr="00FC522B">
        <w:rPr>
          <w:sz w:val="24"/>
          <w:szCs w:val="24"/>
        </w:rPr>
        <w:t xml:space="preserve">: </w:t>
      </w:r>
      <w:r w:rsidR="00BE4F09" w:rsidRPr="00FC522B">
        <w:rPr>
          <w:sz w:val="24"/>
          <w:szCs w:val="24"/>
        </w:rPr>
        <w:t>for improving outcomes for people from a low SES background</w:t>
      </w:r>
      <w:r w:rsidRPr="00FC522B">
        <w:rPr>
          <w:sz w:val="24"/>
          <w:szCs w:val="24"/>
        </w:rPr>
        <w:t>.</w:t>
      </w:r>
    </w:p>
    <w:p w14:paraId="3F045EC0" w14:textId="77777777" w:rsidR="00C53131" w:rsidRPr="00FC522B" w:rsidRDefault="00C53131" w:rsidP="00C53131">
      <w:pPr>
        <w:pStyle w:val="ListNumber"/>
        <w:numPr>
          <w:ilvl w:val="0"/>
          <w:numId w:val="0"/>
        </w:numPr>
        <w:ind w:left="360"/>
        <w:rPr>
          <w:sz w:val="24"/>
          <w:szCs w:val="24"/>
        </w:rPr>
      </w:pPr>
    </w:p>
    <w:p w14:paraId="26C6F1D8" w14:textId="53A6FA46" w:rsidR="00A91F6D" w:rsidRPr="00FC522B" w:rsidRDefault="00C53131" w:rsidP="00C04949">
      <w:pPr>
        <w:pStyle w:val="ListNumber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James Cook University (JCU) will use HEPPP funds to develop and implement strategies which enable successful participation in higher education by pe</w:t>
      </w:r>
      <w:bookmarkStart w:id="0" w:name="_GoBack"/>
      <w:bookmarkEnd w:id="0"/>
      <w:r w:rsidRPr="00FC522B">
        <w:rPr>
          <w:sz w:val="24"/>
          <w:szCs w:val="24"/>
        </w:rPr>
        <w:t xml:space="preserve">ople from non-traditional backgrounds.  </w:t>
      </w:r>
    </w:p>
    <w:p w14:paraId="28AAD3DE" w14:textId="77777777" w:rsidR="00A91F6D" w:rsidRPr="00FC522B" w:rsidRDefault="00A91F6D" w:rsidP="00C04949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</w:p>
    <w:p w14:paraId="3938A191" w14:textId="6FC819A3" w:rsidR="00A91F6D" w:rsidRPr="00FC522B" w:rsidRDefault="00A91F6D" w:rsidP="00C04949">
      <w:pPr>
        <w:pStyle w:val="ListNumber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 xml:space="preserve">To achieve this </w:t>
      </w:r>
      <w:r w:rsidR="00C53131" w:rsidRPr="00FC522B">
        <w:rPr>
          <w:sz w:val="24"/>
          <w:szCs w:val="24"/>
        </w:rPr>
        <w:t>JCU will</w:t>
      </w:r>
      <w:r w:rsidRPr="00FC522B">
        <w:rPr>
          <w:sz w:val="24"/>
          <w:szCs w:val="24"/>
        </w:rPr>
        <w:t xml:space="preserve"> design and implement strategies that:</w:t>
      </w:r>
    </w:p>
    <w:p w14:paraId="42AC2C76" w14:textId="59174A13" w:rsidR="00C53131" w:rsidRPr="00FC522B" w:rsidRDefault="00C53131" w:rsidP="00C04949">
      <w:pPr>
        <w:pStyle w:val="ListNumber"/>
        <w:numPr>
          <w:ilvl w:val="0"/>
          <w:numId w:val="38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Sustain the level of applications and enrolments from equity groups and targeted schools</w:t>
      </w:r>
      <w:r w:rsidR="00C04949">
        <w:rPr>
          <w:sz w:val="24"/>
          <w:szCs w:val="24"/>
        </w:rPr>
        <w:t>;</w:t>
      </w:r>
    </w:p>
    <w:p w14:paraId="23F224EF" w14:textId="496ED61D" w:rsidR="00C53131" w:rsidRPr="00FC522B" w:rsidRDefault="00C53131" w:rsidP="00C04949">
      <w:pPr>
        <w:pStyle w:val="ListNumber"/>
        <w:numPr>
          <w:ilvl w:val="0"/>
          <w:numId w:val="38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Increase offer, enrolments and progression in preparatory and pathway programs by targeted equity groups</w:t>
      </w:r>
      <w:r w:rsidR="00C04949">
        <w:rPr>
          <w:sz w:val="24"/>
          <w:szCs w:val="24"/>
        </w:rPr>
        <w:t>;</w:t>
      </w:r>
    </w:p>
    <w:p w14:paraId="0B1A7E5A" w14:textId="339B255B" w:rsidR="00C53131" w:rsidRPr="00FC522B" w:rsidRDefault="00C53131" w:rsidP="00C04949">
      <w:pPr>
        <w:pStyle w:val="ListNumber"/>
        <w:numPr>
          <w:ilvl w:val="0"/>
          <w:numId w:val="38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Improve university progression and retention for all equity groups</w:t>
      </w:r>
      <w:r w:rsidR="00C04949">
        <w:rPr>
          <w:sz w:val="24"/>
          <w:szCs w:val="24"/>
        </w:rPr>
        <w:t>;</w:t>
      </w:r>
    </w:p>
    <w:p w14:paraId="77EA471F" w14:textId="4CC8AF10" w:rsidR="00C53131" w:rsidRPr="00FC522B" w:rsidRDefault="00C53131" w:rsidP="00C04949">
      <w:pPr>
        <w:pStyle w:val="ListNumber"/>
        <w:numPr>
          <w:ilvl w:val="0"/>
          <w:numId w:val="38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Improve student satisfaction and engagement with student support</w:t>
      </w:r>
      <w:r w:rsidR="00C04949">
        <w:rPr>
          <w:sz w:val="24"/>
          <w:szCs w:val="24"/>
        </w:rPr>
        <w:t xml:space="preserve"> services;</w:t>
      </w:r>
    </w:p>
    <w:p w14:paraId="3611BA82" w14:textId="29469DCE" w:rsidR="00C53131" w:rsidRPr="00FC522B" w:rsidRDefault="00C53131" w:rsidP="00C04949">
      <w:pPr>
        <w:pStyle w:val="ListNumber"/>
        <w:numPr>
          <w:ilvl w:val="0"/>
          <w:numId w:val="38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 xml:space="preserve">Improve </w:t>
      </w:r>
      <w:r w:rsidR="00C04949" w:rsidRPr="00FC522B">
        <w:rPr>
          <w:sz w:val="24"/>
          <w:szCs w:val="24"/>
        </w:rPr>
        <w:t xml:space="preserve">the quality of learning and teaching </w:t>
      </w:r>
      <w:r w:rsidR="00C04949">
        <w:rPr>
          <w:sz w:val="24"/>
          <w:szCs w:val="24"/>
        </w:rPr>
        <w:t xml:space="preserve">to increase </w:t>
      </w:r>
      <w:r w:rsidRPr="00FC522B">
        <w:rPr>
          <w:sz w:val="24"/>
          <w:szCs w:val="24"/>
        </w:rPr>
        <w:t>s</w:t>
      </w:r>
      <w:r w:rsidR="00C04949">
        <w:rPr>
          <w:sz w:val="24"/>
          <w:szCs w:val="24"/>
        </w:rPr>
        <w:t>tudent satisfaction and success; and</w:t>
      </w:r>
    </w:p>
    <w:p w14:paraId="49AA8B0E" w14:textId="3F4F9ADF" w:rsidR="00C53131" w:rsidRPr="00FC522B" w:rsidRDefault="00C53131" w:rsidP="00C04949">
      <w:pPr>
        <w:pStyle w:val="ListNumber"/>
        <w:numPr>
          <w:ilvl w:val="0"/>
          <w:numId w:val="38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Improve graduate outcomes for equity groups</w:t>
      </w:r>
      <w:r w:rsidR="00C04949">
        <w:rPr>
          <w:sz w:val="24"/>
          <w:szCs w:val="24"/>
        </w:rPr>
        <w:t>.</w:t>
      </w:r>
    </w:p>
    <w:p w14:paraId="018834C3" w14:textId="77777777" w:rsidR="00C53131" w:rsidRPr="00FC522B" w:rsidRDefault="00C53131" w:rsidP="00C04949">
      <w:pPr>
        <w:pStyle w:val="ListNumber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70D1F671" w14:textId="58BFE837" w:rsidR="00B03FEA" w:rsidRPr="00FC522B" w:rsidRDefault="00C04949" w:rsidP="00C04949">
      <w:pPr>
        <w:pStyle w:val="ListNumber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range of s</w:t>
      </w:r>
      <w:r w:rsidR="00A91F6D" w:rsidRPr="00FC522B">
        <w:rPr>
          <w:sz w:val="24"/>
          <w:szCs w:val="24"/>
        </w:rPr>
        <w:t xml:space="preserve">trategies </w:t>
      </w:r>
      <w:r>
        <w:rPr>
          <w:sz w:val="24"/>
          <w:szCs w:val="24"/>
        </w:rPr>
        <w:t>will be used to achieve</w:t>
      </w:r>
      <w:r w:rsidR="00A91F6D" w:rsidRPr="00FC522B">
        <w:rPr>
          <w:sz w:val="24"/>
          <w:szCs w:val="24"/>
        </w:rPr>
        <w:t xml:space="preserve"> the</w:t>
      </w:r>
      <w:r w:rsidR="00B03FEA" w:rsidRPr="00FC522B">
        <w:rPr>
          <w:sz w:val="24"/>
          <w:szCs w:val="24"/>
        </w:rPr>
        <w:t>se</w:t>
      </w:r>
      <w:r w:rsidR="00A91F6D" w:rsidRPr="00FC522B">
        <w:rPr>
          <w:sz w:val="24"/>
          <w:szCs w:val="24"/>
        </w:rPr>
        <w:t xml:space="preserve"> outcomes</w:t>
      </w:r>
      <w:r>
        <w:rPr>
          <w:sz w:val="24"/>
          <w:szCs w:val="24"/>
        </w:rPr>
        <w:t xml:space="preserve"> including but not limited to</w:t>
      </w:r>
      <w:r w:rsidR="00B03FEA" w:rsidRPr="00FC522B">
        <w:rPr>
          <w:sz w:val="24"/>
          <w:szCs w:val="24"/>
        </w:rPr>
        <w:t>:</w:t>
      </w:r>
    </w:p>
    <w:p w14:paraId="7A077A68" w14:textId="125A175E" w:rsidR="00A91F6D" w:rsidRPr="00FC522B" w:rsidRDefault="00BA4FAE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S</w:t>
      </w:r>
      <w:r w:rsidR="00B03FEA" w:rsidRPr="00FC522B">
        <w:rPr>
          <w:sz w:val="24"/>
          <w:szCs w:val="24"/>
        </w:rPr>
        <w:t>chool, community and university based aspiration raising programs</w:t>
      </w:r>
      <w:r w:rsidR="00C04949">
        <w:rPr>
          <w:sz w:val="24"/>
          <w:szCs w:val="24"/>
        </w:rPr>
        <w:t>;</w:t>
      </w:r>
    </w:p>
    <w:p w14:paraId="6D1EEED8" w14:textId="1E05288F" w:rsidR="00B03FEA" w:rsidRPr="00FC522B" w:rsidRDefault="00BA4FAE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E</w:t>
      </w:r>
      <w:r w:rsidR="00B03FEA" w:rsidRPr="00FC522B">
        <w:rPr>
          <w:sz w:val="24"/>
          <w:szCs w:val="24"/>
        </w:rPr>
        <w:t>quity scholarships and bursaries available to high school and university students</w:t>
      </w:r>
      <w:r w:rsidR="00C04949">
        <w:rPr>
          <w:sz w:val="24"/>
          <w:szCs w:val="24"/>
        </w:rPr>
        <w:t>;</w:t>
      </w:r>
    </w:p>
    <w:p w14:paraId="31E73DBE" w14:textId="69083B5E" w:rsidR="003F51B2" w:rsidRPr="00FC522B" w:rsidRDefault="003F51B2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Pathways programs engaging with equity groups</w:t>
      </w:r>
      <w:r w:rsidR="00C04949">
        <w:rPr>
          <w:sz w:val="24"/>
          <w:szCs w:val="24"/>
        </w:rPr>
        <w:t>;</w:t>
      </w:r>
    </w:p>
    <w:p w14:paraId="354C7B6E" w14:textId="3C5E7DE4" w:rsidR="00B03FEA" w:rsidRPr="00FC522B" w:rsidRDefault="001A1C8C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Culturally appropriate and accessible transition and orientation events, resources and courses</w:t>
      </w:r>
      <w:r w:rsidR="00C04949">
        <w:rPr>
          <w:sz w:val="24"/>
          <w:szCs w:val="24"/>
        </w:rPr>
        <w:t>;</w:t>
      </w:r>
    </w:p>
    <w:p w14:paraId="15A12B61" w14:textId="767BE0D0" w:rsidR="001A1C8C" w:rsidRPr="00FC522B" w:rsidRDefault="003F51B2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Inclusive services, facilities and resources for people with disabilities</w:t>
      </w:r>
      <w:r w:rsidR="00C04949">
        <w:rPr>
          <w:sz w:val="24"/>
          <w:szCs w:val="24"/>
        </w:rPr>
        <w:t>;</w:t>
      </w:r>
    </w:p>
    <w:p w14:paraId="1876E2DA" w14:textId="19062769" w:rsidR="003F51B2" w:rsidRPr="00FC522B" w:rsidRDefault="003F51B2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Student academic and personal support services and programs</w:t>
      </w:r>
      <w:r w:rsidR="00C04949">
        <w:rPr>
          <w:sz w:val="24"/>
          <w:szCs w:val="24"/>
        </w:rPr>
        <w:t>;</w:t>
      </w:r>
    </w:p>
    <w:p w14:paraId="4AC2B3B5" w14:textId="307B7E75" w:rsidR="003F51B2" w:rsidRPr="00FC522B" w:rsidRDefault="003F51B2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Student monitoring and intervention for students at risk of attrition</w:t>
      </w:r>
      <w:r w:rsidR="00C04949">
        <w:rPr>
          <w:sz w:val="24"/>
          <w:szCs w:val="24"/>
        </w:rPr>
        <w:t>; and</w:t>
      </w:r>
    </w:p>
    <w:p w14:paraId="4A25833D" w14:textId="01225B1B" w:rsidR="003F51B2" w:rsidRPr="00FC522B" w:rsidRDefault="003F51B2" w:rsidP="00C04949">
      <w:pPr>
        <w:pStyle w:val="ListNumber"/>
        <w:numPr>
          <w:ilvl w:val="0"/>
          <w:numId w:val="40"/>
        </w:numPr>
        <w:spacing w:line="240" w:lineRule="auto"/>
        <w:ind w:left="360"/>
        <w:rPr>
          <w:sz w:val="24"/>
          <w:szCs w:val="24"/>
        </w:rPr>
      </w:pPr>
      <w:r w:rsidRPr="00FC522B">
        <w:rPr>
          <w:sz w:val="24"/>
          <w:szCs w:val="24"/>
        </w:rPr>
        <w:t>Careers services, resources and events.</w:t>
      </w:r>
    </w:p>
    <w:p w14:paraId="60856764" w14:textId="794996EF" w:rsidR="00A91F6D" w:rsidRPr="00FC522B" w:rsidRDefault="00A91F6D" w:rsidP="00C04949">
      <w:pPr>
        <w:spacing w:line="240" w:lineRule="auto"/>
        <w:rPr>
          <w:b/>
          <w:sz w:val="24"/>
          <w:szCs w:val="24"/>
        </w:rPr>
      </w:pPr>
      <w:r w:rsidRPr="00FC522B">
        <w:rPr>
          <w:b/>
          <w:sz w:val="24"/>
          <w:szCs w:val="24"/>
        </w:rPr>
        <w:t>PRE-ACCESS AND ACCESS</w:t>
      </w:r>
    </w:p>
    <w:p w14:paraId="3CDB8B89" w14:textId="0A8A1224" w:rsidR="00A91F6D" w:rsidRPr="00FC522B" w:rsidRDefault="003F51B2" w:rsidP="00C04949">
      <w:p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 xml:space="preserve">JCU’s </w:t>
      </w:r>
      <w:r w:rsidR="00D02313" w:rsidRPr="00FC522B">
        <w:rPr>
          <w:sz w:val="24"/>
          <w:szCs w:val="24"/>
        </w:rPr>
        <w:t>Future Students P</w:t>
      </w:r>
      <w:r w:rsidRPr="00FC522B">
        <w:rPr>
          <w:sz w:val="24"/>
          <w:szCs w:val="24"/>
        </w:rPr>
        <w:t xml:space="preserve">rogram actively engages with primary and secondary </w:t>
      </w:r>
      <w:r w:rsidR="00D02313" w:rsidRPr="00FC522B">
        <w:rPr>
          <w:sz w:val="24"/>
          <w:szCs w:val="24"/>
        </w:rPr>
        <w:t xml:space="preserve">schools, communities, not for profit organisations, employers and industry networks in Northern Queensland to deliver aspiration raising events and activities. Events on the university campus, bursaries, awards and scholarships are also available </w:t>
      </w:r>
      <w:r w:rsidR="00C04949">
        <w:rPr>
          <w:sz w:val="24"/>
          <w:szCs w:val="24"/>
        </w:rPr>
        <w:t>for</w:t>
      </w:r>
      <w:r w:rsidR="00D02313" w:rsidRPr="00FC522B">
        <w:rPr>
          <w:sz w:val="24"/>
          <w:szCs w:val="24"/>
        </w:rPr>
        <w:t xml:space="preserve"> targeted equity groups to support access to higher education. The JCU Pathways program increases access to higher education for many equity groups and its extension to Thursday Island is a key enabler for that community.</w:t>
      </w:r>
    </w:p>
    <w:p w14:paraId="4D84CA48" w14:textId="5F91287F" w:rsidR="00A91F6D" w:rsidRPr="00FC522B" w:rsidRDefault="00A91F6D" w:rsidP="00C04949">
      <w:pPr>
        <w:spacing w:line="240" w:lineRule="auto"/>
        <w:rPr>
          <w:b/>
          <w:sz w:val="24"/>
          <w:szCs w:val="24"/>
        </w:rPr>
      </w:pPr>
      <w:r w:rsidRPr="00FC522B">
        <w:rPr>
          <w:b/>
          <w:sz w:val="24"/>
          <w:szCs w:val="24"/>
        </w:rPr>
        <w:t>PARTICIPATION AND ATTAINMENT</w:t>
      </w:r>
    </w:p>
    <w:p w14:paraId="0A72AF80" w14:textId="4717BC0B" w:rsidR="00B53214" w:rsidRDefault="00B53214" w:rsidP="00C04949">
      <w:pPr>
        <w:spacing w:line="240" w:lineRule="auto"/>
      </w:pPr>
      <w:r w:rsidRPr="00FC522B">
        <w:rPr>
          <w:sz w:val="24"/>
          <w:szCs w:val="24"/>
        </w:rPr>
        <w:t xml:space="preserve">Services to facilitate retention and success include dedicated transition-in, support and referral for equity groups such as </w:t>
      </w:r>
      <w:r w:rsidR="00C04949">
        <w:rPr>
          <w:sz w:val="24"/>
          <w:szCs w:val="24"/>
        </w:rPr>
        <w:t>orientation</w:t>
      </w:r>
      <w:r w:rsidRPr="00FC522B">
        <w:rPr>
          <w:sz w:val="24"/>
          <w:szCs w:val="24"/>
        </w:rPr>
        <w:t xml:space="preserve">, AccessAbility; equity-informed scholarships, counselling and student </w:t>
      </w:r>
      <w:r w:rsidR="00D02313" w:rsidRPr="00FC522B">
        <w:rPr>
          <w:sz w:val="24"/>
          <w:szCs w:val="24"/>
        </w:rPr>
        <w:t>support services, peer mentoring, PASS, learning advisors and careers services, resources and events.</w:t>
      </w:r>
      <w:r w:rsidR="00D02313">
        <w:t xml:space="preserve"> </w:t>
      </w:r>
    </w:p>
    <w:p w14:paraId="01F79005" w14:textId="77777777" w:rsidR="009354FC" w:rsidRDefault="009354FC" w:rsidP="00A91F6D">
      <w:pPr>
        <w:sectPr w:rsidR="009354FC" w:rsidSect="004B05D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40" w:right="1080" w:bottom="1440" w:left="1080" w:header="680" w:footer="567" w:gutter="0"/>
          <w:cols w:space="708"/>
          <w:titlePg/>
          <w:docGrid w:linePitch="360"/>
        </w:sectPr>
      </w:pPr>
    </w:p>
    <w:p w14:paraId="186F897B" w14:textId="18600522" w:rsidR="00395311" w:rsidRPr="00B60E3A" w:rsidRDefault="00E75A27" w:rsidP="00A91F6D">
      <w:pPr>
        <w:rPr>
          <w:sz w:val="24"/>
          <w:szCs w:val="24"/>
        </w:rPr>
      </w:pPr>
      <w:r w:rsidRPr="00A91F6D">
        <w:rPr>
          <w:b/>
          <w:sz w:val="24"/>
        </w:rPr>
        <w:lastRenderedPageBreak/>
        <w:t>Key activities:</w:t>
      </w:r>
      <w:r w:rsidRPr="00712BE3">
        <w:rPr>
          <w:sz w:val="24"/>
          <w:szCs w:val="24"/>
        </w:rPr>
        <w:t xml:space="preserve"> </w:t>
      </w:r>
      <w:r w:rsidRPr="00B60E3A">
        <w:rPr>
          <w:sz w:val="24"/>
          <w:szCs w:val="24"/>
        </w:rPr>
        <w:t>which will deliver an increase in the access, participation and success of people from a low SES background.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4"/>
        <w:gridCol w:w="10423"/>
        <w:gridCol w:w="1105"/>
        <w:gridCol w:w="765"/>
        <w:gridCol w:w="1283"/>
        <w:gridCol w:w="1172"/>
        <w:gridCol w:w="742"/>
        <w:gridCol w:w="1345"/>
      </w:tblGrid>
      <w:tr w:rsidR="00FC522B" w14:paraId="03B17560" w14:textId="77777777" w:rsidTr="00C04949">
        <w:trPr>
          <w:cantSplit/>
          <w:trHeight w:val="587"/>
        </w:trPr>
        <w:tc>
          <w:tcPr>
            <w:tcW w:w="0" w:type="auto"/>
            <w:shd w:val="clear" w:color="auto" w:fill="0070C0"/>
            <w:vAlign w:val="center"/>
          </w:tcPr>
          <w:p w14:paraId="6517CB4B" w14:textId="43F24441" w:rsidR="00EC22C1" w:rsidRPr="00AD635A" w:rsidRDefault="00EC22C1" w:rsidP="00EC22C1">
            <w:pPr>
              <w:pStyle w:val="ListNumber"/>
              <w:numPr>
                <w:ilvl w:val="0"/>
                <w:numId w:val="0"/>
              </w:numPr>
              <w:spacing w:after="240"/>
              <w:rPr>
                <w:color w:val="FFFFFF" w:themeColor="background1"/>
                <w:sz w:val="24"/>
              </w:rPr>
            </w:pPr>
            <w:r w:rsidRPr="00AD635A">
              <w:rPr>
                <w:b/>
                <w:color w:val="FFFFFF" w:themeColor="background1"/>
                <w:sz w:val="24"/>
              </w:rPr>
              <w:t>Activity type</w:t>
            </w:r>
          </w:p>
        </w:tc>
        <w:tc>
          <w:tcPr>
            <w:tcW w:w="0" w:type="auto"/>
            <w:shd w:val="clear" w:color="auto" w:fill="0070C0"/>
            <w:vAlign w:val="center"/>
          </w:tcPr>
          <w:p w14:paraId="5CDEE67E" w14:textId="40315ABD" w:rsidR="00EC22C1" w:rsidRPr="00AD635A" w:rsidRDefault="00EC22C1" w:rsidP="00EC22C1">
            <w:pPr>
              <w:pStyle w:val="ListNumber"/>
              <w:numPr>
                <w:ilvl w:val="0"/>
                <w:numId w:val="0"/>
              </w:numPr>
              <w:spacing w:after="240"/>
              <w:rPr>
                <w:color w:val="FFFFFF" w:themeColor="background1"/>
                <w:sz w:val="24"/>
              </w:rPr>
            </w:pPr>
            <w:r w:rsidRPr="00AD635A">
              <w:rPr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0" w:type="auto"/>
            <w:shd w:val="clear" w:color="auto" w:fill="0070C0"/>
            <w:vAlign w:val="center"/>
          </w:tcPr>
          <w:p w14:paraId="6E3D5F57" w14:textId="74283DC4" w:rsidR="00EC22C1" w:rsidRPr="00AD635A" w:rsidRDefault="00EC22C1" w:rsidP="00EC22C1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b/>
                <w:color w:val="FFFFFF" w:themeColor="background1"/>
                <w:sz w:val="20"/>
              </w:rPr>
            </w:pPr>
            <w:r w:rsidRPr="00AD635A">
              <w:rPr>
                <w:b/>
                <w:color w:val="FFFFFF" w:themeColor="background1"/>
                <w:sz w:val="20"/>
              </w:rPr>
              <w:t>Pre-Access</w:t>
            </w:r>
          </w:p>
        </w:tc>
        <w:tc>
          <w:tcPr>
            <w:tcW w:w="0" w:type="auto"/>
            <w:shd w:val="clear" w:color="auto" w:fill="0070C0"/>
            <w:vAlign w:val="center"/>
          </w:tcPr>
          <w:p w14:paraId="437F7834" w14:textId="57E16081" w:rsidR="00EC22C1" w:rsidRPr="00AD635A" w:rsidRDefault="00EC22C1" w:rsidP="00EC22C1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b/>
                <w:color w:val="FFFFFF" w:themeColor="background1"/>
                <w:sz w:val="20"/>
              </w:rPr>
            </w:pPr>
            <w:r w:rsidRPr="00AD635A">
              <w:rPr>
                <w:b/>
                <w:color w:val="FFFFFF" w:themeColor="background1"/>
                <w:sz w:val="20"/>
              </w:rPr>
              <w:t>Access</w:t>
            </w:r>
          </w:p>
        </w:tc>
        <w:tc>
          <w:tcPr>
            <w:tcW w:w="0" w:type="auto"/>
            <w:shd w:val="clear" w:color="auto" w:fill="0070C0"/>
            <w:vAlign w:val="center"/>
          </w:tcPr>
          <w:p w14:paraId="0C333670" w14:textId="7C402148" w:rsidR="00EC22C1" w:rsidRPr="00AD635A" w:rsidRDefault="00EC22C1" w:rsidP="00EC22C1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b/>
                <w:color w:val="FFFFFF" w:themeColor="background1"/>
                <w:sz w:val="20"/>
              </w:rPr>
            </w:pPr>
            <w:r w:rsidRPr="00AD635A">
              <w:rPr>
                <w:b/>
                <w:color w:val="FFFFFF" w:themeColor="background1"/>
                <w:sz w:val="20"/>
              </w:rPr>
              <w:t>Participation</w:t>
            </w:r>
          </w:p>
        </w:tc>
        <w:tc>
          <w:tcPr>
            <w:tcW w:w="0" w:type="auto"/>
            <w:shd w:val="clear" w:color="auto" w:fill="0070C0"/>
            <w:vAlign w:val="center"/>
          </w:tcPr>
          <w:p w14:paraId="23BC2E79" w14:textId="4349C0FD" w:rsidR="00EC22C1" w:rsidRPr="00AD635A" w:rsidRDefault="00EC22C1" w:rsidP="00EC22C1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b/>
                <w:color w:val="FFFFFF" w:themeColor="background1"/>
                <w:sz w:val="20"/>
              </w:rPr>
            </w:pPr>
            <w:r w:rsidRPr="00AD635A">
              <w:rPr>
                <w:b/>
                <w:color w:val="FFFFFF" w:themeColor="background1"/>
                <w:sz w:val="20"/>
              </w:rPr>
              <w:t>Attainment</w:t>
            </w:r>
          </w:p>
        </w:tc>
        <w:tc>
          <w:tcPr>
            <w:tcW w:w="0" w:type="auto"/>
            <w:shd w:val="clear" w:color="auto" w:fill="0070C0"/>
            <w:vAlign w:val="center"/>
          </w:tcPr>
          <w:p w14:paraId="054F8BE3" w14:textId="7F7D913C" w:rsidR="00EC22C1" w:rsidRPr="000A7DA3" w:rsidRDefault="00EC22C1" w:rsidP="00EC22C1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b/>
                <w:color w:val="FFFFFF" w:themeColor="background1"/>
                <w:sz w:val="20"/>
              </w:rPr>
            </w:pPr>
            <w:r w:rsidRPr="000A7DA3">
              <w:rPr>
                <w:b/>
                <w:color w:val="FFFFFF" w:themeColor="background1"/>
                <w:sz w:val="20"/>
              </w:rPr>
              <w:t>Equity</w:t>
            </w:r>
          </w:p>
        </w:tc>
        <w:tc>
          <w:tcPr>
            <w:tcW w:w="1345" w:type="dxa"/>
            <w:shd w:val="clear" w:color="auto" w:fill="0070C0"/>
            <w:vAlign w:val="center"/>
          </w:tcPr>
          <w:p w14:paraId="57B63238" w14:textId="0077DEB2" w:rsidR="00EC22C1" w:rsidRPr="000A7DA3" w:rsidRDefault="00FC522B" w:rsidP="00FC522B">
            <w:pPr>
              <w:pStyle w:val="ListNumber"/>
              <w:numPr>
                <w:ilvl w:val="0"/>
                <w:numId w:val="0"/>
              </w:numPr>
              <w:spacing w:after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Collaboration</w:t>
            </w:r>
          </w:p>
        </w:tc>
      </w:tr>
      <w:tr w:rsidR="00C04949" w:rsidRPr="0001145C" w14:paraId="5AC7EDC6" w14:textId="01A5139D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5BAF4A45" w14:textId="62B05DF9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Aspiration raising – non-university experience</w:t>
            </w:r>
          </w:p>
        </w:tc>
        <w:tc>
          <w:tcPr>
            <w:tcW w:w="0" w:type="auto"/>
          </w:tcPr>
          <w:p w14:paraId="6EC12D81" w14:textId="7031AE14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1145C">
              <w:rPr>
                <w:sz w:val="20"/>
                <w:szCs w:val="20"/>
              </w:rPr>
              <w:t>n-</w:t>
            </w:r>
            <w:r>
              <w:rPr>
                <w:sz w:val="20"/>
                <w:szCs w:val="20"/>
              </w:rPr>
              <w:t>school and on-campus activities</w:t>
            </w:r>
            <w:r w:rsidRPr="0001145C">
              <w:rPr>
                <w:sz w:val="20"/>
                <w:szCs w:val="20"/>
              </w:rPr>
              <w:t xml:space="preserve"> to raise university aspirations, including through the JCU Student Ambassador program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3FB920C" w14:textId="17F3DEBD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1E844A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C5F1F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E127F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C50A64" w14:textId="553DA0D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EE0ED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48AE0BAB" w14:textId="2BBCB0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42F9AF41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FC520C8" w14:textId="6B8887FA" w:rsidR="00C04949" w:rsidRPr="0001145C" w:rsidRDefault="00C03B41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C03B41">
              <w:rPr>
                <w:sz w:val="20"/>
                <w:szCs w:val="20"/>
              </w:rPr>
              <w:t>Post school transition programs in target</w:t>
            </w:r>
            <w:r>
              <w:rPr>
                <w:sz w:val="20"/>
                <w:szCs w:val="20"/>
              </w:rPr>
              <w:t>e</w:t>
            </w:r>
            <w:r w:rsidRPr="00C03B41">
              <w:rPr>
                <w:sz w:val="20"/>
                <w:szCs w:val="20"/>
              </w:rPr>
              <w:t>d regional schools.</w:t>
            </w:r>
          </w:p>
        </w:tc>
        <w:tc>
          <w:tcPr>
            <w:tcW w:w="0" w:type="auto"/>
          </w:tcPr>
          <w:p w14:paraId="4887A67F" w14:textId="16C5F7B1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AF534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70B2A22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5C259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1A86B1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74DFA4" w14:textId="646B3F7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AA076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32DB781A" w14:textId="787A74D1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58027104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0B694BF" w14:textId="077B5A6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 xml:space="preserve">Community based information programs about </w:t>
            </w:r>
            <w:r>
              <w:rPr>
                <w:sz w:val="20"/>
                <w:szCs w:val="20"/>
              </w:rPr>
              <w:t>university study options and university</w:t>
            </w:r>
            <w:r w:rsidRPr="0001145C">
              <w:rPr>
                <w:sz w:val="20"/>
                <w:szCs w:val="20"/>
              </w:rPr>
              <w:t xml:space="preserve"> life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7754B9D" w14:textId="1EBE100B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AF534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9E292F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2DBC4A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9D4E8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026751" w14:textId="18122B01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CE062FD" w14:textId="25048A3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F36C8A"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0ED8B0A9" w14:textId="17423E48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289B411B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71D8378" w14:textId="76562E61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Engage with schools and community organisations to support community goals for university study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2498A8D" w14:textId="763F70F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AF534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A553C03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EBEB1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A60348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5D269E" w14:textId="3E7D915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35C16BD" w14:textId="5C6B2B0D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F36C8A"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6D5B6D5A" w14:textId="5EE12E8B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29FE0329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0CC057A" w14:textId="66AC2DCD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Contribute to reference groups to ensure aspiration raising projects for equity groups meet their requirements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DFADB07" w14:textId="524AEED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AF534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B1A736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688C46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DA221D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CCF6E7" w14:textId="4590B9D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FC37B2F" w14:textId="698DF85D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F36C8A"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3F6AAB1E" w14:textId="0959C179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677F0616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F196585" w14:textId="263AF03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Targeted recruitment activities for Australian Aboriginal and Torres Strait Islander students.</w:t>
            </w:r>
          </w:p>
        </w:tc>
        <w:tc>
          <w:tcPr>
            <w:tcW w:w="0" w:type="auto"/>
          </w:tcPr>
          <w:p w14:paraId="5C584587" w14:textId="5B4E3B7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AF534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1703E4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13369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22FDAD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3ADB82" w14:textId="39F643AB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35FFB2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E68F0" w:rsidRPr="0001145C" w14:paraId="7B6AF571" w14:textId="2431CEFF" w:rsidTr="00C04949">
        <w:trPr>
          <w:trHeight w:hRule="exact" w:val="340"/>
        </w:trPr>
        <w:tc>
          <w:tcPr>
            <w:tcW w:w="0" w:type="auto"/>
            <w:vAlign w:val="center"/>
          </w:tcPr>
          <w:p w14:paraId="39C99D8F" w14:textId="310A5D45" w:rsidR="00AE68F0" w:rsidRPr="00C04949" w:rsidRDefault="00AE68F0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Aspiration raising - pre-entry university experience</w:t>
            </w:r>
          </w:p>
        </w:tc>
        <w:tc>
          <w:tcPr>
            <w:tcW w:w="0" w:type="auto"/>
          </w:tcPr>
          <w:p w14:paraId="06AE494D" w14:textId="197C8B9D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Pre-entry university experience programs for secondary students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73EB3FC" w14:textId="7F323045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AF534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8BC068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14B44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9168B7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DBD9AF" w14:textId="7A809B3B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DED458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5EF18D80" w14:textId="70850749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3EE335B5" w14:textId="469C79EE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Pre-university qualification pathway</w:t>
            </w:r>
          </w:p>
        </w:tc>
        <w:tc>
          <w:tcPr>
            <w:tcW w:w="0" w:type="auto"/>
          </w:tcPr>
          <w:p w14:paraId="2D9045FC" w14:textId="12746A3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1145C">
              <w:rPr>
                <w:sz w:val="20"/>
                <w:szCs w:val="20"/>
              </w:rPr>
              <w:t xml:space="preserve">athways program </w:t>
            </w:r>
            <w:r>
              <w:rPr>
                <w:sz w:val="20"/>
                <w:szCs w:val="20"/>
              </w:rPr>
              <w:t>on Thursday Island.</w:t>
            </w:r>
          </w:p>
        </w:tc>
        <w:tc>
          <w:tcPr>
            <w:tcW w:w="0" w:type="auto"/>
            <w:vAlign w:val="center"/>
          </w:tcPr>
          <w:p w14:paraId="12D9973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8BA599" w14:textId="219D632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CC15E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85CBF6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272CE1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A63938" w14:textId="72FD3446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4E7CB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A757B2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4512E143" w14:textId="48013AFD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0AA08978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BC67F9C" w14:textId="1024DF4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 xml:space="preserve">Pathways </w:t>
            </w:r>
            <w:r>
              <w:rPr>
                <w:sz w:val="20"/>
                <w:szCs w:val="20"/>
              </w:rPr>
              <w:t>Advisory Group to inform regional</w:t>
            </w:r>
            <w:r w:rsidRPr="0001145C">
              <w:rPr>
                <w:sz w:val="20"/>
                <w:szCs w:val="20"/>
              </w:rPr>
              <w:t xml:space="preserve"> pathways requirements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191A544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20AC2C" w14:textId="2F74064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CC15E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79CF2D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0DDE39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90B60A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0D6DF" w14:textId="7E0AFCB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43D4ABEB" w14:textId="3C80167C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01403532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74572B8" w14:textId="28AB2190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access to P</w:t>
            </w:r>
            <w:r w:rsidRPr="0001145C">
              <w:rPr>
                <w:sz w:val="20"/>
                <w:szCs w:val="20"/>
              </w:rPr>
              <w:t>athways program for equity groups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E4EAF1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A11909" w14:textId="5C2856C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CC15E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E4A251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7EC83D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5A0531" w14:textId="09BF0F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03AC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EB551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1074A81F" w14:textId="77777777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036244B0" w14:textId="15505D05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Academic preparation / support</w:t>
            </w:r>
          </w:p>
        </w:tc>
        <w:tc>
          <w:tcPr>
            <w:tcW w:w="0" w:type="auto"/>
          </w:tcPr>
          <w:p w14:paraId="6BF1BD12" w14:textId="48AB1D3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Winter and Summer Residential Schools for Australian Aboriginal and Torres Strait Islander students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3EF5107" w14:textId="29322D2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F044C2F" w14:textId="2B6C7D6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CC15E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2EBB4B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FA978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9518CA" w14:textId="632644B1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03AC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DE4E01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55B3436B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0AB0D11A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C527D74" w14:textId="2E85821C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PELA and PENA inform timely student support and advice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43A3AF0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97E3186" w14:textId="487A5000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CC15E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93ED24B" w14:textId="1307CE2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D438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A1687B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D629802" w14:textId="28F04E7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03AC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6E54A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6CEEA321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5D8C8E14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4337C84" w14:textId="6960D3F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Student counselling and academic support services available to equity groups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63CB95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9EC29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9B735E" w14:textId="2BC8A1A4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D438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9A5C18E" w14:textId="30901AC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82EF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6FF2759" w14:textId="2926441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03AC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95551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447F8C5A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1FBA91C2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376896E" w14:textId="2DE3F152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 xml:space="preserve">Develop digital resources to build skills </w:t>
            </w:r>
            <w:r>
              <w:rPr>
                <w:sz w:val="20"/>
                <w:szCs w:val="20"/>
              </w:rPr>
              <w:t>for enhanced student wellbeing.</w:t>
            </w:r>
          </w:p>
        </w:tc>
        <w:tc>
          <w:tcPr>
            <w:tcW w:w="0" w:type="auto"/>
            <w:vAlign w:val="center"/>
          </w:tcPr>
          <w:p w14:paraId="0583258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4309A7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D61733" w14:textId="1F4A95F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D438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944B699" w14:textId="413BB646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82EF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C1DF8D5" w14:textId="29CEAA1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03AC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4DFB068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429DB32C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29559F42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4CB725A" w14:textId="301AE8D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Review and enhance group-strategy skill development for mental health and wellbeing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1BEEDC8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902913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684908C" w14:textId="2DCC4DA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D438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6AA321C" w14:textId="7D7FCEFB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82EF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A5141B3" w14:textId="7EE0C7C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03AC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A524E9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39E7E87B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2ABDD4B2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9570A7" w14:textId="71E09E3C" w:rsidR="00C04949" w:rsidRPr="0001145C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Create videos and resources on resilience and wellbeing for scalable integration into curriculum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30F9527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D9D4E1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C8A229" w14:textId="6222839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D438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E020AC8" w14:textId="15CE33A1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82EF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F649FA8" w14:textId="64042C0C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03AC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24DB36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33351794" w14:textId="172AFB44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36BE789C" w14:textId="5428DE5B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Careers advice</w:t>
            </w:r>
          </w:p>
        </w:tc>
        <w:tc>
          <w:tcPr>
            <w:tcW w:w="0" w:type="auto"/>
          </w:tcPr>
          <w:p w14:paraId="4425CBB1" w14:textId="2403740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Provide careers advice to post-secondary students about career paths and study options.</w:t>
            </w:r>
          </w:p>
        </w:tc>
        <w:tc>
          <w:tcPr>
            <w:tcW w:w="0" w:type="auto"/>
          </w:tcPr>
          <w:p w14:paraId="79042907" w14:textId="012470AC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963F1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A6E8A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392DD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A111C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37F7C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F618D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6F1B345A" w14:textId="0A25138F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2D84068A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CFBB081" w14:textId="59B4897B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Careers advice modules embedded in pre-enrolment activities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EAF0C92" w14:textId="0ACF66A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963F1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C82105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BA72A9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CDA40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56010" w14:textId="3E659F7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6C01A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24ECD277" w14:textId="09895AEA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3BAB7F0A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D357FEB" w14:textId="09F1CC5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1145C">
              <w:rPr>
                <w:sz w:val="20"/>
                <w:szCs w:val="20"/>
              </w:rPr>
              <w:t>areer development</w:t>
            </w:r>
            <w:r>
              <w:rPr>
                <w:sz w:val="20"/>
                <w:szCs w:val="20"/>
              </w:rPr>
              <w:t xml:space="preserve"> embedded</w:t>
            </w:r>
            <w:r w:rsidRPr="0001145C">
              <w:rPr>
                <w:sz w:val="20"/>
                <w:szCs w:val="20"/>
              </w:rPr>
              <w:t xml:space="preserve"> in pre-enrolment, pathways curriculum and transition activities.</w:t>
            </w:r>
          </w:p>
        </w:tc>
        <w:tc>
          <w:tcPr>
            <w:tcW w:w="0" w:type="auto"/>
          </w:tcPr>
          <w:p w14:paraId="487939AE" w14:textId="38BE23ED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963F1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DA6A3D9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E89B4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9A4F9B" w14:textId="6676A68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C90F0F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71694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5E8074A0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57D399E2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BC35DF2" w14:textId="79A81B7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 xml:space="preserve">Partner with employers, industry and professional bodies </w:t>
            </w:r>
            <w:r>
              <w:rPr>
                <w:sz w:val="20"/>
                <w:szCs w:val="20"/>
              </w:rPr>
              <w:t>to support careers planning and C</w:t>
            </w:r>
            <w:r w:rsidRPr="0001145C">
              <w:rPr>
                <w:sz w:val="20"/>
                <w:szCs w:val="20"/>
              </w:rPr>
              <w:t>areers Fair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40F80DD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38C85B" w14:textId="03804DB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15AE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86B0235" w14:textId="0B30977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333E7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C40791B" w14:textId="7CE69884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333E7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072D01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A59637" w14:textId="05B6B6B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3B00F640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356AD3E8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E502D71" w14:textId="7CB824E0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Offer career development learning in course design to confirm career choice and optimise career readiness.</w:t>
            </w:r>
          </w:p>
        </w:tc>
        <w:tc>
          <w:tcPr>
            <w:tcW w:w="0" w:type="auto"/>
            <w:vAlign w:val="center"/>
          </w:tcPr>
          <w:p w14:paraId="44EC30CD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18FFC4" w14:textId="4A9AA5F4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15AE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E18CD22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825D67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462045" w14:textId="7A3DA5A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034D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950C777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30EFBA2C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710F3315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F27A9AF" w14:textId="57011D1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1145C">
              <w:rPr>
                <w:sz w:val="20"/>
                <w:szCs w:val="20"/>
              </w:rPr>
              <w:t>o-curricular and extra-curricular career development employabilit</w:t>
            </w:r>
            <w:r>
              <w:rPr>
                <w:sz w:val="20"/>
                <w:szCs w:val="20"/>
              </w:rPr>
              <w:t>y and entrepreneurship programs.</w:t>
            </w:r>
          </w:p>
        </w:tc>
        <w:tc>
          <w:tcPr>
            <w:tcW w:w="0" w:type="auto"/>
            <w:vAlign w:val="center"/>
          </w:tcPr>
          <w:p w14:paraId="5FA57E8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F501A6" w14:textId="2D9DBD40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15AE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44D2501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91803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EF8FB3" w14:textId="3E9F8A1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034D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7688CD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E68F0" w:rsidRPr="0001145C" w14:paraId="3486C04D" w14:textId="77777777" w:rsidTr="00C04949">
        <w:trPr>
          <w:trHeight w:hRule="exact" w:val="340"/>
        </w:trPr>
        <w:tc>
          <w:tcPr>
            <w:tcW w:w="0" w:type="auto"/>
            <w:vAlign w:val="center"/>
          </w:tcPr>
          <w:p w14:paraId="1B036145" w14:textId="252AD93C" w:rsidR="00AE68F0" w:rsidRPr="00C04949" w:rsidRDefault="00AE68F0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Orientation programs</w:t>
            </w:r>
          </w:p>
        </w:tc>
        <w:tc>
          <w:tcPr>
            <w:tcW w:w="0" w:type="auto"/>
          </w:tcPr>
          <w:p w14:paraId="6BB74F1C" w14:textId="6E1836BF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Orientation and transition websites for flexible, inclusive engagement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262D1BD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154781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F6505D7" w14:textId="71CAB710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56B6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19DEB1C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51817D" w14:textId="45DD60CB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034D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E17D0B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4AD47B5C" w14:textId="77777777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738D8CCD" w14:textId="32D05E25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First year transition programs</w:t>
            </w:r>
          </w:p>
        </w:tc>
        <w:tc>
          <w:tcPr>
            <w:tcW w:w="0" w:type="auto"/>
          </w:tcPr>
          <w:p w14:paraId="185F8099" w14:textId="77402CBD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Develop culturally appropriate preparation, participation and engagement activities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22D52542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0306E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2BBE88" w14:textId="3F95F03D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56B6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39244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30719B" w14:textId="4FA1AA7C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034D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E8336A7" w14:textId="713D4DE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3B4DC983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27D54729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C17ADC9" w14:textId="27EF7784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Promote university transition academic programs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372D33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1D744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0230A3" w14:textId="6209C5C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56B6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F10D88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504BF3" w14:textId="56ABE2A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034D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77E81F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195FFE9F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4E2C9266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EF92D58" w14:textId="23615A5C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Use peer-led transition programs to support new students.</w:t>
            </w:r>
          </w:p>
        </w:tc>
        <w:tc>
          <w:tcPr>
            <w:tcW w:w="0" w:type="auto"/>
            <w:vAlign w:val="center"/>
          </w:tcPr>
          <w:p w14:paraId="584D5E16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1F5905" w14:textId="481A9EE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428D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CA6E549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B724D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0E428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1ADB68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7C48C3FE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1CFC05F0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B7C906C" w14:textId="1CA7B93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Increase awareness of key first-year staff in the Academy who support transitions, such as First Year Experience Coordinators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44BD369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9E4BB11" w14:textId="3A231171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1428D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6E93E16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FFB3B2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9DAE78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3B26B5" w14:textId="1A774EF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7950B296" w14:textId="77777777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712E053F" w14:textId="32ED29DD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Mentoring, peer support</w:t>
            </w:r>
          </w:p>
        </w:tc>
        <w:tc>
          <w:tcPr>
            <w:tcW w:w="0" w:type="auto"/>
          </w:tcPr>
          <w:p w14:paraId="0D8C2AB7" w14:textId="0424C3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 xml:space="preserve">Transition and academic </w:t>
            </w:r>
            <w:r>
              <w:rPr>
                <w:sz w:val="20"/>
                <w:szCs w:val="20"/>
              </w:rPr>
              <w:t>support programs in place i.e. Mentoring, PASS and</w:t>
            </w:r>
            <w:r w:rsidRPr="0001145C">
              <w:rPr>
                <w:sz w:val="20"/>
                <w:szCs w:val="20"/>
              </w:rPr>
              <w:t xml:space="preserve"> Studiosity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54F6673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1A3DEA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3C628AE" w14:textId="5782923C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910E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13598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5F54DB" w14:textId="501794F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473F3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6B23DD11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764B4A7C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1757BBF" w14:textId="1454853D" w:rsidR="00C04949" w:rsidRPr="0001145C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 xml:space="preserve">Establish Wellbeing Champions to support peer </w:t>
            </w:r>
            <w:r>
              <w:rPr>
                <w:sz w:val="20"/>
                <w:szCs w:val="20"/>
              </w:rPr>
              <w:t>based</w:t>
            </w:r>
            <w:r w:rsidRPr="0001145C">
              <w:rPr>
                <w:sz w:val="20"/>
                <w:szCs w:val="20"/>
              </w:rPr>
              <w:t xml:space="preserve"> activities </w:t>
            </w:r>
            <w:r>
              <w:rPr>
                <w:sz w:val="20"/>
                <w:szCs w:val="20"/>
              </w:rPr>
              <w:t>to develop</w:t>
            </w:r>
            <w:r w:rsidRPr="0001145C">
              <w:rPr>
                <w:sz w:val="20"/>
                <w:szCs w:val="20"/>
              </w:rPr>
              <w:t xml:space="preserve"> health literacy and hel</w:t>
            </w:r>
            <w:r>
              <w:rPr>
                <w:sz w:val="20"/>
                <w:szCs w:val="20"/>
              </w:rPr>
              <w:t>p seeking behaviours.</w:t>
            </w:r>
          </w:p>
        </w:tc>
        <w:tc>
          <w:tcPr>
            <w:tcW w:w="0" w:type="auto"/>
            <w:vAlign w:val="center"/>
          </w:tcPr>
          <w:p w14:paraId="53191C3D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5D1F7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8BC5E8" w14:textId="3907FEF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910E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D34344A" w14:textId="6174A2C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A593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6C6E104" w14:textId="3B72E56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A593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6B2F9B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E68F0" w:rsidRPr="0001145C" w14:paraId="33A5E49E" w14:textId="77777777" w:rsidTr="00C04949">
        <w:trPr>
          <w:trHeight w:hRule="exact" w:val="340"/>
        </w:trPr>
        <w:tc>
          <w:tcPr>
            <w:tcW w:w="0" w:type="auto"/>
            <w:vAlign w:val="center"/>
          </w:tcPr>
          <w:p w14:paraId="58335668" w14:textId="59B46DF6" w:rsidR="00AE68F0" w:rsidRPr="00C04949" w:rsidRDefault="00AE68F0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Monitoring student progress</w:t>
            </w:r>
          </w:p>
        </w:tc>
        <w:tc>
          <w:tcPr>
            <w:tcW w:w="0" w:type="auto"/>
          </w:tcPr>
          <w:p w14:paraId="4486BDF4" w14:textId="1E215C1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College based Student Support Officers provide targeted support to first year students at risk of attrition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032223F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586DE1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7C23E9" w14:textId="389A76EB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910E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27A7B55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DA55FA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213974" w14:textId="77777777" w:rsidR="00AE68F0" w:rsidRPr="0001145C" w:rsidRDefault="00AE68F0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3FC43831" w14:textId="77777777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79DB96FD" w14:textId="13E3548F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Inclusive course design / pedagogies</w:t>
            </w:r>
          </w:p>
        </w:tc>
        <w:tc>
          <w:tcPr>
            <w:tcW w:w="0" w:type="auto"/>
          </w:tcPr>
          <w:p w14:paraId="783C58E6" w14:textId="0E6A30E2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Inclusive teaching and learning plans for students registered with AccessAbility Services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E2B6C76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ECBCEA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1832E0" w14:textId="21845E2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910E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E649B5D" w14:textId="67E9FC90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6407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44A8E61F" w14:textId="0ADD027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7C10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E911AF7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2CDFC03A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479EEA52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6901E49" w14:textId="3248A10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Accessible learning spaces for students with a disability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1E6AFD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F46C00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0E00BDF" w14:textId="680CC30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910E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345BFA" w14:textId="6EBF43E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6407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9B96A39" w14:textId="41022A0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7C10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92CF5D5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610CF8CC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63BA0AF9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343CF5E" w14:textId="3F67A4F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Personalised and adaptive technologies for defined equity groups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B772BF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DF0623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FB5146" w14:textId="44804402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0910E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4F6994EA" w14:textId="3E9D8C06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6407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082AE79" w14:textId="6095028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7C10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06C2D26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1E4ED8E5" w14:textId="77777777" w:rsidTr="00C04949">
        <w:trPr>
          <w:trHeight w:hRule="exact" w:val="340"/>
        </w:trPr>
        <w:tc>
          <w:tcPr>
            <w:tcW w:w="0" w:type="auto"/>
            <w:vMerge/>
            <w:vAlign w:val="center"/>
          </w:tcPr>
          <w:p w14:paraId="5E4F3A73" w14:textId="77777777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082266B" w14:textId="309451F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Collaborate</w:t>
            </w:r>
            <w:r w:rsidRPr="0001145C">
              <w:rPr>
                <w:sz w:val="20"/>
                <w:szCs w:val="20"/>
              </w:rPr>
              <w:t xml:space="preserve"> with stakeholders </w:t>
            </w:r>
            <w:r>
              <w:rPr>
                <w:sz w:val="20"/>
                <w:szCs w:val="20"/>
              </w:rPr>
              <w:t xml:space="preserve">to develop </w:t>
            </w:r>
            <w:r w:rsidRPr="0001145C">
              <w:rPr>
                <w:sz w:val="20"/>
                <w:szCs w:val="20"/>
              </w:rPr>
              <w:t>the JCU Mental Health and Wellbeing Strategy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C08AC2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C0AFA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206E72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39C2CA" w14:textId="67AF5C95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6407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FF27BC8" w14:textId="60822C7F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7C10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835B34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23C5FD8D" w14:textId="77777777" w:rsidTr="00C04949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6FB08953" w14:textId="288EAB8B" w:rsidR="00C04949" w:rsidRPr="00C04949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b/>
                <w:sz w:val="20"/>
                <w:szCs w:val="20"/>
              </w:rPr>
            </w:pPr>
            <w:r w:rsidRPr="00C04949">
              <w:rPr>
                <w:b/>
                <w:sz w:val="20"/>
                <w:szCs w:val="20"/>
              </w:rPr>
              <w:t>Employment support pre-completion</w:t>
            </w:r>
          </w:p>
        </w:tc>
        <w:tc>
          <w:tcPr>
            <w:tcW w:w="0" w:type="auto"/>
          </w:tcPr>
          <w:p w14:paraId="62912132" w14:textId="3FB5266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Promote recruitment opportunities with professional bodies, employers and government agencies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4B378A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91B7A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0FEBC3" w14:textId="4DA0D0DC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5D48CE0" w14:textId="349E611E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6407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62D62E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396AE0" w14:textId="67DADBE0" w:rsidR="00C04949" w:rsidRPr="00AE68F0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C04949" w:rsidRPr="0001145C" w14:paraId="10087F8D" w14:textId="77777777" w:rsidTr="00424E44">
        <w:trPr>
          <w:trHeight w:hRule="exact" w:val="340"/>
        </w:trPr>
        <w:tc>
          <w:tcPr>
            <w:tcW w:w="0" w:type="auto"/>
            <w:vMerge/>
          </w:tcPr>
          <w:p w14:paraId="121B32AF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874121B" w14:textId="61EB65FB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 w:rsidRPr="0001145C">
              <w:rPr>
                <w:sz w:val="20"/>
                <w:szCs w:val="20"/>
              </w:rPr>
              <w:t>Expand workshop offering</w:t>
            </w:r>
            <w:r>
              <w:rPr>
                <w:sz w:val="20"/>
                <w:szCs w:val="20"/>
              </w:rPr>
              <w:t>s</w:t>
            </w:r>
            <w:r w:rsidRPr="0001145C">
              <w:rPr>
                <w:sz w:val="20"/>
                <w:szCs w:val="20"/>
              </w:rPr>
              <w:t xml:space="preserve"> to focus on future employability skills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7E767EE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8AF24C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7E2978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09D4F5" w14:textId="206EE5FB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6407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F3B9837" w14:textId="752036DA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9D281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C4B4E53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04949" w:rsidRPr="0001145C" w14:paraId="74DD006E" w14:textId="77777777" w:rsidTr="00424E44">
        <w:trPr>
          <w:trHeight w:hRule="exact" w:val="340"/>
        </w:trPr>
        <w:tc>
          <w:tcPr>
            <w:tcW w:w="0" w:type="auto"/>
            <w:vMerge/>
          </w:tcPr>
          <w:p w14:paraId="1EA9B018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ED53D3E" w14:textId="35EEB8DC" w:rsidR="00C04949" w:rsidRPr="0001145C" w:rsidRDefault="00C04949" w:rsidP="00C04949">
            <w:pPr>
              <w:pStyle w:val="ListNumber"/>
              <w:numPr>
                <w:ilvl w:val="0"/>
                <w:numId w:val="0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</w:t>
            </w:r>
            <w:r w:rsidRPr="0001145C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renew</w:t>
            </w:r>
            <w:r w:rsidRPr="00011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 w:rsidRPr="0001145C">
              <w:rPr>
                <w:sz w:val="20"/>
                <w:szCs w:val="20"/>
              </w:rPr>
              <w:t xml:space="preserve"> Careers and Employability website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59B5A07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D9849A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C0DB6B" w14:textId="22D0DCB9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3AE58B0" w14:textId="28753F48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D6407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28D0FFC" w14:textId="4A829CB3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  <w:r w:rsidRPr="009D281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AB0B4B" w14:textId="77777777" w:rsidR="00C04949" w:rsidRPr="0001145C" w:rsidRDefault="00C04949" w:rsidP="00AE68F0">
            <w:pPr>
              <w:pStyle w:val="ListNumber"/>
              <w:numPr>
                <w:ilvl w:val="0"/>
                <w:numId w:val="0"/>
              </w:numPr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23178D6C" w14:textId="4561D6E1" w:rsidR="00395311" w:rsidRPr="0001145C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0"/>
          <w:szCs w:val="20"/>
        </w:rPr>
      </w:pPr>
    </w:p>
    <w:p w14:paraId="5E078889" w14:textId="77777777" w:rsidR="009354FC" w:rsidRDefault="009354FC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  <w:sectPr w:rsidR="009354FC" w:rsidSect="0001145C">
          <w:pgSz w:w="23811" w:h="16838" w:orient="landscape" w:code="8"/>
          <w:pgMar w:top="720" w:right="720" w:bottom="720" w:left="720" w:header="680" w:footer="567" w:gutter="0"/>
          <w:cols w:space="708"/>
          <w:titlePg/>
          <w:docGrid w:linePitch="360"/>
        </w:sectPr>
      </w:pPr>
    </w:p>
    <w:p w14:paraId="42A40E7E" w14:textId="3F1FE76D" w:rsidR="00E75A27" w:rsidRPr="00FC522B" w:rsidRDefault="00E75A27" w:rsidP="00C04949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  <w:r w:rsidRPr="00FC522B">
        <w:rPr>
          <w:b/>
          <w:sz w:val="24"/>
          <w:szCs w:val="24"/>
        </w:rPr>
        <w:lastRenderedPageBreak/>
        <w:t>Evaluation</w:t>
      </w:r>
      <w:r w:rsidRPr="00FC522B">
        <w:rPr>
          <w:sz w:val="24"/>
          <w:szCs w:val="24"/>
        </w:rPr>
        <w:t>: how the university plans to evaluate the effectiveness of the equity strategies.</w:t>
      </w:r>
    </w:p>
    <w:p w14:paraId="51B70F86" w14:textId="166430DC" w:rsidR="00FD4147" w:rsidRPr="00FC522B" w:rsidRDefault="00FD4147" w:rsidP="00C04949">
      <w:p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 xml:space="preserve">JCU monitors the outputs of HEPPP funded equity programs through the collection and analysis of program participation data and student </w:t>
      </w:r>
      <w:r w:rsidR="00C04949">
        <w:rPr>
          <w:sz w:val="24"/>
          <w:szCs w:val="24"/>
        </w:rPr>
        <w:t xml:space="preserve">quantitative and </w:t>
      </w:r>
      <w:r w:rsidRPr="00FC522B">
        <w:rPr>
          <w:sz w:val="24"/>
          <w:szCs w:val="24"/>
        </w:rPr>
        <w:t xml:space="preserve">qualitative feedback. Each program uses this data to continuously improve program </w:t>
      </w:r>
      <w:r w:rsidR="00B03FEA" w:rsidRPr="00FC522B">
        <w:rPr>
          <w:sz w:val="24"/>
          <w:szCs w:val="24"/>
        </w:rPr>
        <w:t>design and increase student engagement.</w:t>
      </w:r>
      <w:r w:rsidRPr="00FC522B">
        <w:rPr>
          <w:sz w:val="24"/>
          <w:szCs w:val="24"/>
        </w:rPr>
        <w:t xml:space="preserve"> </w:t>
      </w:r>
      <w:r w:rsidR="00B03FEA" w:rsidRPr="00FC522B">
        <w:rPr>
          <w:sz w:val="24"/>
          <w:szCs w:val="24"/>
        </w:rPr>
        <w:t xml:space="preserve">Where the program includes digital materials, website analytics are reviewed to gauge engagement and appeal. </w:t>
      </w:r>
    </w:p>
    <w:p w14:paraId="2C15295E" w14:textId="4B4630D8" w:rsidR="00FD4147" w:rsidRPr="00FC522B" w:rsidRDefault="00B03FEA" w:rsidP="00C04949">
      <w:p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The program</w:t>
      </w:r>
      <w:r w:rsidR="00FD4147" w:rsidRPr="00FC522B">
        <w:rPr>
          <w:sz w:val="24"/>
          <w:szCs w:val="24"/>
        </w:rPr>
        <w:t xml:space="preserve"> data and the student enrolment, demographic, academic achievement and retention data </w:t>
      </w:r>
      <w:r w:rsidRPr="00FC522B">
        <w:rPr>
          <w:sz w:val="24"/>
          <w:szCs w:val="24"/>
        </w:rPr>
        <w:t>are</w:t>
      </w:r>
      <w:r w:rsidR="00FD4147" w:rsidRPr="00FC522B">
        <w:rPr>
          <w:sz w:val="24"/>
          <w:szCs w:val="24"/>
        </w:rPr>
        <w:t xml:space="preserve"> evaluated annual</w:t>
      </w:r>
      <w:r w:rsidRPr="00FC522B">
        <w:rPr>
          <w:sz w:val="24"/>
          <w:szCs w:val="24"/>
        </w:rPr>
        <w:t>ly</w:t>
      </w:r>
      <w:r w:rsidR="00FD4147" w:rsidRPr="00FC522B">
        <w:rPr>
          <w:sz w:val="24"/>
          <w:szCs w:val="24"/>
        </w:rPr>
        <w:t xml:space="preserve"> through the collation of a master data set</w:t>
      </w:r>
      <w:r w:rsidR="00FF20FB" w:rsidRPr="00FC522B">
        <w:rPr>
          <w:sz w:val="24"/>
          <w:szCs w:val="24"/>
        </w:rPr>
        <w:t>.</w:t>
      </w:r>
      <w:r w:rsidR="00FD4147" w:rsidRPr="00FC522B">
        <w:rPr>
          <w:sz w:val="24"/>
          <w:szCs w:val="24"/>
        </w:rPr>
        <w:t xml:space="preserve"> </w:t>
      </w:r>
      <w:r w:rsidR="00FF20FB" w:rsidRPr="00FC522B">
        <w:rPr>
          <w:sz w:val="24"/>
          <w:szCs w:val="24"/>
        </w:rPr>
        <w:t>This dataset provides</w:t>
      </w:r>
      <w:r w:rsidR="00FD4147" w:rsidRPr="00FC522B">
        <w:rPr>
          <w:sz w:val="24"/>
          <w:szCs w:val="24"/>
        </w:rPr>
        <w:t xml:space="preserve"> </w:t>
      </w:r>
      <w:r w:rsidR="00FF20FB" w:rsidRPr="00FC522B">
        <w:rPr>
          <w:sz w:val="24"/>
          <w:szCs w:val="24"/>
        </w:rPr>
        <w:t>statistical evidence</w:t>
      </w:r>
      <w:r w:rsidR="00FD4147" w:rsidRPr="00FC522B">
        <w:rPr>
          <w:sz w:val="24"/>
          <w:szCs w:val="24"/>
        </w:rPr>
        <w:t xml:space="preserve"> </w:t>
      </w:r>
      <w:r w:rsidR="00FF20FB" w:rsidRPr="00FC522B">
        <w:rPr>
          <w:sz w:val="24"/>
          <w:szCs w:val="24"/>
        </w:rPr>
        <w:t xml:space="preserve">about </w:t>
      </w:r>
      <w:r w:rsidRPr="00FC522B">
        <w:rPr>
          <w:sz w:val="24"/>
          <w:szCs w:val="24"/>
        </w:rPr>
        <w:t xml:space="preserve">the </w:t>
      </w:r>
      <w:r w:rsidR="00FF20FB" w:rsidRPr="00FC522B">
        <w:rPr>
          <w:sz w:val="24"/>
          <w:szCs w:val="24"/>
        </w:rPr>
        <w:t xml:space="preserve">extent of the </w:t>
      </w:r>
      <w:r w:rsidRPr="00FC522B">
        <w:rPr>
          <w:sz w:val="24"/>
          <w:szCs w:val="24"/>
        </w:rPr>
        <w:t>program</w:t>
      </w:r>
      <w:r w:rsidR="00FF20FB" w:rsidRPr="00FC522B">
        <w:rPr>
          <w:sz w:val="24"/>
          <w:szCs w:val="24"/>
        </w:rPr>
        <w:t>s’ impact</w:t>
      </w:r>
      <w:r w:rsidRPr="00FC522B">
        <w:rPr>
          <w:sz w:val="24"/>
          <w:szCs w:val="24"/>
        </w:rPr>
        <w:t xml:space="preserve"> on student outcomes</w:t>
      </w:r>
      <w:r w:rsidR="00FD4147" w:rsidRPr="00FC522B">
        <w:rPr>
          <w:sz w:val="24"/>
          <w:szCs w:val="24"/>
        </w:rPr>
        <w:t>.</w:t>
      </w:r>
    </w:p>
    <w:p w14:paraId="698C136E" w14:textId="3909B782" w:rsidR="00B03FEA" w:rsidRPr="00FC522B" w:rsidRDefault="00FF20FB" w:rsidP="00C04949">
      <w:p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Periodic f</w:t>
      </w:r>
      <w:r w:rsidR="00B03FEA" w:rsidRPr="00FC522B">
        <w:rPr>
          <w:sz w:val="24"/>
          <w:szCs w:val="24"/>
        </w:rPr>
        <w:t>ormative and summative evaluations</w:t>
      </w:r>
      <w:r w:rsidRPr="00FC522B">
        <w:rPr>
          <w:sz w:val="24"/>
          <w:szCs w:val="24"/>
        </w:rPr>
        <w:t xml:space="preserve"> about the merit, worth and significance of the equity programs</w:t>
      </w:r>
      <w:r w:rsidR="00B03FEA" w:rsidRPr="00FC522B">
        <w:rPr>
          <w:sz w:val="24"/>
          <w:szCs w:val="24"/>
        </w:rPr>
        <w:t xml:space="preserve"> are conducted </w:t>
      </w:r>
      <w:r w:rsidRPr="00FC522B">
        <w:rPr>
          <w:sz w:val="24"/>
          <w:szCs w:val="24"/>
        </w:rPr>
        <w:t>by JCU evaluators</w:t>
      </w:r>
      <w:r w:rsidR="00B03FEA" w:rsidRPr="00FC522B">
        <w:rPr>
          <w:sz w:val="24"/>
          <w:szCs w:val="24"/>
        </w:rPr>
        <w:t>. These evaluations include mixed methods approaches to data collection</w:t>
      </w:r>
      <w:r w:rsidRPr="00FC522B">
        <w:rPr>
          <w:sz w:val="24"/>
          <w:szCs w:val="24"/>
        </w:rPr>
        <w:t>, analysis and synthesis</w:t>
      </w:r>
      <w:r w:rsidR="00B03FEA" w:rsidRPr="00FC522B">
        <w:rPr>
          <w:sz w:val="24"/>
          <w:szCs w:val="24"/>
        </w:rPr>
        <w:t xml:space="preserve">, producing detailed reports and recommendations that </w:t>
      </w:r>
      <w:r w:rsidRPr="00FC522B">
        <w:rPr>
          <w:sz w:val="24"/>
          <w:szCs w:val="24"/>
        </w:rPr>
        <w:t>inform program decision making at</w:t>
      </w:r>
      <w:r w:rsidR="00B03FEA" w:rsidRPr="00FC522B">
        <w:rPr>
          <w:sz w:val="24"/>
          <w:szCs w:val="24"/>
        </w:rPr>
        <w:t xml:space="preserve"> senior levels of the organisation.</w:t>
      </w:r>
    </w:p>
    <w:p w14:paraId="1E9E850F" w14:textId="2FD20E8D" w:rsidR="00395311" w:rsidRPr="00FC522B" w:rsidRDefault="00395311" w:rsidP="00C04949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</w:p>
    <w:p w14:paraId="7A399C36" w14:textId="27E84271" w:rsidR="00A91F6D" w:rsidRPr="00FC522B" w:rsidRDefault="00E75A27" w:rsidP="00C0494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  <w:r w:rsidRPr="00FC522B">
        <w:rPr>
          <w:b/>
          <w:sz w:val="24"/>
          <w:szCs w:val="24"/>
        </w:rPr>
        <w:t>Partnerships and collaboration</w:t>
      </w:r>
      <w:r w:rsidRPr="00FC522B">
        <w:rPr>
          <w:sz w:val="24"/>
          <w:szCs w:val="24"/>
        </w:rPr>
        <w:t>: who the university will partner and collaborate with and how this will improve equity performance</w:t>
      </w:r>
      <w:r w:rsidR="00B00D12" w:rsidRPr="00FC522B">
        <w:rPr>
          <w:sz w:val="24"/>
          <w:szCs w:val="24"/>
        </w:rPr>
        <w:t>.</w:t>
      </w:r>
    </w:p>
    <w:p w14:paraId="78C35826" w14:textId="4185377A" w:rsidR="00A91F6D" w:rsidRPr="00FC522B" w:rsidRDefault="00F004D1" w:rsidP="00C04949">
      <w:p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JCU HEPPP funded p</w:t>
      </w:r>
      <w:r w:rsidR="00A91F6D" w:rsidRPr="00FC522B">
        <w:rPr>
          <w:sz w:val="24"/>
          <w:szCs w:val="24"/>
        </w:rPr>
        <w:t xml:space="preserve">rograms are </w:t>
      </w:r>
      <w:r w:rsidR="000C1CEC" w:rsidRPr="00FC522B">
        <w:rPr>
          <w:sz w:val="24"/>
          <w:szCs w:val="24"/>
        </w:rPr>
        <w:t>strengthened</w:t>
      </w:r>
      <w:r w:rsidR="00A91F6D" w:rsidRPr="00FC522B">
        <w:rPr>
          <w:sz w:val="24"/>
          <w:szCs w:val="24"/>
        </w:rPr>
        <w:t xml:space="preserve"> by strategic partnerships </w:t>
      </w:r>
      <w:r w:rsidR="00260FA1" w:rsidRPr="00FC522B">
        <w:rPr>
          <w:sz w:val="24"/>
          <w:szCs w:val="24"/>
        </w:rPr>
        <w:t>wh</w:t>
      </w:r>
      <w:r w:rsidR="000C1CEC" w:rsidRPr="00FC522B">
        <w:rPr>
          <w:sz w:val="24"/>
          <w:szCs w:val="24"/>
        </w:rPr>
        <w:t>ich increase the programs’ quality and relevance for students and their communities.  These partnerships include</w:t>
      </w:r>
      <w:r w:rsidR="00C04949">
        <w:rPr>
          <w:sz w:val="24"/>
          <w:szCs w:val="24"/>
        </w:rPr>
        <w:t xml:space="preserve"> but are not limited to</w:t>
      </w:r>
      <w:r w:rsidR="000C1CEC" w:rsidRPr="00FC522B">
        <w:rPr>
          <w:sz w:val="24"/>
          <w:szCs w:val="24"/>
        </w:rPr>
        <w:t>:</w:t>
      </w:r>
    </w:p>
    <w:p w14:paraId="5B807112" w14:textId="3E1B3CD9" w:rsidR="00A91F6D" w:rsidRPr="00FC522B" w:rsidRDefault="00FF20FB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S</w:t>
      </w:r>
      <w:r w:rsidR="00260FA1" w:rsidRPr="00FC522B">
        <w:rPr>
          <w:sz w:val="24"/>
          <w:szCs w:val="24"/>
        </w:rPr>
        <w:t>chools</w:t>
      </w:r>
      <w:r w:rsidRPr="00FC522B">
        <w:rPr>
          <w:sz w:val="24"/>
          <w:szCs w:val="24"/>
        </w:rPr>
        <w:t>;</w:t>
      </w:r>
    </w:p>
    <w:p w14:paraId="59A34BFE" w14:textId="34159F7C" w:rsidR="00260FA1" w:rsidRPr="00FC522B" w:rsidRDefault="00260FA1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Communities and community groups across Northern Queensland</w:t>
      </w:r>
      <w:r w:rsidR="00FF20FB" w:rsidRPr="00FC522B">
        <w:rPr>
          <w:sz w:val="24"/>
          <w:szCs w:val="24"/>
        </w:rPr>
        <w:t>;</w:t>
      </w:r>
    </w:p>
    <w:p w14:paraId="6F055306" w14:textId="2DC8B5F3" w:rsidR="00260FA1" w:rsidRPr="00FC522B" w:rsidRDefault="00260FA1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Not for profit organisations</w:t>
      </w:r>
      <w:r w:rsidR="00FF20FB" w:rsidRPr="00FC522B">
        <w:rPr>
          <w:sz w:val="24"/>
          <w:szCs w:val="24"/>
        </w:rPr>
        <w:t>;</w:t>
      </w:r>
    </w:p>
    <w:p w14:paraId="291073DC" w14:textId="7D01D14D" w:rsidR="00260FA1" w:rsidRPr="00FC522B" w:rsidRDefault="00260FA1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Employers</w:t>
      </w:r>
      <w:r w:rsidR="00FF20FB" w:rsidRPr="00FC522B">
        <w:rPr>
          <w:sz w:val="24"/>
          <w:szCs w:val="24"/>
        </w:rPr>
        <w:t>;</w:t>
      </w:r>
    </w:p>
    <w:p w14:paraId="121270C6" w14:textId="4606655B" w:rsidR="00260FA1" w:rsidRPr="00FC522B" w:rsidRDefault="00260FA1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Industry networks</w:t>
      </w:r>
      <w:r w:rsidR="00FF20FB" w:rsidRPr="00FC522B">
        <w:rPr>
          <w:sz w:val="24"/>
          <w:szCs w:val="24"/>
        </w:rPr>
        <w:t>;</w:t>
      </w:r>
    </w:p>
    <w:p w14:paraId="12561733" w14:textId="342819D1" w:rsidR="00260FA1" w:rsidRPr="00FC522B" w:rsidRDefault="00260FA1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Employer organisations</w:t>
      </w:r>
      <w:r w:rsidR="00FF20FB" w:rsidRPr="00FC522B">
        <w:rPr>
          <w:sz w:val="24"/>
          <w:szCs w:val="24"/>
        </w:rPr>
        <w:t>;</w:t>
      </w:r>
    </w:p>
    <w:p w14:paraId="4C73E89C" w14:textId="48DFFEBD" w:rsidR="00260FA1" w:rsidRPr="00FC522B" w:rsidRDefault="00260FA1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Pathways Advisory Group</w:t>
      </w:r>
      <w:r w:rsidR="00FF20FB" w:rsidRPr="00FC522B">
        <w:rPr>
          <w:sz w:val="24"/>
          <w:szCs w:val="24"/>
        </w:rPr>
        <w:t>; and</w:t>
      </w:r>
    </w:p>
    <w:p w14:paraId="6D9220CB" w14:textId="457C74E5" w:rsidR="000C1CEC" w:rsidRPr="00FC522B" w:rsidRDefault="000C1CEC" w:rsidP="00C04949">
      <w:pPr>
        <w:pStyle w:val="ListParagraph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FC522B">
        <w:rPr>
          <w:sz w:val="24"/>
          <w:szCs w:val="24"/>
        </w:rPr>
        <w:t>Third party providers such as Studiosity, Blackboard Ultra and Blue Explorance.</w:t>
      </w:r>
    </w:p>
    <w:p w14:paraId="7089F607" w14:textId="77777777" w:rsidR="00A91F6D" w:rsidRPr="00CB6EC3" w:rsidRDefault="00A91F6D" w:rsidP="00A91F6D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</w:p>
    <w:sectPr w:rsidR="00A91F6D" w:rsidRPr="00CB6EC3" w:rsidSect="004B05D1">
      <w:pgSz w:w="11906" w:h="16838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1FC5" w14:textId="77777777" w:rsidR="0001145C" w:rsidRDefault="0001145C" w:rsidP="00130923">
      <w:pPr>
        <w:spacing w:after="0" w:line="240" w:lineRule="auto"/>
      </w:pPr>
      <w:r>
        <w:separator/>
      </w:r>
    </w:p>
  </w:endnote>
  <w:endnote w:type="continuationSeparator" w:id="0">
    <w:p w14:paraId="4F991FC6" w14:textId="77777777" w:rsidR="0001145C" w:rsidRDefault="0001145C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FEECC" w14:textId="77777777" w:rsidR="00803501" w:rsidRDefault="00803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8" w14:textId="6FD315E3" w:rsidR="0001145C" w:rsidRDefault="007113CD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1145C">
          <w:fldChar w:fldCharType="begin"/>
        </w:r>
        <w:r w:rsidR="0001145C">
          <w:instrText xml:space="preserve"> PAGE   \* MERGEFORMAT </w:instrText>
        </w:r>
        <w:r w:rsidR="0001145C">
          <w:fldChar w:fldCharType="separate"/>
        </w:r>
        <w:r w:rsidR="004B05D1">
          <w:rPr>
            <w:noProof/>
          </w:rPr>
          <w:t>7</w:t>
        </w:r>
        <w:r w:rsidR="0001145C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322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B4058" w14:textId="6DAA3454" w:rsidR="004B05D1" w:rsidRDefault="004B05D1" w:rsidP="004B0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3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91FC3" w14:textId="77777777" w:rsidR="0001145C" w:rsidRDefault="0001145C" w:rsidP="00130923">
      <w:pPr>
        <w:spacing w:after="0" w:line="240" w:lineRule="auto"/>
      </w:pPr>
      <w:r>
        <w:separator/>
      </w:r>
    </w:p>
  </w:footnote>
  <w:footnote w:type="continuationSeparator" w:id="0">
    <w:p w14:paraId="4F991FC4" w14:textId="77777777" w:rsidR="0001145C" w:rsidRDefault="0001145C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E41FE" w14:textId="77777777" w:rsidR="00803501" w:rsidRDefault="00803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7" w14:textId="51AB3DDD" w:rsidR="0001145C" w:rsidRDefault="0001145C" w:rsidP="00A66052">
    <w:pPr>
      <w:pStyle w:val="Header"/>
      <w:spacing w:after="480"/>
      <w:jc w:val="right"/>
    </w:pPr>
    <w:r>
      <w:t>Access and Participation Plan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9364" w14:textId="76FF7BFE" w:rsidR="00803501" w:rsidRDefault="00803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6348C"/>
    <w:multiLevelType w:val="hybridMultilevel"/>
    <w:tmpl w:val="4266BF5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E2F5A"/>
    <w:multiLevelType w:val="hybridMultilevel"/>
    <w:tmpl w:val="8C5C0F8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8F972CB"/>
    <w:multiLevelType w:val="hybridMultilevel"/>
    <w:tmpl w:val="5860B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44EDB"/>
    <w:multiLevelType w:val="hybridMultilevel"/>
    <w:tmpl w:val="DDF6A71C"/>
    <w:lvl w:ilvl="0" w:tplc="DF5E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BA40AF"/>
    <w:multiLevelType w:val="hybridMultilevel"/>
    <w:tmpl w:val="8A4858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671AC"/>
    <w:multiLevelType w:val="hybridMultilevel"/>
    <w:tmpl w:val="7E727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103C1"/>
    <w:multiLevelType w:val="hybridMultilevel"/>
    <w:tmpl w:val="42148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B1CA1"/>
    <w:multiLevelType w:val="hybridMultilevel"/>
    <w:tmpl w:val="55D8D2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F5A7A"/>
    <w:multiLevelType w:val="hybridMultilevel"/>
    <w:tmpl w:val="7C38D1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11"/>
  </w:num>
  <w:num w:numId="16">
    <w:abstractNumId w:val="2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8"/>
  </w:num>
  <w:num w:numId="22">
    <w:abstractNumId w:val="21"/>
  </w:num>
  <w:num w:numId="23">
    <w:abstractNumId w:val="14"/>
  </w:num>
  <w:num w:numId="24">
    <w:abstractNumId w:val="17"/>
  </w:num>
  <w:num w:numId="25">
    <w:abstractNumId w:val="14"/>
  </w:num>
  <w:num w:numId="26">
    <w:abstractNumId w:val="1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2"/>
  </w:num>
  <w:num w:numId="31">
    <w:abstractNumId w:val="29"/>
  </w:num>
  <w:num w:numId="32">
    <w:abstractNumId w:val="19"/>
  </w:num>
  <w:num w:numId="33">
    <w:abstractNumId w:val="24"/>
  </w:num>
  <w:num w:numId="34">
    <w:abstractNumId w:val="22"/>
  </w:num>
  <w:num w:numId="35">
    <w:abstractNumId w:val="25"/>
  </w:num>
  <w:num w:numId="36">
    <w:abstractNumId w:val="16"/>
  </w:num>
  <w:num w:numId="37">
    <w:abstractNumId w:val="14"/>
  </w:num>
  <w:num w:numId="38">
    <w:abstractNumId w:val="26"/>
  </w:num>
  <w:num w:numId="39">
    <w:abstractNumId w:val="14"/>
  </w:num>
  <w:num w:numId="40">
    <w:abstractNumId w:val="20"/>
  </w:num>
  <w:num w:numId="41">
    <w:abstractNumId w:val="30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2DBC"/>
    <w:rsid w:val="00007E0C"/>
    <w:rsid w:val="0001145C"/>
    <w:rsid w:val="00024E24"/>
    <w:rsid w:val="00034EAA"/>
    <w:rsid w:val="000861A6"/>
    <w:rsid w:val="000A53C2"/>
    <w:rsid w:val="000A7DA3"/>
    <w:rsid w:val="000C1CEC"/>
    <w:rsid w:val="000D7FD3"/>
    <w:rsid w:val="000E7E7B"/>
    <w:rsid w:val="000F3BA2"/>
    <w:rsid w:val="00103F8C"/>
    <w:rsid w:val="001175BF"/>
    <w:rsid w:val="00130923"/>
    <w:rsid w:val="00132B66"/>
    <w:rsid w:val="001414F3"/>
    <w:rsid w:val="00143FCD"/>
    <w:rsid w:val="00152D18"/>
    <w:rsid w:val="0016273F"/>
    <w:rsid w:val="001A1C8C"/>
    <w:rsid w:val="001A495D"/>
    <w:rsid w:val="001B6467"/>
    <w:rsid w:val="001C48A7"/>
    <w:rsid w:val="002076E6"/>
    <w:rsid w:val="00222463"/>
    <w:rsid w:val="00223EB1"/>
    <w:rsid w:val="00236917"/>
    <w:rsid w:val="00241465"/>
    <w:rsid w:val="00243D6B"/>
    <w:rsid w:val="00260FA1"/>
    <w:rsid w:val="0026793C"/>
    <w:rsid w:val="002758D7"/>
    <w:rsid w:val="00276954"/>
    <w:rsid w:val="002822BD"/>
    <w:rsid w:val="002A11FB"/>
    <w:rsid w:val="002B06E6"/>
    <w:rsid w:val="002C3AA1"/>
    <w:rsid w:val="002D271F"/>
    <w:rsid w:val="002D6386"/>
    <w:rsid w:val="002D7D13"/>
    <w:rsid w:val="002F1999"/>
    <w:rsid w:val="00303892"/>
    <w:rsid w:val="00305B35"/>
    <w:rsid w:val="003155A7"/>
    <w:rsid w:val="003155A8"/>
    <w:rsid w:val="003166C5"/>
    <w:rsid w:val="003242B9"/>
    <w:rsid w:val="0034671D"/>
    <w:rsid w:val="003723BB"/>
    <w:rsid w:val="003753C7"/>
    <w:rsid w:val="00376582"/>
    <w:rsid w:val="0038467B"/>
    <w:rsid w:val="00395311"/>
    <w:rsid w:val="003979FC"/>
    <w:rsid w:val="003D67FC"/>
    <w:rsid w:val="003F51B2"/>
    <w:rsid w:val="00406E5A"/>
    <w:rsid w:val="0041715E"/>
    <w:rsid w:val="0042619D"/>
    <w:rsid w:val="004363D1"/>
    <w:rsid w:val="00443110"/>
    <w:rsid w:val="00455B34"/>
    <w:rsid w:val="00481F02"/>
    <w:rsid w:val="0048762C"/>
    <w:rsid w:val="004B05D1"/>
    <w:rsid w:val="004B256F"/>
    <w:rsid w:val="004E769C"/>
    <w:rsid w:val="004F15A7"/>
    <w:rsid w:val="005113B6"/>
    <w:rsid w:val="00531817"/>
    <w:rsid w:val="00560CA0"/>
    <w:rsid w:val="005624F3"/>
    <w:rsid w:val="005811EF"/>
    <w:rsid w:val="00585156"/>
    <w:rsid w:val="005B0878"/>
    <w:rsid w:val="005B66CA"/>
    <w:rsid w:val="005C15C0"/>
    <w:rsid w:val="00610654"/>
    <w:rsid w:val="0062410D"/>
    <w:rsid w:val="006318B9"/>
    <w:rsid w:val="0067026C"/>
    <w:rsid w:val="006E2D49"/>
    <w:rsid w:val="007113CD"/>
    <w:rsid w:val="00712BE3"/>
    <w:rsid w:val="007468FC"/>
    <w:rsid w:val="00782F1B"/>
    <w:rsid w:val="00792CA3"/>
    <w:rsid w:val="007B2FDD"/>
    <w:rsid w:val="007D58FB"/>
    <w:rsid w:val="007E0574"/>
    <w:rsid w:val="00803501"/>
    <w:rsid w:val="008163BB"/>
    <w:rsid w:val="00832FB2"/>
    <w:rsid w:val="0083468A"/>
    <w:rsid w:val="00837827"/>
    <w:rsid w:val="00842D43"/>
    <w:rsid w:val="00845040"/>
    <w:rsid w:val="00856D1C"/>
    <w:rsid w:val="00867BDD"/>
    <w:rsid w:val="00876AC0"/>
    <w:rsid w:val="008E5219"/>
    <w:rsid w:val="008E5AC8"/>
    <w:rsid w:val="008E653B"/>
    <w:rsid w:val="008E773B"/>
    <w:rsid w:val="00903408"/>
    <w:rsid w:val="00905AD9"/>
    <w:rsid w:val="009111D6"/>
    <w:rsid w:val="009116EA"/>
    <w:rsid w:val="00931E30"/>
    <w:rsid w:val="00933671"/>
    <w:rsid w:val="009354FC"/>
    <w:rsid w:val="00956D3D"/>
    <w:rsid w:val="00971D09"/>
    <w:rsid w:val="00972BF7"/>
    <w:rsid w:val="00972DD5"/>
    <w:rsid w:val="00984879"/>
    <w:rsid w:val="00985632"/>
    <w:rsid w:val="00991B63"/>
    <w:rsid w:val="009B2428"/>
    <w:rsid w:val="009B5CB7"/>
    <w:rsid w:val="009C0EA3"/>
    <w:rsid w:val="009D3C4D"/>
    <w:rsid w:val="009F2578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91F6D"/>
    <w:rsid w:val="00AA464D"/>
    <w:rsid w:val="00AB0950"/>
    <w:rsid w:val="00AB2766"/>
    <w:rsid w:val="00AC65DA"/>
    <w:rsid w:val="00AD09E4"/>
    <w:rsid w:val="00AD522D"/>
    <w:rsid w:val="00AD5D0A"/>
    <w:rsid w:val="00AD635A"/>
    <w:rsid w:val="00AE68F0"/>
    <w:rsid w:val="00AF1737"/>
    <w:rsid w:val="00B00D12"/>
    <w:rsid w:val="00B03FEA"/>
    <w:rsid w:val="00B2722A"/>
    <w:rsid w:val="00B4243F"/>
    <w:rsid w:val="00B4447B"/>
    <w:rsid w:val="00B53214"/>
    <w:rsid w:val="00B60E3A"/>
    <w:rsid w:val="00B618BA"/>
    <w:rsid w:val="00B82137"/>
    <w:rsid w:val="00B95503"/>
    <w:rsid w:val="00BA282D"/>
    <w:rsid w:val="00BA4D57"/>
    <w:rsid w:val="00BA4FAE"/>
    <w:rsid w:val="00BB6260"/>
    <w:rsid w:val="00BE4F09"/>
    <w:rsid w:val="00BF0287"/>
    <w:rsid w:val="00BF6463"/>
    <w:rsid w:val="00C03B41"/>
    <w:rsid w:val="00C03C81"/>
    <w:rsid w:val="00C04949"/>
    <w:rsid w:val="00C05E74"/>
    <w:rsid w:val="00C10C19"/>
    <w:rsid w:val="00C143B8"/>
    <w:rsid w:val="00C17D02"/>
    <w:rsid w:val="00C27772"/>
    <w:rsid w:val="00C33682"/>
    <w:rsid w:val="00C52261"/>
    <w:rsid w:val="00C53131"/>
    <w:rsid w:val="00C5649C"/>
    <w:rsid w:val="00C61823"/>
    <w:rsid w:val="00C66021"/>
    <w:rsid w:val="00C75486"/>
    <w:rsid w:val="00C8202C"/>
    <w:rsid w:val="00C91576"/>
    <w:rsid w:val="00C92A5B"/>
    <w:rsid w:val="00CA46EC"/>
    <w:rsid w:val="00CA7C7F"/>
    <w:rsid w:val="00CB6EC3"/>
    <w:rsid w:val="00CE2AA2"/>
    <w:rsid w:val="00D02313"/>
    <w:rsid w:val="00D05B29"/>
    <w:rsid w:val="00D12BEB"/>
    <w:rsid w:val="00D1394D"/>
    <w:rsid w:val="00D27C2D"/>
    <w:rsid w:val="00D47740"/>
    <w:rsid w:val="00D51B3A"/>
    <w:rsid w:val="00D812B9"/>
    <w:rsid w:val="00D903FD"/>
    <w:rsid w:val="00D94BC5"/>
    <w:rsid w:val="00D96C08"/>
    <w:rsid w:val="00DC3052"/>
    <w:rsid w:val="00DD022D"/>
    <w:rsid w:val="00DE5F75"/>
    <w:rsid w:val="00DF46C4"/>
    <w:rsid w:val="00DF4CA3"/>
    <w:rsid w:val="00E02515"/>
    <w:rsid w:val="00E12873"/>
    <w:rsid w:val="00E15C96"/>
    <w:rsid w:val="00E1604B"/>
    <w:rsid w:val="00E2102F"/>
    <w:rsid w:val="00E75A27"/>
    <w:rsid w:val="00E763A6"/>
    <w:rsid w:val="00E76FB7"/>
    <w:rsid w:val="00EC22C1"/>
    <w:rsid w:val="00EC78E7"/>
    <w:rsid w:val="00ED43D2"/>
    <w:rsid w:val="00EE3B8C"/>
    <w:rsid w:val="00EF25D6"/>
    <w:rsid w:val="00EF4A38"/>
    <w:rsid w:val="00EF5845"/>
    <w:rsid w:val="00F004D1"/>
    <w:rsid w:val="00F11B8F"/>
    <w:rsid w:val="00F21BBD"/>
    <w:rsid w:val="00F32E65"/>
    <w:rsid w:val="00F379D0"/>
    <w:rsid w:val="00F47193"/>
    <w:rsid w:val="00F501B4"/>
    <w:rsid w:val="00F56615"/>
    <w:rsid w:val="00F72A97"/>
    <w:rsid w:val="00F74011"/>
    <w:rsid w:val="00F76175"/>
    <w:rsid w:val="00F80CFC"/>
    <w:rsid w:val="00F80DCB"/>
    <w:rsid w:val="00F958AE"/>
    <w:rsid w:val="00F97875"/>
    <w:rsid w:val="00FB10CB"/>
    <w:rsid w:val="00FB365C"/>
    <w:rsid w:val="00FC522B"/>
    <w:rsid w:val="00FC58D8"/>
    <w:rsid w:val="00FC5F71"/>
    <w:rsid w:val="00FD4147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F0287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a0bbd5-585e-4472-9791-5df67fe41a90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A992B-4819-418C-A7B2-03392093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Jill Thomas</cp:lastModifiedBy>
  <cp:revision>3</cp:revision>
  <cp:lastPrinted>2019-04-05T00:43:00Z</cp:lastPrinted>
  <dcterms:created xsi:type="dcterms:W3CDTF">2019-04-09T23:14:00Z</dcterms:created>
  <dcterms:modified xsi:type="dcterms:W3CDTF">2019-04-09T23:14:00Z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