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77025" w14:textId="77777777" w:rsidR="00AE7C8A" w:rsidRPr="00AD7A33" w:rsidRDefault="000474D6" w:rsidP="00AE7C8A">
      <w:pPr>
        <w:pStyle w:val="Heading1"/>
        <w:rPr>
          <w:rFonts w:ascii="ArialMT" w:hAnsi="ArialMT" w:cs="ArialMT"/>
          <w:sz w:val="28"/>
          <w:szCs w:val="28"/>
        </w:rPr>
      </w:pPr>
      <w:r w:rsidRPr="00AD7A33">
        <w:rPr>
          <w:rFonts w:ascii="ArialMT" w:hAnsi="ArialMT" w:cs="ArialMT"/>
          <w:sz w:val="28"/>
          <w:szCs w:val="28"/>
        </w:rPr>
        <w:t>Department of E</w:t>
      </w:r>
      <w:r w:rsidR="00AE7C8A" w:rsidRPr="00AD7A33">
        <w:rPr>
          <w:rFonts w:ascii="ArialMT" w:hAnsi="ArialMT" w:cs="ArialMT"/>
          <w:sz w:val="28"/>
          <w:szCs w:val="28"/>
        </w:rPr>
        <w:t>ducation, Skills and Employment</w:t>
      </w:r>
    </w:p>
    <w:p w14:paraId="0D0600D4" w14:textId="77777777" w:rsidR="00AE7C8A" w:rsidRPr="00AD7A33" w:rsidRDefault="000474D6" w:rsidP="00AE7C8A">
      <w:pPr>
        <w:pStyle w:val="Heading1"/>
        <w:rPr>
          <w:rFonts w:ascii="ArialMT" w:hAnsi="ArialMT" w:cs="ArialMT"/>
          <w:sz w:val="28"/>
          <w:szCs w:val="28"/>
        </w:rPr>
      </w:pPr>
      <w:r w:rsidRPr="00AD7A33">
        <w:rPr>
          <w:rFonts w:ascii="ArialMT" w:hAnsi="ArialMT" w:cs="ArialMT"/>
          <w:sz w:val="28"/>
          <w:szCs w:val="28"/>
        </w:rPr>
        <w:t>Feedback on th</w:t>
      </w:r>
      <w:r w:rsidR="00AE7C8A" w:rsidRPr="00AD7A33">
        <w:rPr>
          <w:rFonts w:ascii="ArialMT" w:hAnsi="ArialMT" w:cs="ArialMT"/>
          <w:sz w:val="28"/>
          <w:szCs w:val="28"/>
        </w:rPr>
        <w:t>e Mitchell Institute’s Report:</w:t>
      </w:r>
      <w:bookmarkStart w:id="0" w:name="_GoBack"/>
      <w:bookmarkEnd w:id="0"/>
    </w:p>
    <w:p w14:paraId="3A5A8022" w14:textId="77777777" w:rsidR="000474D6" w:rsidRPr="00AD7A33" w:rsidRDefault="000474D6" w:rsidP="00AE7C8A">
      <w:pPr>
        <w:pStyle w:val="Heading1"/>
        <w:rPr>
          <w:rFonts w:ascii="ArialMT" w:hAnsi="ArialMT" w:cs="ArialMT"/>
          <w:sz w:val="28"/>
          <w:szCs w:val="28"/>
        </w:rPr>
      </w:pPr>
      <w:r w:rsidRPr="00AD7A33">
        <w:rPr>
          <w:rFonts w:ascii="ArialMT" w:hAnsi="ArialMT" w:cs="ArialMT"/>
          <w:sz w:val="28"/>
          <w:szCs w:val="28"/>
        </w:rPr>
        <w:t>Australian Investment in Education: Ear</w:t>
      </w:r>
      <w:r w:rsidR="00AE7C8A" w:rsidRPr="00AD7A33">
        <w:rPr>
          <w:rFonts w:ascii="ArialMT" w:hAnsi="ArialMT" w:cs="ArialMT"/>
          <w:sz w:val="28"/>
          <w:szCs w:val="28"/>
        </w:rPr>
        <w:t>ly Childhood Education and Care</w:t>
      </w:r>
    </w:p>
    <w:p w14:paraId="3CF27E41" w14:textId="77777777" w:rsidR="000474D6" w:rsidRPr="000474D6" w:rsidRDefault="000474D6" w:rsidP="000474D6"/>
    <w:p w14:paraId="3DE25EA7" w14:textId="77777777" w:rsidR="000474D6" w:rsidRPr="00286D21" w:rsidRDefault="000474D6" w:rsidP="00A43A7E">
      <w:r w:rsidRPr="00286D21">
        <w:t xml:space="preserve">The Department of Education, Skills and Employment (the Department) </w:t>
      </w:r>
      <w:r w:rsidR="00575676" w:rsidRPr="00286D21">
        <w:t xml:space="preserve">welcomes the Mitchell Institute’s Report </w:t>
      </w:r>
      <w:r w:rsidR="005057F2" w:rsidRPr="00286D21">
        <w:t>Australian Investment in Education: Early Childhood Education and Care</w:t>
      </w:r>
      <w:r w:rsidRPr="00286D21">
        <w:t>, which was published on 16 February 2020.</w:t>
      </w:r>
    </w:p>
    <w:p w14:paraId="3055FABF" w14:textId="2CF77420" w:rsidR="00575676" w:rsidRPr="00286D21" w:rsidRDefault="000474D6" w:rsidP="00A43A7E">
      <w:r w:rsidRPr="00286D21">
        <w:t xml:space="preserve">However, there are </w:t>
      </w:r>
      <w:proofErr w:type="gramStart"/>
      <w:r w:rsidRPr="00286D21">
        <w:t>a number of</w:t>
      </w:r>
      <w:proofErr w:type="gramEnd"/>
      <w:r w:rsidRPr="00286D21">
        <w:t xml:space="preserve"> inaccuracies with the report, which the Department has communicated to the Mitchell Institute. The Department looks forward to continuing to work with the Mitchell Institute in relation to amending the report.</w:t>
      </w:r>
    </w:p>
    <w:p w14:paraId="00743E55" w14:textId="79F87605" w:rsidR="001861A7" w:rsidRPr="00286D21" w:rsidRDefault="001861A7" w:rsidP="001861A7">
      <w:pPr>
        <w:autoSpaceDE w:val="0"/>
        <w:autoSpaceDN w:val="0"/>
        <w:adjustRightInd w:val="0"/>
        <w:spacing w:after="0" w:line="240" w:lineRule="auto"/>
        <w:rPr>
          <w:rFonts w:cstheme="minorHAnsi"/>
          <w:b/>
          <w:u w:val="single"/>
        </w:rPr>
      </w:pPr>
      <w:r w:rsidRPr="00286D21">
        <w:rPr>
          <w:rFonts w:cstheme="minorHAnsi"/>
          <w:b/>
          <w:u w:val="single"/>
        </w:rPr>
        <w:t xml:space="preserve">The Mitchell Institute Report stated: </w:t>
      </w:r>
    </w:p>
    <w:p w14:paraId="0687FA41" w14:textId="77777777" w:rsidR="00A04464" w:rsidRPr="00286D21" w:rsidRDefault="00A04464" w:rsidP="00107F88">
      <w:pPr>
        <w:autoSpaceDE w:val="0"/>
        <w:autoSpaceDN w:val="0"/>
        <w:adjustRightInd w:val="0"/>
        <w:spacing w:after="0" w:line="240" w:lineRule="auto"/>
        <w:rPr>
          <w:rFonts w:cstheme="minorHAnsi"/>
          <w:b/>
        </w:rPr>
      </w:pPr>
      <w:r w:rsidRPr="00286D21">
        <w:rPr>
          <w:rFonts w:cstheme="minorHAnsi"/>
          <w:b/>
        </w:rPr>
        <w:t xml:space="preserve">“In 2018, government investment in ECEC fell for the first time in at least a decade.” </w:t>
      </w:r>
      <w:r w:rsidR="00107F88" w:rsidRPr="00286D21">
        <w:rPr>
          <w:rFonts w:cstheme="minorHAnsi"/>
          <w:b/>
        </w:rPr>
        <w:t xml:space="preserve"> Page </w:t>
      </w:r>
      <w:r w:rsidRPr="00286D21">
        <w:rPr>
          <w:rFonts w:cstheme="minorHAnsi"/>
          <w:b/>
        </w:rPr>
        <w:t>3</w:t>
      </w:r>
    </w:p>
    <w:p w14:paraId="29984C02" w14:textId="77777777" w:rsidR="00A04464" w:rsidRPr="00286D21" w:rsidRDefault="00A04464" w:rsidP="00A04464">
      <w:pPr>
        <w:autoSpaceDE w:val="0"/>
        <w:autoSpaceDN w:val="0"/>
        <w:adjustRightInd w:val="0"/>
        <w:spacing w:after="0" w:line="240" w:lineRule="auto"/>
        <w:rPr>
          <w:rFonts w:cstheme="minorHAnsi"/>
          <w:b/>
        </w:rPr>
      </w:pPr>
      <w:r w:rsidRPr="00286D21">
        <w:rPr>
          <w:rFonts w:cstheme="minorHAnsi"/>
          <w:b/>
        </w:rPr>
        <w:t>“These figures show that total government investment in ECEC has been rising steadily since 2008 and peaked in 2017. However, in 2018, expenditure in ECEC fell slightly, most likely due to the introduction of the new Child Care Subsidy</w:t>
      </w:r>
      <w:proofErr w:type="gramStart"/>
      <w:r w:rsidRPr="00286D21">
        <w:rPr>
          <w:rFonts w:cstheme="minorHAnsi"/>
          <w:b/>
        </w:rPr>
        <w:t>.”</w:t>
      </w:r>
      <w:r w:rsidR="003A0BE0" w:rsidRPr="00286D21">
        <w:rPr>
          <w:rFonts w:cstheme="minorHAnsi"/>
          <w:b/>
        </w:rPr>
        <w:t>(</w:t>
      </w:r>
      <w:proofErr w:type="gramEnd"/>
      <w:r w:rsidRPr="00286D21">
        <w:rPr>
          <w:rFonts w:cstheme="minorHAnsi"/>
          <w:b/>
        </w:rPr>
        <w:t>P</w:t>
      </w:r>
      <w:r w:rsidR="00107F88" w:rsidRPr="00286D21">
        <w:rPr>
          <w:rFonts w:cstheme="minorHAnsi"/>
          <w:b/>
        </w:rPr>
        <w:t>a</w:t>
      </w:r>
      <w:r w:rsidRPr="00286D21">
        <w:rPr>
          <w:rFonts w:cstheme="minorHAnsi"/>
          <w:b/>
        </w:rPr>
        <w:t>g</w:t>
      </w:r>
      <w:r w:rsidR="00107F88" w:rsidRPr="00286D21">
        <w:rPr>
          <w:rFonts w:cstheme="minorHAnsi"/>
          <w:b/>
        </w:rPr>
        <w:t>e</w:t>
      </w:r>
      <w:r w:rsidRPr="00286D21">
        <w:rPr>
          <w:rFonts w:cstheme="minorHAnsi"/>
          <w:b/>
        </w:rPr>
        <w:t xml:space="preserve"> 6</w:t>
      </w:r>
      <w:r w:rsidR="003A0BE0" w:rsidRPr="00286D21">
        <w:rPr>
          <w:rFonts w:cstheme="minorHAnsi"/>
          <w:b/>
        </w:rPr>
        <w:t>)</w:t>
      </w:r>
    </w:p>
    <w:p w14:paraId="7B409CFA" w14:textId="77777777" w:rsidR="009E46C1" w:rsidRPr="00286D21" w:rsidRDefault="009E46C1" w:rsidP="009E46C1">
      <w:pPr>
        <w:spacing w:after="0" w:line="240" w:lineRule="auto"/>
        <w:rPr>
          <w:rFonts w:cstheme="minorHAnsi"/>
          <w:u w:val="single"/>
        </w:rPr>
      </w:pPr>
    </w:p>
    <w:p w14:paraId="2D867C11" w14:textId="32FBA6F4" w:rsidR="006333F4" w:rsidRPr="00286D21" w:rsidRDefault="006333F4" w:rsidP="006333F4">
      <w:pPr>
        <w:rPr>
          <w:rFonts w:cstheme="minorHAnsi"/>
          <w:u w:val="single"/>
        </w:rPr>
      </w:pPr>
      <w:r w:rsidRPr="00286D21">
        <w:rPr>
          <w:rFonts w:cstheme="minorHAnsi"/>
          <w:u w:val="single"/>
        </w:rPr>
        <w:t xml:space="preserve">Department’s Recommended Revision </w:t>
      </w:r>
    </w:p>
    <w:p w14:paraId="412420B5" w14:textId="6D3CEA0C" w:rsidR="00A04464" w:rsidRPr="00286D21" w:rsidRDefault="008A26DF" w:rsidP="00A04464">
      <w:pPr>
        <w:autoSpaceDE w:val="0"/>
        <w:autoSpaceDN w:val="0"/>
        <w:adjustRightInd w:val="0"/>
        <w:spacing w:after="0" w:line="240" w:lineRule="auto"/>
        <w:rPr>
          <w:rFonts w:cstheme="minorHAnsi"/>
        </w:rPr>
      </w:pPr>
      <w:r w:rsidRPr="00286D21" w:rsidDel="008A26DF">
        <w:rPr>
          <w:rFonts w:cstheme="minorHAnsi"/>
        </w:rPr>
        <w:t xml:space="preserve"> </w:t>
      </w:r>
      <w:r w:rsidR="00A04464" w:rsidRPr="00286D21">
        <w:rPr>
          <w:rFonts w:cstheme="minorHAnsi"/>
        </w:rPr>
        <w:t xml:space="preserve">“These figures show that total government investment in ECEC has been rising steadily since 2008 and peaked in 2017. However, in 2018, expenditure in ECEC fell slightly </w:t>
      </w:r>
      <w:r w:rsidR="00A04464" w:rsidRPr="00286D21">
        <w:rPr>
          <w:rFonts w:cstheme="minorHAnsi"/>
          <w:b/>
        </w:rPr>
        <w:t>due to the impact of compliance measures in the family day care sector</w:t>
      </w:r>
      <w:r w:rsidR="00A04464" w:rsidRPr="00286D21">
        <w:rPr>
          <w:rFonts w:cstheme="minorHAnsi"/>
        </w:rPr>
        <w:t xml:space="preserve">.” </w:t>
      </w:r>
    </w:p>
    <w:p w14:paraId="2207A0DD" w14:textId="77777777" w:rsidR="006333F4" w:rsidRPr="00286D21" w:rsidRDefault="006333F4" w:rsidP="00A04464">
      <w:pPr>
        <w:autoSpaceDE w:val="0"/>
        <w:autoSpaceDN w:val="0"/>
        <w:adjustRightInd w:val="0"/>
        <w:spacing w:after="0" w:line="240" w:lineRule="auto"/>
        <w:rPr>
          <w:rFonts w:cstheme="minorHAnsi"/>
        </w:rPr>
      </w:pPr>
    </w:p>
    <w:p w14:paraId="19B30159" w14:textId="77777777" w:rsidR="006333F4" w:rsidRPr="00286D21" w:rsidRDefault="006333F4" w:rsidP="006333F4">
      <w:pPr>
        <w:rPr>
          <w:rFonts w:cstheme="minorHAnsi"/>
          <w:u w:val="single"/>
        </w:rPr>
      </w:pPr>
      <w:r w:rsidRPr="00286D21">
        <w:rPr>
          <w:rFonts w:cstheme="minorHAnsi"/>
          <w:u w:val="single"/>
        </w:rPr>
        <w:t xml:space="preserve">Department’s Explanation </w:t>
      </w:r>
    </w:p>
    <w:p w14:paraId="094D6A6C" w14:textId="5B0FC678" w:rsidR="009E46C1" w:rsidRPr="00286D21" w:rsidRDefault="006333F4" w:rsidP="009E46C1">
      <w:pPr>
        <w:rPr>
          <w:rFonts w:cstheme="minorHAnsi"/>
        </w:rPr>
      </w:pPr>
      <w:r w:rsidRPr="00286D21">
        <w:rPr>
          <w:rFonts w:cstheme="minorHAnsi"/>
        </w:rPr>
        <w:t>The attribution of the slight decrease in funding in 2017-18 to the introduction of the Child Care Subsidy (CCS) is incorrect. CCS was</w:t>
      </w:r>
      <w:r w:rsidR="003A0BE0" w:rsidRPr="00286D21">
        <w:rPr>
          <w:rFonts w:cstheme="minorHAnsi"/>
        </w:rPr>
        <w:t xml:space="preserve"> not introduced until 2018-19. </w:t>
      </w:r>
      <w:r w:rsidRPr="00286D21">
        <w:rPr>
          <w:rFonts w:cstheme="minorHAnsi"/>
        </w:rPr>
        <w:t>This decrease is due to the impact of compliance measures in the family day care sector.</w:t>
      </w:r>
    </w:p>
    <w:p w14:paraId="68845F3C" w14:textId="77777777" w:rsidR="001861A7" w:rsidRPr="00286D21" w:rsidRDefault="001861A7" w:rsidP="001861A7">
      <w:pPr>
        <w:autoSpaceDE w:val="0"/>
        <w:autoSpaceDN w:val="0"/>
        <w:adjustRightInd w:val="0"/>
        <w:spacing w:after="0" w:line="240" w:lineRule="auto"/>
        <w:rPr>
          <w:rFonts w:cstheme="minorHAnsi"/>
          <w:b/>
          <w:u w:val="single"/>
        </w:rPr>
      </w:pPr>
      <w:r w:rsidRPr="00286D21">
        <w:rPr>
          <w:rFonts w:cstheme="minorHAnsi"/>
          <w:b/>
          <w:u w:val="single"/>
        </w:rPr>
        <w:t xml:space="preserve">The Mitchell Institute Report stated: </w:t>
      </w:r>
    </w:p>
    <w:p w14:paraId="39467696" w14:textId="77777777" w:rsidR="00A04464" w:rsidRPr="00286D21" w:rsidRDefault="00843564" w:rsidP="00A04464">
      <w:pPr>
        <w:autoSpaceDE w:val="0"/>
        <w:autoSpaceDN w:val="0"/>
        <w:adjustRightInd w:val="0"/>
        <w:spacing w:after="0" w:line="240" w:lineRule="auto"/>
        <w:rPr>
          <w:rFonts w:cstheme="minorHAnsi"/>
          <w:b/>
        </w:rPr>
      </w:pPr>
      <w:r w:rsidRPr="00286D21">
        <w:rPr>
          <w:rFonts w:cstheme="minorHAnsi"/>
          <w:b/>
        </w:rPr>
        <w:t>“</w:t>
      </w:r>
      <w:r w:rsidR="00A04464" w:rsidRPr="00286D21">
        <w:rPr>
          <w:rFonts w:cstheme="minorHAnsi"/>
          <w:b/>
        </w:rPr>
        <w:t>The Child Care Subsidy redistributed government support with a greater emphasis on supporting low and middle-income families. Research has shown mixed effects of the subsidy, with many lower income families reporting a decline in child care costs, but a greater proportion of families r</w:t>
      </w:r>
      <w:r w:rsidRPr="00286D21">
        <w:rPr>
          <w:rFonts w:cstheme="minorHAnsi"/>
          <w:b/>
        </w:rPr>
        <w:t>e</w:t>
      </w:r>
      <w:r w:rsidR="00A04464" w:rsidRPr="00286D21">
        <w:rPr>
          <w:rFonts w:cstheme="minorHAnsi"/>
          <w:b/>
        </w:rPr>
        <w:t>porting an increase</w:t>
      </w:r>
      <w:r w:rsidRPr="00286D21">
        <w:rPr>
          <w:rFonts w:cstheme="minorHAnsi"/>
          <w:b/>
        </w:rPr>
        <w:t>”</w:t>
      </w:r>
      <w:r w:rsidR="00A04464" w:rsidRPr="00286D21">
        <w:rPr>
          <w:rFonts w:cstheme="minorHAnsi"/>
          <w:b/>
        </w:rPr>
        <w:t xml:space="preserve"> (Baxter et al., 2019). </w:t>
      </w:r>
      <w:r w:rsidR="003A0BE0" w:rsidRPr="00286D21">
        <w:rPr>
          <w:rFonts w:cstheme="minorHAnsi"/>
          <w:b/>
        </w:rPr>
        <w:t>(</w:t>
      </w:r>
      <w:r w:rsidR="00A04464" w:rsidRPr="00286D21">
        <w:rPr>
          <w:rFonts w:cstheme="minorHAnsi"/>
          <w:b/>
        </w:rPr>
        <w:t>P</w:t>
      </w:r>
      <w:r w:rsidR="00107F88" w:rsidRPr="00286D21">
        <w:rPr>
          <w:rFonts w:cstheme="minorHAnsi"/>
          <w:b/>
        </w:rPr>
        <w:t>age</w:t>
      </w:r>
      <w:r w:rsidR="00A04464" w:rsidRPr="00286D21">
        <w:rPr>
          <w:rFonts w:cstheme="minorHAnsi"/>
          <w:b/>
        </w:rPr>
        <w:t xml:space="preserve"> 6</w:t>
      </w:r>
      <w:r w:rsidR="003A0BE0" w:rsidRPr="00286D21">
        <w:rPr>
          <w:rFonts w:cstheme="minorHAnsi"/>
          <w:b/>
        </w:rPr>
        <w:t>)</w:t>
      </w:r>
    </w:p>
    <w:p w14:paraId="6B772509" w14:textId="77777777" w:rsidR="009E46C1" w:rsidRPr="00286D21" w:rsidRDefault="009E46C1" w:rsidP="009E46C1">
      <w:pPr>
        <w:spacing w:after="0" w:line="240" w:lineRule="auto"/>
        <w:rPr>
          <w:rFonts w:cstheme="minorHAnsi"/>
          <w:u w:val="single"/>
        </w:rPr>
      </w:pPr>
    </w:p>
    <w:p w14:paraId="3DA3CF5E" w14:textId="77777777" w:rsidR="00CE29AC" w:rsidRPr="00286D21" w:rsidRDefault="00CE29AC" w:rsidP="00CE29AC">
      <w:pPr>
        <w:rPr>
          <w:rFonts w:cstheme="minorHAnsi"/>
          <w:u w:val="single"/>
        </w:rPr>
      </w:pPr>
      <w:r w:rsidRPr="00286D21">
        <w:rPr>
          <w:rFonts w:cstheme="minorHAnsi"/>
          <w:u w:val="single"/>
        </w:rPr>
        <w:t xml:space="preserve">Department’s Recommended Revision </w:t>
      </w:r>
    </w:p>
    <w:p w14:paraId="505730D9" w14:textId="77777777" w:rsidR="00CE29AC" w:rsidRPr="00286D21" w:rsidRDefault="00CE29AC" w:rsidP="009E46C1">
      <w:pPr>
        <w:spacing w:after="0" w:line="240" w:lineRule="auto"/>
        <w:rPr>
          <w:rFonts w:cstheme="minorHAnsi"/>
        </w:rPr>
      </w:pPr>
      <w:r w:rsidRPr="00286D21">
        <w:rPr>
          <w:rFonts w:cstheme="minorHAnsi"/>
        </w:rPr>
        <w:t>“The Child Care Subsidy redistributed government support with a greater emphasis on supporting low and middle-income families. Departmental data indicates that 90% of families receive a subsidy rate of between 50% and 85% of their hourly fee (up to the hourly rate cap). The December 2019 quarter ABS CPI data shows that out-of-pocket child care costs remain 4.2 per cent lower than their peak in the June 2018 quarter.”</w:t>
      </w:r>
    </w:p>
    <w:p w14:paraId="741D2CD5" w14:textId="77777777" w:rsidR="009E46C1" w:rsidRPr="00286D21" w:rsidRDefault="009E46C1" w:rsidP="009E46C1">
      <w:pPr>
        <w:spacing w:after="0" w:line="240" w:lineRule="auto"/>
        <w:rPr>
          <w:rFonts w:cstheme="minorHAnsi"/>
          <w:u w:val="single"/>
        </w:rPr>
      </w:pPr>
    </w:p>
    <w:p w14:paraId="3BF9DDA8" w14:textId="77777777" w:rsidR="00CE29AC" w:rsidRPr="00286D21" w:rsidRDefault="00CE29AC" w:rsidP="00CE29AC">
      <w:pPr>
        <w:rPr>
          <w:rFonts w:cstheme="minorHAnsi"/>
          <w:u w:val="single"/>
        </w:rPr>
      </w:pPr>
      <w:r w:rsidRPr="00286D21">
        <w:rPr>
          <w:rFonts w:cstheme="minorHAnsi"/>
          <w:u w:val="single"/>
        </w:rPr>
        <w:t xml:space="preserve">Department’s Explanation </w:t>
      </w:r>
    </w:p>
    <w:p w14:paraId="2F6291A0" w14:textId="606E1F48" w:rsidR="009E46C1" w:rsidRPr="00286D21" w:rsidRDefault="009C4495" w:rsidP="009E46C1">
      <w:pPr>
        <w:rPr>
          <w:rFonts w:cstheme="minorHAnsi"/>
        </w:rPr>
      </w:pPr>
      <w:r w:rsidRPr="00286D21">
        <w:rPr>
          <w:rFonts w:cstheme="minorHAnsi"/>
        </w:rPr>
        <w:t xml:space="preserve">The December </w:t>
      </w:r>
      <w:r w:rsidR="009C74A5" w:rsidRPr="00286D21">
        <w:rPr>
          <w:rFonts w:cstheme="minorHAnsi"/>
        </w:rPr>
        <w:t xml:space="preserve">2019 </w:t>
      </w:r>
      <w:r w:rsidRPr="00286D21">
        <w:rPr>
          <w:rFonts w:cstheme="minorHAnsi"/>
        </w:rPr>
        <w:t xml:space="preserve">quarter ABS CPI data shows that out-of-pocket child care costs remain 4.2 per cent lower than their peak in the June </w:t>
      </w:r>
      <w:r w:rsidR="009C74A5" w:rsidRPr="00286D21">
        <w:rPr>
          <w:rFonts w:cstheme="minorHAnsi"/>
        </w:rPr>
        <w:t xml:space="preserve">2018 </w:t>
      </w:r>
      <w:r w:rsidRPr="00286D21">
        <w:rPr>
          <w:rFonts w:cstheme="minorHAnsi"/>
        </w:rPr>
        <w:t xml:space="preserve">quarter (prior to the commencement of CCS). Data on out–of-pocket costs published in the 2020 </w:t>
      </w:r>
      <w:proofErr w:type="spellStart"/>
      <w:r w:rsidRPr="00286D21">
        <w:rPr>
          <w:rFonts w:cstheme="minorHAnsi"/>
        </w:rPr>
        <w:t>RoGS</w:t>
      </w:r>
      <w:proofErr w:type="spellEnd"/>
      <w:r w:rsidRPr="00286D21">
        <w:rPr>
          <w:rFonts w:cstheme="minorHAnsi"/>
        </w:rPr>
        <w:t xml:space="preserve"> demonstrates an increase in affordability for low income families (while not specified in the report, this is likely to include families on incomes up to $75,000). Departmental data indicates that 90% of families receive a subsidy rate of between 50% and 85% of their hourly fee (up to the hourly rate cap).</w:t>
      </w:r>
    </w:p>
    <w:p w14:paraId="0FE3880E" w14:textId="77777777" w:rsidR="001861A7" w:rsidRPr="00286D21" w:rsidRDefault="001861A7" w:rsidP="001861A7">
      <w:pPr>
        <w:autoSpaceDE w:val="0"/>
        <w:autoSpaceDN w:val="0"/>
        <w:adjustRightInd w:val="0"/>
        <w:spacing w:after="0" w:line="240" w:lineRule="auto"/>
        <w:rPr>
          <w:rFonts w:cstheme="minorHAnsi"/>
          <w:b/>
          <w:u w:val="single"/>
        </w:rPr>
      </w:pPr>
      <w:r w:rsidRPr="00286D21">
        <w:rPr>
          <w:rFonts w:cstheme="minorHAnsi"/>
          <w:b/>
          <w:u w:val="single"/>
        </w:rPr>
        <w:t xml:space="preserve">The Mitchell Institute Report stated: </w:t>
      </w:r>
    </w:p>
    <w:p w14:paraId="26E74D97" w14:textId="77777777" w:rsidR="009C4495" w:rsidRPr="00286D21" w:rsidRDefault="00BD0BFD" w:rsidP="009C4495">
      <w:pPr>
        <w:autoSpaceDE w:val="0"/>
        <w:autoSpaceDN w:val="0"/>
        <w:adjustRightInd w:val="0"/>
        <w:spacing w:after="0" w:line="240" w:lineRule="auto"/>
        <w:rPr>
          <w:rFonts w:cstheme="minorHAnsi"/>
          <w:b/>
        </w:rPr>
      </w:pPr>
      <w:r w:rsidRPr="00286D21">
        <w:rPr>
          <w:rFonts w:cstheme="minorHAnsi"/>
          <w:b/>
        </w:rPr>
        <w:lastRenderedPageBreak/>
        <w:t>“</w:t>
      </w:r>
      <w:r w:rsidR="009C4495" w:rsidRPr="00286D21">
        <w:rPr>
          <w:rFonts w:cstheme="minorHAnsi"/>
          <w:b/>
        </w:rPr>
        <w:t>These figures also show that in terms of size, the Australian Government dominates total investment, accounting for 82% of recorded ECEC expenditure in 2018. This expenditure occurs mainly through various subsidies for child care services (all types of ECEC except preschool).</w:t>
      </w:r>
      <w:r w:rsidRPr="00286D21">
        <w:rPr>
          <w:rFonts w:cstheme="minorHAnsi"/>
          <w:b/>
        </w:rPr>
        <w:t>”</w:t>
      </w:r>
      <w:r w:rsidR="009C4495" w:rsidRPr="00286D21">
        <w:rPr>
          <w:rFonts w:cstheme="minorHAnsi"/>
          <w:b/>
        </w:rPr>
        <w:t xml:space="preserve"> (</w:t>
      </w:r>
      <w:r w:rsidR="003A0BE0" w:rsidRPr="00286D21">
        <w:rPr>
          <w:rFonts w:cstheme="minorHAnsi"/>
          <w:b/>
        </w:rPr>
        <w:t>P</w:t>
      </w:r>
      <w:r w:rsidR="009C4495" w:rsidRPr="00286D21">
        <w:rPr>
          <w:rFonts w:cstheme="minorHAnsi"/>
          <w:b/>
        </w:rPr>
        <w:t>age 6)</w:t>
      </w:r>
    </w:p>
    <w:p w14:paraId="27E7BCBD" w14:textId="77777777" w:rsidR="009E46C1" w:rsidRPr="00286D21" w:rsidRDefault="009E46C1" w:rsidP="009E46C1">
      <w:pPr>
        <w:spacing w:after="0" w:line="240" w:lineRule="auto"/>
        <w:rPr>
          <w:rFonts w:cstheme="minorHAnsi"/>
          <w:u w:val="single"/>
        </w:rPr>
      </w:pPr>
    </w:p>
    <w:p w14:paraId="7A79496A" w14:textId="77777777" w:rsidR="00CE29AC" w:rsidRPr="00286D21" w:rsidRDefault="00CE29AC" w:rsidP="00CE29AC">
      <w:pPr>
        <w:rPr>
          <w:rFonts w:cstheme="minorHAnsi"/>
          <w:u w:val="single"/>
        </w:rPr>
      </w:pPr>
      <w:r w:rsidRPr="00286D21">
        <w:rPr>
          <w:rFonts w:cstheme="minorHAnsi"/>
          <w:u w:val="single"/>
        </w:rPr>
        <w:t xml:space="preserve">Department’s Recommended Revision </w:t>
      </w:r>
    </w:p>
    <w:p w14:paraId="1A026624" w14:textId="77777777" w:rsidR="00CE29AC" w:rsidRPr="00286D21" w:rsidRDefault="00CE29AC" w:rsidP="009E46C1">
      <w:pPr>
        <w:spacing w:after="0" w:line="240" w:lineRule="auto"/>
        <w:rPr>
          <w:rFonts w:cstheme="minorHAnsi"/>
        </w:rPr>
      </w:pPr>
      <w:r w:rsidRPr="00286D21">
        <w:rPr>
          <w:rFonts w:cstheme="minorHAnsi"/>
        </w:rPr>
        <w:t>“These figures also show that in terms of size, the Australian Government dominated total investment in ECEC in 2017-18. This expenditure occurs mainly through various subsidies for child care services and the provision of preschool funding to the states under the Universal Access National Partnership.”</w:t>
      </w:r>
    </w:p>
    <w:p w14:paraId="1ECE5EEF" w14:textId="77777777" w:rsidR="009E46C1" w:rsidRPr="00286D21" w:rsidRDefault="009E46C1" w:rsidP="009E46C1">
      <w:pPr>
        <w:spacing w:after="0" w:line="240" w:lineRule="auto"/>
        <w:rPr>
          <w:rFonts w:cstheme="minorHAnsi"/>
          <w:u w:val="single"/>
        </w:rPr>
      </w:pPr>
    </w:p>
    <w:p w14:paraId="691525A7" w14:textId="77777777" w:rsidR="00CE29AC" w:rsidRPr="00286D21" w:rsidRDefault="00CE29AC" w:rsidP="00CE29AC">
      <w:pPr>
        <w:rPr>
          <w:rFonts w:cstheme="minorHAnsi"/>
          <w:u w:val="single"/>
        </w:rPr>
      </w:pPr>
      <w:r w:rsidRPr="00286D21">
        <w:rPr>
          <w:rFonts w:cstheme="minorHAnsi"/>
          <w:u w:val="single"/>
        </w:rPr>
        <w:t xml:space="preserve">Department’s Explanation </w:t>
      </w:r>
    </w:p>
    <w:p w14:paraId="5397F73C" w14:textId="2AEED413" w:rsidR="009E46C1" w:rsidRPr="00286D21" w:rsidRDefault="009C4495" w:rsidP="009C4495">
      <w:pPr>
        <w:rPr>
          <w:rFonts w:cstheme="minorHAnsi"/>
        </w:rPr>
      </w:pPr>
      <w:r w:rsidRPr="00286D21">
        <w:rPr>
          <w:rFonts w:cstheme="minorHAnsi"/>
        </w:rPr>
        <w:t xml:space="preserve">The proportion of 82% quoted in the report is incorrect. For the purposes of </w:t>
      </w:r>
      <w:proofErr w:type="spellStart"/>
      <w:r w:rsidRPr="00286D21">
        <w:rPr>
          <w:rFonts w:cstheme="minorHAnsi"/>
        </w:rPr>
        <w:t>RoGS</w:t>
      </w:r>
      <w:proofErr w:type="spellEnd"/>
      <w:r w:rsidRPr="00286D21">
        <w:rPr>
          <w:rFonts w:cstheme="minorHAnsi"/>
        </w:rPr>
        <w:t xml:space="preserve"> reporting, the </w:t>
      </w:r>
      <w:r w:rsidR="001C5505" w:rsidRPr="00286D21">
        <w:rPr>
          <w:rFonts w:cstheme="minorHAnsi"/>
        </w:rPr>
        <w:t xml:space="preserve">Australian Government’s </w:t>
      </w:r>
      <w:r w:rsidRPr="00286D21">
        <w:rPr>
          <w:rFonts w:cstheme="minorHAnsi"/>
        </w:rPr>
        <w:t xml:space="preserve">contribution to preschool education through Universal Access funding is counted as state expenditure, this is because historically the jurisdictions were unable to separate it from the </w:t>
      </w:r>
      <w:r w:rsidR="00286D21" w:rsidRPr="00286D21">
        <w:rPr>
          <w:rFonts w:cstheme="minorHAnsi"/>
        </w:rPr>
        <w:t>information,</w:t>
      </w:r>
      <w:r w:rsidRPr="00286D21">
        <w:rPr>
          <w:rFonts w:cstheme="minorHAnsi"/>
        </w:rPr>
        <w:t xml:space="preserve"> they provided to the Productivity Commission. As such the percentage of </w:t>
      </w:r>
      <w:r w:rsidR="00B3762A" w:rsidRPr="00286D21">
        <w:rPr>
          <w:rFonts w:cstheme="minorHAnsi"/>
        </w:rPr>
        <w:t>Australian</w:t>
      </w:r>
      <w:r w:rsidRPr="00286D21">
        <w:rPr>
          <w:rFonts w:cstheme="minorHAnsi"/>
        </w:rPr>
        <w:t xml:space="preserve"> Government spending on early education and care is </w:t>
      </w:r>
      <w:proofErr w:type="gramStart"/>
      <w:r w:rsidRPr="00286D21">
        <w:rPr>
          <w:rFonts w:cstheme="minorHAnsi"/>
        </w:rPr>
        <w:t xml:space="preserve">actually </w:t>
      </w:r>
      <w:r w:rsidR="00286D21" w:rsidRPr="00286D21">
        <w:rPr>
          <w:rFonts w:cstheme="minorHAnsi"/>
        </w:rPr>
        <w:t>higher</w:t>
      </w:r>
      <w:proofErr w:type="gramEnd"/>
      <w:r w:rsidR="00286D21" w:rsidRPr="00286D21">
        <w:rPr>
          <w:rFonts w:cstheme="minorHAnsi"/>
        </w:rPr>
        <w:t xml:space="preserve"> and</w:t>
      </w:r>
      <w:r w:rsidRPr="00286D21">
        <w:rPr>
          <w:rFonts w:cstheme="minorHAnsi"/>
        </w:rPr>
        <w:t xml:space="preserve"> does include preschool.</w:t>
      </w:r>
    </w:p>
    <w:p w14:paraId="47ADB033" w14:textId="77777777" w:rsidR="009E46C1" w:rsidRPr="00286D21" w:rsidRDefault="009E46C1" w:rsidP="009E46C1">
      <w:pPr>
        <w:autoSpaceDE w:val="0"/>
        <w:autoSpaceDN w:val="0"/>
        <w:adjustRightInd w:val="0"/>
        <w:spacing w:after="0" w:line="240" w:lineRule="auto"/>
        <w:rPr>
          <w:rFonts w:cstheme="minorHAnsi"/>
          <w:b/>
          <w:u w:val="single"/>
        </w:rPr>
      </w:pPr>
      <w:r w:rsidRPr="00286D21">
        <w:rPr>
          <w:rFonts w:cstheme="minorHAnsi"/>
          <w:b/>
          <w:u w:val="single"/>
        </w:rPr>
        <w:t xml:space="preserve">The Mitchell Institute Report stated: </w:t>
      </w:r>
    </w:p>
    <w:p w14:paraId="6D4D606D" w14:textId="77777777" w:rsidR="009E46C1" w:rsidRPr="00286D21" w:rsidRDefault="009E46C1" w:rsidP="009E46C1">
      <w:pPr>
        <w:autoSpaceDE w:val="0"/>
        <w:autoSpaceDN w:val="0"/>
        <w:adjustRightInd w:val="0"/>
        <w:spacing w:after="0" w:line="240" w:lineRule="auto"/>
        <w:rPr>
          <w:rFonts w:cstheme="minorHAnsi"/>
          <w:b/>
        </w:rPr>
      </w:pPr>
      <w:r w:rsidRPr="00286D21">
        <w:rPr>
          <w:rFonts w:cstheme="minorHAnsi"/>
          <w:b/>
        </w:rPr>
        <w:t>“The vast majority of government expenditure, 83.5% in 2018, is in the form of child care subsidies, with preschool delivery accounting for the remaining proportion of expenditure.” (Key Points, Page 3)</w:t>
      </w:r>
    </w:p>
    <w:p w14:paraId="76EBE907" w14:textId="77777777" w:rsidR="009E46C1" w:rsidRPr="00286D21" w:rsidRDefault="009E46C1" w:rsidP="009E46C1">
      <w:pPr>
        <w:spacing w:after="0" w:line="240" w:lineRule="auto"/>
        <w:rPr>
          <w:rFonts w:cstheme="minorHAnsi"/>
          <w:u w:val="single"/>
        </w:rPr>
      </w:pPr>
    </w:p>
    <w:p w14:paraId="6114AB03" w14:textId="77777777" w:rsidR="009E46C1" w:rsidRPr="00286D21" w:rsidRDefault="009E46C1" w:rsidP="009E46C1">
      <w:pPr>
        <w:rPr>
          <w:rFonts w:cstheme="minorHAnsi"/>
          <w:u w:val="single"/>
        </w:rPr>
      </w:pPr>
      <w:r w:rsidRPr="00286D21">
        <w:rPr>
          <w:rFonts w:cstheme="minorHAnsi"/>
          <w:u w:val="single"/>
        </w:rPr>
        <w:t xml:space="preserve">Department’s Recommended Revision </w:t>
      </w:r>
    </w:p>
    <w:p w14:paraId="70F18DB8" w14:textId="77777777" w:rsidR="009E46C1" w:rsidRPr="00286D21" w:rsidRDefault="009E46C1" w:rsidP="009E46C1">
      <w:pPr>
        <w:spacing w:after="0" w:line="240" w:lineRule="auto"/>
        <w:rPr>
          <w:rFonts w:cstheme="minorHAnsi"/>
        </w:rPr>
      </w:pPr>
      <w:r w:rsidRPr="00286D21">
        <w:rPr>
          <w:rFonts w:cstheme="minorHAnsi"/>
        </w:rPr>
        <w:t>“The vast majority of government expenditure, (more than 80% in 2017-18), was to support child care, with preschool delivery accounting for the remaining proportion of expenditure.”</w:t>
      </w:r>
    </w:p>
    <w:p w14:paraId="48C9A4AA" w14:textId="77777777" w:rsidR="009E46C1" w:rsidRPr="00286D21" w:rsidRDefault="009E46C1" w:rsidP="009E46C1">
      <w:pPr>
        <w:spacing w:after="0" w:line="240" w:lineRule="auto"/>
        <w:rPr>
          <w:rFonts w:cstheme="minorHAnsi"/>
          <w:u w:val="single"/>
        </w:rPr>
      </w:pPr>
    </w:p>
    <w:p w14:paraId="7DD6C0CE" w14:textId="77777777" w:rsidR="009E46C1" w:rsidRPr="00286D21" w:rsidRDefault="009E46C1" w:rsidP="009E46C1">
      <w:pPr>
        <w:rPr>
          <w:rFonts w:cstheme="minorHAnsi"/>
          <w:u w:val="single"/>
        </w:rPr>
      </w:pPr>
      <w:r w:rsidRPr="00286D21">
        <w:rPr>
          <w:rFonts w:cstheme="minorHAnsi"/>
          <w:u w:val="single"/>
        </w:rPr>
        <w:t xml:space="preserve">Department’s Explanation </w:t>
      </w:r>
    </w:p>
    <w:p w14:paraId="32AF8D82" w14:textId="77777777" w:rsidR="009E46C1" w:rsidRPr="00286D21" w:rsidRDefault="009E46C1" w:rsidP="009E46C1">
      <w:pPr>
        <w:rPr>
          <w:rFonts w:cstheme="minorHAnsi"/>
        </w:rPr>
      </w:pPr>
      <w:r w:rsidRPr="00286D21">
        <w:rPr>
          <w:rFonts w:cstheme="minorHAnsi"/>
        </w:rPr>
        <w:t>The 83.5% of expenditure reflects all government expenditure on child care, including Services Australia’s administrative costs and Department of Education, Skills and Employment (DESE) administrative costs (including staff wages). However, some of DESE’s administrative costs should be included as part of the delivery of preschool.</w:t>
      </w:r>
    </w:p>
    <w:p w14:paraId="312C2A04" w14:textId="77777777" w:rsidR="001861A7" w:rsidRPr="00286D21" w:rsidRDefault="001861A7" w:rsidP="001861A7">
      <w:pPr>
        <w:autoSpaceDE w:val="0"/>
        <w:autoSpaceDN w:val="0"/>
        <w:adjustRightInd w:val="0"/>
        <w:spacing w:after="0" w:line="240" w:lineRule="auto"/>
        <w:rPr>
          <w:rFonts w:cstheme="minorHAnsi"/>
          <w:b/>
          <w:u w:val="single"/>
        </w:rPr>
      </w:pPr>
      <w:r w:rsidRPr="00286D21">
        <w:rPr>
          <w:rFonts w:cstheme="minorHAnsi"/>
          <w:b/>
          <w:u w:val="single"/>
        </w:rPr>
        <w:t xml:space="preserve">The Mitchell Institute Report stated: </w:t>
      </w:r>
    </w:p>
    <w:p w14:paraId="0654B213" w14:textId="77777777" w:rsidR="009C4495" w:rsidRPr="00286D21" w:rsidRDefault="009C4495" w:rsidP="009C4495">
      <w:pPr>
        <w:autoSpaceDE w:val="0"/>
        <w:autoSpaceDN w:val="0"/>
        <w:adjustRightInd w:val="0"/>
        <w:spacing w:after="0" w:line="240" w:lineRule="auto"/>
        <w:rPr>
          <w:rFonts w:cstheme="minorHAnsi"/>
          <w:b/>
        </w:rPr>
      </w:pPr>
      <w:r w:rsidRPr="00286D21">
        <w:rPr>
          <w:rFonts w:cstheme="minorHAnsi"/>
          <w:b/>
        </w:rPr>
        <w:t>“How much do Australian families and carers invest in ECEC?” Pages 8-9</w:t>
      </w:r>
      <w:r w:rsidR="00D8582B" w:rsidRPr="00286D21">
        <w:rPr>
          <w:rFonts w:cstheme="minorHAnsi"/>
          <w:b/>
        </w:rPr>
        <w:t xml:space="preserve"> and produced the below table</w:t>
      </w:r>
      <w:r w:rsidR="00B15EB2" w:rsidRPr="00286D21">
        <w:rPr>
          <w:rFonts w:cstheme="minorHAnsi"/>
          <w:b/>
        </w:rPr>
        <w:t>.</w:t>
      </w:r>
    </w:p>
    <w:p w14:paraId="03E1924D" w14:textId="0DE18949" w:rsidR="009E46C1" w:rsidRPr="00286D21" w:rsidRDefault="005876BB" w:rsidP="00020940">
      <w:pPr>
        <w:rPr>
          <w:rFonts w:cstheme="minorHAnsi"/>
          <w:u w:val="single"/>
        </w:rPr>
      </w:pPr>
      <w:r w:rsidRPr="00286D21">
        <w:rPr>
          <w:rFonts w:cstheme="minorHAnsi"/>
          <w:noProof/>
          <w:lang w:eastAsia="en-AU"/>
        </w:rPr>
        <w:drawing>
          <wp:inline distT="0" distB="0" distL="0" distR="0" wp14:anchorId="1A3C91F4" wp14:editId="3441126A">
            <wp:extent cx="3207766" cy="2644115"/>
            <wp:effectExtent l="0" t="0" r="0" b="4445"/>
            <wp:docPr id="1" name="Picture 1" descr="How much do Australian families and carers invest in ECEC?” Pages 8-9 and produced the below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19990" cy="2654191"/>
                    </a:xfrm>
                    <a:prstGeom prst="rect">
                      <a:avLst/>
                    </a:prstGeom>
                  </pic:spPr>
                </pic:pic>
              </a:graphicData>
            </a:graphic>
          </wp:inline>
        </w:drawing>
      </w:r>
    </w:p>
    <w:p w14:paraId="0C507A77" w14:textId="77777777" w:rsidR="0013361A" w:rsidRPr="00286D21" w:rsidRDefault="0013361A" w:rsidP="0013361A">
      <w:pPr>
        <w:rPr>
          <w:rFonts w:cstheme="minorHAnsi"/>
          <w:u w:val="single"/>
        </w:rPr>
      </w:pPr>
      <w:r w:rsidRPr="00286D21">
        <w:rPr>
          <w:rFonts w:cstheme="minorHAnsi"/>
          <w:u w:val="single"/>
        </w:rPr>
        <w:t>Department’s Recommend</w:t>
      </w:r>
      <w:r w:rsidR="0002333A" w:rsidRPr="00286D21">
        <w:rPr>
          <w:rFonts w:cstheme="minorHAnsi"/>
          <w:u w:val="single"/>
        </w:rPr>
        <w:t xml:space="preserve">ation </w:t>
      </w:r>
    </w:p>
    <w:p w14:paraId="0676E580" w14:textId="77777777" w:rsidR="0013361A" w:rsidRPr="00286D21" w:rsidRDefault="0013361A" w:rsidP="009E46C1">
      <w:pPr>
        <w:spacing w:after="0" w:line="240" w:lineRule="auto"/>
        <w:rPr>
          <w:rFonts w:cstheme="minorHAnsi"/>
        </w:rPr>
      </w:pPr>
      <w:r w:rsidRPr="00286D21">
        <w:rPr>
          <w:rFonts w:cstheme="minorHAnsi"/>
        </w:rPr>
        <w:t>This whole section of the report would need to be rewritten using the correct data.</w:t>
      </w:r>
      <w:r w:rsidR="008B11ED" w:rsidRPr="00286D21">
        <w:rPr>
          <w:rFonts w:cstheme="minorHAnsi"/>
        </w:rPr>
        <w:t xml:space="preserve"> Please see explanation below. </w:t>
      </w:r>
    </w:p>
    <w:p w14:paraId="10C2C2BA" w14:textId="77777777" w:rsidR="009E46C1" w:rsidRPr="00286D21" w:rsidRDefault="009E46C1" w:rsidP="009E46C1">
      <w:pPr>
        <w:spacing w:after="0" w:line="240" w:lineRule="auto"/>
        <w:rPr>
          <w:rFonts w:cstheme="minorHAnsi"/>
          <w:u w:val="single"/>
        </w:rPr>
      </w:pPr>
    </w:p>
    <w:p w14:paraId="1A4F10CE" w14:textId="7FB65408" w:rsidR="0013361A" w:rsidRPr="00286D21" w:rsidRDefault="0013361A" w:rsidP="0013361A">
      <w:pPr>
        <w:rPr>
          <w:rFonts w:cstheme="minorHAnsi"/>
          <w:u w:val="single"/>
        </w:rPr>
      </w:pPr>
      <w:r w:rsidRPr="00286D21">
        <w:rPr>
          <w:rFonts w:cstheme="minorHAnsi"/>
          <w:u w:val="single"/>
        </w:rPr>
        <w:t xml:space="preserve">Department’s Explanation </w:t>
      </w:r>
    </w:p>
    <w:p w14:paraId="6644763E" w14:textId="77777777" w:rsidR="009C4495" w:rsidRPr="00286D21" w:rsidRDefault="009C4495" w:rsidP="009C4495">
      <w:pPr>
        <w:rPr>
          <w:rFonts w:cstheme="minorHAnsi"/>
        </w:rPr>
      </w:pPr>
      <w:r w:rsidRPr="00286D21">
        <w:rPr>
          <w:rFonts w:cstheme="minorHAnsi"/>
        </w:rPr>
        <w:t xml:space="preserve">This chapter attempts to estimate the amount of private expenditure on ECEC. The methodology used to estimate out of pocket expenses </w:t>
      </w:r>
      <w:r w:rsidR="001C5505" w:rsidRPr="00286D21">
        <w:rPr>
          <w:rFonts w:cstheme="minorHAnsi"/>
        </w:rPr>
        <w:t>is not</w:t>
      </w:r>
      <w:r w:rsidRPr="00286D21">
        <w:rPr>
          <w:rFonts w:cstheme="minorHAnsi"/>
        </w:rPr>
        <w:t xml:space="preserve"> correct.</w:t>
      </w:r>
    </w:p>
    <w:p w14:paraId="6B790655" w14:textId="77777777" w:rsidR="009C4495" w:rsidRPr="00286D21" w:rsidRDefault="009C4495" w:rsidP="009C4495">
      <w:pPr>
        <w:rPr>
          <w:rFonts w:cstheme="minorHAnsi"/>
        </w:rPr>
      </w:pPr>
      <w:r w:rsidRPr="00286D21">
        <w:rPr>
          <w:rFonts w:cstheme="minorHAnsi"/>
        </w:rPr>
        <w:t xml:space="preserve">The estimates of CCR used in the Mitchell Institute report are incorrect. The figures appear to have been taken from the Department of Education’s (and its predecessors) annual reports. Due to Machinery of Government changes that occurred in </w:t>
      </w:r>
      <w:proofErr w:type="gramStart"/>
      <w:r w:rsidRPr="00286D21">
        <w:rPr>
          <w:rFonts w:cstheme="minorHAnsi"/>
        </w:rPr>
        <w:t>a number of</w:t>
      </w:r>
      <w:proofErr w:type="gramEnd"/>
      <w:r w:rsidRPr="00286D21">
        <w:rPr>
          <w:rFonts w:cstheme="minorHAnsi"/>
        </w:rPr>
        <w:t xml:space="preserve"> financial years, the annual reports do not reflect the total expenditure of the relevant financial year, rather they only cover some of the year. The 2014-15 and 2015-16 figures are of </w:t>
      </w:r>
      <w:proofErr w:type="gramStart"/>
      <w:r w:rsidRPr="00286D21">
        <w:rPr>
          <w:rFonts w:cstheme="minorHAnsi"/>
        </w:rPr>
        <w:t>particular concern</w:t>
      </w:r>
      <w:proofErr w:type="gramEnd"/>
      <w:r w:rsidRPr="00286D21">
        <w:rPr>
          <w:rFonts w:cstheme="minorHAnsi"/>
        </w:rPr>
        <w:t xml:space="preserve"> as the child care portfolio was moved to the Department of Social Services before being moved back to the Department of Education. Therefore, only a fraction of the total amount of CCR was recorded in the Department of Education’s annual report.</w:t>
      </w:r>
    </w:p>
    <w:p w14:paraId="1CF4D49B" w14:textId="77777777" w:rsidR="002F6CF9" w:rsidRPr="00286D21" w:rsidRDefault="007132D4" w:rsidP="007132D4">
      <w:pPr>
        <w:rPr>
          <w:rFonts w:cstheme="minorHAnsi"/>
        </w:rPr>
      </w:pPr>
      <w:r w:rsidRPr="00286D21">
        <w:rPr>
          <w:rFonts w:cstheme="minorHAnsi"/>
        </w:rPr>
        <w:t xml:space="preserve">The department has provided </w:t>
      </w:r>
      <w:r w:rsidR="00753B32" w:rsidRPr="00286D21">
        <w:rPr>
          <w:rFonts w:cstheme="minorHAnsi"/>
          <w:u w:val="single"/>
        </w:rPr>
        <w:t>actual</w:t>
      </w:r>
      <w:r w:rsidR="00753B32" w:rsidRPr="00286D21">
        <w:rPr>
          <w:rFonts w:cstheme="minorHAnsi"/>
        </w:rPr>
        <w:t xml:space="preserve"> </w:t>
      </w:r>
      <w:r w:rsidRPr="00286D21">
        <w:rPr>
          <w:rFonts w:cstheme="minorHAnsi"/>
        </w:rPr>
        <w:t xml:space="preserve">expenses for CCR, CCB and CCS (see table below). Figures are derived from relevant portfolio agencies Annual Reports and Final Budget Outcomes. In the financial years where there were Machinery of Government arrangements figures have been consolidated from both </w:t>
      </w:r>
      <w:proofErr w:type="gramStart"/>
      <w:r w:rsidRPr="00286D21">
        <w:rPr>
          <w:rFonts w:cstheme="minorHAnsi"/>
        </w:rPr>
        <w:t>agencies</w:t>
      </w:r>
      <w:proofErr w:type="gramEnd"/>
      <w:r w:rsidRPr="00286D21">
        <w:rPr>
          <w:rFonts w:cstheme="minorHAnsi"/>
        </w:rPr>
        <w:t xml:space="preserve"> respective publications.</w:t>
      </w:r>
    </w:p>
    <w:tbl>
      <w:tblPr>
        <w:tblW w:w="5832" w:type="dxa"/>
        <w:tblLook w:val="04A0" w:firstRow="1" w:lastRow="0" w:firstColumn="1" w:lastColumn="0" w:noHBand="0" w:noVBand="1"/>
      </w:tblPr>
      <w:tblGrid>
        <w:gridCol w:w="960"/>
        <w:gridCol w:w="1218"/>
        <w:gridCol w:w="1218"/>
        <w:gridCol w:w="1218"/>
        <w:gridCol w:w="1218"/>
      </w:tblGrid>
      <w:tr w:rsidR="007132D4" w:rsidRPr="00286D21" w14:paraId="4B5CCB09" w14:textId="77777777" w:rsidTr="008A7034">
        <w:trPr>
          <w:trHeight w:val="300"/>
          <w:tblHead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96A08" w14:textId="77777777" w:rsidR="007132D4" w:rsidRPr="00020940" w:rsidRDefault="00095F72" w:rsidP="00095F72">
            <w:pPr>
              <w:spacing w:after="0" w:line="240" w:lineRule="auto"/>
              <w:rPr>
                <w:rFonts w:eastAsia="Times New Roman" w:cstheme="minorHAnsi"/>
                <w:b/>
                <w:color w:val="000000"/>
                <w:sz w:val="20"/>
                <w:szCs w:val="20"/>
                <w:lang w:eastAsia="en-AU"/>
              </w:rPr>
            </w:pPr>
            <w:r w:rsidRPr="00020940">
              <w:rPr>
                <w:rFonts w:eastAsia="Times New Roman" w:cstheme="minorHAnsi"/>
                <w:b/>
                <w:color w:val="000000"/>
                <w:sz w:val="20"/>
                <w:szCs w:val="20"/>
                <w:lang w:eastAsia="en-AU"/>
              </w:rPr>
              <w:t>Y</w:t>
            </w:r>
            <w:r w:rsidRPr="00020940">
              <w:rPr>
                <w:rFonts w:eastAsia="Times New Roman" w:cstheme="minorHAnsi"/>
                <w:b/>
                <w:bCs/>
                <w:color w:val="000000"/>
                <w:sz w:val="20"/>
                <w:szCs w:val="20"/>
                <w:lang w:eastAsia="en-AU"/>
              </w:rPr>
              <w:t>ear</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14:paraId="0DC5A839" w14:textId="77777777" w:rsidR="007132D4" w:rsidRPr="00020940" w:rsidRDefault="007132D4" w:rsidP="00CE57D7">
            <w:pPr>
              <w:spacing w:after="0" w:line="240" w:lineRule="auto"/>
              <w:rPr>
                <w:rFonts w:eastAsia="Times New Roman" w:cstheme="minorHAnsi"/>
                <w:b/>
                <w:bCs/>
                <w:color w:val="000000"/>
                <w:sz w:val="20"/>
                <w:szCs w:val="20"/>
                <w:lang w:eastAsia="en-AU"/>
              </w:rPr>
            </w:pPr>
            <w:r w:rsidRPr="00020940">
              <w:rPr>
                <w:rFonts w:eastAsia="Times New Roman" w:cstheme="minorHAnsi"/>
                <w:b/>
                <w:bCs/>
                <w:color w:val="000000"/>
                <w:sz w:val="20"/>
                <w:szCs w:val="20"/>
                <w:lang w:eastAsia="en-AU"/>
              </w:rPr>
              <w:t>CCB (000)</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14:paraId="72D35B29" w14:textId="77777777" w:rsidR="007132D4" w:rsidRPr="00020940" w:rsidRDefault="007132D4" w:rsidP="00CE57D7">
            <w:pPr>
              <w:spacing w:after="0" w:line="240" w:lineRule="auto"/>
              <w:rPr>
                <w:rFonts w:eastAsia="Times New Roman" w:cstheme="minorHAnsi"/>
                <w:b/>
                <w:bCs/>
                <w:color w:val="000000"/>
                <w:sz w:val="20"/>
                <w:szCs w:val="20"/>
                <w:lang w:eastAsia="en-AU"/>
              </w:rPr>
            </w:pPr>
            <w:r w:rsidRPr="00020940">
              <w:rPr>
                <w:rFonts w:eastAsia="Times New Roman" w:cstheme="minorHAnsi"/>
                <w:b/>
                <w:bCs/>
                <w:color w:val="000000"/>
                <w:sz w:val="20"/>
                <w:szCs w:val="20"/>
                <w:lang w:eastAsia="en-AU"/>
              </w:rPr>
              <w:t>CCR (000)</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14:paraId="315D2689" w14:textId="77777777" w:rsidR="007132D4" w:rsidRPr="00020940" w:rsidRDefault="007132D4" w:rsidP="00CE57D7">
            <w:pPr>
              <w:spacing w:after="0" w:line="240" w:lineRule="auto"/>
              <w:rPr>
                <w:rFonts w:eastAsia="Times New Roman" w:cstheme="minorHAnsi"/>
                <w:b/>
                <w:bCs/>
                <w:color w:val="000000"/>
                <w:sz w:val="20"/>
                <w:szCs w:val="20"/>
                <w:lang w:eastAsia="en-AU"/>
              </w:rPr>
            </w:pPr>
            <w:r w:rsidRPr="00020940">
              <w:rPr>
                <w:rFonts w:eastAsia="Times New Roman" w:cstheme="minorHAnsi"/>
                <w:b/>
                <w:bCs/>
                <w:color w:val="000000"/>
                <w:sz w:val="20"/>
                <w:szCs w:val="20"/>
                <w:lang w:eastAsia="en-AU"/>
              </w:rPr>
              <w:t>CCS (000)</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14:paraId="5D9C2C4F" w14:textId="77777777" w:rsidR="007132D4" w:rsidRPr="00020940" w:rsidRDefault="007132D4" w:rsidP="00CE57D7">
            <w:pPr>
              <w:spacing w:after="0" w:line="240" w:lineRule="auto"/>
              <w:rPr>
                <w:rFonts w:eastAsia="Times New Roman" w:cstheme="minorHAnsi"/>
                <w:b/>
                <w:bCs/>
                <w:color w:val="000000"/>
                <w:sz w:val="20"/>
                <w:szCs w:val="20"/>
                <w:lang w:eastAsia="en-AU"/>
              </w:rPr>
            </w:pPr>
            <w:r w:rsidRPr="00020940">
              <w:rPr>
                <w:rFonts w:eastAsia="Times New Roman" w:cstheme="minorHAnsi"/>
                <w:b/>
                <w:bCs/>
                <w:color w:val="000000"/>
                <w:sz w:val="20"/>
                <w:szCs w:val="20"/>
                <w:lang w:eastAsia="en-AU"/>
              </w:rPr>
              <w:t>ALL (000)</w:t>
            </w:r>
          </w:p>
        </w:tc>
      </w:tr>
      <w:tr w:rsidR="007132D4" w:rsidRPr="00286D21" w14:paraId="1DBF8097" w14:textId="77777777" w:rsidTr="00CE57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E5E72B" w14:textId="77777777" w:rsidR="007132D4" w:rsidRPr="00020940" w:rsidRDefault="007132D4" w:rsidP="008A7034">
            <w:pPr>
              <w:rPr>
                <w:rFonts w:cstheme="minorHAnsi"/>
                <w:sz w:val="20"/>
                <w:szCs w:val="20"/>
              </w:rPr>
            </w:pPr>
            <w:r w:rsidRPr="00020940">
              <w:rPr>
                <w:rFonts w:cstheme="minorHAnsi"/>
                <w:sz w:val="20"/>
                <w:szCs w:val="20"/>
              </w:rPr>
              <w:t>2008-09</w:t>
            </w:r>
          </w:p>
        </w:tc>
        <w:tc>
          <w:tcPr>
            <w:tcW w:w="1218" w:type="dxa"/>
            <w:tcBorders>
              <w:top w:val="nil"/>
              <w:left w:val="nil"/>
              <w:bottom w:val="single" w:sz="4" w:space="0" w:color="auto"/>
              <w:right w:val="single" w:sz="4" w:space="0" w:color="auto"/>
            </w:tcBorders>
            <w:shd w:val="clear" w:color="auto" w:fill="auto"/>
            <w:noWrap/>
            <w:vAlign w:val="bottom"/>
            <w:hideMark/>
          </w:tcPr>
          <w:p w14:paraId="2BE240BA" w14:textId="77777777" w:rsidR="007132D4" w:rsidRPr="00020940" w:rsidRDefault="007132D4" w:rsidP="008A7034">
            <w:pPr>
              <w:rPr>
                <w:rFonts w:cstheme="minorHAnsi"/>
                <w:sz w:val="20"/>
                <w:szCs w:val="20"/>
              </w:rPr>
            </w:pPr>
            <w:r w:rsidRPr="00020940">
              <w:rPr>
                <w:rFonts w:cstheme="minorHAnsi"/>
                <w:sz w:val="20"/>
                <w:szCs w:val="20"/>
              </w:rPr>
              <w:t>$2,103,048</w:t>
            </w:r>
          </w:p>
        </w:tc>
        <w:tc>
          <w:tcPr>
            <w:tcW w:w="1218" w:type="dxa"/>
            <w:tcBorders>
              <w:top w:val="nil"/>
              <w:left w:val="nil"/>
              <w:bottom w:val="single" w:sz="4" w:space="0" w:color="auto"/>
              <w:right w:val="single" w:sz="4" w:space="0" w:color="auto"/>
            </w:tcBorders>
            <w:shd w:val="clear" w:color="auto" w:fill="auto"/>
            <w:noWrap/>
            <w:vAlign w:val="bottom"/>
            <w:hideMark/>
          </w:tcPr>
          <w:p w14:paraId="21D9ECD3" w14:textId="77777777" w:rsidR="007132D4" w:rsidRPr="00020940" w:rsidRDefault="007132D4" w:rsidP="008A7034">
            <w:pPr>
              <w:rPr>
                <w:rFonts w:cstheme="minorHAnsi"/>
                <w:sz w:val="20"/>
                <w:szCs w:val="20"/>
              </w:rPr>
            </w:pPr>
            <w:r w:rsidRPr="00020940">
              <w:rPr>
                <w:rFonts w:cstheme="minorHAnsi"/>
                <w:sz w:val="20"/>
                <w:szCs w:val="20"/>
              </w:rPr>
              <w:t>$1,185,064</w:t>
            </w:r>
          </w:p>
        </w:tc>
        <w:tc>
          <w:tcPr>
            <w:tcW w:w="1218" w:type="dxa"/>
            <w:tcBorders>
              <w:top w:val="nil"/>
              <w:left w:val="nil"/>
              <w:bottom w:val="single" w:sz="4" w:space="0" w:color="auto"/>
              <w:right w:val="single" w:sz="4" w:space="0" w:color="auto"/>
            </w:tcBorders>
            <w:shd w:val="clear" w:color="auto" w:fill="auto"/>
            <w:noWrap/>
            <w:vAlign w:val="bottom"/>
            <w:hideMark/>
          </w:tcPr>
          <w:p w14:paraId="405F188B" w14:textId="77777777" w:rsidR="007132D4" w:rsidRPr="00020940" w:rsidRDefault="007132D4" w:rsidP="008A7034">
            <w:pPr>
              <w:rPr>
                <w:rFonts w:cstheme="minorHAnsi"/>
                <w:sz w:val="20"/>
                <w:szCs w:val="20"/>
              </w:rPr>
            </w:pPr>
            <w:r w:rsidRPr="00020940">
              <w:rPr>
                <w:rFonts w:cstheme="minorHAnsi"/>
                <w:sz w:val="20"/>
                <w:szCs w:val="20"/>
              </w:rPr>
              <w:t>$0</w:t>
            </w:r>
          </w:p>
        </w:tc>
        <w:tc>
          <w:tcPr>
            <w:tcW w:w="1218" w:type="dxa"/>
            <w:tcBorders>
              <w:top w:val="nil"/>
              <w:left w:val="nil"/>
              <w:bottom w:val="single" w:sz="4" w:space="0" w:color="auto"/>
              <w:right w:val="single" w:sz="4" w:space="0" w:color="auto"/>
            </w:tcBorders>
            <w:shd w:val="clear" w:color="auto" w:fill="auto"/>
            <w:noWrap/>
            <w:vAlign w:val="bottom"/>
            <w:hideMark/>
          </w:tcPr>
          <w:p w14:paraId="1B3D67B0" w14:textId="77777777" w:rsidR="007132D4" w:rsidRPr="00020940" w:rsidRDefault="007132D4" w:rsidP="008A7034">
            <w:pPr>
              <w:rPr>
                <w:rFonts w:cstheme="minorHAnsi"/>
                <w:sz w:val="20"/>
                <w:szCs w:val="20"/>
              </w:rPr>
            </w:pPr>
            <w:r w:rsidRPr="00020940">
              <w:rPr>
                <w:rFonts w:cstheme="minorHAnsi"/>
                <w:sz w:val="20"/>
                <w:szCs w:val="20"/>
              </w:rPr>
              <w:t>$3,746,471</w:t>
            </w:r>
          </w:p>
        </w:tc>
      </w:tr>
      <w:tr w:rsidR="007132D4" w:rsidRPr="00286D21" w14:paraId="2EEEAEF8" w14:textId="77777777" w:rsidTr="00CE57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B4D66E" w14:textId="77777777" w:rsidR="007132D4" w:rsidRPr="00020940" w:rsidRDefault="007132D4" w:rsidP="008A7034">
            <w:pPr>
              <w:rPr>
                <w:rFonts w:cstheme="minorHAnsi"/>
                <w:sz w:val="20"/>
                <w:szCs w:val="20"/>
              </w:rPr>
            </w:pPr>
            <w:r w:rsidRPr="00020940">
              <w:rPr>
                <w:rFonts w:cstheme="minorHAnsi"/>
                <w:sz w:val="20"/>
                <w:szCs w:val="20"/>
              </w:rPr>
              <w:t>2009-10</w:t>
            </w:r>
          </w:p>
        </w:tc>
        <w:tc>
          <w:tcPr>
            <w:tcW w:w="1218" w:type="dxa"/>
            <w:tcBorders>
              <w:top w:val="nil"/>
              <w:left w:val="nil"/>
              <w:bottom w:val="single" w:sz="4" w:space="0" w:color="auto"/>
              <w:right w:val="single" w:sz="4" w:space="0" w:color="auto"/>
            </w:tcBorders>
            <w:shd w:val="clear" w:color="auto" w:fill="auto"/>
            <w:noWrap/>
            <w:vAlign w:val="bottom"/>
            <w:hideMark/>
          </w:tcPr>
          <w:p w14:paraId="72930EED" w14:textId="77777777" w:rsidR="007132D4" w:rsidRPr="00020940" w:rsidRDefault="007132D4" w:rsidP="008A7034">
            <w:pPr>
              <w:rPr>
                <w:rFonts w:cstheme="minorHAnsi"/>
                <w:sz w:val="20"/>
                <w:szCs w:val="20"/>
              </w:rPr>
            </w:pPr>
            <w:r w:rsidRPr="00020940">
              <w:rPr>
                <w:rFonts w:cstheme="minorHAnsi"/>
                <w:sz w:val="20"/>
                <w:szCs w:val="20"/>
              </w:rPr>
              <w:t>$2,000,062</w:t>
            </w:r>
          </w:p>
        </w:tc>
        <w:tc>
          <w:tcPr>
            <w:tcW w:w="1218" w:type="dxa"/>
            <w:tcBorders>
              <w:top w:val="nil"/>
              <w:left w:val="nil"/>
              <w:bottom w:val="single" w:sz="4" w:space="0" w:color="auto"/>
              <w:right w:val="single" w:sz="4" w:space="0" w:color="auto"/>
            </w:tcBorders>
            <w:shd w:val="clear" w:color="auto" w:fill="auto"/>
            <w:noWrap/>
            <w:vAlign w:val="bottom"/>
            <w:hideMark/>
          </w:tcPr>
          <w:p w14:paraId="0EB0998E" w14:textId="77777777" w:rsidR="007132D4" w:rsidRPr="00020940" w:rsidRDefault="007132D4" w:rsidP="008A7034">
            <w:pPr>
              <w:rPr>
                <w:rFonts w:cstheme="minorHAnsi"/>
                <w:sz w:val="20"/>
                <w:szCs w:val="20"/>
              </w:rPr>
            </w:pPr>
            <w:r w:rsidRPr="00020940">
              <w:rPr>
                <w:rFonts w:cstheme="minorHAnsi"/>
                <w:sz w:val="20"/>
                <w:szCs w:val="20"/>
              </w:rPr>
              <w:t>$1,304,429</w:t>
            </w:r>
          </w:p>
        </w:tc>
        <w:tc>
          <w:tcPr>
            <w:tcW w:w="1218" w:type="dxa"/>
            <w:tcBorders>
              <w:top w:val="nil"/>
              <w:left w:val="nil"/>
              <w:bottom w:val="single" w:sz="4" w:space="0" w:color="auto"/>
              <w:right w:val="single" w:sz="4" w:space="0" w:color="auto"/>
            </w:tcBorders>
            <w:shd w:val="clear" w:color="auto" w:fill="auto"/>
            <w:noWrap/>
            <w:vAlign w:val="bottom"/>
            <w:hideMark/>
          </w:tcPr>
          <w:p w14:paraId="27FF8F04" w14:textId="77777777" w:rsidR="007132D4" w:rsidRPr="00020940" w:rsidRDefault="007132D4" w:rsidP="008A7034">
            <w:pPr>
              <w:rPr>
                <w:rFonts w:cstheme="minorHAnsi"/>
                <w:sz w:val="20"/>
                <w:szCs w:val="20"/>
              </w:rPr>
            </w:pPr>
            <w:r w:rsidRPr="00020940">
              <w:rPr>
                <w:rFonts w:cstheme="minorHAnsi"/>
                <w:sz w:val="20"/>
                <w:szCs w:val="20"/>
              </w:rPr>
              <w:t>$0</w:t>
            </w:r>
          </w:p>
        </w:tc>
        <w:tc>
          <w:tcPr>
            <w:tcW w:w="1218" w:type="dxa"/>
            <w:tcBorders>
              <w:top w:val="nil"/>
              <w:left w:val="nil"/>
              <w:bottom w:val="single" w:sz="4" w:space="0" w:color="auto"/>
              <w:right w:val="single" w:sz="4" w:space="0" w:color="auto"/>
            </w:tcBorders>
            <w:shd w:val="clear" w:color="auto" w:fill="auto"/>
            <w:noWrap/>
            <w:vAlign w:val="bottom"/>
            <w:hideMark/>
          </w:tcPr>
          <w:p w14:paraId="121E494C" w14:textId="77777777" w:rsidR="007132D4" w:rsidRPr="00020940" w:rsidRDefault="007132D4" w:rsidP="008A7034">
            <w:pPr>
              <w:rPr>
                <w:rFonts w:cstheme="minorHAnsi"/>
                <w:sz w:val="20"/>
                <w:szCs w:val="20"/>
              </w:rPr>
            </w:pPr>
            <w:r w:rsidRPr="00020940">
              <w:rPr>
                <w:rFonts w:cstheme="minorHAnsi"/>
                <w:sz w:val="20"/>
                <w:szCs w:val="20"/>
              </w:rPr>
              <w:t>$3,803,912</w:t>
            </w:r>
          </w:p>
        </w:tc>
      </w:tr>
      <w:tr w:rsidR="007132D4" w:rsidRPr="00286D21" w14:paraId="67CD4D51" w14:textId="77777777" w:rsidTr="00CE57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BB2914" w14:textId="77777777" w:rsidR="007132D4" w:rsidRPr="00020940" w:rsidRDefault="007132D4" w:rsidP="008A7034">
            <w:pPr>
              <w:rPr>
                <w:rFonts w:cstheme="minorHAnsi"/>
                <w:sz w:val="20"/>
                <w:szCs w:val="20"/>
              </w:rPr>
            </w:pPr>
            <w:r w:rsidRPr="00020940">
              <w:rPr>
                <w:rFonts w:cstheme="minorHAnsi"/>
                <w:sz w:val="20"/>
                <w:szCs w:val="20"/>
              </w:rPr>
              <w:t>2010-11</w:t>
            </w:r>
          </w:p>
        </w:tc>
        <w:tc>
          <w:tcPr>
            <w:tcW w:w="1218" w:type="dxa"/>
            <w:tcBorders>
              <w:top w:val="nil"/>
              <w:left w:val="nil"/>
              <w:bottom w:val="single" w:sz="4" w:space="0" w:color="auto"/>
              <w:right w:val="single" w:sz="4" w:space="0" w:color="auto"/>
            </w:tcBorders>
            <w:shd w:val="clear" w:color="auto" w:fill="auto"/>
            <w:noWrap/>
            <w:vAlign w:val="bottom"/>
            <w:hideMark/>
          </w:tcPr>
          <w:p w14:paraId="48239498" w14:textId="77777777" w:rsidR="007132D4" w:rsidRPr="00020940" w:rsidRDefault="007132D4" w:rsidP="008A7034">
            <w:pPr>
              <w:rPr>
                <w:rFonts w:cstheme="minorHAnsi"/>
                <w:sz w:val="20"/>
                <w:szCs w:val="20"/>
              </w:rPr>
            </w:pPr>
            <w:r w:rsidRPr="00020940">
              <w:rPr>
                <w:rFonts w:cstheme="minorHAnsi"/>
                <w:sz w:val="20"/>
                <w:szCs w:val="20"/>
              </w:rPr>
              <w:t>$2,207,970</w:t>
            </w:r>
          </w:p>
        </w:tc>
        <w:tc>
          <w:tcPr>
            <w:tcW w:w="1218" w:type="dxa"/>
            <w:tcBorders>
              <w:top w:val="nil"/>
              <w:left w:val="nil"/>
              <w:bottom w:val="single" w:sz="4" w:space="0" w:color="auto"/>
              <w:right w:val="single" w:sz="4" w:space="0" w:color="auto"/>
            </w:tcBorders>
            <w:shd w:val="clear" w:color="auto" w:fill="auto"/>
            <w:noWrap/>
            <w:vAlign w:val="bottom"/>
            <w:hideMark/>
          </w:tcPr>
          <w:p w14:paraId="18086B21" w14:textId="77777777" w:rsidR="007132D4" w:rsidRPr="00020940" w:rsidRDefault="007132D4" w:rsidP="008A7034">
            <w:pPr>
              <w:rPr>
                <w:rFonts w:cstheme="minorHAnsi"/>
                <w:sz w:val="20"/>
                <w:szCs w:val="20"/>
              </w:rPr>
            </w:pPr>
            <w:r w:rsidRPr="00020940">
              <w:rPr>
                <w:rFonts w:cstheme="minorHAnsi"/>
                <w:sz w:val="20"/>
                <w:szCs w:val="20"/>
              </w:rPr>
              <w:t>$1,562,590</w:t>
            </w:r>
          </w:p>
        </w:tc>
        <w:tc>
          <w:tcPr>
            <w:tcW w:w="1218" w:type="dxa"/>
            <w:tcBorders>
              <w:top w:val="nil"/>
              <w:left w:val="nil"/>
              <w:bottom w:val="single" w:sz="4" w:space="0" w:color="auto"/>
              <w:right w:val="single" w:sz="4" w:space="0" w:color="auto"/>
            </w:tcBorders>
            <w:shd w:val="clear" w:color="auto" w:fill="auto"/>
            <w:noWrap/>
            <w:vAlign w:val="bottom"/>
            <w:hideMark/>
          </w:tcPr>
          <w:p w14:paraId="160297A6" w14:textId="77777777" w:rsidR="007132D4" w:rsidRPr="00020940" w:rsidRDefault="007132D4" w:rsidP="008A7034">
            <w:pPr>
              <w:rPr>
                <w:rFonts w:cstheme="minorHAnsi"/>
                <w:sz w:val="20"/>
                <w:szCs w:val="20"/>
              </w:rPr>
            </w:pPr>
            <w:r w:rsidRPr="00020940">
              <w:rPr>
                <w:rFonts w:cstheme="minorHAnsi"/>
                <w:sz w:val="20"/>
                <w:szCs w:val="20"/>
              </w:rPr>
              <w:t>$0</w:t>
            </w:r>
          </w:p>
        </w:tc>
        <w:tc>
          <w:tcPr>
            <w:tcW w:w="1218" w:type="dxa"/>
            <w:tcBorders>
              <w:top w:val="nil"/>
              <w:left w:val="nil"/>
              <w:bottom w:val="single" w:sz="4" w:space="0" w:color="auto"/>
              <w:right w:val="single" w:sz="4" w:space="0" w:color="auto"/>
            </w:tcBorders>
            <w:shd w:val="clear" w:color="auto" w:fill="auto"/>
            <w:noWrap/>
            <w:vAlign w:val="bottom"/>
            <w:hideMark/>
          </w:tcPr>
          <w:p w14:paraId="7C8079CB" w14:textId="77777777" w:rsidR="007132D4" w:rsidRPr="00020940" w:rsidRDefault="007132D4" w:rsidP="008A7034">
            <w:pPr>
              <w:rPr>
                <w:rFonts w:cstheme="minorHAnsi"/>
                <w:sz w:val="20"/>
                <w:szCs w:val="20"/>
              </w:rPr>
            </w:pPr>
            <w:r w:rsidRPr="00020940">
              <w:rPr>
                <w:rFonts w:cstheme="minorHAnsi"/>
                <w:sz w:val="20"/>
                <w:szCs w:val="20"/>
              </w:rPr>
              <w:t>$4,310,357</w:t>
            </w:r>
          </w:p>
        </w:tc>
      </w:tr>
      <w:tr w:rsidR="007132D4" w:rsidRPr="00286D21" w14:paraId="010F8A6B" w14:textId="77777777" w:rsidTr="00CE57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1BFDE8" w14:textId="77777777" w:rsidR="007132D4" w:rsidRPr="00020940" w:rsidRDefault="007132D4" w:rsidP="008A7034">
            <w:pPr>
              <w:rPr>
                <w:rFonts w:cstheme="minorHAnsi"/>
                <w:sz w:val="20"/>
                <w:szCs w:val="20"/>
              </w:rPr>
            </w:pPr>
            <w:r w:rsidRPr="00020940">
              <w:rPr>
                <w:rFonts w:cstheme="minorHAnsi"/>
                <w:sz w:val="20"/>
                <w:szCs w:val="20"/>
              </w:rPr>
              <w:t>2011-12</w:t>
            </w:r>
          </w:p>
        </w:tc>
        <w:tc>
          <w:tcPr>
            <w:tcW w:w="1218" w:type="dxa"/>
            <w:tcBorders>
              <w:top w:val="nil"/>
              <w:left w:val="nil"/>
              <w:bottom w:val="single" w:sz="4" w:space="0" w:color="auto"/>
              <w:right w:val="single" w:sz="4" w:space="0" w:color="auto"/>
            </w:tcBorders>
            <w:shd w:val="clear" w:color="auto" w:fill="auto"/>
            <w:noWrap/>
            <w:vAlign w:val="bottom"/>
            <w:hideMark/>
          </w:tcPr>
          <w:p w14:paraId="2EE8932F" w14:textId="77777777" w:rsidR="007132D4" w:rsidRPr="00020940" w:rsidRDefault="007132D4" w:rsidP="008A7034">
            <w:pPr>
              <w:rPr>
                <w:rFonts w:cstheme="minorHAnsi"/>
                <w:sz w:val="20"/>
                <w:szCs w:val="20"/>
              </w:rPr>
            </w:pPr>
            <w:r w:rsidRPr="00020940">
              <w:rPr>
                <w:rFonts w:cstheme="minorHAnsi"/>
                <w:sz w:val="20"/>
                <w:szCs w:val="20"/>
              </w:rPr>
              <w:t>$2,327,285</w:t>
            </w:r>
          </w:p>
        </w:tc>
        <w:tc>
          <w:tcPr>
            <w:tcW w:w="1218" w:type="dxa"/>
            <w:tcBorders>
              <w:top w:val="nil"/>
              <w:left w:val="nil"/>
              <w:bottom w:val="single" w:sz="4" w:space="0" w:color="auto"/>
              <w:right w:val="single" w:sz="4" w:space="0" w:color="auto"/>
            </w:tcBorders>
            <w:shd w:val="clear" w:color="auto" w:fill="auto"/>
            <w:noWrap/>
            <w:vAlign w:val="bottom"/>
            <w:hideMark/>
          </w:tcPr>
          <w:p w14:paraId="2B634D1D" w14:textId="77777777" w:rsidR="007132D4" w:rsidRPr="00020940" w:rsidRDefault="007132D4" w:rsidP="008A7034">
            <w:pPr>
              <w:rPr>
                <w:rFonts w:cstheme="minorHAnsi"/>
                <w:sz w:val="20"/>
                <w:szCs w:val="20"/>
              </w:rPr>
            </w:pPr>
            <w:r w:rsidRPr="00020940">
              <w:rPr>
                <w:rFonts w:cstheme="minorHAnsi"/>
                <w:sz w:val="20"/>
                <w:szCs w:val="20"/>
              </w:rPr>
              <w:t>$1,887,422</w:t>
            </w:r>
          </w:p>
        </w:tc>
        <w:tc>
          <w:tcPr>
            <w:tcW w:w="1218" w:type="dxa"/>
            <w:tcBorders>
              <w:top w:val="nil"/>
              <w:left w:val="nil"/>
              <w:bottom w:val="single" w:sz="4" w:space="0" w:color="auto"/>
              <w:right w:val="single" w:sz="4" w:space="0" w:color="auto"/>
            </w:tcBorders>
            <w:shd w:val="clear" w:color="auto" w:fill="auto"/>
            <w:noWrap/>
            <w:vAlign w:val="bottom"/>
            <w:hideMark/>
          </w:tcPr>
          <w:p w14:paraId="1B921F9D" w14:textId="77777777" w:rsidR="007132D4" w:rsidRPr="00020940" w:rsidRDefault="007132D4" w:rsidP="008A7034">
            <w:pPr>
              <w:rPr>
                <w:rFonts w:cstheme="minorHAnsi"/>
                <w:sz w:val="20"/>
                <w:szCs w:val="20"/>
              </w:rPr>
            </w:pPr>
            <w:r w:rsidRPr="00020940">
              <w:rPr>
                <w:rFonts w:cstheme="minorHAnsi"/>
                <w:sz w:val="20"/>
                <w:szCs w:val="20"/>
              </w:rPr>
              <w:t>$0</w:t>
            </w:r>
          </w:p>
        </w:tc>
        <w:tc>
          <w:tcPr>
            <w:tcW w:w="1218" w:type="dxa"/>
            <w:tcBorders>
              <w:top w:val="nil"/>
              <w:left w:val="nil"/>
              <w:bottom w:val="single" w:sz="4" w:space="0" w:color="auto"/>
              <w:right w:val="single" w:sz="4" w:space="0" w:color="auto"/>
            </w:tcBorders>
            <w:shd w:val="clear" w:color="auto" w:fill="auto"/>
            <w:noWrap/>
            <w:vAlign w:val="bottom"/>
            <w:hideMark/>
          </w:tcPr>
          <w:p w14:paraId="4FD387DA" w14:textId="77777777" w:rsidR="007132D4" w:rsidRPr="00020940" w:rsidRDefault="007132D4" w:rsidP="008A7034">
            <w:pPr>
              <w:rPr>
                <w:rFonts w:cstheme="minorHAnsi"/>
                <w:sz w:val="20"/>
                <w:szCs w:val="20"/>
              </w:rPr>
            </w:pPr>
            <w:r w:rsidRPr="00020940">
              <w:rPr>
                <w:rFonts w:cstheme="minorHAnsi"/>
                <w:sz w:val="20"/>
                <w:szCs w:val="20"/>
              </w:rPr>
              <w:t>$5,049,983</w:t>
            </w:r>
          </w:p>
        </w:tc>
      </w:tr>
      <w:tr w:rsidR="007132D4" w:rsidRPr="00286D21" w14:paraId="3220E059" w14:textId="77777777" w:rsidTr="00CE57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3DE4A4" w14:textId="77777777" w:rsidR="007132D4" w:rsidRPr="00020940" w:rsidRDefault="007132D4" w:rsidP="008A7034">
            <w:pPr>
              <w:rPr>
                <w:rFonts w:cstheme="minorHAnsi"/>
                <w:sz w:val="20"/>
                <w:szCs w:val="20"/>
              </w:rPr>
            </w:pPr>
            <w:r w:rsidRPr="00020940">
              <w:rPr>
                <w:rFonts w:cstheme="minorHAnsi"/>
                <w:sz w:val="20"/>
                <w:szCs w:val="20"/>
              </w:rPr>
              <w:t>2012-13</w:t>
            </w:r>
          </w:p>
        </w:tc>
        <w:tc>
          <w:tcPr>
            <w:tcW w:w="1218" w:type="dxa"/>
            <w:tcBorders>
              <w:top w:val="nil"/>
              <w:left w:val="nil"/>
              <w:bottom w:val="single" w:sz="4" w:space="0" w:color="auto"/>
              <w:right w:val="single" w:sz="4" w:space="0" w:color="auto"/>
            </w:tcBorders>
            <w:shd w:val="clear" w:color="auto" w:fill="auto"/>
            <w:noWrap/>
            <w:vAlign w:val="bottom"/>
            <w:hideMark/>
          </w:tcPr>
          <w:p w14:paraId="7D794323" w14:textId="77777777" w:rsidR="007132D4" w:rsidRPr="00020940" w:rsidRDefault="007132D4" w:rsidP="008A7034">
            <w:pPr>
              <w:rPr>
                <w:rFonts w:cstheme="minorHAnsi"/>
                <w:sz w:val="20"/>
                <w:szCs w:val="20"/>
              </w:rPr>
            </w:pPr>
            <w:r w:rsidRPr="00020940">
              <w:rPr>
                <w:rFonts w:cstheme="minorHAnsi"/>
                <w:sz w:val="20"/>
                <w:szCs w:val="20"/>
              </w:rPr>
              <w:t>$2,589,308</w:t>
            </w:r>
          </w:p>
        </w:tc>
        <w:tc>
          <w:tcPr>
            <w:tcW w:w="1218" w:type="dxa"/>
            <w:tcBorders>
              <w:top w:val="nil"/>
              <w:left w:val="nil"/>
              <w:bottom w:val="single" w:sz="4" w:space="0" w:color="auto"/>
              <w:right w:val="single" w:sz="4" w:space="0" w:color="auto"/>
            </w:tcBorders>
            <w:shd w:val="clear" w:color="auto" w:fill="auto"/>
            <w:noWrap/>
            <w:vAlign w:val="bottom"/>
            <w:hideMark/>
          </w:tcPr>
          <w:p w14:paraId="3011A009" w14:textId="77777777" w:rsidR="007132D4" w:rsidRPr="00020940" w:rsidRDefault="007132D4" w:rsidP="008A7034">
            <w:pPr>
              <w:rPr>
                <w:rFonts w:cstheme="minorHAnsi"/>
                <w:sz w:val="20"/>
                <w:szCs w:val="20"/>
              </w:rPr>
            </w:pPr>
            <w:r w:rsidRPr="00020940">
              <w:rPr>
                <w:rFonts w:cstheme="minorHAnsi"/>
                <w:sz w:val="20"/>
                <w:szCs w:val="20"/>
              </w:rPr>
              <w:t>$2,179,853</w:t>
            </w:r>
          </w:p>
        </w:tc>
        <w:tc>
          <w:tcPr>
            <w:tcW w:w="1218" w:type="dxa"/>
            <w:tcBorders>
              <w:top w:val="nil"/>
              <w:left w:val="nil"/>
              <w:bottom w:val="single" w:sz="4" w:space="0" w:color="auto"/>
              <w:right w:val="single" w:sz="4" w:space="0" w:color="auto"/>
            </w:tcBorders>
            <w:shd w:val="clear" w:color="auto" w:fill="auto"/>
            <w:noWrap/>
            <w:vAlign w:val="bottom"/>
            <w:hideMark/>
          </w:tcPr>
          <w:p w14:paraId="2F3538BC" w14:textId="77777777" w:rsidR="007132D4" w:rsidRPr="00020940" w:rsidRDefault="007132D4" w:rsidP="008A7034">
            <w:pPr>
              <w:rPr>
                <w:rFonts w:cstheme="minorHAnsi"/>
                <w:sz w:val="20"/>
                <w:szCs w:val="20"/>
              </w:rPr>
            </w:pPr>
            <w:r w:rsidRPr="00020940">
              <w:rPr>
                <w:rFonts w:cstheme="minorHAnsi"/>
                <w:sz w:val="20"/>
                <w:szCs w:val="20"/>
              </w:rPr>
              <w:t>$0</w:t>
            </w:r>
          </w:p>
        </w:tc>
        <w:tc>
          <w:tcPr>
            <w:tcW w:w="1218" w:type="dxa"/>
            <w:tcBorders>
              <w:top w:val="nil"/>
              <w:left w:val="nil"/>
              <w:bottom w:val="single" w:sz="4" w:space="0" w:color="auto"/>
              <w:right w:val="single" w:sz="4" w:space="0" w:color="auto"/>
            </w:tcBorders>
            <w:shd w:val="clear" w:color="auto" w:fill="auto"/>
            <w:noWrap/>
            <w:vAlign w:val="bottom"/>
            <w:hideMark/>
          </w:tcPr>
          <w:p w14:paraId="27CE585E" w14:textId="77777777" w:rsidR="007132D4" w:rsidRPr="00020940" w:rsidRDefault="007132D4" w:rsidP="008A7034">
            <w:pPr>
              <w:rPr>
                <w:rFonts w:cstheme="minorHAnsi"/>
                <w:sz w:val="20"/>
                <w:szCs w:val="20"/>
              </w:rPr>
            </w:pPr>
            <w:r w:rsidRPr="00020940">
              <w:rPr>
                <w:rFonts w:cstheme="minorHAnsi"/>
                <w:sz w:val="20"/>
                <w:szCs w:val="20"/>
              </w:rPr>
              <w:t>$5,800,113</w:t>
            </w:r>
          </w:p>
        </w:tc>
      </w:tr>
      <w:tr w:rsidR="007132D4" w:rsidRPr="00286D21" w14:paraId="65B3B032" w14:textId="77777777" w:rsidTr="00CE57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4B73C6" w14:textId="77777777" w:rsidR="007132D4" w:rsidRPr="00020940" w:rsidRDefault="007132D4" w:rsidP="008A7034">
            <w:pPr>
              <w:rPr>
                <w:rFonts w:cstheme="minorHAnsi"/>
                <w:sz w:val="20"/>
                <w:szCs w:val="20"/>
              </w:rPr>
            </w:pPr>
            <w:r w:rsidRPr="00020940">
              <w:rPr>
                <w:rFonts w:cstheme="minorHAnsi"/>
                <w:sz w:val="20"/>
                <w:szCs w:val="20"/>
              </w:rPr>
              <w:t>2013-14</w:t>
            </w:r>
          </w:p>
        </w:tc>
        <w:tc>
          <w:tcPr>
            <w:tcW w:w="1218" w:type="dxa"/>
            <w:tcBorders>
              <w:top w:val="nil"/>
              <w:left w:val="nil"/>
              <w:bottom w:val="single" w:sz="4" w:space="0" w:color="auto"/>
              <w:right w:val="single" w:sz="4" w:space="0" w:color="auto"/>
            </w:tcBorders>
            <w:shd w:val="clear" w:color="auto" w:fill="auto"/>
            <w:noWrap/>
            <w:vAlign w:val="bottom"/>
            <w:hideMark/>
          </w:tcPr>
          <w:p w14:paraId="13A54AAC" w14:textId="77777777" w:rsidR="007132D4" w:rsidRPr="00020940" w:rsidRDefault="007132D4" w:rsidP="008A7034">
            <w:pPr>
              <w:rPr>
                <w:rFonts w:cstheme="minorHAnsi"/>
                <w:sz w:val="20"/>
                <w:szCs w:val="20"/>
              </w:rPr>
            </w:pPr>
            <w:r w:rsidRPr="00020940">
              <w:rPr>
                <w:rFonts w:cstheme="minorHAnsi"/>
                <w:sz w:val="20"/>
                <w:szCs w:val="20"/>
              </w:rPr>
              <w:t>$2,985,423</w:t>
            </w:r>
          </w:p>
        </w:tc>
        <w:tc>
          <w:tcPr>
            <w:tcW w:w="1218" w:type="dxa"/>
            <w:tcBorders>
              <w:top w:val="nil"/>
              <w:left w:val="nil"/>
              <w:bottom w:val="single" w:sz="4" w:space="0" w:color="auto"/>
              <w:right w:val="single" w:sz="4" w:space="0" w:color="auto"/>
            </w:tcBorders>
            <w:shd w:val="clear" w:color="auto" w:fill="auto"/>
            <w:noWrap/>
            <w:vAlign w:val="bottom"/>
            <w:hideMark/>
          </w:tcPr>
          <w:p w14:paraId="472E76DC" w14:textId="77777777" w:rsidR="007132D4" w:rsidRPr="00020940" w:rsidRDefault="007132D4" w:rsidP="008A7034">
            <w:pPr>
              <w:rPr>
                <w:rFonts w:cstheme="minorHAnsi"/>
                <w:sz w:val="20"/>
                <w:szCs w:val="20"/>
              </w:rPr>
            </w:pPr>
            <w:r w:rsidRPr="00020940">
              <w:rPr>
                <w:rFonts w:cstheme="minorHAnsi"/>
                <w:sz w:val="20"/>
                <w:szCs w:val="20"/>
              </w:rPr>
              <w:t>$2,601,982</w:t>
            </w:r>
          </w:p>
        </w:tc>
        <w:tc>
          <w:tcPr>
            <w:tcW w:w="1218" w:type="dxa"/>
            <w:tcBorders>
              <w:top w:val="nil"/>
              <w:left w:val="nil"/>
              <w:bottom w:val="single" w:sz="4" w:space="0" w:color="auto"/>
              <w:right w:val="single" w:sz="4" w:space="0" w:color="auto"/>
            </w:tcBorders>
            <w:shd w:val="clear" w:color="auto" w:fill="auto"/>
            <w:noWrap/>
            <w:vAlign w:val="bottom"/>
            <w:hideMark/>
          </w:tcPr>
          <w:p w14:paraId="5C92AF9C" w14:textId="77777777" w:rsidR="007132D4" w:rsidRPr="00020940" w:rsidRDefault="007132D4" w:rsidP="008A7034">
            <w:pPr>
              <w:rPr>
                <w:rFonts w:cstheme="minorHAnsi"/>
                <w:sz w:val="20"/>
                <w:szCs w:val="20"/>
              </w:rPr>
            </w:pPr>
            <w:r w:rsidRPr="00020940">
              <w:rPr>
                <w:rFonts w:cstheme="minorHAnsi"/>
                <w:sz w:val="20"/>
                <w:szCs w:val="20"/>
              </w:rPr>
              <w:t>$0</w:t>
            </w:r>
          </w:p>
        </w:tc>
        <w:tc>
          <w:tcPr>
            <w:tcW w:w="1218" w:type="dxa"/>
            <w:tcBorders>
              <w:top w:val="nil"/>
              <w:left w:val="nil"/>
              <w:bottom w:val="single" w:sz="4" w:space="0" w:color="auto"/>
              <w:right w:val="single" w:sz="4" w:space="0" w:color="auto"/>
            </w:tcBorders>
            <w:shd w:val="clear" w:color="auto" w:fill="auto"/>
            <w:noWrap/>
            <w:vAlign w:val="bottom"/>
            <w:hideMark/>
          </w:tcPr>
          <w:p w14:paraId="0267DDC6" w14:textId="77777777" w:rsidR="007132D4" w:rsidRPr="00020940" w:rsidRDefault="007132D4" w:rsidP="008A7034">
            <w:pPr>
              <w:rPr>
                <w:rFonts w:cstheme="minorHAnsi"/>
                <w:sz w:val="20"/>
                <w:szCs w:val="20"/>
              </w:rPr>
            </w:pPr>
            <w:r w:rsidRPr="00020940">
              <w:rPr>
                <w:rFonts w:cstheme="minorHAnsi"/>
                <w:sz w:val="20"/>
                <w:szCs w:val="20"/>
              </w:rPr>
              <w:t>$6,420,027</w:t>
            </w:r>
          </w:p>
        </w:tc>
      </w:tr>
      <w:tr w:rsidR="007132D4" w:rsidRPr="00286D21" w14:paraId="648B50BF" w14:textId="77777777" w:rsidTr="00CE57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7B6202" w14:textId="77777777" w:rsidR="007132D4" w:rsidRPr="00020940" w:rsidRDefault="007132D4" w:rsidP="008A7034">
            <w:pPr>
              <w:rPr>
                <w:rFonts w:cstheme="minorHAnsi"/>
                <w:sz w:val="20"/>
                <w:szCs w:val="20"/>
              </w:rPr>
            </w:pPr>
            <w:r w:rsidRPr="00020940">
              <w:rPr>
                <w:rFonts w:cstheme="minorHAnsi"/>
                <w:sz w:val="20"/>
                <w:szCs w:val="20"/>
              </w:rPr>
              <w:t>2014-15</w:t>
            </w:r>
          </w:p>
        </w:tc>
        <w:tc>
          <w:tcPr>
            <w:tcW w:w="1218" w:type="dxa"/>
            <w:tcBorders>
              <w:top w:val="nil"/>
              <w:left w:val="nil"/>
              <w:bottom w:val="single" w:sz="4" w:space="0" w:color="auto"/>
              <w:right w:val="single" w:sz="4" w:space="0" w:color="auto"/>
            </w:tcBorders>
            <w:shd w:val="clear" w:color="auto" w:fill="auto"/>
            <w:noWrap/>
            <w:vAlign w:val="bottom"/>
            <w:hideMark/>
          </w:tcPr>
          <w:p w14:paraId="4D6BAA29" w14:textId="77777777" w:rsidR="007132D4" w:rsidRPr="00020940" w:rsidRDefault="007132D4" w:rsidP="008A7034">
            <w:pPr>
              <w:rPr>
                <w:rFonts w:cstheme="minorHAnsi"/>
                <w:sz w:val="20"/>
                <w:szCs w:val="20"/>
              </w:rPr>
            </w:pPr>
            <w:r w:rsidRPr="00020940">
              <w:rPr>
                <w:rFonts w:cstheme="minorHAnsi"/>
                <w:sz w:val="20"/>
                <w:szCs w:val="20"/>
              </w:rPr>
              <w:t>$3,551,579</w:t>
            </w:r>
          </w:p>
        </w:tc>
        <w:tc>
          <w:tcPr>
            <w:tcW w:w="1218" w:type="dxa"/>
            <w:tcBorders>
              <w:top w:val="nil"/>
              <w:left w:val="nil"/>
              <w:bottom w:val="single" w:sz="4" w:space="0" w:color="auto"/>
              <w:right w:val="single" w:sz="4" w:space="0" w:color="auto"/>
            </w:tcBorders>
            <w:shd w:val="clear" w:color="auto" w:fill="auto"/>
            <w:noWrap/>
            <w:vAlign w:val="bottom"/>
            <w:hideMark/>
          </w:tcPr>
          <w:p w14:paraId="366BD304" w14:textId="77777777" w:rsidR="007132D4" w:rsidRPr="00020940" w:rsidRDefault="007132D4" w:rsidP="008A7034">
            <w:pPr>
              <w:rPr>
                <w:rFonts w:cstheme="minorHAnsi"/>
                <w:sz w:val="20"/>
                <w:szCs w:val="20"/>
              </w:rPr>
            </w:pPr>
            <w:r w:rsidRPr="00020940">
              <w:rPr>
                <w:rFonts w:cstheme="minorHAnsi"/>
                <w:sz w:val="20"/>
                <w:szCs w:val="20"/>
              </w:rPr>
              <w:t>$2,989,234</w:t>
            </w:r>
          </w:p>
        </w:tc>
        <w:tc>
          <w:tcPr>
            <w:tcW w:w="1218" w:type="dxa"/>
            <w:tcBorders>
              <w:top w:val="nil"/>
              <w:left w:val="nil"/>
              <w:bottom w:val="single" w:sz="4" w:space="0" w:color="auto"/>
              <w:right w:val="single" w:sz="4" w:space="0" w:color="auto"/>
            </w:tcBorders>
            <w:shd w:val="clear" w:color="auto" w:fill="auto"/>
            <w:noWrap/>
            <w:vAlign w:val="bottom"/>
            <w:hideMark/>
          </w:tcPr>
          <w:p w14:paraId="618B1E69" w14:textId="77777777" w:rsidR="007132D4" w:rsidRPr="00020940" w:rsidRDefault="007132D4" w:rsidP="008A7034">
            <w:pPr>
              <w:rPr>
                <w:rFonts w:cstheme="minorHAnsi"/>
                <w:sz w:val="20"/>
                <w:szCs w:val="20"/>
              </w:rPr>
            </w:pPr>
            <w:r w:rsidRPr="00020940">
              <w:rPr>
                <w:rFonts w:cstheme="minorHAnsi"/>
                <w:sz w:val="20"/>
                <w:szCs w:val="20"/>
              </w:rPr>
              <w:t>$0</w:t>
            </w:r>
          </w:p>
        </w:tc>
        <w:tc>
          <w:tcPr>
            <w:tcW w:w="1218" w:type="dxa"/>
            <w:tcBorders>
              <w:top w:val="nil"/>
              <w:left w:val="nil"/>
              <w:bottom w:val="single" w:sz="4" w:space="0" w:color="auto"/>
              <w:right w:val="single" w:sz="4" w:space="0" w:color="auto"/>
            </w:tcBorders>
            <w:shd w:val="clear" w:color="auto" w:fill="auto"/>
            <w:noWrap/>
            <w:vAlign w:val="bottom"/>
            <w:hideMark/>
          </w:tcPr>
          <w:p w14:paraId="311A99CE" w14:textId="77777777" w:rsidR="007132D4" w:rsidRPr="00020940" w:rsidRDefault="007132D4" w:rsidP="008A7034">
            <w:pPr>
              <w:rPr>
                <w:rFonts w:cstheme="minorHAnsi"/>
                <w:sz w:val="20"/>
                <w:szCs w:val="20"/>
              </w:rPr>
            </w:pPr>
            <w:r w:rsidRPr="00020940">
              <w:rPr>
                <w:rFonts w:cstheme="minorHAnsi"/>
                <w:sz w:val="20"/>
                <w:szCs w:val="20"/>
              </w:rPr>
              <w:t>$7,196,486</w:t>
            </w:r>
          </w:p>
        </w:tc>
      </w:tr>
      <w:tr w:rsidR="007132D4" w:rsidRPr="00286D21" w14:paraId="19BDF47A" w14:textId="77777777" w:rsidTr="00CE57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A59237" w14:textId="77777777" w:rsidR="007132D4" w:rsidRPr="00020940" w:rsidRDefault="007132D4" w:rsidP="008A7034">
            <w:pPr>
              <w:rPr>
                <w:rFonts w:cstheme="minorHAnsi"/>
                <w:sz w:val="20"/>
                <w:szCs w:val="20"/>
              </w:rPr>
            </w:pPr>
            <w:r w:rsidRPr="00020940">
              <w:rPr>
                <w:rFonts w:cstheme="minorHAnsi"/>
                <w:sz w:val="20"/>
                <w:szCs w:val="20"/>
              </w:rPr>
              <w:t>2015-16</w:t>
            </w:r>
          </w:p>
        </w:tc>
        <w:tc>
          <w:tcPr>
            <w:tcW w:w="1218" w:type="dxa"/>
            <w:tcBorders>
              <w:top w:val="nil"/>
              <w:left w:val="nil"/>
              <w:bottom w:val="single" w:sz="4" w:space="0" w:color="auto"/>
              <w:right w:val="single" w:sz="4" w:space="0" w:color="auto"/>
            </w:tcBorders>
            <w:shd w:val="clear" w:color="auto" w:fill="auto"/>
            <w:noWrap/>
            <w:vAlign w:val="bottom"/>
            <w:hideMark/>
          </w:tcPr>
          <w:p w14:paraId="1DE7383A" w14:textId="77777777" w:rsidR="007132D4" w:rsidRPr="00020940" w:rsidRDefault="007132D4" w:rsidP="008A7034">
            <w:pPr>
              <w:rPr>
                <w:rFonts w:cstheme="minorHAnsi"/>
                <w:sz w:val="20"/>
                <w:szCs w:val="20"/>
              </w:rPr>
            </w:pPr>
            <w:r w:rsidRPr="00020940">
              <w:rPr>
                <w:rFonts w:cstheme="minorHAnsi"/>
                <w:sz w:val="20"/>
                <w:szCs w:val="20"/>
              </w:rPr>
              <w:t>$3,629,725</w:t>
            </w:r>
          </w:p>
        </w:tc>
        <w:tc>
          <w:tcPr>
            <w:tcW w:w="1218" w:type="dxa"/>
            <w:tcBorders>
              <w:top w:val="nil"/>
              <w:left w:val="nil"/>
              <w:bottom w:val="single" w:sz="4" w:space="0" w:color="auto"/>
              <w:right w:val="single" w:sz="4" w:space="0" w:color="auto"/>
            </w:tcBorders>
            <w:shd w:val="clear" w:color="auto" w:fill="auto"/>
            <w:noWrap/>
            <w:vAlign w:val="bottom"/>
            <w:hideMark/>
          </w:tcPr>
          <w:p w14:paraId="4A64C04B" w14:textId="77777777" w:rsidR="007132D4" w:rsidRPr="00020940" w:rsidRDefault="007132D4" w:rsidP="008A7034">
            <w:pPr>
              <w:rPr>
                <w:rFonts w:cstheme="minorHAnsi"/>
                <w:sz w:val="20"/>
                <w:szCs w:val="20"/>
              </w:rPr>
            </w:pPr>
            <w:r w:rsidRPr="00020940">
              <w:rPr>
                <w:rFonts w:cstheme="minorHAnsi"/>
                <w:sz w:val="20"/>
                <w:szCs w:val="20"/>
              </w:rPr>
              <w:t>$3,361,747</w:t>
            </w:r>
          </w:p>
        </w:tc>
        <w:tc>
          <w:tcPr>
            <w:tcW w:w="1218" w:type="dxa"/>
            <w:tcBorders>
              <w:top w:val="nil"/>
              <w:left w:val="nil"/>
              <w:bottom w:val="single" w:sz="4" w:space="0" w:color="auto"/>
              <w:right w:val="single" w:sz="4" w:space="0" w:color="auto"/>
            </w:tcBorders>
            <w:shd w:val="clear" w:color="auto" w:fill="auto"/>
            <w:noWrap/>
            <w:vAlign w:val="bottom"/>
            <w:hideMark/>
          </w:tcPr>
          <w:p w14:paraId="1631D211" w14:textId="77777777" w:rsidR="007132D4" w:rsidRPr="00020940" w:rsidRDefault="007132D4" w:rsidP="008A7034">
            <w:pPr>
              <w:rPr>
                <w:rFonts w:cstheme="minorHAnsi"/>
                <w:sz w:val="20"/>
                <w:szCs w:val="20"/>
              </w:rPr>
            </w:pPr>
            <w:r w:rsidRPr="00020940">
              <w:rPr>
                <w:rFonts w:cstheme="minorHAnsi"/>
                <w:sz w:val="20"/>
                <w:szCs w:val="20"/>
              </w:rPr>
              <w:t>$0</w:t>
            </w:r>
          </w:p>
        </w:tc>
        <w:tc>
          <w:tcPr>
            <w:tcW w:w="1218" w:type="dxa"/>
            <w:tcBorders>
              <w:top w:val="nil"/>
              <w:left w:val="nil"/>
              <w:bottom w:val="single" w:sz="4" w:space="0" w:color="auto"/>
              <w:right w:val="single" w:sz="4" w:space="0" w:color="auto"/>
            </w:tcBorders>
            <w:shd w:val="clear" w:color="auto" w:fill="auto"/>
            <w:noWrap/>
            <w:vAlign w:val="bottom"/>
            <w:hideMark/>
          </w:tcPr>
          <w:p w14:paraId="1054A155" w14:textId="77777777" w:rsidR="007132D4" w:rsidRPr="00020940" w:rsidRDefault="007132D4" w:rsidP="008A7034">
            <w:pPr>
              <w:rPr>
                <w:rFonts w:cstheme="minorHAnsi"/>
                <w:sz w:val="20"/>
                <w:szCs w:val="20"/>
              </w:rPr>
            </w:pPr>
            <w:r w:rsidRPr="00020940">
              <w:rPr>
                <w:rFonts w:cstheme="minorHAnsi"/>
                <w:sz w:val="20"/>
                <w:szCs w:val="20"/>
              </w:rPr>
              <w:t>$7,360,988</w:t>
            </w:r>
          </w:p>
        </w:tc>
      </w:tr>
      <w:tr w:rsidR="007132D4" w:rsidRPr="00286D21" w14:paraId="013374CF" w14:textId="77777777" w:rsidTr="00CE57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58A172" w14:textId="77777777" w:rsidR="007132D4" w:rsidRPr="00020940" w:rsidRDefault="007132D4" w:rsidP="008A7034">
            <w:pPr>
              <w:rPr>
                <w:rFonts w:cstheme="minorHAnsi"/>
                <w:sz w:val="20"/>
                <w:szCs w:val="20"/>
              </w:rPr>
            </w:pPr>
            <w:r w:rsidRPr="00020940">
              <w:rPr>
                <w:rFonts w:cstheme="minorHAnsi"/>
                <w:sz w:val="20"/>
                <w:szCs w:val="20"/>
              </w:rPr>
              <w:t>2016-17</w:t>
            </w:r>
          </w:p>
        </w:tc>
        <w:tc>
          <w:tcPr>
            <w:tcW w:w="1218" w:type="dxa"/>
            <w:tcBorders>
              <w:top w:val="nil"/>
              <w:left w:val="nil"/>
              <w:bottom w:val="single" w:sz="4" w:space="0" w:color="auto"/>
              <w:right w:val="single" w:sz="4" w:space="0" w:color="auto"/>
            </w:tcBorders>
            <w:shd w:val="clear" w:color="auto" w:fill="auto"/>
            <w:noWrap/>
            <w:vAlign w:val="bottom"/>
            <w:hideMark/>
          </w:tcPr>
          <w:p w14:paraId="0E3663F0" w14:textId="77777777" w:rsidR="007132D4" w:rsidRPr="00020940" w:rsidRDefault="007132D4" w:rsidP="008A7034">
            <w:pPr>
              <w:rPr>
                <w:rFonts w:cstheme="minorHAnsi"/>
                <w:sz w:val="20"/>
                <w:szCs w:val="20"/>
              </w:rPr>
            </w:pPr>
            <w:r w:rsidRPr="00020940">
              <w:rPr>
                <w:rFonts w:cstheme="minorHAnsi"/>
                <w:sz w:val="20"/>
                <w:szCs w:val="20"/>
              </w:rPr>
              <w:t>$3,648,992</w:t>
            </w:r>
          </w:p>
        </w:tc>
        <w:tc>
          <w:tcPr>
            <w:tcW w:w="1218" w:type="dxa"/>
            <w:tcBorders>
              <w:top w:val="nil"/>
              <w:left w:val="nil"/>
              <w:bottom w:val="single" w:sz="4" w:space="0" w:color="auto"/>
              <w:right w:val="single" w:sz="4" w:space="0" w:color="auto"/>
            </w:tcBorders>
            <w:shd w:val="clear" w:color="auto" w:fill="auto"/>
            <w:noWrap/>
            <w:vAlign w:val="bottom"/>
            <w:hideMark/>
          </w:tcPr>
          <w:p w14:paraId="57A4B9A4" w14:textId="77777777" w:rsidR="007132D4" w:rsidRPr="00020940" w:rsidRDefault="007132D4" w:rsidP="008A7034">
            <w:pPr>
              <w:rPr>
                <w:rFonts w:cstheme="minorHAnsi"/>
                <w:sz w:val="20"/>
                <w:szCs w:val="20"/>
              </w:rPr>
            </w:pPr>
            <w:r w:rsidRPr="00020940">
              <w:rPr>
                <w:rFonts w:cstheme="minorHAnsi"/>
                <w:sz w:val="20"/>
                <w:szCs w:val="20"/>
              </w:rPr>
              <w:t>$3,627,409</w:t>
            </w:r>
          </w:p>
        </w:tc>
        <w:tc>
          <w:tcPr>
            <w:tcW w:w="1218" w:type="dxa"/>
            <w:tcBorders>
              <w:top w:val="nil"/>
              <w:left w:val="nil"/>
              <w:bottom w:val="single" w:sz="4" w:space="0" w:color="auto"/>
              <w:right w:val="single" w:sz="4" w:space="0" w:color="auto"/>
            </w:tcBorders>
            <w:shd w:val="clear" w:color="auto" w:fill="auto"/>
            <w:noWrap/>
            <w:vAlign w:val="bottom"/>
            <w:hideMark/>
          </w:tcPr>
          <w:p w14:paraId="65729F0B" w14:textId="77777777" w:rsidR="007132D4" w:rsidRPr="00020940" w:rsidRDefault="007132D4" w:rsidP="008A7034">
            <w:pPr>
              <w:rPr>
                <w:rFonts w:cstheme="minorHAnsi"/>
                <w:sz w:val="20"/>
                <w:szCs w:val="20"/>
              </w:rPr>
            </w:pPr>
            <w:r w:rsidRPr="00020940">
              <w:rPr>
                <w:rFonts w:cstheme="minorHAnsi"/>
                <w:sz w:val="20"/>
                <w:szCs w:val="20"/>
              </w:rPr>
              <w:t>$0</w:t>
            </w:r>
          </w:p>
        </w:tc>
        <w:tc>
          <w:tcPr>
            <w:tcW w:w="1218" w:type="dxa"/>
            <w:tcBorders>
              <w:top w:val="nil"/>
              <w:left w:val="nil"/>
              <w:bottom w:val="single" w:sz="4" w:space="0" w:color="auto"/>
              <w:right w:val="single" w:sz="4" w:space="0" w:color="auto"/>
            </w:tcBorders>
            <w:shd w:val="clear" w:color="auto" w:fill="auto"/>
            <w:noWrap/>
            <w:vAlign w:val="bottom"/>
            <w:hideMark/>
          </w:tcPr>
          <w:p w14:paraId="794C5A5C" w14:textId="77777777" w:rsidR="007132D4" w:rsidRPr="00020940" w:rsidRDefault="007132D4" w:rsidP="008A7034">
            <w:pPr>
              <w:rPr>
                <w:rFonts w:cstheme="minorHAnsi"/>
                <w:sz w:val="20"/>
                <w:szCs w:val="20"/>
              </w:rPr>
            </w:pPr>
            <w:r w:rsidRPr="00020940">
              <w:rPr>
                <w:rFonts w:cstheme="minorHAnsi"/>
                <w:sz w:val="20"/>
                <w:szCs w:val="20"/>
              </w:rPr>
              <w:t>$7,566,491</w:t>
            </w:r>
          </w:p>
        </w:tc>
      </w:tr>
      <w:tr w:rsidR="007132D4" w:rsidRPr="00286D21" w14:paraId="77B782C6" w14:textId="77777777" w:rsidTr="00CE57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14E691" w14:textId="77777777" w:rsidR="007132D4" w:rsidRPr="00020940" w:rsidRDefault="007132D4" w:rsidP="008A7034">
            <w:pPr>
              <w:rPr>
                <w:rFonts w:cstheme="minorHAnsi"/>
                <w:sz w:val="20"/>
                <w:szCs w:val="20"/>
              </w:rPr>
            </w:pPr>
            <w:r w:rsidRPr="00020940">
              <w:rPr>
                <w:rFonts w:cstheme="minorHAnsi"/>
                <w:sz w:val="20"/>
                <w:szCs w:val="20"/>
              </w:rPr>
              <w:t>2017-18</w:t>
            </w:r>
          </w:p>
        </w:tc>
        <w:tc>
          <w:tcPr>
            <w:tcW w:w="1218" w:type="dxa"/>
            <w:tcBorders>
              <w:top w:val="nil"/>
              <w:left w:val="nil"/>
              <w:bottom w:val="single" w:sz="4" w:space="0" w:color="auto"/>
              <w:right w:val="single" w:sz="4" w:space="0" w:color="auto"/>
            </w:tcBorders>
            <w:shd w:val="clear" w:color="auto" w:fill="auto"/>
            <w:noWrap/>
            <w:vAlign w:val="bottom"/>
            <w:hideMark/>
          </w:tcPr>
          <w:p w14:paraId="72DE1972" w14:textId="77777777" w:rsidR="007132D4" w:rsidRPr="00020940" w:rsidRDefault="007132D4" w:rsidP="008A7034">
            <w:pPr>
              <w:rPr>
                <w:rFonts w:cstheme="minorHAnsi"/>
                <w:sz w:val="20"/>
                <w:szCs w:val="20"/>
              </w:rPr>
            </w:pPr>
            <w:r w:rsidRPr="00020940">
              <w:rPr>
                <w:rFonts w:cstheme="minorHAnsi"/>
                <w:sz w:val="20"/>
                <w:szCs w:val="20"/>
              </w:rPr>
              <w:t>$3,246,593</w:t>
            </w:r>
          </w:p>
        </w:tc>
        <w:tc>
          <w:tcPr>
            <w:tcW w:w="1218" w:type="dxa"/>
            <w:tcBorders>
              <w:top w:val="nil"/>
              <w:left w:val="nil"/>
              <w:bottom w:val="single" w:sz="4" w:space="0" w:color="auto"/>
              <w:right w:val="single" w:sz="4" w:space="0" w:color="auto"/>
            </w:tcBorders>
            <w:shd w:val="clear" w:color="auto" w:fill="auto"/>
            <w:noWrap/>
            <w:vAlign w:val="bottom"/>
            <w:hideMark/>
          </w:tcPr>
          <w:p w14:paraId="4D832EC6" w14:textId="77777777" w:rsidR="007132D4" w:rsidRPr="00020940" w:rsidRDefault="007132D4" w:rsidP="008A7034">
            <w:pPr>
              <w:rPr>
                <w:rFonts w:cstheme="minorHAnsi"/>
                <w:sz w:val="20"/>
                <w:szCs w:val="20"/>
              </w:rPr>
            </w:pPr>
            <w:r w:rsidRPr="00020940">
              <w:rPr>
                <w:rFonts w:cstheme="minorHAnsi"/>
                <w:sz w:val="20"/>
                <w:szCs w:val="20"/>
              </w:rPr>
              <w:t>$3,766,600</w:t>
            </w:r>
          </w:p>
        </w:tc>
        <w:tc>
          <w:tcPr>
            <w:tcW w:w="1218" w:type="dxa"/>
            <w:tcBorders>
              <w:top w:val="nil"/>
              <w:left w:val="nil"/>
              <w:bottom w:val="single" w:sz="4" w:space="0" w:color="auto"/>
              <w:right w:val="single" w:sz="4" w:space="0" w:color="auto"/>
            </w:tcBorders>
            <w:shd w:val="clear" w:color="auto" w:fill="auto"/>
            <w:noWrap/>
            <w:vAlign w:val="bottom"/>
            <w:hideMark/>
          </w:tcPr>
          <w:p w14:paraId="3CA64A01" w14:textId="77777777" w:rsidR="007132D4" w:rsidRPr="00020940" w:rsidRDefault="007132D4" w:rsidP="008A7034">
            <w:pPr>
              <w:rPr>
                <w:rFonts w:cstheme="minorHAnsi"/>
                <w:sz w:val="20"/>
                <w:szCs w:val="20"/>
              </w:rPr>
            </w:pPr>
            <w:r w:rsidRPr="00020940">
              <w:rPr>
                <w:rFonts w:cstheme="minorHAnsi"/>
                <w:sz w:val="20"/>
                <w:szCs w:val="20"/>
              </w:rPr>
              <w:t>$0</w:t>
            </w:r>
          </w:p>
        </w:tc>
        <w:tc>
          <w:tcPr>
            <w:tcW w:w="1218" w:type="dxa"/>
            <w:tcBorders>
              <w:top w:val="nil"/>
              <w:left w:val="nil"/>
              <w:bottom w:val="single" w:sz="4" w:space="0" w:color="auto"/>
              <w:right w:val="single" w:sz="4" w:space="0" w:color="auto"/>
            </w:tcBorders>
            <w:shd w:val="clear" w:color="auto" w:fill="auto"/>
            <w:noWrap/>
            <w:vAlign w:val="bottom"/>
            <w:hideMark/>
          </w:tcPr>
          <w:p w14:paraId="5271EDAA" w14:textId="77777777" w:rsidR="007132D4" w:rsidRPr="00020940" w:rsidRDefault="007132D4" w:rsidP="008A7034">
            <w:pPr>
              <w:rPr>
                <w:rFonts w:cstheme="minorHAnsi"/>
                <w:sz w:val="20"/>
                <w:szCs w:val="20"/>
              </w:rPr>
            </w:pPr>
            <w:r w:rsidRPr="00020940">
              <w:rPr>
                <w:rFonts w:cstheme="minorHAnsi"/>
                <w:sz w:val="20"/>
                <w:szCs w:val="20"/>
              </w:rPr>
              <w:t>$7,353,374</w:t>
            </w:r>
          </w:p>
        </w:tc>
      </w:tr>
      <w:tr w:rsidR="007132D4" w:rsidRPr="00286D21" w14:paraId="19B8AF85" w14:textId="77777777" w:rsidTr="00CE57D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20D4F9" w14:textId="77777777" w:rsidR="007132D4" w:rsidRPr="00020940" w:rsidRDefault="007132D4" w:rsidP="008A7034">
            <w:pPr>
              <w:rPr>
                <w:rFonts w:cstheme="minorHAnsi"/>
                <w:sz w:val="20"/>
                <w:szCs w:val="20"/>
              </w:rPr>
            </w:pPr>
            <w:r w:rsidRPr="00020940">
              <w:rPr>
                <w:rFonts w:cstheme="minorHAnsi"/>
                <w:sz w:val="20"/>
                <w:szCs w:val="20"/>
              </w:rPr>
              <w:t>2018-19</w:t>
            </w:r>
          </w:p>
        </w:tc>
        <w:tc>
          <w:tcPr>
            <w:tcW w:w="1218" w:type="dxa"/>
            <w:tcBorders>
              <w:top w:val="nil"/>
              <w:left w:val="nil"/>
              <w:bottom w:val="single" w:sz="4" w:space="0" w:color="auto"/>
              <w:right w:val="single" w:sz="4" w:space="0" w:color="auto"/>
            </w:tcBorders>
            <w:shd w:val="clear" w:color="auto" w:fill="auto"/>
            <w:noWrap/>
            <w:vAlign w:val="bottom"/>
            <w:hideMark/>
          </w:tcPr>
          <w:p w14:paraId="449735CA" w14:textId="77777777" w:rsidR="007132D4" w:rsidRPr="00020940" w:rsidRDefault="007132D4" w:rsidP="008A7034">
            <w:pPr>
              <w:rPr>
                <w:rFonts w:cstheme="minorHAnsi"/>
                <w:sz w:val="20"/>
                <w:szCs w:val="20"/>
              </w:rPr>
            </w:pPr>
            <w:r w:rsidRPr="00020940">
              <w:rPr>
                <w:rFonts w:cstheme="minorHAnsi"/>
                <w:sz w:val="20"/>
                <w:szCs w:val="20"/>
              </w:rPr>
              <w:t>$0</w:t>
            </w:r>
          </w:p>
        </w:tc>
        <w:tc>
          <w:tcPr>
            <w:tcW w:w="1218" w:type="dxa"/>
            <w:tcBorders>
              <w:top w:val="nil"/>
              <w:left w:val="nil"/>
              <w:bottom w:val="single" w:sz="4" w:space="0" w:color="auto"/>
              <w:right w:val="single" w:sz="4" w:space="0" w:color="auto"/>
            </w:tcBorders>
            <w:shd w:val="clear" w:color="auto" w:fill="auto"/>
            <w:noWrap/>
            <w:vAlign w:val="bottom"/>
            <w:hideMark/>
          </w:tcPr>
          <w:p w14:paraId="77F75E58" w14:textId="77777777" w:rsidR="007132D4" w:rsidRPr="00020940" w:rsidRDefault="007132D4" w:rsidP="008A7034">
            <w:pPr>
              <w:rPr>
                <w:rFonts w:cstheme="minorHAnsi"/>
                <w:sz w:val="20"/>
                <w:szCs w:val="20"/>
              </w:rPr>
            </w:pPr>
            <w:r w:rsidRPr="00020940">
              <w:rPr>
                <w:rFonts w:cstheme="minorHAnsi"/>
                <w:sz w:val="20"/>
                <w:szCs w:val="20"/>
              </w:rPr>
              <w:t>$0</w:t>
            </w:r>
          </w:p>
        </w:tc>
        <w:tc>
          <w:tcPr>
            <w:tcW w:w="1218" w:type="dxa"/>
            <w:tcBorders>
              <w:top w:val="nil"/>
              <w:left w:val="nil"/>
              <w:bottom w:val="single" w:sz="4" w:space="0" w:color="auto"/>
              <w:right w:val="single" w:sz="4" w:space="0" w:color="auto"/>
            </w:tcBorders>
            <w:shd w:val="clear" w:color="auto" w:fill="auto"/>
            <w:noWrap/>
            <w:vAlign w:val="bottom"/>
            <w:hideMark/>
          </w:tcPr>
          <w:p w14:paraId="67EB5F9C" w14:textId="77777777" w:rsidR="007132D4" w:rsidRPr="00020940" w:rsidRDefault="007132D4" w:rsidP="008A7034">
            <w:pPr>
              <w:rPr>
                <w:rFonts w:cstheme="minorHAnsi"/>
                <w:sz w:val="20"/>
                <w:szCs w:val="20"/>
              </w:rPr>
            </w:pPr>
            <w:r w:rsidRPr="00020940">
              <w:rPr>
                <w:rFonts w:cstheme="minorHAnsi"/>
                <w:sz w:val="20"/>
                <w:szCs w:val="20"/>
              </w:rPr>
              <w:t>$7,440,349</w:t>
            </w:r>
          </w:p>
        </w:tc>
        <w:tc>
          <w:tcPr>
            <w:tcW w:w="1218" w:type="dxa"/>
            <w:tcBorders>
              <w:top w:val="nil"/>
              <w:left w:val="nil"/>
              <w:bottom w:val="single" w:sz="4" w:space="0" w:color="auto"/>
              <w:right w:val="single" w:sz="4" w:space="0" w:color="auto"/>
            </w:tcBorders>
            <w:shd w:val="clear" w:color="auto" w:fill="auto"/>
            <w:noWrap/>
            <w:vAlign w:val="bottom"/>
            <w:hideMark/>
          </w:tcPr>
          <w:p w14:paraId="4BBFD770" w14:textId="77777777" w:rsidR="007132D4" w:rsidRPr="00020940" w:rsidRDefault="007132D4" w:rsidP="008A7034">
            <w:pPr>
              <w:rPr>
                <w:rFonts w:cstheme="minorHAnsi"/>
                <w:sz w:val="20"/>
                <w:szCs w:val="20"/>
              </w:rPr>
            </w:pPr>
            <w:r w:rsidRPr="00020940">
              <w:rPr>
                <w:rFonts w:cstheme="minorHAnsi"/>
                <w:sz w:val="20"/>
                <w:szCs w:val="20"/>
              </w:rPr>
              <w:t>$7,708,802</w:t>
            </w:r>
          </w:p>
        </w:tc>
      </w:tr>
    </w:tbl>
    <w:p w14:paraId="6917AD50" w14:textId="77777777" w:rsidR="001861A7" w:rsidRPr="00286D21" w:rsidRDefault="001861A7" w:rsidP="00020940">
      <w:pPr>
        <w:autoSpaceDE w:val="0"/>
        <w:autoSpaceDN w:val="0"/>
        <w:adjustRightInd w:val="0"/>
        <w:spacing w:before="240" w:after="0" w:line="240" w:lineRule="auto"/>
        <w:rPr>
          <w:rFonts w:cstheme="minorHAnsi"/>
          <w:b/>
          <w:u w:val="single"/>
        </w:rPr>
      </w:pPr>
      <w:r w:rsidRPr="00286D21">
        <w:rPr>
          <w:rFonts w:cstheme="minorHAnsi"/>
          <w:b/>
          <w:u w:val="single"/>
        </w:rPr>
        <w:t xml:space="preserve">The Mitchell Institute Report stated: </w:t>
      </w:r>
    </w:p>
    <w:p w14:paraId="4C60D152" w14:textId="77777777" w:rsidR="009C4495" w:rsidRPr="00286D21" w:rsidRDefault="00B43779" w:rsidP="00020940">
      <w:pPr>
        <w:autoSpaceDE w:val="0"/>
        <w:autoSpaceDN w:val="0"/>
        <w:adjustRightInd w:val="0"/>
        <w:spacing w:before="240" w:after="0" w:line="240" w:lineRule="auto"/>
        <w:rPr>
          <w:rFonts w:cstheme="minorHAnsi"/>
          <w:b/>
        </w:rPr>
      </w:pPr>
      <w:r w:rsidRPr="00286D21">
        <w:rPr>
          <w:rFonts w:cstheme="minorHAnsi"/>
          <w:b/>
        </w:rPr>
        <w:t>“</w:t>
      </w:r>
      <w:r w:rsidR="009C4495" w:rsidRPr="00286D21">
        <w:rPr>
          <w:rFonts w:cstheme="minorHAnsi"/>
          <w:b/>
        </w:rPr>
        <w:t>Child care subsidies are subject to a further range of variables based on income. The Child Care Subsidy, which began in 2018, is means tested. In 2019/2020, an eligible family with a combined income below $68,163 receives a subsidy of 85% of their child c</w:t>
      </w:r>
      <w:r w:rsidRPr="00286D21">
        <w:rPr>
          <w:rFonts w:cstheme="minorHAnsi"/>
          <w:b/>
        </w:rPr>
        <w:t>are fees up to an annual limit</w:t>
      </w:r>
      <w:proofErr w:type="gramStart"/>
      <w:r w:rsidRPr="00286D21">
        <w:rPr>
          <w:rFonts w:cstheme="minorHAnsi"/>
          <w:b/>
        </w:rPr>
        <w:t>.”</w:t>
      </w:r>
      <w:r w:rsidR="009C4495" w:rsidRPr="00286D21">
        <w:rPr>
          <w:rFonts w:cstheme="minorHAnsi"/>
          <w:b/>
        </w:rPr>
        <w:t>(</w:t>
      </w:r>
      <w:proofErr w:type="gramEnd"/>
      <w:r w:rsidR="009C4495" w:rsidRPr="00286D21">
        <w:rPr>
          <w:rFonts w:cstheme="minorHAnsi"/>
          <w:b/>
        </w:rPr>
        <w:t>Page 10)</w:t>
      </w:r>
    </w:p>
    <w:p w14:paraId="2CE8F534" w14:textId="77777777" w:rsidR="009E46C1" w:rsidRPr="00286D21" w:rsidRDefault="009E46C1" w:rsidP="009E46C1">
      <w:pPr>
        <w:spacing w:after="0" w:line="240" w:lineRule="auto"/>
        <w:rPr>
          <w:rFonts w:cstheme="minorHAnsi"/>
          <w:u w:val="single"/>
        </w:rPr>
      </w:pPr>
    </w:p>
    <w:p w14:paraId="0EA1AF7C" w14:textId="77777777" w:rsidR="00CE29AC" w:rsidRPr="00286D21" w:rsidRDefault="00CE29AC" w:rsidP="00CE29AC">
      <w:pPr>
        <w:rPr>
          <w:rFonts w:cstheme="minorHAnsi"/>
          <w:u w:val="single"/>
        </w:rPr>
      </w:pPr>
      <w:r w:rsidRPr="00286D21">
        <w:rPr>
          <w:rFonts w:cstheme="minorHAnsi"/>
          <w:u w:val="single"/>
        </w:rPr>
        <w:t xml:space="preserve">Department’s Recommended Revision </w:t>
      </w:r>
    </w:p>
    <w:p w14:paraId="6BD5DD8B" w14:textId="77777777" w:rsidR="00CE29AC" w:rsidRPr="00286D21" w:rsidRDefault="00CE29AC" w:rsidP="009E46C1">
      <w:pPr>
        <w:spacing w:after="0" w:line="240" w:lineRule="auto"/>
        <w:rPr>
          <w:rFonts w:cstheme="minorHAnsi"/>
        </w:rPr>
      </w:pPr>
      <w:r w:rsidRPr="00286D21">
        <w:rPr>
          <w:rFonts w:cstheme="minorHAnsi"/>
        </w:rPr>
        <w:t xml:space="preserve">“Child care subsidies are subject to a further range of variables based on income. The Child Care Subsidy, which began in 2018, is means tested. In 2019/2020, an eligible family with a combined income below $68,163 receives a subsidy of 85% of their child care fees up to </w:t>
      </w:r>
      <w:r w:rsidRPr="00286D21">
        <w:rPr>
          <w:rFonts w:cstheme="minorHAnsi"/>
          <w:b/>
        </w:rPr>
        <w:t>an hourly rate cap</w:t>
      </w:r>
      <w:r w:rsidRPr="00286D21">
        <w:rPr>
          <w:rFonts w:cstheme="minorHAnsi"/>
        </w:rPr>
        <w:t>. “</w:t>
      </w:r>
    </w:p>
    <w:p w14:paraId="1AEBB272" w14:textId="77777777" w:rsidR="009E46C1" w:rsidRPr="00286D21" w:rsidRDefault="009E46C1" w:rsidP="009E46C1">
      <w:pPr>
        <w:spacing w:after="0" w:line="240" w:lineRule="auto"/>
        <w:rPr>
          <w:rFonts w:cstheme="minorHAnsi"/>
          <w:u w:val="single"/>
        </w:rPr>
      </w:pPr>
    </w:p>
    <w:p w14:paraId="06A111DD" w14:textId="77777777" w:rsidR="00CE29AC" w:rsidRPr="00286D21" w:rsidRDefault="00CE29AC" w:rsidP="00CE29AC">
      <w:pPr>
        <w:rPr>
          <w:rFonts w:cstheme="minorHAnsi"/>
          <w:u w:val="single"/>
        </w:rPr>
      </w:pPr>
      <w:r w:rsidRPr="00286D21">
        <w:rPr>
          <w:rFonts w:cstheme="minorHAnsi"/>
          <w:u w:val="single"/>
        </w:rPr>
        <w:t xml:space="preserve">Department’s Explanation </w:t>
      </w:r>
    </w:p>
    <w:p w14:paraId="6C370235" w14:textId="77777777" w:rsidR="009C4495" w:rsidRPr="00286D21" w:rsidRDefault="009C4495" w:rsidP="009C4495">
      <w:pPr>
        <w:rPr>
          <w:rFonts w:cstheme="minorHAnsi"/>
        </w:rPr>
      </w:pPr>
      <w:r w:rsidRPr="00286D21">
        <w:rPr>
          <w:rFonts w:cstheme="minorHAnsi"/>
        </w:rPr>
        <w:t>This statement is incorrect, the CCS annual limit only applies to families with an</w:t>
      </w:r>
      <w:r w:rsidR="003A0BE0" w:rsidRPr="00286D21">
        <w:rPr>
          <w:rFonts w:cstheme="minorHAnsi"/>
        </w:rPr>
        <w:t xml:space="preserve"> annual income above $188,163. </w:t>
      </w:r>
      <w:r w:rsidRPr="00286D21">
        <w:rPr>
          <w:rFonts w:cstheme="minorHAnsi"/>
        </w:rPr>
        <w:t>The hourly rate cap applies to all families.</w:t>
      </w:r>
    </w:p>
    <w:sectPr w:rsidR="009C4495" w:rsidRPr="00286D21" w:rsidSect="003A0BE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28ACC" w14:textId="77777777" w:rsidR="009A2B29" w:rsidRDefault="009A2B29" w:rsidP="004F0B11">
      <w:pPr>
        <w:spacing w:after="0" w:line="240" w:lineRule="auto"/>
      </w:pPr>
      <w:r>
        <w:separator/>
      </w:r>
    </w:p>
  </w:endnote>
  <w:endnote w:type="continuationSeparator" w:id="0">
    <w:p w14:paraId="32CC69C7" w14:textId="77777777" w:rsidR="009A2B29" w:rsidRDefault="009A2B29" w:rsidP="004F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5D74F" w14:textId="77777777" w:rsidR="009A2B29" w:rsidRDefault="009A2B29" w:rsidP="004F0B11">
      <w:pPr>
        <w:spacing w:after="0" w:line="240" w:lineRule="auto"/>
      </w:pPr>
      <w:r>
        <w:separator/>
      </w:r>
    </w:p>
  </w:footnote>
  <w:footnote w:type="continuationSeparator" w:id="0">
    <w:p w14:paraId="1CA758DC" w14:textId="77777777" w:rsidR="009A2B29" w:rsidRDefault="009A2B29" w:rsidP="004F0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C0923"/>
    <w:multiLevelType w:val="hybridMultilevel"/>
    <w:tmpl w:val="E05255D4"/>
    <w:lvl w:ilvl="0" w:tplc="19923FE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78C41C1"/>
    <w:multiLevelType w:val="hybridMultilevel"/>
    <w:tmpl w:val="075E05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4A765ECD"/>
    <w:multiLevelType w:val="hybridMultilevel"/>
    <w:tmpl w:val="008422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2C5734D"/>
    <w:multiLevelType w:val="hybridMultilevel"/>
    <w:tmpl w:val="26200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464"/>
    <w:rsid w:val="000166FD"/>
    <w:rsid w:val="00020940"/>
    <w:rsid w:val="0002333A"/>
    <w:rsid w:val="000474D6"/>
    <w:rsid w:val="00095F72"/>
    <w:rsid w:val="000E3FEE"/>
    <w:rsid w:val="000F0FD9"/>
    <w:rsid w:val="00107F88"/>
    <w:rsid w:val="0013361A"/>
    <w:rsid w:val="001551A4"/>
    <w:rsid w:val="001567C3"/>
    <w:rsid w:val="001861A7"/>
    <w:rsid w:val="001A5E9B"/>
    <w:rsid w:val="001C5505"/>
    <w:rsid w:val="001E5760"/>
    <w:rsid w:val="00275A75"/>
    <w:rsid w:val="00283F2C"/>
    <w:rsid w:val="00286D21"/>
    <w:rsid w:val="002C620C"/>
    <w:rsid w:val="002D176C"/>
    <w:rsid w:val="002F01FC"/>
    <w:rsid w:val="002F6CF9"/>
    <w:rsid w:val="003801D7"/>
    <w:rsid w:val="003A0BE0"/>
    <w:rsid w:val="003A6F4A"/>
    <w:rsid w:val="003B116D"/>
    <w:rsid w:val="003D1F49"/>
    <w:rsid w:val="003E1620"/>
    <w:rsid w:val="00426BFE"/>
    <w:rsid w:val="004D15EC"/>
    <w:rsid w:val="004F0B11"/>
    <w:rsid w:val="005057F2"/>
    <w:rsid w:val="00517B01"/>
    <w:rsid w:val="00525984"/>
    <w:rsid w:val="00575676"/>
    <w:rsid w:val="00583D17"/>
    <w:rsid w:val="005876BB"/>
    <w:rsid w:val="005A1173"/>
    <w:rsid w:val="005E532A"/>
    <w:rsid w:val="00616E48"/>
    <w:rsid w:val="006333F4"/>
    <w:rsid w:val="006447DB"/>
    <w:rsid w:val="00663D06"/>
    <w:rsid w:val="00664639"/>
    <w:rsid w:val="00677A8E"/>
    <w:rsid w:val="006C4876"/>
    <w:rsid w:val="006D4500"/>
    <w:rsid w:val="007132D4"/>
    <w:rsid w:val="00753B32"/>
    <w:rsid w:val="0078453E"/>
    <w:rsid w:val="007861A2"/>
    <w:rsid w:val="007E4056"/>
    <w:rsid w:val="0081745D"/>
    <w:rsid w:val="00843564"/>
    <w:rsid w:val="00853DCB"/>
    <w:rsid w:val="008A1F20"/>
    <w:rsid w:val="008A26DF"/>
    <w:rsid w:val="008A6EDD"/>
    <w:rsid w:val="008A7034"/>
    <w:rsid w:val="008B11ED"/>
    <w:rsid w:val="008E5B41"/>
    <w:rsid w:val="00997111"/>
    <w:rsid w:val="009A2B29"/>
    <w:rsid w:val="009C4495"/>
    <w:rsid w:val="009C74A5"/>
    <w:rsid w:val="009E46C1"/>
    <w:rsid w:val="00A04464"/>
    <w:rsid w:val="00A43A7E"/>
    <w:rsid w:val="00A51334"/>
    <w:rsid w:val="00A51538"/>
    <w:rsid w:val="00A96B17"/>
    <w:rsid w:val="00AD7A33"/>
    <w:rsid w:val="00AE7C8A"/>
    <w:rsid w:val="00B1204F"/>
    <w:rsid w:val="00B15EB2"/>
    <w:rsid w:val="00B3762A"/>
    <w:rsid w:val="00B43779"/>
    <w:rsid w:val="00B44B55"/>
    <w:rsid w:val="00B551E0"/>
    <w:rsid w:val="00B61FAE"/>
    <w:rsid w:val="00BA50CD"/>
    <w:rsid w:val="00BD0BFD"/>
    <w:rsid w:val="00C11D90"/>
    <w:rsid w:val="00C531E8"/>
    <w:rsid w:val="00C65971"/>
    <w:rsid w:val="00CE29AC"/>
    <w:rsid w:val="00D8582B"/>
    <w:rsid w:val="00E2532A"/>
    <w:rsid w:val="00E44DD8"/>
    <w:rsid w:val="00E80AB8"/>
    <w:rsid w:val="00F04291"/>
    <w:rsid w:val="00F33158"/>
    <w:rsid w:val="00F3541E"/>
    <w:rsid w:val="00F35F9E"/>
    <w:rsid w:val="00F54A96"/>
    <w:rsid w:val="00FB56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D3FF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F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464"/>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107F88"/>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C7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4A5"/>
    <w:rPr>
      <w:rFonts w:ascii="Segoe UI" w:hAnsi="Segoe UI" w:cs="Segoe UI"/>
      <w:sz w:val="18"/>
      <w:szCs w:val="18"/>
    </w:rPr>
  </w:style>
  <w:style w:type="character" w:styleId="CommentReference">
    <w:name w:val="annotation reference"/>
    <w:basedOn w:val="DefaultParagraphFont"/>
    <w:uiPriority w:val="99"/>
    <w:semiHidden/>
    <w:unhideWhenUsed/>
    <w:rsid w:val="009C74A5"/>
    <w:rPr>
      <w:sz w:val="16"/>
      <w:szCs w:val="16"/>
    </w:rPr>
  </w:style>
  <w:style w:type="paragraph" w:styleId="CommentText">
    <w:name w:val="annotation text"/>
    <w:basedOn w:val="Normal"/>
    <w:link w:val="CommentTextChar"/>
    <w:uiPriority w:val="99"/>
    <w:semiHidden/>
    <w:unhideWhenUsed/>
    <w:rsid w:val="009C74A5"/>
    <w:pPr>
      <w:spacing w:line="240" w:lineRule="auto"/>
    </w:pPr>
    <w:rPr>
      <w:sz w:val="20"/>
      <w:szCs w:val="20"/>
    </w:rPr>
  </w:style>
  <w:style w:type="character" w:customStyle="1" w:styleId="CommentTextChar">
    <w:name w:val="Comment Text Char"/>
    <w:basedOn w:val="DefaultParagraphFont"/>
    <w:link w:val="CommentText"/>
    <w:uiPriority w:val="99"/>
    <w:semiHidden/>
    <w:rsid w:val="009C74A5"/>
    <w:rPr>
      <w:sz w:val="20"/>
      <w:szCs w:val="20"/>
    </w:rPr>
  </w:style>
  <w:style w:type="paragraph" w:styleId="CommentSubject">
    <w:name w:val="annotation subject"/>
    <w:basedOn w:val="CommentText"/>
    <w:next w:val="CommentText"/>
    <w:link w:val="CommentSubjectChar"/>
    <w:uiPriority w:val="99"/>
    <w:semiHidden/>
    <w:unhideWhenUsed/>
    <w:rsid w:val="009C74A5"/>
    <w:rPr>
      <w:b/>
      <w:bCs/>
    </w:rPr>
  </w:style>
  <w:style w:type="character" w:customStyle="1" w:styleId="CommentSubjectChar">
    <w:name w:val="Comment Subject Char"/>
    <w:basedOn w:val="CommentTextChar"/>
    <w:link w:val="CommentSubject"/>
    <w:uiPriority w:val="99"/>
    <w:semiHidden/>
    <w:rsid w:val="009C74A5"/>
    <w:rPr>
      <w:b/>
      <w:bCs/>
      <w:sz w:val="20"/>
      <w:szCs w:val="20"/>
    </w:rPr>
  </w:style>
  <w:style w:type="paragraph" w:styleId="Header">
    <w:name w:val="header"/>
    <w:basedOn w:val="Normal"/>
    <w:link w:val="HeaderChar"/>
    <w:uiPriority w:val="99"/>
    <w:unhideWhenUsed/>
    <w:rsid w:val="004F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B11"/>
  </w:style>
  <w:style w:type="paragraph" w:styleId="Footer">
    <w:name w:val="footer"/>
    <w:basedOn w:val="Normal"/>
    <w:link w:val="FooterChar"/>
    <w:uiPriority w:val="99"/>
    <w:unhideWhenUsed/>
    <w:rsid w:val="004F0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562071">
      <w:bodyDiv w:val="1"/>
      <w:marLeft w:val="0"/>
      <w:marRight w:val="0"/>
      <w:marTop w:val="0"/>
      <w:marBottom w:val="0"/>
      <w:divBdr>
        <w:top w:val="none" w:sz="0" w:space="0" w:color="auto"/>
        <w:left w:val="none" w:sz="0" w:space="0" w:color="auto"/>
        <w:bottom w:val="none" w:sz="0" w:space="0" w:color="auto"/>
        <w:right w:val="none" w:sz="0" w:space="0" w:color="auto"/>
      </w:divBdr>
    </w:div>
    <w:div w:id="371271948">
      <w:bodyDiv w:val="1"/>
      <w:marLeft w:val="0"/>
      <w:marRight w:val="0"/>
      <w:marTop w:val="0"/>
      <w:marBottom w:val="0"/>
      <w:divBdr>
        <w:top w:val="none" w:sz="0" w:space="0" w:color="auto"/>
        <w:left w:val="none" w:sz="0" w:space="0" w:color="auto"/>
        <w:bottom w:val="none" w:sz="0" w:space="0" w:color="auto"/>
        <w:right w:val="none" w:sz="0" w:space="0" w:color="auto"/>
      </w:divBdr>
    </w:div>
    <w:div w:id="461458383">
      <w:bodyDiv w:val="1"/>
      <w:marLeft w:val="0"/>
      <w:marRight w:val="0"/>
      <w:marTop w:val="0"/>
      <w:marBottom w:val="0"/>
      <w:divBdr>
        <w:top w:val="none" w:sz="0" w:space="0" w:color="auto"/>
        <w:left w:val="none" w:sz="0" w:space="0" w:color="auto"/>
        <w:bottom w:val="none" w:sz="0" w:space="0" w:color="auto"/>
        <w:right w:val="none" w:sz="0" w:space="0" w:color="auto"/>
      </w:divBdr>
    </w:div>
    <w:div w:id="1011297842">
      <w:bodyDiv w:val="1"/>
      <w:marLeft w:val="0"/>
      <w:marRight w:val="0"/>
      <w:marTop w:val="0"/>
      <w:marBottom w:val="0"/>
      <w:divBdr>
        <w:top w:val="none" w:sz="0" w:space="0" w:color="auto"/>
        <w:left w:val="none" w:sz="0" w:space="0" w:color="auto"/>
        <w:bottom w:val="none" w:sz="0" w:space="0" w:color="auto"/>
        <w:right w:val="none" w:sz="0" w:space="0" w:color="auto"/>
      </w:divBdr>
    </w:div>
    <w:div w:id="1186209752">
      <w:bodyDiv w:val="1"/>
      <w:marLeft w:val="0"/>
      <w:marRight w:val="0"/>
      <w:marTop w:val="0"/>
      <w:marBottom w:val="0"/>
      <w:divBdr>
        <w:top w:val="none" w:sz="0" w:space="0" w:color="auto"/>
        <w:left w:val="none" w:sz="0" w:space="0" w:color="auto"/>
        <w:bottom w:val="none" w:sz="0" w:space="0" w:color="auto"/>
        <w:right w:val="none" w:sz="0" w:space="0" w:color="auto"/>
      </w:divBdr>
    </w:div>
    <w:div w:id="174648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1175</Words>
  <Characters>6700</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Department of Education, Skills and Employment</vt:lpstr>
      <vt:lpstr>Feedback on the Mitchell Institute’s Report:</vt:lpstr>
      <vt:lpstr>Australian Investment in Education: Early Childhood Education and Care</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2020-02-26T00:05:00Z</dcterms:created>
  <dcterms:modified xsi:type="dcterms:W3CDTF">2020-02-26T00:05:00Z</dcterms:modified>
</cp:coreProperties>
</file>